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2C5E2">
      <w:pPr>
        <w:widowControl w:val="0"/>
        <w:snapToGrid w:val="0"/>
        <w:spacing w:line="560" w:lineRule="exact"/>
        <w:ind w:firstLine="241" w:firstLineChars="50"/>
        <w:jc w:val="center"/>
        <w:rPr>
          <w:rFonts w:eastAsia="黑体"/>
          <w:b/>
          <w:color w:val="auto"/>
          <w:spacing w:val="40"/>
          <w:sz w:val="40"/>
          <w:szCs w:val="40"/>
          <w:highlight w:val="none"/>
        </w:rPr>
      </w:pPr>
    </w:p>
    <w:p w14:paraId="07F9DBE2">
      <w:pPr>
        <w:widowControl w:val="0"/>
        <w:snapToGrid w:val="0"/>
        <w:spacing w:line="560" w:lineRule="exact"/>
        <w:ind w:firstLine="241" w:firstLineChars="50"/>
        <w:jc w:val="center"/>
        <w:rPr>
          <w:rFonts w:eastAsia="黑体"/>
          <w:b/>
          <w:color w:val="auto"/>
          <w:spacing w:val="40"/>
          <w:sz w:val="40"/>
          <w:szCs w:val="40"/>
          <w:highlight w:val="none"/>
        </w:rPr>
      </w:pPr>
    </w:p>
    <w:p w14:paraId="70958E3B">
      <w:pPr>
        <w:widowControl w:val="0"/>
        <w:snapToGrid w:val="0"/>
        <w:spacing w:line="560" w:lineRule="exact"/>
        <w:ind w:firstLine="241" w:firstLineChars="50"/>
        <w:jc w:val="center"/>
        <w:rPr>
          <w:rFonts w:eastAsia="黑体"/>
          <w:b/>
          <w:color w:val="auto"/>
          <w:spacing w:val="40"/>
          <w:sz w:val="40"/>
          <w:szCs w:val="40"/>
          <w:highlight w:val="none"/>
        </w:rPr>
      </w:pPr>
    </w:p>
    <w:p w14:paraId="7CC5F270">
      <w:pPr>
        <w:widowControl w:val="0"/>
        <w:snapToGrid w:val="0"/>
        <w:spacing w:line="560" w:lineRule="exact"/>
        <w:ind w:firstLine="221" w:firstLineChars="50"/>
        <w:jc w:val="center"/>
        <w:rPr>
          <w:rFonts w:ascii="黑体" w:eastAsia="黑体"/>
          <w:b/>
          <w:color w:val="auto"/>
          <w:spacing w:val="40"/>
          <w:sz w:val="44"/>
          <w:szCs w:val="44"/>
          <w:highlight w:val="none"/>
        </w:rPr>
      </w:pPr>
      <w:r>
        <w:rPr>
          <w:rFonts w:hint="eastAsia" w:ascii="黑体" w:eastAsia="黑体"/>
          <w:b/>
          <w:color w:val="auto"/>
          <w:sz w:val="44"/>
          <w:szCs w:val="44"/>
          <w:highlight w:val="none"/>
        </w:rPr>
        <w:t>安阳市殷都区环境卫生事务中心2025年新能源环卫车辆充电服务项目</w:t>
      </w:r>
    </w:p>
    <w:p w14:paraId="07A872DF">
      <w:pPr>
        <w:widowControl w:val="0"/>
        <w:snapToGrid w:val="0"/>
        <w:spacing w:line="560" w:lineRule="exact"/>
        <w:ind w:firstLine="261" w:firstLineChars="50"/>
        <w:jc w:val="center"/>
        <w:rPr>
          <w:rFonts w:ascii="黑体" w:eastAsia="黑体"/>
          <w:b/>
          <w:color w:val="auto"/>
          <w:spacing w:val="40"/>
          <w:sz w:val="44"/>
          <w:szCs w:val="44"/>
          <w:highlight w:val="none"/>
        </w:rPr>
      </w:pPr>
    </w:p>
    <w:p w14:paraId="309F39AA">
      <w:pPr>
        <w:widowControl w:val="0"/>
        <w:snapToGrid w:val="0"/>
        <w:spacing w:before="240" w:beforeLines="100" w:line="560" w:lineRule="exact"/>
        <w:jc w:val="center"/>
        <w:rPr>
          <w:rFonts w:eastAsia="黑体"/>
          <w:b/>
          <w:color w:val="auto"/>
          <w:sz w:val="44"/>
          <w:highlight w:val="none"/>
        </w:rPr>
      </w:pPr>
    </w:p>
    <w:p w14:paraId="73980821">
      <w:pPr>
        <w:widowControl w:val="0"/>
        <w:snapToGrid w:val="0"/>
        <w:spacing w:before="240" w:beforeLines="100" w:line="240" w:lineRule="auto"/>
        <w:jc w:val="center"/>
        <w:rPr>
          <w:rFonts w:eastAsia="黑体"/>
          <w:b/>
          <w:color w:val="auto"/>
          <w:sz w:val="44"/>
          <w:highlight w:val="none"/>
        </w:rPr>
      </w:pPr>
    </w:p>
    <w:p w14:paraId="308F7046">
      <w:pPr>
        <w:widowControl w:val="0"/>
        <w:snapToGrid w:val="0"/>
        <w:spacing w:before="240" w:beforeLines="100" w:line="240" w:lineRule="auto"/>
        <w:jc w:val="center"/>
        <w:rPr>
          <w:rFonts w:eastAsia="黑体"/>
          <w:b/>
          <w:color w:val="auto"/>
          <w:sz w:val="44"/>
          <w:highlight w:val="none"/>
        </w:rPr>
      </w:pPr>
    </w:p>
    <w:p w14:paraId="56573226">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磋</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商</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2F399F8A">
      <w:pPr>
        <w:widowControl w:val="0"/>
        <w:snapToGrid w:val="0"/>
        <w:spacing w:before="240" w:beforeLines="100" w:line="560" w:lineRule="exact"/>
        <w:jc w:val="center"/>
        <w:rPr>
          <w:rFonts w:hint="eastAsia" w:ascii="宋体" w:hAnsi="宋体"/>
          <w:color w:val="auto"/>
          <w:sz w:val="32"/>
          <w:szCs w:val="32"/>
          <w:highlight w:val="none"/>
        </w:rPr>
      </w:pPr>
      <w:r>
        <w:rPr>
          <w:rFonts w:hint="eastAsia" w:ascii="宋体" w:hAnsi="宋体"/>
          <w:color w:val="auto"/>
          <w:sz w:val="32"/>
          <w:szCs w:val="32"/>
          <w:highlight w:val="none"/>
        </w:rPr>
        <w:t>项目编号：殷磋商-2025-</w:t>
      </w:r>
      <w:r>
        <w:rPr>
          <w:rFonts w:hint="eastAsia" w:ascii="宋体" w:hAnsi="宋体"/>
          <w:color w:val="auto"/>
          <w:sz w:val="32"/>
          <w:szCs w:val="32"/>
          <w:highlight w:val="none"/>
          <w:lang w:val="en-US" w:eastAsia="zh-CN"/>
        </w:rPr>
        <w:t>12</w:t>
      </w:r>
    </w:p>
    <w:p w14:paraId="4FC4A805">
      <w:pPr>
        <w:widowControl w:val="0"/>
        <w:snapToGrid w:val="0"/>
        <w:spacing w:before="240" w:beforeLines="100" w:line="560" w:lineRule="exact"/>
        <w:jc w:val="center"/>
        <w:rPr>
          <w:rFonts w:eastAsia="黑体"/>
          <w:b/>
          <w:color w:val="auto"/>
          <w:sz w:val="44"/>
          <w:highlight w:val="none"/>
        </w:rPr>
      </w:pPr>
    </w:p>
    <w:p w14:paraId="1DA352A9">
      <w:pPr>
        <w:widowControl w:val="0"/>
        <w:snapToGrid w:val="0"/>
        <w:spacing w:before="240" w:beforeLines="100" w:line="560" w:lineRule="exact"/>
        <w:jc w:val="center"/>
        <w:rPr>
          <w:rFonts w:eastAsia="黑体"/>
          <w:b/>
          <w:color w:val="auto"/>
          <w:sz w:val="44"/>
          <w:highlight w:val="none"/>
        </w:rPr>
      </w:pPr>
    </w:p>
    <w:p w14:paraId="03AC40B8">
      <w:pPr>
        <w:widowControl w:val="0"/>
        <w:snapToGrid w:val="0"/>
        <w:spacing w:before="240" w:beforeLines="100" w:line="560" w:lineRule="exact"/>
        <w:jc w:val="center"/>
        <w:rPr>
          <w:rFonts w:eastAsia="黑体"/>
          <w:b/>
          <w:color w:val="auto"/>
          <w:sz w:val="44"/>
          <w:highlight w:val="none"/>
        </w:rPr>
      </w:pPr>
    </w:p>
    <w:p w14:paraId="681B53C7">
      <w:pPr>
        <w:widowControl w:val="0"/>
        <w:snapToGrid w:val="0"/>
        <w:spacing w:before="240" w:beforeLines="100" w:line="560" w:lineRule="exact"/>
        <w:rPr>
          <w:rFonts w:eastAsia="黑体"/>
          <w:b/>
          <w:color w:val="auto"/>
          <w:sz w:val="44"/>
          <w:highlight w:val="none"/>
        </w:rPr>
      </w:pPr>
    </w:p>
    <w:p w14:paraId="32E560C9">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采购人：安阳市殷都区环境卫生事务中心</w:t>
      </w:r>
    </w:p>
    <w:p w14:paraId="0596616C">
      <w:pPr>
        <w:widowControl w:val="0"/>
        <w:snapToGrid w:val="0"/>
        <w:spacing w:line="660" w:lineRule="exact"/>
        <w:ind w:firstLine="540" w:firstLineChars="168"/>
        <w:rPr>
          <w:rFonts w:ascii="黑体" w:hAnsi="黑体" w:eastAsia="黑体"/>
          <w:b/>
          <w:color w:val="auto"/>
          <w:sz w:val="32"/>
          <w:szCs w:val="32"/>
          <w:highlight w:val="none"/>
        </w:rPr>
        <w:sectPr>
          <w:footerReference r:id="rId8" w:type="first"/>
          <w:headerReference r:id="rId5" w:type="default"/>
          <w:footerReference r:id="rId6" w:type="default"/>
          <w:footerReference r:id="rId7" w:type="even"/>
          <w:pgSz w:w="11905" w:h="16837"/>
          <w:pgMar w:top="1418" w:right="1106" w:bottom="1418" w:left="1418" w:header="567" w:footer="567" w:gutter="0"/>
          <w:pgBorders>
            <w:top w:val="none" w:sz="0" w:space="0"/>
            <w:left w:val="none" w:sz="0" w:space="0"/>
            <w:bottom w:val="none" w:sz="0" w:space="0"/>
            <w:right w:val="none" w:sz="0" w:space="0"/>
          </w:pgBorders>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14:paraId="02F5E7B2">
      <w:pPr>
        <w:keepNext w:val="0"/>
        <w:keepLines w:val="0"/>
        <w:pageBreakBefore w:val="0"/>
        <w:widowControl w:val="0"/>
        <w:kinsoku/>
        <w:wordWrap/>
        <w:overflowPunct/>
        <w:topLinePunct w:val="0"/>
        <w:autoSpaceDE/>
        <w:autoSpaceDN/>
        <w:bidi w:val="0"/>
        <w:adjustRightInd/>
        <w:snapToGrid w:val="0"/>
        <w:spacing w:line="560" w:lineRule="exact"/>
        <w:ind w:firstLine="540" w:firstLineChars="168"/>
        <w:textAlignment w:val="baseline"/>
        <w:rPr>
          <w:rFonts w:ascii="黑体" w:hAnsi="黑体" w:eastAsia="黑体"/>
          <w:b/>
          <w:color w:val="auto"/>
          <w:sz w:val="32"/>
          <w:szCs w:val="32"/>
          <w:highlight w:val="none"/>
        </w:rPr>
      </w:pPr>
    </w:p>
    <w:p w14:paraId="25F1E283">
      <w:pPr>
        <w:keepNext w:val="0"/>
        <w:keepLines w:val="0"/>
        <w:pageBreakBefore w:val="0"/>
        <w:widowControl/>
        <w:kinsoku/>
        <w:wordWrap/>
        <w:overflowPunct/>
        <w:topLinePunct w:val="0"/>
        <w:autoSpaceDE/>
        <w:autoSpaceDN/>
        <w:bidi w:val="0"/>
        <w:adjustRightInd/>
        <w:snapToGrid/>
        <w:spacing w:after="0" w:afterLines="100"/>
        <w:jc w:val="center"/>
        <w:textAlignment w:val="baseline"/>
        <w:rPr>
          <w:rFonts w:ascii="Times New Roman" w:hAnsi="Times New Roman" w:eastAsia="宋体" w:cs="Times New Roman"/>
          <w:color w:val="auto"/>
          <w:sz w:val="21"/>
          <w:highlight w:val="none"/>
          <w:u w:color="000000"/>
          <w:lang w:val="en-US" w:eastAsia="zh-CN" w:bidi="ar-SA"/>
        </w:rPr>
      </w:pPr>
      <w:r>
        <w:rPr>
          <w:rFonts w:hint="eastAsia" w:ascii="黑体" w:hAnsi="黑体" w:eastAsia="黑体"/>
          <w:b/>
          <w:bCs/>
          <w:color w:val="auto"/>
          <w:sz w:val="36"/>
          <w:szCs w:val="36"/>
          <w:highlight w:val="none"/>
          <w:lang w:val="zh-CN"/>
        </w:rPr>
        <w:t>目</w:t>
      </w:r>
      <w:r>
        <w:rPr>
          <w:rFonts w:hint="eastAsia" w:ascii="黑体" w:hAnsi="黑体" w:eastAsia="黑体"/>
          <w:b/>
          <w:bCs/>
          <w:color w:val="auto"/>
          <w:sz w:val="36"/>
          <w:szCs w:val="36"/>
          <w:highlight w:val="none"/>
          <w:lang w:val="en-US" w:eastAsia="zh-CN"/>
        </w:rPr>
        <w:t xml:space="preserve">      </w:t>
      </w:r>
      <w:r>
        <w:rPr>
          <w:rFonts w:hint="eastAsia" w:ascii="黑体" w:hAnsi="黑体" w:eastAsia="黑体"/>
          <w:b/>
          <w:bCs/>
          <w:color w:val="auto"/>
          <w:sz w:val="36"/>
          <w:szCs w:val="36"/>
          <w:highlight w:val="none"/>
          <w:lang w:val="zh-CN"/>
        </w:rPr>
        <w:t>录</w:t>
      </w: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165DFC8C">
      <w:pPr>
        <w:pStyle w:val="11"/>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_Toc9040 </w:instrText>
      </w:r>
      <w:r>
        <w:rPr>
          <w:b/>
          <w:bCs/>
          <w:color w:val="auto"/>
          <w:highlight w:val="none"/>
        </w:rPr>
        <w:fldChar w:fldCharType="separate"/>
      </w:r>
      <w:r>
        <w:rPr>
          <w:rFonts w:hint="eastAsia" w:eastAsia="黑体"/>
          <w:b/>
          <w:bCs/>
          <w:color w:val="auto"/>
          <w:szCs w:val="36"/>
          <w:highlight w:val="none"/>
        </w:rPr>
        <w:t>第一章</w:t>
      </w:r>
      <w:r>
        <w:rPr>
          <w:rFonts w:eastAsia="黑体"/>
          <w:b/>
          <w:bCs/>
          <w:color w:val="auto"/>
          <w:szCs w:val="36"/>
          <w:highlight w:val="none"/>
        </w:rPr>
        <w:t xml:space="preserve">  </w:t>
      </w:r>
      <w:r>
        <w:rPr>
          <w:rFonts w:hint="eastAsia" w:eastAsia="黑体"/>
          <w:b/>
          <w:bCs/>
          <w:color w:val="auto"/>
          <w:szCs w:val="36"/>
          <w:highlight w:val="none"/>
        </w:rPr>
        <w:t>竞争性磋商公告</w:t>
      </w:r>
      <w:r>
        <w:rPr>
          <w:b/>
          <w:bCs/>
          <w:color w:val="auto"/>
          <w:highlight w:val="none"/>
        </w:rPr>
        <w:tab/>
      </w:r>
      <w:r>
        <w:rPr>
          <w:b/>
          <w:bCs/>
          <w:color w:val="auto"/>
          <w:highlight w:val="none"/>
        </w:rPr>
        <w:fldChar w:fldCharType="begin"/>
      </w:r>
      <w:r>
        <w:rPr>
          <w:b/>
          <w:bCs/>
          <w:color w:val="auto"/>
          <w:highlight w:val="none"/>
        </w:rPr>
        <w:instrText xml:space="preserve"> PAGEREF _Toc9040 \h </w:instrText>
      </w:r>
      <w:r>
        <w:rPr>
          <w:b/>
          <w:bCs/>
          <w:color w:val="auto"/>
          <w:highlight w:val="none"/>
        </w:rPr>
        <w:fldChar w:fldCharType="separate"/>
      </w:r>
      <w:r>
        <w:rPr>
          <w:b/>
          <w:bCs/>
          <w:color w:val="auto"/>
          <w:highlight w:val="none"/>
        </w:rPr>
        <w:t>- 1 -</w:t>
      </w:r>
      <w:r>
        <w:rPr>
          <w:b/>
          <w:bCs/>
          <w:color w:val="auto"/>
          <w:highlight w:val="none"/>
        </w:rPr>
        <w:fldChar w:fldCharType="end"/>
      </w:r>
      <w:r>
        <w:rPr>
          <w:b/>
          <w:bCs/>
          <w:color w:val="auto"/>
          <w:highlight w:val="none"/>
        </w:rPr>
        <w:fldChar w:fldCharType="end"/>
      </w:r>
    </w:p>
    <w:p w14:paraId="19513C60">
      <w:pPr>
        <w:pStyle w:val="11"/>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_Toc6443 </w:instrText>
      </w:r>
      <w:r>
        <w:rPr>
          <w:b/>
          <w:bCs/>
          <w:color w:val="auto"/>
          <w:highlight w:val="none"/>
        </w:rPr>
        <w:fldChar w:fldCharType="separate"/>
      </w:r>
      <w:r>
        <w:rPr>
          <w:rFonts w:hint="eastAsia" w:eastAsia="黑体"/>
          <w:b/>
          <w:bCs/>
          <w:color w:val="auto"/>
          <w:szCs w:val="36"/>
          <w:highlight w:val="none"/>
        </w:rPr>
        <w:t>第二章  采购项目及服务要求</w:t>
      </w:r>
      <w:r>
        <w:rPr>
          <w:b/>
          <w:bCs/>
          <w:color w:val="auto"/>
          <w:highlight w:val="none"/>
        </w:rPr>
        <w:tab/>
      </w:r>
      <w:r>
        <w:rPr>
          <w:b/>
          <w:bCs/>
          <w:color w:val="auto"/>
          <w:highlight w:val="none"/>
        </w:rPr>
        <w:fldChar w:fldCharType="begin"/>
      </w:r>
      <w:r>
        <w:rPr>
          <w:b/>
          <w:bCs/>
          <w:color w:val="auto"/>
          <w:highlight w:val="none"/>
        </w:rPr>
        <w:instrText xml:space="preserve"> PAGEREF _Toc6443 \h </w:instrText>
      </w:r>
      <w:r>
        <w:rPr>
          <w:b/>
          <w:bCs/>
          <w:color w:val="auto"/>
          <w:highlight w:val="none"/>
        </w:rPr>
        <w:fldChar w:fldCharType="separate"/>
      </w:r>
      <w:r>
        <w:rPr>
          <w:b/>
          <w:bCs/>
          <w:color w:val="auto"/>
          <w:highlight w:val="none"/>
        </w:rPr>
        <w:t>- 6 -</w:t>
      </w:r>
      <w:r>
        <w:rPr>
          <w:b/>
          <w:bCs/>
          <w:color w:val="auto"/>
          <w:highlight w:val="none"/>
        </w:rPr>
        <w:fldChar w:fldCharType="end"/>
      </w:r>
      <w:r>
        <w:rPr>
          <w:b/>
          <w:bCs/>
          <w:color w:val="auto"/>
          <w:highlight w:val="none"/>
        </w:rPr>
        <w:fldChar w:fldCharType="end"/>
      </w:r>
    </w:p>
    <w:p w14:paraId="164B9373">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_Toc15432 </w:instrText>
      </w:r>
      <w:r>
        <w:rPr>
          <w:b/>
          <w:bCs/>
          <w:color w:val="auto"/>
          <w:highlight w:val="none"/>
        </w:rPr>
        <w:fldChar w:fldCharType="separate"/>
      </w:r>
      <w:r>
        <w:rPr>
          <w:rFonts w:ascii="黑体" w:hAnsi="黑体" w:eastAsia="黑体"/>
          <w:b/>
          <w:bCs/>
          <w:color w:val="auto"/>
          <w:highlight w:val="none"/>
        </w:rPr>
        <w:t xml:space="preserve">1. </w:t>
      </w:r>
      <w:r>
        <w:rPr>
          <w:rFonts w:hint="eastAsia" w:ascii="黑体" w:hAnsi="黑体" w:eastAsia="黑体"/>
          <w:b/>
          <w:bCs/>
          <w:color w:val="auto"/>
          <w:highlight w:val="none"/>
        </w:rPr>
        <w:t>采购项目、标段（包）划分、</w:t>
      </w:r>
      <w:r>
        <w:rPr>
          <w:rFonts w:hint="eastAsia" w:ascii="黑体" w:hAnsi="黑体" w:eastAsia="黑体"/>
          <w:b/>
          <w:bCs/>
          <w:color w:val="auto"/>
          <w:highlight w:val="none"/>
          <w:lang w:eastAsia="zh-CN"/>
        </w:rPr>
        <w:t>投标报价</w:t>
      </w:r>
      <w:r>
        <w:rPr>
          <w:b/>
          <w:bCs/>
          <w:color w:val="auto"/>
          <w:highlight w:val="none"/>
        </w:rPr>
        <w:tab/>
      </w:r>
      <w:r>
        <w:rPr>
          <w:b/>
          <w:bCs/>
          <w:color w:val="auto"/>
          <w:highlight w:val="none"/>
        </w:rPr>
        <w:fldChar w:fldCharType="begin"/>
      </w:r>
      <w:r>
        <w:rPr>
          <w:b/>
          <w:bCs/>
          <w:color w:val="auto"/>
          <w:highlight w:val="none"/>
        </w:rPr>
        <w:instrText xml:space="preserve"> PAGEREF _Toc15432 \h </w:instrText>
      </w:r>
      <w:r>
        <w:rPr>
          <w:b/>
          <w:bCs/>
          <w:color w:val="auto"/>
          <w:highlight w:val="none"/>
        </w:rPr>
        <w:fldChar w:fldCharType="separate"/>
      </w:r>
      <w:r>
        <w:rPr>
          <w:b/>
          <w:bCs/>
          <w:color w:val="auto"/>
          <w:highlight w:val="none"/>
        </w:rPr>
        <w:t>- 6 -</w:t>
      </w:r>
      <w:r>
        <w:rPr>
          <w:b/>
          <w:bCs/>
          <w:color w:val="auto"/>
          <w:highlight w:val="none"/>
        </w:rPr>
        <w:fldChar w:fldCharType="end"/>
      </w:r>
      <w:r>
        <w:rPr>
          <w:b/>
          <w:bCs/>
          <w:color w:val="auto"/>
          <w:highlight w:val="none"/>
        </w:rPr>
        <w:fldChar w:fldCharType="end"/>
      </w:r>
    </w:p>
    <w:p w14:paraId="71AFD980">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_Toc9938 </w:instrText>
      </w:r>
      <w:r>
        <w:rPr>
          <w:b/>
          <w:bCs/>
          <w:color w:val="auto"/>
          <w:highlight w:val="none"/>
        </w:rPr>
        <w:fldChar w:fldCharType="separate"/>
      </w:r>
      <w:r>
        <w:rPr>
          <w:rFonts w:ascii="黑体" w:hAnsi="黑体" w:eastAsia="黑体"/>
          <w:b/>
          <w:bCs/>
          <w:color w:val="auto"/>
          <w:highlight w:val="none"/>
        </w:rPr>
        <w:t xml:space="preserve">2. </w:t>
      </w:r>
      <w:r>
        <w:rPr>
          <w:rFonts w:hint="eastAsia" w:ascii="黑体" w:hAnsi="黑体" w:eastAsia="黑体"/>
          <w:b/>
          <w:bCs/>
          <w:color w:val="auto"/>
          <w:highlight w:val="none"/>
        </w:rPr>
        <w:t>标段（包）内容（范围）及服务要求</w:t>
      </w:r>
      <w:r>
        <w:rPr>
          <w:b/>
          <w:bCs/>
          <w:color w:val="auto"/>
          <w:highlight w:val="none"/>
        </w:rPr>
        <w:tab/>
      </w:r>
      <w:r>
        <w:rPr>
          <w:b/>
          <w:bCs/>
          <w:color w:val="auto"/>
          <w:highlight w:val="none"/>
        </w:rPr>
        <w:fldChar w:fldCharType="begin"/>
      </w:r>
      <w:r>
        <w:rPr>
          <w:b/>
          <w:bCs/>
          <w:color w:val="auto"/>
          <w:highlight w:val="none"/>
        </w:rPr>
        <w:instrText xml:space="preserve"> PAGEREF _Toc9938 \h </w:instrText>
      </w:r>
      <w:r>
        <w:rPr>
          <w:b/>
          <w:bCs/>
          <w:color w:val="auto"/>
          <w:highlight w:val="none"/>
        </w:rPr>
        <w:fldChar w:fldCharType="separate"/>
      </w:r>
      <w:r>
        <w:rPr>
          <w:b/>
          <w:bCs/>
          <w:color w:val="auto"/>
          <w:highlight w:val="none"/>
        </w:rPr>
        <w:t>- 7 -</w:t>
      </w:r>
      <w:r>
        <w:rPr>
          <w:b/>
          <w:bCs/>
          <w:color w:val="auto"/>
          <w:highlight w:val="none"/>
        </w:rPr>
        <w:fldChar w:fldCharType="end"/>
      </w:r>
      <w:r>
        <w:rPr>
          <w:b/>
          <w:bCs/>
          <w:color w:val="auto"/>
          <w:highlight w:val="none"/>
        </w:rPr>
        <w:fldChar w:fldCharType="end"/>
      </w:r>
    </w:p>
    <w:p w14:paraId="23BD4458">
      <w:pPr>
        <w:pStyle w:val="11"/>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_Toc1474 </w:instrText>
      </w:r>
      <w:r>
        <w:rPr>
          <w:b/>
          <w:bCs/>
          <w:color w:val="auto"/>
          <w:highlight w:val="none"/>
        </w:rPr>
        <w:fldChar w:fldCharType="separate"/>
      </w:r>
      <w:r>
        <w:rPr>
          <w:rFonts w:hint="eastAsia" w:eastAsia="黑体"/>
          <w:b/>
          <w:bCs/>
          <w:color w:val="auto"/>
          <w:szCs w:val="36"/>
          <w:highlight w:val="none"/>
        </w:rPr>
        <w:t>第三章  供应商须知</w:t>
      </w:r>
      <w:r>
        <w:rPr>
          <w:b/>
          <w:bCs/>
          <w:color w:val="auto"/>
          <w:highlight w:val="none"/>
        </w:rPr>
        <w:tab/>
      </w:r>
      <w:r>
        <w:rPr>
          <w:b/>
          <w:bCs/>
          <w:color w:val="auto"/>
          <w:highlight w:val="none"/>
        </w:rPr>
        <w:fldChar w:fldCharType="begin"/>
      </w:r>
      <w:r>
        <w:rPr>
          <w:b/>
          <w:bCs/>
          <w:color w:val="auto"/>
          <w:highlight w:val="none"/>
        </w:rPr>
        <w:instrText xml:space="preserve"> PAGEREF _Toc1474 \h </w:instrText>
      </w:r>
      <w:r>
        <w:rPr>
          <w:b/>
          <w:bCs/>
          <w:color w:val="auto"/>
          <w:highlight w:val="none"/>
        </w:rPr>
        <w:fldChar w:fldCharType="separate"/>
      </w:r>
      <w:r>
        <w:rPr>
          <w:b/>
          <w:bCs/>
          <w:color w:val="auto"/>
          <w:highlight w:val="none"/>
        </w:rPr>
        <w:t>- 12 -</w:t>
      </w:r>
      <w:r>
        <w:rPr>
          <w:b/>
          <w:bCs/>
          <w:color w:val="auto"/>
          <w:highlight w:val="none"/>
        </w:rPr>
        <w:fldChar w:fldCharType="end"/>
      </w:r>
      <w:r>
        <w:rPr>
          <w:b/>
          <w:bCs/>
          <w:color w:val="auto"/>
          <w:highlight w:val="none"/>
        </w:rPr>
        <w:fldChar w:fldCharType="end"/>
      </w:r>
    </w:p>
    <w:p w14:paraId="50CCB3B1">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_Toc32440 </w:instrText>
      </w:r>
      <w:r>
        <w:rPr>
          <w:b/>
          <w:bCs/>
          <w:color w:val="auto"/>
          <w:highlight w:val="none"/>
        </w:rPr>
        <w:fldChar w:fldCharType="separate"/>
      </w:r>
      <w:r>
        <w:rPr>
          <w:rFonts w:hint="eastAsia" w:eastAsia="黑体"/>
          <w:b/>
          <w:bCs/>
          <w:color w:val="auto"/>
          <w:szCs w:val="28"/>
          <w:highlight w:val="none"/>
        </w:rPr>
        <w:t>供应商须知前附表</w:t>
      </w:r>
      <w:r>
        <w:rPr>
          <w:b/>
          <w:bCs/>
          <w:color w:val="auto"/>
          <w:highlight w:val="none"/>
        </w:rPr>
        <w:tab/>
      </w:r>
      <w:r>
        <w:rPr>
          <w:b/>
          <w:bCs/>
          <w:color w:val="auto"/>
          <w:highlight w:val="none"/>
        </w:rPr>
        <w:fldChar w:fldCharType="begin"/>
      </w:r>
      <w:r>
        <w:rPr>
          <w:b/>
          <w:bCs/>
          <w:color w:val="auto"/>
          <w:highlight w:val="none"/>
        </w:rPr>
        <w:instrText xml:space="preserve"> PAGEREF _Toc32440 \h </w:instrText>
      </w:r>
      <w:r>
        <w:rPr>
          <w:b/>
          <w:bCs/>
          <w:color w:val="auto"/>
          <w:highlight w:val="none"/>
        </w:rPr>
        <w:fldChar w:fldCharType="separate"/>
      </w:r>
      <w:r>
        <w:rPr>
          <w:b/>
          <w:bCs/>
          <w:color w:val="auto"/>
          <w:highlight w:val="none"/>
        </w:rPr>
        <w:t>- 12 -</w:t>
      </w:r>
      <w:r>
        <w:rPr>
          <w:b/>
          <w:bCs/>
          <w:color w:val="auto"/>
          <w:highlight w:val="none"/>
        </w:rPr>
        <w:fldChar w:fldCharType="end"/>
      </w:r>
      <w:r>
        <w:rPr>
          <w:b/>
          <w:bCs/>
          <w:color w:val="auto"/>
          <w:highlight w:val="none"/>
        </w:rPr>
        <w:fldChar w:fldCharType="end"/>
      </w:r>
    </w:p>
    <w:p w14:paraId="01F11FB0">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_Toc15922 </w:instrText>
      </w:r>
      <w:r>
        <w:rPr>
          <w:b/>
          <w:bCs/>
          <w:color w:val="auto"/>
          <w:highlight w:val="none"/>
        </w:rPr>
        <w:fldChar w:fldCharType="separate"/>
      </w:r>
      <w:r>
        <w:rPr>
          <w:rFonts w:ascii="黑体" w:hAnsi="黑体" w:eastAsia="黑体" w:cs="楷体_GB2312"/>
          <w:b/>
          <w:bCs/>
          <w:color w:val="auto"/>
          <w:szCs w:val="28"/>
          <w:highlight w:val="none"/>
          <w:lang w:val="zh-CN"/>
        </w:rPr>
        <w:t xml:space="preserve">1. </w:t>
      </w:r>
      <w:r>
        <w:rPr>
          <w:rFonts w:hint="eastAsia" w:ascii="黑体" w:hAnsi="黑体" w:eastAsia="黑体" w:cs="楷体_GB2312"/>
          <w:b/>
          <w:bCs/>
          <w:color w:val="auto"/>
          <w:szCs w:val="28"/>
          <w:highlight w:val="none"/>
          <w:lang w:val="zh-CN"/>
        </w:rPr>
        <w:t>总则</w:t>
      </w:r>
      <w:r>
        <w:rPr>
          <w:b/>
          <w:bCs/>
          <w:color w:val="auto"/>
          <w:highlight w:val="none"/>
        </w:rPr>
        <w:tab/>
      </w:r>
      <w:r>
        <w:rPr>
          <w:b/>
          <w:bCs/>
          <w:color w:val="auto"/>
          <w:highlight w:val="none"/>
        </w:rPr>
        <w:fldChar w:fldCharType="begin"/>
      </w:r>
      <w:r>
        <w:rPr>
          <w:b/>
          <w:bCs/>
          <w:color w:val="auto"/>
          <w:highlight w:val="none"/>
        </w:rPr>
        <w:instrText xml:space="preserve"> PAGEREF _Toc15922 \h </w:instrText>
      </w:r>
      <w:r>
        <w:rPr>
          <w:b/>
          <w:bCs/>
          <w:color w:val="auto"/>
          <w:highlight w:val="none"/>
        </w:rPr>
        <w:fldChar w:fldCharType="separate"/>
      </w:r>
      <w:r>
        <w:rPr>
          <w:b/>
          <w:bCs/>
          <w:color w:val="auto"/>
          <w:highlight w:val="none"/>
        </w:rPr>
        <w:t>- 15 -</w:t>
      </w:r>
      <w:r>
        <w:rPr>
          <w:b/>
          <w:bCs/>
          <w:color w:val="auto"/>
          <w:highlight w:val="none"/>
        </w:rPr>
        <w:fldChar w:fldCharType="end"/>
      </w:r>
      <w:r>
        <w:rPr>
          <w:b/>
          <w:bCs/>
          <w:color w:val="auto"/>
          <w:highlight w:val="none"/>
        </w:rPr>
        <w:fldChar w:fldCharType="end"/>
      </w:r>
    </w:p>
    <w:p w14:paraId="3C055578">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_Toc32164 </w:instrText>
      </w:r>
      <w:r>
        <w:rPr>
          <w:b/>
          <w:bCs/>
          <w:color w:val="auto"/>
          <w:highlight w:val="none"/>
        </w:rPr>
        <w:fldChar w:fldCharType="separate"/>
      </w:r>
      <w:r>
        <w:rPr>
          <w:rFonts w:ascii="黑体" w:hAnsi="黑体" w:eastAsia="黑体" w:cs="楷体_GB2312"/>
          <w:b/>
          <w:bCs/>
          <w:color w:val="auto"/>
          <w:szCs w:val="28"/>
          <w:highlight w:val="none"/>
          <w:lang w:val="zh-CN"/>
        </w:rPr>
        <w:t>2.</w:t>
      </w:r>
      <w:r>
        <w:rPr>
          <w:rFonts w:hint="eastAsia" w:ascii="黑体" w:hAnsi="黑体" w:eastAsia="黑体" w:cs="楷体_GB2312"/>
          <w:b/>
          <w:bCs/>
          <w:color w:val="auto"/>
          <w:szCs w:val="28"/>
          <w:highlight w:val="none"/>
          <w:lang w:val="zh-CN"/>
        </w:rPr>
        <w:t>《磋商文件》</w:t>
      </w:r>
      <w:r>
        <w:rPr>
          <w:b/>
          <w:bCs/>
          <w:color w:val="auto"/>
          <w:highlight w:val="none"/>
        </w:rPr>
        <w:tab/>
      </w:r>
      <w:r>
        <w:rPr>
          <w:b/>
          <w:bCs/>
          <w:color w:val="auto"/>
          <w:highlight w:val="none"/>
        </w:rPr>
        <w:fldChar w:fldCharType="begin"/>
      </w:r>
      <w:r>
        <w:rPr>
          <w:b/>
          <w:bCs/>
          <w:color w:val="auto"/>
          <w:highlight w:val="none"/>
        </w:rPr>
        <w:instrText xml:space="preserve"> PAGEREF _Toc32164 \h </w:instrText>
      </w:r>
      <w:r>
        <w:rPr>
          <w:b/>
          <w:bCs/>
          <w:color w:val="auto"/>
          <w:highlight w:val="none"/>
        </w:rPr>
        <w:fldChar w:fldCharType="separate"/>
      </w:r>
      <w:r>
        <w:rPr>
          <w:b/>
          <w:bCs/>
          <w:color w:val="auto"/>
          <w:highlight w:val="none"/>
        </w:rPr>
        <w:t>- 18 -</w:t>
      </w:r>
      <w:r>
        <w:rPr>
          <w:b/>
          <w:bCs/>
          <w:color w:val="auto"/>
          <w:highlight w:val="none"/>
        </w:rPr>
        <w:fldChar w:fldCharType="end"/>
      </w:r>
      <w:r>
        <w:rPr>
          <w:b/>
          <w:bCs/>
          <w:color w:val="auto"/>
          <w:highlight w:val="none"/>
        </w:rPr>
        <w:fldChar w:fldCharType="end"/>
      </w:r>
    </w:p>
    <w:p w14:paraId="011C7E81">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_Toc3803 </w:instrText>
      </w:r>
      <w:r>
        <w:rPr>
          <w:b/>
          <w:bCs/>
          <w:color w:val="auto"/>
          <w:highlight w:val="none"/>
        </w:rPr>
        <w:fldChar w:fldCharType="separate"/>
      </w:r>
      <w:r>
        <w:rPr>
          <w:rFonts w:ascii="黑体" w:hAnsi="黑体" w:eastAsia="黑体" w:cs="楷体_GB2312"/>
          <w:b/>
          <w:bCs/>
          <w:color w:val="auto"/>
          <w:szCs w:val="28"/>
          <w:highlight w:val="none"/>
          <w:lang w:val="zh-CN"/>
        </w:rPr>
        <w:t>3.</w:t>
      </w:r>
      <w:r>
        <w:rPr>
          <w:rFonts w:hint="eastAsia" w:ascii="黑体" w:hAnsi="黑体" w:eastAsia="黑体" w:cs="楷体_GB2312"/>
          <w:b/>
          <w:bCs/>
          <w:color w:val="auto"/>
          <w:szCs w:val="28"/>
          <w:highlight w:val="none"/>
          <w:lang w:val="zh-CN"/>
        </w:rPr>
        <w:t>《响应文件》</w:t>
      </w:r>
      <w:r>
        <w:rPr>
          <w:b/>
          <w:bCs/>
          <w:color w:val="auto"/>
          <w:highlight w:val="none"/>
        </w:rPr>
        <w:tab/>
      </w:r>
      <w:r>
        <w:rPr>
          <w:b/>
          <w:bCs/>
          <w:color w:val="auto"/>
          <w:highlight w:val="none"/>
        </w:rPr>
        <w:fldChar w:fldCharType="begin"/>
      </w:r>
      <w:r>
        <w:rPr>
          <w:b/>
          <w:bCs/>
          <w:color w:val="auto"/>
          <w:highlight w:val="none"/>
        </w:rPr>
        <w:instrText xml:space="preserve"> PAGEREF _Toc3803 \h </w:instrText>
      </w:r>
      <w:r>
        <w:rPr>
          <w:b/>
          <w:bCs/>
          <w:color w:val="auto"/>
          <w:highlight w:val="none"/>
        </w:rPr>
        <w:fldChar w:fldCharType="separate"/>
      </w:r>
      <w:r>
        <w:rPr>
          <w:b/>
          <w:bCs/>
          <w:color w:val="auto"/>
          <w:highlight w:val="none"/>
        </w:rPr>
        <w:t>- 19 -</w:t>
      </w:r>
      <w:r>
        <w:rPr>
          <w:b/>
          <w:bCs/>
          <w:color w:val="auto"/>
          <w:highlight w:val="none"/>
        </w:rPr>
        <w:fldChar w:fldCharType="end"/>
      </w:r>
      <w:r>
        <w:rPr>
          <w:b/>
          <w:bCs/>
          <w:color w:val="auto"/>
          <w:highlight w:val="none"/>
        </w:rPr>
        <w:fldChar w:fldCharType="end"/>
      </w:r>
    </w:p>
    <w:p w14:paraId="4CECA26A">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_Toc20731 </w:instrText>
      </w:r>
      <w:r>
        <w:rPr>
          <w:b/>
          <w:bCs/>
          <w:color w:val="auto"/>
          <w:highlight w:val="none"/>
        </w:rPr>
        <w:fldChar w:fldCharType="separate"/>
      </w:r>
      <w:r>
        <w:rPr>
          <w:rFonts w:ascii="黑体" w:hAnsi="黑体" w:eastAsia="黑体" w:cs="楷体_GB2312"/>
          <w:b/>
          <w:bCs/>
          <w:color w:val="auto"/>
          <w:szCs w:val="28"/>
          <w:highlight w:val="none"/>
          <w:lang w:val="zh-CN"/>
        </w:rPr>
        <w:t>4.</w:t>
      </w:r>
      <w:r>
        <w:rPr>
          <w:rFonts w:hint="eastAsia" w:ascii="黑体" w:hAnsi="黑体" w:eastAsia="黑体" w:cs="楷体_GB2312"/>
          <w:b/>
          <w:bCs/>
          <w:color w:val="auto"/>
          <w:szCs w:val="28"/>
          <w:highlight w:val="none"/>
          <w:lang w:val="zh-CN"/>
        </w:rPr>
        <w:t>《响应文件》的提交</w:t>
      </w:r>
      <w:r>
        <w:rPr>
          <w:b/>
          <w:bCs/>
          <w:color w:val="auto"/>
          <w:highlight w:val="none"/>
        </w:rPr>
        <w:tab/>
      </w:r>
      <w:r>
        <w:rPr>
          <w:b/>
          <w:bCs/>
          <w:color w:val="auto"/>
          <w:highlight w:val="none"/>
        </w:rPr>
        <w:fldChar w:fldCharType="begin"/>
      </w:r>
      <w:r>
        <w:rPr>
          <w:b/>
          <w:bCs/>
          <w:color w:val="auto"/>
          <w:highlight w:val="none"/>
        </w:rPr>
        <w:instrText xml:space="preserve"> PAGEREF _Toc20731 \h </w:instrText>
      </w:r>
      <w:r>
        <w:rPr>
          <w:b/>
          <w:bCs/>
          <w:color w:val="auto"/>
          <w:highlight w:val="none"/>
        </w:rPr>
        <w:fldChar w:fldCharType="separate"/>
      </w:r>
      <w:r>
        <w:rPr>
          <w:b/>
          <w:bCs/>
          <w:color w:val="auto"/>
          <w:highlight w:val="none"/>
        </w:rPr>
        <w:t>- 22 -</w:t>
      </w:r>
      <w:r>
        <w:rPr>
          <w:b/>
          <w:bCs/>
          <w:color w:val="auto"/>
          <w:highlight w:val="none"/>
        </w:rPr>
        <w:fldChar w:fldCharType="end"/>
      </w:r>
      <w:r>
        <w:rPr>
          <w:b/>
          <w:bCs/>
          <w:color w:val="auto"/>
          <w:highlight w:val="none"/>
        </w:rPr>
        <w:fldChar w:fldCharType="end"/>
      </w:r>
    </w:p>
    <w:p w14:paraId="28A5BBB4">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_Toc15356 </w:instrText>
      </w:r>
      <w:r>
        <w:rPr>
          <w:b/>
          <w:bCs/>
          <w:color w:val="auto"/>
          <w:highlight w:val="none"/>
        </w:rPr>
        <w:fldChar w:fldCharType="separate"/>
      </w:r>
      <w:r>
        <w:rPr>
          <w:rFonts w:ascii="黑体" w:hAnsi="黑体" w:eastAsia="黑体" w:cs="楷体_GB2312"/>
          <w:b/>
          <w:bCs/>
          <w:color w:val="auto"/>
          <w:szCs w:val="28"/>
          <w:highlight w:val="none"/>
          <w:lang w:val="zh-CN"/>
        </w:rPr>
        <w:t>5.</w:t>
      </w:r>
      <w:r>
        <w:rPr>
          <w:rFonts w:hint="eastAsia" w:ascii="黑体" w:hAnsi="黑体" w:eastAsia="黑体" w:cs="楷体_GB2312"/>
          <w:b/>
          <w:bCs/>
          <w:color w:val="auto"/>
          <w:szCs w:val="28"/>
          <w:highlight w:val="none"/>
          <w:lang w:val="zh-CN"/>
        </w:rPr>
        <w:t>《响应文件》的开启</w:t>
      </w:r>
      <w:r>
        <w:rPr>
          <w:b/>
          <w:bCs/>
          <w:color w:val="auto"/>
          <w:highlight w:val="none"/>
        </w:rPr>
        <w:tab/>
      </w:r>
      <w:r>
        <w:rPr>
          <w:b/>
          <w:bCs/>
          <w:color w:val="auto"/>
          <w:highlight w:val="none"/>
        </w:rPr>
        <w:fldChar w:fldCharType="begin"/>
      </w:r>
      <w:r>
        <w:rPr>
          <w:b/>
          <w:bCs/>
          <w:color w:val="auto"/>
          <w:highlight w:val="none"/>
        </w:rPr>
        <w:instrText xml:space="preserve"> PAGEREF _Toc15356 \h </w:instrText>
      </w:r>
      <w:r>
        <w:rPr>
          <w:b/>
          <w:bCs/>
          <w:color w:val="auto"/>
          <w:highlight w:val="none"/>
        </w:rPr>
        <w:fldChar w:fldCharType="separate"/>
      </w:r>
      <w:r>
        <w:rPr>
          <w:b/>
          <w:bCs/>
          <w:color w:val="auto"/>
          <w:highlight w:val="none"/>
        </w:rPr>
        <w:t>- 23 -</w:t>
      </w:r>
      <w:r>
        <w:rPr>
          <w:b/>
          <w:bCs/>
          <w:color w:val="auto"/>
          <w:highlight w:val="none"/>
        </w:rPr>
        <w:fldChar w:fldCharType="end"/>
      </w:r>
      <w:r>
        <w:rPr>
          <w:b/>
          <w:bCs/>
          <w:color w:val="auto"/>
          <w:highlight w:val="none"/>
        </w:rPr>
        <w:fldChar w:fldCharType="end"/>
      </w:r>
    </w:p>
    <w:p w14:paraId="7B65711A">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_Toc28358 </w:instrText>
      </w:r>
      <w:r>
        <w:rPr>
          <w:b/>
          <w:bCs/>
          <w:color w:val="auto"/>
          <w:highlight w:val="none"/>
        </w:rPr>
        <w:fldChar w:fldCharType="separate"/>
      </w:r>
      <w:r>
        <w:rPr>
          <w:rFonts w:ascii="黑体" w:hAnsi="黑体" w:eastAsia="黑体" w:cs="楷体_GB2312"/>
          <w:b/>
          <w:bCs/>
          <w:color w:val="auto"/>
          <w:szCs w:val="28"/>
          <w:highlight w:val="none"/>
          <w:lang w:val="zh-CN"/>
        </w:rPr>
        <w:t xml:space="preserve">6. </w:t>
      </w:r>
      <w:r>
        <w:rPr>
          <w:rFonts w:hint="eastAsia" w:ascii="黑体" w:hAnsi="黑体" w:eastAsia="黑体" w:cs="楷体_GB2312"/>
          <w:b/>
          <w:bCs/>
          <w:color w:val="auto"/>
          <w:szCs w:val="28"/>
          <w:highlight w:val="none"/>
          <w:lang w:val="zh-CN"/>
        </w:rPr>
        <w:t>评审</w:t>
      </w:r>
      <w:r>
        <w:rPr>
          <w:b/>
          <w:bCs/>
          <w:color w:val="auto"/>
          <w:highlight w:val="none"/>
        </w:rPr>
        <w:tab/>
      </w:r>
      <w:r>
        <w:rPr>
          <w:b/>
          <w:bCs/>
          <w:color w:val="auto"/>
          <w:highlight w:val="none"/>
        </w:rPr>
        <w:fldChar w:fldCharType="begin"/>
      </w:r>
      <w:r>
        <w:rPr>
          <w:b/>
          <w:bCs/>
          <w:color w:val="auto"/>
          <w:highlight w:val="none"/>
        </w:rPr>
        <w:instrText xml:space="preserve"> PAGEREF _Toc28358 \h </w:instrText>
      </w:r>
      <w:r>
        <w:rPr>
          <w:b/>
          <w:bCs/>
          <w:color w:val="auto"/>
          <w:highlight w:val="none"/>
        </w:rPr>
        <w:fldChar w:fldCharType="separate"/>
      </w:r>
      <w:r>
        <w:rPr>
          <w:b/>
          <w:bCs/>
          <w:color w:val="auto"/>
          <w:highlight w:val="none"/>
        </w:rPr>
        <w:t>- 23 -</w:t>
      </w:r>
      <w:r>
        <w:rPr>
          <w:b/>
          <w:bCs/>
          <w:color w:val="auto"/>
          <w:highlight w:val="none"/>
        </w:rPr>
        <w:fldChar w:fldCharType="end"/>
      </w:r>
      <w:r>
        <w:rPr>
          <w:b/>
          <w:bCs/>
          <w:color w:val="auto"/>
          <w:highlight w:val="none"/>
        </w:rPr>
        <w:fldChar w:fldCharType="end"/>
      </w:r>
    </w:p>
    <w:p w14:paraId="59A01C91">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_Toc9013 </w:instrText>
      </w:r>
      <w:r>
        <w:rPr>
          <w:b/>
          <w:bCs/>
          <w:color w:val="auto"/>
          <w:highlight w:val="none"/>
        </w:rPr>
        <w:fldChar w:fldCharType="separate"/>
      </w:r>
      <w:r>
        <w:rPr>
          <w:rFonts w:ascii="黑体" w:hAnsi="黑体" w:eastAsia="黑体" w:cs="楷体_GB2312"/>
          <w:b/>
          <w:bCs/>
          <w:color w:val="auto"/>
          <w:szCs w:val="28"/>
          <w:highlight w:val="none"/>
          <w:lang w:val="zh-CN"/>
        </w:rPr>
        <w:t xml:space="preserve">7. </w:t>
      </w:r>
      <w:r>
        <w:rPr>
          <w:rFonts w:hint="eastAsia" w:ascii="黑体" w:hAnsi="黑体" w:eastAsia="黑体" w:cs="楷体_GB2312"/>
          <w:b/>
          <w:bCs/>
          <w:color w:val="auto"/>
          <w:szCs w:val="28"/>
          <w:highlight w:val="none"/>
          <w:lang w:val="zh-CN"/>
        </w:rPr>
        <w:t>授予合同</w:t>
      </w:r>
      <w:r>
        <w:rPr>
          <w:b/>
          <w:bCs/>
          <w:color w:val="auto"/>
          <w:highlight w:val="none"/>
        </w:rPr>
        <w:tab/>
      </w:r>
      <w:r>
        <w:rPr>
          <w:b/>
          <w:bCs/>
          <w:color w:val="auto"/>
          <w:highlight w:val="none"/>
        </w:rPr>
        <w:fldChar w:fldCharType="begin"/>
      </w:r>
      <w:r>
        <w:rPr>
          <w:b/>
          <w:bCs/>
          <w:color w:val="auto"/>
          <w:highlight w:val="none"/>
        </w:rPr>
        <w:instrText xml:space="preserve"> PAGEREF _Toc9013 \h </w:instrText>
      </w:r>
      <w:r>
        <w:rPr>
          <w:b/>
          <w:bCs/>
          <w:color w:val="auto"/>
          <w:highlight w:val="none"/>
        </w:rPr>
        <w:fldChar w:fldCharType="separate"/>
      </w:r>
      <w:r>
        <w:rPr>
          <w:b/>
          <w:bCs/>
          <w:color w:val="auto"/>
          <w:highlight w:val="none"/>
        </w:rPr>
        <w:t>- 24 -</w:t>
      </w:r>
      <w:r>
        <w:rPr>
          <w:b/>
          <w:bCs/>
          <w:color w:val="auto"/>
          <w:highlight w:val="none"/>
        </w:rPr>
        <w:fldChar w:fldCharType="end"/>
      </w:r>
      <w:r>
        <w:rPr>
          <w:b/>
          <w:bCs/>
          <w:color w:val="auto"/>
          <w:highlight w:val="none"/>
        </w:rPr>
        <w:fldChar w:fldCharType="end"/>
      </w:r>
    </w:p>
    <w:p w14:paraId="519CF653">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_Toc26357 </w:instrText>
      </w:r>
      <w:r>
        <w:rPr>
          <w:b/>
          <w:bCs/>
          <w:color w:val="auto"/>
          <w:highlight w:val="none"/>
        </w:rPr>
        <w:fldChar w:fldCharType="separate"/>
      </w:r>
      <w:r>
        <w:rPr>
          <w:rFonts w:ascii="黑体" w:hAnsi="黑体" w:eastAsia="黑体" w:cs="楷体_GB2312"/>
          <w:b/>
          <w:bCs/>
          <w:color w:val="auto"/>
          <w:szCs w:val="28"/>
          <w:highlight w:val="none"/>
          <w:lang w:val="zh-CN"/>
        </w:rPr>
        <w:t xml:space="preserve">8. </w:t>
      </w:r>
      <w:r>
        <w:rPr>
          <w:rFonts w:hint="eastAsia" w:ascii="黑体" w:hAnsi="黑体" w:eastAsia="黑体" w:cs="楷体_GB2312"/>
          <w:b/>
          <w:bCs/>
          <w:color w:val="auto"/>
          <w:szCs w:val="28"/>
          <w:highlight w:val="none"/>
          <w:lang w:val="zh-CN"/>
        </w:rPr>
        <w:t>验收</w:t>
      </w:r>
      <w:r>
        <w:rPr>
          <w:b/>
          <w:bCs/>
          <w:color w:val="auto"/>
          <w:highlight w:val="none"/>
        </w:rPr>
        <w:tab/>
      </w:r>
      <w:r>
        <w:rPr>
          <w:b/>
          <w:bCs/>
          <w:color w:val="auto"/>
          <w:highlight w:val="none"/>
        </w:rPr>
        <w:fldChar w:fldCharType="begin"/>
      </w:r>
      <w:r>
        <w:rPr>
          <w:b/>
          <w:bCs/>
          <w:color w:val="auto"/>
          <w:highlight w:val="none"/>
        </w:rPr>
        <w:instrText xml:space="preserve"> PAGEREF _Toc26357 \h </w:instrText>
      </w:r>
      <w:r>
        <w:rPr>
          <w:b/>
          <w:bCs/>
          <w:color w:val="auto"/>
          <w:highlight w:val="none"/>
        </w:rPr>
        <w:fldChar w:fldCharType="separate"/>
      </w:r>
      <w:r>
        <w:rPr>
          <w:b/>
          <w:bCs/>
          <w:color w:val="auto"/>
          <w:highlight w:val="none"/>
        </w:rPr>
        <w:t>- 25 -</w:t>
      </w:r>
      <w:r>
        <w:rPr>
          <w:b/>
          <w:bCs/>
          <w:color w:val="auto"/>
          <w:highlight w:val="none"/>
        </w:rPr>
        <w:fldChar w:fldCharType="end"/>
      </w:r>
      <w:r>
        <w:rPr>
          <w:b/>
          <w:bCs/>
          <w:color w:val="auto"/>
          <w:highlight w:val="none"/>
        </w:rPr>
        <w:fldChar w:fldCharType="end"/>
      </w:r>
    </w:p>
    <w:p w14:paraId="53A8C75E">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_Toc25146 </w:instrText>
      </w:r>
      <w:r>
        <w:rPr>
          <w:b/>
          <w:bCs/>
          <w:color w:val="auto"/>
          <w:highlight w:val="none"/>
        </w:rPr>
        <w:fldChar w:fldCharType="separate"/>
      </w:r>
      <w:r>
        <w:rPr>
          <w:rFonts w:ascii="黑体" w:hAnsi="黑体" w:eastAsia="黑体" w:cs="楷体_GB2312"/>
          <w:b/>
          <w:bCs/>
          <w:color w:val="auto"/>
          <w:szCs w:val="28"/>
          <w:highlight w:val="none"/>
          <w:lang w:val="zh-CN"/>
        </w:rPr>
        <w:t xml:space="preserve">9. </w:t>
      </w:r>
      <w:r>
        <w:rPr>
          <w:rFonts w:hint="eastAsia" w:ascii="黑体" w:hAnsi="黑体" w:eastAsia="黑体" w:cs="楷体_GB2312"/>
          <w:b/>
          <w:bCs/>
          <w:color w:val="auto"/>
          <w:szCs w:val="28"/>
          <w:highlight w:val="none"/>
          <w:lang w:val="zh-CN"/>
        </w:rPr>
        <w:t>付款</w:t>
      </w:r>
      <w:r>
        <w:rPr>
          <w:b/>
          <w:bCs/>
          <w:color w:val="auto"/>
          <w:highlight w:val="none"/>
        </w:rPr>
        <w:tab/>
      </w:r>
      <w:r>
        <w:rPr>
          <w:b/>
          <w:bCs/>
          <w:color w:val="auto"/>
          <w:highlight w:val="none"/>
        </w:rPr>
        <w:fldChar w:fldCharType="begin"/>
      </w:r>
      <w:r>
        <w:rPr>
          <w:b/>
          <w:bCs/>
          <w:color w:val="auto"/>
          <w:highlight w:val="none"/>
        </w:rPr>
        <w:instrText xml:space="preserve"> PAGEREF _Toc25146 \h </w:instrText>
      </w:r>
      <w:r>
        <w:rPr>
          <w:b/>
          <w:bCs/>
          <w:color w:val="auto"/>
          <w:highlight w:val="none"/>
        </w:rPr>
        <w:fldChar w:fldCharType="separate"/>
      </w:r>
      <w:r>
        <w:rPr>
          <w:b/>
          <w:bCs/>
          <w:color w:val="auto"/>
          <w:highlight w:val="none"/>
        </w:rPr>
        <w:t>- 26 -</w:t>
      </w:r>
      <w:r>
        <w:rPr>
          <w:b/>
          <w:bCs/>
          <w:color w:val="auto"/>
          <w:highlight w:val="none"/>
        </w:rPr>
        <w:fldChar w:fldCharType="end"/>
      </w:r>
      <w:r>
        <w:rPr>
          <w:b/>
          <w:bCs/>
          <w:color w:val="auto"/>
          <w:highlight w:val="none"/>
        </w:rPr>
        <w:fldChar w:fldCharType="end"/>
      </w:r>
    </w:p>
    <w:p w14:paraId="31845829">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_Toc8142 </w:instrText>
      </w:r>
      <w:r>
        <w:rPr>
          <w:b/>
          <w:bCs/>
          <w:color w:val="auto"/>
          <w:highlight w:val="none"/>
        </w:rPr>
        <w:fldChar w:fldCharType="separate"/>
      </w:r>
      <w:r>
        <w:rPr>
          <w:rFonts w:ascii="黑体" w:hAnsi="黑体" w:eastAsia="黑体" w:cs="楷体_GB2312"/>
          <w:b/>
          <w:bCs/>
          <w:color w:val="auto"/>
          <w:szCs w:val="28"/>
          <w:highlight w:val="none"/>
          <w:lang w:val="zh-CN"/>
        </w:rPr>
        <w:t xml:space="preserve">10. </w:t>
      </w:r>
      <w:r>
        <w:rPr>
          <w:rFonts w:hint="eastAsia" w:ascii="黑体" w:hAnsi="黑体" w:eastAsia="黑体" w:cs="楷体_GB2312"/>
          <w:b/>
          <w:bCs/>
          <w:color w:val="auto"/>
          <w:szCs w:val="28"/>
          <w:highlight w:val="none"/>
          <w:lang w:val="zh-CN"/>
        </w:rPr>
        <w:t>其他</w:t>
      </w:r>
      <w:r>
        <w:rPr>
          <w:b/>
          <w:bCs/>
          <w:color w:val="auto"/>
          <w:highlight w:val="none"/>
        </w:rPr>
        <w:tab/>
      </w:r>
      <w:r>
        <w:rPr>
          <w:b/>
          <w:bCs/>
          <w:color w:val="auto"/>
          <w:highlight w:val="none"/>
        </w:rPr>
        <w:fldChar w:fldCharType="begin"/>
      </w:r>
      <w:r>
        <w:rPr>
          <w:b/>
          <w:bCs/>
          <w:color w:val="auto"/>
          <w:highlight w:val="none"/>
        </w:rPr>
        <w:instrText xml:space="preserve"> PAGEREF _Toc8142 \h </w:instrText>
      </w:r>
      <w:r>
        <w:rPr>
          <w:b/>
          <w:bCs/>
          <w:color w:val="auto"/>
          <w:highlight w:val="none"/>
        </w:rPr>
        <w:fldChar w:fldCharType="separate"/>
      </w:r>
      <w:r>
        <w:rPr>
          <w:b/>
          <w:bCs/>
          <w:color w:val="auto"/>
          <w:highlight w:val="none"/>
        </w:rPr>
        <w:t>- 26 -</w:t>
      </w:r>
      <w:r>
        <w:rPr>
          <w:b/>
          <w:bCs/>
          <w:color w:val="auto"/>
          <w:highlight w:val="none"/>
        </w:rPr>
        <w:fldChar w:fldCharType="end"/>
      </w:r>
      <w:r>
        <w:rPr>
          <w:b/>
          <w:bCs/>
          <w:color w:val="auto"/>
          <w:highlight w:val="none"/>
        </w:rPr>
        <w:fldChar w:fldCharType="end"/>
      </w:r>
    </w:p>
    <w:p w14:paraId="68FCF771">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_Toc4120 </w:instrText>
      </w:r>
      <w:r>
        <w:rPr>
          <w:b/>
          <w:bCs/>
          <w:color w:val="auto"/>
          <w:highlight w:val="none"/>
        </w:rPr>
        <w:fldChar w:fldCharType="separate"/>
      </w:r>
      <w:r>
        <w:rPr>
          <w:rFonts w:ascii="黑体" w:hAnsi="黑体" w:eastAsia="黑体" w:cs="楷体_GB2312"/>
          <w:b/>
          <w:bCs/>
          <w:color w:val="auto"/>
          <w:szCs w:val="28"/>
          <w:highlight w:val="none"/>
          <w:lang w:val="zh-CN"/>
        </w:rPr>
        <w:t>1</w:t>
      </w:r>
      <w:r>
        <w:rPr>
          <w:rFonts w:hint="eastAsia" w:ascii="黑体" w:hAnsi="黑体" w:eastAsia="黑体" w:cs="楷体_GB2312"/>
          <w:b/>
          <w:bCs/>
          <w:color w:val="auto"/>
          <w:szCs w:val="28"/>
          <w:highlight w:val="none"/>
          <w:lang w:val="zh-CN"/>
        </w:rPr>
        <w:t>1</w:t>
      </w:r>
      <w:r>
        <w:rPr>
          <w:rFonts w:ascii="黑体" w:hAnsi="黑体" w:eastAsia="黑体" w:cs="楷体_GB2312"/>
          <w:b/>
          <w:bCs/>
          <w:color w:val="auto"/>
          <w:szCs w:val="28"/>
          <w:highlight w:val="none"/>
          <w:lang w:val="zh-CN"/>
        </w:rPr>
        <w:t>.</w:t>
      </w:r>
      <w:r>
        <w:rPr>
          <w:rFonts w:hint="eastAsia" w:ascii="黑体" w:hAnsi="黑体" w:eastAsia="黑体" w:cs="楷体_GB2312"/>
          <w:b/>
          <w:bCs/>
          <w:color w:val="auto"/>
          <w:szCs w:val="28"/>
          <w:highlight w:val="none"/>
          <w:lang w:val="zh-CN"/>
        </w:rPr>
        <w:t xml:space="preserve"> 河南省政府采购合同融资政策告知函</w:t>
      </w:r>
      <w:r>
        <w:rPr>
          <w:b/>
          <w:bCs/>
          <w:color w:val="auto"/>
          <w:highlight w:val="none"/>
        </w:rPr>
        <w:tab/>
      </w:r>
      <w:r>
        <w:rPr>
          <w:b/>
          <w:bCs/>
          <w:color w:val="auto"/>
          <w:highlight w:val="none"/>
        </w:rPr>
        <w:fldChar w:fldCharType="begin"/>
      </w:r>
      <w:r>
        <w:rPr>
          <w:b/>
          <w:bCs/>
          <w:color w:val="auto"/>
          <w:highlight w:val="none"/>
        </w:rPr>
        <w:instrText xml:space="preserve"> PAGEREF _Toc4120 \h </w:instrText>
      </w:r>
      <w:r>
        <w:rPr>
          <w:b/>
          <w:bCs/>
          <w:color w:val="auto"/>
          <w:highlight w:val="none"/>
        </w:rPr>
        <w:fldChar w:fldCharType="separate"/>
      </w:r>
      <w:r>
        <w:rPr>
          <w:b/>
          <w:bCs/>
          <w:color w:val="auto"/>
          <w:highlight w:val="none"/>
        </w:rPr>
        <w:t>- 27 -</w:t>
      </w:r>
      <w:r>
        <w:rPr>
          <w:b/>
          <w:bCs/>
          <w:color w:val="auto"/>
          <w:highlight w:val="none"/>
        </w:rPr>
        <w:fldChar w:fldCharType="end"/>
      </w:r>
      <w:r>
        <w:rPr>
          <w:b/>
          <w:bCs/>
          <w:color w:val="auto"/>
          <w:highlight w:val="none"/>
        </w:rPr>
        <w:fldChar w:fldCharType="end"/>
      </w:r>
    </w:p>
    <w:p w14:paraId="513F6E02">
      <w:pPr>
        <w:pStyle w:val="11"/>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_Toc24222 </w:instrText>
      </w:r>
      <w:r>
        <w:rPr>
          <w:b/>
          <w:bCs/>
          <w:color w:val="auto"/>
          <w:highlight w:val="none"/>
        </w:rPr>
        <w:fldChar w:fldCharType="separate"/>
      </w:r>
      <w:r>
        <w:rPr>
          <w:rFonts w:hint="eastAsia" w:eastAsia="黑体"/>
          <w:b/>
          <w:bCs/>
          <w:color w:val="auto"/>
          <w:szCs w:val="36"/>
          <w:highlight w:val="none"/>
          <w:lang w:val="zh-CN"/>
        </w:rPr>
        <w:t>第四章  评审办法</w:t>
      </w:r>
      <w:r>
        <w:rPr>
          <w:b/>
          <w:bCs/>
          <w:color w:val="auto"/>
          <w:highlight w:val="none"/>
        </w:rPr>
        <w:tab/>
      </w:r>
      <w:r>
        <w:rPr>
          <w:b/>
          <w:bCs/>
          <w:color w:val="auto"/>
          <w:highlight w:val="none"/>
        </w:rPr>
        <w:fldChar w:fldCharType="begin"/>
      </w:r>
      <w:r>
        <w:rPr>
          <w:b/>
          <w:bCs/>
          <w:color w:val="auto"/>
          <w:highlight w:val="none"/>
        </w:rPr>
        <w:instrText xml:space="preserve"> PAGEREF _Toc24222 \h </w:instrText>
      </w:r>
      <w:r>
        <w:rPr>
          <w:b/>
          <w:bCs/>
          <w:color w:val="auto"/>
          <w:highlight w:val="none"/>
        </w:rPr>
        <w:fldChar w:fldCharType="separate"/>
      </w:r>
      <w:r>
        <w:rPr>
          <w:b/>
          <w:bCs/>
          <w:color w:val="auto"/>
          <w:highlight w:val="none"/>
        </w:rPr>
        <w:t>- 28 -</w:t>
      </w:r>
      <w:r>
        <w:rPr>
          <w:b/>
          <w:bCs/>
          <w:color w:val="auto"/>
          <w:highlight w:val="none"/>
        </w:rPr>
        <w:fldChar w:fldCharType="end"/>
      </w:r>
      <w:r>
        <w:rPr>
          <w:b/>
          <w:bCs/>
          <w:color w:val="auto"/>
          <w:highlight w:val="none"/>
        </w:rPr>
        <w:fldChar w:fldCharType="end"/>
      </w:r>
    </w:p>
    <w:p w14:paraId="5DC4709E">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_Toc1420 </w:instrText>
      </w:r>
      <w:r>
        <w:rPr>
          <w:b/>
          <w:bCs/>
          <w:color w:val="auto"/>
          <w:highlight w:val="none"/>
        </w:rPr>
        <w:fldChar w:fldCharType="separate"/>
      </w:r>
      <w:r>
        <w:rPr>
          <w:rFonts w:hint="eastAsia" w:ascii="黑体" w:hAnsi="黑体" w:eastAsia="黑体"/>
          <w:b/>
          <w:bCs/>
          <w:color w:val="auto"/>
          <w:szCs w:val="28"/>
          <w:highlight w:val="none"/>
        </w:rPr>
        <w:t>评审办法前附表</w:t>
      </w:r>
      <w:r>
        <w:rPr>
          <w:b/>
          <w:bCs/>
          <w:color w:val="auto"/>
          <w:highlight w:val="none"/>
        </w:rPr>
        <w:tab/>
      </w:r>
      <w:r>
        <w:rPr>
          <w:b/>
          <w:bCs/>
          <w:color w:val="auto"/>
          <w:highlight w:val="none"/>
        </w:rPr>
        <w:fldChar w:fldCharType="begin"/>
      </w:r>
      <w:r>
        <w:rPr>
          <w:b/>
          <w:bCs/>
          <w:color w:val="auto"/>
          <w:highlight w:val="none"/>
        </w:rPr>
        <w:instrText xml:space="preserve"> PAGEREF _Toc1420 \h </w:instrText>
      </w:r>
      <w:r>
        <w:rPr>
          <w:b/>
          <w:bCs/>
          <w:color w:val="auto"/>
          <w:highlight w:val="none"/>
        </w:rPr>
        <w:fldChar w:fldCharType="separate"/>
      </w:r>
      <w:r>
        <w:rPr>
          <w:b/>
          <w:bCs/>
          <w:color w:val="auto"/>
          <w:highlight w:val="none"/>
        </w:rPr>
        <w:t>- 28 -</w:t>
      </w:r>
      <w:r>
        <w:rPr>
          <w:b/>
          <w:bCs/>
          <w:color w:val="auto"/>
          <w:highlight w:val="none"/>
        </w:rPr>
        <w:fldChar w:fldCharType="end"/>
      </w:r>
      <w:r>
        <w:rPr>
          <w:b/>
          <w:bCs/>
          <w:color w:val="auto"/>
          <w:highlight w:val="none"/>
        </w:rPr>
        <w:fldChar w:fldCharType="end"/>
      </w:r>
    </w:p>
    <w:p w14:paraId="7C3A0899">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_Toc18218 </w:instrText>
      </w:r>
      <w:r>
        <w:rPr>
          <w:b/>
          <w:bCs/>
          <w:color w:val="auto"/>
          <w:highlight w:val="none"/>
        </w:rPr>
        <w:fldChar w:fldCharType="separate"/>
      </w:r>
      <w:r>
        <w:rPr>
          <w:rFonts w:ascii="黑体" w:hAnsi="黑体" w:eastAsia="黑体" w:cs="楷体_GB2312"/>
          <w:b/>
          <w:bCs/>
          <w:color w:val="auto"/>
          <w:szCs w:val="28"/>
          <w:highlight w:val="none"/>
          <w:lang w:val="zh-CN"/>
        </w:rPr>
        <w:t xml:space="preserve">1. </w:t>
      </w:r>
      <w:r>
        <w:rPr>
          <w:rFonts w:hint="eastAsia" w:ascii="黑体" w:hAnsi="黑体" w:eastAsia="黑体" w:cs="楷体_GB2312"/>
          <w:b/>
          <w:bCs/>
          <w:color w:val="auto"/>
          <w:szCs w:val="28"/>
          <w:highlight w:val="none"/>
          <w:lang w:val="zh-CN"/>
        </w:rPr>
        <w:t>评审方法（评定成交的标准）</w:t>
      </w:r>
      <w:r>
        <w:rPr>
          <w:b/>
          <w:bCs/>
          <w:color w:val="auto"/>
          <w:highlight w:val="none"/>
        </w:rPr>
        <w:tab/>
      </w:r>
      <w:r>
        <w:rPr>
          <w:b/>
          <w:bCs/>
          <w:color w:val="auto"/>
          <w:highlight w:val="none"/>
        </w:rPr>
        <w:fldChar w:fldCharType="begin"/>
      </w:r>
      <w:r>
        <w:rPr>
          <w:b/>
          <w:bCs/>
          <w:color w:val="auto"/>
          <w:highlight w:val="none"/>
        </w:rPr>
        <w:instrText xml:space="preserve"> PAGEREF _Toc18218 \h </w:instrText>
      </w:r>
      <w:r>
        <w:rPr>
          <w:b/>
          <w:bCs/>
          <w:color w:val="auto"/>
          <w:highlight w:val="none"/>
        </w:rPr>
        <w:fldChar w:fldCharType="separate"/>
      </w:r>
      <w:r>
        <w:rPr>
          <w:b/>
          <w:bCs/>
          <w:color w:val="auto"/>
          <w:highlight w:val="none"/>
        </w:rPr>
        <w:t>- 32 -</w:t>
      </w:r>
      <w:r>
        <w:rPr>
          <w:b/>
          <w:bCs/>
          <w:color w:val="auto"/>
          <w:highlight w:val="none"/>
        </w:rPr>
        <w:fldChar w:fldCharType="end"/>
      </w:r>
      <w:r>
        <w:rPr>
          <w:b/>
          <w:bCs/>
          <w:color w:val="auto"/>
          <w:highlight w:val="none"/>
        </w:rPr>
        <w:fldChar w:fldCharType="end"/>
      </w:r>
    </w:p>
    <w:p w14:paraId="374BFE8E">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_Toc21833 </w:instrText>
      </w:r>
      <w:r>
        <w:rPr>
          <w:b/>
          <w:bCs/>
          <w:color w:val="auto"/>
          <w:highlight w:val="none"/>
        </w:rPr>
        <w:fldChar w:fldCharType="separate"/>
      </w:r>
      <w:r>
        <w:rPr>
          <w:rFonts w:ascii="黑体" w:hAnsi="黑体" w:eastAsia="黑体" w:cs="楷体_GB2312"/>
          <w:b/>
          <w:bCs/>
          <w:color w:val="auto"/>
          <w:szCs w:val="28"/>
          <w:highlight w:val="none"/>
          <w:lang w:val="zh-CN"/>
        </w:rPr>
        <w:t xml:space="preserve">2. </w:t>
      </w:r>
      <w:r>
        <w:rPr>
          <w:rFonts w:hint="eastAsia" w:ascii="黑体" w:hAnsi="黑体" w:eastAsia="黑体" w:cs="楷体_GB2312"/>
          <w:b/>
          <w:bCs/>
          <w:color w:val="auto"/>
          <w:szCs w:val="28"/>
          <w:highlight w:val="none"/>
          <w:lang w:val="zh-CN"/>
        </w:rPr>
        <w:t>评审标准</w:t>
      </w:r>
      <w:r>
        <w:rPr>
          <w:b/>
          <w:bCs/>
          <w:color w:val="auto"/>
          <w:highlight w:val="none"/>
        </w:rPr>
        <w:tab/>
      </w:r>
      <w:r>
        <w:rPr>
          <w:b/>
          <w:bCs/>
          <w:color w:val="auto"/>
          <w:highlight w:val="none"/>
        </w:rPr>
        <w:fldChar w:fldCharType="begin"/>
      </w:r>
      <w:r>
        <w:rPr>
          <w:b/>
          <w:bCs/>
          <w:color w:val="auto"/>
          <w:highlight w:val="none"/>
        </w:rPr>
        <w:instrText xml:space="preserve"> PAGEREF _Toc21833 \h </w:instrText>
      </w:r>
      <w:r>
        <w:rPr>
          <w:b/>
          <w:bCs/>
          <w:color w:val="auto"/>
          <w:highlight w:val="none"/>
        </w:rPr>
        <w:fldChar w:fldCharType="separate"/>
      </w:r>
      <w:r>
        <w:rPr>
          <w:b/>
          <w:bCs/>
          <w:color w:val="auto"/>
          <w:highlight w:val="none"/>
        </w:rPr>
        <w:t>- 32 -</w:t>
      </w:r>
      <w:r>
        <w:rPr>
          <w:b/>
          <w:bCs/>
          <w:color w:val="auto"/>
          <w:highlight w:val="none"/>
        </w:rPr>
        <w:fldChar w:fldCharType="end"/>
      </w:r>
      <w:r>
        <w:rPr>
          <w:b/>
          <w:bCs/>
          <w:color w:val="auto"/>
          <w:highlight w:val="none"/>
        </w:rPr>
        <w:fldChar w:fldCharType="end"/>
      </w:r>
    </w:p>
    <w:p w14:paraId="03113CE9">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_Toc3954 </w:instrText>
      </w:r>
      <w:r>
        <w:rPr>
          <w:b/>
          <w:bCs/>
          <w:color w:val="auto"/>
          <w:highlight w:val="none"/>
        </w:rPr>
        <w:fldChar w:fldCharType="separate"/>
      </w:r>
      <w:r>
        <w:rPr>
          <w:rFonts w:ascii="黑体" w:hAnsi="黑体" w:eastAsia="黑体" w:cs="楷体_GB2312"/>
          <w:b/>
          <w:bCs/>
          <w:color w:val="auto"/>
          <w:szCs w:val="28"/>
          <w:highlight w:val="none"/>
          <w:lang w:val="zh-CN"/>
        </w:rPr>
        <w:t xml:space="preserve">3. </w:t>
      </w:r>
      <w:r>
        <w:rPr>
          <w:rFonts w:hint="eastAsia" w:ascii="黑体" w:hAnsi="黑体" w:eastAsia="黑体" w:cs="楷体_GB2312"/>
          <w:b/>
          <w:bCs/>
          <w:color w:val="auto"/>
          <w:szCs w:val="28"/>
          <w:highlight w:val="none"/>
          <w:lang w:val="zh-CN"/>
        </w:rPr>
        <w:t>评审程序</w:t>
      </w:r>
      <w:r>
        <w:rPr>
          <w:b/>
          <w:bCs/>
          <w:color w:val="auto"/>
          <w:highlight w:val="none"/>
        </w:rPr>
        <w:tab/>
      </w:r>
      <w:r>
        <w:rPr>
          <w:b/>
          <w:bCs/>
          <w:color w:val="auto"/>
          <w:highlight w:val="none"/>
        </w:rPr>
        <w:fldChar w:fldCharType="begin"/>
      </w:r>
      <w:r>
        <w:rPr>
          <w:b/>
          <w:bCs/>
          <w:color w:val="auto"/>
          <w:highlight w:val="none"/>
        </w:rPr>
        <w:instrText xml:space="preserve"> PAGEREF _Toc3954 \h </w:instrText>
      </w:r>
      <w:r>
        <w:rPr>
          <w:b/>
          <w:bCs/>
          <w:color w:val="auto"/>
          <w:highlight w:val="none"/>
        </w:rPr>
        <w:fldChar w:fldCharType="separate"/>
      </w:r>
      <w:r>
        <w:rPr>
          <w:b/>
          <w:bCs/>
          <w:color w:val="auto"/>
          <w:highlight w:val="none"/>
        </w:rPr>
        <w:t>- 32 -</w:t>
      </w:r>
      <w:r>
        <w:rPr>
          <w:b/>
          <w:bCs/>
          <w:color w:val="auto"/>
          <w:highlight w:val="none"/>
        </w:rPr>
        <w:fldChar w:fldCharType="end"/>
      </w:r>
      <w:r>
        <w:rPr>
          <w:b/>
          <w:bCs/>
          <w:color w:val="auto"/>
          <w:highlight w:val="none"/>
        </w:rPr>
        <w:fldChar w:fldCharType="end"/>
      </w:r>
    </w:p>
    <w:p w14:paraId="3159B9D5">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_Toc23318 </w:instrText>
      </w:r>
      <w:r>
        <w:rPr>
          <w:b/>
          <w:bCs/>
          <w:color w:val="auto"/>
          <w:highlight w:val="none"/>
        </w:rPr>
        <w:fldChar w:fldCharType="separate"/>
      </w:r>
      <w:r>
        <w:rPr>
          <w:rFonts w:ascii="黑体" w:hAnsi="黑体" w:eastAsia="黑体" w:cs="楷体_GB2312"/>
          <w:b/>
          <w:bCs/>
          <w:color w:val="auto"/>
          <w:szCs w:val="28"/>
          <w:highlight w:val="none"/>
          <w:lang w:val="zh-CN"/>
        </w:rPr>
        <w:t xml:space="preserve">4. </w:t>
      </w:r>
      <w:r>
        <w:rPr>
          <w:rFonts w:hint="eastAsia" w:ascii="黑体" w:hAnsi="黑体" w:eastAsia="黑体" w:cs="楷体_GB2312"/>
          <w:b/>
          <w:bCs/>
          <w:color w:val="auto"/>
          <w:szCs w:val="28"/>
          <w:highlight w:val="none"/>
          <w:lang w:val="zh-CN"/>
        </w:rPr>
        <w:t>政府采购促进中小企业发展扶持政策</w:t>
      </w:r>
      <w:r>
        <w:rPr>
          <w:b/>
          <w:bCs/>
          <w:color w:val="auto"/>
          <w:highlight w:val="none"/>
        </w:rPr>
        <w:tab/>
      </w:r>
      <w:r>
        <w:rPr>
          <w:b/>
          <w:bCs/>
          <w:color w:val="auto"/>
          <w:highlight w:val="none"/>
        </w:rPr>
        <w:fldChar w:fldCharType="begin"/>
      </w:r>
      <w:r>
        <w:rPr>
          <w:b/>
          <w:bCs/>
          <w:color w:val="auto"/>
          <w:highlight w:val="none"/>
        </w:rPr>
        <w:instrText xml:space="preserve"> PAGEREF _Toc23318 \h </w:instrText>
      </w:r>
      <w:r>
        <w:rPr>
          <w:b/>
          <w:bCs/>
          <w:color w:val="auto"/>
          <w:highlight w:val="none"/>
        </w:rPr>
        <w:fldChar w:fldCharType="separate"/>
      </w:r>
      <w:r>
        <w:rPr>
          <w:b/>
          <w:bCs/>
          <w:color w:val="auto"/>
          <w:highlight w:val="none"/>
        </w:rPr>
        <w:t>- 37 -</w:t>
      </w:r>
      <w:r>
        <w:rPr>
          <w:b/>
          <w:bCs/>
          <w:color w:val="auto"/>
          <w:highlight w:val="none"/>
        </w:rPr>
        <w:fldChar w:fldCharType="end"/>
      </w:r>
      <w:r>
        <w:rPr>
          <w:b/>
          <w:bCs/>
          <w:color w:val="auto"/>
          <w:highlight w:val="none"/>
        </w:rPr>
        <w:fldChar w:fldCharType="end"/>
      </w:r>
    </w:p>
    <w:p w14:paraId="32A0AEE6">
      <w:pPr>
        <w:pStyle w:val="11"/>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_Toc21186 </w:instrText>
      </w:r>
      <w:r>
        <w:rPr>
          <w:b/>
          <w:bCs/>
          <w:color w:val="auto"/>
          <w:highlight w:val="none"/>
        </w:rPr>
        <w:fldChar w:fldCharType="separate"/>
      </w:r>
      <w:r>
        <w:rPr>
          <w:rFonts w:hint="eastAsia" w:ascii="Times New Roman" w:hAnsi="Times New Roman" w:eastAsia="黑体" w:cs="Times New Roman"/>
          <w:b/>
          <w:bCs/>
          <w:color w:val="auto"/>
          <w:szCs w:val="36"/>
          <w:highlight w:val="none"/>
          <w:lang w:val="zh-CN"/>
        </w:rPr>
        <w:t>第五章  合同主要条款</w:t>
      </w:r>
      <w:r>
        <w:rPr>
          <w:b/>
          <w:bCs/>
          <w:color w:val="auto"/>
          <w:highlight w:val="none"/>
        </w:rPr>
        <w:tab/>
      </w:r>
      <w:r>
        <w:rPr>
          <w:b/>
          <w:bCs/>
          <w:color w:val="auto"/>
          <w:highlight w:val="none"/>
        </w:rPr>
        <w:fldChar w:fldCharType="begin"/>
      </w:r>
      <w:r>
        <w:rPr>
          <w:b/>
          <w:bCs/>
          <w:color w:val="auto"/>
          <w:highlight w:val="none"/>
        </w:rPr>
        <w:instrText xml:space="preserve"> PAGEREF _Toc21186 \h </w:instrText>
      </w:r>
      <w:r>
        <w:rPr>
          <w:b/>
          <w:bCs/>
          <w:color w:val="auto"/>
          <w:highlight w:val="none"/>
        </w:rPr>
        <w:fldChar w:fldCharType="separate"/>
      </w:r>
      <w:r>
        <w:rPr>
          <w:b/>
          <w:bCs/>
          <w:color w:val="auto"/>
          <w:highlight w:val="none"/>
        </w:rPr>
        <w:t>- 39 -</w:t>
      </w:r>
      <w:r>
        <w:rPr>
          <w:b/>
          <w:bCs/>
          <w:color w:val="auto"/>
          <w:highlight w:val="none"/>
        </w:rPr>
        <w:fldChar w:fldCharType="end"/>
      </w:r>
      <w:r>
        <w:rPr>
          <w:b/>
          <w:bCs/>
          <w:color w:val="auto"/>
          <w:highlight w:val="none"/>
        </w:rPr>
        <w:fldChar w:fldCharType="end"/>
      </w:r>
    </w:p>
    <w:p w14:paraId="52F010A0">
      <w:pPr>
        <w:pStyle w:val="12"/>
        <w:tabs>
          <w:tab w:val="right" w:leader="dot" w:pos="9381"/>
        </w:tabs>
        <w:rPr>
          <w:b/>
          <w:bCs/>
          <w:color w:val="auto"/>
          <w:highlight w:val="none"/>
        </w:rPr>
      </w:pPr>
      <w:r>
        <w:rPr>
          <w:b/>
          <w:bCs/>
          <w:color w:val="auto"/>
          <w:highlight w:val="none"/>
        </w:rPr>
        <w:fldChar w:fldCharType="begin"/>
      </w:r>
      <w:r>
        <w:rPr>
          <w:b/>
          <w:bCs/>
          <w:color w:val="auto"/>
          <w:highlight w:val="none"/>
        </w:rPr>
        <w:instrText xml:space="preserve"> HYPERLINK \l _Toc16679 </w:instrText>
      </w:r>
      <w:r>
        <w:rPr>
          <w:b/>
          <w:bCs/>
          <w:color w:val="auto"/>
          <w:highlight w:val="none"/>
        </w:rPr>
        <w:fldChar w:fldCharType="separate"/>
      </w:r>
      <w:r>
        <w:rPr>
          <w:rFonts w:hint="eastAsia" w:ascii="黑体" w:hAnsi="黑体" w:eastAsia="黑体" w:cs="楷体_GB2312"/>
          <w:b/>
          <w:bCs/>
          <w:color w:val="auto"/>
          <w:szCs w:val="28"/>
          <w:highlight w:val="none"/>
          <w:lang w:val="zh-CN"/>
        </w:rPr>
        <w:t>河南省政府采购合同融资政策告知函</w:t>
      </w:r>
      <w:r>
        <w:rPr>
          <w:b/>
          <w:bCs/>
          <w:color w:val="auto"/>
          <w:highlight w:val="none"/>
        </w:rPr>
        <w:tab/>
      </w:r>
      <w:r>
        <w:rPr>
          <w:b/>
          <w:bCs/>
          <w:color w:val="auto"/>
          <w:highlight w:val="none"/>
        </w:rPr>
        <w:fldChar w:fldCharType="begin"/>
      </w:r>
      <w:r>
        <w:rPr>
          <w:b/>
          <w:bCs/>
          <w:color w:val="auto"/>
          <w:highlight w:val="none"/>
        </w:rPr>
        <w:instrText xml:space="preserve"> PAGEREF _Toc16679 \h </w:instrText>
      </w:r>
      <w:r>
        <w:rPr>
          <w:b/>
          <w:bCs/>
          <w:color w:val="auto"/>
          <w:highlight w:val="none"/>
        </w:rPr>
        <w:fldChar w:fldCharType="separate"/>
      </w:r>
      <w:r>
        <w:rPr>
          <w:b/>
          <w:bCs/>
          <w:color w:val="auto"/>
          <w:highlight w:val="none"/>
        </w:rPr>
        <w:t>- 42 -</w:t>
      </w:r>
      <w:r>
        <w:rPr>
          <w:b/>
          <w:bCs/>
          <w:color w:val="auto"/>
          <w:highlight w:val="none"/>
        </w:rPr>
        <w:fldChar w:fldCharType="end"/>
      </w:r>
      <w:r>
        <w:rPr>
          <w:b/>
          <w:bCs/>
          <w:color w:val="auto"/>
          <w:highlight w:val="none"/>
        </w:rPr>
        <w:fldChar w:fldCharType="end"/>
      </w:r>
    </w:p>
    <w:p w14:paraId="39A963FB">
      <w:pPr>
        <w:pStyle w:val="11"/>
        <w:tabs>
          <w:tab w:val="right" w:leader="dot" w:pos="9381"/>
        </w:tabs>
        <w:rPr>
          <w:color w:val="auto"/>
          <w:highlight w:val="none"/>
        </w:rPr>
      </w:pPr>
      <w:r>
        <w:rPr>
          <w:b/>
          <w:bCs/>
          <w:color w:val="auto"/>
          <w:highlight w:val="none"/>
        </w:rPr>
        <w:fldChar w:fldCharType="begin"/>
      </w:r>
      <w:r>
        <w:rPr>
          <w:b/>
          <w:bCs/>
          <w:color w:val="auto"/>
          <w:highlight w:val="none"/>
        </w:rPr>
        <w:instrText xml:space="preserve"> HYPERLINK \l _Toc1580 </w:instrText>
      </w:r>
      <w:r>
        <w:rPr>
          <w:b/>
          <w:bCs/>
          <w:color w:val="auto"/>
          <w:highlight w:val="none"/>
        </w:rPr>
        <w:fldChar w:fldCharType="separate"/>
      </w:r>
      <w:r>
        <w:rPr>
          <w:rFonts w:hint="eastAsia" w:ascii="Times New Roman" w:hAnsi="Times New Roman" w:eastAsia="黑体" w:cs="Times New Roman"/>
          <w:b/>
          <w:bCs/>
          <w:color w:val="auto"/>
          <w:szCs w:val="36"/>
          <w:highlight w:val="none"/>
          <w:lang w:val="en-US" w:eastAsia="zh-CN"/>
        </w:rPr>
        <w:t xml:space="preserve">第六章 </w:t>
      </w:r>
      <w:r>
        <w:rPr>
          <w:rFonts w:hint="eastAsia" w:ascii="Times New Roman" w:hAnsi="Times New Roman" w:eastAsia="黑体" w:cs="Times New Roman"/>
          <w:b/>
          <w:bCs/>
          <w:color w:val="auto"/>
          <w:szCs w:val="36"/>
          <w:highlight w:val="none"/>
          <w:lang w:val="zh-CN"/>
        </w:rPr>
        <w:t>《响应文件》格式</w:t>
      </w:r>
      <w:r>
        <w:rPr>
          <w:b/>
          <w:bCs/>
          <w:color w:val="auto"/>
          <w:highlight w:val="none"/>
        </w:rPr>
        <w:tab/>
      </w:r>
      <w:r>
        <w:rPr>
          <w:b/>
          <w:bCs/>
          <w:color w:val="auto"/>
          <w:highlight w:val="none"/>
        </w:rPr>
        <w:fldChar w:fldCharType="begin"/>
      </w:r>
      <w:r>
        <w:rPr>
          <w:b/>
          <w:bCs/>
          <w:color w:val="auto"/>
          <w:highlight w:val="none"/>
        </w:rPr>
        <w:instrText xml:space="preserve"> PAGEREF _Toc1580 \h </w:instrText>
      </w:r>
      <w:r>
        <w:rPr>
          <w:b/>
          <w:bCs/>
          <w:color w:val="auto"/>
          <w:highlight w:val="none"/>
        </w:rPr>
        <w:fldChar w:fldCharType="separate"/>
      </w:r>
      <w:r>
        <w:rPr>
          <w:b/>
          <w:bCs/>
          <w:color w:val="auto"/>
          <w:highlight w:val="none"/>
        </w:rPr>
        <w:t>- 43 -</w:t>
      </w:r>
      <w:r>
        <w:rPr>
          <w:b/>
          <w:bCs/>
          <w:color w:val="auto"/>
          <w:highlight w:val="none"/>
        </w:rPr>
        <w:fldChar w:fldCharType="end"/>
      </w:r>
      <w:r>
        <w:rPr>
          <w:b/>
          <w:bCs/>
          <w:color w:val="auto"/>
          <w:highlight w:val="none"/>
        </w:rPr>
        <w:fldChar w:fldCharType="end"/>
      </w:r>
    </w:p>
    <w:p w14:paraId="4BE693BD">
      <w:pPr>
        <w:pStyle w:val="49"/>
        <w:keepNext/>
        <w:keepLines/>
        <w:pageBreakBefore w:val="0"/>
        <w:widowControl/>
        <w:kinsoku/>
        <w:wordWrap/>
        <w:overflowPunct/>
        <w:topLinePunct w:val="0"/>
        <w:autoSpaceDE/>
        <w:autoSpaceDN/>
        <w:bidi w:val="0"/>
        <w:adjustRightInd/>
        <w:snapToGrid/>
        <w:spacing w:before="0" w:after="0" w:afterLines="100" w:line="360" w:lineRule="auto"/>
        <w:jc w:val="center"/>
        <w:textAlignment w:val="auto"/>
        <w:rPr>
          <w:color w:val="auto"/>
          <w:highlight w:val="none"/>
        </w:rPr>
      </w:pPr>
      <w:r>
        <w:rPr>
          <w:color w:val="auto"/>
          <w:highlight w:val="none"/>
        </w:rPr>
        <w:fldChar w:fldCharType="end"/>
      </w:r>
    </w:p>
    <w:p w14:paraId="69949765">
      <w:pPr>
        <w:widowControl w:val="0"/>
        <w:snapToGrid w:val="0"/>
        <w:spacing w:line="660" w:lineRule="exact"/>
        <w:ind w:firstLine="607" w:firstLineChars="168"/>
        <w:rPr>
          <w:rFonts w:ascii="黑体" w:hAnsi="黑体" w:eastAsia="黑体"/>
          <w:b/>
          <w:color w:val="auto"/>
          <w:sz w:val="36"/>
          <w:szCs w:val="36"/>
          <w:highlight w:val="none"/>
        </w:rPr>
      </w:pPr>
    </w:p>
    <w:p w14:paraId="3ABEFE02">
      <w:pPr>
        <w:widowControl w:val="0"/>
        <w:snapToGrid w:val="0"/>
        <w:spacing w:line="560" w:lineRule="exact"/>
        <w:ind w:firstLine="181" w:firstLineChars="50"/>
        <w:rPr>
          <w:rFonts w:ascii="黑体" w:eastAsia="黑体"/>
          <w:b/>
          <w:color w:val="auto"/>
          <w:sz w:val="36"/>
          <w:szCs w:val="36"/>
          <w:highlight w:val="none"/>
        </w:rPr>
        <w:sectPr>
          <w:pgSz w:w="11905" w:h="16837"/>
          <w:pgMar w:top="1418" w:right="1106" w:bottom="1418" w:left="1418" w:header="567" w:footer="567" w:gutter="0"/>
          <w:pgBorders>
            <w:top w:val="none" w:sz="0" w:space="0"/>
            <w:left w:val="none" w:sz="0" w:space="0"/>
            <w:bottom w:val="none" w:sz="0" w:space="0"/>
            <w:right w:val="none" w:sz="0" w:space="0"/>
          </w:pgBorders>
          <w:pgNumType w:fmt="numberInDash" w:start="0"/>
          <w:cols w:space="720" w:num="1"/>
          <w:titlePg/>
        </w:sectPr>
      </w:pPr>
    </w:p>
    <w:p w14:paraId="042146DD">
      <w:pPr>
        <w:keepNext w:val="0"/>
        <w:keepLines w:val="0"/>
        <w:pageBreakBefore w:val="0"/>
        <w:widowControl w:val="0"/>
        <w:kinsoku/>
        <w:wordWrap/>
        <w:overflowPunct/>
        <w:topLinePunct w:val="0"/>
        <w:autoSpaceDE/>
        <w:autoSpaceDN/>
        <w:bidi w:val="0"/>
        <w:adjustRightInd/>
        <w:snapToGrid w:val="0"/>
        <w:spacing w:line="276" w:lineRule="auto"/>
        <w:jc w:val="left"/>
        <w:textAlignment w:val="baseline"/>
        <w:rPr>
          <w:rFonts w:hint="eastAsia" w:asciiTheme="minorEastAsia" w:hAnsiTheme="minorEastAsia" w:eastAsiaTheme="minorEastAsia" w:cstheme="minorEastAsia"/>
          <w:b/>
          <w:color w:val="auto"/>
          <w:sz w:val="24"/>
          <w:szCs w:val="24"/>
          <w:highlight w:val="none"/>
        </w:rPr>
      </w:pPr>
    </w:p>
    <w:p w14:paraId="5F3BBC71">
      <w:pPr>
        <w:widowControl w:val="0"/>
        <w:snapToGrid w:val="0"/>
        <w:spacing w:line="560" w:lineRule="exact"/>
        <w:jc w:val="center"/>
        <w:outlineLvl w:val="0"/>
        <w:rPr>
          <w:color w:val="auto"/>
          <w:sz w:val="36"/>
          <w:szCs w:val="36"/>
          <w:highlight w:val="none"/>
        </w:rPr>
      </w:pPr>
      <w:bookmarkStart w:id="0" w:name="_Toc9040"/>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竞争性磋商公告</w:t>
      </w:r>
      <w:bookmarkEnd w:id="0"/>
    </w:p>
    <w:p w14:paraId="47459BCD">
      <w:pPr>
        <w:keepNext w:val="0"/>
        <w:keepLines w:val="0"/>
        <w:pageBreakBefore w:val="0"/>
        <w:widowControl w:val="0"/>
        <w:kinsoku/>
        <w:wordWrap/>
        <w:overflowPunct/>
        <w:topLinePunct w:val="0"/>
        <w:autoSpaceDE/>
        <w:autoSpaceDN/>
        <w:bidi w:val="0"/>
        <w:adjustRightInd/>
        <w:snapToGrid w:val="0"/>
        <w:spacing w:line="276" w:lineRule="auto"/>
        <w:jc w:val="left"/>
        <w:textAlignment w:val="baseline"/>
        <w:rPr>
          <w:color w:val="auto"/>
          <w:sz w:val="24"/>
          <w:szCs w:val="24"/>
          <w:highlight w:val="none"/>
        </w:rPr>
      </w:pPr>
    </w:p>
    <w:p w14:paraId="2FFB3F6F">
      <w:pPr>
        <w:widowControl w:val="0"/>
        <w:snapToGrid w:val="0"/>
        <w:spacing w:line="360" w:lineRule="auto"/>
        <w:ind w:firstLine="562" w:firstLineChars="200"/>
        <w:rPr>
          <w:rFonts w:hint="eastAsia" w:ascii="黑体" w:hAnsi="黑体" w:eastAsia="黑体"/>
          <w:b/>
          <w:color w:val="auto"/>
          <w:sz w:val="28"/>
          <w:szCs w:val="28"/>
          <w:highlight w:val="none"/>
          <w:lang w:val="en-US" w:eastAsia="zh-CN"/>
        </w:rPr>
      </w:pPr>
      <w:r>
        <w:rPr>
          <w:rFonts w:hint="eastAsia" w:ascii="黑体" w:hAnsi="黑体" w:eastAsia="黑体"/>
          <w:b/>
          <w:color w:val="auto"/>
          <w:sz w:val="28"/>
          <w:szCs w:val="28"/>
          <w:highlight w:val="none"/>
        </w:rPr>
        <w:t>1.项目基本情况</w:t>
      </w:r>
      <w:r>
        <w:rPr>
          <w:rFonts w:hint="eastAsia" w:ascii="黑体" w:hAnsi="黑体" w:eastAsia="黑体"/>
          <w:b/>
          <w:color w:val="auto"/>
          <w:sz w:val="28"/>
          <w:szCs w:val="28"/>
          <w:highlight w:val="none"/>
          <w:lang w:eastAsia="zh-CN"/>
        </w:rPr>
        <w:t>：</w:t>
      </w:r>
    </w:p>
    <w:p w14:paraId="7B7540FF">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项目编号：殷磋商-2025-</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 xml:space="preserve"> </w:t>
      </w:r>
    </w:p>
    <w:p w14:paraId="061CB047">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4"/>
          <w:szCs w:val="24"/>
          <w:highlight w:val="none"/>
        </w:rPr>
        <w:t>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2"/>
          <w:szCs w:val="22"/>
          <w:highlight w:val="none"/>
        </w:rPr>
        <w:t>安阳市殷都区环境卫生事务中心2025年新能源环卫车辆充电服务项目</w:t>
      </w:r>
    </w:p>
    <w:p w14:paraId="39C144DA">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采购方式：竞争性磋商</w:t>
      </w:r>
    </w:p>
    <w:p w14:paraId="55779FED">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预算金额：75</w:t>
      </w:r>
      <w:r>
        <w:rPr>
          <w:rFonts w:hint="eastAsia" w:asciiTheme="minorEastAsia" w:hAnsiTheme="minorEastAsia" w:eastAsiaTheme="minorEastAsia" w:cstheme="minorEastAsia"/>
          <w:color w:val="auto"/>
          <w:sz w:val="24"/>
          <w:szCs w:val="24"/>
          <w:highlight w:val="none"/>
          <w:lang w:val="en-US" w:eastAsia="zh-CN"/>
        </w:rPr>
        <w:t>0000</w:t>
      </w:r>
      <w:r>
        <w:rPr>
          <w:rFonts w:hint="eastAsia" w:asciiTheme="minorEastAsia" w:hAnsiTheme="minorEastAsia" w:eastAsiaTheme="minorEastAsia" w:cstheme="minorEastAsia"/>
          <w:color w:val="auto"/>
          <w:sz w:val="24"/>
          <w:szCs w:val="24"/>
          <w:highlight w:val="none"/>
        </w:rPr>
        <w:t xml:space="preserve">元 </w:t>
      </w:r>
    </w:p>
    <w:p w14:paraId="5BBBE923">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采购需求：新能源环卫车辆充电服务，详见</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“采购项目及服务要求”。</w:t>
      </w:r>
    </w:p>
    <w:p w14:paraId="69E1B01D">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合同履行期限：</w:t>
      </w:r>
      <w:r>
        <w:rPr>
          <w:rFonts w:hint="eastAsia" w:asciiTheme="minorEastAsia" w:hAnsiTheme="minorEastAsia" w:eastAsiaTheme="minorEastAsia" w:cstheme="minorEastAsia"/>
          <w:color w:val="auto"/>
          <w:sz w:val="24"/>
          <w:szCs w:val="24"/>
          <w:highlight w:val="none"/>
          <w:lang w:val="en-US" w:eastAsia="zh-CN"/>
        </w:rPr>
        <w:t>合同约定日起6个月</w:t>
      </w:r>
    </w:p>
    <w:p w14:paraId="6A89BC73">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本项目（是/否）接受联合体投标：否</w:t>
      </w:r>
    </w:p>
    <w:p w14:paraId="26CD9873">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是否接受进口产品：否</w:t>
      </w:r>
    </w:p>
    <w:p w14:paraId="5888F219">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color w:val="auto"/>
          <w:sz w:val="24"/>
          <w:szCs w:val="24"/>
          <w:highlight w:val="none"/>
        </w:rPr>
      </w:pPr>
    </w:p>
    <w:p w14:paraId="04740002">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2.申请人的资格要求：</w:t>
      </w:r>
    </w:p>
    <w:p w14:paraId="28FC0034">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满足《中华人民共和国政府采购法》第二十二条规定；</w:t>
      </w:r>
    </w:p>
    <w:p w14:paraId="4BB862C3">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落实政府采购政策需满足的资格要求：</w:t>
      </w:r>
      <w:r>
        <w:rPr>
          <w:rFonts w:hint="eastAsia" w:asciiTheme="minorEastAsia" w:hAnsiTheme="minorEastAsia" w:eastAsiaTheme="minorEastAsia" w:cstheme="minorEastAsia"/>
          <w:b/>
          <w:bCs/>
          <w:color w:val="auto"/>
          <w:sz w:val="24"/>
          <w:szCs w:val="24"/>
          <w:highlight w:val="none"/>
        </w:rPr>
        <w:t>本项目专门面向中小企业采购，■提供《中小企业声明函》。</w:t>
      </w:r>
    </w:p>
    <w:p w14:paraId="55D3DBAD">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本项目的特定资格要求：</w:t>
      </w:r>
    </w:p>
    <w:p w14:paraId="4117680C">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2EE584A4">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对供应商的限制性规定</w:t>
      </w:r>
      <w:r>
        <w:rPr>
          <w:rFonts w:hint="eastAsia" w:asciiTheme="minorEastAsia" w:hAnsiTheme="minorEastAsia" w:eastAsiaTheme="minorEastAsia" w:cstheme="minorEastAsia"/>
          <w:color w:val="auto"/>
          <w:sz w:val="24"/>
          <w:szCs w:val="24"/>
          <w:highlight w:val="none"/>
          <w:lang w:eastAsia="zh-CN"/>
        </w:rPr>
        <w:t>：</w:t>
      </w:r>
    </w:p>
    <w:p w14:paraId="130CAD19">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供应商应当无不良信用记录。(在“信用中国”&lt;www.creditchina.gov.cn&gt;网站的“失信被执行人”和“重大税收违法失信主体”及“中国政府采购网”&lt;www.ccgp.gov.cn&gt;网站的“政府采购严重违法失信行为记录名单”均未列入)</w:t>
      </w:r>
    </w:p>
    <w:p w14:paraId="06C791A6">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供应商递交</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后，采购人或者采购代理机构将按以上信用信息查询渠道在解密</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之前对参加本项目的供应商信用记录进行查询，供应商有上述任一不良信用记录的，其投标将被拒绝、为无效投标。查询的网页内容将以截图或者拍照作为证据留存。</w:t>
      </w:r>
    </w:p>
    <w:p w14:paraId="4A89C163">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473919B9">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04E0BEB0">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项目的特定资格要求：</w:t>
      </w:r>
    </w:p>
    <w:p w14:paraId="3F2F0708">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（1）具备法律、行政法规规定的其他条件。</w:t>
      </w:r>
    </w:p>
    <w:p w14:paraId="1060C67C">
      <w:pPr>
        <w:widowControl w:val="0"/>
        <w:snapToGrid w:val="0"/>
        <w:spacing w:line="360" w:lineRule="auto"/>
        <w:ind w:firstLine="540" w:firstLineChars="225"/>
        <w:rPr>
          <w:rFonts w:hint="eastAsia" w:ascii="宋体" w:hAnsi="宋体"/>
          <w:color w:val="auto"/>
          <w:sz w:val="24"/>
          <w:szCs w:val="24"/>
          <w:highlight w:val="none"/>
        </w:rPr>
      </w:pPr>
      <w:r>
        <w:rPr>
          <w:rFonts w:hint="eastAsia" w:ascii="宋体" w:hAnsi="宋体"/>
          <w:color w:val="auto"/>
          <w:sz w:val="24"/>
          <w:szCs w:val="24"/>
          <w:highlight w:val="none"/>
        </w:rPr>
        <w:t>（2）本项目（是/否）接受联合体投标：同“项目基本情况”1.7款要求。</w:t>
      </w:r>
    </w:p>
    <w:p w14:paraId="04FA039B">
      <w:pPr>
        <w:keepNext w:val="0"/>
        <w:keepLines w:val="0"/>
        <w:pageBreakBefore w:val="0"/>
        <w:widowControl w:val="0"/>
        <w:kinsoku/>
        <w:wordWrap/>
        <w:overflowPunct/>
        <w:topLinePunct w:val="0"/>
        <w:autoSpaceDE/>
        <w:autoSpaceDN/>
        <w:bidi w:val="0"/>
        <w:adjustRightInd w:val="0"/>
        <w:snapToGrid w:val="0"/>
        <w:spacing w:before="0" w:beforeLines="50" w:line="360" w:lineRule="auto"/>
        <w:ind w:firstLine="81" w:firstLineChars="34"/>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注：（1）所有证照均应为有效的证照；文中“近”、“前”指距投标截止时间。</w:t>
      </w:r>
    </w:p>
    <w:p w14:paraId="1A53BD5A">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（2）资格证明材料（文件）应附于</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中并经供应商电子签章。供应商对资格证明文件真实性有效合规承担责任，提供虚假材料的为无效投标并将进一步追究其责任。</w:t>
      </w:r>
    </w:p>
    <w:p w14:paraId="342832FC">
      <w:pPr>
        <w:keepNext w:val="0"/>
        <w:keepLines w:val="0"/>
        <w:pageBreakBefore w:val="0"/>
        <w:widowControl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（3）本项目采取资格后审，开标后，将由磋商小组对供应商的资格证明材料（文件）进行资格审核，未按要求逐一提供、或资格审查不合格的为无效投标，供应商应自负其风险费用。</w:t>
      </w:r>
    </w:p>
    <w:p w14:paraId="656FF9E0">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color w:val="auto"/>
          <w:sz w:val="24"/>
          <w:szCs w:val="24"/>
          <w:highlight w:val="none"/>
        </w:rPr>
      </w:pPr>
    </w:p>
    <w:p w14:paraId="519B75C1">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3.获取</w:t>
      </w:r>
      <w:r>
        <w:rPr>
          <w:rFonts w:hint="eastAsia" w:ascii="黑体" w:hAnsi="黑体" w:eastAsia="黑体"/>
          <w:b/>
          <w:color w:val="auto"/>
          <w:sz w:val="28"/>
          <w:szCs w:val="28"/>
          <w:highlight w:val="none"/>
          <w:lang w:eastAsia="zh-CN"/>
        </w:rPr>
        <w:t>《磋商文件》：</w:t>
      </w:r>
    </w:p>
    <w:p w14:paraId="7E31F182">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lang w:val="en-US" w:eastAsia="zh-CN"/>
        </w:rPr>
        <w:t>2025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日，每天上午</w:t>
      </w:r>
      <w:r>
        <w:rPr>
          <w:rFonts w:hint="eastAsia" w:asciiTheme="minorEastAsia" w:hAnsiTheme="minorEastAsia" w:eastAsiaTheme="minorEastAsia" w:cstheme="minorEastAsia"/>
          <w:color w:val="auto"/>
          <w:sz w:val="24"/>
          <w:szCs w:val="24"/>
          <w:highlight w:val="none"/>
          <w:lang w:val="en-US" w:eastAsia="zh-CN"/>
        </w:rPr>
        <w:t>00：00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lang w:val="en-US" w:eastAsia="zh-CN"/>
        </w:rPr>
        <w:t>12：00</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lang w:val="en-US" w:eastAsia="zh-CN"/>
        </w:rPr>
        <w:t>12：00</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lang w:val="en-US" w:eastAsia="zh-CN"/>
        </w:rPr>
        <w:t>23：59</w:t>
      </w:r>
      <w:r>
        <w:rPr>
          <w:rFonts w:hint="eastAsia" w:asciiTheme="minorEastAsia" w:hAnsiTheme="minorEastAsia" w:eastAsiaTheme="minorEastAsia" w:cstheme="minorEastAsia"/>
          <w:color w:val="auto"/>
          <w:sz w:val="24"/>
          <w:szCs w:val="24"/>
          <w:highlight w:val="none"/>
        </w:rPr>
        <w:t>（北京时间，法定节假日除外）</w:t>
      </w:r>
      <w:r>
        <w:rPr>
          <w:rFonts w:hint="eastAsia" w:asciiTheme="minorEastAsia" w:hAnsiTheme="minorEastAsia" w:eastAsiaTheme="minorEastAsia" w:cstheme="minorEastAsia"/>
          <w:color w:val="auto"/>
          <w:sz w:val="24"/>
          <w:szCs w:val="24"/>
          <w:highlight w:val="none"/>
          <w:lang w:val="en-US" w:eastAsia="zh-CN"/>
        </w:rPr>
        <w:t>。</w:t>
      </w:r>
    </w:p>
    <w:p w14:paraId="0F8EC028">
      <w:pPr>
        <w:keepNext w:val="0"/>
        <w:keepLines w:val="0"/>
        <w:pageBreakBefore w:val="0"/>
        <w:kinsoku/>
        <w:wordWrap/>
        <w:overflowPunct/>
        <w:topLinePunct w:val="0"/>
        <w:autoSpaceDE/>
        <w:autoSpaceDN/>
        <w:bidi w:val="0"/>
        <w:adjustRightInd w:val="0"/>
        <w:snapToGrid w:val="0"/>
        <w:spacing w:line="360" w:lineRule="auto"/>
        <w:ind w:firstLine="540" w:firstLineChars="225"/>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登录</w:t>
      </w:r>
      <w:r>
        <w:rPr>
          <w:rFonts w:hint="eastAsia" w:asciiTheme="minorEastAsia" w:hAnsiTheme="minorEastAsia" w:eastAsiaTheme="minorEastAsia" w:cstheme="minorEastAsia"/>
          <w:color w:val="auto"/>
          <w:sz w:val="24"/>
          <w:szCs w:val="24"/>
          <w:highlight w:val="none"/>
        </w:rPr>
        <w:t>殷都区公共资源交易中心网站</w:t>
      </w:r>
      <w:r>
        <w:rPr>
          <w:rFonts w:hint="eastAsia" w:asciiTheme="minorEastAsia" w:hAnsiTheme="minorEastAsia" w:eastAsiaTheme="minorEastAsia" w:cstheme="minorEastAsia"/>
          <w:color w:val="auto"/>
          <w:sz w:val="21"/>
          <w:szCs w:val="21"/>
          <w:highlight w:val="none"/>
        </w:rPr>
        <w:t>（https://ggzy.anyang.gov.cn/ydggzy）</w:t>
      </w:r>
      <w:r>
        <w:rPr>
          <w:rFonts w:hint="eastAsia" w:asciiTheme="minorEastAsia" w:hAnsiTheme="minorEastAsia" w:eastAsiaTheme="minorEastAsia" w:cstheme="minorEastAsia"/>
          <w:color w:val="auto"/>
          <w:sz w:val="24"/>
          <w:szCs w:val="24"/>
          <w:highlight w:val="none"/>
        </w:rPr>
        <w:t>，在【交易主体登录】入口完成注册。凭数字证书下载</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及其它资料。</w:t>
      </w:r>
    </w:p>
    <w:p w14:paraId="5B0F6E0A">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方式：网上下载；具体流程请查询殷都区公共资源交易中心网站-服务指南-操作手册-《安阳市公共资源交易系统投标人（供应商）操作手册》。如有技术问题请咨询400-998-0000、0372-3387739。</w:t>
      </w:r>
    </w:p>
    <w:p w14:paraId="70FDD053">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售价：0元</w:t>
      </w:r>
    </w:p>
    <w:p w14:paraId="3FD9390D">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color w:val="auto"/>
          <w:sz w:val="24"/>
          <w:szCs w:val="24"/>
          <w:highlight w:val="none"/>
        </w:rPr>
      </w:pPr>
    </w:p>
    <w:p w14:paraId="144BC7EC">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4.首次</w:t>
      </w:r>
      <w:r>
        <w:rPr>
          <w:rFonts w:hint="eastAsia" w:ascii="黑体" w:hAnsi="黑体" w:eastAsia="黑体"/>
          <w:b/>
          <w:color w:val="auto"/>
          <w:sz w:val="28"/>
          <w:szCs w:val="28"/>
          <w:highlight w:val="none"/>
          <w:lang w:eastAsia="zh-CN"/>
        </w:rPr>
        <w:t>《响应文件》</w:t>
      </w:r>
      <w:r>
        <w:rPr>
          <w:rFonts w:hint="eastAsia" w:ascii="黑体" w:hAnsi="黑体" w:eastAsia="黑体"/>
          <w:b/>
          <w:color w:val="auto"/>
          <w:sz w:val="28"/>
          <w:szCs w:val="28"/>
          <w:highlight w:val="none"/>
        </w:rPr>
        <w:t>提交</w:t>
      </w:r>
      <w:r>
        <w:rPr>
          <w:rFonts w:hint="eastAsia" w:ascii="黑体" w:hAnsi="黑体" w:eastAsia="黑体"/>
          <w:b/>
          <w:color w:val="auto"/>
          <w:sz w:val="28"/>
          <w:szCs w:val="28"/>
          <w:highlight w:val="none"/>
          <w:lang w:eastAsia="zh-CN"/>
        </w:rPr>
        <w:t>：</w:t>
      </w:r>
    </w:p>
    <w:p w14:paraId="19FF61B4">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截止时间：2025年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时00分（北京时间）</w:t>
      </w:r>
    </w:p>
    <w:p w14:paraId="71F96102">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地点：于殷都区公共资源交易平台网上上传递交、并由供应商在规定时间远程解密。</w:t>
      </w:r>
    </w:p>
    <w:p w14:paraId="3B5FFD59">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color w:val="auto"/>
          <w:sz w:val="24"/>
          <w:szCs w:val="24"/>
          <w:highlight w:val="none"/>
        </w:rPr>
      </w:pPr>
    </w:p>
    <w:p w14:paraId="03FBAA80">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5.首次</w:t>
      </w:r>
      <w:r>
        <w:rPr>
          <w:rFonts w:hint="eastAsia" w:ascii="黑体" w:hAnsi="黑体" w:eastAsia="黑体"/>
          <w:b/>
          <w:color w:val="auto"/>
          <w:sz w:val="28"/>
          <w:szCs w:val="28"/>
          <w:highlight w:val="none"/>
          <w:lang w:eastAsia="zh-CN"/>
        </w:rPr>
        <w:t>《响应文件》</w:t>
      </w:r>
      <w:r>
        <w:rPr>
          <w:rFonts w:hint="eastAsia" w:ascii="黑体" w:hAnsi="黑体" w:eastAsia="黑体"/>
          <w:b/>
          <w:color w:val="auto"/>
          <w:sz w:val="28"/>
          <w:szCs w:val="28"/>
          <w:highlight w:val="none"/>
        </w:rPr>
        <w:t>开启</w:t>
      </w:r>
      <w:r>
        <w:rPr>
          <w:rFonts w:hint="eastAsia" w:ascii="黑体" w:hAnsi="黑体" w:eastAsia="黑体"/>
          <w:b/>
          <w:color w:val="auto"/>
          <w:sz w:val="28"/>
          <w:szCs w:val="28"/>
          <w:highlight w:val="none"/>
          <w:lang w:eastAsia="zh-CN"/>
        </w:rPr>
        <w:t>：</w:t>
      </w:r>
    </w:p>
    <w:p w14:paraId="11343B13">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时间：2025年12月11日10时00分（北京时间）</w:t>
      </w:r>
    </w:p>
    <w:p w14:paraId="2F5AC621">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地点（管理员网上操作地点）：殷都区公共资源交易中心二楼开标</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室（安阳市高新区文昌大道与东风路交叉口向南300米路西 东风路342号）。</w:t>
      </w:r>
    </w:p>
    <w:p w14:paraId="5A37C8B2">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本项目采用远程不见面交易的模式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开标当日，供应商无需到开标现场参加开标会议，供应商应当在投标截止时间前，使用IE浏览器登录到安阳市公共资源交易不见面开标大厅，点击右上方【登录】按钮进入，在线准时参加开标活动并进行</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解密等。因供应商原因未能解密、解密失败或解密超时的将被拒绝。</w:t>
      </w:r>
    </w:p>
    <w:p w14:paraId="4245CA78">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b/>
          <w:color w:val="auto"/>
          <w:sz w:val="24"/>
          <w:szCs w:val="24"/>
          <w:highlight w:val="none"/>
        </w:rPr>
      </w:pPr>
    </w:p>
    <w:p w14:paraId="076300CF">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6.发布公告的媒介及公告期限</w:t>
      </w:r>
      <w:r>
        <w:rPr>
          <w:rFonts w:hint="eastAsia" w:ascii="黑体" w:hAnsi="黑体" w:eastAsia="黑体"/>
          <w:b/>
          <w:color w:val="auto"/>
          <w:sz w:val="28"/>
          <w:szCs w:val="28"/>
          <w:highlight w:val="none"/>
          <w:lang w:eastAsia="zh-CN"/>
        </w:rPr>
        <w:t>：</w:t>
      </w:r>
    </w:p>
    <w:p w14:paraId="55FCFA8E">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本项目在“河南省政府采购网（安阳市政府采购网）”、“全国公共资源交易平台（河南省·殷都区）殷都区公共资源交易中心”、“安阳招标采购网”网站上同期发布。公告期限为三个工作日。</w:t>
      </w:r>
    </w:p>
    <w:p w14:paraId="363009CF">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b/>
          <w:color w:val="auto"/>
          <w:sz w:val="24"/>
          <w:szCs w:val="24"/>
          <w:highlight w:val="none"/>
        </w:rPr>
      </w:pPr>
    </w:p>
    <w:p w14:paraId="05C831B2">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7.其他补充事宜</w:t>
      </w:r>
      <w:r>
        <w:rPr>
          <w:rFonts w:hint="eastAsia" w:ascii="黑体" w:hAnsi="黑体" w:eastAsia="黑体"/>
          <w:b/>
          <w:color w:val="auto"/>
          <w:sz w:val="28"/>
          <w:szCs w:val="28"/>
          <w:highlight w:val="none"/>
          <w:lang w:eastAsia="zh-CN"/>
        </w:rPr>
        <w:t>：</w:t>
      </w:r>
    </w:p>
    <w:p w14:paraId="314CC46D">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3120B562">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政府采购合同融资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0D70B0F3">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eastAsia="zh-CN"/>
        </w:rPr>
      </w:pPr>
      <w:bookmarkStart w:id="1" w:name="_Toc28359085"/>
      <w:bookmarkStart w:id="2" w:name="_Toc28359008"/>
      <w:bookmarkStart w:id="3" w:name="_Toc35393796"/>
      <w:bookmarkStart w:id="4" w:name="_Toc35393627"/>
      <w:r>
        <w:rPr>
          <w:rFonts w:hint="eastAsia" w:asciiTheme="minorEastAsia" w:hAnsiTheme="minorEastAsia" w:eastAsiaTheme="minorEastAsia" w:cstheme="minorEastAsia"/>
          <w:color w:val="auto"/>
          <w:sz w:val="24"/>
          <w:szCs w:val="24"/>
          <w:highlight w:val="none"/>
        </w:rPr>
        <w:t>7.3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网上电子交易系统网址</w:t>
      </w:r>
      <w:r>
        <w:rPr>
          <w:rFonts w:hint="eastAsia" w:asciiTheme="minorEastAsia" w:hAnsiTheme="minorEastAsia" w:eastAsiaTheme="minorEastAsia" w:cstheme="minorEastAsia"/>
          <w:color w:val="auto"/>
          <w:sz w:val="24"/>
          <w:szCs w:val="24"/>
          <w:highlight w:val="none"/>
          <w:lang w:eastAsia="zh-CN"/>
        </w:rPr>
        <w:t>：</w:t>
      </w:r>
    </w:p>
    <w:p w14:paraId="59426A53">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全国公共资源交易平台（河南省·殷都区）</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"https://ggzy.anyang.gov.cn/ydggzy"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https://ggzy.anyang.gov.cn/ydggzy</w:t>
      </w:r>
      <w:r>
        <w:rPr>
          <w:rFonts w:hint="eastAsia" w:asciiTheme="minorEastAsia" w:hAnsiTheme="minorEastAsia" w:eastAsiaTheme="minorEastAsia" w:cstheme="minorEastAsia"/>
          <w:color w:val="auto"/>
          <w:sz w:val="21"/>
          <w:szCs w:val="21"/>
          <w:highlight w:val="none"/>
        </w:rPr>
        <w:fldChar w:fldCharType="end"/>
      </w:r>
    </w:p>
    <w:p w14:paraId="31038684">
      <w:pPr>
        <w:keepNext w:val="0"/>
        <w:keepLines w:val="0"/>
        <w:pageBreakBefore w:val="0"/>
        <w:kinsoku/>
        <w:wordWrap/>
        <w:overflowPunct/>
        <w:topLinePunct w:val="0"/>
        <w:autoSpaceDE/>
        <w:autoSpaceDN/>
        <w:bidi w:val="0"/>
        <w:adjustRightInd w:val="0"/>
        <w:snapToGrid w:val="0"/>
        <w:spacing w:line="360" w:lineRule="auto"/>
        <w:ind w:firstLine="1260" w:firstLineChars="5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简称“殷都区公共资源交易平台”</w:t>
      </w:r>
      <w:r>
        <w:rPr>
          <w:rFonts w:hint="eastAsia" w:asciiTheme="minorEastAsia" w:hAnsiTheme="minorEastAsia" w:eastAsiaTheme="minorEastAsia" w:cstheme="minorEastAsia"/>
          <w:color w:val="auto"/>
          <w:sz w:val="24"/>
          <w:szCs w:val="24"/>
          <w:highlight w:val="none"/>
        </w:rPr>
        <w:tab/>
      </w:r>
    </w:p>
    <w:p w14:paraId="2E3E64E7">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制作软件：在殷都区公共资源交易平台进行下载、并安装投标文件制作工具，查看</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和制作电子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045F4935">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监督检查提示：政府采购监督管理部门将依据“双随机一公开”原则，定期或不定期随机抽取政府采购项目进行监督检查，审查供应商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的真实性，重点审查中标、成交供应商，财政部门认为有必要的，可以对其他参加采购活动的供应商一并审查。如发现提供虚假材料谋取中标的情形，将按照政府采购法顶格给予处罚。</w:t>
      </w:r>
    </w:p>
    <w:p w14:paraId="60649FA4">
      <w:pPr>
        <w:keepNext w:val="0"/>
        <w:keepLines w:val="0"/>
        <w:pageBreakBefore w:val="0"/>
        <w:kinsoku/>
        <w:wordWrap/>
        <w:overflowPunct/>
        <w:topLinePunct w:val="0"/>
        <w:autoSpaceDE/>
        <w:autoSpaceDN/>
        <w:bidi w:val="0"/>
        <w:adjustRightInd w:val="0"/>
        <w:snapToGrid w:val="0"/>
        <w:spacing w:line="360" w:lineRule="auto"/>
        <w:ind w:firstLine="542" w:firstLineChars="225"/>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7.5 </w:t>
      </w:r>
      <w:r>
        <w:rPr>
          <w:rFonts w:hint="eastAsia" w:asciiTheme="minorEastAsia" w:hAnsiTheme="minorEastAsia" w:eastAsiaTheme="minorEastAsia" w:cstheme="minorEastAsia"/>
          <w:b/>
          <w:bCs/>
          <w:color w:val="auto"/>
          <w:sz w:val="24"/>
          <w:szCs w:val="24"/>
          <w:highlight w:val="none"/>
          <w:lang w:val="en-US" w:eastAsia="zh-CN"/>
        </w:rPr>
        <w:t>特别</w:t>
      </w:r>
      <w:r>
        <w:rPr>
          <w:rFonts w:hint="eastAsia" w:asciiTheme="minorEastAsia" w:hAnsiTheme="minorEastAsia" w:eastAsiaTheme="minorEastAsia" w:cstheme="minorEastAsia"/>
          <w:b/>
          <w:bCs/>
          <w:color w:val="auto"/>
          <w:sz w:val="24"/>
          <w:szCs w:val="24"/>
          <w:highlight w:val="none"/>
        </w:rPr>
        <w:t>说明</w:t>
      </w:r>
      <w:r>
        <w:rPr>
          <w:rFonts w:hint="eastAsia" w:asciiTheme="minorEastAsia" w:hAnsiTheme="minorEastAsia" w:eastAsiaTheme="minorEastAsia" w:cstheme="minorEastAsia"/>
          <w:b/>
          <w:bCs/>
          <w:color w:val="auto"/>
          <w:sz w:val="24"/>
          <w:szCs w:val="24"/>
          <w:highlight w:val="none"/>
          <w:lang w:eastAsia="zh-CN"/>
        </w:rPr>
        <w:t>：本项目公告“预算金额”、“包预算”、“包最高限价”系采购人预估采购规模，以供项目申报和供应商参考使用。本项目</w:t>
      </w:r>
      <w:r>
        <w:rPr>
          <w:rFonts w:hint="eastAsia" w:asciiTheme="minorEastAsia" w:hAnsiTheme="minorEastAsia" w:eastAsiaTheme="minorEastAsia" w:cstheme="minorEastAsia"/>
          <w:b/>
          <w:bCs/>
          <w:color w:val="auto"/>
          <w:sz w:val="24"/>
          <w:szCs w:val="24"/>
          <w:highlight w:val="none"/>
          <w:lang w:val="en-US" w:eastAsia="zh-CN"/>
        </w:rPr>
        <w:t>按照用电服务费单价进行投标报价，用电服务费单价最高限价为：0.4元/度，投标报价超过单价最高限价的为无效投标。本项目</w:t>
      </w:r>
      <w:r>
        <w:rPr>
          <w:rFonts w:hint="eastAsia" w:asciiTheme="minorEastAsia" w:hAnsiTheme="minorEastAsia" w:eastAsiaTheme="minorEastAsia" w:cstheme="minorEastAsia"/>
          <w:b/>
          <w:bCs/>
          <w:color w:val="auto"/>
          <w:sz w:val="24"/>
          <w:szCs w:val="24"/>
          <w:highlight w:val="none"/>
          <w:lang w:eastAsia="zh-CN"/>
        </w:rPr>
        <w:t>合同价款，按照合同履行期限内项目实际发生额、据实结算。</w:t>
      </w:r>
    </w:p>
    <w:p w14:paraId="617B5B19">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rFonts w:hint="eastAsia" w:asciiTheme="minorEastAsia" w:hAnsiTheme="minorEastAsia" w:eastAsiaTheme="minorEastAsia" w:cstheme="minorEastAsia"/>
          <w:b/>
          <w:color w:val="auto"/>
          <w:sz w:val="24"/>
          <w:szCs w:val="24"/>
          <w:highlight w:val="none"/>
        </w:rPr>
      </w:pPr>
    </w:p>
    <w:p w14:paraId="75D43371">
      <w:pPr>
        <w:widowControl w:val="0"/>
        <w:snapToGrid w:val="0"/>
        <w:spacing w:line="360" w:lineRule="auto"/>
        <w:ind w:firstLine="562" w:firstLineChars="200"/>
        <w:rPr>
          <w:rFonts w:hint="eastAsia" w:ascii="黑体" w:hAnsi="黑体" w:eastAsia="黑体"/>
          <w:b/>
          <w:color w:val="auto"/>
          <w:sz w:val="28"/>
          <w:szCs w:val="28"/>
          <w:highlight w:val="none"/>
          <w:lang w:eastAsia="zh-CN"/>
        </w:rPr>
      </w:pPr>
      <w:r>
        <w:rPr>
          <w:rFonts w:hint="eastAsia" w:ascii="黑体" w:hAnsi="黑体" w:eastAsia="黑体"/>
          <w:b/>
          <w:color w:val="auto"/>
          <w:sz w:val="28"/>
          <w:szCs w:val="28"/>
          <w:highlight w:val="none"/>
        </w:rPr>
        <w:t>8.凡对本次采购提出询问，请按以下方式联系</w:t>
      </w:r>
      <w:bookmarkEnd w:id="1"/>
      <w:bookmarkEnd w:id="2"/>
      <w:bookmarkEnd w:id="3"/>
      <w:bookmarkEnd w:id="4"/>
      <w:r>
        <w:rPr>
          <w:rFonts w:hint="eastAsia" w:ascii="黑体" w:hAnsi="黑体" w:eastAsia="黑体"/>
          <w:b/>
          <w:color w:val="auto"/>
          <w:sz w:val="28"/>
          <w:szCs w:val="28"/>
          <w:highlight w:val="none"/>
          <w:lang w:eastAsia="zh-CN"/>
        </w:rPr>
        <w:t>：</w:t>
      </w:r>
    </w:p>
    <w:p w14:paraId="3BCD74FD">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采购人信息</w:t>
      </w:r>
      <w:r>
        <w:rPr>
          <w:rFonts w:hint="eastAsia" w:asciiTheme="minorEastAsia" w:hAnsiTheme="minorEastAsia" w:eastAsiaTheme="minorEastAsia" w:cstheme="minorEastAsia"/>
          <w:color w:val="auto"/>
          <w:sz w:val="24"/>
          <w:szCs w:val="24"/>
          <w:highlight w:val="none"/>
          <w:lang w:eastAsia="zh-CN"/>
        </w:rPr>
        <w:t>：</w:t>
      </w:r>
    </w:p>
    <w:p w14:paraId="352B93B7">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名称：安阳市殷都区环境卫生事务中心</w:t>
      </w:r>
    </w:p>
    <w:p w14:paraId="39127035">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地址：殷都区清风街西段　       　</w:t>
      </w:r>
    </w:p>
    <w:p w14:paraId="7336C624">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联系人：温新    </w:t>
      </w:r>
    </w:p>
    <w:p w14:paraId="59A7DA60">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17630550010</w:t>
      </w:r>
      <w:r>
        <w:rPr>
          <w:rFonts w:hint="eastAsia" w:asciiTheme="minorEastAsia" w:hAnsiTheme="minorEastAsia" w:eastAsiaTheme="minorEastAsia" w:cstheme="minorEastAsia"/>
          <w:color w:val="auto"/>
          <w:sz w:val="24"/>
          <w:szCs w:val="24"/>
          <w:highlight w:val="none"/>
        </w:rPr>
        <w:t>　</w:t>
      </w:r>
      <w:bookmarkStart w:id="5" w:name="_Toc28359086"/>
      <w:bookmarkStart w:id="6" w:name="_Toc28359009"/>
    </w:p>
    <w:p w14:paraId="4ACB54C0">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采购代理机构信息</w:t>
      </w:r>
      <w:bookmarkEnd w:id="5"/>
      <w:bookmarkEnd w:id="6"/>
      <w:r>
        <w:rPr>
          <w:rFonts w:hint="eastAsia" w:asciiTheme="minorEastAsia" w:hAnsiTheme="minorEastAsia" w:eastAsiaTheme="minorEastAsia" w:cstheme="minorEastAsia"/>
          <w:color w:val="auto"/>
          <w:sz w:val="24"/>
          <w:szCs w:val="24"/>
          <w:highlight w:val="none"/>
          <w:lang w:eastAsia="zh-CN"/>
        </w:rPr>
        <w:t>：</w:t>
      </w:r>
    </w:p>
    <w:p w14:paraId="6D304AF6">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名称：安阳市方正招标采购服务有限责任公司</w:t>
      </w:r>
    </w:p>
    <w:p w14:paraId="0DBECCFF">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地址：安阳市安钢大道39号（人民大道北地下道口南侧、安阳粮食产业集团-后</w:t>
      </w:r>
    </w:p>
    <w:p w14:paraId="3883D3A9">
      <w:pPr>
        <w:keepNext w:val="0"/>
        <w:keepLines w:val="0"/>
        <w:pageBreakBefore w:val="0"/>
        <w:kinsoku/>
        <w:wordWrap/>
        <w:overflowPunct/>
        <w:topLinePunct w:val="0"/>
        <w:autoSpaceDE/>
        <w:autoSpaceDN/>
        <w:bidi w:val="0"/>
        <w:adjustRightInd w:val="0"/>
        <w:snapToGrid w:val="0"/>
        <w:spacing w:line="360" w:lineRule="auto"/>
        <w:ind w:firstLine="1740" w:firstLineChars="7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院办公楼五楼）</w:t>
      </w:r>
    </w:p>
    <w:p w14:paraId="2E4692BD">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联系人：彭亚松</w:t>
      </w:r>
    </w:p>
    <w:p w14:paraId="6D733132">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bookmarkStart w:id="7" w:name="_Toc28359087"/>
      <w:bookmarkStart w:id="8" w:name="_Toc28359010"/>
      <w:r>
        <w:rPr>
          <w:rFonts w:hint="eastAsia" w:asciiTheme="minorEastAsia" w:hAnsiTheme="minorEastAsia" w:eastAsiaTheme="minorEastAsia" w:cstheme="minorEastAsia"/>
          <w:color w:val="auto"/>
          <w:sz w:val="24"/>
          <w:szCs w:val="24"/>
          <w:highlight w:val="none"/>
        </w:rPr>
        <w:t>0372-2283981、2283982   财务部咨询电话：0372-2283983　</w:t>
      </w:r>
    </w:p>
    <w:p w14:paraId="7E61F17A">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8.3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项目联系方式</w:t>
      </w:r>
      <w:bookmarkEnd w:id="7"/>
      <w:bookmarkEnd w:id="8"/>
      <w:r>
        <w:rPr>
          <w:rFonts w:hint="eastAsia" w:asciiTheme="minorEastAsia" w:hAnsiTheme="minorEastAsia" w:eastAsiaTheme="minorEastAsia" w:cstheme="minorEastAsia"/>
          <w:color w:val="auto"/>
          <w:sz w:val="24"/>
          <w:szCs w:val="24"/>
          <w:highlight w:val="none"/>
          <w:lang w:eastAsia="zh-CN"/>
        </w:rPr>
        <w:t>：</w:t>
      </w:r>
    </w:p>
    <w:p w14:paraId="26F418A5">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项目联系人：彭亚松</w:t>
      </w:r>
    </w:p>
    <w:p w14:paraId="6F1A5E5A">
      <w:pPr>
        <w:keepNext w:val="0"/>
        <w:keepLines w:val="0"/>
        <w:pageBreakBefore w:val="0"/>
        <w:kinsoku/>
        <w:wordWrap/>
        <w:overflowPunct/>
        <w:topLinePunct w:val="0"/>
        <w:autoSpaceDE/>
        <w:autoSpaceDN/>
        <w:bidi w:val="0"/>
        <w:adjustRightInd w:val="0"/>
        <w:snapToGrid w:val="0"/>
        <w:spacing w:line="360" w:lineRule="auto"/>
        <w:ind w:firstLine="1020" w:firstLineChars="4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联系方式：15670030799</w:t>
      </w:r>
    </w:p>
    <w:p w14:paraId="1218823D">
      <w:pPr>
        <w:keepNext w:val="0"/>
        <w:keepLines w:val="0"/>
        <w:pageBreakBefore w:val="0"/>
        <w:widowControl w:val="0"/>
        <w:kinsoku/>
        <w:wordWrap/>
        <w:overflowPunct/>
        <w:topLinePunct w:val="0"/>
        <w:autoSpaceDE/>
        <w:autoSpaceDN/>
        <w:bidi w:val="0"/>
        <w:adjustRightInd/>
        <w:snapToGrid w:val="0"/>
        <w:spacing w:line="276" w:lineRule="auto"/>
        <w:ind w:firstLine="567"/>
        <w:textAlignment w:val="baseline"/>
        <w:rPr>
          <w:color w:val="auto"/>
          <w:sz w:val="24"/>
          <w:szCs w:val="24"/>
          <w:highlight w:val="none"/>
        </w:rPr>
      </w:pPr>
    </w:p>
    <w:p w14:paraId="18EF4A6E">
      <w:pPr>
        <w:widowControl w:val="0"/>
        <w:snapToGrid w:val="0"/>
        <w:spacing w:line="360" w:lineRule="auto"/>
        <w:ind w:firstLine="562" w:firstLineChars="200"/>
        <w:rPr>
          <w:rFonts w:hint="eastAsia" w:ascii="黑体" w:hAnsi="黑体" w:eastAsia="黑体"/>
          <w:b/>
          <w:color w:val="auto"/>
          <w:sz w:val="28"/>
          <w:szCs w:val="28"/>
          <w:highlight w:val="none"/>
        </w:rPr>
      </w:pPr>
      <w:r>
        <w:rPr>
          <w:rFonts w:hint="eastAsia" w:ascii="黑体" w:hAnsi="黑体" w:eastAsia="黑体"/>
          <w:b/>
          <w:color w:val="auto"/>
          <w:sz w:val="28"/>
          <w:szCs w:val="28"/>
          <w:highlight w:val="none"/>
        </w:rPr>
        <w:t xml:space="preserve">9.网上电子交易提示： </w:t>
      </w:r>
    </w:p>
    <w:p w14:paraId="4142FC08">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 注册：供应商完成注册、办理数字证书后，方可获取</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、参加投标等网上电子交易。</w:t>
      </w:r>
    </w:p>
    <w:p w14:paraId="6ADE7C94">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 获取</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：按本章第3条“获取</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”办理。</w:t>
      </w:r>
    </w:p>
    <w:p w14:paraId="5E1F7F84">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 xml:space="preserve">9.3 </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的澄清与修改或延期的通知：按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 xml:space="preserve">第三章“供应商须知”第2条“2.4 </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的澄清、修改、补充的通知，及相应时间变更”执行。</w:t>
      </w:r>
      <w:r>
        <w:rPr>
          <w:rFonts w:hint="eastAsia" w:asciiTheme="minorEastAsia" w:hAnsiTheme="minorEastAsia" w:eastAsiaTheme="minorEastAsia" w:cstheme="minorEastAsia"/>
          <w:b/>
          <w:bCs/>
          <w:color w:val="auto"/>
          <w:sz w:val="24"/>
          <w:szCs w:val="24"/>
          <w:highlight w:val="none"/>
          <w:lang w:val="zh-CN"/>
        </w:rPr>
        <w:t>不另行通知</w:t>
      </w:r>
      <w:r>
        <w:rPr>
          <w:rFonts w:hint="eastAsia" w:asciiTheme="minorEastAsia" w:hAnsiTheme="minorEastAsia" w:eastAsiaTheme="minorEastAsia" w:cstheme="minorEastAsia"/>
          <w:color w:val="auto"/>
          <w:sz w:val="24"/>
          <w:szCs w:val="24"/>
          <w:highlight w:val="none"/>
          <w:lang w:val="zh-CN"/>
        </w:rPr>
        <w:t>。</w:t>
      </w:r>
    </w:p>
    <w:p w14:paraId="6CCE6238">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编制：在殷都区公共资源交易中心网站下载并安装投标文件制作工具、进行编制，按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第三章“供应商须知”第3条第7款“3.7</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的编制”执行，</w:t>
      </w:r>
      <w:r>
        <w:rPr>
          <w:rFonts w:hint="eastAsia" w:asciiTheme="minorEastAsia" w:hAnsiTheme="minorEastAsia" w:eastAsiaTheme="minorEastAsia" w:cstheme="minorEastAsia"/>
          <w:b/>
          <w:bCs/>
          <w:color w:val="auto"/>
          <w:sz w:val="24"/>
          <w:szCs w:val="24"/>
          <w:highlight w:val="none"/>
          <w:lang w:val="zh-CN"/>
        </w:rPr>
        <w:t>否则将会评定为无效投标</w:t>
      </w:r>
      <w:r>
        <w:rPr>
          <w:rFonts w:hint="eastAsia" w:asciiTheme="minorEastAsia" w:hAnsiTheme="minorEastAsia" w:eastAsiaTheme="minorEastAsia" w:cstheme="minorEastAsia"/>
          <w:color w:val="auto"/>
          <w:sz w:val="24"/>
          <w:szCs w:val="24"/>
          <w:highlight w:val="none"/>
          <w:lang w:val="zh-CN"/>
        </w:rPr>
        <w:t>。</w:t>
      </w:r>
    </w:p>
    <w:p w14:paraId="0CCCCCF2">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递交：供应商应在投标截止时间前上传加密的电子</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（*.aytf）到殷都区公共资源交易平台，按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第三章“供应商须知”第4条“4.</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的提交”执行，</w:t>
      </w:r>
      <w:r>
        <w:rPr>
          <w:rFonts w:hint="eastAsia" w:asciiTheme="minorEastAsia" w:hAnsiTheme="minorEastAsia" w:eastAsiaTheme="minorEastAsia" w:cstheme="minorEastAsia"/>
          <w:b/>
          <w:bCs/>
          <w:color w:val="auto"/>
          <w:sz w:val="24"/>
          <w:szCs w:val="24"/>
          <w:highlight w:val="none"/>
          <w:lang w:val="zh-CN"/>
        </w:rPr>
        <w:t>否则将会评定为无效投标</w:t>
      </w:r>
      <w:r>
        <w:rPr>
          <w:rFonts w:hint="eastAsia" w:asciiTheme="minorEastAsia" w:hAnsiTheme="minorEastAsia" w:eastAsiaTheme="minorEastAsia" w:cstheme="minorEastAsia"/>
          <w:color w:val="auto"/>
          <w:sz w:val="24"/>
          <w:szCs w:val="24"/>
          <w:highlight w:val="none"/>
          <w:lang w:val="zh-CN"/>
        </w:rPr>
        <w:t>。</w:t>
      </w:r>
    </w:p>
    <w:p w14:paraId="4861F48E">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解密：本项目采用远程不见面交易的模式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开标当日，供应商无需到开标现场参加开标会议，供应商应当在投标截止时间前，使用IE浏览器登录到安阳市公共资源交易不见面开标大厅，点击右上方【登录】按钮进入，在线准时参加开标活动并进行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解密等。按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第三章“供应商须知”第5条“5.</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的开启”执行，</w:t>
      </w:r>
      <w:r>
        <w:rPr>
          <w:rFonts w:hint="eastAsia" w:asciiTheme="minorEastAsia" w:hAnsiTheme="minorEastAsia" w:eastAsiaTheme="minorEastAsia" w:cstheme="minorEastAsia"/>
          <w:b/>
          <w:bCs/>
          <w:color w:val="auto"/>
          <w:sz w:val="24"/>
          <w:szCs w:val="24"/>
          <w:highlight w:val="none"/>
          <w:lang w:val="zh-CN"/>
        </w:rPr>
        <w:t>否则其投标将不能被接受</w:t>
      </w:r>
      <w:r>
        <w:rPr>
          <w:rFonts w:hint="eastAsia" w:asciiTheme="minorEastAsia" w:hAnsiTheme="minorEastAsia" w:eastAsiaTheme="minorEastAsia" w:cstheme="minorEastAsia"/>
          <w:color w:val="auto"/>
          <w:sz w:val="24"/>
          <w:szCs w:val="24"/>
          <w:highlight w:val="none"/>
          <w:lang w:val="zh-CN"/>
        </w:rPr>
        <w:t>。</w:t>
      </w:r>
    </w:p>
    <w:p w14:paraId="2CDFF013">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9.7 磋商：时刻关注电子开标室并及时澄清，有效供应商在规定时间进行最后报价，按</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第四章“评审办法”执行，</w:t>
      </w:r>
      <w:r>
        <w:rPr>
          <w:rFonts w:hint="eastAsia" w:asciiTheme="minorEastAsia" w:hAnsiTheme="minorEastAsia" w:eastAsiaTheme="minorEastAsia" w:cstheme="minorEastAsia"/>
          <w:b/>
          <w:bCs/>
          <w:color w:val="auto"/>
          <w:sz w:val="24"/>
          <w:szCs w:val="24"/>
          <w:highlight w:val="none"/>
          <w:lang w:val="zh-CN"/>
        </w:rPr>
        <w:t>否则将会评定为无效投标</w:t>
      </w:r>
      <w:r>
        <w:rPr>
          <w:rFonts w:hint="eastAsia" w:asciiTheme="minorEastAsia" w:hAnsiTheme="minorEastAsia" w:eastAsiaTheme="minorEastAsia" w:cstheme="minorEastAsia"/>
          <w:color w:val="auto"/>
          <w:sz w:val="24"/>
          <w:szCs w:val="24"/>
          <w:highlight w:val="none"/>
          <w:lang w:val="zh-CN"/>
        </w:rPr>
        <w:t>。</w:t>
      </w:r>
    </w:p>
    <w:p w14:paraId="33B17B08">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9.8</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zh-CN"/>
        </w:rPr>
        <w:t>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2FC35A79">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①锁名称变更前建议先在交易系统修改单位名称为最新的，变更完成后再变更锁名称，以免因名称不一致无法正常登录系统。</w:t>
      </w:r>
    </w:p>
    <w:p w14:paraId="6F413DCC">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②锁延期之后序列号可能会发生改变（视不同CA而定），变更后需要重新进行绑定。</w:t>
      </w:r>
    </w:p>
    <w:p w14:paraId="2F7889A2">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9.9 政府采购电子交易中，供应商网上电子交易的系统操作规则应以安阳市公共资源交易平台即时发布的相关规则为准。</w:t>
      </w:r>
    </w:p>
    <w:p w14:paraId="29E5684F">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9.10 望供应商充分熟悉网上电子交易操作流程、以便有效投标。</w:t>
      </w:r>
    </w:p>
    <w:p w14:paraId="60A53077">
      <w:pPr>
        <w:keepNext w:val="0"/>
        <w:keepLines w:val="0"/>
        <w:pageBreakBefore w:val="0"/>
        <w:kinsoku/>
        <w:wordWrap/>
        <w:overflowPunct/>
        <w:topLinePunct w:val="0"/>
        <w:autoSpaceDE/>
        <w:autoSpaceDN/>
        <w:bidi w:val="0"/>
        <w:adjustRightInd w:val="0"/>
        <w:snapToGrid w:val="0"/>
        <w:spacing w:line="360" w:lineRule="auto"/>
        <w:ind w:firstLine="540" w:firstLineChars="225"/>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9.11 如遇到网上系统操作等技术问题请咨询400-998-0000、0372-3387739。</w:t>
      </w:r>
    </w:p>
    <w:p w14:paraId="2C25D174">
      <w:pPr>
        <w:widowControl w:val="0"/>
        <w:tabs>
          <w:tab w:val="left" w:pos="39"/>
          <w:tab w:val="left" w:pos="96"/>
        </w:tabs>
        <w:snapToGrid w:val="0"/>
        <w:spacing w:line="360" w:lineRule="auto"/>
        <w:ind w:firstLine="540" w:firstLineChars="225"/>
        <w:rPr>
          <w:rFonts w:ascii="宋体"/>
          <w:color w:val="auto"/>
          <w:sz w:val="24"/>
          <w:szCs w:val="24"/>
          <w:highlight w:val="none"/>
        </w:rPr>
      </w:pPr>
    </w:p>
    <w:p w14:paraId="2EFEFD25">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69DE9EAF">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二〇二五年</w:t>
      </w:r>
      <w:r>
        <w:rPr>
          <w:rFonts w:hint="eastAsia" w:ascii="宋体"/>
          <w:color w:val="auto"/>
          <w:sz w:val="24"/>
          <w:szCs w:val="24"/>
          <w:highlight w:val="none"/>
          <w:lang w:val="en-US" w:eastAsia="zh-CN"/>
        </w:rPr>
        <w:t>十一</w:t>
      </w:r>
      <w:r>
        <w:rPr>
          <w:rFonts w:hint="eastAsia" w:ascii="宋体"/>
          <w:color w:val="auto"/>
          <w:sz w:val="24"/>
          <w:szCs w:val="24"/>
          <w:highlight w:val="none"/>
        </w:rPr>
        <w:t>月</w:t>
      </w:r>
      <w:r>
        <w:rPr>
          <w:rFonts w:hint="eastAsia" w:ascii="宋体"/>
          <w:color w:val="auto"/>
          <w:sz w:val="24"/>
          <w:szCs w:val="24"/>
          <w:highlight w:val="none"/>
          <w:lang w:val="en-US" w:eastAsia="zh-CN"/>
        </w:rPr>
        <w:t>二十七</w:t>
      </w:r>
      <w:r>
        <w:rPr>
          <w:rFonts w:hint="eastAsia" w:ascii="宋体"/>
          <w:color w:val="auto"/>
          <w:sz w:val="24"/>
          <w:szCs w:val="24"/>
          <w:highlight w:val="none"/>
        </w:rPr>
        <w:t>日</w:t>
      </w:r>
    </w:p>
    <w:p w14:paraId="02368C4D">
      <w:pPr>
        <w:widowControl w:val="0"/>
        <w:tabs>
          <w:tab w:val="left" w:pos="39"/>
          <w:tab w:val="left" w:pos="96"/>
        </w:tabs>
        <w:snapToGrid w:val="0"/>
        <w:spacing w:line="360" w:lineRule="auto"/>
        <w:rPr>
          <w:rFonts w:eastAsia="方正黑体简体"/>
          <w:color w:val="auto"/>
          <w:sz w:val="28"/>
          <w:szCs w:val="28"/>
          <w:highlight w:val="none"/>
        </w:rPr>
      </w:pPr>
    </w:p>
    <w:p w14:paraId="242155D5">
      <w:pPr>
        <w:widowControl w:val="0"/>
        <w:tabs>
          <w:tab w:val="left" w:pos="39"/>
          <w:tab w:val="left" w:pos="96"/>
        </w:tabs>
        <w:snapToGrid w:val="0"/>
        <w:spacing w:line="360" w:lineRule="auto"/>
        <w:ind w:firstLine="632" w:firstLineChars="225"/>
        <w:rPr>
          <w:rFonts w:eastAsia="方正黑体简体"/>
          <w:color w:val="auto"/>
          <w:sz w:val="28"/>
          <w:szCs w:val="28"/>
          <w:highlight w:val="none"/>
        </w:rPr>
      </w:pPr>
      <w:r>
        <w:rPr>
          <w:rFonts w:ascii="黑体" w:hAnsi="黑体" w:eastAsia="黑体"/>
          <w:b/>
          <w:color w:val="auto"/>
          <w:sz w:val="28"/>
          <w:szCs w:val="28"/>
          <w:highlight w:val="none"/>
        </w:rPr>
        <w:br w:type="page"/>
      </w:r>
    </w:p>
    <w:p w14:paraId="71CA0F01">
      <w:pPr>
        <w:keepNext w:val="0"/>
        <w:keepLines w:val="0"/>
        <w:pageBreakBefore w:val="0"/>
        <w:widowControl w:val="0"/>
        <w:kinsoku/>
        <w:wordWrap/>
        <w:overflowPunct/>
        <w:topLinePunct w:val="0"/>
        <w:autoSpaceDE/>
        <w:autoSpaceDN/>
        <w:bidi w:val="0"/>
        <w:adjustRightInd/>
        <w:snapToGrid w:val="0"/>
        <w:spacing w:line="276" w:lineRule="auto"/>
        <w:jc w:val="center"/>
        <w:textAlignment w:val="baseline"/>
        <w:outlineLvl w:val="9"/>
        <w:rPr>
          <w:rFonts w:hint="eastAsia" w:asciiTheme="minorEastAsia" w:hAnsiTheme="minorEastAsia" w:eastAsiaTheme="minorEastAsia" w:cstheme="minorEastAsia"/>
          <w:b/>
          <w:color w:val="auto"/>
          <w:sz w:val="24"/>
          <w:szCs w:val="24"/>
          <w:highlight w:val="none"/>
        </w:rPr>
      </w:pPr>
    </w:p>
    <w:p w14:paraId="43986E92">
      <w:pPr>
        <w:widowControl w:val="0"/>
        <w:snapToGrid w:val="0"/>
        <w:spacing w:line="560" w:lineRule="exact"/>
        <w:jc w:val="center"/>
        <w:outlineLvl w:val="0"/>
        <w:rPr>
          <w:rFonts w:hint="eastAsia" w:eastAsia="黑体"/>
          <w:b/>
          <w:color w:val="auto"/>
          <w:sz w:val="36"/>
          <w:szCs w:val="36"/>
          <w:highlight w:val="none"/>
        </w:rPr>
      </w:pPr>
      <w:bookmarkStart w:id="9" w:name="_Toc6443"/>
      <w:r>
        <w:rPr>
          <w:rFonts w:hint="eastAsia" w:eastAsia="黑体"/>
          <w:b/>
          <w:color w:val="auto"/>
          <w:sz w:val="36"/>
          <w:szCs w:val="36"/>
          <w:highlight w:val="none"/>
        </w:rPr>
        <w:t>第二章  采购项目及服务要求</w:t>
      </w:r>
      <w:bookmarkEnd w:id="9"/>
    </w:p>
    <w:p w14:paraId="5195B75B">
      <w:pPr>
        <w:keepNext w:val="0"/>
        <w:keepLines w:val="0"/>
        <w:pageBreakBefore w:val="0"/>
        <w:widowControl w:val="0"/>
        <w:kinsoku/>
        <w:wordWrap/>
        <w:overflowPunct/>
        <w:topLinePunct w:val="0"/>
        <w:autoSpaceDE/>
        <w:autoSpaceDN/>
        <w:bidi w:val="0"/>
        <w:adjustRightInd/>
        <w:snapToGrid w:val="0"/>
        <w:spacing w:line="276" w:lineRule="auto"/>
        <w:jc w:val="center"/>
        <w:textAlignment w:val="baseline"/>
        <w:outlineLvl w:val="9"/>
        <w:rPr>
          <w:b/>
          <w:color w:val="auto"/>
          <w:sz w:val="24"/>
          <w:szCs w:val="24"/>
          <w:highlight w:val="none"/>
        </w:rPr>
      </w:pPr>
    </w:p>
    <w:p w14:paraId="2FAAD6D2">
      <w:pPr>
        <w:widowControl w:val="0"/>
        <w:snapToGrid w:val="0"/>
        <w:spacing w:line="360" w:lineRule="auto"/>
        <w:ind w:firstLine="422" w:firstLineChars="150"/>
        <w:jc w:val="left"/>
        <w:outlineLvl w:val="1"/>
        <w:rPr>
          <w:rFonts w:hint="eastAsia" w:ascii="黑体" w:hAnsi="黑体" w:eastAsia="黑体"/>
          <w:b/>
          <w:color w:val="auto"/>
          <w:sz w:val="28"/>
          <w:highlight w:val="none"/>
          <w:lang w:eastAsia="zh-CN"/>
        </w:rPr>
      </w:pPr>
      <w:bookmarkStart w:id="10" w:name="_Toc15432"/>
      <w:r>
        <w:rPr>
          <w:rFonts w:ascii="黑体" w:hAnsi="黑体" w:eastAsia="黑体"/>
          <w:b/>
          <w:color w:val="auto"/>
          <w:sz w:val="28"/>
          <w:highlight w:val="none"/>
        </w:rPr>
        <w:t xml:space="preserve">1. </w:t>
      </w:r>
      <w:r>
        <w:rPr>
          <w:rFonts w:hint="eastAsia" w:ascii="黑体" w:hAnsi="黑体" w:eastAsia="黑体"/>
          <w:b/>
          <w:color w:val="auto"/>
          <w:sz w:val="28"/>
          <w:highlight w:val="none"/>
        </w:rPr>
        <w:t>采购项目、标段（包）划分、</w:t>
      </w:r>
      <w:r>
        <w:rPr>
          <w:rFonts w:hint="eastAsia" w:ascii="黑体" w:hAnsi="黑体" w:eastAsia="黑体"/>
          <w:b/>
          <w:color w:val="auto"/>
          <w:sz w:val="28"/>
          <w:highlight w:val="none"/>
          <w:lang w:eastAsia="zh-CN"/>
        </w:rPr>
        <w:t>投标报价</w:t>
      </w:r>
      <w:bookmarkEnd w:id="10"/>
    </w:p>
    <w:p w14:paraId="79B7FCEA">
      <w:pPr>
        <w:widowControl w:val="0"/>
        <w:snapToGrid w:val="0"/>
        <w:spacing w:line="360" w:lineRule="auto"/>
        <w:ind w:firstLine="482" w:firstLineChars="200"/>
        <w:jc w:val="left"/>
        <w:rPr>
          <w:color w:val="auto"/>
          <w:sz w:val="22"/>
          <w:szCs w:val="22"/>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采购项目名称</w:t>
      </w:r>
      <w:r>
        <w:rPr>
          <w:rFonts w:hint="eastAsia"/>
          <w:color w:val="auto"/>
          <w:sz w:val="24"/>
          <w:szCs w:val="24"/>
          <w:highlight w:val="none"/>
        </w:rPr>
        <w:t>：</w:t>
      </w:r>
      <w:r>
        <w:rPr>
          <w:rFonts w:hint="eastAsia" w:ascii="宋体" w:hAnsi="宋体"/>
          <w:color w:val="auto"/>
          <w:sz w:val="22"/>
          <w:szCs w:val="22"/>
          <w:highlight w:val="none"/>
        </w:rPr>
        <w:t>安阳市殷都区环境卫生事务中心2025年新能源环卫车辆充电服务项目</w:t>
      </w:r>
    </w:p>
    <w:p w14:paraId="347F280F">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标段（包）划分及其服务期</w:t>
      </w:r>
      <w:r>
        <w:rPr>
          <w:rFonts w:hint="eastAsia" w:ascii="黑体" w:hAnsi="黑体" w:eastAsia="黑体"/>
          <w:b/>
          <w:color w:val="auto"/>
          <w:sz w:val="24"/>
          <w:szCs w:val="24"/>
          <w:highlight w:val="none"/>
          <w:lang w:eastAsia="zh-CN"/>
        </w:rPr>
        <w:t>、</w:t>
      </w:r>
      <w:r>
        <w:rPr>
          <w:rFonts w:hint="eastAsia" w:ascii="黑体" w:hAnsi="黑体" w:eastAsia="黑体"/>
          <w:b/>
          <w:color w:val="auto"/>
          <w:sz w:val="24"/>
          <w:szCs w:val="24"/>
          <w:highlight w:val="none"/>
        </w:rPr>
        <w:t>服务地点</w:t>
      </w:r>
      <w:r>
        <w:rPr>
          <w:rFonts w:hint="eastAsia"/>
          <w:color w:val="auto"/>
          <w:sz w:val="24"/>
          <w:szCs w:val="24"/>
          <w:highlight w:val="none"/>
        </w:rPr>
        <w:t>：</w:t>
      </w:r>
      <w:r>
        <w:rPr>
          <w:rFonts w:hint="eastAsia" w:asciiTheme="minorEastAsia" w:hAnsiTheme="minorEastAsia" w:eastAsiaTheme="minorEastAsia" w:cstheme="minorEastAsia"/>
          <w:color w:val="auto"/>
          <w:sz w:val="24"/>
          <w:szCs w:val="24"/>
          <w:highlight w:val="none"/>
        </w:rPr>
        <w:t>本次采购项目划分为1个标段（包）</w:t>
      </w:r>
    </w:p>
    <w:tbl>
      <w:tblPr>
        <w:tblStyle w:val="16"/>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1785"/>
        <w:gridCol w:w="2670"/>
        <w:gridCol w:w="1770"/>
        <w:gridCol w:w="1482"/>
        <w:gridCol w:w="7"/>
      </w:tblGrid>
      <w:tr w14:paraId="0CE0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604" w:type="dxa"/>
            <w:gridSpan w:val="6"/>
            <w:vAlign w:val="center"/>
          </w:tcPr>
          <w:p w14:paraId="41962238">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标段（包）一览表</w:t>
            </w:r>
          </w:p>
        </w:tc>
      </w:tr>
      <w:tr w14:paraId="221A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47" w:hRule="atLeast"/>
        </w:trPr>
        <w:tc>
          <w:tcPr>
            <w:tcW w:w="1890" w:type="dxa"/>
            <w:vAlign w:val="center"/>
          </w:tcPr>
          <w:p w14:paraId="7D377AB5">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项目名称</w:t>
            </w:r>
          </w:p>
        </w:tc>
        <w:tc>
          <w:tcPr>
            <w:tcW w:w="1785" w:type="dxa"/>
            <w:vAlign w:val="center"/>
          </w:tcPr>
          <w:p w14:paraId="187AD5B3">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标段（包）名称</w:t>
            </w:r>
          </w:p>
        </w:tc>
        <w:tc>
          <w:tcPr>
            <w:tcW w:w="2670" w:type="dxa"/>
            <w:vAlign w:val="center"/>
          </w:tcPr>
          <w:p w14:paraId="22BC9642">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标段（包）内容（范围）</w:t>
            </w:r>
          </w:p>
        </w:tc>
        <w:tc>
          <w:tcPr>
            <w:tcW w:w="1770" w:type="dxa"/>
            <w:vAlign w:val="center"/>
          </w:tcPr>
          <w:p w14:paraId="66AF9E84">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合同履行期限</w:t>
            </w:r>
          </w:p>
          <w:p w14:paraId="6953951C">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（服务期）</w:t>
            </w:r>
          </w:p>
        </w:tc>
        <w:tc>
          <w:tcPr>
            <w:tcW w:w="1482" w:type="dxa"/>
            <w:vAlign w:val="center"/>
          </w:tcPr>
          <w:p w14:paraId="10D16452">
            <w:pPr>
              <w:widowControl w:val="0"/>
              <w:snapToGrid w:val="0"/>
              <w:spacing w:line="24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服务地点</w:t>
            </w:r>
          </w:p>
        </w:tc>
      </w:tr>
      <w:tr w14:paraId="1B0A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890" w:type="dxa"/>
            <w:vAlign w:val="center"/>
          </w:tcPr>
          <w:p w14:paraId="01A49DDD">
            <w:pPr>
              <w:widowControl w:val="0"/>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安阳市殷都区环境卫生事务中心2025年新能源环卫车辆充电服务项目</w:t>
            </w:r>
          </w:p>
        </w:tc>
        <w:tc>
          <w:tcPr>
            <w:tcW w:w="1785" w:type="dxa"/>
            <w:vAlign w:val="center"/>
          </w:tcPr>
          <w:p w14:paraId="6DEE7A87">
            <w:pPr>
              <w:widowControl w:val="0"/>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同项目名称</w:t>
            </w:r>
          </w:p>
        </w:tc>
        <w:tc>
          <w:tcPr>
            <w:tcW w:w="2670" w:type="dxa"/>
            <w:vAlign w:val="center"/>
          </w:tcPr>
          <w:p w14:paraId="65DA3CE1">
            <w:pPr>
              <w:widowControl w:val="0"/>
              <w:snapToGrid w:val="0"/>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见“第二章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第2条：标段（包）内容（范围）及服务要求”</w:t>
            </w:r>
          </w:p>
        </w:tc>
        <w:tc>
          <w:tcPr>
            <w:tcW w:w="1770" w:type="dxa"/>
            <w:vAlign w:val="center"/>
          </w:tcPr>
          <w:p w14:paraId="2141E6F2">
            <w:pPr>
              <w:widowControl w:val="0"/>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见竞争性磋商公告1.6</w:t>
            </w:r>
          </w:p>
        </w:tc>
        <w:tc>
          <w:tcPr>
            <w:tcW w:w="1489" w:type="dxa"/>
            <w:gridSpan w:val="2"/>
            <w:vAlign w:val="center"/>
          </w:tcPr>
          <w:p w14:paraId="2F897697">
            <w:pPr>
              <w:widowControl w:val="0"/>
              <w:snapToGrid w:val="0"/>
              <w:spacing w:line="24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采购人指定地点</w:t>
            </w:r>
          </w:p>
        </w:tc>
      </w:tr>
    </w:tbl>
    <w:p w14:paraId="2CD86046">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lang w:eastAsia="zh-CN"/>
        </w:rPr>
        <w:t>投标报价</w:t>
      </w:r>
      <w:r>
        <w:rPr>
          <w:rFonts w:hint="eastAsia" w:ascii="黑体" w:hAnsi="黑体" w:eastAsia="黑体"/>
          <w:b/>
          <w:color w:val="auto"/>
          <w:sz w:val="24"/>
          <w:szCs w:val="24"/>
          <w:highlight w:val="none"/>
        </w:rPr>
        <w:t>（价格构成）</w:t>
      </w:r>
    </w:p>
    <w:p w14:paraId="1E4E8C2E">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供应商的</w:t>
      </w:r>
      <w:r>
        <w:rPr>
          <w:rFonts w:hint="eastAsia" w:asciiTheme="minorEastAsia" w:hAnsiTheme="minorEastAsia" w:eastAsiaTheme="minorEastAsia" w:cstheme="minorEastAsia"/>
          <w:color w:val="auto"/>
          <w:sz w:val="24"/>
          <w:szCs w:val="24"/>
          <w:highlight w:val="none"/>
          <w:lang w:eastAsia="zh-CN"/>
        </w:rPr>
        <w:t>投标报价</w:t>
      </w:r>
      <w:r>
        <w:rPr>
          <w:rFonts w:hint="eastAsia" w:asciiTheme="minorEastAsia" w:hAnsiTheme="minorEastAsia" w:eastAsiaTheme="minorEastAsia" w:cstheme="minorEastAsia"/>
          <w:color w:val="auto"/>
          <w:sz w:val="24"/>
          <w:szCs w:val="24"/>
          <w:highlight w:val="none"/>
        </w:rPr>
        <w:t>应为达到服务要求下的</w:t>
      </w:r>
      <w:r>
        <w:rPr>
          <w:rFonts w:hint="eastAsia" w:asciiTheme="minorEastAsia" w:hAnsiTheme="minorEastAsia" w:eastAsiaTheme="minorEastAsia" w:cstheme="minorEastAsia"/>
          <w:color w:val="auto"/>
          <w:sz w:val="24"/>
          <w:szCs w:val="24"/>
          <w:highlight w:val="none"/>
          <w:lang w:val="en-US" w:eastAsia="zh-CN"/>
        </w:rPr>
        <w:t>综合报价</w:t>
      </w:r>
      <w:r>
        <w:rPr>
          <w:rFonts w:hint="eastAsia" w:asciiTheme="minorEastAsia" w:hAnsiTheme="minorEastAsia" w:eastAsiaTheme="minorEastAsia" w:cstheme="minorEastAsia"/>
          <w:color w:val="auto"/>
          <w:sz w:val="24"/>
          <w:szCs w:val="24"/>
          <w:highlight w:val="none"/>
        </w:rPr>
        <w:t>，包括</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用电服务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用电安全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场地设施建设与维护</w:t>
      </w:r>
      <w:r>
        <w:rPr>
          <w:rFonts w:hint="eastAsia" w:asciiTheme="minorEastAsia" w:hAnsiTheme="minorEastAsia" w:eastAsiaTheme="minorEastAsia" w:cstheme="minorEastAsia"/>
          <w:color w:val="auto"/>
          <w:sz w:val="24"/>
          <w:szCs w:val="24"/>
          <w:highlight w:val="none"/>
        </w:rPr>
        <w:t>、相关税费、知识产权（如有）、保险（如需）等与采购项目（标段（包））相关的、必须的款项及费用（包括未列明而</w:t>
      </w:r>
      <w:r>
        <w:rPr>
          <w:rFonts w:hint="eastAsia" w:asciiTheme="minorEastAsia" w:hAnsiTheme="minorEastAsia" w:eastAsiaTheme="minorEastAsia" w:cstheme="minorEastAsia"/>
          <w:color w:val="auto"/>
          <w:sz w:val="24"/>
          <w:szCs w:val="24"/>
          <w:highlight w:val="none"/>
          <w:lang w:val="en-US" w:eastAsia="zh-CN"/>
        </w:rPr>
        <w:t>为</w:t>
      </w:r>
      <w:r>
        <w:rPr>
          <w:rFonts w:hint="eastAsia" w:asciiTheme="minorEastAsia" w:hAnsiTheme="minorEastAsia" w:eastAsiaTheme="minorEastAsia" w:cstheme="minorEastAsia"/>
          <w:color w:val="auto"/>
          <w:sz w:val="24"/>
          <w:szCs w:val="24"/>
          <w:highlight w:val="none"/>
        </w:rPr>
        <w:t>完成交验所必须的所有费用、材料、工具、设施）。成交价格在成交合同范围内固定不变。</w:t>
      </w:r>
    </w:p>
    <w:p w14:paraId="52ED8FDF">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1.3.1.1 本项目按照用电服务费单价进行投标报价，用电服务费单价最高限价为：0.4元/度，投标报价超过单价最高限价的为无效投标。</w:t>
      </w:r>
    </w:p>
    <w:p w14:paraId="4261F1CD">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1.3.1.2 本项目合同价款，按照合同履行期限内项目实际发生额、据实结算，实时结算单价=成交用电服务费单价＋实时基础电费单价；实时基础电费计价以本地电网实时收费标准为最高限价。</w:t>
      </w:r>
    </w:p>
    <w:p w14:paraId="6AA46A15">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1.3.2</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本次竞争性磋商共二次报价（含系统中开标一览表报价共二次价格磋商）。磋商小组未对</w:t>
      </w:r>
      <w:r>
        <w:rPr>
          <w:rFonts w:hint="eastAsia" w:asciiTheme="minorEastAsia" w:hAnsiTheme="minorEastAsia" w:eastAsiaTheme="minorEastAsia" w:cstheme="minorEastAsia"/>
          <w:b w:val="0"/>
          <w:bCs w:val="0"/>
          <w:color w:val="auto"/>
          <w:sz w:val="24"/>
          <w:szCs w:val="24"/>
          <w:highlight w:val="none"/>
          <w:lang w:eastAsia="zh-CN"/>
        </w:rPr>
        <w:t>《磋商文件》</w:t>
      </w:r>
      <w:r>
        <w:rPr>
          <w:rFonts w:hint="eastAsia" w:asciiTheme="minorEastAsia" w:hAnsiTheme="minorEastAsia" w:eastAsiaTheme="minorEastAsia" w:cstheme="minorEastAsia"/>
          <w:b w:val="0"/>
          <w:bCs w:val="0"/>
          <w:color w:val="auto"/>
          <w:sz w:val="24"/>
          <w:szCs w:val="24"/>
          <w:highlight w:val="none"/>
        </w:rPr>
        <w:t>作优化变更增加的，磋商中的报价均不应超过前次报价，供应商擅自调高报价的，磋商小组将按二次报价中的最低报价作为有效报价。供应商拒绝接受上述意见的，磋商小组将视为变相在提交</w:t>
      </w: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截止时间后撤回</w:t>
      </w: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，并评定其为无效投标，依据</w:t>
      </w:r>
      <w:r>
        <w:rPr>
          <w:rFonts w:hint="eastAsia" w:asciiTheme="minorEastAsia" w:hAnsiTheme="minorEastAsia" w:eastAsiaTheme="minorEastAsia" w:cstheme="minorEastAsia"/>
          <w:b w:val="0"/>
          <w:bCs w:val="0"/>
          <w:color w:val="auto"/>
          <w:sz w:val="24"/>
          <w:szCs w:val="24"/>
          <w:highlight w:val="none"/>
          <w:lang w:eastAsia="zh-CN"/>
        </w:rPr>
        <w:t>《磋商文件》</w:t>
      </w:r>
      <w:r>
        <w:rPr>
          <w:rFonts w:hint="eastAsia" w:asciiTheme="minorEastAsia" w:hAnsiTheme="minorEastAsia" w:eastAsiaTheme="minorEastAsia" w:cstheme="minorEastAsia"/>
          <w:b w:val="0"/>
          <w:bCs w:val="0"/>
          <w:color w:val="auto"/>
          <w:sz w:val="24"/>
          <w:szCs w:val="24"/>
          <w:highlight w:val="none"/>
        </w:rPr>
        <w:t>“第三章</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3.5.5 违背承诺的责任追究措施”，供应商承担相应法律责任及违约责任。</w:t>
      </w:r>
    </w:p>
    <w:p w14:paraId="5A7DA3FD">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价格磋商规则详见第四章“评审办法”第“3.4.7 价格磋商”条款。</w:t>
      </w:r>
    </w:p>
    <w:p w14:paraId="18E25C41">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1.3.3 如供应商的</w:t>
      </w:r>
      <w:r>
        <w:rPr>
          <w:rFonts w:hint="eastAsia" w:asciiTheme="minorEastAsia" w:hAnsiTheme="minorEastAsia" w:eastAsiaTheme="minorEastAsia" w:cstheme="minorEastAsia"/>
          <w:b w:val="0"/>
          <w:bCs w:val="0"/>
          <w:color w:val="auto"/>
          <w:sz w:val="24"/>
          <w:szCs w:val="24"/>
          <w:highlight w:val="none"/>
          <w:lang w:eastAsia="zh-CN"/>
        </w:rPr>
        <w:t>投标报价</w:t>
      </w:r>
      <w:r>
        <w:rPr>
          <w:rFonts w:hint="eastAsia" w:asciiTheme="minorEastAsia" w:hAnsiTheme="minorEastAsia" w:eastAsiaTheme="minorEastAsia" w:cstheme="minorEastAsia"/>
          <w:b w:val="0"/>
          <w:bCs w:val="0"/>
          <w:color w:val="auto"/>
          <w:sz w:val="24"/>
          <w:szCs w:val="24"/>
          <w:highlight w:val="none"/>
        </w:rPr>
        <w:t>未超过</w:t>
      </w:r>
      <w:r>
        <w:rPr>
          <w:rFonts w:hint="eastAsia" w:asciiTheme="minorEastAsia" w:hAnsiTheme="minorEastAsia" w:eastAsiaTheme="minorEastAsia" w:cstheme="minorEastAsia"/>
          <w:b w:val="0"/>
          <w:bCs w:val="0"/>
          <w:color w:val="auto"/>
          <w:sz w:val="24"/>
          <w:szCs w:val="24"/>
          <w:highlight w:val="none"/>
          <w:lang w:val="en-US" w:eastAsia="zh-CN"/>
        </w:rPr>
        <w:t>单价最高限价</w:t>
      </w:r>
      <w:r>
        <w:rPr>
          <w:rFonts w:hint="eastAsia" w:asciiTheme="minorEastAsia" w:hAnsiTheme="minorEastAsia" w:eastAsiaTheme="minorEastAsia" w:cstheme="minorEastAsia"/>
          <w:b w:val="0"/>
          <w:bCs w:val="0"/>
          <w:color w:val="auto"/>
          <w:sz w:val="24"/>
          <w:szCs w:val="24"/>
          <w:highlight w:val="none"/>
        </w:rPr>
        <w:t>（见</w:t>
      </w:r>
      <w:r>
        <w:rPr>
          <w:rFonts w:hint="eastAsia" w:asciiTheme="minorEastAsia" w:hAnsiTheme="minorEastAsia" w:eastAsiaTheme="minorEastAsia" w:cstheme="minorEastAsia"/>
          <w:b w:val="0"/>
          <w:bCs w:val="0"/>
          <w:color w:val="auto"/>
          <w:sz w:val="24"/>
          <w:szCs w:val="24"/>
          <w:highlight w:val="none"/>
          <w:lang w:val="en-US" w:eastAsia="zh-CN"/>
        </w:rPr>
        <w:t>上述1.3.1.1目</w:t>
      </w:r>
      <w:r>
        <w:rPr>
          <w:rFonts w:hint="eastAsia" w:asciiTheme="minorEastAsia" w:hAnsiTheme="minorEastAsia" w:eastAsiaTheme="minorEastAsia" w:cstheme="minorEastAsia"/>
          <w:b w:val="0"/>
          <w:bCs w:val="0"/>
          <w:color w:val="auto"/>
          <w:sz w:val="24"/>
          <w:szCs w:val="24"/>
          <w:highlight w:val="none"/>
        </w:rPr>
        <w:t>）的供应商不足三家的，该标段（包）做废标处理。</w:t>
      </w:r>
    </w:p>
    <w:p w14:paraId="0B3D7DF3">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1.3.4</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遵循第三章</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供应商须知</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3.7.5项规定。</w:t>
      </w:r>
    </w:p>
    <w:p w14:paraId="47A9228A">
      <w:pPr>
        <w:spacing w:line="560" w:lineRule="exact"/>
        <w:ind w:firstLine="562" w:firstLineChars="200"/>
        <w:rPr>
          <w:rFonts w:ascii="黑体" w:hAnsi="黑体" w:eastAsia="黑体"/>
          <w:b/>
          <w:color w:val="auto"/>
          <w:sz w:val="28"/>
          <w:highlight w:val="none"/>
        </w:rPr>
      </w:pPr>
    </w:p>
    <w:p w14:paraId="54E3C4B8">
      <w:pPr>
        <w:widowControl w:val="0"/>
        <w:snapToGrid w:val="0"/>
        <w:spacing w:line="360" w:lineRule="auto"/>
        <w:ind w:firstLine="422" w:firstLineChars="150"/>
        <w:jc w:val="left"/>
        <w:outlineLvl w:val="1"/>
        <w:rPr>
          <w:rFonts w:ascii="黑体" w:hAnsi="黑体" w:eastAsia="黑体"/>
          <w:b/>
          <w:color w:val="auto"/>
          <w:sz w:val="28"/>
          <w:highlight w:val="none"/>
        </w:rPr>
      </w:pPr>
      <w:bookmarkStart w:id="11" w:name="_Toc9938"/>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标段（包）内容（范围）及服务要求</w:t>
      </w:r>
      <w:bookmarkEnd w:id="11"/>
    </w:p>
    <w:p w14:paraId="0EE2E92F">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2.1 </w:t>
      </w:r>
      <w:r>
        <w:rPr>
          <w:rFonts w:hint="eastAsia" w:ascii="黑体" w:hAnsi="黑体" w:eastAsia="黑体"/>
          <w:b/>
          <w:color w:val="auto"/>
          <w:sz w:val="24"/>
          <w:szCs w:val="24"/>
          <w:highlight w:val="none"/>
        </w:rPr>
        <w:t>总体服务（方案）要求及标段（包）内容（范围）：</w:t>
      </w:r>
      <w:r>
        <w:rPr>
          <w:rFonts w:hint="eastAsia" w:asciiTheme="minorEastAsia" w:hAnsiTheme="minorEastAsia" w:eastAsiaTheme="minorEastAsia" w:cstheme="minorEastAsia"/>
          <w:color w:val="auto"/>
          <w:sz w:val="24"/>
          <w:szCs w:val="24"/>
          <w:highlight w:val="none"/>
        </w:rPr>
        <w:t>详见下述2.4款</w:t>
      </w:r>
    </w:p>
    <w:p w14:paraId="19667356">
      <w:pPr>
        <w:widowControl w:val="0"/>
        <w:snapToGrid w:val="0"/>
        <w:spacing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2</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项目落实的政府采购政策（法规标准条款）</w:t>
      </w:r>
    </w:p>
    <w:p w14:paraId="1801534D">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2.2.1 政府采购节能产品、环境标志产品实施品目清单管理后，对本次采购产品属于“节能产品政府采购品目清单”中强制采购品目的，投标产品应当具有相应的认证证书（认证证书应当为国家确定的认证机构出具、且应处于有效期之内），</w:t>
      </w:r>
      <w:r>
        <w:rPr>
          <w:rFonts w:hint="eastAsia" w:asciiTheme="minorEastAsia" w:hAnsiTheme="minorEastAsia" w:eastAsiaTheme="minorEastAsia" w:cstheme="minorEastAsia"/>
          <w:b w:val="0"/>
          <w:bCs w:val="0"/>
          <w:color w:val="auto"/>
          <w:sz w:val="24"/>
          <w:szCs w:val="24"/>
          <w:highlight w:val="none"/>
          <w:lang w:val="zh-CN"/>
        </w:rPr>
        <w:t>《</w:t>
      </w:r>
      <w:r>
        <w:rPr>
          <w:rFonts w:hint="eastAsia" w:asciiTheme="minorEastAsia" w:hAnsiTheme="minorEastAsia" w:eastAsiaTheme="minorEastAsia" w:cstheme="minorEastAsia"/>
          <w:b w:val="0"/>
          <w:bCs w:val="0"/>
          <w:color w:val="auto"/>
          <w:sz w:val="24"/>
          <w:szCs w:val="24"/>
          <w:highlight w:val="none"/>
          <w:lang w:val="en-US" w:eastAsia="zh-CN"/>
        </w:rPr>
        <w:t>响应文件</w:t>
      </w:r>
      <w:r>
        <w:rPr>
          <w:rFonts w:hint="eastAsia" w:asciiTheme="minorEastAsia" w:hAnsiTheme="minorEastAsia" w:eastAsiaTheme="minorEastAsia" w:cstheme="minorEastAsia"/>
          <w:b w:val="0"/>
          <w:bCs w:val="0"/>
          <w:color w:val="auto"/>
          <w:sz w:val="24"/>
          <w:szCs w:val="24"/>
          <w:highlight w:val="none"/>
          <w:lang w:val="zh-CN"/>
        </w:rPr>
        <w:t>》</w:t>
      </w:r>
      <w:r>
        <w:rPr>
          <w:rFonts w:hint="eastAsia" w:asciiTheme="minorEastAsia" w:hAnsiTheme="minorEastAsia" w:eastAsiaTheme="minorEastAsia" w:cstheme="minorEastAsia"/>
          <w:b w:val="0"/>
          <w:bCs w:val="0"/>
          <w:color w:val="auto"/>
          <w:sz w:val="24"/>
          <w:szCs w:val="24"/>
          <w:highlight w:val="none"/>
        </w:rPr>
        <w:t>中应当提供相应的认证证书（认证证书应当为国家确定的认证机构出具、且应处于有效期之内）。</w:t>
      </w:r>
    </w:p>
    <w:p w14:paraId="0AC544B7">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属于政府强制采购品目、而未按要求提供相应资料的，为无效投标。</w:t>
      </w:r>
    </w:p>
    <w:p w14:paraId="62E48285">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2.2.2 同等条件下，获得节能产品认证证书或环境标志产品认证证书的产品优先采购。(认证证书应当为国家确定的认证机构出具、且应处于有效期之内。)</w:t>
      </w:r>
    </w:p>
    <w:p w14:paraId="0FF456A3">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2.2.3</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应处于有效期内）。</w:t>
      </w:r>
    </w:p>
    <w:p w14:paraId="28DE99A0">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2.2.4</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计算机产品须预装正版操作系统软件。</w:t>
      </w:r>
    </w:p>
    <w:p w14:paraId="096E1DC0">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2.2.5 本次采购不允许进口产品参加。</w:t>
      </w:r>
    </w:p>
    <w:p w14:paraId="1085C024">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2.2.6</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如允许采购进口产品的，优先采购向我国企业转让技术、与我国企业签订消化吸收再创新方案的供应商的进口产品。</w:t>
      </w:r>
    </w:p>
    <w:p w14:paraId="2CFAFEEF">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2.2.7 促进中小企业发展扶持政策：见第四章“评审办法”第4条。</w:t>
      </w:r>
    </w:p>
    <w:p w14:paraId="0D0B0671">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2.2.8</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促进残疾人就业、支持监狱企业发展：见第四章“评审办法”第4条。</w:t>
      </w:r>
    </w:p>
    <w:p w14:paraId="3E2CA82A">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2.2.9 所供产品有商品包装的应当使用绿色包装。所供产品有其他环保政策要求的，应符合相关环保法律政策要求。</w:t>
      </w:r>
    </w:p>
    <w:p w14:paraId="22B39DF3">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2.2.10 支持绿色建筑、绿色建材，支持使用低VOCs含量涂料和胶黏剂，支持不发达、少数民族地区的企业，促进自主创新产业发展，支持脱贫攻坚等；同等条件下，优先采购。</w:t>
      </w:r>
    </w:p>
    <w:p w14:paraId="6A187A87">
      <w:pPr>
        <w:widowControl w:val="0"/>
        <w:snapToGrid w:val="0"/>
        <w:spacing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lang w:val="en-US" w:eastAsia="zh-CN"/>
        </w:rPr>
        <w:t xml:space="preserve"> </w:t>
      </w:r>
      <w:r>
        <w:rPr>
          <w:rFonts w:hint="eastAsia" w:ascii="黑体" w:hAnsi="黑体" w:eastAsia="黑体"/>
          <w:b/>
          <w:color w:val="auto"/>
          <w:sz w:val="24"/>
          <w:szCs w:val="24"/>
          <w:highlight w:val="none"/>
        </w:rPr>
        <w:t>采购标的需执行的国家相关标准、行业标准、地方标准或者其他标准、规范</w:t>
      </w:r>
    </w:p>
    <w:p w14:paraId="43A3F7F5">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供应商所报响应服务（及所涉货物材料设施）应符合国家质量标准、部颁标准及行业规范的要求，符合国家各项强制性规范及安全标准，响应服务（及所涉货物材料设施）不应与第三方存在知识产权权属问题；供应商应本着服务客户、为客户着想的宗旨，来完善服务（及所涉货物材料设施）及技术要求未尽事宜，不得以</w:t>
      </w:r>
      <w:r>
        <w:rPr>
          <w:rFonts w:hint="eastAsia" w:asciiTheme="minorEastAsia" w:hAnsiTheme="minorEastAsia" w:eastAsiaTheme="minorEastAsia" w:cstheme="minorEastAsia"/>
          <w:b w:val="0"/>
          <w:bCs w:val="0"/>
          <w:color w:val="auto"/>
          <w:sz w:val="24"/>
          <w:szCs w:val="24"/>
          <w:highlight w:val="none"/>
          <w:lang w:eastAsia="zh-CN"/>
        </w:rPr>
        <w:t>《磋商文件》</w:t>
      </w:r>
      <w:r>
        <w:rPr>
          <w:rFonts w:hint="eastAsia" w:asciiTheme="minorEastAsia" w:hAnsiTheme="minorEastAsia" w:eastAsiaTheme="minorEastAsia" w:cstheme="minorEastAsia"/>
          <w:b w:val="0"/>
          <w:bCs w:val="0"/>
          <w:color w:val="auto"/>
          <w:sz w:val="24"/>
          <w:szCs w:val="24"/>
          <w:highlight w:val="none"/>
        </w:rPr>
        <w:t>未列明事项为由，来降低响应服务（及所涉货物材料设施）的质量。</w:t>
      </w:r>
    </w:p>
    <w:p w14:paraId="2E8882D7">
      <w:pPr>
        <w:widowControl w:val="0"/>
        <w:snapToGrid w:val="0"/>
        <w:spacing w:line="36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4</w:t>
      </w:r>
      <w:r>
        <w:rPr>
          <w:rFonts w:hint="eastAsia" w:ascii="黑体" w:hAnsi="黑体" w:eastAsia="黑体"/>
          <w:b/>
          <w:color w:val="auto"/>
          <w:sz w:val="24"/>
          <w:szCs w:val="24"/>
          <w:highlight w:val="none"/>
          <w:lang w:val="en-US" w:eastAsia="zh-CN"/>
        </w:rPr>
        <w:t xml:space="preserve"> </w:t>
      </w:r>
      <w:r>
        <w:rPr>
          <w:rFonts w:hint="eastAsia" w:ascii="黑体" w:hAnsi="黑体" w:eastAsia="黑体"/>
          <w:b/>
          <w:color w:val="auto"/>
          <w:sz w:val="24"/>
          <w:szCs w:val="24"/>
          <w:highlight w:val="none"/>
        </w:rPr>
        <w:t>具体服务要求及标段（包）内容（范围）</w:t>
      </w:r>
    </w:p>
    <w:p w14:paraId="6FBE43C4">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一、</w:t>
      </w:r>
      <w:r>
        <w:rPr>
          <w:rFonts w:hint="eastAsia" w:asciiTheme="minorEastAsia" w:hAnsiTheme="minorEastAsia" w:eastAsiaTheme="minorEastAsia" w:cstheme="minorEastAsia"/>
          <w:b/>
          <w:bCs/>
          <w:color w:val="auto"/>
          <w:sz w:val="24"/>
          <w:szCs w:val="24"/>
          <w:highlight w:val="none"/>
          <w:lang w:val="en-US" w:eastAsia="zh-CN"/>
        </w:rPr>
        <w:t>场地要求</w:t>
      </w:r>
    </w:p>
    <w:p w14:paraId="37396BD7">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鉴于项目特性，供应商应在市区内运营有与采购人车队规模相匹配的专业集中充电场所：</w:t>
      </w:r>
    </w:p>
    <w:p w14:paraId="5B683A39">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1、</w:t>
      </w:r>
      <w:r>
        <w:rPr>
          <w:rFonts w:hint="eastAsia" w:asciiTheme="minorEastAsia" w:hAnsiTheme="minorEastAsia" w:eastAsiaTheme="minorEastAsia" w:cstheme="minorEastAsia"/>
          <w:b w:val="0"/>
          <w:bCs w:val="0"/>
          <w:color w:val="auto"/>
          <w:sz w:val="24"/>
          <w:szCs w:val="24"/>
          <w:highlight w:val="none"/>
          <w:lang w:val="en-US" w:eastAsia="zh-CN"/>
        </w:rPr>
        <w:t>配备总枪数不少于15枪的充电桩及其配套设施。</w:t>
      </w:r>
    </w:p>
    <w:p w14:paraId="077141EA">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2、</w:t>
      </w:r>
      <w:r>
        <w:rPr>
          <w:rFonts w:hint="eastAsia" w:asciiTheme="minorEastAsia" w:hAnsiTheme="minorEastAsia" w:eastAsiaTheme="minorEastAsia" w:cstheme="minorEastAsia"/>
          <w:b w:val="0"/>
          <w:bCs w:val="0"/>
          <w:color w:val="auto"/>
          <w:sz w:val="24"/>
          <w:szCs w:val="24"/>
          <w:highlight w:val="none"/>
          <w:lang w:val="en-US" w:eastAsia="zh-CN"/>
        </w:rPr>
        <w:t>场地宽敞，满足大型环卫车辆的进场需求，24小时营业。</w:t>
      </w:r>
    </w:p>
    <w:p w14:paraId="38B22CA6">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3、</w:t>
      </w:r>
      <w:r>
        <w:rPr>
          <w:rFonts w:hint="eastAsia" w:asciiTheme="minorEastAsia" w:hAnsiTheme="minorEastAsia" w:eastAsiaTheme="minorEastAsia" w:cstheme="minorEastAsia"/>
          <w:b w:val="0"/>
          <w:bCs w:val="0"/>
          <w:color w:val="auto"/>
          <w:sz w:val="24"/>
          <w:szCs w:val="24"/>
          <w:highlight w:val="none"/>
          <w:lang w:eastAsia="zh-Hans"/>
        </w:rPr>
        <w:t>不得收取采购</w:t>
      </w:r>
      <w:r>
        <w:rPr>
          <w:rFonts w:hint="eastAsia" w:asciiTheme="minorEastAsia" w:hAnsiTheme="minorEastAsia" w:eastAsiaTheme="minorEastAsia" w:cstheme="minorEastAsia"/>
          <w:b w:val="0"/>
          <w:bCs w:val="0"/>
          <w:color w:val="auto"/>
          <w:sz w:val="24"/>
          <w:szCs w:val="24"/>
          <w:highlight w:val="none"/>
        </w:rPr>
        <w:t>人</w:t>
      </w:r>
      <w:r>
        <w:rPr>
          <w:rFonts w:hint="eastAsia" w:asciiTheme="minorEastAsia" w:hAnsiTheme="minorEastAsia" w:eastAsiaTheme="minorEastAsia" w:cstheme="minorEastAsia"/>
          <w:b w:val="0"/>
          <w:bCs w:val="0"/>
          <w:color w:val="auto"/>
          <w:sz w:val="24"/>
          <w:szCs w:val="24"/>
          <w:highlight w:val="none"/>
          <w:lang w:eastAsia="zh-Hans"/>
        </w:rPr>
        <w:t>车辆的停车费，包括夜间长期停放车辆的超时停车费</w:t>
      </w:r>
      <w:r>
        <w:rPr>
          <w:rFonts w:hint="eastAsia" w:asciiTheme="minorEastAsia" w:hAnsiTheme="minorEastAsia" w:eastAsiaTheme="minorEastAsia" w:cstheme="minorEastAsia"/>
          <w:b w:val="0"/>
          <w:bCs w:val="0"/>
          <w:color w:val="auto"/>
          <w:sz w:val="24"/>
          <w:szCs w:val="24"/>
          <w:highlight w:val="none"/>
          <w:lang w:eastAsia="zh-CN"/>
        </w:rPr>
        <w:t>。</w:t>
      </w:r>
    </w:p>
    <w:p w14:paraId="50BA5020">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4、</w:t>
      </w:r>
      <w:r>
        <w:rPr>
          <w:rFonts w:hint="eastAsia" w:asciiTheme="minorEastAsia" w:hAnsiTheme="minorEastAsia" w:eastAsiaTheme="minorEastAsia" w:cstheme="minorEastAsia"/>
          <w:b w:val="0"/>
          <w:bCs w:val="0"/>
          <w:color w:val="auto"/>
          <w:sz w:val="24"/>
          <w:szCs w:val="24"/>
          <w:highlight w:val="none"/>
          <w:lang w:val="en-US" w:eastAsia="zh-CN"/>
        </w:rPr>
        <w:t>场地相关用电安全、消防安全、安全生产等符合国家及行业规范和标准，不得存在安全隐患。</w:t>
      </w:r>
    </w:p>
    <w:p w14:paraId="0F07E3C4">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场地</w:t>
      </w:r>
      <w:r>
        <w:rPr>
          <w:rFonts w:hint="eastAsia" w:asciiTheme="minorEastAsia" w:hAnsiTheme="minorEastAsia" w:eastAsiaTheme="minorEastAsia" w:cstheme="minorEastAsia"/>
          <w:b w:val="0"/>
          <w:bCs w:val="0"/>
          <w:color w:val="auto"/>
          <w:sz w:val="24"/>
          <w:szCs w:val="24"/>
          <w:highlight w:val="none"/>
          <w:u w:color="000000"/>
          <w:lang w:val="en-US" w:eastAsia="zh-CN" w:bidi="ar-SA"/>
        </w:rPr>
        <w:t>及充电设施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来源合法，不涉及所有权、知识产权等任何权利纠纷。</w:t>
      </w:r>
    </w:p>
    <w:p w14:paraId="0F00CF8F">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充电设施要求</w:t>
      </w:r>
    </w:p>
    <w:p w14:paraId="1DCC532D">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1、充电桩</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单枪功率</w:t>
      </w:r>
      <w:r>
        <w:rPr>
          <w:rFonts w:hint="eastAsia" w:asciiTheme="minorEastAsia" w:hAnsiTheme="minorEastAsia" w:eastAsiaTheme="minorEastAsia" w:cstheme="minorEastAsia"/>
          <w:b w:val="0"/>
          <w:bCs w:val="0"/>
          <w:color w:val="auto"/>
          <w:sz w:val="24"/>
          <w:szCs w:val="24"/>
          <w:highlight w:val="none"/>
          <w:u w:color="000000"/>
          <w:lang w:val="en-US" w:eastAsia="zh-CN" w:bidi="ar-SA"/>
        </w:rPr>
        <w:t>≥120</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KW</w:t>
      </w:r>
      <w:r>
        <w:rPr>
          <w:rFonts w:hint="eastAsia" w:asciiTheme="minorEastAsia" w:hAnsiTheme="minorEastAsia" w:eastAsiaTheme="minorEastAsia" w:cstheme="minorEastAsia"/>
          <w:b w:val="0"/>
          <w:bCs w:val="0"/>
          <w:color w:val="auto"/>
          <w:sz w:val="24"/>
          <w:szCs w:val="24"/>
          <w:highlight w:val="none"/>
          <w:u w:color="000000"/>
          <w:lang w:val="en-US" w:eastAsia="zh-CN" w:bidi="ar-SA"/>
        </w:rPr>
        <w:t>，采用</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直流快充</w:t>
      </w:r>
      <w:r>
        <w:rPr>
          <w:rFonts w:hint="eastAsia" w:asciiTheme="minorEastAsia" w:hAnsiTheme="minorEastAsia" w:eastAsiaTheme="minorEastAsia" w:cstheme="minorEastAsia"/>
          <w:b w:val="0"/>
          <w:bCs w:val="0"/>
          <w:color w:val="auto"/>
          <w:sz w:val="24"/>
          <w:szCs w:val="24"/>
          <w:highlight w:val="none"/>
          <w:lang w:val="en-US" w:eastAsia="zh-CN"/>
        </w:rPr>
        <w:t>。</w:t>
      </w:r>
    </w:p>
    <w:p w14:paraId="6106C6CB">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2、充电设施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符合国家及行业规范和标准</w:t>
      </w:r>
      <w:r>
        <w:rPr>
          <w:rFonts w:hint="eastAsia" w:asciiTheme="minorEastAsia" w:hAnsiTheme="minorEastAsia" w:eastAsiaTheme="minorEastAsia" w:cstheme="minorEastAsia"/>
          <w:b w:val="0"/>
          <w:bCs w:val="0"/>
          <w:color w:val="auto"/>
          <w:sz w:val="24"/>
          <w:szCs w:val="24"/>
          <w:highlight w:val="none"/>
          <w:u w:color="000000"/>
          <w:lang w:val="en-US" w:eastAsia="zh-CN" w:bidi="ar-SA"/>
        </w:rPr>
        <w:t>，严禁使用非标产品。</w:t>
      </w:r>
    </w:p>
    <w:p w14:paraId="312465A4">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3、充电设施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符合国家及行业电气安全标准，具备过压、过流、短路等保护</w:t>
      </w:r>
      <w:r>
        <w:rPr>
          <w:rFonts w:hint="eastAsia" w:asciiTheme="minorEastAsia" w:hAnsiTheme="minorEastAsia" w:eastAsiaTheme="minorEastAsia" w:cstheme="minorEastAsia"/>
          <w:b w:val="0"/>
          <w:bCs w:val="0"/>
          <w:color w:val="auto"/>
          <w:sz w:val="24"/>
          <w:szCs w:val="24"/>
          <w:highlight w:val="none"/>
          <w:u w:color="000000"/>
          <w:lang w:val="en-US" w:eastAsia="zh-CN" w:bidi="ar-SA"/>
        </w:rPr>
        <w:t>装置</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；防火防爆；适应高温、低温等</w:t>
      </w:r>
      <w:r>
        <w:rPr>
          <w:rFonts w:hint="eastAsia" w:asciiTheme="minorEastAsia" w:hAnsiTheme="minorEastAsia" w:eastAsiaTheme="minorEastAsia" w:cstheme="minorEastAsia"/>
          <w:b w:val="0"/>
          <w:bCs w:val="0"/>
          <w:color w:val="auto"/>
          <w:sz w:val="24"/>
          <w:szCs w:val="24"/>
          <w:highlight w:val="none"/>
          <w:u w:color="000000"/>
          <w:lang w:val="en-US" w:eastAsia="zh-CN" w:bidi="ar-SA"/>
        </w:rPr>
        <w:t>作业</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环境。</w:t>
      </w:r>
    </w:p>
    <w:p w14:paraId="041982B2">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4、充电设施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可根据充电温度系数、充电时长系数等数据实时调整充电输出，实现保护车辆电池的目标。</w:t>
      </w:r>
    </w:p>
    <w:p w14:paraId="09EC61D5">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Hans"/>
        </w:rPr>
      </w:pP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eastAsia="zh-Hans"/>
        </w:rPr>
        <w:t>、充电运营管理平台要求</w:t>
      </w:r>
    </w:p>
    <w:p w14:paraId="14C0166B">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1、</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充电运营管理平台能够</w:t>
      </w:r>
      <w:r>
        <w:rPr>
          <w:rFonts w:hint="eastAsia" w:asciiTheme="minorEastAsia" w:hAnsiTheme="minorEastAsia" w:eastAsiaTheme="minorEastAsia" w:cstheme="minorEastAsia"/>
          <w:b w:val="0"/>
          <w:bCs w:val="0"/>
          <w:color w:val="auto"/>
          <w:sz w:val="24"/>
          <w:szCs w:val="24"/>
          <w:highlight w:val="none"/>
          <w:u w:color="000000"/>
          <w:lang w:val="en-US" w:eastAsia="zh-CN" w:bidi="ar-SA"/>
        </w:rPr>
        <w:t>实时</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监控车辆充电安全，对异常充电车辆发送安全防护预警信息，保护车辆安全。</w:t>
      </w:r>
    </w:p>
    <w:p w14:paraId="2959A04A">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2、能够实现车辆充电相关数据（包括费用）的实时统计与汇总记录。</w:t>
      </w:r>
    </w:p>
    <w:p w14:paraId="5BBC465B">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eastAsia="zh-Hans"/>
        </w:rPr>
        <w:t>、</w:t>
      </w:r>
      <w:r>
        <w:rPr>
          <w:rFonts w:hint="eastAsia" w:asciiTheme="minorEastAsia" w:hAnsiTheme="minorEastAsia" w:eastAsiaTheme="minorEastAsia" w:cstheme="minorEastAsia"/>
          <w:b/>
          <w:bCs/>
          <w:color w:val="auto"/>
          <w:sz w:val="24"/>
          <w:szCs w:val="24"/>
          <w:highlight w:val="none"/>
          <w:lang w:val="en-US" w:eastAsia="zh-CN"/>
        </w:rPr>
        <w:t>服务</w:t>
      </w:r>
      <w:r>
        <w:rPr>
          <w:rFonts w:hint="eastAsia" w:asciiTheme="minorEastAsia" w:hAnsiTheme="minorEastAsia" w:eastAsiaTheme="minorEastAsia" w:cstheme="minorEastAsia"/>
          <w:b/>
          <w:bCs/>
          <w:color w:val="auto"/>
          <w:sz w:val="24"/>
          <w:szCs w:val="24"/>
          <w:highlight w:val="none"/>
          <w:lang w:val="en-US" w:eastAsia="zh-Hans"/>
        </w:rPr>
        <w:t>要求</w:t>
      </w:r>
    </w:p>
    <w:p w14:paraId="331EBDAF">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1、提供24小时充电服务。</w:t>
      </w:r>
    </w:p>
    <w:p w14:paraId="0A31B775">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2、服务期内，如遇设备故障，导致无法正常进行充电服务的，应在1-3个小时内到现场组织维修；如短期内不能修复的，</w:t>
      </w:r>
      <w:r>
        <w:rPr>
          <w:rFonts w:hint="eastAsia" w:asciiTheme="minorEastAsia" w:hAnsiTheme="minorEastAsia" w:eastAsiaTheme="minorEastAsia" w:cstheme="minorEastAsia"/>
          <w:b w:val="0"/>
          <w:bCs w:val="0"/>
          <w:color w:val="auto"/>
          <w:sz w:val="24"/>
          <w:szCs w:val="24"/>
          <w:highlight w:val="none"/>
          <w:u w:color="000000"/>
          <w:lang w:val="en-US" w:eastAsia="zh-CN" w:bidi="ar-SA"/>
        </w:rPr>
        <w:t>须</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由</w:t>
      </w:r>
      <w:r>
        <w:rPr>
          <w:rFonts w:hint="eastAsia" w:asciiTheme="minorEastAsia" w:hAnsiTheme="minorEastAsia" w:eastAsiaTheme="minorEastAsia" w:cstheme="minorEastAsia"/>
          <w:b w:val="0"/>
          <w:bCs w:val="0"/>
          <w:color w:val="auto"/>
          <w:sz w:val="24"/>
          <w:szCs w:val="24"/>
          <w:highlight w:val="none"/>
          <w:u w:color="000000"/>
          <w:lang w:val="en-US" w:eastAsia="zh-CN" w:bidi="ar-SA"/>
        </w:rPr>
        <w:t>成交供应商负责</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协调就近区域的充电场地，为采购人车辆提供充电服务。</w:t>
      </w:r>
    </w:p>
    <w:p w14:paraId="3B7D535A">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3、配备相关技术人员，定期对充电</w:t>
      </w:r>
      <w:r>
        <w:rPr>
          <w:rFonts w:hint="eastAsia" w:asciiTheme="minorEastAsia" w:hAnsiTheme="minorEastAsia" w:eastAsiaTheme="minorEastAsia" w:cstheme="minorEastAsia"/>
          <w:b w:val="0"/>
          <w:bCs w:val="0"/>
          <w:color w:val="auto"/>
          <w:sz w:val="24"/>
          <w:szCs w:val="24"/>
          <w:highlight w:val="none"/>
          <w:u w:color="000000"/>
          <w:lang w:val="en-US" w:eastAsia="zh-CN" w:bidi="ar-SA"/>
        </w:rPr>
        <w:t>场所</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及充电设施进行检查维护及保养。</w:t>
      </w:r>
    </w:p>
    <w:p w14:paraId="59FFEFC1">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4、根据采购人需要，不定期为驾驶员</w:t>
      </w:r>
      <w:r>
        <w:rPr>
          <w:rFonts w:hint="eastAsia" w:asciiTheme="minorEastAsia" w:hAnsiTheme="minorEastAsia" w:eastAsiaTheme="minorEastAsia" w:cstheme="minorEastAsia"/>
          <w:b w:val="0"/>
          <w:bCs w:val="0"/>
          <w:color w:val="auto"/>
          <w:sz w:val="24"/>
          <w:szCs w:val="24"/>
          <w:highlight w:val="none"/>
          <w:u w:color="000000"/>
          <w:lang w:val="en-US" w:eastAsia="zh-CN" w:bidi="ar-SA"/>
        </w:rPr>
        <w:t>组织</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提供免费</w:t>
      </w:r>
      <w:r>
        <w:rPr>
          <w:rFonts w:hint="eastAsia" w:asciiTheme="minorEastAsia" w:hAnsiTheme="minorEastAsia" w:eastAsiaTheme="minorEastAsia" w:cstheme="minorEastAsia"/>
          <w:b w:val="0"/>
          <w:bCs w:val="0"/>
          <w:color w:val="auto"/>
          <w:sz w:val="24"/>
          <w:szCs w:val="24"/>
          <w:highlight w:val="none"/>
          <w:u w:color="000000"/>
          <w:lang w:val="en-US" w:eastAsia="zh-CN" w:bidi="ar-SA"/>
        </w:rPr>
        <w:t>的充电设施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使用安全规范培训。</w:t>
      </w:r>
    </w:p>
    <w:p w14:paraId="76035388">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5、提供专门的绿色通道，保证采购人车辆随到随充</w:t>
      </w:r>
      <w:r>
        <w:rPr>
          <w:rFonts w:hint="eastAsia" w:asciiTheme="minorEastAsia" w:hAnsiTheme="minorEastAsia" w:eastAsiaTheme="minorEastAsia" w:cstheme="minorEastAsia"/>
          <w:b w:val="0"/>
          <w:bCs w:val="0"/>
          <w:color w:val="auto"/>
          <w:sz w:val="24"/>
          <w:szCs w:val="24"/>
          <w:highlight w:val="none"/>
          <w:u w:color="000000"/>
          <w:lang w:val="en-US" w:eastAsia="zh-CN" w:bidi="ar-SA"/>
        </w:rPr>
        <w:t>，采购人车辆有优先充电权，严禁限制采购人车辆的充电时段，不得以任何理由拒绝采购人车辆的充电要求</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w:t>
      </w:r>
    </w:p>
    <w:p w14:paraId="4DA3BC42">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6</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、充电</w:t>
      </w:r>
      <w:r>
        <w:rPr>
          <w:rFonts w:hint="eastAsia" w:asciiTheme="minorEastAsia" w:hAnsiTheme="minorEastAsia" w:eastAsiaTheme="minorEastAsia" w:cstheme="minorEastAsia"/>
          <w:b w:val="0"/>
          <w:bCs w:val="0"/>
          <w:color w:val="auto"/>
          <w:sz w:val="24"/>
          <w:szCs w:val="24"/>
          <w:highlight w:val="none"/>
          <w:u w:color="000000"/>
          <w:lang w:val="en-US" w:eastAsia="zh-CN" w:bidi="ar-SA"/>
        </w:rPr>
        <w:t>场所及充电设施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相关的审批、核准、备案等</w:t>
      </w:r>
      <w:r>
        <w:rPr>
          <w:rFonts w:hint="eastAsia" w:asciiTheme="minorEastAsia" w:hAnsiTheme="minorEastAsia" w:eastAsiaTheme="minorEastAsia" w:cstheme="minorEastAsia"/>
          <w:b w:val="0"/>
          <w:bCs w:val="0"/>
          <w:color w:val="auto"/>
          <w:sz w:val="24"/>
          <w:szCs w:val="24"/>
          <w:highlight w:val="none"/>
          <w:u w:color="000000"/>
          <w:lang w:val="en-US" w:eastAsia="zh-CN" w:bidi="ar-SA"/>
        </w:rPr>
        <w:t>相关</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手续</w:t>
      </w:r>
      <w:r>
        <w:rPr>
          <w:rFonts w:hint="eastAsia" w:asciiTheme="minorEastAsia" w:hAnsiTheme="minorEastAsia" w:eastAsiaTheme="minorEastAsia" w:cstheme="minorEastAsia"/>
          <w:b w:val="0"/>
          <w:bCs w:val="0"/>
          <w:color w:val="auto"/>
          <w:sz w:val="24"/>
          <w:szCs w:val="24"/>
          <w:highlight w:val="none"/>
          <w:u w:color="000000"/>
          <w:lang w:val="en-US" w:eastAsia="zh-CN" w:bidi="ar-SA"/>
        </w:rPr>
        <w:t>完备。</w:t>
      </w:r>
    </w:p>
    <w:p w14:paraId="3D0F4D32">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7、按照规范办理作业人员及场地、设备设施的法定保险，成交供应商</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承担</w:t>
      </w:r>
      <w:r>
        <w:rPr>
          <w:rFonts w:hint="eastAsia" w:asciiTheme="minorEastAsia" w:hAnsiTheme="minorEastAsia" w:eastAsiaTheme="minorEastAsia" w:cstheme="minorEastAsia"/>
          <w:b w:val="0"/>
          <w:bCs w:val="0"/>
          <w:color w:val="auto"/>
          <w:sz w:val="24"/>
          <w:szCs w:val="24"/>
          <w:highlight w:val="none"/>
          <w:u w:color="000000"/>
          <w:lang w:val="en-US" w:eastAsia="zh-CN" w:bidi="ar-SA"/>
        </w:rPr>
        <w:t>服务期内的一切人员及财产事故损失责任及风险；事故损害采购人权益的，按照相关标准负责赔偿；事故损害第三人权益的，成交供应商负责善后处理，采购人不承担任何责任。</w:t>
      </w:r>
    </w:p>
    <w:p w14:paraId="685D0A3C">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8</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w:t>
      </w:r>
      <w:r>
        <w:rPr>
          <w:rFonts w:hint="eastAsia" w:asciiTheme="minorEastAsia" w:hAnsiTheme="minorEastAsia" w:eastAsiaTheme="minorEastAsia" w:cstheme="minorEastAsia"/>
          <w:b w:val="0"/>
          <w:bCs w:val="0"/>
          <w:color w:val="auto"/>
          <w:sz w:val="24"/>
          <w:szCs w:val="24"/>
          <w:highlight w:val="none"/>
          <w:u w:color="000000"/>
          <w:lang w:val="en-US" w:eastAsia="zh-CN" w:bidi="ar-SA"/>
        </w:rPr>
        <w:t>规范经营、合法经营</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w:t>
      </w:r>
      <w:r>
        <w:rPr>
          <w:rFonts w:hint="eastAsia" w:asciiTheme="minorEastAsia" w:hAnsiTheme="minorEastAsia" w:eastAsiaTheme="minorEastAsia" w:cstheme="minorEastAsia"/>
          <w:b w:val="0"/>
          <w:bCs w:val="0"/>
          <w:color w:val="auto"/>
          <w:sz w:val="24"/>
          <w:szCs w:val="24"/>
          <w:highlight w:val="none"/>
          <w:u w:color="000000"/>
          <w:lang w:val="en-US" w:eastAsia="zh-CN" w:bidi="ar-SA"/>
        </w:rPr>
        <w:t>一切经营责任及风险</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责任</w:t>
      </w:r>
      <w:r>
        <w:rPr>
          <w:rFonts w:hint="eastAsia" w:asciiTheme="minorEastAsia" w:hAnsiTheme="minorEastAsia" w:eastAsiaTheme="minorEastAsia" w:cstheme="minorEastAsia"/>
          <w:b w:val="0"/>
          <w:bCs w:val="0"/>
          <w:color w:val="auto"/>
          <w:sz w:val="24"/>
          <w:szCs w:val="24"/>
          <w:highlight w:val="none"/>
          <w:u w:color="000000"/>
          <w:lang w:val="en-US" w:eastAsia="zh-CN" w:bidi="ar-SA"/>
        </w:rPr>
        <w:t>由成交供应商自行承担，损害采购人权益的，按照相关标准负责赔偿及善后处理。</w:t>
      </w:r>
    </w:p>
    <w:p w14:paraId="4A811906">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五、合同履行</w:t>
      </w:r>
    </w:p>
    <w:p w14:paraId="01AA7A8D">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1、</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服务期内因政策</w:t>
      </w:r>
      <w:r>
        <w:rPr>
          <w:rFonts w:hint="eastAsia" w:asciiTheme="minorEastAsia" w:hAnsiTheme="minorEastAsia" w:eastAsiaTheme="minorEastAsia" w:cstheme="minorEastAsia"/>
          <w:b w:val="0"/>
          <w:bCs w:val="0"/>
          <w:color w:val="auto"/>
          <w:sz w:val="24"/>
          <w:szCs w:val="24"/>
          <w:highlight w:val="none"/>
          <w:u w:color="000000"/>
          <w:lang w:val="en-US" w:eastAsia="zh-CN" w:bidi="ar-SA"/>
        </w:rPr>
        <w:t>调整</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等原因，</w:t>
      </w:r>
      <w:r>
        <w:rPr>
          <w:rFonts w:hint="eastAsia" w:asciiTheme="minorEastAsia" w:hAnsiTheme="minorEastAsia" w:eastAsiaTheme="minorEastAsia" w:cstheme="minorEastAsia"/>
          <w:b w:val="0"/>
          <w:bCs w:val="0"/>
          <w:color w:val="auto"/>
          <w:sz w:val="24"/>
          <w:szCs w:val="24"/>
          <w:highlight w:val="none"/>
          <w:u w:color="000000"/>
          <w:lang w:val="en-US" w:eastAsia="zh-CN" w:bidi="ar-SA"/>
        </w:rPr>
        <w:t>导致</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采购人不再具有充电服务需求的，书面通知成交供应商后，</w:t>
      </w:r>
      <w:r>
        <w:rPr>
          <w:rFonts w:hint="eastAsia" w:asciiTheme="minorEastAsia" w:hAnsiTheme="minorEastAsia" w:eastAsiaTheme="minorEastAsia" w:cstheme="minorEastAsia"/>
          <w:b w:val="0"/>
          <w:bCs w:val="0"/>
          <w:color w:val="auto"/>
          <w:sz w:val="24"/>
          <w:szCs w:val="24"/>
          <w:highlight w:val="none"/>
          <w:u w:color="000000"/>
          <w:lang w:val="en-US" w:eastAsia="zh-CN" w:bidi="ar-SA"/>
        </w:rPr>
        <w:t>视为合同</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终止，采购人</w:t>
      </w:r>
      <w:r>
        <w:rPr>
          <w:rFonts w:hint="eastAsia" w:asciiTheme="minorEastAsia" w:hAnsiTheme="minorEastAsia" w:eastAsiaTheme="minorEastAsia" w:cstheme="minorEastAsia"/>
          <w:b w:val="0"/>
          <w:bCs w:val="0"/>
          <w:color w:val="auto"/>
          <w:sz w:val="24"/>
          <w:szCs w:val="24"/>
          <w:highlight w:val="none"/>
          <w:u w:color="000000"/>
          <w:lang w:val="en-US" w:eastAsia="zh-CN" w:bidi="ar-SA"/>
        </w:rPr>
        <w:t>不</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承担任何责任</w:t>
      </w:r>
      <w:r>
        <w:rPr>
          <w:rFonts w:hint="eastAsia" w:asciiTheme="minorEastAsia" w:hAnsiTheme="minorEastAsia" w:eastAsiaTheme="minorEastAsia" w:cstheme="minorEastAsia"/>
          <w:b w:val="0"/>
          <w:bCs w:val="0"/>
          <w:color w:val="auto"/>
          <w:sz w:val="24"/>
          <w:szCs w:val="24"/>
          <w:highlight w:val="none"/>
          <w:u w:color="000000"/>
          <w:lang w:val="en-US" w:eastAsia="zh-CN" w:bidi="ar-SA"/>
        </w:rPr>
        <w:t>，</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双方按</w:t>
      </w:r>
      <w:r>
        <w:rPr>
          <w:rFonts w:hint="eastAsia" w:asciiTheme="minorEastAsia" w:hAnsiTheme="minorEastAsia" w:eastAsiaTheme="minorEastAsia" w:cstheme="minorEastAsia"/>
          <w:b w:val="0"/>
          <w:bCs w:val="0"/>
          <w:color w:val="auto"/>
          <w:sz w:val="24"/>
          <w:szCs w:val="24"/>
          <w:highlight w:val="none"/>
          <w:u w:color="000000"/>
          <w:lang w:val="en-US" w:eastAsia="zh-CN" w:bidi="ar-SA"/>
        </w:rPr>
        <w:t>已发生</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实际充电量据实结算。</w:t>
      </w:r>
    </w:p>
    <w:p w14:paraId="1D9D98A7">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2</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、发生如下情况之一，采购人有权</w:t>
      </w:r>
      <w:r>
        <w:rPr>
          <w:rFonts w:hint="eastAsia" w:asciiTheme="minorEastAsia" w:hAnsiTheme="minorEastAsia" w:eastAsiaTheme="minorEastAsia" w:cstheme="minorEastAsia"/>
          <w:b w:val="0"/>
          <w:bCs w:val="0"/>
          <w:color w:val="auto"/>
          <w:sz w:val="24"/>
          <w:szCs w:val="24"/>
          <w:highlight w:val="none"/>
          <w:u w:color="000000"/>
          <w:lang w:val="en-US" w:eastAsia="zh-CN" w:bidi="ar-SA"/>
        </w:rPr>
        <w:t>单方面</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解除合同，成交供应商应赔偿采购人的全部损失：</w:t>
      </w:r>
    </w:p>
    <w:p w14:paraId="6C1FD86E">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（1）成交供应商</w:t>
      </w:r>
      <w:r>
        <w:rPr>
          <w:rFonts w:hint="eastAsia" w:asciiTheme="minorEastAsia" w:hAnsiTheme="minorEastAsia" w:eastAsiaTheme="minorEastAsia" w:cstheme="minorEastAsia"/>
          <w:b w:val="0"/>
          <w:bCs w:val="0"/>
          <w:color w:val="auto"/>
          <w:sz w:val="24"/>
          <w:szCs w:val="24"/>
          <w:highlight w:val="none"/>
          <w:u w:color="000000"/>
          <w:lang w:val="en-US" w:eastAsia="zh-CN" w:bidi="ar-SA"/>
        </w:rPr>
        <w:t>使用非标充电设施，或充电设施存在质量问题且拒不整改的；</w:t>
      </w:r>
    </w:p>
    <w:p w14:paraId="70ADC2D7">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CN" w:bidi="ar-SA"/>
        </w:rPr>
        <w:t>（2）</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成交供应商未</w:t>
      </w:r>
      <w:r>
        <w:rPr>
          <w:rFonts w:hint="eastAsia" w:asciiTheme="minorEastAsia" w:hAnsiTheme="minorEastAsia" w:eastAsiaTheme="minorEastAsia" w:cstheme="minorEastAsia"/>
          <w:b w:val="0"/>
          <w:bCs w:val="0"/>
          <w:color w:val="auto"/>
          <w:sz w:val="24"/>
          <w:szCs w:val="24"/>
          <w:highlight w:val="none"/>
          <w:u w:color="000000"/>
          <w:lang w:val="en-US" w:eastAsia="zh-CN" w:bidi="ar-SA"/>
        </w:rPr>
        <w:t>按期对充电设施进行检修维护，未</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按照采购人要求对充电</w:t>
      </w:r>
      <w:r>
        <w:rPr>
          <w:rFonts w:hint="eastAsia" w:asciiTheme="minorEastAsia" w:hAnsiTheme="minorEastAsia" w:eastAsiaTheme="minorEastAsia" w:cstheme="minorEastAsia"/>
          <w:b w:val="0"/>
          <w:bCs w:val="0"/>
          <w:color w:val="auto"/>
          <w:sz w:val="24"/>
          <w:szCs w:val="24"/>
          <w:highlight w:val="none"/>
          <w:u w:color="000000"/>
          <w:lang w:val="en-US" w:eastAsia="zh-CN" w:bidi="ar-SA"/>
        </w:rPr>
        <w:t>设施的异常状态进行修复</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w:t>
      </w:r>
    </w:p>
    <w:p w14:paraId="5DE73F12">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Hans"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（3）成交供应商不能按合同约定的</w:t>
      </w:r>
      <w:r>
        <w:rPr>
          <w:rFonts w:hint="eastAsia" w:asciiTheme="minorEastAsia" w:hAnsiTheme="minorEastAsia" w:eastAsiaTheme="minorEastAsia" w:cstheme="minorEastAsia"/>
          <w:b w:val="0"/>
          <w:bCs w:val="0"/>
          <w:color w:val="auto"/>
          <w:sz w:val="24"/>
          <w:szCs w:val="24"/>
          <w:highlight w:val="none"/>
          <w:u w:color="000000"/>
          <w:lang w:val="en-US" w:eastAsia="zh-CN" w:bidi="ar-SA"/>
        </w:rPr>
        <w:t>时间</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提供充电服务的；</w:t>
      </w:r>
    </w:p>
    <w:p w14:paraId="57D5F740">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u w:color="000000"/>
          <w:lang w:val="en-US" w:eastAsia="zh-CN" w:bidi="ar-SA"/>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（4）成交供应商</w:t>
      </w:r>
      <w:r>
        <w:rPr>
          <w:rFonts w:hint="eastAsia" w:asciiTheme="minorEastAsia" w:hAnsiTheme="minorEastAsia" w:eastAsiaTheme="minorEastAsia" w:cstheme="minorEastAsia"/>
          <w:b w:val="0"/>
          <w:bCs w:val="0"/>
          <w:color w:val="auto"/>
          <w:sz w:val="24"/>
          <w:szCs w:val="24"/>
          <w:highlight w:val="none"/>
          <w:u w:color="000000"/>
          <w:lang w:val="en-US" w:eastAsia="zh-CN" w:bidi="ar-SA"/>
        </w:rPr>
        <w:t>与第三方存在纠纷</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，对合同履行或采购人利益造成不利影响的</w:t>
      </w:r>
      <w:r>
        <w:rPr>
          <w:rFonts w:hint="eastAsia" w:asciiTheme="minorEastAsia" w:hAnsiTheme="minorEastAsia" w:eastAsiaTheme="minorEastAsia" w:cstheme="minorEastAsia"/>
          <w:b w:val="0"/>
          <w:bCs w:val="0"/>
          <w:color w:val="auto"/>
          <w:sz w:val="24"/>
          <w:szCs w:val="24"/>
          <w:highlight w:val="none"/>
          <w:u w:color="000000"/>
          <w:lang w:val="en-US" w:eastAsia="zh-CN" w:bidi="ar-SA"/>
        </w:rPr>
        <w:t>。</w:t>
      </w:r>
    </w:p>
    <w:p w14:paraId="0B335E58">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u w:color="000000"/>
          <w:lang w:val="en-US" w:eastAsia="zh-Hans" w:bidi="ar-SA"/>
        </w:rPr>
        <w:t>3、因成交供应商提供的充电</w:t>
      </w:r>
      <w:r>
        <w:rPr>
          <w:rFonts w:hint="eastAsia" w:asciiTheme="minorEastAsia" w:hAnsiTheme="minorEastAsia" w:eastAsiaTheme="minorEastAsia" w:cstheme="minorEastAsia"/>
          <w:b w:val="0"/>
          <w:bCs w:val="0"/>
          <w:color w:val="auto"/>
          <w:sz w:val="24"/>
          <w:szCs w:val="24"/>
          <w:highlight w:val="none"/>
          <w:u w:color="000000"/>
          <w:lang w:val="en-US" w:eastAsia="zh-CN" w:bidi="ar-SA"/>
        </w:rPr>
        <w:t>设施</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存在质量问题，造成他人人身或财产损害的，第三方要求赔偿或提起诉讼，由成交供应商承担全部责任</w:t>
      </w:r>
      <w:r>
        <w:rPr>
          <w:rFonts w:hint="eastAsia" w:asciiTheme="minorEastAsia" w:hAnsiTheme="minorEastAsia" w:eastAsiaTheme="minorEastAsia" w:cstheme="minorEastAsia"/>
          <w:b w:val="0"/>
          <w:bCs w:val="0"/>
          <w:color w:val="auto"/>
          <w:sz w:val="24"/>
          <w:szCs w:val="24"/>
          <w:highlight w:val="none"/>
          <w:u w:color="000000"/>
          <w:lang w:val="en-US" w:eastAsia="zh-CN" w:bidi="ar-SA"/>
        </w:rPr>
        <w:t>；</w:t>
      </w:r>
      <w:r>
        <w:rPr>
          <w:rFonts w:hint="eastAsia" w:asciiTheme="minorEastAsia" w:hAnsiTheme="minorEastAsia" w:eastAsiaTheme="minorEastAsia" w:cstheme="minorEastAsia"/>
          <w:b w:val="0"/>
          <w:bCs w:val="0"/>
          <w:color w:val="auto"/>
          <w:sz w:val="24"/>
          <w:szCs w:val="24"/>
          <w:highlight w:val="none"/>
          <w:u w:color="000000"/>
          <w:lang w:val="en-US" w:eastAsia="zh-Hans" w:bidi="ar-SA"/>
        </w:rPr>
        <w:t>给采购人造成损失的，成交供应商应赔偿采购人的全部损失。</w:t>
      </w:r>
    </w:p>
    <w:p w14:paraId="7616AFA5">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default"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eastAsia="zh-CN"/>
        </w:rPr>
        <w:t>六、采购人车队基本情况</w:t>
      </w:r>
    </w:p>
    <w:tbl>
      <w:tblPr>
        <w:tblStyle w:val="16"/>
        <w:tblW w:w="9480" w:type="dxa"/>
        <w:tblInd w:w="93" w:type="dxa"/>
        <w:tblLayout w:type="fixed"/>
        <w:tblCellMar>
          <w:top w:w="0" w:type="dxa"/>
          <w:left w:w="108" w:type="dxa"/>
          <w:bottom w:w="0" w:type="dxa"/>
          <w:right w:w="108" w:type="dxa"/>
        </w:tblCellMar>
      </w:tblPr>
      <w:tblGrid>
        <w:gridCol w:w="1080"/>
        <w:gridCol w:w="1720"/>
        <w:gridCol w:w="1960"/>
        <w:gridCol w:w="1080"/>
        <w:gridCol w:w="1800"/>
        <w:gridCol w:w="1840"/>
      </w:tblGrid>
      <w:tr w14:paraId="76908318">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3C69D941">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7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772253D1">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车辆类型</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74069D63">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车牌号码</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1EF6AB80">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55AE944A">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车辆类型</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themeFill="background1"/>
            <w:vAlign w:val="center"/>
          </w:tcPr>
          <w:p w14:paraId="58102AB7">
            <w:pPr>
              <w:spacing w:line="276"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车牌号码</w:t>
            </w:r>
          </w:p>
        </w:tc>
      </w:tr>
      <w:tr w14:paraId="673570CF">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E98B35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7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8FC863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垃圾对接车</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590F55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豫E05668D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21FC57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w:t>
            </w:r>
          </w:p>
        </w:tc>
        <w:tc>
          <w:tcPr>
            <w:tcW w:w="18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AE594D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大型洗扫车</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6CD463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豫E05606D</w:t>
            </w:r>
          </w:p>
        </w:tc>
      </w:tr>
      <w:tr w14:paraId="6C317AD4">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D0BE033">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98D04F">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34E64F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豫E01078D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799248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30</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FA69A25">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C40F32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豫E08718D</w:t>
            </w:r>
          </w:p>
        </w:tc>
      </w:tr>
      <w:tr w14:paraId="511A12E8">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5ED476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5393B7">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3ACF3D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豫E01336D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C4B74A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FD2BE6D">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0E87AB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豫E07710D</w:t>
            </w:r>
          </w:p>
        </w:tc>
      </w:tr>
      <w:tr w14:paraId="5ECB4AC1">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067F789">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65EF7C">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F257A1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豫E01183D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026E419">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11E0116">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05DA38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豫E07392D</w:t>
            </w:r>
          </w:p>
        </w:tc>
      </w:tr>
      <w:tr w14:paraId="203C1DC1">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5C29A8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BE37F3">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3D317E6">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豫E05980D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4CB69C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371FA5D">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51298E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豫E01990D</w:t>
            </w:r>
          </w:p>
        </w:tc>
      </w:tr>
      <w:tr w14:paraId="6ED56407">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D43A98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7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88739D9">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垃圾压缩车</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54CB78F">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豫E06768D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386B1A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6346F6">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3AECFC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豫E09800D</w:t>
            </w:r>
          </w:p>
        </w:tc>
      </w:tr>
      <w:tr w14:paraId="55683150">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9B5FB49">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5C731B">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0B347A3">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豫E02992D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665C12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4B7320C">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DEB6033">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豫E02910D</w:t>
            </w:r>
          </w:p>
        </w:tc>
      </w:tr>
      <w:tr w14:paraId="46ACE900">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1575E1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4645E9">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C118DF6">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豫E01833D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0736CE6">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ACE28A0">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AAF13F1">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豫E09907D</w:t>
            </w:r>
          </w:p>
        </w:tc>
      </w:tr>
      <w:tr w14:paraId="3C1486F0">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54339C3">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835B8F">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7E3AD46">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豫E08291D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CB48B6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696B05B">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868769E">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豫E05890D</w:t>
            </w:r>
          </w:p>
        </w:tc>
      </w:tr>
      <w:tr w14:paraId="5F1DC429">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0EEF12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7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9FF797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小型洒水车</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827C2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豫E05830D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D504AD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38</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265178">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2B5B7BE">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豫E01803D</w:t>
            </w:r>
          </w:p>
        </w:tc>
      </w:tr>
      <w:tr w14:paraId="3CA28D53">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135D2FE">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330A66">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D6E6B1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豫E08988D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7AEFAF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39</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42CB8D">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44B18F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豫E00318D</w:t>
            </w:r>
          </w:p>
        </w:tc>
      </w:tr>
      <w:tr w14:paraId="6E288691">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F541C9F">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E0BE37">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2922B7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豫E01901D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6801CE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40</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42D2F9">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84CF96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豫E00383D</w:t>
            </w:r>
          </w:p>
        </w:tc>
      </w:tr>
      <w:tr w14:paraId="5F4B746C">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A85DA6E">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0F8FB5B">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A39EF4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豫E08298D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4D39A99">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w:t>
            </w:r>
          </w:p>
        </w:tc>
        <w:tc>
          <w:tcPr>
            <w:tcW w:w="18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95568A6">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小型洗扫车</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8AF2A1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豫E09025D</w:t>
            </w:r>
          </w:p>
        </w:tc>
      </w:tr>
      <w:tr w14:paraId="4A67DF6D">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04C02C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17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3FFD2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中型洒水车</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4C00F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豫E02205D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159854E">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6F9148C">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C386A81">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豫E05569D</w:t>
            </w:r>
          </w:p>
        </w:tc>
      </w:tr>
      <w:tr w14:paraId="3229F24B">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D78128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8E3E08">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C76664">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豫E00908D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C93ADF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85EB509">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81CB4A3">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豫E07731D</w:t>
            </w:r>
          </w:p>
        </w:tc>
      </w:tr>
      <w:tr w14:paraId="6C4489A4">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4C8B82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88F101">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7B54B9">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豫E08162D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6F3381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137261">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B27297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豫E03831D</w:t>
            </w:r>
          </w:p>
        </w:tc>
      </w:tr>
      <w:tr w14:paraId="7F3BCC69">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5BD5EE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48A7E0">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25D77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豫E05086D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0CD2DA1">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4BA333F">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974780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豫E07813D</w:t>
            </w:r>
          </w:p>
        </w:tc>
      </w:tr>
      <w:tr w14:paraId="4F8EF72C">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5FA4A64">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ED0E7B">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F13E3A">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豫E01912D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BE447E8">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46</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45FFCE">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72AF0F4">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豫E08150D</w:t>
            </w:r>
          </w:p>
        </w:tc>
      </w:tr>
      <w:tr w14:paraId="5C5AA0ED">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F0A6F3E">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95A91C8">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873279">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豫E03180D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004923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47</w:t>
            </w:r>
          </w:p>
        </w:tc>
        <w:tc>
          <w:tcPr>
            <w:tcW w:w="18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0B8E05B">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1DD496E">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豫E08586D</w:t>
            </w:r>
          </w:p>
        </w:tc>
      </w:tr>
      <w:tr w14:paraId="5DB1CBAE">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5D521A9">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9347DF">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CEE73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豫E00062D</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39486B43">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48</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635C28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工具车</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015C00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豫EDM9068</w:t>
            </w:r>
          </w:p>
        </w:tc>
      </w:tr>
      <w:tr w14:paraId="7A64BDD2">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5F80AF6">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w:t>
            </w:r>
          </w:p>
        </w:tc>
        <w:tc>
          <w:tcPr>
            <w:tcW w:w="17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3ECB34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大型洒水车</w:t>
            </w: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ACC3490">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豫E01005D</w:t>
            </w:r>
          </w:p>
        </w:tc>
        <w:tc>
          <w:tcPr>
            <w:tcW w:w="4720" w:type="dxa"/>
            <w:gridSpan w:val="3"/>
            <w:vMerge w:val="restart"/>
            <w:tcBorders>
              <w:top w:val="single" w:color="000000" w:themeColor="text1" w:sz="4" w:space="0"/>
              <w:left w:val="single" w:color="000000" w:themeColor="text1" w:sz="4" w:space="0"/>
              <w:right w:val="single" w:color="000000" w:themeColor="text1" w:sz="4" w:space="0"/>
            </w:tcBorders>
            <w:shd w:val="clear" w:color="auto" w:fill="auto"/>
            <w:vAlign w:val="center"/>
          </w:tcPr>
          <w:p w14:paraId="7E742768">
            <w:pPr>
              <w:spacing w:line="36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备注：采购人车队根据采购人工作情况随时可能调整，成交供应商应在符合上述服务要求的前提下，积极配合采购人进行相应调整。</w:t>
            </w:r>
          </w:p>
        </w:tc>
      </w:tr>
      <w:tr w14:paraId="2199F56E">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CEA977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8106E1">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7C80460B">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豫E08503D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5992600D">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250D4DAE">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3A57739">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7D4B778">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A9B901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豫E08231D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13444EBA">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5088329D">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25C6B3C2">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680062">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C9F23D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豫E08215D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45F5A406">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453D9322">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D2D554F">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64659E0">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6F8F2105">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豫E05853D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1056F10F">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42B93FDB">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2170FC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279D461">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03D15124">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豫E09105D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5B0E1FD0">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21C71FF7">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4355D45C">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DCE8CD">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1469DE8F">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豫E08652D</w:t>
            </w:r>
          </w:p>
        </w:tc>
        <w:tc>
          <w:tcPr>
            <w:tcW w:w="4720" w:type="dxa"/>
            <w:gridSpan w:val="3"/>
            <w:vMerge w:val="continue"/>
            <w:tcBorders>
              <w:left w:val="single" w:color="000000" w:themeColor="text1" w:sz="4" w:space="0"/>
              <w:right w:val="single" w:color="000000" w:themeColor="text1" w:sz="4" w:space="0"/>
            </w:tcBorders>
            <w:shd w:val="clear" w:color="auto" w:fill="auto"/>
            <w:vAlign w:val="center"/>
          </w:tcPr>
          <w:p w14:paraId="57100B04">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40545E0A">
        <w:tblPrEx>
          <w:tblCellMar>
            <w:top w:w="0" w:type="dxa"/>
            <w:left w:w="108" w:type="dxa"/>
            <w:bottom w:w="0" w:type="dxa"/>
            <w:right w:w="108" w:type="dxa"/>
          </w:tblCellMar>
        </w:tblPrEx>
        <w:trPr>
          <w:trHeight w:val="480" w:hRule="atLeast"/>
        </w:trPr>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D2B6F3D">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w:t>
            </w:r>
          </w:p>
        </w:tc>
        <w:tc>
          <w:tcPr>
            <w:tcW w:w="17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809AA49">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c>
          <w:tcPr>
            <w:tcW w:w="19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FFFFFF"/>
            <w:vAlign w:val="center"/>
          </w:tcPr>
          <w:p w14:paraId="5BA91747">
            <w:pPr>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豫E09169D</w:t>
            </w:r>
          </w:p>
        </w:tc>
        <w:tc>
          <w:tcPr>
            <w:tcW w:w="4720" w:type="dxa"/>
            <w:gridSpan w:val="3"/>
            <w:vMerge w:val="continue"/>
            <w:tcBorders>
              <w:left w:val="single" w:color="000000" w:themeColor="text1" w:sz="4" w:space="0"/>
              <w:bottom w:val="single" w:color="000000" w:themeColor="text1" w:sz="4" w:space="0"/>
              <w:right w:val="single" w:color="000000" w:themeColor="text1" w:sz="4" w:space="0"/>
            </w:tcBorders>
            <w:shd w:val="clear" w:color="auto" w:fill="auto"/>
            <w:vAlign w:val="center"/>
          </w:tcPr>
          <w:p w14:paraId="2F5717CB">
            <w:pPr>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bl>
    <w:p w14:paraId="6469BD51">
      <w:pPr>
        <w:keepNext w:val="0"/>
        <w:keepLines w:val="0"/>
        <w:pageBreakBefore w:val="0"/>
        <w:widowControl w:val="0"/>
        <w:kinsoku/>
        <w:wordWrap/>
        <w:overflowPunct/>
        <w:topLinePunct w:val="0"/>
        <w:autoSpaceDE/>
        <w:autoSpaceDN/>
        <w:bidi w:val="0"/>
        <w:adjustRightInd/>
        <w:snapToGrid w:val="0"/>
        <w:spacing w:before="0" w:beforeLines="100"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七、安阳市殷都区环境卫生事务中心2025年新能源环卫车辆充电服务项目的中小企业划分标准所属行业为：其他未列明行业。</w:t>
      </w:r>
    </w:p>
    <w:p w14:paraId="3A466F07">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提醒：供应商应按照《磋商文件》中标明的服务项目的所属行业、按该行业所对应的中小企业划分标准，作为服务的承接商（供应商）是否属于中小企业的判断标准。供应商不应按照自身的行业属性作为中小企业的判断标准（应按《磋商文件》中标明的所属行业进行判断）。</w:t>
      </w:r>
    </w:p>
    <w:p w14:paraId="6D211045">
      <w:pPr>
        <w:widowControl w:val="0"/>
        <w:adjustRightInd w:val="0"/>
        <w:snapToGrid w:val="0"/>
        <w:spacing w:before="120" w:beforeLines="50" w:line="300" w:lineRule="auto"/>
        <w:ind w:firstLine="361" w:firstLineChars="150"/>
        <w:rPr>
          <w:rFonts w:ascii="宋体" w:cs="宋体"/>
          <w:b/>
          <w:color w:val="auto"/>
          <w:sz w:val="24"/>
          <w:szCs w:val="24"/>
          <w:highlight w:val="none"/>
        </w:rPr>
      </w:pPr>
    </w:p>
    <w:p w14:paraId="4C487CF6">
      <w:pPr>
        <w:widowControl w:val="0"/>
        <w:snapToGrid w:val="0"/>
        <w:spacing w:line="36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2.5</w:t>
      </w:r>
      <w:r>
        <w:rPr>
          <w:rFonts w:hint="eastAsia" w:ascii="黑体" w:hAnsi="黑体" w:eastAsia="黑体"/>
          <w:b/>
          <w:color w:val="auto"/>
          <w:sz w:val="24"/>
          <w:szCs w:val="24"/>
          <w:highlight w:val="none"/>
          <w:lang w:val="en-US" w:eastAsia="zh-CN"/>
        </w:rPr>
        <w:t xml:space="preserve"> </w:t>
      </w:r>
      <w:r>
        <w:rPr>
          <w:rFonts w:hint="eastAsia" w:ascii="黑体" w:hAnsi="黑体" w:eastAsia="黑体"/>
          <w:b/>
          <w:color w:val="auto"/>
          <w:sz w:val="24"/>
          <w:szCs w:val="24"/>
          <w:highlight w:val="none"/>
        </w:rPr>
        <w:t>安全</w:t>
      </w:r>
    </w:p>
    <w:p w14:paraId="4EAD05CE">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响应服务（及所涉货物材料设施）应符合国家、行业的各项安全标准，供应商对响应服务（及所涉货物材料设施）的安全性承担全部责任。服务期内不符合保障人身、财产安全的国家标准、行业标准的服务（及所涉货物材料设施），将依法承担民事及相应刑事责任。合同履行中的安全责任由成交供应商承担全部责任。</w:t>
      </w:r>
    </w:p>
    <w:p w14:paraId="04F85C65">
      <w:pPr>
        <w:widowControl w:val="0"/>
        <w:snapToGrid w:val="0"/>
        <w:spacing w:line="360" w:lineRule="auto"/>
        <w:ind w:firstLine="482" w:firstLineChars="200"/>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 xml:space="preserve">2.6 </w:t>
      </w:r>
      <w:r>
        <w:rPr>
          <w:rFonts w:hint="eastAsia" w:ascii="黑体" w:hAnsi="黑体" w:eastAsia="黑体"/>
          <w:b/>
          <w:color w:val="auto"/>
          <w:sz w:val="24"/>
          <w:szCs w:val="24"/>
          <w:highlight w:val="none"/>
          <w:lang w:eastAsia="zh-CN"/>
        </w:rPr>
        <w:t>《响应文件》</w:t>
      </w:r>
      <w:r>
        <w:rPr>
          <w:rFonts w:hint="eastAsia" w:ascii="黑体" w:hAnsi="黑体" w:eastAsia="黑体"/>
          <w:b/>
          <w:color w:val="auto"/>
          <w:sz w:val="24"/>
          <w:szCs w:val="24"/>
          <w:highlight w:val="none"/>
        </w:rPr>
        <w:t>对“具体服务要求及标段（包）内容（范围）”的响应</w:t>
      </w:r>
    </w:p>
    <w:p w14:paraId="6B0F831F">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“2.4</w:t>
      </w: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rPr>
        <w:t>具体服务要求及标段（包）内容（范围）”为采购需求的基础性要求，服务内容应当明确，服务所涉产品及技术参数应当明确并最终指向具体明确的产品。</w:t>
      </w: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技术参数抄袭</w:t>
      </w:r>
      <w:r>
        <w:rPr>
          <w:rFonts w:hint="eastAsia" w:asciiTheme="minorEastAsia" w:hAnsiTheme="minorEastAsia" w:eastAsiaTheme="minorEastAsia" w:cstheme="minorEastAsia"/>
          <w:b w:val="0"/>
          <w:bCs w:val="0"/>
          <w:color w:val="auto"/>
          <w:sz w:val="24"/>
          <w:szCs w:val="24"/>
          <w:highlight w:val="none"/>
          <w:lang w:eastAsia="zh-CN"/>
        </w:rPr>
        <w:t>《磋商文件》</w:t>
      </w:r>
      <w:r>
        <w:rPr>
          <w:rFonts w:hint="eastAsia" w:asciiTheme="minorEastAsia" w:hAnsiTheme="minorEastAsia" w:eastAsiaTheme="minorEastAsia" w:cstheme="minorEastAsia"/>
          <w:b w:val="0"/>
          <w:bCs w:val="0"/>
          <w:color w:val="auto"/>
          <w:sz w:val="24"/>
          <w:szCs w:val="24"/>
          <w:highlight w:val="none"/>
        </w:rPr>
        <w:t>“具体服务要求及标段（包）内容（范围）”，投标产品不明确的、或与投标产品不一致的，磋商小组有权按照实质性判断原则评定其为无效投标。</w:t>
      </w:r>
    </w:p>
    <w:p w14:paraId="2205F3E6">
      <w:pPr>
        <w:widowControl w:val="0"/>
        <w:snapToGrid w:val="0"/>
        <w:spacing w:line="360" w:lineRule="auto"/>
        <w:ind w:firstLine="482" w:firstLineChars="200"/>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2.7</w:t>
      </w:r>
      <w:r>
        <w:rPr>
          <w:rFonts w:hint="eastAsia" w:ascii="黑体" w:hAnsi="黑体" w:eastAsia="黑体"/>
          <w:b/>
          <w:color w:val="auto"/>
          <w:sz w:val="24"/>
          <w:szCs w:val="24"/>
          <w:highlight w:val="none"/>
          <w:lang w:val="en-US" w:eastAsia="zh-CN"/>
        </w:rPr>
        <w:t xml:space="preserve"> </w:t>
      </w:r>
      <w:r>
        <w:rPr>
          <w:rFonts w:hint="eastAsia" w:ascii="黑体" w:hAnsi="黑体" w:eastAsia="黑体"/>
          <w:b/>
          <w:color w:val="auto"/>
          <w:sz w:val="24"/>
          <w:szCs w:val="24"/>
          <w:highlight w:val="none"/>
        </w:rPr>
        <w:t>技术偏离</w:t>
      </w:r>
    </w:p>
    <w:p w14:paraId="25A71EAB">
      <w:pPr>
        <w:keepNext w:val="0"/>
        <w:keepLines w:val="0"/>
        <w:pageBreakBefore w:val="0"/>
        <w:widowControl w:val="0"/>
        <w:kinsoku/>
        <w:wordWrap/>
        <w:overflowPunct/>
        <w:topLinePunct w:val="0"/>
        <w:bidi w:val="0"/>
        <w:snapToGrid w:val="0"/>
        <w:spacing w:line="360" w:lineRule="auto"/>
        <w:ind w:firstLine="482" w:firstLineChars="200"/>
        <w:jc w:val="left"/>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2.7.1</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★不接受负偏差，低于“具体服务要求”的、为无效投标。</w:t>
      </w:r>
    </w:p>
    <w:p w14:paraId="39276891">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2.7.</w:t>
      </w:r>
      <w:r>
        <w:rPr>
          <w:rFonts w:hint="eastAsia" w:asciiTheme="minorEastAsia" w:hAnsiTheme="minorEastAsia" w:eastAsiaTheme="minorEastAsia" w:cstheme="minorEastAsia"/>
          <w:b w:val="0"/>
          <w:bCs w:val="0"/>
          <w:color w:val="auto"/>
          <w:sz w:val="24"/>
          <w:szCs w:val="24"/>
          <w:highlight w:val="none"/>
          <w:lang w:val="en-US" w:eastAsia="zh-CN"/>
        </w:rPr>
        <w:t xml:space="preserve">2 </w:t>
      </w:r>
      <w:r>
        <w:rPr>
          <w:rFonts w:hint="eastAsia" w:asciiTheme="minorEastAsia" w:hAnsiTheme="minorEastAsia" w:eastAsiaTheme="minorEastAsia" w:cstheme="minorEastAsia"/>
          <w:b w:val="0"/>
          <w:bCs w:val="0"/>
          <w:color w:val="auto"/>
          <w:sz w:val="24"/>
          <w:szCs w:val="24"/>
          <w:highlight w:val="none"/>
          <w:lang w:eastAsia="zh-CN"/>
        </w:rPr>
        <w:t>《响应文件》</w:t>
      </w:r>
      <w:r>
        <w:rPr>
          <w:rFonts w:hint="eastAsia" w:asciiTheme="minorEastAsia" w:hAnsiTheme="minorEastAsia" w:eastAsiaTheme="minorEastAsia" w:cstheme="minorEastAsia"/>
          <w:b w:val="0"/>
          <w:bCs w:val="0"/>
          <w:color w:val="auto"/>
          <w:sz w:val="24"/>
          <w:szCs w:val="24"/>
          <w:highlight w:val="none"/>
        </w:rPr>
        <w:t>对技术偏差的描述要求：见第三章</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供应商须知</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3.7.3项。</w:t>
      </w:r>
    </w:p>
    <w:p w14:paraId="4730D1AF">
      <w:pPr>
        <w:widowControl w:val="0"/>
        <w:snapToGrid w:val="0"/>
        <w:spacing w:line="360" w:lineRule="auto"/>
        <w:ind w:firstLine="482" w:firstLineChars="200"/>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2.</w:t>
      </w:r>
      <w:r>
        <w:rPr>
          <w:rFonts w:hint="eastAsia" w:ascii="黑体" w:hAnsi="黑体" w:eastAsia="黑体"/>
          <w:b/>
          <w:color w:val="auto"/>
          <w:sz w:val="24"/>
          <w:szCs w:val="24"/>
          <w:highlight w:val="none"/>
          <w:lang w:val="en-US" w:eastAsia="zh-CN"/>
        </w:rPr>
        <w:t xml:space="preserve">8 </w:t>
      </w:r>
      <w:r>
        <w:rPr>
          <w:rFonts w:hint="eastAsia" w:ascii="黑体" w:hAnsi="黑体" w:eastAsia="黑体"/>
          <w:b/>
          <w:color w:val="auto"/>
          <w:sz w:val="24"/>
          <w:szCs w:val="24"/>
          <w:highlight w:val="none"/>
        </w:rPr>
        <w:t>保险</w:t>
      </w:r>
    </w:p>
    <w:p w14:paraId="7C7D24AB">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rPr>
        <w:t>供应商应遵循国家相关保险的规定，依照法规规定，根据项目属性需要，办理货物设施等的财产保险、危险作业人员的工伤和意外伤害保险、设计和工程保险、第三方责任险，相关保险费用及相应责任由</w:t>
      </w:r>
      <w:r>
        <w:rPr>
          <w:rFonts w:hint="eastAsia" w:asciiTheme="minorEastAsia" w:hAnsiTheme="minorEastAsia" w:eastAsiaTheme="minorEastAsia" w:cstheme="minorEastAsia"/>
          <w:b w:val="0"/>
          <w:bCs w:val="0"/>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rPr>
        <w:t>供应商承担。</w:t>
      </w:r>
    </w:p>
    <w:p w14:paraId="7CB0213D">
      <w:pPr>
        <w:widowControl w:val="0"/>
        <w:snapToGrid w:val="0"/>
        <w:spacing w:line="360" w:lineRule="auto"/>
        <w:ind w:firstLine="482" w:firstLineChars="200"/>
        <w:jc w:val="left"/>
        <w:rPr>
          <w:rFonts w:hint="eastAsia" w:ascii="黑体" w:hAnsi="黑体" w:eastAsia="黑体"/>
          <w:b/>
          <w:color w:val="auto"/>
          <w:sz w:val="24"/>
          <w:szCs w:val="24"/>
          <w:highlight w:val="none"/>
        </w:rPr>
      </w:pPr>
      <w:r>
        <w:rPr>
          <w:rFonts w:hint="eastAsia" w:ascii="黑体" w:hAnsi="黑体" w:eastAsia="黑体"/>
          <w:b/>
          <w:color w:val="auto"/>
          <w:sz w:val="24"/>
          <w:szCs w:val="24"/>
          <w:highlight w:val="none"/>
        </w:rPr>
        <w:t>2.</w:t>
      </w:r>
      <w:r>
        <w:rPr>
          <w:rFonts w:hint="eastAsia" w:ascii="黑体" w:hAnsi="黑体" w:eastAsia="黑体"/>
          <w:b/>
          <w:color w:val="auto"/>
          <w:sz w:val="24"/>
          <w:szCs w:val="24"/>
          <w:highlight w:val="none"/>
          <w:lang w:val="en-US" w:eastAsia="zh-CN"/>
        </w:rPr>
        <w:t>9</w:t>
      </w:r>
      <w:r>
        <w:rPr>
          <w:rFonts w:hint="eastAsia" w:ascii="黑体" w:hAnsi="黑体" w:eastAsia="黑体"/>
          <w:b/>
          <w:color w:val="auto"/>
          <w:sz w:val="24"/>
          <w:szCs w:val="24"/>
          <w:highlight w:val="none"/>
        </w:rPr>
        <w:t xml:space="preserve"> 采购标的的验收标准</w:t>
      </w:r>
    </w:p>
    <w:p w14:paraId="4B6BB290">
      <w:pPr>
        <w:keepNext w:val="0"/>
        <w:keepLines w:val="0"/>
        <w:pageBreakBefore w:val="0"/>
        <w:widowControl w:val="0"/>
        <w:kinsoku/>
        <w:wordWrap/>
        <w:overflowPunct/>
        <w:topLinePunct w:val="0"/>
        <w:bidi w:val="0"/>
        <w:snapToGrid w:val="0"/>
        <w:spacing w:line="360" w:lineRule="auto"/>
        <w:ind w:firstLine="480" w:firstLineChars="200"/>
        <w:jc w:val="left"/>
        <w:textAlignment w:val="baseline"/>
        <w:rPr>
          <w:rFonts w:ascii="黑体" w:hAnsi="黑体" w:eastAsia="黑体"/>
          <w:b/>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zh-CN" w:eastAsia="zh-CN"/>
        </w:rPr>
        <w:t>见第三章“供应商须知”第8条“验收”条款。</w:t>
      </w:r>
      <w:r>
        <w:rPr>
          <w:rFonts w:ascii="黑体" w:hAnsi="黑体" w:eastAsia="黑体"/>
          <w:b/>
          <w:color w:val="auto"/>
          <w:sz w:val="24"/>
          <w:szCs w:val="24"/>
          <w:highlight w:val="none"/>
        </w:rPr>
        <w:br w:type="page"/>
      </w:r>
    </w:p>
    <w:p w14:paraId="47954367">
      <w:pPr>
        <w:keepNext w:val="0"/>
        <w:keepLines w:val="0"/>
        <w:pageBreakBefore w:val="0"/>
        <w:widowControl/>
        <w:kinsoku/>
        <w:wordWrap/>
        <w:overflowPunct/>
        <w:topLinePunct w:val="0"/>
        <w:autoSpaceDE/>
        <w:autoSpaceDN/>
        <w:bidi w:val="0"/>
        <w:adjustRightInd/>
        <w:snapToGrid/>
        <w:spacing w:line="276" w:lineRule="auto"/>
        <w:ind w:right="0"/>
        <w:jc w:val="center"/>
        <w:textAlignment w:val="baseline"/>
        <w:outlineLvl w:val="9"/>
        <w:rPr>
          <w:rFonts w:hint="eastAsia" w:asciiTheme="minorEastAsia" w:hAnsiTheme="minorEastAsia" w:eastAsiaTheme="minorEastAsia" w:cstheme="minorEastAsia"/>
          <w:b/>
          <w:color w:val="auto"/>
          <w:sz w:val="24"/>
          <w:szCs w:val="24"/>
          <w:highlight w:val="none"/>
        </w:rPr>
      </w:pPr>
    </w:p>
    <w:p w14:paraId="36FE33D2">
      <w:pPr>
        <w:widowControl w:val="0"/>
        <w:snapToGrid w:val="0"/>
        <w:spacing w:line="560" w:lineRule="exact"/>
        <w:jc w:val="center"/>
        <w:outlineLvl w:val="0"/>
        <w:rPr>
          <w:rFonts w:hint="eastAsia" w:eastAsia="黑体"/>
          <w:b/>
          <w:color w:val="auto"/>
          <w:sz w:val="36"/>
          <w:szCs w:val="36"/>
          <w:highlight w:val="none"/>
        </w:rPr>
      </w:pPr>
      <w:bookmarkStart w:id="12" w:name="_Toc1474"/>
      <w:r>
        <w:rPr>
          <w:rFonts w:hint="eastAsia" w:eastAsia="黑体"/>
          <w:b/>
          <w:color w:val="auto"/>
          <w:sz w:val="36"/>
          <w:szCs w:val="36"/>
          <w:highlight w:val="none"/>
        </w:rPr>
        <w:t>第三章  供应商须知</w:t>
      </w:r>
      <w:bookmarkEnd w:id="12"/>
    </w:p>
    <w:p w14:paraId="3F6974B9">
      <w:pPr>
        <w:keepNext w:val="0"/>
        <w:keepLines w:val="0"/>
        <w:pageBreakBefore w:val="0"/>
        <w:widowControl/>
        <w:kinsoku/>
        <w:wordWrap/>
        <w:overflowPunct/>
        <w:topLinePunct w:val="0"/>
        <w:autoSpaceDE/>
        <w:autoSpaceDN/>
        <w:bidi w:val="0"/>
        <w:adjustRightInd/>
        <w:snapToGrid/>
        <w:spacing w:line="276" w:lineRule="auto"/>
        <w:ind w:right="0"/>
        <w:jc w:val="center"/>
        <w:textAlignment w:val="baseline"/>
        <w:outlineLvl w:val="9"/>
        <w:rPr>
          <w:rFonts w:hint="eastAsia" w:asciiTheme="minorEastAsia" w:hAnsiTheme="minorEastAsia" w:eastAsiaTheme="minorEastAsia" w:cstheme="minorEastAsia"/>
          <w:b/>
          <w:color w:val="auto"/>
          <w:spacing w:val="36"/>
          <w:sz w:val="24"/>
          <w:szCs w:val="24"/>
          <w:highlight w:val="none"/>
        </w:rPr>
      </w:pPr>
    </w:p>
    <w:p w14:paraId="71B2DE19">
      <w:pPr>
        <w:spacing w:line="360" w:lineRule="auto"/>
        <w:ind w:right="238"/>
        <w:jc w:val="left"/>
        <w:outlineLvl w:val="1"/>
        <w:rPr>
          <w:rFonts w:eastAsia="黑体"/>
          <w:b/>
          <w:color w:val="auto"/>
          <w:sz w:val="28"/>
          <w:szCs w:val="28"/>
          <w:highlight w:val="none"/>
        </w:rPr>
      </w:pPr>
      <w:bookmarkStart w:id="13" w:name="_Toc32440"/>
      <w:r>
        <w:rPr>
          <w:rFonts w:hint="eastAsia" w:eastAsia="黑体"/>
          <w:b/>
          <w:color w:val="auto"/>
          <w:sz w:val="28"/>
          <w:szCs w:val="28"/>
          <w:highlight w:val="none"/>
        </w:rPr>
        <w:t>供应商须知前附表</w:t>
      </w:r>
      <w:bookmarkEnd w:id="13"/>
    </w:p>
    <w:tbl>
      <w:tblPr>
        <w:tblStyle w:val="16"/>
        <w:tblW w:w="1000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08"/>
        <w:gridCol w:w="946"/>
        <w:gridCol w:w="2483"/>
        <w:gridCol w:w="6067"/>
      </w:tblGrid>
      <w:tr w14:paraId="326099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1" w:hRule="atLeast"/>
          <w:jc w:val="center"/>
        </w:trPr>
        <w:tc>
          <w:tcPr>
            <w:tcW w:w="508" w:type="dxa"/>
            <w:tcBorders>
              <w:tl2br w:val="nil"/>
              <w:tr2bl w:val="nil"/>
            </w:tcBorders>
            <w:vAlign w:val="center"/>
          </w:tcPr>
          <w:p w14:paraId="06F9DB22">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946" w:type="dxa"/>
            <w:tcBorders>
              <w:tl2br w:val="nil"/>
              <w:tr2bl w:val="nil"/>
            </w:tcBorders>
            <w:vAlign w:val="center"/>
          </w:tcPr>
          <w:p w14:paraId="71D698B7">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2483" w:type="dxa"/>
            <w:tcBorders>
              <w:tl2br w:val="nil"/>
              <w:tr2bl w:val="nil"/>
            </w:tcBorders>
            <w:vAlign w:val="center"/>
          </w:tcPr>
          <w:p w14:paraId="18E3AEE8">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067" w:type="dxa"/>
            <w:tcBorders>
              <w:tl2br w:val="nil"/>
              <w:tr2bl w:val="nil"/>
            </w:tcBorders>
            <w:vAlign w:val="center"/>
          </w:tcPr>
          <w:p w14:paraId="0981F148">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5920A8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508" w:type="dxa"/>
            <w:vMerge w:val="restart"/>
            <w:tcBorders>
              <w:tl2br w:val="nil"/>
              <w:tr2bl w:val="nil"/>
            </w:tcBorders>
            <w:vAlign w:val="center"/>
          </w:tcPr>
          <w:p w14:paraId="0E1E21B9">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946" w:type="dxa"/>
            <w:tcBorders>
              <w:tl2br w:val="nil"/>
              <w:tr2bl w:val="nil"/>
            </w:tcBorders>
            <w:vAlign w:val="center"/>
          </w:tcPr>
          <w:p w14:paraId="1A4A4FFC">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2483" w:type="dxa"/>
            <w:tcBorders>
              <w:tl2br w:val="nil"/>
              <w:tr2bl w:val="nil"/>
            </w:tcBorders>
            <w:vAlign w:val="center"/>
          </w:tcPr>
          <w:p w14:paraId="0878DBB0">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采购项目名称</w:t>
            </w:r>
          </w:p>
        </w:tc>
        <w:tc>
          <w:tcPr>
            <w:tcW w:w="6067" w:type="dxa"/>
            <w:tcBorders>
              <w:tl2br w:val="nil"/>
              <w:tr2bl w:val="nil"/>
            </w:tcBorders>
            <w:vAlign w:val="center"/>
          </w:tcPr>
          <w:p w14:paraId="01184B87">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p>
        </w:tc>
      </w:tr>
      <w:tr w14:paraId="16A904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508" w:type="dxa"/>
            <w:vMerge w:val="continue"/>
            <w:tcBorders>
              <w:tl2br w:val="nil"/>
              <w:tr2bl w:val="nil"/>
            </w:tcBorders>
            <w:vAlign w:val="center"/>
          </w:tcPr>
          <w:p w14:paraId="41CC6830">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66DE030F">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2483" w:type="dxa"/>
            <w:tcBorders>
              <w:tl2br w:val="nil"/>
              <w:tr2bl w:val="nil"/>
            </w:tcBorders>
            <w:vAlign w:val="center"/>
          </w:tcPr>
          <w:p w14:paraId="612CEF0E">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项目编号</w:t>
            </w:r>
          </w:p>
        </w:tc>
        <w:tc>
          <w:tcPr>
            <w:tcW w:w="6067" w:type="dxa"/>
            <w:tcBorders>
              <w:tl2br w:val="nil"/>
              <w:tr2bl w:val="nil"/>
            </w:tcBorders>
            <w:vAlign w:val="center"/>
          </w:tcPr>
          <w:p w14:paraId="04DEBCF2">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p>
        </w:tc>
      </w:tr>
      <w:tr w14:paraId="34259F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508" w:type="dxa"/>
            <w:vMerge w:val="continue"/>
            <w:tcBorders>
              <w:tl2br w:val="nil"/>
              <w:tr2bl w:val="nil"/>
            </w:tcBorders>
            <w:vAlign w:val="center"/>
          </w:tcPr>
          <w:p w14:paraId="0FAEF6C8">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4EFBE262">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1.3</w:t>
            </w:r>
          </w:p>
        </w:tc>
        <w:tc>
          <w:tcPr>
            <w:tcW w:w="2483" w:type="dxa"/>
            <w:tcBorders>
              <w:tl2br w:val="nil"/>
              <w:tr2bl w:val="nil"/>
            </w:tcBorders>
            <w:vAlign w:val="center"/>
          </w:tcPr>
          <w:p w14:paraId="511ABF9B">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067" w:type="dxa"/>
            <w:tcBorders>
              <w:tl2br w:val="nil"/>
              <w:tr2bl w:val="nil"/>
            </w:tcBorders>
            <w:vAlign w:val="center"/>
          </w:tcPr>
          <w:p w14:paraId="5E3F76D3">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竞争性磋商</w:t>
            </w:r>
          </w:p>
        </w:tc>
      </w:tr>
      <w:tr w14:paraId="7532AF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508" w:type="dxa"/>
            <w:vMerge w:val="continue"/>
            <w:tcBorders>
              <w:tl2br w:val="nil"/>
              <w:tr2bl w:val="nil"/>
            </w:tcBorders>
            <w:vAlign w:val="center"/>
          </w:tcPr>
          <w:p w14:paraId="62356A87">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3C5BDB8D">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2483" w:type="dxa"/>
            <w:tcBorders>
              <w:tl2br w:val="nil"/>
              <w:tr2bl w:val="nil"/>
            </w:tcBorders>
            <w:vAlign w:val="center"/>
          </w:tcPr>
          <w:p w14:paraId="28A26078">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预算金额</w:t>
            </w:r>
          </w:p>
          <w:p w14:paraId="2C08456E">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w:t>
            </w:r>
            <w:r>
              <w:rPr>
                <w:rFonts w:hint="eastAsia" w:ascii="宋体" w:hAnsi="宋体" w:cs="楷体_GB2312"/>
                <w:b/>
                <w:bCs/>
                <w:color w:val="auto"/>
                <w:sz w:val="24"/>
                <w:highlight w:val="none"/>
                <w:lang w:val="en-US" w:eastAsia="zh-CN"/>
              </w:rPr>
              <w:t>单价最高限价</w:t>
            </w:r>
            <w:r>
              <w:rPr>
                <w:rFonts w:hint="eastAsia" w:ascii="宋体" w:hAnsi="宋体" w:cs="楷体_GB2312"/>
                <w:b/>
                <w:bCs/>
                <w:color w:val="auto"/>
                <w:sz w:val="24"/>
                <w:highlight w:val="none"/>
                <w:lang w:val="zh-CN"/>
              </w:rPr>
              <w:t>）</w:t>
            </w:r>
          </w:p>
        </w:tc>
        <w:tc>
          <w:tcPr>
            <w:tcW w:w="6067" w:type="dxa"/>
            <w:tcBorders>
              <w:tl2br w:val="nil"/>
              <w:tr2bl w:val="nil"/>
            </w:tcBorders>
            <w:vAlign w:val="center"/>
          </w:tcPr>
          <w:p w14:paraId="5B2B02C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r>
              <w:rPr>
                <w:rFonts w:hint="eastAsia" w:ascii="宋体" w:hAnsi="宋体" w:cs="楷体_GB2312"/>
                <w:b/>
                <w:color w:val="auto"/>
                <w:sz w:val="24"/>
                <w:highlight w:val="none"/>
                <w:lang w:val="zh-CN"/>
              </w:rPr>
              <w:t>注：供应商的投标报价未超过</w:t>
            </w:r>
            <w:r>
              <w:rPr>
                <w:rFonts w:hint="eastAsia" w:ascii="宋体" w:hAnsi="宋体" w:cs="楷体_GB2312"/>
                <w:b/>
                <w:bCs/>
                <w:color w:val="auto"/>
                <w:sz w:val="24"/>
                <w:highlight w:val="none"/>
                <w:lang w:val="en-US" w:eastAsia="zh-CN"/>
              </w:rPr>
              <w:t>单价最高限价</w:t>
            </w:r>
            <w:r>
              <w:rPr>
                <w:rFonts w:hint="eastAsia" w:ascii="宋体" w:hAnsi="宋体" w:cs="楷体_GB2312"/>
                <w:b/>
                <w:color w:val="auto"/>
                <w:sz w:val="24"/>
                <w:highlight w:val="none"/>
                <w:lang w:val="zh-CN"/>
              </w:rPr>
              <w:t>的不足三家时，该项目（标段&lt;包&gt;）终止。</w:t>
            </w:r>
          </w:p>
        </w:tc>
      </w:tr>
      <w:tr w14:paraId="17126A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46FFC231">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669AA6F9">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p>
        </w:tc>
        <w:tc>
          <w:tcPr>
            <w:tcW w:w="2483" w:type="dxa"/>
            <w:tcBorders>
              <w:tl2br w:val="nil"/>
              <w:tr2bl w:val="nil"/>
            </w:tcBorders>
            <w:vAlign w:val="center"/>
          </w:tcPr>
          <w:p w14:paraId="7ED0582C">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申请人的资格要求及相关证明材料要求</w:t>
            </w:r>
          </w:p>
        </w:tc>
        <w:tc>
          <w:tcPr>
            <w:tcW w:w="6067" w:type="dxa"/>
            <w:tcBorders>
              <w:tl2br w:val="nil"/>
              <w:tr2bl w:val="nil"/>
            </w:tcBorders>
            <w:vAlign w:val="center"/>
          </w:tcPr>
          <w:p w14:paraId="51A6A8AB">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p>
        </w:tc>
      </w:tr>
      <w:tr w14:paraId="7F4B53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2012B0BB">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0ED95D74">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2483" w:type="dxa"/>
            <w:tcBorders>
              <w:tl2br w:val="nil"/>
              <w:tr2bl w:val="nil"/>
            </w:tcBorders>
            <w:vAlign w:val="center"/>
          </w:tcPr>
          <w:p w14:paraId="29C2D562">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采购人</w:t>
            </w:r>
          </w:p>
        </w:tc>
        <w:tc>
          <w:tcPr>
            <w:tcW w:w="6067" w:type="dxa"/>
            <w:tcBorders>
              <w:tl2br w:val="nil"/>
              <w:tr2bl w:val="nil"/>
            </w:tcBorders>
            <w:vAlign w:val="center"/>
          </w:tcPr>
          <w:p w14:paraId="4FB72954">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p>
        </w:tc>
      </w:tr>
      <w:tr w14:paraId="45FB31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681C68D9">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405B50EF">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2483" w:type="dxa"/>
            <w:tcBorders>
              <w:tl2br w:val="nil"/>
              <w:tr2bl w:val="nil"/>
            </w:tcBorders>
            <w:vAlign w:val="center"/>
          </w:tcPr>
          <w:p w14:paraId="4B9C23E4">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采购代理机构</w:t>
            </w:r>
          </w:p>
        </w:tc>
        <w:tc>
          <w:tcPr>
            <w:tcW w:w="6067" w:type="dxa"/>
            <w:tcBorders>
              <w:tl2br w:val="nil"/>
              <w:tr2bl w:val="nil"/>
            </w:tcBorders>
            <w:vAlign w:val="center"/>
          </w:tcPr>
          <w:p w14:paraId="54F2DD65">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w:t>
            </w:r>
            <w:r>
              <w:rPr>
                <w:rFonts w:hint="eastAsia"/>
                <w:color w:val="auto"/>
                <w:sz w:val="24"/>
                <w:szCs w:val="24"/>
                <w:highlight w:val="none"/>
                <w:lang w:val="en-US" w:eastAsia="zh-CN"/>
              </w:rPr>
              <w:t xml:space="preserve"> </w:t>
            </w:r>
            <w:r>
              <w:rPr>
                <w:rFonts w:hint="eastAsia"/>
                <w:color w:val="auto"/>
                <w:sz w:val="24"/>
                <w:szCs w:val="24"/>
                <w:highlight w:val="none"/>
              </w:rPr>
              <w:t>竞争性磋商公告”相应条款</w:t>
            </w:r>
          </w:p>
        </w:tc>
      </w:tr>
      <w:tr w14:paraId="16E3C2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restart"/>
            <w:tcBorders>
              <w:tl2br w:val="nil"/>
              <w:tr2bl w:val="nil"/>
            </w:tcBorders>
            <w:vAlign w:val="center"/>
          </w:tcPr>
          <w:p w14:paraId="7AD906D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946" w:type="dxa"/>
            <w:tcBorders>
              <w:tl2br w:val="nil"/>
              <w:tr2bl w:val="nil"/>
            </w:tcBorders>
            <w:vAlign w:val="center"/>
          </w:tcPr>
          <w:p w14:paraId="493F7556">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1.2</w:t>
            </w:r>
          </w:p>
        </w:tc>
        <w:tc>
          <w:tcPr>
            <w:tcW w:w="2483" w:type="dxa"/>
            <w:tcBorders>
              <w:tl2br w:val="nil"/>
              <w:tr2bl w:val="nil"/>
            </w:tcBorders>
            <w:vAlign w:val="center"/>
          </w:tcPr>
          <w:p w14:paraId="03646549">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rPr>
              <w:t>标段（包）划分</w:t>
            </w:r>
          </w:p>
        </w:tc>
        <w:tc>
          <w:tcPr>
            <w:tcW w:w="6067" w:type="dxa"/>
            <w:tcBorders>
              <w:tl2br w:val="nil"/>
              <w:tr2bl w:val="nil"/>
            </w:tcBorders>
            <w:vAlign w:val="center"/>
          </w:tcPr>
          <w:p w14:paraId="16F99BC8">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见“第二章</w:t>
            </w:r>
            <w:r>
              <w:rPr>
                <w:rFonts w:hint="eastAsia"/>
                <w:color w:val="auto"/>
                <w:sz w:val="24"/>
                <w:szCs w:val="24"/>
                <w:highlight w:val="none"/>
                <w:lang w:val="en-US" w:eastAsia="zh-CN"/>
              </w:rPr>
              <w:t xml:space="preserve"> </w:t>
            </w:r>
            <w:r>
              <w:rPr>
                <w:rFonts w:hint="eastAsia"/>
                <w:color w:val="auto"/>
                <w:sz w:val="24"/>
                <w:szCs w:val="24"/>
                <w:highlight w:val="none"/>
              </w:rPr>
              <w:t>采购项目及服务要求”相应条款</w:t>
            </w:r>
          </w:p>
        </w:tc>
      </w:tr>
      <w:tr w14:paraId="483F6D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078A18B7">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68B276A1">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1.2</w:t>
            </w:r>
          </w:p>
        </w:tc>
        <w:tc>
          <w:tcPr>
            <w:tcW w:w="2483" w:type="dxa"/>
            <w:tcBorders>
              <w:tl2br w:val="nil"/>
              <w:tr2bl w:val="nil"/>
            </w:tcBorders>
            <w:vAlign w:val="center"/>
          </w:tcPr>
          <w:p w14:paraId="2234DFA8">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rPr>
              <w:t>服务期</w:t>
            </w:r>
          </w:p>
        </w:tc>
        <w:tc>
          <w:tcPr>
            <w:tcW w:w="6067" w:type="dxa"/>
            <w:tcBorders>
              <w:tl2br w:val="nil"/>
              <w:tr2bl w:val="nil"/>
            </w:tcBorders>
            <w:vAlign w:val="center"/>
          </w:tcPr>
          <w:p w14:paraId="2DE2A034">
            <w:pPr>
              <w:autoSpaceDE w:val="0"/>
              <w:autoSpaceDN w:val="0"/>
              <w:adjustRightInd w:val="0"/>
              <w:snapToGrid w:val="0"/>
              <w:spacing w:before="120" w:beforeLines="50" w:line="240" w:lineRule="auto"/>
              <w:rPr>
                <w:rFonts w:ascii="宋体" w:cs="楷体_GB2312"/>
                <w:bCs/>
                <w:color w:val="auto"/>
                <w:sz w:val="24"/>
                <w:highlight w:val="none"/>
                <w:lang w:val="zh-CN"/>
              </w:rPr>
            </w:pPr>
            <w:r>
              <w:rPr>
                <w:rFonts w:hint="eastAsia" w:ascii="宋体" w:hAnsi="宋体"/>
                <w:color w:val="auto"/>
                <w:sz w:val="24"/>
                <w:highlight w:val="none"/>
              </w:rPr>
              <w:t>见“第二</w:t>
            </w:r>
            <w:r>
              <w:rPr>
                <w:rFonts w:hint="eastAsia" w:ascii="宋体" w:hAnsi="宋体"/>
                <w:color w:val="auto"/>
                <w:sz w:val="24"/>
                <w:highlight w:val="none"/>
                <w:lang w:val="en-US" w:eastAsia="zh-CN"/>
              </w:rPr>
              <w:t xml:space="preserve">章 </w:t>
            </w:r>
            <w:r>
              <w:rPr>
                <w:rFonts w:hint="eastAsia" w:ascii="宋体" w:hAnsi="宋体"/>
                <w:color w:val="auto"/>
                <w:sz w:val="24"/>
                <w:highlight w:val="none"/>
              </w:rPr>
              <w:t>采购项目及服务要求”</w:t>
            </w:r>
            <w:r>
              <w:rPr>
                <w:rFonts w:hint="eastAsia"/>
                <w:color w:val="auto"/>
                <w:sz w:val="24"/>
                <w:szCs w:val="24"/>
                <w:highlight w:val="none"/>
              </w:rPr>
              <w:t>相应条款</w:t>
            </w:r>
          </w:p>
        </w:tc>
      </w:tr>
      <w:tr w14:paraId="5EE83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16A52DDF">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673B5E02">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1.2</w:t>
            </w:r>
          </w:p>
        </w:tc>
        <w:tc>
          <w:tcPr>
            <w:tcW w:w="2483" w:type="dxa"/>
            <w:tcBorders>
              <w:tl2br w:val="nil"/>
              <w:tr2bl w:val="nil"/>
            </w:tcBorders>
            <w:vAlign w:val="center"/>
          </w:tcPr>
          <w:p w14:paraId="0C52F683">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服务地</w:t>
            </w:r>
          </w:p>
        </w:tc>
        <w:tc>
          <w:tcPr>
            <w:tcW w:w="6067" w:type="dxa"/>
            <w:tcBorders>
              <w:tl2br w:val="nil"/>
              <w:tr2bl w:val="nil"/>
            </w:tcBorders>
            <w:vAlign w:val="center"/>
          </w:tcPr>
          <w:p w14:paraId="646B1342">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color w:val="auto"/>
                <w:sz w:val="24"/>
                <w:szCs w:val="24"/>
                <w:highlight w:val="none"/>
                <w:lang w:val="en-US" w:eastAsia="zh-CN"/>
              </w:rPr>
              <w:t xml:space="preserve"> </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557D62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8" w:type="dxa"/>
            <w:vMerge w:val="continue"/>
            <w:tcBorders>
              <w:tl2br w:val="nil"/>
              <w:tr2bl w:val="nil"/>
            </w:tcBorders>
            <w:vAlign w:val="center"/>
          </w:tcPr>
          <w:p w14:paraId="22FA8DD6">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1A2C509C">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1.3</w:t>
            </w:r>
          </w:p>
        </w:tc>
        <w:tc>
          <w:tcPr>
            <w:tcW w:w="2483" w:type="dxa"/>
            <w:tcBorders>
              <w:tl2br w:val="nil"/>
              <w:tr2bl w:val="nil"/>
            </w:tcBorders>
            <w:vAlign w:val="center"/>
          </w:tcPr>
          <w:p w14:paraId="40D854AD">
            <w:pPr>
              <w:autoSpaceDE w:val="0"/>
              <w:autoSpaceDN w:val="0"/>
              <w:adjustRightInd w:val="0"/>
              <w:snapToGrid w:val="0"/>
              <w:spacing w:line="240" w:lineRule="auto"/>
              <w:jc w:val="center"/>
              <w:rPr>
                <w:rFonts w:hint="eastAsia" w:ascii="宋体" w:hAnsi="宋体" w:cs="楷体_GB2312"/>
                <w:b/>
                <w:bCs/>
                <w:color w:val="auto"/>
                <w:sz w:val="24"/>
                <w:highlight w:val="none"/>
                <w:lang w:eastAsia="zh-CN"/>
              </w:rPr>
            </w:pPr>
            <w:r>
              <w:rPr>
                <w:rFonts w:hint="eastAsia" w:ascii="宋体" w:hAnsi="宋体" w:cs="楷体_GB2312"/>
                <w:b/>
                <w:bCs/>
                <w:color w:val="auto"/>
                <w:sz w:val="24"/>
                <w:highlight w:val="none"/>
                <w:lang w:eastAsia="zh-CN"/>
              </w:rPr>
              <w:t>投标报价</w:t>
            </w:r>
          </w:p>
        </w:tc>
        <w:tc>
          <w:tcPr>
            <w:tcW w:w="6067" w:type="dxa"/>
            <w:tcBorders>
              <w:tl2br w:val="nil"/>
              <w:tr2bl w:val="nil"/>
            </w:tcBorders>
            <w:vAlign w:val="center"/>
          </w:tcPr>
          <w:p w14:paraId="65DCFBDE">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见“第二章</w:t>
            </w:r>
            <w:r>
              <w:rPr>
                <w:rFonts w:hint="eastAsia"/>
                <w:color w:val="auto"/>
                <w:sz w:val="24"/>
                <w:szCs w:val="24"/>
                <w:highlight w:val="none"/>
                <w:lang w:val="en-US" w:eastAsia="zh-CN"/>
              </w:rPr>
              <w:t xml:space="preserve"> </w:t>
            </w:r>
            <w:r>
              <w:rPr>
                <w:rFonts w:hint="eastAsia"/>
                <w:color w:val="auto"/>
                <w:sz w:val="24"/>
                <w:szCs w:val="24"/>
                <w:highlight w:val="none"/>
              </w:rPr>
              <w:t>采购项目及服务要求”相应条款</w:t>
            </w:r>
          </w:p>
        </w:tc>
      </w:tr>
      <w:tr w14:paraId="5C2B84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1" w:hRule="atLeast"/>
          <w:jc w:val="center"/>
        </w:trPr>
        <w:tc>
          <w:tcPr>
            <w:tcW w:w="508" w:type="dxa"/>
            <w:vMerge w:val="continue"/>
            <w:tcBorders>
              <w:tl2br w:val="nil"/>
              <w:tr2bl w:val="nil"/>
            </w:tcBorders>
            <w:vAlign w:val="center"/>
          </w:tcPr>
          <w:p w14:paraId="5651354F">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4838FF9C">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p>
        </w:tc>
        <w:tc>
          <w:tcPr>
            <w:tcW w:w="2483" w:type="dxa"/>
            <w:tcBorders>
              <w:tl2br w:val="nil"/>
              <w:tr2bl w:val="nil"/>
            </w:tcBorders>
            <w:vAlign w:val="center"/>
          </w:tcPr>
          <w:p w14:paraId="46A98404">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标段（包）内容（范围）及服务要求</w:t>
            </w:r>
          </w:p>
        </w:tc>
        <w:tc>
          <w:tcPr>
            <w:tcW w:w="6067" w:type="dxa"/>
            <w:tcBorders>
              <w:tl2br w:val="nil"/>
              <w:tr2bl w:val="nil"/>
            </w:tcBorders>
            <w:vAlign w:val="center"/>
          </w:tcPr>
          <w:p w14:paraId="3FDB10A9">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color w:val="auto"/>
                <w:sz w:val="24"/>
                <w:szCs w:val="24"/>
                <w:highlight w:val="none"/>
                <w:lang w:val="en-US" w:eastAsia="zh-CN"/>
              </w:rPr>
              <w:t xml:space="preserve"> </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428329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6" w:hRule="atLeast"/>
          <w:jc w:val="center"/>
        </w:trPr>
        <w:tc>
          <w:tcPr>
            <w:tcW w:w="508" w:type="dxa"/>
            <w:vMerge w:val="restart"/>
            <w:tcBorders>
              <w:tl2br w:val="nil"/>
              <w:tr2bl w:val="nil"/>
            </w:tcBorders>
            <w:vAlign w:val="center"/>
          </w:tcPr>
          <w:p w14:paraId="3645126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946" w:type="dxa"/>
            <w:tcBorders>
              <w:tl2br w:val="nil"/>
              <w:tr2bl w:val="nil"/>
            </w:tcBorders>
            <w:vAlign w:val="center"/>
          </w:tcPr>
          <w:p w14:paraId="398DF21B">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1.4</w:t>
            </w:r>
          </w:p>
        </w:tc>
        <w:tc>
          <w:tcPr>
            <w:tcW w:w="2483" w:type="dxa"/>
            <w:tcBorders>
              <w:tl2br w:val="nil"/>
              <w:tr2bl w:val="nil"/>
            </w:tcBorders>
            <w:vAlign w:val="center"/>
          </w:tcPr>
          <w:p w14:paraId="5D22D8C2">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067" w:type="dxa"/>
            <w:tcBorders>
              <w:tl2br w:val="nil"/>
              <w:tr2bl w:val="nil"/>
            </w:tcBorders>
            <w:vAlign w:val="center"/>
          </w:tcPr>
          <w:p w14:paraId="38FDE8D5">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不接受   </w:t>
            </w:r>
          </w:p>
        </w:tc>
      </w:tr>
      <w:tr w14:paraId="6D25D9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74584D7F">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665EE5D8">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2483" w:type="dxa"/>
            <w:tcBorders>
              <w:tl2br w:val="nil"/>
              <w:tr2bl w:val="nil"/>
            </w:tcBorders>
            <w:vAlign w:val="center"/>
          </w:tcPr>
          <w:p w14:paraId="7B241040">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067" w:type="dxa"/>
            <w:tcBorders>
              <w:tl2br w:val="nil"/>
              <w:tr2bl w:val="nil"/>
            </w:tcBorders>
            <w:vAlign w:val="center"/>
          </w:tcPr>
          <w:p w14:paraId="632C6885">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14:paraId="2DF3A5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647E7271">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549D76F2">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2483" w:type="dxa"/>
            <w:tcBorders>
              <w:tl2br w:val="nil"/>
              <w:tr2bl w:val="nil"/>
            </w:tcBorders>
            <w:vAlign w:val="center"/>
          </w:tcPr>
          <w:p w14:paraId="33E5C3EE">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投标预备会</w:t>
            </w:r>
          </w:p>
        </w:tc>
        <w:tc>
          <w:tcPr>
            <w:tcW w:w="6067" w:type="dxa"/>
            <w:tcBorders>
              <w:tl2br w:val="nil"/>
              <w:tr2bl w:val="nil"/>
            </w:tcBorders>
            <w:vAlign w:val="center"/>
          </w:tcPr>
          <w:p w14:paraId="7A690911">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01F70C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4017D71A">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1BE831CD">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2483" w:type="dxa"/>
            <w:tcBorders>
              <w:tl2br w:val="nil"/>
              <w:tr2bl w:val="nil"/>
            </w:tcBorders>
            <w:vAlign w:val="center"/>
          </w:tcPr>
          <w:p w14:paraId="4E22A453">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067" w:type="dxa"/>
            <w:tcBorders>
              <w:tl2br w:val="nil"/>
              <w:tr2bl w:val="nil"/>
            </w:tcBorders>
            <w:vAlign w:val="center"/>
          </w:tcPr>
          <w:p w14:paraId="74D21AB6">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14:paraId="7D68E9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508" w:type="dxa"/>
            <w:vMerge w:val="continue"/>
            <w:tcBorders>
              <w:tl2br w:val="nil"/>
              <w:tr2bl w:val="nil"/>
            </w:tcBorders>
            <w:vAlign w:val="center"/>
          </w:tcPr>
          <w:p w14:paraId="47B20947">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727EE0F8">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2.1</w:t>
            </w:r>
          </w:p>
        </w:tc>
        <w:tc>
          <w:tcPr>
            <w:tcW w:w="2483" w:type="dxa"/>
            <w:tcBorders>
              <w:tl2br w:val="nil"/>
              <w:tr2bl w:val="nil"/>
            </w:tcBorders>
            <w:vAlign w:val="center"/>
          </w:tcPr>
          <w:p w14:paraId="1C5FABD8">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lang w:val="zh-CN"/>
              </w:rPr>
              <w:t>构成《磋商文件》的其他材料</w:t>
            </w:r>
          </w:p>
        </w:tc>
        <w:tc>
          <w:tcPr>
            <w:tcW w:w="6067" w:type="dxa"/>
            <w:tcBorders>
              <w:tl2br w:val="nil"/>
              <w:tr2bl w:val="nil"/>
            </w:tcBorders>
            <w:vAlign w:val="center"/>
          </w:tcPr>
          <w:p w14:paraId="0038EFD3">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5BE233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508" w:type="dxa"/>
            <w:vMerge w:val="continue"/>
            <w:tcBorders>
              <w:tl2br w:val="nil"/>
              <w:tr2bl w:val="nil"/>
            </w:tcBorders>
            <w:vAlign w:val="center"/>
          </w:tcPr>
          <w:p w14:paraId="3768BB31">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6123B80B">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rPr>
              <w:t>2.2.1</w:t>
            </w:r>
          </w:p>
        </w:tc>
        <w:tc>
          <w:tcPr>
            <w:tcW w:w="2483" w:type="dxa"/>
            <w:tcBorders>
              <w:tl2br w:val="nil"/>
              <w:tr2bl w:val="nil"/>
            </w:tcBorders>
            <w:vAlign w:val="center"/>
          </w:tcPr>
          <w:p w14:paraId="026A16C9">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供应商提出问题的截止时间</w:t>
            </w:r>
          </w:p>
        </w:tc>
        <w:tc>
          <w:tcPr>
            <w:tcW w:w="6067" w:type="dxa"/>
            <w:tcBorders>
              <w:tl2br w:val="nil"/>
              <w:tr2bl w:val="nil"/>
            </w:tcBorders>
            <w:vAlign w:val="center"/>
          </w:tcPr>
          <w:p w14:paraId="36178CA0">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 xml:space="preserve">日前  </w:t>
            </w:r>
          </w:p>
        </w:tc>
      </w:tr>
      <w:tr w14:paraId="287B81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508" w:type="dxa"/>
            <w:vMerge w:val="continue"/>
            <w:tcBorders>
              <w:tl2br w:val="nil"/>
              <w:tr2bl w:val="nil"/>
            </w:tcBorders>
            <w:vAlign w:val="center"/>
          </w:tcPr>
          <w:p w14:paraId="311C5E44">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0F0AC833">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2.3</w:t>
            </w:r>
          </w:p>
        </w:tc>
        <w:tc>
          <w:tcPr>
            <w:tcW w:w="2483" w:type="dxa"/>
            <w:tcBorders>
              <w:tl2br w:val="nil"/>
              <w:tr2bl w:val="nil"/>
            </w:tcBorders>
            <w:vAlign w:val="center"/>
          </w:tcPr>
          <w:p w14:paraId="577D1E22">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《磋商文件》澄清修改补充时间</w:t>
            </w:r>
          </w:p>
        </w:tc>
        <w:tc>
          <w:tcPr>
            <w:tcW w:w="6067" w:type="dxa"/>
            <w:tcBorders>
              <w:tl2br w:val="nil"/>
              <w:tr2bl w:val="nil"/>
            </w:tcBorders>
            <w:vAlign w:val="center"/>
          </w:tcPr>
          <w:p w14:paraId="19B1842F">
            <w:pPr>
              <w:autoSpaceDE w:val="0"/>
              <w:autoSpaceDN w:val="0"/>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5</w:t>
            </w:r>
            <w:r>
              <w:rPr>
                <w:rFonts w:hint="eastAsia" w:ascii="宋体" w:hAnsi="宋体" w:cs="楷体_GB2312"/>
                <w:color w:val="auto"/>
                <w:sz w:val="24"/>
                <w:highlight w:val="none"/>
                <w:lang w:val="zh-CN"/>
              </w:rPr>
              <w:t>日前</w:t>
            </w:r>
          </w:p>
        </w:tc>
      </w:tr>
      <w:tr w14:paraId="68B6F7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08" w:type="dxa"/>
            <w:vMerge w:val="continue"/>
            <w:tcBorders>
              <w:tl2br w:val="nil"/>
              <w:tr2bl w:val="nil"/>
            </w:tcBorders>
            <w:vAlign w:val="center"/>
          </w:tcPr>
          <w:p w14:paraId="4203C44F">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7FA144ED">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4</w:t>
            </w:r>
          </w:p>
        </w:tc>
        <w:tc>
          <w:tcPr>
            <w:tcW w:w="2483" w:type="dxa"/>
            <w:tcBorders>
              <w:tl2br w:val="nil"/>
              <w:tr2bl w:val="nil"/>
            </w:tcBorders>
            <w:vAlign w:val="center"/>
          </w:tcPr>
          <w:p w14:paraId="518840A7">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《磋商文件》的澄清修改补充告知方式</w:t>
            </w:r>
          </w:p>
        </w:tc>
        <w:tc>
          <w:tcPr>
            <w:tcW w:w="6067" w:type="dxa"/>
            <w:tcBorders>
              <w:tl2br w:val="nil"/>
              <w:tr2bl w:val="nil"/>
            </w:tcBorders>
            <w:vAlign w:val="center"/>
          </w:tcPr>
          <w:p w14:paraId="53C32248">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42508A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508" w:type="dxa"/>
            <w:vMerge w:val="continue"/>
            <w:tcBorders>
              <w:tl2br w:val="nil"/>
              <w:tr2bl w:val="nil"/>
            </w:tcBorders>
            <w:vAlign w:val="center"/>
          </w:tcPr>
          <w:p w14:paraId="2E57FBC7">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579E2FCE">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3.2</w:t>
            </w:r>
          </w:p>
        </w:tc>
        <w:tc>
          <w:tcPr>
            <w:tcW w:w="2483" w:type="dxa"/>
            <w:tcBorders>
              <w:tl2br w:val="nil"/>
              <w:tr2bl w:val="nil"/>
            </w:tcBorders>
            <w:vAlign w:val="center"/>
          </w:tcPr>
          <w:p w14:paraId="447B51CA">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构成《响应文件》的其他材料</w:t>
            </w:r>
          </w:p>
        </w:tc>
        <w:tc>
          <w:tcPr>
            <w:tcW w:w="6067" w:type="dxa"/>
            <w:tcBorders>
              <w:tl2br w:val="nil"/>
              <w:tr2bl w:val="nil"/>
            </w:tcBorders>
            <w:vAlign w:val="center"/>
          </w:tcPr>
          <w:p w14:paraId="2022D892">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1CFF36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jc w:val="center"/>
        </w:trPr>
        <w:tc>
          <w:tcPr>
            <w:tcW w:w="508" w:type="dxa"/>
            <w:vMerge w:val="restart"/>
            <w:tcBorders>
              <w:tl2br w:val="nil"/>
              <w:tr2bl w:val="nil"/>
            </w:tcBorders>
            <w:vAlign w:val="center"/>
          </w:tcPr>
          <w:p w14:paraId="06B1938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946" w:type="dxa"/>
            <w:tcBorders>
              <w:tl2br w:val="nil"/>
              <w:tr2bl w:val="nil"/>
            </w:tcBorders>
            <w:vAlign w:val="center"/>
          </w:tcPr>
          <w:p w14:paraId="3FBC70CA">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3.4.1</w:t>
            </w:r>
          </w:p>
        </w:tc>
        <w:tc>
          <w:tcPr>
            <w:tcW w:w="2483" w:type="dxa"/>
            <w:tcBorders>
              <w:tl2br w:val="nil"/>
              <w:tr2bl w:val="nil"/>
            </w:tcBorders>
            <w:vAlign w:val="center"/>
          </w:tcPr>
          <w:p w14:paraId="2BF26BCE">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响应有效期</w:t>
            </w:r>
          </w:p>
        </w:tc>
        <w:tc>
          <w:tcPr>
            <w:tcW w:w="6067" w:type="dxa"/>
            <w:tcBorders>
              <w:tl2br w:val="nil"/>
              <w:tr2bl w:val="nil"/>
            </w:tcBorders>
            <w:vAlign w:val="center"/>
          </w:tcPr>
          <w:p w14:paraId="6C7C9C0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从《响应文件》开启之日起，响应有效期为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57CA11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8" w:type="dxa"/>
            <w:vMerge w:val="continue"/>
            <w:tcBorders>
              <w:tl2br w:val="nil"/>
              <w:tr2bl w:val="nil"/>
            </w:tcBorders>
            <w:vAlign w:val="center"/>
          </w:tcPr>
          <w:p w14:paraId="657A6689">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76244367">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3.5</w:t>
            </w:r>
          </w:p>
        </w:tc>
        <w:tc>
          <w:tcPr>
            <w:tcW w:w="2483" w:type="dxa"/>
            <w:tcBorders>
              <w:tl2br w:val="nil"/>
              <w:tr2bl w:val="nil"/>
            </w:tcBorders>
            <w:vAlign w:val="center"/>
          </w:tcPr>
          <w:p w14:paraId="09544365">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投标承诺函</w:t>
            </w:r>
          </w:p>
          <w:p w14:paraId="6ED5E07C">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（替代投标保证金）</w:t>
            </w:r>
          </w:p>
        </w:tc>
        <w:tc>
          <w:tcPr>
            <w:tcW w:w="6067" w:type="dxa"/>
            <w:tcBorders>
              <w:tl2br w:val="nil"/>
              <w:tr2bl w:val="nil"/>
            </w:tcBorders>
            <w:vAlign w:val="center"/>
          </w:tcPr>
          <w:p w14:paraId="191294DE">
            <w:pPr>
              <w:widowControl w:val="0"/>
              <w:snapToGrid w:val="0"/>
              <w:spacing w:before="120" w:beforeLines="50" w:line="240" w:lineRule="auto"/>
              <w:rPr>
                <w:color w:val="auto"/>
                <w:sz w:val="24"/>
                <w:szCs w:val="24"/>
                <w:highlight w:val="none"/>
              </w:rPr>
            </w:pPr>
            <w:r>
              <w:rPr>
                <w:rFonts w:hint="eastAsia"/>
                <w:color w:val="auto"/>
                <w:sz w:val="24"/>
                <w:szCs w:val="24"/>
                <w:highlight w:val="none"/>
              </w:rPr>
              <w:t>以投标承诺函形式替代投标保证金。</w:t>
            </w:r>
          </w:p>
          <w:p w14:paraId="07901C0E">
            <w:pPr>
              <w:widowControl w:val="0"/>
              <w:snapToGrid w:val="0"/>
              <w:spacing w:before="120" w:beforeLines="50" w:line="240" w:lineRule="auto"/>
              <w:rPr>
                <w:color w:val="auto"/>
                <w:sz w:val="24"/>
                <w:szCs w:val="24"/>
                <w:highlight w:val="none"/>
              </w:rPr>
            </w:pPr>
            <w:r>
              <w:rPr>
                <w:rFonts w:hint="eastAsia"/>
                <w:color w:val="auto"/>
                <w:sz w:val="24"/>
                <w:szCs w:val="24"/>
                <w:highlight w:val="none"/>
              </w:rPr>
              <w:t>供应商应按附件格式进行投标承诺、违背承诺的责任追究。</w:t>
            </w:r>
          </w:p>
        </w:tc>
      </w:tr>
      <w:tr w14:paraId="589432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7" w:hRule="atLeast"/>
          <w:jc w:val="center"/>
        </w:trPr>
        <w:tc>
          <w:tcPr>
            <w:tcW w:w="508" w:type="dxa"/>
            <w:vMerge w:val="continue"/>
            <w:tcBorders>
              <w:tl2br w:val="nil"/>
              <w:tr2bl w:val="nil"/>
            </w:tcBorders>
            <w:vAlign w:val="center"/>
          </w:tcPr>
          <w:p w14:paraId="7B9C29C7">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6B586F9B">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3.7.3</w:t>
            </w:r>
          </w:p>
        </w:tc>
        <w:tc>
          <w:tcPr>
            <w:tcW w:w="2483" w:type="dxa"/>
            <w:tcBorders>
              <w:tl2br w:val="nil"/>
              <w:tr2bl w:val="nil"/>
            </w:tcBorders>
            <w:vAlign w:val="center"/>
          </w:tcPr>
          <w:p w14:paraId="0E68CD5B">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067" w:type="dxa"/>
            <w:tcBorders>
              <w:tl2br w:val="nil"/>
              <w:tr2bl w:val="nil"/>
            </w:tcBorders>
            <w:vAlign w:val="center"/>
          </w:tcPr>
          <w:p w14:paraId="550D1A94">
            <w:pPr>
              <w:widowControl w:val="0"/>
              <w:snapToGrid w:val="0"/>
              <w:spacing w:before="120"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478B84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 w:hRule="atLeast"/>
          <w:jc w:val="center"/>
        </w:trPr>
        <w:tc>
          <w:tcPr>
            <w:tcW w:w="508" w:type="dxa"/>
            <w:vMerge w:val="continue"/>
            <w:tcBorders>
              <w:tl2br w:val="nil"/>
              <w:tr2bl w:val="nil"/>
            </w:tcBorders>
            <w:vAlign w:val="center"/>
          </w:tcPr>
          <w:p w14:paraId="0D374D20">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32E1ED3D">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rPr>
              <w:t>3.7.4</w:t>
            </w:r>
          </w:p>
        </w:tc>
        <w:tc>
          <w:tcPr>
            <w:tcW w:w="2483" w:type="dxa"/>
            <w:tcBorders>
              <w:tl2br w:val="nil"/>
              <w:tr2bl w:val="nil"/>
            </w:tcBorders>
            <w:vAlign w:val="center"/>
          </w:tcPr>
          <w:p w14:paraId="1F5EAD65">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067" w:type="dxa"/>
            <w:tcBorders>
              <w:tl2br w:val="nil"/>
              <w:tr2bl w:val="nil"/>
            </w:tcBorders>
            <w:vAlign w:val="center"/>
          </w:tcPr>
          <w:p w14:paraId="27596F09">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378E0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508" w:type="dxa"/>
            <w:vMerge w:val="continue"/>
            <w:tcBorders>
              <w:tl2br w:val="nil"/>
              <w:tr2bl w:val="nil"/>
            </w:tcBorders>
            <w:vAlign w:val="center"/>
          </w:tcPr>
          <w:p w14:paraId="055A37B7">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78C90AA2">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rPr>
              <w:t>4.2.4</w:t>
            </w:r>
          </w:p>
        </w:tc>
        <w:tc>
          <w:tcPr>
            <w:tcW w:w="2483" w:type="dxa"/>
            <w:tcBorders>
              <w:tl2br w:val="nil"/>
              <w:tr2bl w:val="nil"/>
            </w:tcBorders>
            <w:vAlign w:val="center"/>
          </w:tcPr>
          <w:p w14:paraId="7EBD9086">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是否退还《响应文件》</w:t>
            </w:r>
          </w:p>
        </w:tc>
        <w:tc>
          <w:tcPr>
            <w:tcW w:w="6067" w:type="dxa"/>
            <w:tcBorders>
              <w:tl2br w:val="nil"/>
              <w:tr2bl w:val="nil"/>
            </w:tcBorders>
            <w:vAlign w:val="center"/>
          </w:tcPr>
          <w:p w14:paraId="1B0FC032">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27D3B7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7" w:hRule="atLeast"/>
          <w:jc w:val="center"/>
        </w:trPr>
        <w:tc>
          <w:tcPr>
            <w:tcW w:w="508" w:type="dxa"/>
            <w:vMerge w:val="continue"/>
            <w:tcBorders>
              <w:tl2br w:val="nil"/>
              <w:tr2bl w:val="nil"/>
            </w:tcBorders>
            <w:vAlign w:val="center"/>
          </w:tcPr>
          <w:p w14:paraId="64FE4BBF">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6B904BC7">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rPr>
              <w:t>6.1</w:t>
            </w:r>
          </w:p>
        </w:tc>
        <w:tc>
          <w:tcPr>
            <w:tcW w:w="2483" w:type="dxa"/>
            <w:tcBorders>
              <w:tl2br w:val="nil"/>
              <w:tr2bl w:val="nil"/>
            </w:tcBorders>
            <w:vAlign w:val="center"/>
          </w:tcPr>
          <w:p w14:paraId="676D29B6">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磋商小组的组建</w:t>
            </w:r>
          </w:p>
        </w:tc>
        <w:tc>
          <w:tcPr>
            <w:tcW w:w="6067" w:type="dxa"/>
            <w:tcBorders>
              <w:tl2br w:val="nil"/>
              <w:tr2bl w:val="nil"/>
            </w:tcBorders>
            <w:vAlign w:val="center"/>
          </w:tcPr>
          <w:p w14:paraId="4C24073A">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供应商须知”相应条款</w:t>
            </w:r>
          </w:p>
        </w:tc>
      </w:tr>
      <w:tr w14:paraId="52D98A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3" w:hRule="atLeast"/>
          <w:jc w:val="center"/>
        </w:trPr>
        <w:tc>
          <w:tcPr>
            <w:tcW w:w="508" w:type="dxa"/>
            <w:vMerge w:val="restart"/>
            <w:tcBorders>
              <w:tl2br w:val="nil"/>
              <w:tr2bl w:val="nil"/>
            </w:tcBorders>
            <w:vAlign w:val="center"/>
          </w:tcPr>
          <w:p w14:paraId="2B0499E3">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946" w:type="dxa"/>
            <w:tcBorders>
              <w:tl2br w:val="nil"/>
              <w:tr2bl w:val="nil"/>
            </w:tcBorders>
            <w:vAlign w:val="center"/>
          </w:tcPr>
          <w:p w14:paraId="3C4EFAF0">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7.1</w:t>
            </w:r>
          </w:p>
        </w:tc>
        <w:tc>
          <w:tcPr>
            <w:tcW w:w="2483" w:type="dxa"/>
            <w:tcBorders>
              <w:tl2br w:val="nil"/>
              <w:tr2bl w:val="nil"/>
            </w:tcBorders>
            <w:vAlign w:val="center"/>
          </w:tcPr>
          <w:p w14:paraId="43B52510">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是否授权磋商小组确定成交供应商</w:t>
            </w:r>
          </w:p>
        </w:tc>
        <w:tc>
          <w:tcPr>
            <w:tcW w:w="6067" w:type="dxa"/>
            <w:tcBorders>
              <w:tl2br w:val="nil"/>
              <w:tr2bl w:val="nil"/>
            </w:tcBorders>
            <w:vAlign w:val="center"/>
          </w:tcPr>
          <w:p w14:paraId="78289276">
            <w:pPr>
              <w:adjustRightInd w:val="0"/>
              <w:snapToGrid w:val="0"/>
              <w:spacing w:before="120" w:beforeLines="50" w:line="240" w:lineRule="auto"/>
              <w:rPr>
                <w:rFonts w:ascii="宋体"/>
                <w:color w:val="auto"/>
                <w:sz w:val="24"/>
                <w:highlight w:val="none"/>
              </w:rPr>
            </w:pPr>
            <w:r>
              <w:rPr>
                <w:rFonts w:hint="eastAsia" w:ascii="宋体" w:hAnsi="宋体"/>
                <w:color w:val="auto"/>
                <w:sz w:val="24"/>
                <w:highlight w:val="none"/>
              </w:rPr>
              <w:t>是。按照评审得分由高到低顺序推荐</w:t>
            </w:r>
            <w:r>
              <w:rPr>
                <w:rFonts w:ascii="宋体" w:hAnsi="宋体"/>
                <w:color w:val="auto"/>
                <w:sz w:val="24"/>
                <w:highlight w:val="none"/>
              </w:rPr>
              <w:t>3</w:t>
            </w:r>
            <w:r>
              <w:rPr>
                <w:rFonts w:hint="eastAsia" w:ascii="宋体" w:hAnsi="宋体"/>
                <w:color w:val="auto"/>
                <w:sz w:val="24"/>
                <w:highlight w:val="none"/>
              </w:rPr>
              <w:t>名以上成交候选供应商，并确定排名第一的成交候选人为成交供应商。</w:t>
            </w:r>
          </w:p>
        </w:tc>
      </w:tr>
      <w:tr w14:paraId="63C5B7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57398742">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6B444D33">
            <w:pPr>
              <w:autoSpaceDE w:val="0"/>
              <w:autoSpaceDN w:val="0"/>
              <w:adjustRightInd w:val="0"/>
              <w:snapToGrid w:val="0"/>
              <w:spacing w:line="240" w:lineRule="auto"/>
              <w:jc w:val="center"/>
              <w:rPr>
                <w:rFonts w:ascii="宋体" w:hAnsi="宋体" w:cs="楷体_GB2312"/>
                <w:b/>
                <w:bCs/>
                <w:color w:val="auto"/>
                <w:szCs w:val="21"/>
                <w:highlight w:val="none"/>
              </w:rPr>
            </w:pPr>
            <w:r>
              <w:rPr>
                <w:rFonts w:ascii="宋体" w:hAnsi="宋体" w:cs="楷体_GB2312"/>
                <w:b/>
                <w:bCs/>
                <w:color w:val="auto"/>
                <w:szCs w:val="21"/>
                <w:highlight w:val="none"/>
              </w:rPr>
              <w:t>7.2</w:t>
            </w:r>
          </w:p>
        </w:tc>
        <w:tc>
          <w:tcPr>
            <w:tcW w:w="2483" w:type="dxa"/>
            <w:tcBorders>
              <w:tl2br w:val="nil"/>
              <w:tr2bl w:val="nil"/>
            </w:tcBorders>
            <w:vAlign w:val="center"/>
          </w:tcPr>
          <w:p w14:paraId="61E4109E">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成交结果公告</w:t>
            </w:r>
          </w:p>
        </w:tc>
        <w:tc>
          <w:tcPr>
            <w:tcW w:w="6067" w:type="dxa"/>
            <w:tcBorders>
              <w:tl2br w:val="nil"/>
              <w:tr2bl w:val="nil"/>
            </w:tcBorders>
            <w:vAlign w:val="center"/>
          </w:tcPr>
          <w:p w14:paraId="66190C77">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本次竞争性磋商的成交结果将在成交供应商确定当天即时在竞争性磋商公告所述媒介公告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0D0436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51F98F42">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24CACDC7">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7.3</w:t>
            </w:r>
          </w:p>
        </w:tc>
        <w:tc>
          <w:tcPr>
            <w:tcW w:w="2483" w:type="dxa"/>
            <w:tcBorders>
              <w:tl2br w:val="nil"/>
              <w:tr2bl w:val="nil"/>
            </w:tcBorders>
            <w:vAlign w:val="center"/>
          </w:tcPr>
          <w:p w14:paraId="5067DD7F">
            <w:pPr>
              <w:autoSpaceDE w:val="0"/>
              <w:autoSpaceDN w:val="0"/>
              <w:adjustRightInd w:val="0"/>
              <w:snapToGrid w:val="0"/>
              <w:spacing w:line="240" w:lineRule="auto"/>
              <w:jc w:val="center"/>
              <w:rPr>
                <w:rFonts w:hint="eastAsia" w:ascii="宋体" w:hAnsi="宋体" w:cs="楷体_GB2312"/>
                <w:b/>
                <w:bCs/>
                <w:color w:val="auto"/>
                <w:sz w:val="24"/>
                <w:highlight w:val="none"/>
              </w:rPr>
            </w:pPr>
            <w:r>
              <w:rPr>
                <w:rFonts w:hint="eastAsia" w:ascii="宋体" w:hAnsi="宋体" w:cs="楷体_GB2312"/>
                <w:b/>
                <w:bCs/>
                <w:color w:val="auto"/>
                <w:sz w:val="24"/>
                <w:highlight w:val="none"/>
              </w:rPr>
              <w:t>质疑</w:t>
            </w:r>
          </w:p>
        </w:tc>
        <w:tc>
          <w:tcPr>
            <w:tcW w:w="6067" w:type="dxa"/>
            <w:tcBorders>
              <w:tl2br w:val="nil"/>
              <w:tr2bl w:val="nil"/>
            </w:tcBorders>
            <w:vAlign w:val="center"/>
          </w:tcPr>
          <w:p w14:paraId="79E7B5B0">
            <w:pPr>
              <w:rPr>
                <w:rFonts w:ascii="宋体" w:hAns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参与本次采购活动的供应商如有异议，可在各环节法定质疑期内向采购代理机构一次性提出针对该采购程序环节的书面质疑函，书面原件送达至</w:t>
            </w:r>
            <w:r>
              <w:rPr>
                <w:rFonts w:hint="eastAsia" w:ascii="宋体" w:hAnsi="宋体"/>
                <w:color w:val="auto"/>
                <w:sz w:val="24"/>
                <w:highlight w:val="none"/>
                <w:lang w:eastAsia="zh-CN"/>
              </w:rPr>
              <w:t>《磋商文件》</w:t>
            </w:r>
            <w:r>
              <w:rPr>
                <w:rFonts w:hint="eastAsia" w:ascii="宋体" w:hAnsi="宋体"/>
                <w:color w:val="auto"/>
                <w:sz w:val="24"/>
                <w:highlight w:val="none"/>
              </w:rPr>
              <w:t>列示的采购代理机构及采购</w:t>
            </w:r>
            <w:r>
              <w:rPr>
                <w:rFonts w:hint="eastAsia" w:ascii="宋体" w:hAnsi="宋体"/>
                <w:color w:val="auto"/>
                <w:sz w:val="24"/>
                <w:highlight w:val="none"/>
                <w:lang w:val="en-US" w:eastAsia="zh-CN"/>
              </w:rPr>
              <w:t>人</w:t>
            </w:r>
            <w:r>
              <w:rPr>
                <w:rFonts w:hint="eastAsia" w:ascii="宋体" w:hAnsi="宋体"/>
                <w:color w:val="auto"/>
                <w:sz w:val="24"/>
                <w:highlight w:val="none"/>
              </w:rPr>
              <w:t>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highlight w:val="none"/>
              </w:rPr>
              <w:t>如对采购代理机构的答复仍有异议的，可向同级财政局政府采购监督管理办公室提出书面投诉。（具体程序按照《政府采购质疑和投诉办法》执行）。</w:t>
            </w:r>
          </w:p>
        </w:tc>
      </w:tr>
      <w:tr w14:paraId="663B94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3791FFD8">
            <w:pPr>
              <w:autoSpaceDE w:val="0"/>
              <w:autoSpaceDN w:val="0"/>
              <w:adjustRightInd w:val="0"/>
              <w:snapToGrid w:val="0"/>
              <w:spacing w:line="240" w:lineRule="auto"/>
              <w:jc w:val="center"/>
              <w:rPr>
                <w:rFonts w:ascii="宋体" w:cs="楷体_GB2312"/>
                <w:b/>
                <w:bCs/>
                <w:color w:val="auto"/>
                <w:sz w:val="24"/>
                <w:highlight w:val="none"/>
              </w:rPr>
            </w:pPr>
          </w:p>
        </w:tc>
        <w:tc>
          <w:tcPr>
            <w:tcW w:w="946" w:type="dxa"/>
            <w:tcBorders>
              <w:tl2br w:val="nil"/>
              <w:tr2bl w:val="nil"/>
            </w:tcBorders>
            <w:vAlign w:val="center"/>
          </w:tcPr>
          <w:p w14:paraId="19DCB1E5">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7.4</w:t>
            </w:r>
          </w:p>
        </w:tc>
        <w:tc>
          <w:tcPr>
            <w:tcW w:w="2483" w:type="dxa"/>
            <w:tcBorders>
              <w:tl2br w:val="nil"/>
              <w:tr2bl w:val="nil"/>
            </w:tcBorders>
            <w:vAlign w:val="center"/>
          </w:tcPr>
          <w:p w14:paraId="1A9DA88A">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成交通知书</w:t>
            </w:r>
          </w:p>
        </w:tc>
        <w:tc>
          <w:tcPr>
            <w:tcW w:w="6067" w:type="dxa"/>
            <w:tcBorders>
              <w:tl2br w:val="nil"/>
              <w:tr2bl w:val="nil"/>
            </w:tcBorders>
            <w:vAlign w:val="center"/>
          </w:tcPr>
          <w:p w14:paraId="7752DCA1">
            <w:pPr>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采购代理机构在成交供应商确定当天即时向成交供应商发出成交通知书。成交供应商应凭缴费凭证及时领取成交通知书。</w:t>
            </w:r>
          </w:p>
        </w:tc>
      </w:tr>
      <w:tr w14:paraId="104B493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restart"/>
            <w:tcBorders>
              <w:tl2br w:val="nil"/>
              <w:tr2bl w:val="nil"/>
            </w:tcBorders>
            <w:vAlign w:val="center"/>
          </w:tcPr>
          <w:p w14:paraId="0925E97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946" w:type="dxa"/>
            <w:tcBorders>
              <w:tl2br w:val="nil"/>
              <w:tr2bl w:val="nil"/>
            </w:tcBorders>
            <w:vAlign w:val="center"/>
          </w:tcPr>
          <w:p w14:paraId="6B11A75A">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7.5</w:t>
            </w:r>
          </w:p>
        </w:tc>
        <w:tc>
          <w:tcPr>
            <w:tcW w:w="2483" w:type="dxa"/>
            <w:tcBorders>
              <w:tl2br w:val="nil"/>
              <w:tr2bl w:val="nil"/>
            </w:tcBorders>
            <w:vAlign w:val="center"/>
          </w:tcPr>
          <w:p w14:paraId="5AB48F1C">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067" w:type="dxa"/>
            <w:tcBorders>
              <w:tl2br w:val="nil"/>
              <w:tr2bl w:val="nil"/>
            </w:tcBorders>
            <w:vAlign w:val="center"/>
          </w:tcPr>
          <w:p w14:paraId="0420BEFA">
            <w:pPr>
              <w:adjustRightInd w:val="0"/>
              <w:snapToGrid w:val="0"/>
              <w:spacing w:before="120" w:beforeLines="50" w:line="240" w:lineRule="auto"/>
              <w:rPr>
                <w:rFonts w:hint="eastAsia" w:ascii="宋体" w:hAnsi="宋体" w:eastAsia="宋体" w:cs="楷体_GB2312"/>
                <w:color w:val="auto"/>
                <w:sz w:val="24"/>
                <w:highlight w:val="none"/>
                <w:lang w:val="zh-CN" w:eastAsia="zh-CN"/>
              </w:rPr>
            </w:pPr>
            <w:r>
              <w:rPr>
                <w:rFonts w:hint="eastAsia" w:ascii="宋体" w:hAnsi="宋体" w:cs="楷体_GB2312"/>
                <w:color w:val="auto"/>
                <w:sz w:val="24"/>
                <w:highlight w:val="none"/>
                <w:lang w:val="en-US" w:eastAsia="zh-CN"/>
              </w:rPr>
              <w:t>不需缴纳</w:t>
            </w:r>
          </w:p>
        </w:tc>
      </w:tr>
      <w:tr w14:paraId="787B7E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1FCC018E">
            <w:pPr>
              <w:autoSpaceDE w:val="0"/>
              <w:autoSpaceDN w:val="0"/>
              <w:adjustRightInd w:val="0"/>
              <w:snapToGrid w:val="0"/>
              <w:spacing w:line="240" w:lineRule="auto"/>
              <w:jc w:val="center"/>
              <w:rPr>
                <w:rFonts w:ascii="宋体" w:cs="楷体_GB2312"/>
                <w:b/>
                <w:bCs/>
                <w:color w:val="auto"/>
                <w:sz w:val="24"/>
                <w:highlight w:val="none"/>
                <w:lang w:val="zh-CN"/>
              </w:rPr>
            </w:pPr>
          </w:p>
        </w:tc>
        <w:tc>
          <w:tcPr>
            <w:tcW w:w="946" w:type="dxa"/>
            <w:tcBorders>
              <w:tl2br w:val="nil"/>
              <w:tr2bl w:val="nil"/>
            </w:tcBorders>
            <w:vAlign w:val="center"/>
          </w:tcPr>
          <w:p w14:paraId="0EB774CA">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8</w:t>
            </w:r>
          </w:p>
        </w:tc>
        <w:tc>
          <w:tcPr>
            <w:tcW w:w="2483" w:type="dxa"/>
            <w:tcBorders>
              <w:tl2br w:val="nil"/>
              <w:tr2bl w:val="nil"/>
            </w:tcBorders>
            <w:vAlign w:val="center"/>
          </w:tcPr>
          <w:p w14:paraId="5EC899E6">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067" w:type="dxa"/>
            <w:tcBorders>
              <w:tl2br w:val="nil"/>
              <w:tr2bl w:val="nil"/>
            </w:tcBorders>
            <w:vAlign w:val="center"/>
          </w:tcPr>
          <w:p w14:paraId="1DCC8DE2">
            <w:pPr>
              <w:widowControl w:val="0"/>
              <w:snapToGrid w:val="0"/>
              <w:spacing w:before="120" w:beforeLines="50" w:line="240" w:lineRule="auto"/>
              <w:rPr>
                <w:color w:val="auto"/>
                <w:sz w:val="24"/>
                <w:szCs w:val="24"/>
                <w:highlight w:val="none"/>
              </w:rPr>
            </w:pPr>
            <w:r>
              <w:rPr>
                <w:rFonts w:hint="eastAsia"/>
                <w:color w:val="auto"/>
                <w:sz w:val="24"/>
                <w:szCs w:val="24"/>
                <w:highlight w:val="none"/>
              </w:rPr>
              <w:t>见“第三章供应商须知”相应条款</w:t>
            </w:r>
          </w:p>
        </w:tc>
      </w:tr>
      <w:tr w14:paraId="2B42FA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vMerge w:val="continue"/>
            <w:tcBorders>
              <w:tl2br w:val="nil"/>
              <w:tr2bl w:val="nil"/>
            </w:tcBorders>
            <w:vAlign w:val="center"/>
          </w:tcPr>
          <w:p w14:paraId="57657757">
            <w:pPr>
              <w:autoSpaceDE w:val="0"/>
              <w:autoSpaceDN w:val="0"/>
              <w:adjustRightInd w:val="0"/>
              <w:spacing w:line="360" w:lineRule="auto"/>
              <w:jc w:val="center"/>
              <w:rPr>
                <w:rFonts w:ascii="宋体" w:cs="楷体_GB2312"/>
                <w:b/>
                <w:bCs/>
                <w:color w:val="auto"/>
                <w:sz w:val="24"/>
                <w:highlight w:val="none"/>
              </w:rPr>
            </w:pPr>
          </w:p>
        </w:tc>
        <w:tc>
          <w:tcPr>
            <w:tcW w:w="946" w:type="dxa"/>
            <w:tcBorders>
              <w:tl2br w:val="nil"/>
              <w:tr2bl w:val="nil"/>
            </w:tcBorders>
            <w:vAlign w:val="center"/>
          </w:tcPr>
          <w:p w14:paraId="0DADC009">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9</w:t>
            </w:r>
          </w:p>
        </w:tc>
        <w:tc>
          <w:tcPr>
            <w:tcW w:w="2483" w:type="dxa"/>
            <w:tcBorders>
              <w:tl2br w:val="nil"/>
              <w:tr2bl w:val="nil"/>
            </w:tcBorders>
            <w:vAlign w:val="center"/>
          </w:tcPr>
          <w:p w14:paraId="755AECF7">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067" w:type="dxa"/>
            <w:tcBorders>
              <w:tl2br w:val="nil"/>
              <w:tr2bl w:val="nil"/>
            </w:tcBorders>
            <w:vAlign w:val="center"/>
          </w:tcPr>
          <w:p w14:paraId="69C098AD">
            <w:pPr>
              <w:adjustRightInd w:val="0"/>
              <w:snapToGrid w:val="0"/>
              <w:spacing w:before="120" w:beforeLines="50" w:line="240" w:lineRule="auto"/>
              <w:ind w:firstLine="480" w:firstLineChars="200"/>
              <w:rPr>
                <w:rFonts w:hint="eastAsia" w:ascii="宋体" w:hAnsi="宋体" w:cs="楷体_GB2312"/>
                <w:color w:val="auto"/>
                <w:sz w:val="24"/>
                <w:highlight w:val="none"/>
                <w:lang w:val="zh-CN"/>
              </w:rPr>
            </w:pPr>
            <w:bookmarkStart w:id="14" w:name="OLE_LINK11"/>
            <w:r>
              <w:rPr>
                <w:rFonts w:hint="eastAsia" w:ascii="宋体" w:hAnsi="宋体" w:cs="楷体_GB2312"/>
                <w:color w:val="auto"/>
                <w:sz w:val="24"/>
                <w:highlight w:val="none"/>
                <w:lang w:val="zh-CN"/>
              </w:rPr>
              <w:t>为优化政府采购营商环境，根据安财购﹝2019﹞8号文件落实政府采购预付款的规定，采购人可在政府采购合同履约前向成交供应商预付30%的合同资金，成交供应商应向采购人提交预付款保函，未提供保函的，视同其放弃项目预付款的支付。</w:t>
            </w:r>
          </w:p>
          <w:p w14:paraId="4055D11D">
            <w:pPr>
              <w:adjustRightInd w:val="0"/>
              <w:snapToGrid w:val="0"/>
              <w:spacing w:before="120" w:beforeLines="50" w:line="240" w:lineRule="auto"/>
              <w:ind w:firstLine="480" w:firstLineChars="200"/>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为进一步优化营商环境，根据安财购﹝2022﹞8号文件落实政府采购中小企业预付款的规定，采购人可在政府采购合同签订后，向成交供应商原则上预付不低于合同金额50%的预付款，成交供应商应向采购人提交预付款保函，未提供保函的，视同其放弃项目预付款的支付。</w:t>
            </w:r>
          </w:p>
          <w:p w14:paraId="74D9B36B">
            <w:pPr>
              <w:adjustRightInd w:val="0"/>
              <w:snapToGrid w:val="0"/>
              <w:spacing w:before="120" w:beforeLines="50" w:line="240" w:lineRule="auto"/>
              <w:ind w:firstLine="480" w:firstLineChars="200"/>
              <w:rPr>
                <w:color w:val="auto"/>
                <w:sz w:val="24"/>
                <w:szCs w:val="24"/>
                <w:highlight w:val="none"/>
              </w:rPr>
            </w:pPr>
            <w:r>
              <w:rPr>
                <w:rFonts w:hint="eastAsia" w:ascii="宋体" w:hAnsi="宋体" w:cs="楷体_GB2312"/>
                <w:color w:val="auto"/>
                <w:sz w:val="24"/>
                <w:highlight w:val="none"/>
                <w:lang w:val="zh-CN"/>
              </w:rPr>
              <w:t>网上提交支付申请后，凭借网上打印的《殷都区政府采购资金申请表》，经采购人盖章后，作为付款依据，由采购人根据</w:t>
            </w:r>
            <w:r>
              <w:rPr>
                <w:rFonts w:hint="eastAsia" w:ascii="宋体" w:hAnsi="宋体" w:cs="楷体_GB2312"/>
                <w:color w:val="auto"/>
                <w:sz w:val="24"/>
                <w:highlight w:val="none"/>
                <w:lang w:val="zh-CN" w:eastAsia="zh-CN"/>
              </w:rPr>
              <w:t>合同履行期限内项目实际发生额、据实结算</w:t>
            </w:r>
            <w:r>
              <w:rPr>
                <w:rFonts w:hint="eastAsia" w:ascii="宋体" w:hAnsi="宋体" w:cs="楷体_GB2312"/>
                <w:color w:val="auto"/>
                <w:sz w:val="24"/>
                <w:highlight w:val="none"/>
                <w:lang w:val="zh-CN"/>
              </w:rPr>
              <w:t>。</w:t>
            </w:r>
            <w:bookmarkEnd w:id="14"/>
          </w:p>
        </w:tc>
      </w:tr>
      <w:tr w14:paraId="696B2B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3" w:hRule="atLeast"/>
          <w:jc w:val="center"/>
        </w:trPr>
        <w:tc>
          <w:tcPr>
            <w:tcW w:w="508" w:type="dxa"/>
            <w:tcBorders>
              <w:tl2br w:val="nil"/>
              <w:tr2bl w:val="nil"/>
            </w:tcBorders>
            <w:vAlign w:val="center"/>
          </w:tcPr>
          <w:p w14:paraId="06851792">
            <w:pPr>
              <w:autoSpaceDE w:val="0"/>
              <w:autoSpaceDN w:val="0"/>
              <w:adjustRightInd w:val="0"/>
              <w:spacing w:line="360" w:lineRule="auto"/>
              <w:jc w:val="center"/>
              <w:rPr>
                <w:rFonts w:ascii="宋体" w:cs="楷体_GB2312"/>
                <w:b/>
                <w:bCs/>
                <w:color w:val="auto"/>
                <w:sz w:val="24"/>
                <w:highlight w:val="none"/>
              </w:rPr>
            </w:pPr>
          </w:p>
        </w:tc>
        <w:tc>
          <w:tcPr>
            <w:tcW w:w="946" w:type="dxa"/>
            <w:tcBorders>
              <w:tl2br w:val="nil"/>
              <w:tr2bl w:val="nil"/>
            </w:tcBorders>
            <w:vAlign w:val="center"/>
          </w:tcPr>
          <w:p w14:paraId="60FCB890">
            <w:pPr>
              <w:autoSpaceDE w:val="0"/>
              <w:autoSpaceDN w:val="0"/>
              <w:adjustRightInd w:val="0"/>
              <w:snapToGrid w:val="0"/>
              <w:spacing w:line="240" w:lineRule="auto"/>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10.1</w:t>
            </w:r>
          </w:p>
        </w:tc>
        <w:tc>
          <w:tcPr>
            <w:tcW w:w="2483" w:type="dxa"/>
            <w:tcBorders>
              <w:tl2br w:val="nil"/>
              <w:tr2bl w:val="nil"/>
            </w:tcBorders>
            <w:vAlign w:val="center"/>
          </w:tcPr>
          <w:p w14:paraId="279BEB1C">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代理服务费</w:t>
            </w:r>
          </w:p>
          <w:p w14:paraId="3FEE7345">
            <w:pPr>
              <w:autoSpaceDE w:val="0"/>
              <w:autoSpaceDN w:val="0"/>
              <w:adjustRightInd w:val="0"/>
              <w:snapToGrid w:val="0"/>
              <w:spacing w:line="240" w:lineRule="auto"/>
              <w:jc w:val="center"/>
              <w:rPr>
                <w:rFonts w:hint="eastAsia" w:ascii="宋体" w:hAnsi="宋体" w:cs="楷体_GB2312"/>
                <w:b/>
                <w:bCs/>
                <w:color w:val="auto"/>
                <w:sz w:val="24"/>
                <w:highlight w:val="none"/>
                <w:lang w:val="zh-CN"/>
              </w:rPr>
            </w:pPr>
            <w:r>
              <w:rPr>
                <w:rFonts w:hint="eastAsia" w:ascii="宋体" w:hAnsi="宋体" w:cs="楷体_GB2312"/>
                <w:b/>
                <w:bCs/>
                <w:color w:val="auto"/>
                <w:sz w:val="24"/>
                <w:highlight w:val="none"/>
                <w:lang w:val="zh-CN"/>
              </w:rPr>
              <w:t>（</w:t>
            </w:r>
            <w:r>
              <w:rPr>
                <w:rFonts w:hint="eastAsia" w:ascii="宋体" w:hAnsi="宋体" w:cs="楷体_GB2312"/>
                <w:b/>
                <w:bCs/>
                <w:color w:val="auto"/>
                <w:sz w:val="24"/>
                <w:highlight w:val="none"/>
                <w:lang w:val="en-US" w:eastAsia="zh-CN"/>
              </w:rPr>
              <w:t>中标服务费</w:t>
            </w:r>
            <w:r>
              <w:rPr>
                <w:rFonts w:hint="eastAsia" w:ascii="宋体" w:hAnsi="宋体" w:cs="楷体_GB2312"/>
                <w:b/>
                <w:bCs/>
                <w:color w:val="auto"/>
                <w:sz w:val="24"/>
                <w:highlight w:val="none"/>
                <w:lang w:val="zh-CN"/>
              </w:rPr>
              <w:t>）</w:t>
            </w:r>
          </w:p>
        </w:tc>
        <w:tc>
          <w:tcPr>
            <w:tcW w:w="6067" w:type="dxa"/>
            <w:tcBorders>
              <w:tl2br w:val="nil"/>
              <w:tr2bl w:val="nil"/>
            </w:tcBorders>
            <w:vAlign w:val="center"/>
          </w:tcPr>
          <w:p w14:paraId="6A6BCEAB">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参照国家计委《招标代理服务收费管理暂行办法》（计价格【</w:t>
            </w:r>
            <w:r>
              <w:rPr>
                <w:rFonts w:ascii="宋体" w:hAnsi="宋体"/>
                <w:color w:val="auto"/>
                <w:sz w:val="24"/>
                <w:highlight w:val="none"/>
              </w:rPr>
              <w:t>2002</w:t>
            </w:r>
            <w:r>
              <w:rPr>
                <w:rFonts w:hint="eastAsia" w:ascii="宋体" w:hAnsi="宋体"/>
                <w:color w:val="auto"/>
                <w:sz w:val="24"/>
                <w:highlight w:val="none"/>
              </w:rPr>
              <w:t>】</w:t>
            </w:r>
            <w:r>
              <w:rPr>
                <w:rFonts w:ascii="宋体" w:hAnsi="宋体"/>
                <w:color w:val="auto"/>
                <w:sz w:val="24"/>
                <w:highlight w:val="none"/>
              </w:rPr>
              <w:t>1980</w:t>
            </w:r>
            <w:r>
              <w:rPr>
                <w:rFonts w:hint="eastAsia" w:ascii="宋体" w:hAnsi="宋体"/>
                <w:color w:val="auto"/>
                <w:sz w:val="24"/>
                <w:highlight w:val="none"/>
              </w:rPr>
              <w:t>号）、《国家发展和改革委员会办公厅关于招标代理服务费有关问题的通知》（发改办价格【</w:t>
            </w:r>
            <w:r>
              <w:rPr>
                <w:rFonts w:ascii="宋体" w:hAnsi="宋体"/>
                <w:color w:val="auto"/>
                <w:sz w:val="24"/>
                <w:highlight w:val="none"/>
              </w:rPr>
              <w:t>2003</w:t>
            </w:r>
            <w:r>
              <w:rPr>
                <w:rFonts w:hint="eastAsia" w:ascii="宋体" w:hAnsi="宋体"/>
                <w:color w:val="auto"/>
                <w:sz w:val="24"/>
                <w:highlight w:val="none"/>
              </w:rPr>
              <w:t>】</w:t>
            </w:r>
            <w:r>
              <w:rPr>
                <w:rFonts w:ascii="宋体" w:hAnsi="宋体"/>
                <w:color w:val="auto"/>
                <w:sz w:val="24"/>
                <w:highlight w:val="none"/>
              </w:rPr>
              <w:t>857</w:t>
            </w:r>
            <w:r>
              <w:rPr>
                <w:rFonts w:hint="eastAsia" w:ascii="宋体" w:hAnsi="宋体"/>
                <w:color w:val="auto"/>
                <w:sz w:val="24"/>
                <w:highlight w:val="none"/>
              </w:rPr>
              <w:t>号）及发改价格【</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534</w:t>
            </w:r>
            <w:r>
              <w:rPr>
                <w:rFonts w:hint="eastAsia" w:ascii="宋体" w:hAnsi="宋体"/>
                <w:color w:val="auto"/>
                <w:sz w:val="24"/>
                <w:highlight w:val="none"/>
              </w:rPr>
              <w:t>号文件的规定，招标代理服务费由中标（成交）供应商支付。</w:t>
            </w:r>
          </w:p>
        </w:tc>
      </w:tr>
    </w:tbl>
    <w:p w14:paraId="53272182">
      <w:pPr>
        <w:autoSpaceDE w:val="0"/>
        <w:autoSpaceDN w:val="0"/>
        <w:adjustRightInd w:val="0"/>
        <w:spacing w:line="360" w:lineRule="auto"/>
        <w:ind w:firstLine="539"/>
        <w:rPr>
          <w:color w:val="auto"/>
          <w:highlight w:val="none"/>
        </w:rPr>
      </w:pPr>
      <w:r>
        <w:rPr>
          <w:color w:val="auto"/>
          <w:highlight w:val="none"/>
        </w:rPr>
        <w:br w:type="page"/>
      </w:r>
    </w:p>
    <w:p w14:paraId="4E81663E">
      <w:pPr>
        <w:autoSpaceDE w:val="0"/>
        <w:autoSpaceDN w:val="0"/>
        <w:adjustRightInd w:val="0"/>
        <w:snapToGrid w:val="0"/>
        <w:spacing w:before="120" w:beforeLines="50" w:line="300" w:lineRule="auto"/>
        <w:ind w:firstLine="539"/>
        <w:outlineLvl w:val="1"/>
        <w:rPr>
          <w:rFonts w:ascii="黑体" w:hAnsi="黑体" w:eastAsia="黑体"/>
          <w:color w:val="auto"/>
          <w:sz w:val="28"/>
          <w:szCs w:val="28"/>
          <w:highlight w:val="none"/>
          <w:lang w:val="zh-CN"/>
        </w:rPr>
      </w:pPr>
      <w:bookmarkStart w:id="15" w:name="_Toc15922"/>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15"/>
    </w:p>
    <w:p w14:paraId="1F705C2C">
      <w:pPr>
        <w:autoSpaceDE w:val="0"/>
        <w:autoSpaceDN w:val="0"/>
        <w:adjustRightInd w:val="0"/>
        <w:snapToGrid w:val="0"/>
        <w:spacing w:before="120"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en-US" w:eastAsia="zh-CN"/>
        </w:rPr>
        <w:t xml:space="preserve"> </w:t>
      </w:r>
      <w:r>
        <w:rPr>
          <w:rFonts w:hint="eastAsia" w:ascii="宋体" w:hAnsi="宋体"/>
          <w:color w:val="auto"/>
          <w:sz w:val="24"/>
          <w:szCs w:val="24"/>
          <w:highlight w:val="none"/>
        </w:rPr>
        <w:t>根据《中华人民共和国政府采购法》、《中华人民共和国政府采购法实施条例》、《政府采购竞争性磋商采购方式管理暂行办法》及相关政府采购法律法规等制定本文件。</w:t>
      </w:r>
    </w:p>
    <w:p w14:paraId="67DBDA2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rPr>
      </w:pPr>
      <w:r>
        <w:rPr>
          <w:rFonts w:ascii="黑体" w:hAnsi="黑体" w:eastAsia="黑体" w:cs="楷体_GB2312"/>
          <w:b/>
          <w:color w:val="auto"/>
          <w:sz w:val="24"/>
          <w:highlight w:val="none"/>
        </w:rPr>
        <w:t>1.2</w:t>
      </w:r>
      <w:r>
        <w:rPr>
          <w:rFonts w:hint="eastAsia" w:ascii="黑体" w:hAnsi="黑体" w:eastAsia="黑体" w:cs="楷体_GB2312"/>
          <w:b/>
          <w:color w:val="auto"/>
          <w:sz w:val="24"/>
          <w:highlight w:val="none"/>
          <w:lang w:val="en-US" w:eastAsia="zh-CN"/>
        </w:rPr>
        <w:t xml:space="preserve"> </w:t>
      </w:r>
      <w:r>
        <w:rPr>
          <w:rFonts w:hint="eastAsia" w:ascii="黑体" w:hAnsi="黑体" w:eastAsia="黑体" w:cs="楷体_GB2312"/>
          <w:b/>
          <w:color w:val="auto"/>
          <w:sz w:val="24"/>
          <w:highlight w:val="none"/>
          <w:lang w:val="zh-CN"/>
        </w:rPr>
        <w:t>《磋商文件》的法律适用及法律效力</w:t>
      </w:r>
    </w:p>
    <w:p w14:paraId="3EEA0C2B">
      <w:pPr>
        <w:adjustRightInd w:val="0"/>
        <w:snapToGrid w:val="0"/>
        <w:spacing w:before="120" w:beforeLines="50" w:line="300" w:lineRule="auto"/>
        <w:ind w:right="240" w:firstLine="547" w:firstLineChars="228"/>
        <w:rPr>
          <w:rFonts w:ascii="宋体" w:hAns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本</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所述内容，仅适用于本次项目采购。</w:t>
      </w:r>
    </w:p>
    <w:p w14:paraId="5FA8DEEB">
      <w:pPr>
        <w:adjustRightInd w:val="0"/>
        <w:snapToGrid w:val="0"/>
        <w:spacing w:before="120" w:beforeLines="50" w:line="300" w:lineRule="auto"/>
        <w:ind w:right="240" w:firstLine="547" w:firstLineChars="228"/>
        <w:rPr>
          <w:rFonts w:ascii="宋体" w:hAnsi="宋体"/>
          <w:color w:val="auto"/>
          <w:sz w:val="24"/>
          <w:szCs w:val="24"/>
          <w:highlight w:val="none"/>
        </w:rPr>
      </w:pPr>
      <w:r>
        <w:rPr>
          <w:rFonts w:ascii="宋体" w:hAnsi="宋体"/>
          <w:color w:val="auto"/>
          <w:sz w:val="24"/>
          <w:szCs w:val="24"/>
          <w:highlight w:val="none"/>
        </w:rPr>
        <w:t xml:space="preserve">1.2.2 </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的修改性文件、补充文件、澄清文件或说明具有同等法律效力。</w:t>
      </w:r>
    </w:p>
    <w:p w14:paraId="64AE2541">
      <w:pPr>
        <w:adjustRightInd w:val="0"/>
        <w:snapToGrid w:val="0"/>
        <w:spacing w:before="120" w:beforeLines="50" w:line="300" w:lineRule="auto"/>
        <w:ind w:right="240" w:firstLine="547" w:firstLineChars="228"/>
        <w:rPr>
          <w:rFonts w:ascii="宋体" w:hAns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适用于并执行《政府采购法》和其它相关的法律、法规。</w:t>
      </w:r>
    </w:p>
    <w:p w14:paraId="4E28E6C9">
      <w:pPr>
        <w:adjustRightInd w:val="0"/>
        <w:snapToGrid w:val="0"/>
        <w:spacing w:before="120" w:beforeLines="50" w:line="300" w:lineRule="auto"/>
        <w:ind w:right="240" w:firstLine="547" w:firstLineChars="228"/>
        <w:rPr>
          <w:rFonts w:ascii="宋体" w:hAns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的解释权属采购人及代理机构。</w:t>
      </w:r>
    </w:p>
    <w:p w14:paraId="76A3CC2D">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1.3</w:t>
      </w:r>
      <w:r>
        <w:rPr>
          <w:rFonts w:hint="eastAsia" w:ascii="黑体" w:hAnsi="黑体" w:eastAsia="黑体" w:cs="楷体_GB2312"/>
          <w:b/>
          <w:color w:val="auto"/>
          <w:sz w:val="24"/>
          <w:highlight w:val="none"/>
          <w:lang w:val="en-US" w:eastAsia="zh-CN"/>
        </w:rPr>
        <w:t xml:space="preserve"> </w:t>
      </w:r>
      <w:r>
        <w:rPr>
          <w:rFonts w:hint="eastAsia" w:ascii="黑体" w:hAnsi="黑体" w:eastAsia="黑体" w:cs="楷体_GB2312"/>
          <w:b/>
          <w:color w:val="auto"/>
          <w:sz w:val="24"/>
          <w:highlight w:val="none"/>
          <w:lang w:val="zh-CN"/>
        </w:rPr>
        <w:t>合格的供应商</w:t>
      </w:r>
    </w:p>
    <w:p w14:paraId="318322A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凡符合《磋商文件》规定，承认本《磋商文件》所有内容的供应商为合格的供应商。</w:t>
      </w:r>
    </w:p>
    <w:p w14:paraId="4A9B4AD1">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0366FF8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为采购项目提供整体设计、规范编制或者项目管理、监理、检测等服务的供应商，不得再参加该采购项目的其他采购活动。</w:t>
      </w:r>
    </w:p>
    <w:p w14:paraId="6BCF101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供应商应遵守国家法律、法规和《磋商文件》的规定。</w:t>
      </w:r>
    </w:p>
    <w:p w14:paraId="4E354E2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en-US" w:eastAsia="zh-CN"/>
        </w:rPr>
        <w:t xml:space="preserve"> </w:t>
      </w:r>
      <w:r>
        <w:rPr>
          <w:rFonts w:hint="eastAsia" w:ascii="黑体" w:hAnsi="黑体" w:eastAsia="黑体" w:cs="楷体_GB2312"/>
          <w:b/>
          <w:color w:val="auto"/>
          <w:sz w:val="24"/>
          <w:highlight w:val="none"/>
          <w:lang w:val="zh-CN"/>
        </w:rPr>
        <w:t>联合体</w:t>
      </w:r>
    </w:p>
    <w:p w14:paraId="0B2C3E87">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如供应商须知前附表规定接受联合体投标的，应遵守以下规定：</w:t>
      </w:r>
    </w:p>
    <w:p w14:paraId="1C89B3A4">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1</w:t>
      </w:r>
      <w:r>
        <w:rPr>
          <w:rFonts w:hint="eastAsia" w:ascii="宋体" w:hAnsi="宋体"/>
          <w:color w:val="auto"/>
          <w:sz w:val="24"/>
          <w:szCs w:val="24"/>
          <w:highlight w:val="none"/>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6F892CB6">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2</w:t>
      </w:r>
      <w:r>
        <w:rPr>
          <w:rFonts w:hint="eastAsia" w:ascii="宋体" w:hAnsi="宋体"/>
          <w:color w:val="auto"/>
          <w:sz w:val="24"/>
          <w:szCs w:val="24"/>
          <w:highlight w:val="none"/>
          <w:lang w:val="zh-CN"/>
        </w:rPr>
        <w:t>）两个以上供应商可以组成一个投标联合体，以一个供应商的身份投标，但必须确定其中一个单位为投标的全权代表参加投标活动，并承担投标及履约中应承担的全部责任和义务。</w:t>
      </w:r>
    </w:p>
    <w:p w14:paraId="517A791C">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3</w:t>
      </w:r>
      <w:r>
        <w:rPr>
          <w:rFonts w:hint="eastAsia" w:ascii="宋体" w:hAnsi="宋体"/>
          <w:color w:val="auto"/>
          <w:sz w:val="24"/>
          <w:szCs w:val="24"/>
          <w:highlight w:val="none"/>
          <w:lang w:val="zh-CN"/>
        </w:rPr>
        <w:t>）以联合体形式参加投标的，应符供应商须知前附表的要求，联合体各方均应当符合政府采购法第二十二条第一款规定的条件，联合体各方均应当具备承担采购项目（标段&lt;包&gt;）的相应能力、具备规定的相应资格条件。</w:t>
      </w:r>
    </w:p>
    <w:p w14:paraId="5A6C2E61">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4</w:t>
      </w:r>
      <w:r>
        <w:rPr>
          <w:rFonts w:hint="eastAsia" w:ascii="宋体" w:hAnsi="宋体"/>
          <w:color w:val="auto"/>
          <w:sz w:val="24"/>
          <w:szCs w:val="24"/>
          <w:highlight w:val="none"/>
          <w:lang w:val="zh-CN"/>
        </w:rPr>
        <w:t>）联合体中有同类资质的供应商按照联合体分工承担相同工作的，应当按照资质等级较低的供应商确定资质等级。</w:t>
      </w:r>
    </w:p>
    <w:p w14:paraId="09328A79">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5</w:t>
      </w:r>
      <w:r>
        <w:rPr>
          <w:rFonts w:hint="eastAsia" w:ascii="宋体" w:hAnsi="宋体"/>
          <w:color w:val="auto"/>
          <w:sz w:val="24"/>
          <w:szCs w:val="24"/>
          <w:highlight w:val="none"/>
          <w:lang w:val="zh-CN"/>
        </w:rPr>
        <w:t>）联合体各方之间应当签订联合投标协议，明确约定联合体各方承担的工作和相应的责任，并将联合投标协议连同《响应文件》一并提交采购代理机构。</w:t>
      </w:r>
    </w:p>
    <w:p w14:paraId="15F5B497">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6</w:t>
      </w:r>
      <w:r>
        <w:rPr>
          <w:rFonts w:hint="eastAsia" w:ascii="宋体" w:hAnsi="宋体"/>
          <w:color w:val="auto"/>
          <w:sz w:val="24"/>
          <w:szCs w:val="24"/>
          <w:highlight w:val="none"/>
          <w:lang w:val="zh-CN"/>
        </w:rPr>
        <w:t>）联合体各方签订联合投标协议后，不得再以自己名义单独在同一项目中投标，也不得组成新的联合体参加同一项目投标。</w:t>
      </w:r>
    </w:p>
    <w:p w14:paraId="31308142">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w:t>
      </w:r>
      <w:r>
        <w:rPr>
          <w:rFonts w:ascii="宋体" w:hAnsi="宋体"/>
          <w:color w:val="auto"/>
          <w:sz w:val="24"/>
          <w:szCs w:val="24"/>
          <w:highlight w:val="none"/>
          <w:lang w:val="zh-CN"/>
        </w:rPr>
        <w:t>7</w:t>
      </w:r>
      <w:r>
        <w:rPr>
          <w:rFonts w:hint="eastAsia" w:ascii="宋体" w:hAnsi="宋体"/>
          <w:color w:val="auto"/>
          <w:sz w:val="24"/>
          <w:szCs w:val="24"/>
          <w:highlight w:val="none"/>
          <w:lang w:val="zh-CN"/>
        </w:rPr>
        <w:t>）联合体中标（成交）的，联合体各方应当共同与采购人签订合同，就中标（成交）项目（标段&lt;包&gt;）向采购人承担连带责任。</w:t>
      </w:r>
    </w:p>
    <w:p w14:paraId="4E00F57B">
      <w:pPr>
        <w:adjustRightInd w:val="0"/>
        <w:snapToGrid w:val="0"/>
        <w:spacing w:before="120" w:beforeLines="50" w:line="300" w:lineRule="auto"/>
        <w:ind w:right="240" w:firstLine="547" w:firstLineChars="228"/>
        <w:rPr>
          <w:rFonts w:ascii="宋体" w:hAnsi="宋体"/>
          <w:color w:val="auto"/>
          <w:sz w:val="24"/>
          <w:szCs w:val="24"/>
          <w:highlight w:val="none"/>
          <w:lang w:val="zh-CN"/>
        </w:rPr>
      </w:pPr>
      <w:r>
        <w:rPr>
          <w:rFonts w:hint="eastAsia" w:ascii="宋体" w:hAnsi="宋体"/>
          <w:color w:val="auto"/>
          <w:sz w:val="24"/>
          <w:szCs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14:paraId="6AB0915E">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w:t>
      </w:r>
      <w:r>
        <w:rPr>
          <w:rFonts w:hint="eastAsia" w:ascii="黑体" w:hAnsi="黑体" w:eastAsia="黑体" w:cs="楷体_GB2312"/>
          <w:b/>
          <w:color w:val="auto"/>
          <w:sz w:val="24"/>
          <w:highlight w:val="none"/>
          <w:lang w:val="en-US" w:eastAsia="zh-CN"/>
        </w:rPr>
        <w:t xml:space="preserve"> </w:t>
      </w:r>
      <w:r>
        <w:rPr>
          <w:rFonts w:hint="eastAsia" w:ascii="黑体" w:hAnsi="黑体" w:eastAsia="黑体" w:cs="楷体_GB2312"/>
          <w:b/>
          <w:color w:val="auto"/>
          <w:sz w:val="24"/>
          <w:highlight w:val="none"/>
          <w:lang w:val="zh-CN"/>
        </w:rPr>
        <w:t>知识产权</w:t>
      </w:r>
    </w:p>
    <w:p w14:paraId="1CE6C776">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如因专利权、商标权或其它知识产权而引起法律和经济纠纷，由供应商承担所有相关责任。</w:t>
      </w:r>
    </w:p>
    <w:p w14:paraId="0103C6D9">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203E3ADA">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1.5.2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供应商将在采购项目实施过程中采用自有或者第三方知识成果的，应当在《</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》中载明，并提供相关知识产权证明文件。使用该知识成果后，供应商需提供开发接口和开发手册等技术资料，并承诺提供无限期支持，采购人享有使用权（含采购人委托第三方在该项目后续开发的使用权）。</w:t>
      </w:r>
    </w:p>
    <w:p w14:paraId="48E0F574">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1.5.3 除非</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特别规定，采购人享有本项目实施过程中产生的知识成果及知识产权。</w:t>
      </w:r>
    </w:p>
    <w:p w14:paraId="161E768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hint="eastAsia" w:ascii="黑体" w:hAnsi="黑体" w:eastAsia="黑体" w:cs="楷体_GB2312"/>
          <w:b/>
          <w:color w:val="auto"/>
          <w:sz w:val="24"/>
          <w:highlight w:val="none"/>
          <w:lang w:val="en-US" w:eastAsia="zh-CN"/>
        </w:rPr>
        <w:t xml:space="preserve"> </w:t>
      </w:r>
      <w:r>
        <w:rPr>
          <w:rFonts w:hint="eastAsia" w:ascii="黑体" w:hAnsi="黑体" w:eastAsia="黑体" w:cs="楷体_GB2312"/>
          <w:b/>
          <w:color w:val="auto"/>
          <w:sz w:val="24"/>
          <w:highlight w:val="none"/>
          <w:lang w:val="zh-CN"/>
        </w:rPr>
        <w:t>费用</w:t>
      </w:r>
    </w:p>
    <w:p w14:paraId="08A889C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14:paraId="73E71FA9">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7</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14:paraId="6AB3FD7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参与竞争性磋商活动的各方应对《磋商文件》和《响应文件》中的商业和技术等秘密保密，供应商应在《响应文件》中对需保密事项予以书面声明，否则视为非保密事项。</w:t>
      </w:r>
    </w:p>
    <w:p w14:paraId="6DE82E8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依据政府采购成交结果及合同公告规定，成交（合同）标的名称、规格型号、单价及成交（合同）金额等内容不得作为商业秘密。</w:t>
      </w:r>
    </w:p>
    <w:p w14:paraId="52C41F32">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8</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14:paraId="68BDFB6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14:paraId="16EC80A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508E6E3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713156E5">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4D177108">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1.10.1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供应商踏勘现场发生的费用自理，供应商自行负责在踏勘现场中所发生的人员伤亡和财产损失。</w:t>
      </w:r>
    </w:p>
    <w:p w14:paraId="0D7F3B9B">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1.10.2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53B3579C">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1.10.3</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14:paraId="3E4A80D2">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投标预备会</w:t>
      </w:r>
    </w:p>
    <w:p w14:paraId="493366BC">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1.11.1 供应商须知前附表规定召开投标预备会的，采购人及代理机构按供应商须知前附表规定的时间和地点召开投标预备会，澄清供应商提出的问题。</w:t>
      </w:r>
    </w:p>
    <w:p w14:paraId="67688377">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1.11.2 供应商应在供应商须知前附表规定的时间前，以书面形式将提出的问题送达采购人及代理机构，以便采购人及代理机构在会议期间澄清。</w:t>
      </w:r>
    </w:p>
    <w:p w14:paraId="3A9F67FB">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1.11.3 投标预备会后，采购人及代理机构在供应商须知前附表规定的时间内，将对供应商所提问题的澄清，以本章2.3.2项方式通告潜在供应商。该澄清内容为《磋商文件》的组成部分。</w:t>
      </w:r>
    </w:p>
    <w:p w14:paraId="00AFFDA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分包</w:t>
      </w:r>
    </w:p>
    <w:p w14:paraId="16107F10">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1</w:t>
      </w:r>
      <w:r>
        <w:rPr>
          <w:rFonts w:hint="eastAsia" w:ascii="宋体" w:hAnsi="宋体" w:cs="楷体_GB2312"/>
          <w:color w:val="auto"/>
          <w:sz w:val="24"/>
          <w:highlight w:val="none"/>
          <w:lang w:val="zh-CN"/>
        </w:rPr>
        <w:t xml:space="preserve"> 供应商拟在成交后将成交项目(标段&lt;包&gt;)的部分非主体、非关键性工作进行分包的，应符合供应商须知前附表规定的分包内容、分包金额和接受分包的第三人资质要求等限制性条件。</w:t>
      </w:r>
    </w:p>
    <w:p w14:paraId="7786AADD">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 xml:space="preserve"> 预留中小企业份额项目中，接受分包合同的中小企业与分包企业之间不得存在直接控股、管理关系</w:t>
      </w:r>
    </w:p>
    <w:p w14:paraId="6BC59899">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1.1</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3</w:t>
      </w:r>
      <w:r>
        <w:rPr>
          <w:rFonts w:hint="eastAsia" w:ascii="宋体" w:hAnsi="宋体" w:cs="楷体_GB2312"/>
          <w:color w:val="auto"/>
          <w:sz w:val="24"/>
          <w:highlight w:val="none"/>
          <w:lang w:val="zh-CN"/>
        </w:rPr>
        <w:t xml:space="preserve"> 依法享受扶持政策获得政府采购合同的，小微企业不得将合同分包给大中型企业，中型企业不得将合同分包给大型企业。</w:t>
      </w:r>
    </w:p>
    <w:p w14:paraId="13DE548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偏离</w:t>
      </w:r>
    </w:p>
    <w:p w14:paraId="713B70E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《磋商文件》允许《响应文件》偏离《磋商文件》某些要求的，偏离应当符合《磋商文件》规定的偏离范围和幅度。</w:t>
      </w:r>
    </w:p>
    <w:p w14:paraId="2E21C754">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highlight w:val="none"/>
          <w:lang w:val="zh-CN"/>
        </w:rPr>
      </w:pPr>
    </w:p>
    <w:p w14:paraId="621B7FF0">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16" w:name="_Toc32164"/>
      <w:r>
        <w:rPr>
          <w:rFonts w:ascii="黑体" w:hAnsi="黑体" w:eastAsia="黑体" w:cs="楷体_GB2312"/>
          <w:b/>
          <w:bCs/>
          <w:color w:val="auto"/>
          <w:sz w:val="28"/>
          <w:szCs w:val="28"/>
          <w:highlight w:val="none"/>
          <w:lang w:val="zh-CN"/>
        </w:rPr>
        <w:t>2.</w:t>
      </w:r>
      <w:r>
        <w:rPr>
          <w:rFonts w:hint="eastAsia" w:ascii="黑体" w:hAnsi="黑体" w:eastAsia="黑体" w:cs="楷体_GB2312"/>
          <w:b/>
          <w:bCs/>
          <w:color w:val="auto"/>
          <w:sz w:val="28"/>
          <w:szCs w:val="28"/>
          <w:highlight w:val="none"/>
          <w:lang w:val="zh-CN"/>
        </w:rPr>
        <w:t>《磋商文件》</w:t>
      </w:r>
      <w:bookmarkEnd w:id="16"/>
    </w:p>
    <w:p w14:paraId="0203B03D">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2.1</w:t>
      </w:r>
      <w:r>
        <w:rPr>
          <w:rFonts w:hint="eastAsia" w:ascii="黑体" w:hAnsi="黑体" w:eastAsia="黑体" w:cs="楷体_GB2312"/>
          <w:b/>
          <w:color w:val="auto"/>
          <w:sz w:val="24"/>
          <w:highlight w:val="none"/>
          <w:lang w:val="zh-CN"/>
        </w:rPr>
        <w:t>《磋商文件》的组成</w:t>
      </w:r>
    </w:p>
    <w:p w14:paraId="325951F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《磋商文件》用以阐明采购项目的内容、程序和合同主要条款。《磋商文件》由下述部分组成：</w:t>
      </w:r>
    </w:p>
    <w:p w14:paraId="46842D42">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）竞争性磋商公告</w:t>
      </w:r>
    </w:p>
    <w:p w14:paraId="60CB073D">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）采购项目及技术、服务要求</w:t>
      </w:r>
    </w:p>
    <w:p w14:paraId="0B3D3ECA">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）供应商须知</w:t>
      </w:r>
    </w:p>
    <w:p w14:paraId="2D0ED7EE">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）评审办法</w:t>
      </w:r>
    </w:p>
    <w:p w14:paraId="383FF7CE">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61DF957A">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）《响应文件》格式</w:t>
      </w:r>
    </w:p>
    <w:p w14:paraId="5C8552D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款、对《磋商文件》的澄清、修改、补充书构成《磋商文件》的组成部分，并取代《磋商文件》中被澄清、修改处，对所有供应商均有约束力。</w:t>
      </w:r>
    </w:p>
    <w:p w14:paraId="7AD2695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当《磋商文件》、《磋商文件》的澄清、修改、补充等在同一内容的表述上不一致时，以最后发出（发布）的文件为准。</w:t>
      </w:r>
    </w:p>
    <w:p w14:paraId="4DE56A1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供应商与任何人的口头协议不影响《磋商文件》的任何条款和内容。</w:t>
      </w:r>
    </w:p>
    <w:p w14:paraId="671A8D48">
      <w:pPr>
        <w:autoSpaceDE w:val="0"/>
        <w:autoSpaceDN w:val="0"/>
        <w:adjustRightInd w:val="0"/>
        <w:snapToGrid w:val="0"/>
        <w:spacing w:before="120" w:beforeLines="50" w:line="300" w:lineRule="auto"/>
        <w:ind w:firstLine="539"/>
        <w:rPr>
          <w:rFonts w:ascii="宋体" w:cs="楷体_GB2312"/>
          <w:color w:val="auto"/>
          <w:sz w:val="24"/>
          <w:highlight w:val="none"/>
        </w:rPr>
      </w:pPr>
      <w:r>
        <w:rPr>
          <w:rFonts w:ascii="宋体" w:hAnsi="宋体" w:cs="楷体_GB2312"/>
          <w:color w:val="auto"/>
          <w:sz w:val="24"/>
          <w:highlight w:val="none"/>
        </w:rPr>
        <w:t>2.1.5</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rPr>
        <w:t>供应商应仔细阅读和检查</w:t>
      </w:r>
      <w:r>
        <w:rPr>
          <w:rFonts w:hint="eastAsia" w:ascii="宋体" w:hAnsi="宋体" w:cs="楷体_GB2312"/>
          <w:color w:val="auto"/>
          <w:sz w:val="24"/>
          <w:highlight w:val="none"/>
          <w:lang w:eastAsia="zh-CN"/>
        </w:rPr>
        <w:t>《磋商文件》</w:t>
      </w:r>
      <w:r>
        <w:rPr>
          <w:rFonts w:hint="eastAsia" w:ascii="宋体" w:hAnsi="宋体" w:cs="楷体_GB2312"/>
          <w:color w:val="auto"/>
          <w:sz w:val="24"/>
          <w:highlight w:val="none"/>
        </w:rPr>
        <w:t>的全部内容是否齐全，如发现缺页或附件不全等遗漏，应及时向采购代理机构提出并索取补齐，否则责任及风险自负。</w:t>
      </w:r>
    </w:p>
    <w:p w14:paraId="2693CB0C">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《磋商文件》的澄清</w:t>
      </w:r>
    </w:p>
    <w:p w14:paraId="08E91AD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14:paraId="01177967">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采购代理机构对潜在供应商在规定的时间内提出的疑问，将视情况以书面形式予以答复，并在其认为必要时，将不标明查询来源的书面答复，在“竞争性磋商公告”所述媒体通告所有潜在供应商。</w:t>
      </w:r>
    </w:p>
    <w:p w14:paraId="143A8260">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0CC0828C">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采购代理机构可视情况在投标截止前答疑。</w:t>
      </w:r>
    </w:p>
    <w:p w14:paraId="5A91E55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《磋商文件》的澄清、修改、补充</w:t>
      </w:r>
    </w:p>
    <w:p w14:paraId="3FFF08B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2.3.1 </w:t>
      </w:r>
      <w:r>
        <w:rPr>
          <w:rFonts w:hint="eastAsia" w:ascii="宋体" w:hAnsi="宋体" w:cs="楷体_GB2312"/>
          <w:color w:val="auto"/>
          <w:sz w:val="24"/>
          <w:highlight w:val="none"/>
          <w:lang w:val="zh-CN"/>
        </w:rPr>
        <w:t>采购人、代理机构在投标截止时间前有权澄清修改、补充已发售的《磋商文件》。</w:t>
      </w:r>
    </w:p>
    <w:p w14:paraId="30A33D07">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s="楷体_GB2312"/>
          <w:color w:val="auto"/>
          <w:sz w:val="24"/>
          <w:highlight w:val="none"/>
          <w:lang w:val="zh-CN"/>
        </w:rPr>
        <w:t>2.3.</w:t>
      </w:r>
      <w:r>
        <w:rPr>
          <w:rFonts w:ascii="宋体" w:hAnsi="宋体"/>
          <w:color w:val="auto"/>
          <w:sz w:val="24"/>
          <w:highlight w:val="none"/>
        </w:rPr>
        <w:t xml:space="preserve">2 </w:t>
      </w:r>
      <w:r>
        <w:rPr>
          <w:rFonts w:hint="eastAsia" w:ascii="宋体" w:hAnsi="宋体"/>
          <w:color w:val="auto"/>
          <w:sz w:val="24"/>
          <w:highlight w:val="none"/>
        </w:rPr>
        <w:t>磋商过程中对</w:t>
      </w:r>
      <w:r>
        <w:rPr>
          <w:rFonts w:hint="eastAsia" w:ascii="宋体" w:hAnsi="宋体"/>
          <w:color w:val="auto"/>
          <w:sz w:val="24"/>
          <w:highlight w:val="none"/>
          <w:lang w:eastAsia="zh-CN"/>
        </w:rPr>
        <w:t>《磋商文件》</w:t>
      </w:r>
      <w:r>
        <w:rPr>
          <w:rFonts w:hint="eastAsia" w:ascii="宋体" w:hAnsi="宋体"/>
          <w:color w:val="auto"/>
          <w:sz w:val="24"/>
          <w:highlight w:val="none"/>
        </w:rPr>
        <w:t>的变动见第四章</w:t>
      </w:r>
      <w:r>
        <w:rPr>
          <w:rFonts w:hint="eastAsia" w:ascii="宋体" w:hAnsi="宋体"/>
          <w:color w:val="auto"/>
          <w:sz w:val="24"/>
          <w:highlight w:val="none"/>
          <w:lang w:eastAsia="zh-CN"/>
        </w:rPr>
        <w:t>“</w:t>
      </w:r>
      <w:r>
        <w:rPr>
          <w:rFonts w:hint="eastAsia" w:ascii="宋体" w:hAnsi="宋体"/>
          <w:color w:val="auto"/>
          <w:sz w:val="24"/>
          <w:highlight w:val="none"/>
        </w:rPr>
        <w:t>评审办法</w:t>
      </w:r>
      <w:r>
        <w:rPr>
          <w:rFonts w:hint="eastAsia" w:ascii="宋体" w:hAnsi="宋体"/>
          <w:color w:val="auto"/>
          <w:sz w:val="24"/>
          <w:highlight w:val="none"/>
          <w:lang w:eastAsia="zh-CN"/>
        </w:rPr>
        <w:t>”</w:t>
      </w:r>
      <w:r>
        <w:rPr>
          <w:rFonts w:ascii="宋体" w:hAnsi="宋体"/>
          <w:color w:val="auto"/>
          <w:sz w:val="24"/>
          <w:highlight w:val="none"/>
        </w:rPr>
        <w:t>3.</w:t>
      </w:r>
      <w:r>
        <w:rPr>
          <w:rFonts w:hint="eastAsia" w:ascii="宋体" w:hAnsi="宋体"/>
          <w:color w:val="auto"/>
          <w:sz w:val="24"/>
          <w:highlight w:val="none"/>
        </w:rPr>
        <w:t>4款磋商规则。</w:t>
      </w:r>
    </w:p>
    <w:p w14:paraId="3D36BD3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《磋商文件》的澄清、修改、补充的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0B67F38C">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olor w:val="auto"/>
          <w:sz w:val="24"/>
          <w:highlight w:val="none"/>
          <w:lang w:eastAsia="zh-CN"/>
        </w:rPr>
        <w:t>《磋商文件》</w:t>
      </w:r>
      <w:r>
        <w:rPr>
          <w:rFonts w:hint="eastAsia" w:ascii="宋体" w:hAnsi="宋体" w:cs="楷体_GB2312"/>
          <w:color w:val="auto"/>
          <w:sz w:val="24"/>
          <w:highlight w:val="none"/>
          <w:lang w:val="zh-CN"/>
        </w:rPr>
        <w:t>在递交截止时间前的所有澄清、修改（包括时间变更等）、补充事项，均在“竞争性磋商公告”所述媒体予以公告。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50C4C14B">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无权限获知或通知潜在供应商，潜在供应商应随时关注“竞争性磋商公告”所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相关项目信息（为免各部门网站出现维护等情况，潜在供应商应对“竞争性磋商公告”所述媒体逐一查阅），如有遗漏，后果自负。</w:t>
      </w:r>
    </w:p>
    <w:p w14:paraId="04E250FE">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w:t>
      </w:r>
      <w:r>
        <w:rPr>
          <w:rFonts w:ascii="宋体" w:cs="楷体_GB2312"/>
          <w:color w:val="auto"/>
          <w:sz w:val="24"/>
          <w:highlight w:val="none"/>
          <w:lang w:val="zh-CN"/>
        </w:rPr>
        <w:t xml:space="preserve"> </w:t>
      </w:r>
      <w:r>
        <w:rPr>
          <w:rFonts w:hint="eastAsia" w:ascii="宋体" w:hAnsi="宋体"/>
          <w:color w:val="auto"/>
          <w:sz w:val="24"/>
          <w:highlight w:val="none"/>
          <w:lang w:eastAsia="zh-CN"/>
        </w:rPr>
        <w:t>《磋商文件》</w:t>
      </w:r>
      <w:r>
        <w:rPr>
          <w:rFonts w:hint="eastAsia" w:ascii="宋体" w:cs="楷体_GB2312"/>
          <w:color w:val="auto"/>
          <w:sz w:val="24"/>
          <w:highlight w:val="none"/>
          <w:lang w:val="zh-CN"/>
        </w:rPr>
        <w:t>的澄清、修改、补充书构成</w:t>
      </w:r>
      <w:r>
        <w:rPr>
          <w:rFonts w:hint="eastAsia" w:ascii="宋体" w:hAnsi="宋体"/>
          <w:color w:val="auto"/>
          <w:sz w:val="24"/>
          <w:highlight w:val="none"/>
          <w:lang w:eastAsia="zh-CN"/>
        </w:rPr>
        <w:t>《磋商文件》</w:t>
      </w:r>
      <w:r>
        <w:rPr>
          <w:rFonts w:hint="eastAsia" w:ascii="宋体" w:cs="楷体_GB2312"/>
          <w:color w:val="auto"/>
          <w:sz w:val="24"/>
          <w:highlight w:val="none"/>
          <w:lang w:val="zh-CN"/>
        </w:rPr>
        <w:t>的组成部分，并取代</w:t>
      </w:r>
      <w:r>
        <w:rPr>
          <w:rFonts w:hint="eastAsia" w:ascii="宋体" w:hAnsi="宋体"/>
          <w:color w:val="auto"/>
          <w:sz w:val="24"/>
          <w:highlight w:val="none"/>
          <w:lang w:eastAsia="zh-CN"/>
        </w:rPr>
        <w:t>《磋商文件》</w:t>
      </w:r>
      <w:r>
        <w:rPr>
          <w:rFonts w:hint="eastAsia" w:ascii="宋体" w:cs="楷体_GB2312"/>
          <w:color w:val="auto"/>
          <w:sz w:val="24"/>
          <w:highlight w:val="none"/>
          <w:lang w:val="zh-CN"/>
        </w:rPr>
        <w:t>中被澄清、修改处，对所有供应商均有约束力。</w:t>
      </w:r>
    </w:p>
    <w:p w14:paraId="62EF8FB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14:paraId="0D9FE3A3">
      <w:pPr>
        <w:autoSpaceDE w:val="0"/>
        <w:autoSpaceDN w:val="0"/>
        <w:adjustRightInd w:val="0"/>
        <w:snapToGrid w:val="0"/>
        <w:spacing w:before="120" w:beforeLines="50" w:line="300" w:lineRule="auto"/>
        <w:rPr>
          <w:rFonts w:ascii="宋体" w:cs="楷体_GB2312"/>
          <w:color w:val="auto"/>
          <w:sz w:val="24"/>
          <w:highlight w:val="none"/>
        </w:rPr>
      </w:pPr>
    </w:p>
    <w:p w14:paraId="3B245ACC">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17" w:name="_Toc3803"/>
      <w:r>
        <w:rPr>
          <w:rFonts w:ascii="黑体" w:hAnsi="黑体" w:eastAsia="黑体" w:cs="楷体_GB2312"/>
          <w:b/>
          <w:bCs/>
          <w:color w:val="auto"/>
          <w:sz w:val="28"/>
          <w:szCs w:val="28"/>
          <w:highlight w:val="none"/>
          <w:lang w:val="zh-CN"/>
        </w:rPr>
        <w:t>3.</w:t>
      </w:r>
      <w:r>
        <w:rPr>
          <w:rFonts w:hint="eastAsia" w:ascii="黑体" w:hAnsi="黑体" w:eastAsia="黑体" w:cs="楷体_GB2312"/>
          <w:b/>
          <w:bCs/>
          <w:color w:val="auto"/>
          <w:sz w:val="28"/>
          <w:szCs w:val="28"/>
          <w:highlight w:val="none"/>
          <w:lang w:val="zh-CN"/>
        </w:rPr>
        <w:t>《响应文件》</w:t>
      </w:r>
      <w:bookmarkEnd w:id="17"/>
    </w:p>
    <w:p w14:paraId="0965DD3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3.1</w:t>
      </w:r>
      <w:r>
        <w:rPr>
          <w:rFonts w:hint="eastAsia" w:ascii="黑体" w:hAnsi="黑体" w:eastAsia="黑体" w:cs="楷体_GB2312"/>
          <w:b/>
          <w:color w:val="auto"/>
          <w:sz w:val="24"/>
          <w:highlight w:val="none"/>
          <w:lang w:val="en-US" w:eastAsia="zh-CN"/>
        </w:rPr>
        <w:t xml:space="preserve"> </w:t>
      </w:r>
      <w:r>
        <w:rPr>
          <w:rFonts w:hint="eastAsia" w:ascii="宋体" w:hAnsi="宋体" w:cs="楷体_GB2312"/>
          <w:color w:val="auto"/>
          <w:sz w:val="24"/>
          <w:highlight w:val="none"/>
          <w:lang w:val="zh-CN"/>
        </w:rPr>
        <w:t>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楷体_GB2312"/>
          <w:b/>
          <w:color w:val="auto"/>
          <w:sz w:val="24"/>
          <w:highlight w:val="none"/>
          <w:lang w:val="zh-CN"/>
        </w:rPr>
        <w:t>无效文件</w:t>
      </w:r>
      <w:r>
        <w:rPr>
          <w:rFonts w:hint="eastAsia" w:ascii="宋体" w:hAnsi="宋体" w:cs="楷体_GB2312"/>
          <w:color w:val="auto"/>
          <w:sz w:val="24"/>
          <w:highlight w:val="none"/>
          <w:lang w:val="zh-CN"/>
        </w:rPr>
        <w:t>。</w:t>
      </w:r>
    </w:p>
    <w:p w14:paraId="289B8EDA">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《响应文件》的组成</w:t>
      </w:r>
    </w:p>
    <w:p w14:paraId="4C5585B5">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响应文件》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14:paraId="57FD95EE">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3.2.2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eastAsia="zh-CN"/>
        </w:rPr>
        <w:t>《响应文件》</w:t>
      </w:r>
      <w:r>
        <w:rPr>
          <w:rFonts w:hint="eastAsia" w:ascii="宋体" w:hAnsi="宋体" w:cs="楷体_GB2312"/>
          <w:color w:val="auto"/>
          <w:sz w:val="24"/>
          <w:highlight w:val="none"/>
          <w:lang w:val="zh-CN"/>
        </w:rPr>
        <w:t>应包括下列内容：</w:t>
      </w:r>
    </w:p>
    <w:p w14:paraId="0B60B676">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（1）投标书</w:t>
      </w:r>
    </w:p>
    <w:p w14:paraId="61E3715C">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（2）开标一览表（即交易系统中报价一览表）</w:t>
      </w:r>
    </w:p>
    <w:p w14:paraId="73E4A422">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3</w:t>
      </w:r>
      <w:r>
        <w:rPr>
          <w:rFonts w:hint="eastAsia" w:ascii="宋体" w:hAnsi="宋体" w:cs="楷体_GB2312"/>
          <w:color w:val="auto"/>
          <w:sz w:val="24"/>
          <w:highlight w:val="none"/>
          <w:lang w:val="zh-CN"/>
        </w:rPr>
        <w:t>）服务方案及服务质量承诺</w:t>
      </w:r>
    </w:p>
    <w:p w14:paraId="1EFE476A">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4</w:t>
      </w:r>
      <w:r>
        <w:rPr>
          <w:rFonts w:hint="eastAsia" w:ascii="宋体" w:hAnsi="宋体" w:cs="楷体_GB2312"/>
          <w:color w:val="auto"/>
          <w:sz w:val="24"/>
          <w:highlight w:val="none"/>
          <w:lang w:val="zh-CN"/>
        </w:rPr>
        <w:t>）服务拟投入设备清单及其技术参数</w:t>
      </w:r>
    </w:p>
    <w:p w14:paraId="7665234D">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5</w:t>
      </w:r>
      <w:r>
        <w:rPr>
          <w:rFonts w:hint="eastAsia" w:ascii="宋体" w:hAnsi="宋体" w:cs="楷体_GB2312"/>
          <w:color w:val="auto"/>
          <w:sz w:val="24"/>
          <w:highlight w:val="none"/>
          <w:lang w:val="zh-CN"/>
        </w:rPr>
        <w:t>）服务拟投入人员情况表</w:t>
      </w:r>
    </w:p>
    <w:p w14:paraId="418D1776">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6</w:t>
      </w:r>
      <w:r>
        <w:rPr>
          <w:rFonts w:hint="eastAsia" w:ascii="宋体" w:hAnsi="宋体" w:cs="楷体_GB2312"/>
          <w:color w:val="auto"/>
          <w:sz w:val="24"/>
          <w:highlight w:val="none"/>
          <w:lang w:val="zh-CN"/>
        </w:rPr>
        <w:t>）偏差表</w:t>
      </w:r>
    </w:p>
    <w:p w14:paraId="25D9A4DD">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7</w:t>
      </w:r>
      <w:r>
        <w:rPr>
          <w:rFonts w:hint="eastAsia" w:ascii="宋体" w:hAnsi="宋体" w:cs="楷体_GB2312"/>
          <w:color w:val="auto"/>
          <w:sz w:val="24"/>
          <w:highlight w:val="none"/>
          <w:lang w:val="zh-CN"/>
        </w:rPr>
        <w:t>）关于资格的声明函</w:t>
      </w:r>
    </w:p>
    <w:p w14:paraId="3C3AF04E">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8</w:t>
      </w:r>
      <w:r>
        <w:rPr>
          <w:rFonts w:hint="eastAsia" w:ascii="宋体" w:hAnsi="宋体" w:cs="楷体_GB2312"/>
          <w:color w:val="auto"/>
          <w:sz w:val="24"/>
          <w:highlight w:val="none"/>
          <w:lang w:val="zh-CN"/>
        </w:rPr>
        <w:t>）反商业贿赂承诺书</w:t>
      </w:r>
    </w:p>
    <w:p w14:paraId="0C3B98B5">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9</w:t>
      </w:r>
      <w:r>
        <w:rPr>
          <w:rFonts w:hint="eastAsia" w:ascii="宋体" w:hAnsi="宋体" w:cs="楷体_GB2312"/>
          <w:color w:val="auto"/>
          <w:sz w:val="24"/>
          <w:highlight w:val="none"/>
          <w:lang w:val="zh-CN"/>
        </w:rPr>
        <w:t>）履约承诺书</w:t>
      </w:r>
    </w:p>
    <w:p w14:paraId="4E333D69">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w:t>
      </w:r>
      <w:r>
        <w:rPr>
          <w:rFonts w:hint="eastAsia" w:ascii="宋体" w:hAnsi="宋体" w:cs="楷体_GB2312"/>
          <w:color w:val="auto"/>
          <w:sz w:val="24"/>
          <w:highlight w:val="none"/>
          <w:lang w:val="en-US" w:eastAsia="zh-CN"/>
        </w:rPr>
        <w:t>0</w:t>
      </w:r>
      <w:r>
        <w:rPr>
          <w:rFonts w:hint="eastAsia" w:ascii="宋体" w:hAnsi="宋体" w:cs="楷体_GB2312"/>
          <w:color w:val="auto"/>
          <w:sz w:val="24"/>
          <w:highlight w:val="none"/>
          <w:lang w:val="zh-CN"/>
        </w:rPr>
        <w:t>）资格要求相关证明材料（文件）</w:t>
      </w:r>
    </w:p>
    <w:p w14:paraId="2F1C1C53">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w:t>
      </w:r>
      <w:r>
        <w:rPr>
          <w:rFonts w:hint="eastAsia" w:ascii="宋体" w:hAnsi="宋体" w:cs="楷体_GB2312"/>
          <w:color w:val="auto"/>
          <w:sz w:val="24"/>
          <w:highlight w:val="none"/>
          <w:lang w:val="en-US" w:eastAsia="zh-CN"/>
        </w:rPr>
        <w:t>1</w:t>
      </w:r>
      <w:r>
        <w:rPr>
          <w:rFonts w:hint="eastAsia" w:ascii="宋体" w:hAnsi="宋体" w:cs="楷体_GB2312"/>
          <w:color w:val="auto"/>
          <w:sz w:val="24"/>
          <w:highlight w:val="none"/>
          <w:lang w:val="zh-CN"/>
        </w:rPr>
        <w:t>）采购项目及服务要求所需的其他材料（按条款需要）</w:t>
      </w:r>
    </w:p>
    <w:p w14:paraId="6849ABEE">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w:t>
      </w:r>
      <w:r>
        <w:rPr>
          <w:rFonts w:hint="eastAsia" w:ascii="宋体" w:hAnsi="宋体" w:cs="楷体_GB2312"/>
          <w:color w:val="auto"/>
          <w:sz w:val="24"/>
          <w:highlight w:val="none"/>
          <w:lang w:val="en-US" w:eastAsia="zh-CN"/>
        </w:rPr>
        <w:t>2</w:t>
      </w:r>
      <w:r>
        <w:rPr>
          <w:rFonts w:hint="eastAsia" w:ascii="宋体" w:hAnsi="宋体" w:cs="楷体_GB2312"/>
          <w:color w:val="auto"/>
          <w:sz w:val="24"/>
          <w:highlight w:val="none"/>
          <w:lang w:val="zh-CN"/>
        </w:rPr>
        <w:t>）供应商须知所需的其他材料（按条款需要）</w:t>
      </w:r>
    </w:p>
    <w:p w14:paraId="18CE986E">
      <w:pPr>
        <w:adjustRightInd w:val="0"/>
        <w:snapToGrid w:val="0"/>
        <w:spacing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（1</w:t>
      </w:r>
      <w:r>
        <w:rPr>
          <w:rFonts w:hint="eastAsia" w:ascii="宋体" w:hAnsi="宋体" w:cs="楷体_GB2312"/>
          <w:color w:val="auto"/>
          <w:sz w:val="24"/>
          <w:highlight w:val="none"/>
          <w:lang w:val="en-US" w:eastAsia="zh-CN"/>
        </w:rPr>
        <w:t>3</w:t>
      </w:r>
      <w:r>
        <w:rPr>
          <w:rFonts w:hint="eastAsia" w:ascii="宋体" w:hAnsi="宋体" w:cs="楷体_GB2312"/>
          <w:color w:val="auto"/>
          <w:sz w:val="24"/>
          <w:highlight w:val="none"/>
          <w:lang w:val="zh-CN"/>
        </w:rPr>
        <w:t>）评审办法所需的其他材料（按条款需要）</w:t>
      </w:r>
    </w:p>
    <w:p w14:paraId="4185D3AF">
      <w:pPr>
        <w:adjustRightInd w:val="0"/>
        <w:snapToGrid w:val="0"/>
        <w:spacing w:line="300" w:lineRule="auto"/>
        <w:ind w:firstLine="539"/>
        <w:textAlignment w:val="top"/>
        <w:rPr>
          <w:rFonts w:ascii="宋体" w:cs="楷体_GB2312"/>
          <w:color w:val="auto"/>
          <w:sz w:val="24"/>
          <w:highlight w:val="none"/>
          <w:lang w:val="zh-CN"/>
        </w:rPr>
      </w:pPr>
      <w:r>
        <w:rPr>
          <w:rFonts w:hint="eastAsia" w:ascii="宋体" w:hAnsi="宋体" w:cs="楷体_GB2312"/>
          <w:color w:val="auto"/>
          <w:sz w:val="24"/>
          <w:highlight w:val="none"/>
          <w:lang w:val="zh-CN"/>
        </w:rPr>
        <w:t>（1</w:t>
      </w:r>
      <w:r>
        <w:rPr>
          <w:rFonts w:hint="eastAsia" w:ascii="宋体" w:hAnsi="宋体" w:cs="楷体_GB2312"/>
          <w:color w:val="auto"/>
          <w:sz w:val="24"/>
          <w:highlight w:val="none"/>
          <w:lang w:val="en-US" w:eastAsia="zh-CN"/>
        </w:rPr>
        <w:t>4</w:t>
      </w:r>
      <w:r>
        <w:rPr>
          <w:rFonts w:hint="eastAsia" w:ascii="宋体" w:hAnsi="宋体" w:cs="楷体_GB2312"/>
          <w:color w:val="auto"/>
          <w:sz w:val="24"/>
          <w:highlight w:val="none"/>
          <w:lang w:val="zh-CN"/>
        </w:rPr>
        <w:t>）供应商认为有必要提交的其它材料</w:t>
      </w:r>
    </w:p>
    <w:p w14:paraId="77B5D226">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3款规定，对《响应文件》的补充、修改、澄清、说明或者更正构成《响应文件》的组成部分。</w:t>
      </w:r>
    </w:p>
    <w:p w14:paraId="5CD969C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2FEC25A9">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响应有效期</w:t>
      </w:r>
    </w:p>
    <w:p w14:paraId="15935B13">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响应有效期见供应商须知前附表。《响应文件》在响应有效期内保持不变（包括价格等《响应文件》各项条款）。</w:t>
      </w:r>
    </w:p>
    <w:p w14:paraId="00E3BED4">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在响应有效期内，供应商撤销或修改其《响应文件》的，应承担《磋商文件》和法律规定的责任。</w:t>
      </w:r>
    </w:p>
    <w:p w14:paraId="02F2B1A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lang w:val="zh-CN"/>
        </w:rPr>
        <w:t>投标承诺函（替代投标保证金）</w:t>
      </w:r>
    </w:p>
    <w:p w14:paraId="2307113F">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3.5.1 按照豫财购〔2019〕4号文件规定，本项目以投标承诺函的形式替代投标保证金，供应商应按附件格式进行投标承诺，违背承诺的将承担相应的法律责任及违约责任。</w:t>
      </w:r>
    </w:p>
    <w:p w14:paraId="4C640D99">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3.5.2 未提供投标承诺函的为无效投标。</w:t>
      </w:r>
    </w:p>
    <w:p w14:paraId="2A00F756">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3.5.3 供应商的投标承诺函包含供应商承诺的事项及违背承诺的责任追究措施。</w:t>
      </w:r>
    </w:p>
    <w:p w14:paraId="751A8D0E">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 承诺事项：</w:t>
      </w:r>
    </w:p>
    <w:p w14:paraId="3007AAE6">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3.5.4.1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供应商应遵循公开、公平、公正和</w:t>
      </w:r>
      <w:r>
        <w:rPr>
          <w:rFonts w:ascii="宋体" w:hAnsi="宋体" w:cs="楷体_GB2312"/>
          <w:color w:val="auto"/>
          <w:sz w:val="24"/>
          <w:highlight w:val="none"/>
          <w:lang w:val="zh-CN"/>
        </w:rPr>
        <w:fldChar w:fldCharType="begin"/>
      </w:r>
      <w:r>
        <w:rPr>
          <w:rFonts w:ascii="宋体" w:hAnsi="宋体" w:cs="楷体_GB2312"/>
          <w:color w:val="auto"/>
          <w:sz w:val="24"/>
          <w:highlight w:val="none"/>
          <w:lang w:val="zh-CN"/>
        </w:rPr>
        <w:instrText xml:space="preserve"> HYPERLINK "http://www.so.com/s?q=%E8%AF%9A%E5%AE%9E%E4%BF%A1%E7%94%A8&amp;ie=utf-8&amp;src=internal_wenda_recommend_textn" \t "https://wenda.so.com/q/_blank" </w:instrText>
      </w:r>
      <w:r>
        <w:rPr>
          <w:rFonts w:ascii="宋体" w:hAnsi="宋体" w:cs="楷体_GB2312"/>
          <w:color w:val="auto"/>
          <w:sz w:val="24"/>
          <w:highlight w:val="none"/>
          <w:lang w:val="zh-CN"/>
        </w:rPr>
        <w:fldChar w:fldCharType="separate"/>
      </w:r>
      <w:r>
        <w:rPr>
          <w:rFonts w:hint="eastAsia" w:ascii="宋体" w:hAnsi="宋体" w:cs="楷体_GB2312"/>
          <w:color w:val="auto"/>
          <w:sz w:val="24"/>
          <w:highlight w:val="none"/>
          <w:lang w:val="zh-CN"/>
        </w:rPr>
        <w:t>诚实信用</w:t>
      </w:r>
      <w:r>
        <w:rPr>
          <w:rFonts w:hint="eastAsia" w:ascii="宋体" w:hAnsi="宋体" w:cs="楷体_GB2312"/>
          <w:color w:val="auto"/>
          <w:sz w:val="24"/>
          <w:highlight w:val="none"/>
          <w:lang w:val="zh-CN"/>
        </w:rPr>
        <w:fldChar w:fldCharType="end"/>
      </w:r>
      <w:r>
        <w:rPr>
          <w:rFonts w:hint="eastAsia" w:ascii="宋体" w:hAnsi="宋体" w:cs="楷体_GB2312"/>
          <w:color w:val="auto"/>
          <w:sz w:val="24"/>
          <w:highlight w:val="none"/>
          <w:lang w:val="zh-CN"/>
        </w:rPr>
        <w:t>的原则自愿参加项目的投标；</w:t>
      </w:r>
    </w:p>
    <w:p w14:paraId="1193E0FF">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供应商在政府采购活动中应提供真实、准确、有效、合法的材料，不提供虚假材料；</w:t>
      </w:r>
    </w:p>
    <w:p w14:paraId="5D9ED576">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3.5.4.3</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供应商按照</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规定，在提交《响应文件》截止时间后，在</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规定的投标有效期限内不应撤回《响应文件》；</w:t>
      </w:r>
    </w:p>
    <w:p w14:paraId="4D41814C">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3.5.4.4</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不应与其他供应商、采购人或采购代理机构串通或恶意串通；</w:t>
      </w:r>
    </w:p>
    <w:p w14:paraId="7106AFF9">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3.5.4.5</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中标后除不可抗拒力或</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认可的情形外，供应商应及时领取中标通知书，在成交通知书规定时间、地点与采购人签订合同；</w:t>
      </w:r>
    </w:p>
    <w:p w14:paraId="0744711A">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3.5.4.6</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供应商应遵守法律法规及</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规定的其他情况；</w:t>
      </w:r>
    </w:p>
    <w:p w14:paraId="3D62B861">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3.5.4.7</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供应商应按</w:t>
      </w:r>
      <w:r>
        <w:rPr>
          <w:rFonts w:hint="eastAsia" w:ascii="宋体" w:hAnsi="宋体" w:cs="楷体_GB2312"/>
          <w:color w:val="auto"/>
          <w:sz w:val="24"/>
          <w:highlight w:val="none"/>
          <w:lang w:val="zh-CN" w:eastAsia="zh-CN"/>
        </w:rPr>
        <w:t>《磋商文件》</w:t>
      </w:r>
      <w:r>
        <w:rPr>
          <w:rFonts w:hint="eastAsia" w:ascii="宋体" w:hAnsi="宋体" w:cs="楷体_GB2312"/>
          <w:color w:val="auto"/>
          <w:sz w:val="24"/>
          <w:highlight w:val="none"/>
          <w:lang w:val="zh-CN"/>
        </w:rPr>
        <w:t>规定及时缴纳中标服务费。</w:t>
      </w:r>
    </w:p>
    <w:p w14:paraId="180C4238">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 违背承诺的责任追究措施：</w:t>
      </w:r>
    </w:p>
    <w:p w14:paraId="1B9DE08E">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供应商如违背上述承诺事项，应无条件接受以下责任追究：</w:t>
      </w:r>
    </w:p>
    <w:p w14:paraId="2133BAE4">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法定责任：按照政府采购相关法规，处以罚款，列入不良行为记录名单，在一至三年内禁止参加政府采购活动，有违法所得的，并处没收违法所得，情节严重的，由工商行政管理机关（市场监督机关）吊销营业执照；构成犯罪的，依法追究刑事责任；</w:t>
      </w:r>
    </w:p>
    <w:p w14:paraId="3CF13469">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给采购人及他人造成损失的，应承担相应的赔偿责任。</w:t>
      </w:r>
    </w:p>
    <w:p w14:paraId="5DDC5C52">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 xml:space="preserve">违约责任： </w:t>
      </w:r>
    </w:p>
    <w:p w14:paraId="07227FCF">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3.5.5.2.1 已中标的，中标（成交）无效；</w:t>
      </w:r>
    </w:p>
    <w:p w14:paraId="611C2413">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3.5.5.2.2 支付采购人违约标的预算金额2%的违约金；</w:t>
      </w:r>
    </w:p>
    <w:p w14:paraId="5DAAEDDA">
      <w:pPr>
        <w:adjustRightInd w:val="0"/>
        <w:snapToGrid w:val="0"/>
        <w:spacing w:before="120" w:beforeLines="50"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3.5.5.2.3中标后未缴中标服务费的，作为违约及违背</w:t>
      </w:r>
      <w:r>
        <w:rPr>
          <w:rFonts w:ascii="宋体" w:hAnsi="宋体" w:cs="楷体_GB2312"/>
          <w:color w:val="auto"/>
          <w:sz w:val="24"/>
          <w:highlight w:val="none"/>
          <w:lang w:val="zh-CN"/>
        </w:rPr>
        <w:fldChar w:fldCharType="begin"/>
      </w:r>
      <w:r>
        <w:rPr>
          <w:rFonts w:ascii="宋体" w:hAnsi="宋体" w:cs="楷体_GB2312"/>
          <w:color w:val="auto"/>
          <w:sz w:val="24"/>
          <w:highlight w:val="none"/>
          <w:lang w:val="zh-CN"/>
        </w:rPr>
        <w:instrText xml:space="preserve"> HYPERLINK "http://www.so.com/s?q=%E8%AF%9A%E5%AE%9E%E4%BF%A1%E7%94%A8&amp;ie=utf-8&amp;src=internal_wenda_recommend_textn" \t "https://wenda.so.com/q/_blank" </w:instrText>
      </w:r>
      <w:r>
        <w:rPr>
          <w:rFonts w:ascii="宋体" w:hAnsi="宋体" w:cs="楷体_GB2312"/>
          <w:color w:val="auto"/>
          <w:sz w:val="24"/>
          <w:highlight w:val="none"/>
          <w:lang w:val="zh-CN"/>
        </w:rPr>
        <w:fldChar w:fldCharType="separate"/>
      </w:r>
      <w:r>
        <w:rPr>
          <w:rFonts w:hint="eastAsia" w:ascii="宋体" w:hAnsi="宋体" w:cs="楷体_GB2312"/>
          <w:color w:val="auto"/>
          <w:sz w:val="24"/>
          <w:highlight w:val="none"/>
          <w:lang w:val="zh-CN"/>
        </w:rPr>
        <w:t>诚实信用</w:t>
      </w:r>
      <w:r>
        <w:rPr>
          <w:rFonts w:hint="eastAsia" w:ascii="宋体" w:hAnsi="宋体" w:cs="楷体_GB2312"/>
          <w:color w:val="auto"/>
          <w:sz w:val="24"/>
          <w:highlight w:val="none"/>
          <w:lang w:val="zh-CN"/>
        </w:rPr>
        <w:fldChar w:fldCharType="end"/>
      </w:r>
      <w:r>
        <w:rPr>
          <w:rFonts w:hint="eastAsia" w:ascii="宋体" w:hAnsi="宋体" w:cs="楷体_GB2312"/>
          <w:color w:val="auto"/>
          <w:sz w:val="24"/>
          <w:highlight w:val="none"/>
          <w:lang w:val="zh-CN"/>
        </w:rPr>
        <w:t>原则，在履行承诺前，代理机构将视该单位为失信企业、不予办理其后相关业务。</w:t>
      </w:r>
    </w:p>
    <w:p w14:paraId="6FE0BE84">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要求见竞争性磋商公告。</w:t>
      </w:r>
    </w:p>
    <w:p w14:paraId="4FFACBB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《响应文件》的编制</w:t>
      </w:r>
    </w:p>
    <w:p w14:paraId="3383BDC0">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3.7.1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《响应文件》应按第六章“《响应文件》格式”进行编写，如有必要，可以增加附页，作为《响应文件》的组成部分。《磋商文件》中未列明格式的，由供应商按一般通用格式自行设计编写。</w:t>
      </w:r>
    </w:p>
    <w:p w14:paraId="014E77B3">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《响应文件》编制后，供应商应在投标截止时间前上传加密的电子《</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》（*.aytf）到殷都区公共资源交易平台。上传时供应商须使用制作该《</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》的同一CA锁进行上传操作。请供应商在上传时认真检查上传《</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》是否完整、正确。供应商应充分考虑上传文件时的不可预见因素，未在投标截止时间前完成上传的，视为逾期送达，殷都区公共资源交易平台将拒绝接收。</w:t>
      </w:r>
    </w:p>
    <w:p w14:paraId="655B27E2">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3.7.2 “《响应文件》格式”仅为对《响应文件》部分内容的格式化规范，并非《响应文件》所应具备的全部内容。供应商应按本章“3.2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《响应文件》的组成”列示内容编制《响应文件》。</w:t>
      </w:r>
    </w:p>
    <w:p w14:paraId="70B4F4EC">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3.7.3</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《响应文件》应当对《磋商文件》有关标段（包）内容（范围）、</w:t>
      </w:r>
      <w:r>
        <w:rPr>
          <w:rFonts w:hint="eastAsia" w:ascii="宋体" w:hAnsi="宋体" w:cs="楷体_GB2312"/>
          <w:color w:val="auto"/>
          <w:sz w:val="24"/>
          <w:highlight w:val="none"/>
          <w:lang w:val="en-US" w:eastAsia="zh-CN"/>
        </w:rPr>
        <w:t>服务</w:t>
      </w:r>
      <w:r>
        <w:rPr>
          <w:rFonts w:hint="eastAsia" w:ascii="宋体" w:hAnsi="宋体" w:cs="楷体_GB2312"/>
          <w:color w:val="auto"/>
          <w:sz w:val="24"/>
          <w:highlight w:val="none"/>
          <w:lang w:val="zh-CN"/>
        </w:rPr>
        <w:t>要求、服务期、投标有效期等实质性内容作出响应。在满足《磋商文件》实质性要求的基础上，可以提出比《磋商文件》要求更有利于采购人的承诺。并符合《磋商文件》偏差规定。</w:t>
      </w:r>
    </w:p>
    <w:p w14:paraId="638D097C">
      <w:pPr>
        <w:adjustRightInd w:val="0"/>
        <w:snapToGrid w:val="0"/>
        <w:spacing w:before="120" w:beforeLines="50" w:line="300" w:lineRule="auto"/>
        <w:ind w:firstLine="539"/>
        <w:textAlignment w:val="top"/>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响应文件》的所有条款与《磋商文件》要求有任何不同之处，应按《偏差表》格式逐一填列。《响应文件》与《磋商文件》所有要求存在偏差而未填列的，磋商小组有权按照实质性判断原则（实质性要求和实质性响应两因素）评定其为</w:t>
      </w:r>
      <w:r>
        <w:rPr>
          <w:rFonts w:hint="eastAsia" w:ascii="宋体" w:hAnsi="宋体" w:cs="楷体_GB2312"/>
          <w:b/>
          <w:bCs/>
          <w:color w:val="auto"/>
          <w:sz w:val="24"/>
          <w:highlight w:val="none"/>
          <w:lang w:val="zh-CN"/>
        </w:rPr>
        <w:t>无效投标</w:t>
      </w:r>
      <w:r>
        <w:rPr>
          <w:rFonts w:hint="eastAsia" w:ascii="宋体" w:hAnsi="宋体" w:cs="楷体_GB2312"/>
          <w:color w:val="auto"/>
          <w:sz w:val="24"/>
          <w:highlight w:val="none"/>
          <w:lang w:val="zh-CN"/>
        </w:rPr>
        <w:t>。供应商应认真编制《响应文件》并自负此项风险。</w:t>
      </w:r>
    </w:p>
    <w:p w14:paraId="7F27C884">
      <w:pPr>
        <w:adjustRightInd w:val="0"/>
        <w:snapToGrid w:val="0"/>
        <w:spacing w:before="120" w:beforeLines="50" w:line="300" w:lineRule="auto"/>
        <w:ind w:firstLine="539"/>
        <w:textAlignment w:val="top"/>
        <w:rPr>
          <w:rFonts w:ascii="宋体" w:cs="楷体_GB2312"/>
          <w:b/>
          <w:color w:val="auto"/>
          <w:sz w:val="24"/>
          <w:highlight w:val="none"/>
        </w:rPr>
      </w:pPr>
      <w:r>
        <w:rPr>
          <w:rFonts w:ascii="宋体" w:hAnsi="宋体" w:cs="楷体_GB2312"/>
          <w:b/>
          <w:color w:val="auto"/>
          <w:sz w:val="24"/>
          <w:highlight w:val="none"/>
          <w:lang w:val="zh-CN"/>
        </w:rPr>
        <w:t>3</w:t>
      </w:r>
      <w:r>
        <w:rPr>
          <w:rFonts w:ascii="宋体" w:hAnsi="宋体" w:cs="楷体_GB2312"/>
          <w:b/>
          <w:color w:val="auto"/>
          <w:sz w:val="24"/>
          <w:highlight w:val="none"/>
        </w:rPr>
        <w:t>.7.</w:t>
      </w:r>
      <w:r>
        <w:rPr>
          <w:rFonts w:hint="eastAsia" w:ascii="宋体" w:hAnsi="宋体" w:cs="楷体_GB2312"/>
          <w:b/>
          <w:color w:val="auto"/>
          <w:sz w:val="24"/>
          <w:highlight w:val="none"/>
        </w:rPr>
        <w:t>4</w:t>
      </w:r>
      <w:r>
        <w:rPr>
          <w:rFonts w:ascii="宋体" w:hAnsi="宋体" w:cs="楷体_GB2312"/>
          <w:b/>
          <w:color w:val="auto"/>
          <w:sz w:val="24"/>
          <w:highlight w:val="none"/>
        </w:rPr>
        <w:t xml:space="preserve"> </w:t>
      </w:r>
      <w:r>
        <w:rPr>
          <w:rFonts w:hint="eastAsia" w:ascii="宋体" w:hAnsi="宋体" w:cs="楷体_GB2312"/>
          <w:b/>
          <w:color w:val="auto"/>
          <w:sz w:val="24"/>
          <w:highlight w:val="none"/>
          <w:lang w:eastAsia="zh-CN"/>
        </w:rPr>
        <w:t>《响应文件》</w:t>
      </w:r>
      <w:r>
        <w:rPr>
          <w:rFonts w:hint="eastAsia" w:ascii="宋体" w:hAnsi="宋体" w:cs="楷体_GB2312"/>
          <w:b/>
          <w:color w:val="auto"/>
          <w:sz w:val="24"/>
          <w:highlight w:val="none"/>
        </w:rPr>
        <w:t>应按</w:t>
      </w:r>
      <w:r>
        <w:rPr>
          <w:rFonts w:hint="eastAsia" w:ascii="宋体" w:hAnsi="宋体" w:cs="楷体_GB2312"/>
          <w:b/>
          <w:color w:val="auto"/>
          <w:sz w:val="24"/>
          <w:highlight w:val="none"/>
          <w:lang w:eastAsia="zh-CN"/>
        </w:rPr>
        <w:t>《磋商文件》</w:t>
      </w:r>
      <w:r>
        <w:rPr>
          <w:rFonts w:hint="eastAsia" w:ascii="宋体" w:hAnsi="宋体" w:cs="楷体_GB2312"/>
          <w:b/>
          <w:color w:val="auto"/>
          <w:sz w:val="24"/>
          <w:highlight w:val="none"/>
          <w:lang w:val="zh-CN"/>
        </w:rPr>
        <w:t>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w:t>
      </w:r>
      <w:r>
        <w:rPr>
          <w:rFonts w:hint="eastAsia" w:ascii="宋体" w:hAnsi="宋体" w:cs="楷体_GB2312"/>
          <w:b/>
          <w:color w:val="auto"/>
          <w:sz w:val="24"/>
          <w:highlight w:val="none"/>
          <w:lang w:eastAsia="zh-CN"/>
        </w:rPr>
        <w:t>《响应文件》</w:t>
      </w:r>
      <w:r>
        <w:rPr>
          <w:rFonts w:hint="eastAsia" w:ascii="宋体" w:hAnsi="宋体" w:cs="楷体_GB2312"/>
          <w:b/>
          <w:color w:val="auto"/>
          <w:sz w:val="24"/>
          <w:highlight w:val="none"/>
        </w:rPr>
        <w:t>，属于未按照</w:t>
      </w:r>
      <w:r>
        <w:rPr>
          <w:rFonts w:hint="eastAsia" w:ascii="宋体" w:hAnsi="宋体" w:cs="楷体_GB2312"/>
          <w:b/>
          <w:color w:val="auto"/>
          <w:sz w:val="24"/>
          <w:highlight w:val="none"/>
          <w:lang w:eastAsia="zh-CN"/>
        </w:rPr>
        <w:t>《磋商文件》</w:t>
      </w:r>
      <w:r>
        <w:rPr>
          <w:rFonts w:hint="eastAsia" w:ascii="宋体" w:hAnsi="宋体" w:cs="楷体_GB2312"/>
          <w:b/>
          <w:color w:val="auto"/>
          <w:sz w:val="24"/>
          <w:highlight w:val="none"/>
        </w:rPr>
        <w:t>要求进行签署。</w:t>
      </w:r>
    </w:p>
    <w:p w14:paraId="50EB09DE">
      <w:pPr>
        <w:adjustRightInd w:val="0"/>
        <w:snapToGrid w:val="0"/>
        <w:spacing w:before="120" w:beforeLines="50" w:line="300" w:lineRule="auto"/>
        <w:ind w:firstLine="539"/>
        <w:textAlignment w:val="top"/>
        <w:rPr>
          <w:rFonts w:ascii="宋体" w:hAnsi="宋体" w:cs="楷体_GB2312"/>
          <w:b/>
          <w:color w:val="auto"/>
          <w:sz w:val="24"/>
          <w:highlight w:val="none"/>
          <w:lang w:val="zh-CN"/>
        </w:rPr>
      </w:pPr>
      <w:r>
        <w:rPr>
          <w:rFonts w:hint="eastAsia" w:ascii="宋体" w:hAnsi="宋体" w:cs="楷体_GB2312"/>
          <w:b/>
          <w:color w:val="auto"/>
          <w:sz w:val="24"/>
          <w:highlight w:val="none"/>
          <w:lang w:val="zh-CN"/>
        </w:rPr>
        <w:t>根据《中华人民共和国电子签名法》规定，可靠的电子签名与手写签名或者盖章具有同等的法律效力。本次采购活动中，供应商使用有效的企业数字证书对</w:t>
      </w:r>
      <w:r>
        <w:rPr>
          <w:rFonts w:hint="eastAsia" w:ascii="宋体" w:hAnsi="宋体" w:cs="楷体_GB2312"/>
          <w:b/>
          <w:color w:val="auto"/>
          <w:sz w:val="24"/>
          <w:highlight w:val="none"/>
          <w:lang w:val="zh-CN" w:eastAsia="zh-CN"/>
        </w:rPr>
        <w:t>《响应文件》</w:t>
      </w:r>
      <w:r>
        <w:rPr>
          <w:rFonts w:hint="eastAsia" w:ascii="宋体" w:hAnsi="宋体" w:cs="楷体_GB2312"/>
          <w:b/>
          <w:color w:val="auto"/>
          <w:sz w:val="24"/>
          <w:highlight w:val="none"/>
          <w:lang w:val="zh-CN"/>
        </w:rPr>
        <w:t>进行电子签章与加盖供应商</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章具有同等法律效力；供应商法定代表人使用有效的个人数字证书对</w:t>
      </w:r>
      <w:r>
        <w:rPr>
          <w:rFonts w:hint="eastAsia" w:ascii="宋体" w:hAnsi="宋体" w:cs="楷体_GB2312"/>
          <w:b/>
          <w:color w:val="auto"/>
          <w:sz w:val="24"/>
          <w:highlight w:val="none"/>
          <w:lang w:val="zh-CN" w:eastAsia="zh-CN"/>
        </w:rPr>
        <w:t>《响应文件》</w:t>
      </w:r>
      <w:r>
        <w:rPr>
          <w:rFonts w:hint="eastAsia" w:ascii="宋体" w:hAnsi="宋体" w:cs="楷体_GB2312"/>
          <w:b/>
          <w:color w:val="auto"/>
          <w:sz w:val="24"/>
          <w:highlight w:val="none"/>
          <w:lang w:val="zh-CN"/>
        </w:rPr>
        <w:t>进行签名（签章）与法人签章具有同等法律效力。</w:t>
      </w:r>
    </w:p>
    <w:p w14:paraId="2CC99AE1">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14:paraId="6E214346">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《响应文件》因字迹或表述不清所引起的后果由供应商自行负责。</w:t>
      </w:r>
    </w:p>
    <w:p w14:paraId="236E113D">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未按上述要求提交的《响应文件》将视为</w:t>
      </w:r>
      <w:r>
        <w:rPr>
          <w:rFonts w:hint="eastAsia" w:ascii="宋体" w:hAnsi="宋体" w:cs="楷体_GB2312"/>
          <w:b/>
          <w:color w:val="auto"/>
          <w:sz w:val="24"/>
          <w:highlight w:val="none"/>
          <w:lang w:val="zh-CN"/>
        </w:rPr>
        <w:t>无效投标。</w:t>
      </w:r>
    </w:p>
    <w:p w14:paraId="4785E8A5">
      <w:pPr>
        <w:autoSpaceDE w:val="0"/>
        <w:autoSpaceDN w:val="0"/>
        <w:adjustRightInd w:val="0"/>
        <w:spacing w:line="360" w:lineRule="auto"/>
        <w:rPr>
          <w:rFonts w:ascii="黑体" w:hAnsi="黑体" w:eastAsia="黑体" w:cs="楷体_GB2312"/>
          <w:b/>
          <w:bCs/>
          <w:color w:val="auto"/>
          <w:sz w:val="28"/>
          <w:szCs w:val="28"/>
          <w:highlight w:val="none"/>
          <w:lang w:val="zh-CN"/>
        </w:rPr>
      </w:pPr>
    </w:p>
    <w:p w14:paraId="350A2824">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18" w:name="_Toc20731"/>
      <w:r>
        <w:rPr>
          <w:rFonts w:ascii="黑体" w:hAnsi="黑体" w:eastAsia="黑体" w:cs="楷体_GB2312"/>
          <w:b/>
          <w:bCs/>
          <w:color w:val="auto"/>
          <w:sz w:val="28"/>
          <w:szCs w:val="28"/>
          <w:highlight w:val="none"/>
          <w:lang w:val="zh-CN"/>
        </w:rPr>
        <w:t>4.</w:t>
      </w:r>
      <w:r>
        <w:rPr>
          <w:rFonts w:hint="eastAsia" w:ascii="黑体" w:hAnsi="黑体" w:eastAsia="黑体" w:cs="楷体_GB2312"/>
          <w:b/>
          <w:bCs/>
          <w:color w:val="auto"/>
          <w:sz w:val="28"/>
          <w:szCs w:val="28"/>
          <w:highlight w:val="none"/>
          <w:lang w:val="zh-CN"/>
        </w:rPr>
        <w:t>《响应文件》的提交</w:t>
      </w:r>
      <w:bookmarkEnd w:id="18"/>
    </w:p>
    <w:p w14:paraId="2CFDB7CA">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bookmarkStart w:id="19" w:name="OLE_LINK2"/>
      <w:bookmarkStart w:id="20" w:name="_Toc296602445"/>
      <w:r>
        <w:rPr>
          <w:rFonts w:hint="eastAsia" w:ascii="黑体" w:hAnsi="黑体" w:eastAsia="黑体" w:cs="楷体_GB2312"/>
          <w:b/>
          <w:color w:val="auto"/>
          <w:sz w:val="24"/>
          <w:highlight w:val="none"/>
          <w:lang w:val="zh-CN"/>
        </w:rPr>
        <w:t>4.1《响应文件》的密封和标记</w:t>
      </w:r>
    </w:p>
    <w:p w14:paraId="5B4CB906">
      <w:pPr>
        <w:autoSpaceDE w:val="0"/>
        <w:autoSpaceDN w:val="0"/>
        <w:adjustRightInd w:val="0"/>
        <w:snapToGrid w:val="0"/>
        <w:spacing w:before="120" w:beforeLines="50" w:line="300" w:lineRule="auto"/>
        <w:ind w:firstLine="539"/>
        <w:rPr>
          <w:rFonts w:ascii="宋体" w:cs="楷体_GB2312"/>
          <w:b/>
          <w:color w:val="auto"/>
          <w:sz w:val="24"/>
          <w:highlight w:val="none"/>
          <w:lang w:val="zh-CN"/>
        </w:rPr>
      </w:pPr>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《响应文件》应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《响应文件》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095CCBDB">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bookmarkStart w:id="21"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《响应文件》没有按照上述要求进行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拒收其《响应文件》，供应商应自负该项风险，采购代理机构对可能产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21"/>
    </w:p>
    <w:bookmarkEnd w:id="19"/>
    <w:p w14:paraId="51C95EA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《响应文件》的递交</w:t>
      </w:r>
      <w:bookmarkEnd w:id="20"/>
    </w:p>
    <w:p w14:paraId="524CD0FB">
      <w:pPr>
        <w:widowControl w:val="0"/>
        <w:adjustRightInd w:val="0"/>
        <w:spacing w:before="120" w:beforeLines="50" w:line="300" w:lineRule="auto"/>
        <w:ind w:firstLine="542" w:firstLineChars="225"/>
        <w:rPr>
          <w:rFonts w:ascii="宋体" w:hAnsi="宋体"/>
          <w:color w:val="auto"/>
          <w:sz w:val="24"/>
          <w:szCs w:val="24"/>
          <w:highlight w:val="none"/>
        </w:rPr>
      </w:pPr>
      <w:r>
        <w:rPr>
          <w:rFonts w:ascii="宋体" w:hAnsi="宋体" w:cs="楷体_GB2312"/>
          <w:b/>
          <w:color w:val="auto"/>
          <w:sz w:val="24"/>
          <w:highlight w:val="none"/>
          <w:lang w:val="zh-CN"/>
        </w:rPr>
        <w:t>4.2.1</w:t>
      </w:r>
      <w:r>
        <w:rPr>
          <w:rFonts w:hint="eastAsia" w:ascii="宋体" w:hAnsi="宋体" w:cs="楷体_GB2312"/>
          <w:b/>
          <w:color w:val="auto"/>
          <w:sz w:val="24"/>
          <w:highlight w:val="none"/>
          <w:lang w:val="en-US" w:eastAsia="zh-CN"/>
        </w:rPr>
        <w:t xml:space="preserve"> </w:t>
      </w:r>
      <w:r>
        <w:rPr>
          <w:rFonts w:hint="eastAsia" w:ascii="宋体" w:hAnsi="宋体"/>
          <w:color w:val="auto"/>
          <w:sz w:val="24"/>
          <w:szCs w:val="24"/>
          <w:highlight w:val="none"/>
        </w:rPr>
        <w:t>供应商应在投标截止时间前上传加密的电子</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w:t>
      </w:r>
      <w:r>
        <w:rPr>
          <w:rFonts w:hint="eastAsia" w:ascii="宋体" w:hAnsi="宋体"/>
          <w:color w:val="auto"/>
          <w:sz w:val="24"/>
          <w:szCs w:val="24"/>
          <w:highlight w:val="none"/>
        </w:rPr>
        <w:t>（*.aytf）到殷都区公共资源交易平台。上传时供应商须使用制作该</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w:t>
      </w:r>
      <w:r>
        <w:rPr>
          <w:rFonts w:hint="eastAsia" w:ascii="宋体" w:hAnsi="宋体"/>
          <w:color w:val="auto"/>
          <w:sz w:val="24"/>
          <w:szCs w:val="24"/>
          <w:highlight w:val="none"/>
        </w:rPr>
        <w:t>的同一CA锁进行上传操作。请供应商在上传时认真检查上传</w:t>
      </w:r>
      <w:r>
        <w:rPr>
          <w:rFonts w:hint="eastAsia" w:ascii="宋体" w:hAnsi="宋体" w:cs="楷体_GB2312"/>
          <w:color w:val="auto"/>
          <w:sz w:val="24"/>
          <w:highlight w:val="none"/>
          <w:lang w:val="zh-CN"/>
        </w:rPr>
        <w:t>《</w:t>
      </w:r>
      <w:r>
        <w:rPr>
          <w:rFonts w:hint="eastAsia" w:ascii="宋体" w:hAnsi="宋体" w:cs="楷体_GB2312"/>
          <w:color w:val="auto"/>
          <w:sz w:val="24"/>
          <w:highlight w:val="none"/>
          <w:lang w:val="en-US" w:eastAsia="zh-CN"/>
        </w:rPr>
        <w:t>响应文件</w:t>
      </w:r>
      <w:r>
        <w:rPr>
          <w:rFonts w:hint="eastAsia" w:ascii="宋体" w:hAnsi="宋体" w:cs="楷体_GB2312"/>
          <w:color w:val="auto"/>
          <w:sz w:val="24"/>
          <w:highlight w:val="none"/>
          <w:lang w:val="zh-CN"/>
        </w:rPr>
        <w:t>》</w:t>
      </w:r>
      <w:r>
        <w:rPr>
          <w:rFonts w:hint="eastAsia" w:ascii="宋体" w:hAnsi="宋体"/>
          <w:color w:val="auto"/>
          <w:sz w:val="24"/>
          <w:szCs w:val="24"/>
          <w:highlight w:val="none"/>
        </w:rPr>
        <w:t>是否完整、正确。供应商应充分考虑上传文件时的不可预见因素，未在投标截止时间前完成上传的，视为逾期送达，殷都区公共资源交易平台将拒绝接收。</w:t>
      </w:r>
    </w:p>
    <w:p w14:paraId="6E3B47FB">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的《响应文件》。</w:t>
      </w:r>
    </w:p>
    <w:p w14:paraId="444CDDB3">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由于不可抗拒的原因，代理机构对《响应文件》的遗失和损坏不负任何责任。</w:t>
      </w:r>
    </w:p>
    <w:p w14:paraId="5715BAF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除供应商须知前附表另有规定外，供应商所递交的《响应文件》不予退还。</w:t>
      </w:r>
    </w:p>
    <w:p w14:paraId="46212B62">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1344618F">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《响应文件》的修改与撤回</w:t>
      </w:r>
    </w:p>
    <w:p w14:paraId="55BA1E60">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供应商于提交《响应文件》截止时间前如对《响应文件》进行补充、修改，可以上传新的《响应文件》进行覆盖。供应商如撤回《响应文件》，应及时书面通知采购代理机构进行办理。</w:t>
      </w:r>
    </w:p>
    <w:p w14:paraId="46FAFD5C">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供应商在《响应文件》提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w:t>
      </w:r>
      <w:r>
        <w:rPr>
          <w:rFonts w:hint="eastAsia" w:ascii="宋体" w:hAnsi="宋体"/>
          <w:color w:val="auto"/>
          <w:sz w:val="24"/>
          <w:szCs w:val="24"/>
          <w:highlight w:val="none"/>
        </w:rPr>
        <w:t>依据</w:t>
      </w:r>
      <w:r>
        <w:rPr>
          <w:rFonts w:hint="eastAsia" w:ascii="宋体" w:hAnsi="宋体"/>
          <w:color w:val="auto"/>
          <w:sz w:val="24"/>
          <w:szCs w:val="24"/>
          <w:highlight w:val="none"/>
          <w:lang w:eastAsia="zh-CN"/>
        </w:rPr>
        <w:t>《磋商文件》</w:t>
      </w:r>
      <w:r>
        <w:rPr>
          <w:rFonts w:hint="eastAsia" w:ascii="宋体" w:hAnsi="宋体"/>
          <w:color w:val="auto"/>
          <w:sz w:val="24"/>
          <w:szCs w:val="24"/>
          <w:highlight w:val="none"/>
        </w:rPr>
        <w:t>“第三章</w:t>
      </w:r>
      <w:r>
        <w:rPr>
          <w:rFonts w:hint="eastAsia" w:ascii="宋体" w:hAnsi="宋体"/>
          <w:color w:val="auto"/>
          <w:sz w:val="24"/>
          <w:szCs w:val="24"/>
          <w:highlight w:val="none"/>
          <w:lang w:val="en-US" w:eastAsia="zh-CN"/>
        </w:rPr>
        <w:t xml:space="preserve"> </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p>
    <w:p w14:paraId="19E164BD">
      <w:pPr>
        <w:autoSpaceDE w:val="0"/>
        <w:autoSpaceDN w:val="0"/>
        <w:adjustRightInd w:val="0"/>
        <w:snapToGrid w:val="0"/>
        <w:spacing w:before="120" w:beforeLines="50" w:line="300" w:lineRule="auto"/>
        <w:rPr>
          <w:rFonts w:ascii="宋体" w:cs="楷体_GB2312"/>
          <w:color w:val="auto"/>
          <w:sz w:val="24"/>
          <w:highlight w:val="none"/>
          <w:lang w:val="zh-CN"/>
        </w:rPr>
      </w:pPr>
    </w:p>
    <w:p w14:paraId="12981CAD">
      <w:pPr>
        <w:autoSpaceDE w:val="0"/>
        <w:autoSpaceDN w:val="0"/>
        <w:adjustRightInd w:val="0"/>
        <w:snapToGrid w:val="0"/>
        <w:spacing w:before="120" w:beforeLines="50" w:line="300" w:lineRule="auto"/>
        <w:ind w:firstLine="539"/>
        <w:outlineLvl w:val="1"/>
        <w:rPr>
          <w:rFonts w:ascii="宋体" w:cs="楷体_GB2312"/>
          <w:color w:val="auto"/>
          <w:sz w:val="24"/>
          <w:highlight w:val="none"/>
          <w:lang w:val="zh-CN"/>
        </w:rPr>
      </w:pPr>
      <w:bookmarkStart w:id="22" w:name="_Toc15356"/>
      <w:r>
        <w:rPr>
          <w:rFonts w:ascii="黑体" w:hAnsi="黑体" w:eastAsia="黑体" w:cs="楷体_GB2312"/>
          <w:b/>
          <w:bCs/>
          <w:color w:val="auto"/>
          <w:sz w:val="28"/>
          <w:szCs w:val="28"/>
          <w:highlight w:val="none"/>
          <w:lang w:val="zh-CN"/>
        </w:rPr>
        <w:t>5.</w:t>
      </w:r>
      <w:r>
        <w:rPr>
          <w:rFonts w:hint="eastAsia" w:ascii="黑体" w:hAnsi="黑体" w:eastAsia="黑体" w:cs="楷体_GB2312"/>
          <w:b/>
          <w:bCs/>
          <w:color w:val="auto"/>
          <w:sz w:val="28"/>
          <w:szCs w:val="28"/>
          <w:highlight w:val="none"/>
          <w:lang w:val="zh-CN"/>
        </w:rPr>
        <w:t>《响应文件》的开启</w:t>
      </w:r>
      <w:bookmarkEnd w:id="22"/>
    </w:p>
    <w:p w14:paraId="53AC1C73">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《响应文件》开启时间和地点</w:t>
      </w:r>
    </w:p>
    <w:p w14:paraId="69EFB9DA">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（竞争性磋商公告所述网上电子交易系统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公开《响应文件》开启。</w:t>
      </w:r>
    </w:p>
    <w:p w14:paraId="1188AA74">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响应文件》解密等。因供应商原因未能解密、解密失败或解密超时的将被拒绝。</w:t>
      </w:r>
    </w:p>
    <w:p w14:paraId="57B03615">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《响应文件》开启程序</w:t>
      </w:r>
    </w:p>
    <w:p w14:paraId="4FFE2510">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《响应文件》的开启方式为远程解密，为保证开启工作顺利进行，供应商需在开标阶段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管理员下达解密指令后的指定时限内，完成对本单位的加密《响应文件》的远程解密。如供应商因自身原因、在指定时限内没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解密成功的，其投标将不能被接受，供应商自行承担相应后果。</w:t>
      </w:r>
    </w:p>
    <w:p w14:paraId="5428BF3D">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2FE6B17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供应商对开标过程和开标记录有疑义，以及认为采购人、采购代理机构相关工作人员有需要回避的情形的，应在系统中提出询问或者回避申请，否则，视为对开标无异议。</w:t>
      </w:r>
    </w:p>
    <w:p w14:paraId="5E80FB3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在开标或评审过程中，有效投标应在三家以上（包括三家）；有效投标不足三家的应予终止（废标）。</w:t>
      </w:r>
    </w:p>
    <w:p w14:paraId="098CF4B2">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0F171DD9">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3" w:name="_Toc28358"/>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评审</w:t>
      </w:r>
      <w:bookmarkEnd w:id="23"/>
    </w:p>
    <w:p w14:paraId="5FB578DC">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磋商小组</w:t>
      </w:r>
    </w:p>
    <w:p w14:paraId="05BCA89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评审工作由依法组建的磋商小组负责。磋商小组由采购人代表和评审专家共</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人及以上单数组成，其中评审专家人数不少于磋商小组成员总数的</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，评审专家是在监督部门监督下从政府采购专家库中随机抽取产生。</w:t>
      </w:r>
    </w:p>
    <w:p w14:paraId="1BF5B30F">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评审原则</w:t>
      </w:r>
    </w:p>
    <w:p w14:paraId="6407DE39">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6.2.1 坚持公开、公平、公正地对待所有供应商。</w:t>
      </w:r>
    </w:p>
    <w:p w14:paraId="331F142F">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6.2.2 按照同一评审程序及方法审查所有供应商的《响应文件》。</w:t>
      </w:r>
    </w:p>
    <w:p w14:paraId="6219837B">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6.2.3 反对不正当竞争。</w:t>
      </w:r>
    </w:p>
    <w:p w14:paraId="607F713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评审</w:t>
      </w:r>
    </w:p>
    <w:p w14:paraId="0580E65D">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6.3.1</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评审工作在磋商小组内独立进行。磋商小组按照第四章“评审办法”规定的方法、评审因素、标准和程序对《响应文件》进行评审。第四章“评审办法”没有规定的方法、评审因素和标准，不作为评审依据。</w:t>
      </w:r>
    </w:p>
    <w:p w14:paraId="3F0D40A5">
      <w:pPr>
        <w:autoSpaceDE w:val="0"/>
        <w:autoSpaceDN w:val="0"/>
        <w:adjustRightInd w:val="0"/>
        <w:snapToGrid w:val="0"/>
        <w:spacing w:before="120" w:beforeLines="50" w:line="300" w:lineRule="auto"/>
        <w:ind w:firstLine="539"/>
        <w:rPr>
          <w:rFonts w:hint="eastAsia" w:ascii="宋体" w:hAnsi="宋体" w:cs="楷体_GB2312"/>
          <w:color w:val="auto"/>
          <w:sz w:val="24"/>
          <w:highlight w:val="none"/>
          <w:lang w:val="zh-CN"/>
        </w:rPr>
      </w:pPr>
      <w:r>
        <w:rPr>
          <w:rFonts w:hint="eastAsia" w:ascii="宋体" w:hAnsi="宋体" w:cs="楷体_GB2312"/>
          <w:color w:val="auto"/>
          <w:sz w:val="24"/>
          <w:highlight w:val="none"/>
          <w:lang w:val="zh-CN"/>
        </w:rPr>
        <w:t>6.3.2</w:t>
      </w:r>
      <w:r>
        <w:rPr>
          <w:rFonts w:hint="eastAsia" w:ascii="宋体" w:hAnsi="宋体" w:cs="楷体_GB2312"/>
          <w:color w:val="auto"/>
          <w:sz w:val="24"/>
          <w:highlight w:val="none"/>
          <w:lang w:val="en-US" w:eastAsia="zh-CN"/>
        </w:rPr>
        <w:t xml:space="preserve"> </w:t>
      </w:r>
      <w:r>
        <w:rPr>
          <w:rFonts w:hint="eastAsia" w:ascii="宋体" w:hAnsi="宋体" w:cs="楷体_GB2312"/>
          <w:color w:val="auto"/>
          <w:sz w:val="24"/>
          <w:highlight w:val="none"/>
          <w:lang w:val="zh-CN"/>
        </w:rPr>
        <w:t>在《响应文件》开启、评审期间，供应商不得向磋商小组成员询问情况，不得进行旨在影响评审结果的活动。</w:t>
      </w:r>
    </w:p>
    <w:p w14:paraId="68987F6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6.4 </w:t>
      </w:r>
      <w:r>
        <w:rPr>
          <w:rFonts w:hint="eastAsia" w:ascii="黑体" w:hAnsi="黑体" w:eastAsia="黑体" w:cs="楷体_GB2312"/>
          <w:b/>
          <w:color w:val="auto"/>
          <w:sz w:val="24"/>
          <w:highlight w:val="none"/>
          <w:lang w:val="zh-CN"/>
        </w:rPr>
        <w:t>磋商：</w:t>
      </w:r>
      <w:r>
        <w:rPr>
          <w:rFonts w:hint="eastAsia" w:ascii="宋体" w:hAnsi="宋体" w:cs="楷体_GB2312"/>
          <w:color w:val="auto"/>
          <w:sz w:val="24"/>
          <w:highlight w:val="none"/>
          <w:lang w:val="zh-CN"/>
        </w:rPr>
        <w:t>见第四章“评审办法”</w:t>
      </w:r>
      <w:r>
        <w:rPr>
          <w:rFonts w:ascii="宋体" w:hAnsi="宋体" w:cs="楷体_GB2312"/>
          <w:color w:val="auto"/>
          <w:sz w:val="24"/>
          <w:highlight w:val="none"/>
          <w:lang w:val="zh-CN"/>
        </w:rPr>
        <w:t>3.4</w:t>
      </w:r>
      <w:r>
        <w:rPr>
          <w:rFonts w:hint="eastAsia" w:ascii="宋体" w:hAnsi="宋体" w:cs="楷体_GB2312"/>
          <w:color w:val="auto"/>
          <w:sz w:val="24"/>
          <w:highlight w:val="none"/>
          <w:lang w:val="zh-CN"/>
        </w:rPr>
        <w:t>款磋商规则</w:t>
      </w:r>
    </w:p>
    <w:p w14:paraId="624A2064">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79AD1F02">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4" w:name="_Toc9013"/>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授予合同</w:t>
      </w:r>
      <w:bookmarkEnd w:id="24"/>
    </w:p>
    <w:p w14:paraId="46184C1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确定成交供应商方式</w:t>
      </w:r>
    </w:p>
    <w:p w14:paraId="633E747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除供应商须知前附表规定授权磋商小组直接确定成交供应商外，采购人应当自收到评审报告之日起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14:paraId="3DF410A2">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成交结果公告</w:t>
      </w:r>
    </w:p>
    <w:p w14:paraId="1B5130DE">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采购代理机构在成交供应商确定当天即时在竞争性磋商公告所述媒体公告成交结果。同时向成交供应商发出成交通知书。成交结果公告期限为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04E7766F">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质疑</w:t>
      </w:r>
    </w:p>
    <w:p w14:paraId="2F00FB8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olor w:val="auto"/>
          <w:sz w:val="24"/>
          <w:highlight w:val="none"/>
        </w:rPr>
        <w:t>7.3.1</w:t>
      </w:r>
      <w:r>
        <w:rPr>
          <w:rFonts w:hint="eastAsia" w:ascii="宋体" w:hAnsi="宋体"/>
          <w:color w:val="auto"/>
          <w:sz w:val="24"/>
          <w:highlight w:val="none"/>
          <w:lang w:val="en-US" w:eastAsia="zh-CN"/>
        </w:rPr>
        <w:t xml:space="preserve"> </w:t>
      </w:r>
      <w:r>
        <w:rPr>
          <w:rFonts w:hint="eastAsia" w:ascii="宋体" w:hAnsi="宋体" w:cs="楷体_GB2312"/>
          <w:color w:val="auto"/>
          <w:sz w:val="24"/>
          <w:highlight w:val="none"/>
          <w:lang w:val="zh-CN"/>
        </w:rPr>
        <w:t>见供应商须知前附表。</w:t>
      </w:r>
    </w:p>
    <w:p w14:paraId="322A7AE6">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olor w:val="auto"/>
          <w:sz w:val="24"/>
          <w:highlight w:val="none"/>
        </w:rPr>
        <w:t>7.3.2</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询问或者质疑事项可能影响成交结果的，采购人应当暂停签订合同，已经签订合同的，应当中止履行合同。</w:t>
      </w:r>
    </w:p>
    <w:p w14:paraId="51C449C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7.4 </w:t>
      </w:r>
      <w:r>
        <w:rPr>
          <w:rFonts w:hint="eastAsia" w:ascii="黑体" w:hAnsi="黑体" w:eastAsia="黑体" w:cs="楷体_GB2312"/>
          <w:b/>
          <w:color w:val="auto"/>
          <w:sz w:val="24"/>
          <w:highlight w:val="none"/>
          <w:lang w:val="zh-CN"/>
        </w:rPr>
        <w:t>成交通知：</w:t>
      </w:r>
      <w:r>
        <w:rPr>
          <w:rFonts w:hint="eastAsia" w:ascii="宋体" w:hAnsi="宋体" w:cs="楷体_GB2312"/>
          <w:color w:val="auto"/>
          <w:sz w:val="24"/>
          <w:highlight w:val="none"/>
          <w:lang w:val="zh-CN"/>
        </w:rPr>
        <w:t>见供应商须知前附表。</w:t>
      </w:r>
    </w:p>
    <w:p w14:paraId="2F47FF6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7.5 </w:t>
      </w:r>
      <w:r>
        <w:rPr>
          <w:rFonts w:hint="eastAsia" w:ascii="黑体" w:hAnsi="黑体" w:eastAsia="黑体" w:cs="楷体_GB2312"/>
          <w:b/>
          <w:color w:val="auto"/>
          <w:sz w:val="24"/>
          <w:highlight w:val="none"/>
          <w:lang w:val="zh-CN"/>
        </w:rPr>
        <w:t>履约保证金</w:t>
      </w:r>
    </w:p>
    <w:p w14:paraId="11DE31E4">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7.5.1</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在签订合同时，成交供应商应按供应商须知前附表规定向采购人提交履约保证金。</w:t>
      </w:r>
    </w:p>
    <w:p w14:paraId="6E9D63BC">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 xml:space="preserve">7.5.2 </w:t>
      </w:r>
      <w:r>
        <w:rPr>
          <w:rFonts w:hint="eastAsia" w:ascii="宋体" w:hAnsi="宋体"/>
          <w:color w:val="auto"/>
          <w:sz w:val="24"/>
          <w:highlight w:val="none"/>
          <w:lang w:val="zh-CN"/>
        </w:rPr>
        <w:t>成交供应商不能按本章第</w:t>
      </w:r>
      <w:r>
        <w:rPr>
          <w:rFonts w:ascii="宋体" w:hAnsi="宋体"/>
          <w:color w:val="auto"/>
          <w:sz w:val="24"/>
          <w:highlight w:val="none"/>
          <w:lang w:val="zh-CN"/>
        </w:rPr>
        <w:t>7.5.1</w:t>
      </w:r>
      <w:r>
        <w:rPr>
          <w:rFonts w:hint="eastAsia" w:ascii="宋体" w:hAnsi="宋体"/>
          <w:color w:val="auto"/>
          <w:sz w:val="24"/>
          <w:highlight w:val="none"/>
          <w:lang w:val="zh-CN"/>
        </w:rPr>
        <w:t>项要求提交履约保证金的，视为放弃成交资格，</w:t>
      </w:r>
      <w:r>
        <w:rPr>
          <w:rFonts w:hint="eastAsia" w:ascii="宋体" w:hAnsi="宋体"/>
          <w:color w:val="auto"/>
          <w:sz w:val="24"/>
          <w:highlight w:val="none"/>
        </w:rPr>
        <w:t>依据</w:t>
      </w:r>
      <w:r>
        <w:rPr>
          <w:rFonts w:hint="eastAsia" w:ascii="宋体" w:hAnsi="宋体"/>
          <w:color w:val="auto"/>
          <w:sz w:val="24"/>
          <w:highlight w:val="none"/>
          <w:lang w:eastAsia="zh-CN"/>
        </w:rPr>
        <w:t>《磋商文件》</w:t>
      </w:r>
      <w:r>
        <w:rPr>
          <w:rFonts w:hint="eastAsia" w:ascii="宋体" w:hAnsi="宋体"/>
          <w:color w:val="auto"/>
          <w:sz w:val="24"/>
          <w:highlight w:val="none"/>
        </w:rPr>
        <w:t>“第三章</w:t>
      </w:r>
      <w:r>
        <w:rPr>
          <w:rFonts w:hint="eastAsia" w:ascii="宋体" w:hAnsi="宋体"/>
          <w:color w:val="auto"/>
          <w:sz w:val="24"/>
          <w:highlight w:val="none"/>
          <w:lang w:val="en-US" w:eastAsia="zh-CN"/>
        </w:rPr>
        <w:t xml:space="preserve"> </w:t>
      </w:r>
      <w:r>
        <w:rPr>
          <w:rFonts w:hint="eastAsia" w:ascii="宋体" w:hAnsi="宋体"/>
          <w:color w:val="auto"/>
          <w:sz w:val="24"/>
          <w:highlight w:val="none"/>
        </w:rPr>
        <w:t>3.5.5 违背承诺的责任追究措施”，供应商承担相应法律责任及违约责任。</w:t>
      </w:r>
      <w:r>
        <w:rPr>
          <w:rFonts w:hint="eastAsia" w:ascii="宋体" w:hAnsi="宋体"/>
          <w:color w:val="auto"/>
          <w:sz w:val="24"/>
          <w:highlight w:val="none"/>
          <w:lang w:val="zh-CN"/>
        </w:rPr>
        <w:t>给采购人及采购代理机构造成损失的，成交供应商应当予以赔偿。</w:t>
      </w:r>
    </w:p>
    <w:p w14:paraId="1314021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7.6 </w:t>
      </w:r>
      <w:r>
        <w:rPr>
          <w:rFonts w:hint="eastAsia" w:ascii="黑体" w:hAnsi="黑体" w:eastAsia="黑体" w:cs="楷体_GB2312"/>
          <w:b/>
          <w:color w:val="auto"/>
          <w:sz w:val="24"/>
          <w:highlight w:val="none"/>
          <w:lang w:val="zh-CN"/>
        </w:rPr>
        <w:t>签订合同</w:t>
      </w:r>
    </w:p>
    <w:p w14:paraId="15801B5C">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 xml:space="preserve">7.6.1 </w:t>
      </w:r>
      <w:r>
        <w:rPr>
          <w:rFonts w:hint="eastAsia" w:ascii="宋体" w:hAnsi="宋体"/>
          <w:color w:val="auto"/>
          <w:sz w:val="24"/>
          <w:highlight w:val="none"/>
          <w:lang w:val="zh-CN"/>
        </w:rPr>
        <w:t>据优化营商环境精神，成交供应商应在《成交通知书》发出后1个工作日内，按照</w:t>
      </w:r>
      <w:r>
        <w:rPr>
          <w:rFonts w:hint="eastAsia" w:ascii="宋体" w:hAnsi="宋体"/>
          <w:color w:val="auto"/>
          <w:sz w:val="24"/>
          <w:highlight w:val="none"/>
          <w:lang w:val="zh-CN" w:eastAsia="zh-CN"/>
        </w:rPr>
        <w:t>《磋商文件》</w:t>
      </w:r>
      <w:r>
        <w:rPr>
          <w:rFonts w:hint="eastAsia" w:ascii="宋体" w:hAnsi="宋体"/>
          <w:color w:val="auto"/>
          <w:sz w:val="24"/>
          <w:highlight w:val="none"/>
          <w:lang w:val="zh-CN"/>
        </w:rPr>
        <w:t>确定的合同文本以及成交标的、技术和服务等事项与采购人签订书面政府采购合同。</w:t>
      </w:r>
    </w:p>
    <w:p w14:paraId="18AF475E">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 xml:space="preserve">7.6.2 </w:t>
      </w:r>
      <w:r>
        <w:rPr>
          <w:rFonts w:hint="eastAsia" w:ascii="宋体" w:hAnsi="宋体"/>
          <w:color w:val="auto"/>
          <w:sz w:val="24"/>
          <w:highlight w:val="none"/>
          <w:lang w:val="zh-CN"/>
        </w:rPr>
        <w:t>如成交供应商不按时签订合同、拒签合同的，取消其成交资格，依据</w:t>
      </w:r>
      <w:r>
        <w:rPr>
          <w:rFonts w:hint="eastAsia" w:ascii="宋体" w:hAnsi="宋体"/>
          <w:color w:val="auto"/>
          <w:sz w:val="24"/>
          <w:highlight w:val="none"/>
          <w:lang w:val="zh-CN" w:eastAsia="zh-CN"/>
        </w:rPr>
        <w:t>《磋商文件》</w:t>
      </w:r>
      <w:r>
        <w:rPr>
          <w:rFonts w:hint="eastAsia" w:ascii="宋体" w:hAnsi="宋体"/>
          <w:color w:val="auto"/>
          <w:sz w:val="24"/>
          <w:highlight w:val="none"/>
          <w:lang w:val="zh-CN"/>
        </w:rPr>
        <w:t>“第三章</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3.5.5 违背承诺的责任追究措施”，供应商承担相应法律责任及违约责任。给采购人造成的损失，成交供应商应予以赔偿。</w:t>
      </w:r>
    </w:p>
    <w:p w14:paraId="648553B4">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7.6.3</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合同生效：成交供应商与采购人签订的合同，双方签字后盖章生效。采购人要在合同签订后1个工作日内登陆安阳市政府采购网进行备案并公告。</w:t>
      </w:r>
    </w:p>
    <w:p w14:paraId="3656F15B">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7.6.4</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《成交通知书》、</w:t>
      </w:r>
      <w:r>
        <w:rPr>
          <w:rFonts w:hint="eastAsia" w:ascii="宋体" w:hAnsi="宋体"/>
          <w:color w:val="auto"/>
          <w:sz w:val="24"/>
          <w:highlight w:val="none"/>
          <w:lang w:val="zh-CN" w:eastAsia="zh-CN"/>
        </w:rPr>
        <w:t>《磋商文件》</w:t>
      </w:r>
      <w:r>
        <w:rPr>
          <w:rFonts w:hint="eastAsia" w:ascii="宋体" w:hAnsi="宋体"/>
          <w:color w:val="auto"/>
          <w:sz w:val="24"/>
          <w:highlight w:val="none"/>
          <w:lang w:val="zh-CN"/>
        </w:rPr>
        <w:t>及其修改补充澄清、成交供应商的</w:t>
      </w:r>
      <w:r>
        <w:rPr>
          <w:rFonts w:hint="eastAsia" w:ascii="宋体" w:hAnsi="宋体"/>
          <w:color w:val="auto"/>
          <w:sz w:val="24"/>
          <w:highlight w:val="none"/>
          <w:lang w:val="zh-CN" w:eastAsia="zh-CN"/>
        </w:rPr>
        <w:t>《响应文件》</w:t>
      </w:r>
      <w:r>
        <w:rPr>
          <w:rFonts w:hint="eastAsia" w:ascii="宋体" w:hAnsi="宋体"/>
          <w:color w:val="auto"/>
          <w:sz w:val="24"/>
          <w:highlight w:val="none"/>
          <w:lang w:val="zh-CN"/>
        </w:rPr>
        <w:t>及其修改补充澄清等，均为签订合同的依据。所定合同不得对</w:t>
      </w:r>
      <w:r>
        <w:rPr>
          <w:rFonts w:hint="eastAsia" w:ascii="宋体" w:hAnsi="宋体"/>
          <w:color w:val="auto"/>
          <w:sz w:val="24"/>
          <w:highlight w:val="none"/>
          <w:lang w:val="zh-CN" w:eastAsia="zh-CN"/>
        </w:rPr>
        <w:t>《磋商文件》</w:t>
      </w:r>
      <w:r>
        <w:rPr>
          <w:rFonts w:hint="eastAsia" w:ascii="宋体" w:hAnsi="宋体"/>
          <w:color w:val="auto"/>
          <w:sz w:val="24"/>
          <w:highlight w:val="none"/>
          <w:lang w:val="zh-CN"/>
        </w:rPr>
        <w:t>和成交供应商的</w:t>
      </w:r>
      <w:r>
        <w:rPr>
          <w:rFonts w:hint="eastAsia" w:ascii="宋体" w:hAnsi="宋体"/>
          <w:color w:val="auto"/>
          <w:sz w:val="24"/>
          <w:highlight w:val="none"/>
          <w:lang w:val="zh-CN" w:eastAsia="zh-CN"/>
        </w:rPr>
        <w:t>《响应文件》</w:t>
      </w:r>
      <w:r>
        <w:rPr>
          <w:rFonts w:hint="eastAsia" w:ascii="宋体" w:hAnsi="宋体"/>
          <w:color w:val="auto"/>
          <w:sz w:val="24"/>
          <w:highlight w:val="none"/>
          <w:lang w:val="zh-CN"/>
        </w:rPr>
        <w:t>作实质性修改，采购人和成交供应商不得私下订立背离合同实质性内容的协议。</w:t>
      </w:r>
    </w:p>
    <w:p w14:paraId="31084866">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 xml:space="preserve">7.6.5 </w:t>
      </w:r>
      <w:r>
        <w:rPr>
          <w:rFonts w:hint="eastAsia" w:ascii="宋体" w:hAnsi="宋体"/>
          <w:color w:val="auto"/>
          <w:sz w:val="24"/>
          <w:highlight w:val="none"/>
          <w:lang w:val="zh-CN"/>
        </w:rPr>
        <w:t>评审会后，成交供应商、采购人之间擅自私下谈判、变更中标（成交）标的、价格及</w:t>
      </w:r>
      <w:r>
        <w:rPr>
          <w:rFonts w:hint="eastAsia" w:ascii="宋体" w:hAnsi="宋体"/>
          <w:color w:val="auto"/>
          <w:sz w:val="24"/>
          <w:highlight w:val="none"/>
          <w:lang w:val="zh-CN" w:eastAsia="zh-CN"/>
        </w:rPr>
        <w:t>《磋商文件》《响应文件》</w:t>
      </w:r>
      <w:r>
        <w:rPr>
          <w:rFonts w:hint="eastAsia" w:ascii="宋体" w:hAnsi="宋体"/>
          <w:color w:val="auto"/>
          <w:sz w:val="24"/>
          <w:highlight w:val="none"/>
          <w:lang w:val="zh-CN"/>
        </w:rPr>
        <w:t>实质性内容的，有关部门将按《中华人民共和国政府采购法》及相关法规的规定处理。</w:t>
      </w:r>
    </w:p>
    <w:p w14:paraId="5061F70B">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7.6.</w:t>
      </w:r>
      <w:r>
        <w:rPr>
          <w:rFonts w:hint="eastAsia" w:ascii="宋体" w:hAnsi="宋体"/>
          <w:color w:val="auto"/>
          <w:sz w:val="24"/>
          <w:highlight w:val="none"/>
          <w:lang w:val="zh-CN"/>
        </w:rPr>
        <w:t>6</w:t>
      </w:r>
      <w:r>
        <w:rPr>
          <w:rFonts w:ascii="宋体" w:hAnsi="宋体"/>
          <w:color w:val="auto"/>
          <w:sz w:val="24"/>
          <w:highlight w:val="none"/>
          <w:lang w:val="zh-CN"/>
        </w:rPr>
        <w:t xml:space="preserve"> </w:t>
      </w:r>
      <w:r>
        <w:rPr>
          <w:rFonts w:hint="eastAsia" w:ascii="宋体" w:hAnsi="宋体"/>
          <w:color w:val="auto"/>
          <w:sz w:val="24"/>
          <w:highlight w:val="none"/>
          <w:lang w:val="zh-CN"/>
        </w:rPr>
        <w:t>采购人与成交供应商签订《政府采购合同》后，合同履行中产生的纠纷、争议，由采购人与成交供应商按合同条款及《中华人民共和国民法典》处理。</w:t>
      </w:r>
    </w:p>
    <w:p w14:paraId="4E3CA4EB">
      <w:pPr>
        <w:widowControl w:val="0"/>
        <w:adjustRightInd w:val="0"/>
        <w:snapToGrid w:val="0"/>
        <w:spacing w:before="120" w:beforeLines="50" w:line="300" w:lineRule="auto"/>
        <w:ind w:firstLine="55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7.7 </w:t>
      </w:r>
      <w:r>
        <w:rPr>
          <w:rFonts w:hint="eastAsia" w:ascii="黑体" w:hAnsi="黑体" w:eastAsia="黑体" w:cs="楷体_GB2312"/>
          <w:b/>
          <w:color w:val="auto"/>
          <w:sz w:val="24"/>
          <w:highlight w:val="none"/>
          <w:lang w:val="zh-CN"/>
        </w:rPr>
        <w:t>合同补充变更</w:t>
      </w:r>
    </w:p>
    <w:p w14:paraId="1F6DF534">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 xml:space="preserve">7.7.1 </w:t>
      </w:r>
      <w:r>
        <w:rPr>
          <w:rFonts w:hint="eastAsia" w:ascii="宋体" w:hAnsi="宋体"/>
          <w:color w:val="auto"/>
          <w:sz w:val="24"/>
          <w:highlight w:val="none"/>
          <w:lang w:val="zh-CN"/>
        </w:rPr>
        <w:t>政府采购合同履行中，采购人需追加与合同标的相同的货物、工程和服务的（即追加原合同标的数量），在不改变合同条款（包括原合同单价）的前提下，双方可以协商签订补充合同，但所有补充合同总金额不得超过原合同采购金额的</w:t>
      </w:r>
      <w:r>
        <w:rPr>
          <w:rFonts w:ascii="宋体" w:hAnsi="宋体"/>
          <w:color w:val="auto"/>
          <w:sz w:val="24"/>
          <w:highlight w:val="none"/>
          <w:lang w:val="zh-CN"/>
        </w:rPr>
        <w:t>10%</w:t>
      </w:r>
      <w:r>
        <w:rPr>
          <w:rFonts w:hint="eastAsia" w:ascii="宋体" w:hAnsi="宋体"/>
          <w:color w:val="auto"/>
          <w:sz w:val="24"/>
          <w:highlight w:val="none"/>
          <w:lang w:val="zh-CN"/>
        </w:rPr>
        <w:t>，不得调增原合同单价，不得超出项目预算，超过原合同采购金额的</w:t>
      </w:r>
      <w:r>
        <w:rPr>
          <w:rFonts w:ascii="宋体" w:hAnsi="宋体"/>
          <w:color w:val="auto"/>
          <w:sz w:val="24"/>
          <w:highlight w:val="none"/>
          <w:lang w:val="zh-CN"/>
        </w:rPr>
        <w:t>10%</w:t>
      </w:r>
      <w:r>
        <w:rPr>
          <w:rFonts w:hint="eastAsia" w:ascii="宋体" w:hAnsi="宋体"/>
          <w:color w:val="auto"/>
          <w:sz w:val="24"/>
          <w:highlight w:val="none"/>
          <w:lang w:val="zh-CN"/>
        </w:rPr>
        <w:t>，应重新组织采购活动。</w:t>
      </w:r>
    </w:p>
    <w:p w14:paraId="52185E7C">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7.7.2</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采购人需追加的货物、工程和服务的金额达到</w:t>
      </w:r>
      <w:r>
        <w:rPr>
          <w:rFonts w:ascii="宋体" w:hAnsi="宋体"/>
          <w:color w:val="auto"/>
          <w:sz w:val="24"/>
          <w:highlight w:val="none"/>
          <w:lang w:val="zh-CN"/>
        </w:rPr>
        <w:t>50</w:t>
      </w:r>
      <w:r>
        <w:rPr>
          <w:rFonts w:hint="eastAsia" w:ascii="宋体" w:hAnsi="宋体"/>
          <w:color w:val="auto"/>
          <w:sz w:val="24"/>
          <w:highlight w:val="none"/>
          <w:lang w:val="zh-CN"/>
        </w:rPr>
        <w:t>万元以上（含</w:t>
      </w:r>
      <w:r>
        <w:rPr>
          <w:rFonts w:ascii="宋体" w:hAnsi="宋体"/>
          <w:color w:val="auto"/>
          <w:sz w:val="24"/>
          <w:highlight w:val="none"/>
          <w:lang w:val="zh-CN"/>
        </w:rPr>
        <w:t>50</w:t>
      </w:r>
      <w:r>
        <w:rPr>
          <w:rFonts w:hint="eastAsia" w:ascii="宋体" w:hAnsi="宋体"/>
          <w:color w:val="auto"/>
          <w:sz w:val="24"/>
          <w:highlight w:val="none"/>
          <w:lang w:val="zh-CN"/>
        </w:rPr>
        <w:t>万元）、且超过中标（成交）价</w:t>
      </w:r>
      <w:r>
        <w:rPr>
          <w:rFonts w:ascii="宋体" w:hAnsi="宋体"/>
          <w:color w:val="auto"/>
          <w:sz w:val="24"/>
          <w:highlight w:val="none"/>
          <w:lang w:val="zh-CN"/>
        </w:rPr>
        <w:t>3%</w:t>
      </w:r>
      <w:r>
        <w:rPr>
          <w:rFonts w:hint="eastAsia" w:ascii="宋体" w:hAnsi="宋体"/>
          <w:color w:val="auto"/>
          <w:sz w:val="24"/>
          <w:highlight w:val="none"/>
          <w:lang w:val="zh-CN"/>
        </w:rPr>
        <w:t>的，采购人应当自确定变更之日起</w:t>
      </w:r>
      <w:r>
        <w:rPr>
          <w:rFonts w:ascii="宋体" w:hAnsi="宋体"/>
          <w:color w:val="auto"/>
          <w:sz w:val="24"/>
          <w:highlight w:val="none"/>
          <w:lang w:val="zh-CN"/>
        </w:rPr>
        <w:t>5</w:t>
      </w:r>
      <w:r>
        <w:rPr>
          <w:rFonts w:hint="eastAsia" w:ascii="宋体" w:hAnsi="宋体"/>
          <w:color w:val="auto"/>
          <w:sz w:val="24"/>
          <w:highlight w:val="none"/>
          <w:lang w:val="zh-CN"/>
        </w:rPr>
        <w:t>个工作日内将变更情况及事由报送同级监察机关。</w:t>
      </w:r>
    </w:p>
    <w:p w14:paraId="4F1AD1C9">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采购项目在中标（成交）后经有关行政机关批准变更的，批准的行政机关应当自批准之日起</w:t>
      </w:r>
      <w:r>
        <w:rPr>
          <w:rFonts w:ascii="宋体" w:hAnsi="宋体"/>
          <w:color w:val="auto"/>
          <w:sz w:val="24"/>
          <w:highlight w:val="none"/>
          <w:lang w:val="zh-CN"/>
        </w:rPr>
        <w:t>3</w:t>
      </w:r>
      <w:r>
        <w:rPr>
          <w:rFonts w:hint="eastAsia" w:ascii="宋体" w:hAnsi="宋体"/>
          <w:color w:val="auto"/>
          <w:sz w:val="24"/>
          <w:highlight w:val="none"/>
          <w:lang w:val="zh-CN"/>
        </w:rPr>
        <w:t>个工作日内将批准文件抄送同级监察机关备案。</w:t>
      </w:r>
    </w:p>
    <w:p w14:paraId="6510BB4E">
      <w:pPr>
        <w:widowControl w:val="0"/>
        <w:adjustRightInd w:val="0"/>
        <w:snapToGrid w:val="0"/>
        <w:spacing w:before="120" w:beforeLines="50" w:line="300" w:lineRule="auto"/>
        <w:ind w:firstLine="555"/>
        <w:rPr>
          <w:color w:val="auto"/>
          <w:sz w:val="24"/>
          <w:szCs w:val="24"/>
          <w:highlight w:val="none"/>
        </w:rPr>
      </w:pPr>
    </w:p>
    <w:p w14:paraId="6FEE5492">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5" w:name="_Toc26357"/>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25"/>
    </w:p>
    <w:p w14:paraId="3474AD42">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8.1</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验收时间：项目具备验收条件时，由采购人成立验收工作组负责验收。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3300D5CD">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8.2</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验收工作组：合同履约验收工作应成立验收工作组专门负责。</w:t>
      </w:r>
    </w:p>
    <w:p w14:paraId="38BB5C1A">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w:t>
      </w:r>
    </w:p>
    <w:p w14:paraId="4806205B">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8.2.1</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政府采购合同金额在10万元以下（含10万元）的项目，原则上可以不邀请评审专家参加，组织方成立验收小组自行验收。自行验收时，验收小组应仔细对照</w:t>
      </w:r>
      <w:r>
        <w:rPr>
          <w:rFonts w:hint="eastAsia" w:ascii="宋体" w:hAnsi="宋体"/>
          <w:color w:val="auto"/>
          <w:sz w:val="24"/>
          <w:highlight w:val="none"/>
          <w:lang w:val="zh-CN" w:eastAsia="zh-CN"/>
        </w:rPr>
        <w:t>《</w:t>
      </w:r>
      <w:r>
        <w:rPr>
          <w:rFonts w:hint="eastAsia" w:ascii="宋体" w:hAnsi="宋体"/>
          <w:color w:val="auto"/>
          <w:sz w:val="24"/>
          <w:highlight w:val="none"/>
          <w:lang w:val="en-US" w:eastAsia="zh-CN"/>
        </w:rPr>
        <w:t>磋商文件</w:t>
      </w:r>
      <w:r>
        <w:rPr>
          <w:rFonts w:hint="eastAsia" w:ascii="宋体" w:hAnsi="宋体"/>
          <w:color w:val="auto"/>
          <w:sz w:val="24"/>
          <w:highlight w:val="none"/>
          <w:lang w:val="zh-CN" w:eastAsia="zh-CN"/>
        </w:rPr>
        <w:t>》</w:t>
      </w:r>
      <w:r>
        <w:rPr>
          <w:rFonts w:hint="eastAsia" w:ascii="宋体" w:hAnsi="宋体"/>
          <w:color w:val="auto"/>
          <w:sz w:val="24"/>
          <w:highlight w:val="none"/>
          <w:lang w:val="zh-CN"/>
        </w:rPr>
        <w:t>及合同，对标的物的数量、质量、规格、型号等参数逐一核对，并编制验收报告。组织方认为不能独立完成验收任务的，可以邀请评审专家参与验收。</w:t>
      </w:r>
    </w:p>
    <w:p w14:paraId="7361F261">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8.2.2</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政府采购合同金额50万元以下的（含50万元）的项目，验收工作组应不少于三人；政府采购合同金额50万元以上的项目，验收工作组应由采购人领导牵头，财务、审计、监察、资产管理、技术等部门人员参与，成员不少于五人。验收工作原则上应当邀请采购评审专家参加验收；大型、复杂或者技术性很强的政府采购项目，应当邀请国家认可的质量检测机构参加验收工作；国家规定强制性检测的采购项目，采购人必须委托国家认可专业检测机构进行验收。</w:t>
      </w:r>
    </w:p>
    <w:p w14:paraId="343821A0">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8.3</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验收时，验收小组按照采购合同的约定对每一项技术、服务、安全标准的履约情况进行确认。验收时需要进行破坏性试验的，供应商应进行充分的配合并提供备品备件。</w:t>
      </w:r>
    </w:p>
    <w:p w14:paraId="549DD21E">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4</w:t>
      </w:r>
      <w:r>
        <w:rPr>
          <w:rFonts w:ascii="宋体" w:hAnsi="宋体"/>
          <w:color w:val="auto"/>
          <w:sz w:val="24"/>
          <w:highlight w:val="none"/>
          <w:lang w:val="zh-CN"/>
        </w:rPr>
        <w:t xml:space="preserve"> </w:t>
      </w:r>
      <w:r>
        <w:rPr>
          <w:rFonts w:hint="eastAsia" w:ascii="宋体" w:hAnsi="宋体"/>
          <w:color w:val="auto"/>
          <w:sz w:val="24"/>
          <w:highlight w:val="none"/>
          <w:lang w:val="zh-CN"/>
        </w:rPr>
        <w:t>验收报告：验收后，由采购人及专家等出具验收报告（自行验收的，由采购人出具），国家规定强制性检测的采购项目应附国家认可的专业检测机构出具的验收报告。</w:t>
      </w:r>
    </w:p>
    <w:p w14:paraId="707E5E81">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8.5</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25384C7C">
      <w:pPr>
        <w:autoSpaceDE w:val="0"/>
        <w:autoSpaceDN w:val="0"/>
        <w:adjustRightInd w:val="0"/>
        <w:snapToGrid w:val="0"/>
        <w:spacing w:before="120" w:beforeLines="50" w:line="300" w:lineRule="auto"/>
        <w:ind w:firstLine="539"/>
        <w:rPr>
          <w:rFonts w:ascii="宋体" w:hAnsi="宋体"/>
          <w:color w:val="auto"/>
          <w:sz w:val="24"/>
          <w:highlight w:val="none"/>
          <w:lang w:val="zh-CN"/>
        </w:rPr>
      </w:pPr>
      <w:r>
        <w:rPr>
          <w:rFonts w:hint="eastAsia" w:ascii="宋体" w:hAnsi="宋体"/>
          <w:color w:val="auto"/>
          <w:sz w:val="24"/>
          <w:highlight w:val="none"/>
          <w:lang w:val="zh-CN"/>
        </w:rPr>
        <w:t>8.6 验收公告的时限：采购人要在政府采购项目验收完成后1个工作日内登陆安阳市政府采购网进行验收公告。</w:t>
      </w:r>
    </w:p>
    <w:p w14:paraId="7F19B22A">
      <w:pPr>
        <w:widowControl w:val="0"/>
        <w:adjustRightInd w:val="0"/>
        <w:snapToGrid w:val="0"/>
        <w:spacing w:before="120" w:beforeLines="50" w:line="300" w:lineRule="auto"/>
        <w:ind w:firstLine="561"/>
        <w:rPr>
          <w:rFonts w:ascii="宋体" w:cs="楷体_GB2312"/>
          <w:color w:val="auto"/>
          <w:sz w:val="24"/>
          <w:highlight w:val="none"/>
          <w:lang w:val="zh-CN"/>
        </w:rPr>
      </w:pPr>
    </w:p>
    <w:p w14:paraId="458BEC45">
      <w:pPr>
        <w:widowControl w:val="0"/>
        <w:numPr>
          <w:ilvl w:val="0"/>
          <w:numId w:val="1"/>
        </w:numPr>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6" w:name="_Toc25146"/>
      <w:r>
        <w:rPr>
          <w:rFonts w:hint="eastAsia" w:ascii="黑体" w:hAnsi="黑体" w:eastAsia="黑体" w:cs="楷体_GB2312"/>
          <w:b/>
          <w:bCs/>
          <w:color w:val="auto"/>
          <w:sz w:val="28"/>
          <w:szCs w:val="28"/>
          <w:highlight w:val="none"/>
          <w:lang w:val="zh-CN"/>
        </w:rPr>
        <w:t>付款</w:t>
      </w:r>
      <w:bookmarkEnd w:id="26"/>
    </w:p>
    <w:p w14:paraId="22E6CF05">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见供应商须知前附表。</w:t>
      </w:r>
    </w:p>
    <w:p w14:paraId="6CD73CFB">
      <w:pPr>
        <w:widowControl w:val="0"/>
        <w:adjustRightInd w:val="0"/>
        <w:snapToGrid w:val="0"/>
        <w:spacing w:before="120" w:beforeLines="50" w:line="300" w:lineRule="auto"/>
        <w:ind w:firstLine="561"/>
        <w:rPr>
          <w:rFonts w:ascii="黑体" w:hAnsi="黑体" w:eastAsia="黑体" w:cs="楷体_GB2312"/>
          <w:b/>
          <w:bCs/>
          <w:color w:val="auto"/>
          <w:sz w:val="28"/>
          <w:szCs w:val="28"/>
          <w:highlight w:val="none"/>
          <w:lang w:val="zh-CN"/>
        </w:rPr>
      </w:pPr>
    </w:p>
    <w:p w14:paraId="2D316830">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7" w:name="_Toc8142"/>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其他</w:t>
      </w:r>
      <w:bookmarkEnd w:id="27"/>
    </w:p>
    <w:p w14:paraId="18CD6529">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10.1</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中标服务费等：见供应商须知前附表。</w:t>
      </w:r>
    </w:p>
    <w:p w14:paraId="1C0AE282">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10.2 近义解释。《磋商文件》中：“投标”同义“递交《响应文件》”，“</w:t>
      </w:r>
      <w:r>
        <w:rPr>
          <w:rFonts w:hint="eastAsia" w:ascii="宋体" w:hAnsi="宋体"/>
          <w:color w:val="auto"/>
          <w:sz w:val="24"/>
          <w:highlight w:val="none"/>
          <w:lang w:val="en-US" w:eastAsia="zh-CN"/>
        </w:rPr>
        <w:t>投标人</w:t>
      </w:r>
      <w:r>
        <w:rPr>
          <w:rFonts w:hint="eastAsia" w:ascii="宋体" w:hAnsi="宋体"/>
          <w:color w:val="auto"/>
          <w:sz w:val="24"/>
          <w:highlight w:val="none"/>
          <w:lang w:val="zh-CN"/>
        </w:rPr>
        <w:t>”同义“递交《响应文件》的供应商”，“《</w:t>
      </w:r>
      <w:r>
        <w:rPr>
          <w:rFonts w:hint="eastAsia" w:ascii="宋体" w:hAnsi="宋体"/>
          <w:color w:val="auto"/>
          <w:sz w:val="24"/>
          <w:highlight w:val="none"/>
          <w:lang w:val="en-US" w:eastAsia="zh-CN"/>
        </w:rPr>
        <w:t>投标</w:t>
      </w:r>
      <w:r>
        <w:rPr>
          <w:rFonts w:hint="eastAsia" w:ascii="宋体" w:hAnsi="宋体"/>
          <w:color w:val="auto"/>
          <w:sz w:val="24"/>
          <w:highlight w:val="none"/>
          <w:lang w:val="zh-CN"/>
        </w:rPr>
        <w:t>文件》”同义“《</w:t>
      </w:r>
      <w:r>
        <w:rPr>
          <w:rFonts w:hint="eastAsia" w:ascii="宋体" w:hAnsi="宋体"/>
          <w:color w:val="auto"/>
          <w:sz w:val="24"/>
          <w:highlight w:val="none"/>
          <w:lang w:val="en-US" w:eastAsia="zh-CN"/>
        </w:rPr>
        <w:t>响应</w:t>
      </w:r>
      <w:r>
        <w:rPr>
          <w:rFonts w:hint="eastAsia" w:ascii="宋体" w:hAnsi="宋体"/>
          <w:color w:val="auto"/>
          <w:sz w:val="24"/>
          <w:highlight w:val="none"/>
          <w:lang w:val="zh-CN"/>
        </w:rPr>
        <w:t>文件》”，“中标”同义“成交”，“中标</w:t>
      </w:r>
      <w:r>
        <w:rPr>
          <w:rFonts w:hint="eastAsia" w:ascii="宋体" w:hAnsi="宋体"/>
          <w:color w:val="auto"/>
          <w:sz w:val="24"/>
          <w:highlight w:val="none"/>
          <w:lang w:val="en-US" w:eastAsia="zh-CN"/>
        </w:rPr>
        <w:t>人</w:t>
      </w:r>
      <w:r>
        <w:rPr>
          <w:rFonts w:hint="eastAsia" w:ascii="宋体" w:hAnsi="宋体"/>
          <w:color w:val="auto"/>
          <w:sz w:val="24"/>
          <w:highlight w:val="none"/>
          <w:lang w:val="zh-CN"/>
        </w:rPr>
        <w:t>”同义“成交供应商”，“</w:t>
      </w:r>
      <w:r>
        <w:rPr>
          <w:rFonts w:hint="eastAsia" w:ascii="宋体" w:hAnsi="宋体"/>
          <w:color w:val="auto"/>
          <w:sz w:val="24"/>
          <w:highlight w:val="none"/>
          <w:lang w:val="en-US" w:eastAsia="zh-CN"/>
        </w:rPr>
        <w:t>开标</w:t>
      </w:r>
      <w:r>
        <w:rPr>
          <w:rFonts w:hint="eastAsia" w:ascii="宋体" w:hAnsi="宋体"/>
          <w:color w:val="auto"/>
          <w:sz w:val="24"/>
          <w:highlight w:val="none"/>
          <w:lang w:val="zh-CN"/>
        </w:rPr>
        <w:t>”同义“《响应文件》的开启”。</w:t>
      </w:r>
    </w:p>
    <w:p w14:paraId="51A0BC98">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10.3 供应商资格条件中包含非法人单位的，《磋商文件》中法定代表人一词相应包含表</w:t>
      </w:r>
      <w:bookmarkStart w:id="30" w:name="_GoBack"/>
      <w:bookmarkEnd w:id="30"/>
      <w:r>
        <w:rPr>
          <w:rFonts w:hint="eastAsia" w:ascii="宋体" w:hAnsi="宋体"/>
          <w:color w:val="auto"/>
          <w:sz w:val="24"/>
          <w:highlight w:val="none"/>
          <w:lang w:val="zh-CN"/>
        </w:rPr>
        <w:t>示证照标示的负责人； 供应商资格条件中包含自然人的，《磋商文件》中法定代表人一词相应包含表示自然人，自然人应由其本人签署《响应文件》、参加投标，不应再授权他人。</w:t>
      </w:r>
    </w:p>
    <w:p w14:paraId="53CC2C40">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10.4</w:t>
      </w:r>
      <w:r>
        <w:rPr>
          <w:rFonts w:hint="eastAsia" w:ascii="宋体" w:hAnsi="宋体"/>
          <w:color w:val="auto"/>
          <w:sz w:val="24"/>
          <w:highlight w:val="none"/>
          <w:lang w:val="en-US" w:eastAsia="zh-CN"/>
        </w:rPr>
        <w:t xml:space="preserve"> </w:t>
      </w:r>
      <w:r>
        <w:rPr>
          <w:rFonts w:hint="eastAsia" w:ascii="宋体" w:hAnsi="宋体"/>
          <w:color w:val="auto"/>
          <w:sz w:val="24"/>
          <w:highlight w:val="none"/>
          <w:lang w:val="zh-CN"/>
        </w:rPr>
        <w:t>《磋商文件》第一章至第四章各章中，用序号标示条、款、项、目，例如：1为第1 条，1.1为第1条第1款（简称1.1款），1.1.1为第1条第1款第1项（简称1.1.1项）。“条”包含款、项、目；“款”包含项、目；“项”包含目。</w:t>
      </w:r>
    </w:p>
    <w:p w14:paraId="30FA16ED">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highlight w:val="none"/>
          <w:lang w:val="zh-CN"/>
        </w:rPr>
      </w:pPr>
    </w:p>
    <w:p w14:paraId="6C88F75B">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28" w:name="_Toc4120"/>
      <w:bookmarkStart w:id="29" w:name="_Toc58855443"/>
      <w:r>
        <w:rPr>
          <w:rFonts w:ascii="黑体" w:hAnsi="黑体" w:eastAsia="黑体" w:cs="楷体_GB2312"/>
          <w:b/>
          <w:bCs/>
          <w:color w:val="auto"/>
          <w:sz w:val="28"/>
          <w:szCs w:val="28"/>
          <w:highlight w:val="none"/>
          <w:lang w:val="zh-CN"/>
        </w:rPr>
        <w:t>1</w:t>
      </w:r>
      <w:r>
        <w:rPr>
          <w:rFonts w:hint="eastAsia" w:ascii="黑体" w:hAnsi="黑体" w:eastAsia="黑体" w:cs="楷体_GB2312"/>
          <w:b/>
          <w:bCs/>
          <w:color w:val="auto"/>
          <w:sz w:val="28"/>
          <w:szCs w:val="28"/>
          <w:highlight w:val="none"/>
          <w:lang w:val="zh-CN"/>
        </w:rPr>
        <w:t>1</w:t>
      </w:r>
      <w:r>
        <w:rPr>
          <w:rFonts w:ascii="黑体" w:hAnsi="黑体" w:eastAsia="黑体" w:cs="楷体_GB2312"/>
          <w:b/>
          <w:bCs/>
          <w:color w:val="auto"/>
          <w:sz w:val="28"/>
          <w:szCs w:val="28"/>
          <w:highlight w:val="none"/>
          <w:lang w:val="zh-CN"/>
        </w:rPr>
        <w:t>.</w:t>
      </w:r>
      <w:r>
        <w:rPr>
          <w:rFonts w:hint="eastAsia" w:ascii="黑体" w:hAnsi="黑体" w:eastAsia="黑体" w:cs="楷体_GB2312"/>
          <w:b/>
          <w:bCs/>
          <w:color w:val="auto"/>
          <w:sz w:val="28"/>
          <w:szCs w:val="28"/>
          <w:highlight w:val="none"/>
          <w:lang w:val="zh-CN"/>
        </w:rPr>
        <w:t xml:space="preserve"> 河南省政府采购合同融资政策告知函</w:t>
      </w:r>
      <w:bookmarkEnd w:id="28"/>
      <w:bookmarkEnd w:id="29"/>
    </w:p>
    <w:p w14:paraId="168F5BF0">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各供应商：</w:t>
      </w:r>
    </w:p>
    <w:p w14:paraId="2E12E875">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欢迎贵公司参与河南省政府采购活动！</w:t>
      </w:r>
    </w:p>
    <w:p w14:paraId="188CA6B3">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18E2A123">
      <w:pPr>
        <w:autoSpaceDE w:val="0"/>
        <w:autoSpaceDN w:val="0"/>
        <w:adjustRightInd w:val="0"/>
        <w:snapToGrid w:val="0"/>
        <w:spacing w:before="120" w:beforeLines="50" w:line="300" w:lineRule="auto"/>
        <w:ind w:firstLine="539"/>
        <w:rPr>
          <w:rFonts w:hint="eastAsia" w:ascii="宋体" w:hAnsi="宋体"/>
          <w:color w:val="auto"/>
          <w:sz w:val="24"/>
          <w:highlight w:val="none"/>
          <w:lang w:val="zh-CN"/>
        </w:rPr>
      </w:pPr>
      <w:r>
        <w:rPr>
          <w:rFonts w:hint="eastAsia" w:ascii="宋体" w:hAnsi="宋体"/>
          <w:color w:val="auto"/>
          <w:sz w:val="24"/>
          <w:highlight w:val="none"/>
          <w:lang w:val="zh-CN"/>
        </w:rPr>
        <w:t>贷款渠道和提供贷款的金融机构，可在河南省政府采购网“河南省政府采购合同融资平台”查询联系。</w:t>
      </w:r>
    </w:p>
    <w:p w14:paraId="1352E2C2">
      <w:pPr>
        <w:widowControl w:val="0"/>
        <w:snapToGrid w:val="0"/>
        <w:spacing w:line="560" w:lineRule="exact"/>
        <w:jc w:val="left"/>
        <w:rPr>
          <w:rFonts w:ascii="宋体" w:cs="楷体_GB2312"/>
          <w:b/>
          <w:color w:val="auto"/>
          <w:sz w:val="30"/>
          <w:szCs w:val="30"/>
          <w:highlight w:val="none"/>
          <w:lang w:val="zh-CN"/>
        </w:rPr>
      </w:pPr>
    </w:p>
    <w:sectPr>
      <w:pgSz w:w="11905" w:h="16837"/>
      <w:pgMar w:top="1091" w:right="1106" w:bottom="993" w:left="1418" w:header="567" w:footer="567" w:gutter="0"/>
      <w:pgBorders>
        <w:top w:val="none" w:sz="0" w:space="0"/>
        <w:left w:val="none" w:sz="0" w:space="0"/>
        <w:bottom w:val="none" w:sz="0" w:space="0"/>
        <w:right w:val="none" w:sz="0" w:space="0"/>
      </w:pgBorders>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45D39">
    <w:pPr>
      <w:widowControl w:val="0"/>
      <w:snapToGrid w:val="0"/>
      <w:spacing w:line="240" w:lineRule="atLeast"/>
      <w:ind w:right="21"/>
      <w:jc w:val="left"/>
      <w:rPr>
        <w:rFonts w:ascii="宋体" w:hAnsi="宋体"/>
        <w:szCs w:val="21"/>
        <w:u w:val="single"/>
      </w:rPr>
    </w:pP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u w:val="single"/>
        <w:lang w:eastAsia="zh-CN"/>
      </w:rPr>
      <w:t>磋商文件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 NUMPAGES-1 \* MERGEFORMAT </w:instrText>
    </w:r>
    <w:r>
      <w:rPr>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NUMPAGES-1\* Arabic \* MERGEFORMAT</w:instrText>
    </w:r>
    <w:r>
      <w:rPr>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fldChar w:fldCharType="begin"/>
    </w:r>
    <w:r>
      <w:rPr>
        <w:rFonts w:hint="eastAsia" w:asciiTheme="minorEastAsia" w:hAnsiTheme="minorEastAsia" w:eastAsiaTheme="minorEastAsia" w:cstheme="minorEastAsia"/>
        <w:szCs w:val="21"/>
        <w:u w:val="single"/>
      </w:rPr>
      <w:instrText xml:space="preserve"> NUMPAGES-1   \* MERGEFORMAT </w:instrText>
    </w:r>
    <w:r>
      <w:rPr>
        <w:rFonts w:hint="eastAsia" w:asciiTheme="minorEastAsia" w:hAnsiTheme="minorEastAsia" w:eastAsiaTheme="minorEastAsia" w:cstheme="minorEastAsia"/>
        <w:szCs w:val="21"/>
        <w:u w:val="single"/>
      </w:rPr>
      <w:fldChar w:fldCharType="end"/>
    </w:r>
    <w:r>
      <w:rPr>
        <w:rStyle w:val="20"/>
        <w:rFonts w:hint="eastAsia" w:asciiTheme="minorEastAsia" w:hAnsiTheme="minorEastAsia" w:eastAsiaTheme="minorEastAsia" w:cstheme="minorEastAsia"/>
        <w:szCs w:val="21"/>
        <w:u w:val="single"/>
      </w:rPr>
      <w:fldChar w:fldCharType="begin"/>
    </w:r>
    <w:r>
      <w:rPr>
        <w:rStyle w:val="20"/>
        <w:rFonts w:hint="eastAsia" w:asciiTheme="minorEastAsia" w:hAnsiTheme="minorEastAsia" w:eastAsiaTheme="minorEastAsia" w:cstheme="minorEastAsia"/>
        <w:szCs w:val="21"/>
        <w:u w:val="single"/>
      </w:rPr>
      <w:instrText xml:space="preserve"> PAGE </w:instrText>
    </w:r>
    <w:r>
      <w:rPr>
        <w:rStyle w:val="20"/>
        <w:rFonts w:hint="eastAsia" w:asciiTheme="minorEastAsia" w:hAnsiTheme="minorEastAsia" w:eastAsiaTheme="minorEastAsia" w:cstheme="minorEastAsia"/>
        <w:szCs w:val="21"/>
        <w:u w:val="single"/>
      </w:rPr>
      <w:fldChar w:fldCharType="separate"/>
    </w:r>
    <w:r>
      <w:rPr>
        <w:rStyle w:val="20"/>
        <w:rFonts w:hint="eastAsia" w:asciiTheme="minorEastAsia" w:hAnsiTheme="minorEastAsia" w:eastAsiaTheme="minorEastAsia" w:cstheme="minorEastAsia"/>
        <w:szCs w:val="21"/>
        <w:u w:val="single"/>
      </w:rPr>
      <w:t>- 8 -</w:t>
    </w:r>
    <w:r>
      <w:rPr>
        <w:rStyle w:val="20"/>
        <w:rFonts w:hint="eastAsia" w:asciiTheme="minorEastAsia" w:hAnsiTheme="minorEastAsia" w:eastAsiaTheme="minorEastAsia" w:cstheme="minorEastAsia"/>
        <w:szCs w:val="21"/>
        <w:u w:val="single"/>
      </w:rPr>
      <w:fldChar w:fldCharType="end"/>
    </w:r>
    <w:r>
      <w:rPr>
        <w:rStyle w:val="20"/>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rPr>
      <w:t>共</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SECTIONPAGES   \* MERGEFORMAT </w:instrText>
    </w:r>
    <w:r>
      <w:rPr>
        <w:rFonts w:hint="eastAsia" w:asciiTheme="minorEastAsia" w:hAnsiTheme="minorEastAsia" w:eastAsiaTheme="minorEastAsia" w:cstheme="minorEastAsia"/>
      </w:rPr>
      <w:fldChar w:fldCharType="separate"/>
    </w:r>
    <w:r>
      <w:rPr>
        <w:rStyle w:val="20"/>
        <w:rFonts w:hint="eastAsia" w:asciiTheme="minorEastAsia" w:hAnsiTheme="minorEastAsia" w:eastAsiaTheme="minorEastAsia" w:cstheme="minorEastAsia"/>
        <w:szCs w:val="21"/>
        <w:u w:val="single"/>
      </w:rPr>
      <w:t>63</w:t>
    </w:r>
    <w:r>
      <w:rPr>
        <w:rStyle w:val="20"/>
        <w:rFonts w:hint="eastAsia" w:asciiTheme="minorEastAsia" w:hAnsiTheme="minorEastAsia" w:eastAsiaTheme="minorEastAsia" w:cstheme="minorEastAsia"/>
        <w:szCs w:val="21"/>
        <w:u w:val="single"/>
      </w:rPr>
      <w:fldChar w:fldCharType="end"/>
    </w:r>
    <w:r>
      <w:rPr>
        <w:rFonts w:hint="eastAsia" w:asciiTheme="minorEastAsia" w:hAnsiTheme="minorEastAsia" w:eastAsiaTheme="minorEastAsia" w:cstheme="minorEastAsia"/>
        <w:szCs w:val="21"/>
        <w:u w:val="single"/>
      </w:rPr>
      <w:t>页)</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4445" t="0" r="0" b="317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ne5yNkAAAAOAQAADwAAAAAAAAABACAAAAAiAAAAZHJzL2Rvd25yZXYueG1s&#10;UEsBAhQAFAAAAAgAh07iQNvZ2WP3AQAA+QMAAA4AAAAAAAAAAQAgAAAAKAEAAGRycy9lMm9Eb2Mu&#10;eG1sUEsFBgAAAAAGAAYAWQEAAJE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24E4D">
    <w:pPr>
      <w:pStyle w:val="9"/>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14:paraId="5979CD6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F7953">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A971">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4445" t="0" r="0" b="381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wps:spPr>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N05x2AAAAAoBAAAPAAAAAAAAAAEAIAAAACIAAABkcnMvZG93bnJldi54bWxQ&#10;SwECFAAUAAAACACHTuJAJySDtPcBAAD5AwAADgAAAAAAAAABACAAAAAnAQAAZHJzL2Uyb0RvYy54&#10;bWxQSwUGAAAAAAYABgBZAQAAkAUAAAAA&#10;">
              <v:fill on="f" focussize="0,0"/>
              <v:stroke on="f"/>
              <v:imagedata o:title=""/>
              <o:lock v:ext="edit" aspectratio="f"/>
              <v:textbox inset="0mm,0mm,0mm,0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0306F"/>
    <w:multiLevelType w:val="singleLevel"/>
    <w:tmpl w:val="79E0306F"/>
    <w:lvl w:ilvl="0" w:tentative="0">
      <w:start w:val="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D7A"/>
    <w:rsid w:val="00004B3A"/>
    <w:rsid w:val="00007E7D"/>
    <w:rsid w:val="0001069F"/>
    <w:rsid w:val="000109D4"/>
    <w:rsid w:val="00013814"/>
    <w:rsid w:val="00013DB2"/>
    <w:rsid w:val="00017E1E"/>
    <w:rsid w:val="0002046F"/>
    <w:rsid w:val="00023676"/>
    <w:rsid w:val="00024608"/>
    <w:rsid w:val="00025F1E"/>
    <w:rsid w:val="0002701F"/>
    <w:rsid w:val="0002739B"/>
    <w:rsid w:val="0003351F"/>
    <w:rsid w:val="000339BC"/>
    <w:rsid w:val="00033BB5"/>
    <w:rsid w:val="00035118"/>
    <w:rsid w:val="0003567F"/>
    <w:rsid w:val="00035BA8"/>
    <w:rsid w:val="00036AA4"/>
    <w:rsid w:val="00040BE7"/>
    <w:rsid w:val="00041891"/>
    <w:rsid w:val="00042CA8"/>
    <w:rsid w:val="00043821"/>
    <w:rsid w:val="00043CBA"/>
    <w:rsid w:val="0004440A"/>
    <w:rsid w:val="00044F84"/>
    <w:rsid w:val="000464B0"/>
    <w:rsid w:val="00046A4B"/>
    <w:rsid w:val="0005430C"/>
    <w:rsid w:val="00054E34"/>
    <w:rsid w:val="00055755"/>
    <w:rsid w:val="00056832"/>
    <w:rsid w:val="000570E1"/>
    <w:rsid w:val="0005732C"/>
    <w:rsid w:val="00057F78"/>
    <w:rsid w:val="000602CF"/>
    <w:rsid w:val="00060E75"/>
    <w:rsid w:val="0006134B"/>
    <w:rsid w:val="000617B2"/>
    <w:rsid w:val="00062821"/>
    <w:rsid w:val="00067307"/>
    <w:rsid w:val="000673ED"/>
    <w:rsid w:val="00070AA2"/>
    <w:rsid w:val="00070FA8"/>
    <w:rsid w:val="00072834"/>
    <w:rsid w:val="0007390E"/>
    <w:rsid w:val="00073A45"/>
    <w:rsid w:val="00073DBF"/>
    <w:rsid w:val="00074766"/>
    <w:rsid w:val="00076A72"/>
    <w:rsid w:val="00077629"/>
    <w:rsid w:val="00080AE9"/>
    <w:rsid w:val="00081801"/>
    <w:rsid w:val="00081C6C"/>
    <w:rsid w:val="000823AD"/>
    <w:rsid w:val="000829A8"/>
    <w:rsid w:val="000843B0"/>
    <w:rsid w:val="00086B70"/>
    <w:rsid w:val="00086B8A"/>
    <w:rsid w:val="00090D6B"/>
    <w:rsid w:val="00090EB6"/>
    <w:rsid w:val="00091C5E"/>
    <w:rsid w:val="0009268E"/>
    <w:rsid w:val="00093A6B"/>
    <w:rsid w:val="000955DC"/>
    <w:rsid w:val="00095619"/>
    <w:rsid w:val="000956CE"/>
    <w:rsid w:val="00095F8C"/>
    <w:rsid w:val="000A152E"/>
    <w:rsid w:val="000A1C72"/>
    <w:rsid w:val="000A23B3"/>
    <w:rsid w:val="000A3FE8"/>
    <w:rsid w:val="000A4640"/>
    <w:rsid w:val="000A55EE"/>
    <w:rsid w:val="000A6CD3"/>
    <w:rsid w:val="000A7CCE"/>
    <w:rsid w:val="000B0EC6"/>
    <w:rsid w:val="000B1334"/>
    <w:rsid w:val="000B1594"/>
    <w:rsid w:val="000B2047"/>
    <w:rsid w:val="000B4758"/>
    <w:rsid w:val="000B53BD"/>
    <w:rsid w:val="000B5412"/>
    <w:rsid w:val="000B6571"/>
    <w:rsid w:val="000C2342"/>
    <w:rsid w:val="000C2AA6"/>
    <w:rsid w:val="000C4BA5"/>
    <w:rsid w:val="000C540C"/>
    <w:rsid w:val="000D195F"/>
    <w:rsid w:val="000D2631"/>
    <w:rsid w:val="000D69FD"/>
    <w:rsid w:val="000D76D2"/>
    <w:rsid w:val="000E02FC"/>
    <w:rsid w:val="000E54A0"/>
    <w:rsid w:val="000E6D5E"/>
    <w:rsid w:val="000F01A2"/>
    <w:rsid w:val="000F108C"/>
    <w:rsid w:val="000F1C87"/>
    <w:rsid w:val="000F3188"/>
    <w:rsid w:val="000F3D46"/>
    <w:rsid w:val="000F4146"/>
    <w:rsid w:val="000F71A3"/>
    <w:rsid w:val="000F7917"/>
    <w:rsid w:val="00101A10"/>
    <w:rsid w:val="00101EAB"/>
    <w:rsid w:val="00107435"/>
    <w:rsid w:val="00107CF2"/>
    <w:rsid w:val="00110434"/>
    <w:rsid w:val="001118D4"/>
    <w:rsid w:val="00111995"/>
    <w:rsid w:val="00111D3E"/>
    <w:rsid w:val="001144C1"/>
    <w:rsid w:val="001163D8"/>
    <w:rsid w:val="00117877"/>
    <w:rsid w:val="001215D2"/>
    <w:rsid w:val="00123128"/>
    <w:rsid w:val="001234C9"/>
    <w:rsid w:val="001253EC"/>
    <w:rsid w:val="00125A47"/>
    <w:rsid w:val="00126132"/>
    <w:rsid w:val="001263CF"/>
    <w:rsid w:val="00131B13"/>
    <w:rsid w:val="00131CCB"/>
    <w:rsid w:val="00132364"/>
    <w:rsid w:val="00133DE9"/>
    <w:rsid w:val="001342A5"/>
    <w:rsid w:val="00135227"/>
    <w:rsid w:val="001378C9"/>
    <w:rsid w:val="001401E4"/>
    <w:rsid w:val="00140670"/>
    <w:rsid w:val="0014277A"/>
    <w:rsid w:val="001439BF"/>
    <w:rsid w:val="001443E8"/>
    <w:rsid w:val="00144E92"/>
    <w:rsid w:val="0015053C"/>
    <w:rsid w:val="001532B2"/>
    <w:rsid w:val="001537D5"/>
    <w:rsid w:val="00153A06"/>
    <w:rsid w:val="0016042E"/>
    <w:rsid w:val="001641D5"/>
    <w:rsid w:val="001667B4"/>
    <w:rsid w:val="00166938"/>
    <w:rsid w:val="0016693E"/>
    <w:rsid w:val="0016783C"/>
    <w:rsid w:val="001678FA"/>
    <w:rsid w:val="001708C3"/>
    <w:rsid w:val="00170AE1"/>
    <w:rsid w:val="00170E55"/>
    <w:rsid w:val="0017181F"/>
    <w:rsid w:val="001719D7"/>
    <w:rsid w:val="00172A27"/>
    <w:rsid w:val="00172A7E"/>
    <w:rsid w:val="0017374F"/>
    <w:rsid w:val="00175E3A"/>
    <w:rsid w:val="00183C38"/>
    <w:rsid w:val="001863F6"/>
    <w:rsid w:val="00194451"/>
    <w:rsid w:val="0019697C"/>
    <w:rsid w:val="001A1BB5"/>
    <w:rsid w:val="001A1D5B"/>
    <w:rsid w:val="001A2082"/>
    <w:rsid w:val="001A63E3"/>
    <w:rsid w:val="001A6EC8"/>
    <w:rsid w:val="001A733E"/>
    <w:rsid w:val="001B0D3F"/>
    <w:rsid w:val="001B2A9F"/>
    <w:rsid w:val="001B4914"/>
    <w:rsid w:val="001B5626"/>
    <w:rsid w:val="001B6072"/>
    <w:rsid w:val="001B7C99"/>
    <w:rsid w:val="001C050D"/>
    <w:rsid w:val="001C2D34"/>
    <w:rsid w:val="001C30C6"/>
    <w:rsid w:val="001C397C"/>
    <w:rsid w:val="001C3DAF"/>
    <w:rsid w:val="001C528B"/>
    <w:rsid w:val="001C6505"/>
    <w:rsid w:val="001D0DA4"/>
    <w:rsid w:val="001D14A1"/>
    <w:rsid w:val="001D17A7"/>
    <w:rsid w:val="001D22C4"/>
    <w:rsid w:val="001D2F63"/>
    <w:rsid w:val="001D3921"/>
    <w:rsid w:val="001D3B0B"/>
    <w:rsid w:val="001D4345"/>
    <w:rsid w:val="001D6398"/>
    <w:rsid w:val="001D6640"/>
    <w:rsid w:val="001E04F2"/>
    <w:rsid w:val="001E0705"/>
    <w:rsid w:val="001E0A3F"/>
    <w:rsid w:val="001E1A46"/>
    <w:rsid w:val="001E1FAC"/>
    <w:rsid w:val="001E30AE"/>
    <w:rsid w:val="001E45BE"/>
    <w:rsid w:val="001E55A2"/>
    <w:rsid w:val="001E571D"/>
    <w:rsid w:val="001E60A9"/>
    <w:rsid w:val="001F1D57"/>
    <w:rsid w:val="001F4C70"/>
    <w:rsid w:val="001F6921"/>
    <w:rsid w:val="001F6B5C"/>
    <w:rsid w:val="00203437"/>
    <w:rsid w:val="00203DFD"/>
    <w:rsid w:val="00204738"/>
    <w:rsid w:val="002052BF"/>
    <w:rsid w:val="00205670"/>
    <w:rsid w:val="00205716"/>
    <w:rsid w:val="00205DC9"/>
    <w:rsid w:val="0020635B"/>
    <w:rsid w:val="002064E1"/>
    <w:rsid w:val="00207A71"/>
    <w:rsid w:val="00210346"/>
    <w:rsid w:val="00212022"/>
    <w:rsid w:val="002132BD"/>
    <w:rsid w:val="002146E7"/>
    <w:rsid w:val="00214DD7"/>
    <w:rsid w:val="00214F54"/>
    <w:rsid w:val="002155C5"/>
    <w:rsid w:val="00221964"/>
    <w:rsid w:val="002228C6"/>
    <w:rsid w:val="002238AE"/>
    <w:rsid w:val="0023012A"/>
    <w:rsid w:val="00230441"/>
    <w:rsid w:val="00231508"/>
    <w:rsid w:val="00231A9D"/>
    <w:rsid w:val="00231D21"/>
    <w:rsid w:val="0023255F"/>
    <w:rsid w:val="002341A2"/>
    <w:rsid w:val="00237A15"/>
    <w:rsid w:val="00240733"/>
    <w:rsid w:val="00241D3A"/>
    <w:rsid w:val="0024269B"/>
    <w:rsid w:val="00244532"/>
    <w:rsid w:val="0024502A"/>
    <w:rsid w:val="0024541C"/>
    <w:rsid w:val="00247523"/>
    <w:rsid w:val="00247993"/>
    <w:rsid w:val="002511FE"/>
    <w:rsid w:val="0025383B"/>
    <w:rsid w:val="00254015"/>
    <w:rsid w:val="00254F6E"/>
    <w:rsid w:val="002574D7"/>
    <w:rsid w:val="00257B22"/>
    <w:rsid w:val="002602F6"/>
    <w:rsid w:val="00260435"/>
    <w:rsid w:val="00262D1F"/>
    <w:rsid w:val="00264999"/>
    <w:rsid w:val="00264BD8"/>
    <w:rsid w:val="002665E4"/>
    <w:rsid w:val="00266ABF"/>
    <w:rsid w:val="002673AF"/>
    <w:rsid w:val="0027067C"/>
    <w:rsid w:val="00270FE1"/>
    <w:rsid w:val="00271ABB"/>
    <w:rsid w:val="00272B6B"/>
    <w:rsid w:val="00272CD3"/>
    <w:rsid w:val="00272DEC"/>
    <w:rsid w:val="00273FB6"/>
    <w:rsid w:val="00275945"/>
    <w:rsid w:val="002759A2"/>
    <w:rsid w:val="00276204"/>
    <w:rsid w:val="00280E45"/>
    <w:rsid w:val="002810F8"/>
    <w:rsid w:val="0028181D"/>
    <w:rsid w:val="00281F3D"/>
    <w:rsid w:val="0028291D"/>
    <w:rsid w:val="00285BA0"/>
    <w:rsid w:val="00290D50"/>
    <w:rsid w:val="00291608"/>
    <w:rsid w:val="0029442F"/>
    <w:rsid w:val="00294947"/>
    <w:rsid w:val="0029595B"/>
    <w:rsid w:val="00295A34"/>
    <w:rsid w:val="00296060"/>
    <w:rsid w:val="00296501"/>
    <w:rsid w:val="002968C0"/>
    <w:rsid w:val="002975BF"/>
    <w:rsid w:val="002A0696"/>
    <w:rsid w:val="002A2037"/>
    <w:rsid w:val="002A2398"/>
    <w:rsid w:val="002A2B5C"/>
    <w:rsid w:val="002A35F6"/>
    <w:rsid w:val="002A4898"/>
    <w:rsid w:val="002A4F6F"/>
    <w:rsid w:val="002A5411"/>
    <w:rsid w:val="002A6D86"/>
    <w:rsid w:val="002A7073"/>
    <w:rsid w:val="002A7814"/>
    <w:rsid w:val="002B1A64"/>
    <w:rsid w:val="002B3090"/>
    <w:rsid w:val="002B35F2"/>
    <w:rsid w:val="002B5E0D"/>
    <w:rsid w:val="002C00FF"/>
    <w:rsid w:val="002C11FF"/>
    <w:rsid w:val="002C3330"/>
    <w:rsid w:val="002D0360"/>
    <w:rsid w:val="002D1708"/>
    <w:rsid w:val="002D1EC7"/>
    <w:rsid w:val="002D2579"/>
    <w:rsid w:val="002D2CB8"/>
    <w:rsid w:val="002D40A9"/>
    <w:rsid w:val="002D56D9"/>
    <w:rsid w:val="002D6349"/>
    <w:rsid w:val="002D6B6F"/>
    <w:rsid w:val="002D7628"/>
    <w:rsid w:val="002D7A77"/>
    <w:rsid w:val="002D7BE8"/>
    <w:rsid w:val="002E098C"/>
    <w:rsid w:val="002E3E40"/>
    <w:rsid w:val="002E76EF"/>
    <w:rsid w:val="002E7E70"/>
    <w:rsid w:val="002F08C6"/>
    <w:rsid w:val="002F24F3"/>
    <w:rsid w:val="002F2754"/>
    <w:rsid w:val="002F37CB"/>
    <w:rsid w:val="002F4ADA"/>
    <w:rsid w:val="002F5465"/>
    <w:rsid w:val="002F7AD0"/>
    <w:rsid w:val="002F7EF3"/>
    <w:rsid w:val="002F7F3A"/>
    <w:rsid w:val="0030084A"/>
    <w:rsid w:val="0030169A"/>
    <w:rsid w:val="00306123"/>
    <w:rsid w:val="00307CF1"/>
    <w:rsid w:val="0031007D"/>
    <w:rsid w:val="003110D4"/>
    <w:rsid w:val="00311B9B"/>
    <w:rsid w:val="003157D1"/>
    <w:rsid w:val="00316A48"/>
    <w:rsid w:val="00317222"/>
    <w:rsid w:val="00320DF9"/>
    <w:rsid w:val="003214B1"/>
    <w:rsid w:val="00322799"/>
    <w:rsid w:val="003241F1"/>
    <w:rsid w:val="0032688F"/>
    <w:rsid w:val="00331D60"/>
    <w:rsid w:val="00332BB0"/>
    <w:rsid w:val="00332C6F"/>
    <w:rsid w:val="00334CC7"/>
    <w:rsid w:val="003355B7"/>
    <w:rsid w:val="00336AAB"/>
    <w:rsid w:val="0034150B"/>
    <w:rsid w:val="00342477"/>
    <w:rsid w:val="0034283D"/>
    <w:rsid w:val="00343634"/>
    <w:rsid w:val="00343968"/>
    <w:rsid w:val="00343A1D"/>
    <w:rsid w:val="00343D9C"/>
    <w:rsid w:val="0035121B"/>
    <w:rsid w:val="003521AC"/>
    <w:rsid w:val="00352D4E"/>
    <w:rsid w:val="00354452"/>
    <w:rsid w:val="00356193"/>
    <w:rsid w:val="00356631"/>
    <w:rsid w:val="00356A9C"/>
    <w:rsid w:val="00356E07"/>
    <w:rsid w:val="00357F64"/>
    <w:rsid w:val="0036067C"/>
    <w:rsid w:val="0036276F"/>
    <w:rsid w:val="003634F4"/>
    <w:rsid w:val="00363B02"/>
    <w:rsid w:val="003642B6"/>
    <w:rsid w:val="003655E9"/>
    <w:rsid w:val="00365BD8"/>
    <w:rsid w:val="00367D22"/>
    <w:rsid w:val="00371760"/>
    <w:rsid w:val="00371CE6"/>
    <w:rsid w:val="00373893"/>
    <w:rsid w:val="00376869"/>
    <w:rsid w:val="00377440"/>
    <w:rsid w:val="00377AE0"/>
    <w:rsid w:val="00380598"/>
    <w:rsid w:val="00381B01"/>
    <w:rsid w:val="00382118"/>
    <w:rsid w:val="003829D9"/>
    <w:rsid w:val="00383B17"/>
    <w:rsid w:val="0038471F"/>
    <w:rsid w:val="00384A92"/>
    <w:rsid w:val="003854F3"/>
    <w:rsid w:val="00386518"/>
    <w:rsid w:val="003875CD"/>
    <w:rsid w:val="00387FBB"/>
    <w:rsid w:val="00391A61"/>
    <w:rsid w:val="00397B1C"/>
    <w:rsid w:val="00397E86"/>
    <w:rsid w:val="003A0C28"/>
    <w:rsid w:val="003A1388"/>
    <w:rsid w:val="003A1D20"/>
    <w:rsid w:val="003A258C"/>
    <w:rsid w:val="003A30A9"/>
    <w:rsid w:val="003A3330"/>
    <w:rsid w:val="003A37AB"/>
    <w:rsid w:val="003A40E7"/>
    <w:rsid w:val="003A4472"/>
    <w:rsid w:val="003A47C4"/>
    <w:rsid w:val="003A78B7"/>
    <w:rsid w:val="003B4A06"/>
    <w:rsid w:val="003B5D7B"/>
    <w:rsid w:val="003B5F19"/>
    <w:rsid w:val="003B67A0"/>
    <w:rsid w:val="003B72E5"/>
    <w:rsid w:val="003B7ACE"/>
    <w:rsid w:val="003C0859"/>
    <w:rsid w:val="003C0E0B"/>
    <w:rsid w:val="003C1220"/>
    <w:rsid w:val="003C2917"/>
    <w:rsid w:val="003C5626"/>
    <w:rsid w:val="003C6339"/>
    <w:rsid w:val="003C6B76"/>
    <w:rsid w:val="003D2F6F"/>
    <w:rsid w:val="003D3B92"/>
    <w:rsid w:val="003D4056"/>
    <w:rsid w:val="003D415D"/>
    <w:rsid w:val="003D46D1"/>
    <w:rsid w:val="003D7EC2"/>
    <w:rsid w:val="003E1BD5"/>
    <w:rsid w:val="003E3AC3"/>
    <w:rsid w:val="003E4BA7"/>
    <w:rsid w:val="003E58E5"/>
    <w:rsid w:val="003E58FF"/>
    <w:rsid w:val="003E5EE1"/>
    <w:rsid w:val="003E7C9B"/>
    <w:rsid w:val="003E7D25"/>
    <w:rsid w:val="003F0417"/>
    <w:rsid w:val="003F688C"/>
    <w:rsid w:val="00400DD3"/>
    <w:rsid w:val="00402B2D"/>
    <w:rsid w:val="00403958"/>
    <w:rsid w:val="004073DB"/>
    <w:rsid w:val="004137F3"/>
    <w:rsid w:val="00414F84"/>
    <w:rsid w:val="00415470"/>
    <w:rsid w:val="00415CFA"/>
    <w:rsid w:val="00416388"/>
    <w:rsid w:val="00417D4F"/>
    <w:rsid w:val="00421975"/>
    <w:rsid w:val="004223F4"/>
    <w:rsid w:val="004223F7"/>
    <w:rsid w:val="004237AF"/>
    <w:rsid w:val="00426990"/>
    <w:rsid w:val="00427696"/>
    <w:rsid w:val="004300B5"/>
    <w:rsid w:val="00433561"/>
    <w:rsid w:val="004342C9"/>
    <w:rsid w:val="00435AB2"/>
    <w:rsid w:val="004378E0"/>
    <w:rsid w:val="00440412"/>
    <w:rsid w:val="00440804"/>
    <w:rsid w:val="00443935"/>
    <w:rsid w:val="00443963"/>
    <w:rsid w:val="00443E0B"/>
    <w:rsid w:val="004442B3"/>
    <w:rsid w:val="00444D59"/>
    <w:rsid w:val="0044572E"/>
    <w:rsid w:val="00446551"/>
    <w:rsid w:val="00447654"/>
    <w:rsid w:val="00447D75"/>
    <w:rsid w:val="004513F9"/>
    <w:rsid w:val="00451DAE"/>
    <w:rsid w:val="00452F36"/>
    <w:rsid w:val="00453130"/>
    <w:rsid w:val="0045394E"/>
    <w:rsid w:val="00454535"/>
    <w:rsid w:val="00454B5D"/>
    <w:rsid w:val="00455B44"/>
    <w:rsid w:val="00456CDF"/>
    <w:rsid w:val="00456FA3"/>
    <w:rsid w:val="0045754E"/>
    <w:rsid w:val="00460E98"/>
    <w:rsid w:val="00461626"/>
    <w:rsid w:val="0046275C"/>
    <w:rsid w:val="004640E1"/>
    <w:rsid w:val="00465462"/>
    <w:rsid w:val="00471684"/>
    <w:rsid w:val="00471F6B"/>
    <w:rsid w:val="0047305B"/>
    <w:rsid w:val="0047493D"/>
    <w:rsid w:val="00475A0F"/>
    <w:rsid w:val="004771A7"/>
    <w:rsid w:val="00477929"/>
    <w:rsid w:val="00477DF1"/>
    <w:rsid w:val="004805E1"/>
    <w:rsid w:val="0048194E"/>
    <w:rsid w:val="004819D3"/>
    <w:rsid w:val="00481D33"/>
    <w:rsid w:val="00481EFC"/>
    <w:rsid w:val="0048481A"/>
    <w:rsid w:val="00486D4E"/>
    <w:rsid w:val="00487F50"/>
    <w:rsid w:val="004900CE"/>
    <w:rsid w:val="00490DEF"/>
    <w:rsid w:val="0049307F"/>
    <w:rsid w:val="0049352F"/>
    <w:rsid w:val="00497B97"/>
    <w:rsid w:val="004A28E9"/>
    <w:rsid w:val="004A4443"/>
    <w:rsid w:val="004A465C"/>
    <w:rsid w:val="004A53F8"/>
    <w:rsid w:val="004A5683"/>
    <w:rsid w:val="004A5A5E"/>
    <w:rsid w:val="004A647D"/>
    <w:rsid w:val="004A6BB2"/>
    <w:rsid w:val="004A76E3"/>
    <w:rsid w:val="004A7816"/>
    <w:rsid w:val="004A791C"/>
    <w:rsid w:val="004B0A0E"/>
    <w:rsid w:val="004B10CD"/>
    <w:rsid w:val="004B2765"/>
    <w:rsid w:val="004B696A"/>
    <w:rsid w:val="004B6984"/>
    <w:rsid w:val="004B7FD5"/>
    <w:rsid w:val="004C05F2"/>
    <w:rsid w:val="004C1E04"/>
    <w:rsid w:val="004C1EBB"/>
    <w:rsid w:val="004C407E"/>
    <w:rsid w:val="004C506F"/>
    <w:rsid w:val="004C552D"/>
    <w:rsid w:val="004C7A15"/>
    <w:rsid w:val="004D10B1"/>
    <w:rsid w:val="004D11B7"/>
    <w:rsid w:val="004D57A0"/>
    <w:rsid w:val="004D595F"/>
    <w:rsid w:val="004D5F36"/>
    <w:rsid w:val="004E0791"/>
    <w:rsid w:val="004E2332"/>
    <w:rsid w:val="004E44CC"/>
    <w:rsid w:val="004E50CC"/>
    <w:rsid w:val="004E587A"/>
    <w:rsid w:val="004E5CA5"/>
    <w:rsid w:val="004E6F0E"/>
    <w:rsid w:val="004E797E"/>
    <w:rsid w:val="004F02F2"/>
    <w:rsid w:val="004F16A1"/>
    <w:rsid w:val="004F1918"/>
    <w:rsid w:val="004F2DDA"/>
    <w:rsid w:val="004F4B65"/>
    <w:rsid w:val="004F6370"/>
    <w:rsid w:val="00502DF4"/>
    <w:rsid w:val="005034FC"/>
    <w:rsid w:val="00503795"/>
    <w:rsid w:val="00503F67"/>
    <w:rsid w:val="005044B9"/>
    <w:rsid w:val="005055E2"/>
    <w:rsid w:val="00507AFA"/>
    <w:rsid w:val="005106D5"/>
    <w:rsid w:val="005112F3"/>
    <w:rsid w:val="00517BF1"/>
    <w:rsid w:val="00520645"/>
    <w:rsid w:val="00520920"/>
    <w:rsid w:val="00521C1F"/>
    <w:rsid w:val="0052426A"/>
    <w:rsid w:val="00524C98"/>
    <w:rsid w:val="00524D6D"/>
    <w:rsid w:val="005252C0"/>
    <w:rsid w:val="00530CE7"/>
    <w:rsid w:val="005316A8"/>
    <w:rsid w:val="005342CE"/>
    <w:rsid w:val="00535C65"/>
    <w:rsid w:val="0053682D"/>
    <w:rsid w:val="00540FEC"/>
    <w:rsid w:val="005414D6"/>
    <w:rsid w:val="00541F83"/>
    <w:rsid w:val="00542766"/>
    <w:rsid w:val="005430C7"/>
    <w:rsid w:val="00543809"/>
    <w:rsid w:val="00543CB6"/>
    <w:rsid w:val="00543EC9"/>
    <w:rsid w:val="005446B0"/>
    <w:rsid w:val="00546DF7"/>
    <w:rsid w:val="005475A9"/>
    <w:rsid w:val="00547E4F"/>
    <w:rsid w:val="00551DFC"/>
    <w:rsid w:val="0055211A"/>
    <w:rsid w:val="00554187"/>
    <w:rsid w:val="00555958"/>
    <w:rsid w:val="005605F8"/>
    <w:rsid w:val="0056099C"/>
    <w:rsid w:val="00560E4A"/>
    <w:rsid w:val="005615D4"/>
    <w:rsid w:val="005650C2"/>
    <w:rsid w:val="00565A8C"/>
    <w:rsid w:val="00573012"/>
    <w:rsid w:val="005731AA"/>
    <w:rsid w:val="00574068"/>
    <w:rsid w:val="00574394"/>
    <w:rsid w:val="00575709"/>
    <w:rsid w:val="005773BE"/>
    <w:rsid w:val="005804F3"/>
    <w:rsid w:val="00580954"/>
    <w:rsid w:val="005824F8"/>
    <w:rsid w:val="00583A5C"/>
    <w:rsid w:val="00584C19"/>
    <w:rsid w:val="005850D6"/>
    <w:rsid w:val="0058643C"/>
    <w:rsid w:val="005866BD"/>
    <w:rsid w:val="00586EDA"/>
    <w:rsid w:val="005927CD"/>
    <w:rsid w:val="0059343A"/>
    <w:rsid w:val="005964EC"/>
    <w:rsid w:val="005A0661"/>
    <w:rsid w:val="005A1FDF"/>
    <w:rsid w:val="005A2BEB"/>
    <w:rsid w:val="005A39AF"/>
    <w:rsid w:val="005A4F1F"/>
    <w:rsid w:val="005A61BC"/>
    <w:rsid w:val="005A6544"/>
    <w:rsid w:val="005A6732"/>
    <w:rsid w:val="005A69C1"/>
    <w:rsid w:val="005A7272"/>
    <w:rsid w:val="005A7EC2"/>
    <w:rsid w:val="005B19C2"/>
    <w:rsid w:val="005B334E"/>
    <w:rsid w:val="005B3FB5"/>
    <w:rsid w:val="005C3B65"/>
    <w:rsid w:val="005C3FCB"/>
    <w:rsid w:val="005C71EA"/>
    <w:rsid w:val="005D248A"/>
    <w:rsid w:val="005D2C74"/>
    <w:rsid w:val="005D2CB5"/>
    <w:rsid w:val="005D386F"/>
    <w:rsid w:val="005D511D"/>
    <w:rsid w:val="005D7100"/>
    <w:rsid w:val="005D72C1"/>
    <w:rsid w:val="005E1472"/>
    <w:rsid w:val="005E3DC5"/>
    <w:rsid w:val="005E4813"/>
    <w:rsid w:val="005E6E82"/>
    <w:rsid w:val="005F2B98"/>
    <w:rsid w:val="005F6167"/>
    <w:rsid w:val="006031DC"/>
    <w:rsid w:val="006035CB"/>
    <w:rsid w:val="00604122"/>
    <w:rsid w:val="0060535C"/>
    <w:rsid w:val="00606709"/>
    <w:rsid w:val="00613D71"/>
    <w:rsid w:val="00615523"/>
    <w:rsid w:val="00615DBE"/>
    <w:rsid w:val="006161C5"/>
    <w:rsid w:val="00624E86"/>
    <w:rsid w:val="00625C51"/>
    <w:rsid w:val="00626E6E"/>
    <w:rsid w:val="006313EC"/>
    <w:rsid w:val="00633872"/>
    <w:rsid w:val="0063507E"/>
    <w:rsid w:val="006353A6"/>
    <w:rsid w:val="006369CC"/>
    <w:rsid w:val="006374EF"/>
    <w:rsid w:val="00641519"/>
    <w:rsid w:val="00643CAC"/>
    <w:rsid w:val="00643E16"/>
    <w:rsid w:val="00646631"/>
    <w:rsid w:val="00647F26"/>
    <w:rsid w:val="006536D6"/>
    <w:rsid w:val="00654B00"/>
    <w:rsid w:val="00655415"/>
    <w:rsid w:val="006555FF"/>
    <w:rsid w:val="006560FF"/>
    <w:rsid w:val="00657569"/>
    <w:rsid w:val="00662875"/>
    <w:rsid w:val="00663399"/>
    <w:rsid w:val="006635A7"/>
    <w:rsid w:val="006649C6"/>
    <w:rsid w:val="006656A2"/>
    <w:rsid w:val="00665738"/>
    <w:rsid w:val="00666247"/>
    <w:rsid w:val="006679EB"/>
    <w:rsid w:val="00671EF7"/>
    <w:rsid w:val="00671FA8"/>
    <w:rsid w:val="00672684"/>
    <w:rsid w:val="00674F5E"/>
    <w:rsid w:val="006763B3"/>
    <w:rsid w:val="00677009"/>
    <w:rsid w:val="006778A0"/>
    <w:rsid w:val="00682F0F"/>
    <w:rsid w:val="00683222"/>
    <w:rsid w:val="00685F1B"/>
    <w:rsid w:val="00686A7A"/>
    <w:rsid w:val="00686F46"/>
    <w:rsid w:val="00687B51"/>
    <w:rsid w:val="006900BC"/>
    <w:rsid w:val="006907CD"/>
    <w:rsid w:val="00692DDF"/>
    <w:rsid w:val="0069376A"/>
    <w:rsid w:val="00694554"/>
    <w:rsid w:val="00695074"/>
    <w:rsid w:val="006A077D"/>
    <w:rsid w:val="006A1725"/>
    <w:rsid w:val="006A211F"/>
    <w:rsid w:val="006A4311"/>
    <w:rsid w:val="006A5EAE"/>
    <w:rsid w:val="006A76FE"/>
    <w:rsid w:val="006B46DC"/>
    <w:rsid w:val="006B5CB6"/>
    <w:rsid w:val="006B666A"/>
    <w:rsid w:val="006B7F89"/>
    <w:rsid w:val="006C3846"/>
    <w:rsid w:val="006C3BF0"/>
    <w:rsid w:val="006C4725"/>
    <w:rsid w:val="006D221B"/>
    <w:rsid w:val="006D2C20"/>
    <w:rsid w:val="006D4845"/>
    <w:rsid w:val="006D7839"/>
    <w:rsid w:val="006E02B1"/>
    <w:rsid w:val="006E157D"/>
    <w:rsid w:val="006E3615"/>
    <w:rsid w:val="006E6DDB"/>
    <w:rsid w:val="006F0AC4"/>
    <w:rsid w:val="006F0EEC"/>
    <w:rsid w:val="006F2CEE"/>
    <w:rsid w:val="006F5195"/>
    <w:rsid w:val="006F5426"/>
    <w:rsid w:val="006F61C3"/>
    <w:rsid w:val="006F65DD"/>
    <w:rsid w:val="006F7546"/>
    <w:rsid w:val="00700495"/>
    <w:rsid w:val="00702286"/>
    <w:rsid w:val="0070375B"/>
    <w:rsid w:val="00705060"/>
    <w:rsid w:val="00705F0C"/>
    <w:rsid w:val="007064D1"/>
    <w:rsid w:val="00710F95"/>
    <w:rsid w:val="007132C1"/>
    <w:rsid w:val="00714445"/>
    <w:rsid w:val="0072283F"/>
    <w:rsid w:val="00722DD9"/>
    <w:rsid w:val="0072306E"/>
    <w:rsid w:val="007269A4"/>
    <w:rsid w:val="0073017C"/>
    <w:rsid w:val="007322B3"/>
    <w:rsid w:val="00733E60"/>
    <w:rsid w:val="00734BF0"/>
    <w:rsid w:val="007358D4"/>
    <w:rsid w:val="007362E1"/>
    <w:rsid w:val="007375A2"/>
    <w:rsid w:val="00737D3F"/>
    <w:rsid w:val="007411EA"/>
    <w:rsid w:val="00742808"/>
    <w:rsid w:val="00743133"/>
    <w:rsid w:val="0074512B"/>
    <w:rsid w:val="00745330"/>
    <w:rsid w:val="00745FC7"/>
    <w:rsid w:val="00746653"/>
    <w:rsid w:val="0075061D"/>
    <w:rsid w:val="007506CA"/>
    <w:rsid w:val="00753442"/>
    <w:rsid w:val="00754000"/>
    <w:rsid w:val="0075421E"/>
    <w:rsid w:val="0075584E"/>
    <w:rsid w:val="00760447"/>
    <w:rsid w:val="00760C76"/>
    <w:rsid w:val="00761258"/>
    <w:rsid w:val="007616E0"/>
    <w:rsid w:val="007623A6"/>
    <w:rsid w:val="007639A9"/>
    <w:rsid w:val="0076448C"/>
    <w:rsid w:val="0076632F"/>
    <w:rsid w:val="00771BDB"/>
    <w:rsid w:val="0077232F"/>
    <w:rsid w:val="00772AB5"/>
    <w:rsid w:val="00772CAD"/>
    <w:rsid w:val="00782B09"/>
    <w:rsid w:val="007830DD"/>
    <w:rsid w:val="00783259"/>
    <w:rsid w:val="0078401E"/>
    <w:rsid w:val="00784AE6"/>
    <w:rsid w:val="00784CA4"/>
    <w:rsid w:val="00784D51"/>
    <w:rsid w:val="0078521D"/>
    <w:rsid w:val="00785BE1"/>
    <w:rsid w:val="00787769"/>
    <w:rsid w:val="0079034F"/>
    <w:rsid w:val="0079060C"/>
    <w:rsid w:val="007910EF"/>
    <w:rsid w:val="00791384"/>
    <w:rsid w:val="00791456"/>
    <w:rsid w:val="00794FBE"/>
    <w:rsid w:val="00797162"/>
    <w:rsid w:val="00797A49"/>
    <w:rsid w:val="007A0227"/>
    <w:rsid w:val="007A1908"/>
    <w:rsid w:val="007A31E6"/>
    <w:rsid w:val="007A3201"/>
    <w:rsid w:val="007A42ED"/>
    <w:rsid w:val="007A4951"/>
    <w:rsid w:val="007A69E3"/>
    <w:rsid w:val="007A7D92"/>
    <w:rsid w:val="007B0250"/>
    <w:rsid w:val="007B1D8C"/>
    <w:rsid w:val="007B2424"/>
    <w:rsid w:val="007B39B5"/>
    <w:rsid w:val="007B3C6E"/>
    <w:rsid w:val="007B62B0"/>
    <w:rsid w:val="007B677B"/>
    <w:rsid w:val="007B76CF"/>
    <w:rsid w:val="007C06DB"/>
    <w:rsid w:val="007C07F2"/>
    <w:rsid w:val="007C3617"/>
    <w:rsid w:val="007C442F"/>
    <w:rsid w:val="007C4873"/>
    <w:rsid w:val="007C6E2F"/>
    <w:rsid w:val="007C7F1C"/>
    <w:rsid w:val="007D0241"/>
    <w:rsid w:val="007D0693"/>
    <w:rsid w:val="007D26D0"/>
    <w:rsid w:val="007D2F6E"/>
    <w:rsid w:val="007D502C"/>
    <w:rsid w:val="007D53D2"/>
    <w:rsid w:val="007D542C"/>
    <w:rsid w:val="007D5FB6"/>
    <w:rsid w:val="007D6337"/>
    <w:rsid w:val="007D71B9"/>
    <w:rsid w:val="007E03DA"/>
    <w:rsid w:val="007E0E19"/>
    <w:rsid w:val="007E21C1"/>
    <w:rsid w:val="007E6B47"/>
    <w:rsid w:val="007E7CC7"/>
    <w:rsid w:val="007F0D70"/>
    <w:rsid w:val="007F12B7"/>
    <w:rsid w:val="007F25A9"/>
    <w:rsid w:val="007F33A7"/>
    <w:rsid w:val="007F35ED"/>
    <w:rsid w:val="00800944"/>
    <w:rsid w:val="00801036"/>
    <w:rsid w:val="00801199"/>
    <w:rsid w:val="00801575"/>
    <w:rsid w:val="0080418D"/>
    <w:rsid w:val="00804A64"/>
    <w:rsid w:val="00804F81"/>
    <w:rsid w:val="00810E4C"/>
    <w:rsid w:val="00811C1B"/>
    <w:rsid w:val="00813D5B"/>
    <w:rsid w:val="00815D71"/>
    <w:rsid w:val="00820836"/>
    <w:rsid w:val="00821591"/>
    <w:rsid w:val="008231BA"/>
    <w:rsid w:val="008236C3"/>
    <w:rsid w:val="00824005"/>
    <w:rsid w:val="00824E2B"/>
    <w:rsid w:val="00826779"/>
    <w:rsid w:val="00826980"/>
    <w:rsid w:val="008306DE"/>
    <w:rsid w:val="008313B2"/>
    <w:rsid w:val="00831E17"/>
    <w:rsid w:val="00832B98"/>
    <w:rsid w:val="00834295"/>
    <w:rsid w:val="00835E18"/>
    <w:rsid w:val="00837F0A"/>
    <w:rsid w:val="00840199"/>
    <w:rsid w:val="008405A7"/>
    <w:rsid w:val="00842423"/>
    <w:rsid w:val="0084319C"/>
    <w:rsid w:val="008437C4"/>
    <w:rsid w:val="00853B0C"/>
    <w:rsid w:val="00853B1B"/>
    <w:rsid w:val="00854301"/>
    <w:rsid w:val="00854838"/>
    <w:rsid w:val="00857361"/>
    <w:rsid w:val="008577D4"/>
    <w:rsid w:val="00860BCB"/>
    <w:rsid w:val="00860DDC"/>
    <w:rsid w:val="00861136"/>
    <w:rsid w:val="00862065"/>
    <w:rsid w:val="00862400"/>
    <w:rsid w:val="00863DB6"/>
    <w:rsid w:val="00863FD0"/>
    <w:rsid w:val="00867539"/>
    <w:rsid w:val="008675E3"/>
    <w:rsid w:val="008720D8"/>
    <w:rsid w:val="0087367F"/>
    <w:rsid w:val="00873A06"/>
    <w:rsid w:val="008743C8"/>
    <w:rsid w:val="00874D70"/>
    <w:rsid w:val="00875555"/>
    <w:rsid w:val="00876C81"/>
    <w:rsid w:val="0087789D"/>
    <w:rsid w:val="008838C7"/>
    <w:rsid w:val="00883E6C"/>
    <w:rsid w:val="008857D3"/>
    <w:rsid w:val="008862B5"/>
    <w:rsid w:val="0088721E"/>
    <w:rsid w:val="0088740B"/>
    <w:rsid w:val="00887544"/>
    <w:rsid w:val="008908F5"/>
    <w:rsid w:val="00890A4C"/>
    <w:rsid w:val="00890DDA"/>
    <w:rsid w:val="00891914"/>
    <w:rsid w:val="008945FD"/>
    <w:rsid w:val="00894A72"/>
    <w:rsid w:val="008951AC"/>
    <w:rsid w:val="008961B7"/>
    <w:rsid w:val="0089677E"/>
    <w:rsid w:val="00897400"/>
    <w:rsid w:val="00897483"/>
    <w:rsid w:val="008978CC"/>
    <w:rsid w:val="008A072A"/>
    <w:rsid w:val="008A1053"/>
    <w:rsid w:val="008A1FED"/>
    <w:rsid w:val="008A227F"/>
    <w:rsid w:val="008A2418"/>
    <w:rsid w:val="008A6931"/>
    <w:rsid w:val="008B156C"/>
    <w:rsid w:val="008B5987"/>
    <w:rsid w:val="008C1F86"/>
    <w:rsid w:val="008C2A3C"/>
    <w:rsid w:val="008C2DAD"/>
    <w:rsid w:val="008C2E65"/>
    <w:rsid w:val="008C37C8"/>
    <w:rsid w:val="008C7F13"/>
    <w:rsid w:val="008D0021"/>
    <w:rsid w:val="008D0652"/>
    <w:rsid w:val="008D0BF5"/>
    <w:rsid w:val="008D114B"/>
    <w:rsid w:val="008D2E88"/>
    <w:rsid w:val="008D45D9"/>
    <w:rsid w:val="008D7DDB"/>
    <w:rsid w:val="008D7FAB"/>
    <w:rsid w:val="008E08F8"/>
    <w:rsid w:val="008E1F19"/>
    <w:rsid w:val="008E2631"/>
    <w:rsid w:val="008F11E2"/>
    <w:rsid w:val="008F3660"/>
    <w:rsid w:val="008F3F09"/>
    <w:rsid w:val="008F7B87"/>
    <w:rsid w:val="00902C55"/>
    <w:rsid w:val="00905989"/>
    <w:rsid w:val="00906098"/>
    <w:rsid w:val="00907206"/>
    <w:rsid w:val="0090744F"/>
    <w:rsid w:val="0090749A"/>
    <w:rsid w:val="00907611"/>
    <w:rsid w:val="00910DFD"/>
    <w:rsid w:val="00911C69"/>
    <w:rsid w:val="00911E72"/>
    <w:rsid w:val="00911EB5"/>
    <w:rsid w:val="009129DD"/>
    <w:rsid w:val="00912DEC"/>
    <w:rsid w:val="0091364C"/>
    <w:rsid w:val="009149A9"/>
    <w:rsid w:val="00914C10"/>
    <w:rsid w:val="00915D80"/>
    <w:rsid w:val="00916C5B"/>
    <w:rsid w:val="00917556"/>
    <w:rsid w:val="009205BD"/>
    <w:rsid w:val="009209E2"/>
    <w:rsid w:val="00924B22"/>
    <w:rsid w:val="009258F6"/>
    <w:rsid w:val="00925AAD"/>
    <w:rsid w:val="00927F3E"/>
    <w:rsid w:val="00930A46"/>
    <w:rsid w:val="00930D8F"/>
    <w:rsid w:val="00934239"/>
    <w:rsid w:val="00934A69"/>
    <w:rsid w:val="00936103"/>
    <w:rsid w:val="00936722"/>
    <w:rsid w:val="009376A3"/>
    <w:rsid w:val="00937D6F"/>
    <w:rsid w:val="009405F0"/>
    <w:rsid w:val="00942F37"/>
    <w:rsid w:val="00945087"/>
    <w:rsid w:val="009451C2"/>
    <w:rsid w:val="0095018E"/>
    <w:rsid w:val="0095022F"/>
    <w:rsid w:val="00950C28"/>
    <w:rsid w:val="009528ED"/>
    <w:rsid w:val="009548FE"/>
    <w:rsid w:val="00954B36"/>
    <w:rsid w:val="00963473"/>
    <w:rsid w:val="00964509"/>
    <w:rsid w:val="00965A62"/>
    <w:rsid w:val="00965A8D"/>
    <w:rsid w:val="00966C54"/>
    <w:rsid w:val="009678FD"/>
    <w:rsid w:val="0097037F"/>
    <w:rsid w:val="00972CB3"/>
    <w:rsid w:val="00975828"/>
    <w:rsid w:val="00975DA4"/>
    <w:rsid w:val="0097649D"/>
    <w:rsid w:val="00976EC3"/>
    <w:rsid w:val="00977466"/>
    <w:rsid w:val="00977987"/>
    <w:rsid w:val="00980CD8"/>
    <w:rsid w:val="0098169D"/>
    <w:rsid w:val="0098287F"/>
    <w:rsid w:val="00984F86"/>
    <w:rsid w:val="009853EE"/>
    <w:rsid w:val="009862FF"/>
    <w:rsid w:val="00986463"/>
    <w:rsid w:val="009872D8"/>
    <w:rsid w:val="00990627"/>
    <w:rsid w:val="00990D29"/>
    <w:rsid w:val="009916C7"/>
    <w:rsid w:val="00991914"/>
    <w:rsid w:val="009937E4"/>
    <w:rsid w:val="009944E0"/>
    <w:rsid w:val="009946A0"/>
    <w:rsid w:val="009A32F5"/>
    <w:rsid w:val="009A4397"/>
    <w:rsid w:val="009A5462"/>
    <w:rsid w:val="009A58EC"/>
    <w:rsid w:val="009A5BBB"/>
    <w:rsid w:val="009A6815"/>
    <w:rsid w:val="009A7DF7"/>
    <w:rsid w:val="009B0310"/>
    <w:rsid w:val="009B09C6"/>
    <w:rsid w:val="009B13D3"/>
    <w:rsid w:val="009B1ACA"/>
    <w:rsid w:val="009B31FA"/>
    <w:rsid w:val="009B4A2A"/>
    <w:rsid w:val="009B6EF7"/>
    <w:rsid w:val="009C0A02"/>
    <w:rsid w:val="009C3782"/>
    <w:rsid w:val="009C4B02"/>
    <w:rsid w:val="009D182C"/>
    <w:rsid w:val="009D4ED5"/>
    <w:rsid w:val="009D5869"/>
    <w:rsid w:val="009D7CE9"/>
    <w:rsid w:val="009E0EE1"/>
    <w:rsid w:val="009E3979"/>
    <w:rsid w:val="009E40DD"/>
    <w:rsid w:val="009E56B5"/>
    <w:rsid w:val="009E6BFC"/>
    <w:rsid w:val="009E74C5"/>
    <w:rsid w:val="009E776F"/>
    <w:rsid w:val="009E7D0D"/>
    <w:rsid w:val="009F0DB1"/>
    <w:rsid w:val="009F11A1"/>
    <w:rsid w:val="009F1A5D"/>
    <w:rsid w:val="009F2104"/>
    <w:rsid w:val="009F2584"/>
    <w:rsid w:val="009F2800"/>
    <w:rsid w:val="009F6808"/>
    <w:rsid w:val="009F6D56"/>
    <w:rsid w:val="009F775D"/>
    <w:rsid w:val="00A00951"/>
    <w:rsid w:val="00A00B8C"/>
    <w:rsid w:val="00A016A9"/>
    <w:rsid w:val="00A034E8"/>
    <w:rsid w:val="00A03BF8"/>
    <w:rsid w:val="00A03C6B"/>
    <w:rsid w:val="00A059A1"/>
    <w:rsid w:val="00A111F1"/>
    <w:rsid w:val="00A13326"/>
    <w:rsid w:val="00A17418"/>
    <w:rsid w:val="00A179C6"/>
    <w:rsid w:val="00A22797"/>
    <w:rsid w:val="00A2594E"/>
    <w:rsid w:val="00A2690A"/>
    <w:rsid w:val="00A26A38"/>
    <w:rsid w:val="00A27F1E"/>
    <w:rsid w:val="00A3056D"/>
    <w:rsid w:val="00A30F8F"/>
    <w:rsid w:val="00A32C0E"/>
    <w:rsid w:val="00A32EFD"/>
    <w:rsid w:val="00A3358B"/>
    <w:rsid w:val="00A348B7"/>
    <w:rsid w:val="00A34FE8"/>
    <w:rsid w:val="00A35F40"/>
    <w:rsid w:val="00A376EC"/>
    <w:rsid w:val="00A4131F"/>
    <w:rsid w:val="00A42E3E"/>
    <w:rsid w:val="00A43D3A"/>
    <w:rsid w:val="00A44B4B"/>
    <w:rsid w:val="00A46E43"/>
    <w:rsid w:val="00A4775E"/>
    <w:rsid w:val="00A52609"/>
    <w:rsid w:val="00A52796"/>
    <w:rsid w:val="00A52E90"/>
    <w:rsid w:val="00A550BD"/>
    <w:rsid w:val="00A5602B"/>
    <w:rsid w:val="00A603FA"/>
    <w:rsid w:val="00A60D25"/>
    <w:rsid w:val="00A63BEB"/>
    <w:rsid w:val="00A6519F"/>
    <w:rsid w:val="00A6575E"/>
    <w:rsid w:val="00A65E12"/>
    <w:rsid w:val="00A66FC6"/>
    <w:rsid w:val="00A67467"/>
    <w:rsid w:val="00A71215"/>
    <w:rsid w:val="00A7196F"/>
    <w:rsid w:val="00A74B2E"/>
    <w:rsid w:val="00A758F4"/>
    <w:rsid w:val="00A75B86"/>
    <w:rsid w:val="00A8393C"/>
    <w:rsid w:val="00A866E0"/>
    <w:rsid w:val="00A873A7"/>
    <w:rsid w:val="00A87F0E"/>
    <w:rsid w:val="00A93155"/>
    <w:rsid w:val="00A93B9A"/>
    <w:rsid w:val="00A9411B"/>
    <w:rsid w:val="00A943CA"/>
    <w:rsid w:val="00A94A12"/>
    <w:rsid w:val="00A95911"/>
    <w:rsid w:val="00AA07EE"/>
    <w:rsid w:val="00AA347C"/>
    <w:rsid w:val="00AA51FF"/>
    <w:rsid w:val="00AA66A4"/>
    <w:rsid w:val="00AA6CAA"/>
    <w:rsid w:val="00AA77E6"/>
    <w:rsid w:val="00AB3041"/>
    <w:rsid w:val="00AB3BC3"/>
    <w:rsid w:val="00AB3D2E"/>
    <w:rsid w:val="00AB4415"/>
    <w:rsid w:val="00AB62C3"/>
    <w:rsid w:val="00AB6C79"/>
    <w:rsid w:val="00AB7B74"/>
    <w:rsid w:val="00AC1289"/>
    <w:rsid w:val="00AC298F"/>
    <w:rsid w:val="00AD067A"/>
    <w:rsid w:val="00AD5870"/>
    <w:rsid w:val="00AD5C4D"/>
    <w:rsid w:val="00AD5E53"/>
    <w:rsid w:val="00AD7497"/>
    <w:rsid w:val="00AE35E2"/>
    <w:rsid w:val="00AE407C"/>
    <w:rsid w:val="00AE4B00"/>
    <w:rsid w:val="00AE4E6C"/>
    <w:rsid w:val="00AE5259"/>
    <w:rsid w:val="00AE5F33"/>
    <w:rsid w:val="00AE6782"/>
    <w:rsid w:val="00AE68AF"/>
    <w:rsid w:val="00AE6B15"/>
    <w:rsid w:val="00AE6FD6"/>
    <w:rsid w:val="00AF0B6C"/>
    <w:rsid w:val="00AF2763"/>
    <w:rsid w:val="00AF27C9"/>
    <w:rsid w:val="00AF3745"/>
    <w:rsid w:val="00AF4175"/>
    <w:rsid w:val="00B01B93"/>
    <w:rsid w:val="00B0328B"/>
    <w:rsid w:val="00B03E26"/>
    <w:rsid w:val="00B0583F"/>
    <w:rsid w:val="00B0669C"/>
    <w:rsid w:val="00B06911"/>
    <w:rsid w:val="00B06DBE"/>
    <w:rsid w:val="00B07FCB"/>
    <w:rsid w:val="00B10D13"/>
    <w:rsid w:val="00B11C68"/>
    <w:rsid w:val="00B11E69"/>
    <w:rsid w:val="00B12E1D"/>
    <w:rsid w:val="00B13366"/>
    <w:rsid w:val="00B13F72"/>
    <w:rsid w:val="00B15AE4"/>
    <w:rsid w:val="00B20DFF"/>
    <w:rsid w:val="00B222C9"/>
    <w:rsid w:val="00B23E64"/>
    <w:rsid w:val="00B2438A"/>
    <w:rsid w:val="00B26011"/>
    <w:rsid w:val="00B263C9"/>
    <w:rsid w:val="00B308A3"/>
    <w:rsid w:val="00B31161"/>
    <w:rsid w:val="00B31DA0"/>
    <w:rsid w:val="00B32DD8"/>
    <w:rsid w:val="00B33815"/>
    <w:rsid w:val="00B347DC"/>
    <w:rsid w:val="00B35E7F"/>
    <w:rsid w:val="00B36561"/>
    <w:rsid w:val="00B400EA"/>
    <w:rsid w:val="00B40306"/>
    <w:rsid w:val="00B41904"/>
    <w:rsid w:val="00B46129"/>
    <w:rsid w:val="00B46ADD"/>
    <w:rsid w:val="00B50649"/>
    <w:rsid w:val="00B50DA4"/>
    <w:rsid w:val="00B535E8"/>
    <w:rsid w:val="00B53768"/>
    <w:rsid w:val="00B565E3"/>
    <w:rsid w:val="00B57631"/>
    <w:rsid w:val="00B57DB6"/>
    <w:rsid w:val="00B60169"/>
    <w:rsid w:val="00B630CF"/>
    <w:rsid w:val="00B63F49"/>
    <w:rsid w:val="00B644F7"/>
    <w:rsid w:val="00B65358"/>
    <w:rsid w:val="00B65ACE"/>
    <w:rsid w:val="00B65C97"/>
    <w:rsid w:val="00B65EC2"/>
    <w:rsid w:val="00B6616F"/>
    <w:rsid w:val="00B66FE1"/>
    <w:rsid w:val="00B7007B"/>
    <w:rsid w:val="00B72A03"/>
    <w:rsid w:val="00B73982"/>
    <w:rsid w:val="00B73D85"/>
    <w:rsid w:val="00B73ECE"/>
    <w:rsid w:val="00B75D74"/>
    <w:rsid w:val="00B77029"/>
    <w:rsid w:val="00B77183"/>
    <w:rsid w:val="00B817E0"/>
    <w:rsid w:val="00B81DA2"/>
    <w:rsid w:val="00B83416"/>
    <w:rsid w:val="00B843CD"/>
    <w:rsid w:val="00B84812"/>
    <w:rsid w:val="00B86B09"/>
    <w:rsid w:val="00B86B7A"/>
    <w:rsid w:val="00B86BB3"/>
    <w:rsid w:val="00B876EF"/>
    <w:rsid w:val="00B909FE"/>
    <w:rsid w:val="00B912D6"/>
    <w:rsid w:val="00B92014"/>
    <w:rsid w:val="00B94616"/>
    <w:rsid w:val="00B96979"/>
    <w:rsid w:val="00BA19EC"/>
    <w:rsid w:val="00BA2225"/>
    <w:rsid w:val="00BA39C4"/>
    <w:rsid w:val="00BA3BB4"/>
    <w:rsid w:val="00BA474B"/>
    <w:rsid w:val="00BB3AEE"/>
    <w:rsid w:val="00BB481E"/>
    <w:rsid w:val="00BB499F"/>
    <w:rsid w:val="00BB5EC0"/>
    <w:rsid w:val="00BB6334"/>
    <w:rsid w:val="00BB7050"/>
    <w:rsid w:val="00BB7973"/>
    <w:rsid w:val="00BC08FD"/>
    <w:rsid w:val="00BC1CEE"/>
    <w:rsid w:val="00BC2AA4"/>
    <w:rsid w:val="00BC375A"/>
    <w:rsid w:val="00BC55A1"/>
    <w:rsid w:val="00BC5BE9"/>
    <w:rsid w:val="00BC6EF1"/>
    <w:rsid w:val="00BD25BF"/>
    <w:rsid w:val="00BD32FA"/>
    <w:rsid w:val="00BD47D3"/>
    <w:rsid w:val="00BE0054"/>
    <w:rsid w:val="00BE012A"/>
    <w:rsid w:val="00BE0F2C"/>
    <w:rsid w:val="00BE0F82"/>
    <w:rsid w:val="00BE11EF"/>
    <w:rsid w:val="00BE309E"/>
    <w:rsid w:val="00BE51FD"/>
    <w:rsid w:val="00BE5D49"/>
    <w:rsid w:val="00BE79A6"/>
    <w:rsid w:val="00BE7CAC"/>
    <w:rsid w:val="00BF0778"/>
    <w:rsid w:val="00BF13A5"/>
    <w:rsid w:val="00BF243B"/>
    <w:rsid w:val="00BF2441"/>
    <w:rsid w:val="00BF2689"/>
    <w:rsid w:val="00BF2EFF"/>
    <w:rsid w:val="00BF3213"/>
    <w:rsid w:val="00BF44BF"/>
    <w:rsid w:val="00BF760E"/>
    <w:rsid w:val="00BF7F06"/>
    <w:rsid w:val="00C00872"/>
    <w:rsid w:val="00C0489E"/>
    <w:rsid w:val="00C04E48"/>
    <w:rsid w:val="00C070DE"/>
    <w:rsid w:val="00C0725D"/>
    <w:rsid w:val="00C10437"/>
    <w:rsid w:val="00C116D2"/>
    <w:rsid w:val="00C126FA"/>
    <w:rsid w:val="00C12952"/>
    <w:rsid w:val="00C12F61"/>
    <w:rsid w:val="00C14230"/>
    <w:rsid w:val="00C167AC"/>
    <w:rsid w:val="00C167ED"/>
    <w:rsid w:val="00C173C9"/>
    <w:rsid w:val="00C203A0"/>
    <w:rsid w:val="00C2196F"/>
    <w:rsid w:val="00C22776"/>
    <w:rsid w:val="00C24018"/>
    <w:rsid w:val="00C2476B"/>
    <w:rsid w:val="00C250DA"/>
    <w:rsid w:val="00C25E5D"/>
    <w:rsid w:val="00C27A40"/>
    <w:rsid w:val="00C27F5E"/>
    <w:rsid w:val="00C3000A"/>
    <w:rsid w:val="00C32997"/>
    <w:rsid w:val="00C3697F"/>
    <w:rsid w:val="00C37494"/>
    <w:rsid w:val="00C374B1"/>
    <w:rsid w:val="00C374F3"/>
    <w:rsid w:val="00C376D3"/>
    <w:rsid w:val="00C416C6"/>
    <w:rsid w:val="00C42C0F"/>
    <w:rsid w:val="00C430E3"/>
    <w:rsid w:val="00C43CD6"/>
    <w:rsid w:val="00C45F57"/>
    <w:rsid w:val="00C4628E"/>
    <w:rsid w:val="00C46500"/>
    <w:rsid w:val="00C47DB3"/>
    <w:rsid w:val="00C50250"/>
    <w:rsid w:val="00C51BF2"/>
    <w:rsid w:val="00C51EDF"/>
    <w:rsid w:val="00C5250C"/>
    <w:rsid w:val="00C56AAF"/>
    <w:rsid w:val="00C56B5E"/>
    <w:rsid w:val="00C62CB0"/>
    <w:rsid w:val="00C65011"/>
    <w:rsid w:val="00C66105"/>
    <w:rsid w:val="00C671F1"/>
    <w:rsid w:val="00C67644"/>
    <w:rsid w:val="00C67E09"/>
    <w:rsid w:val="00C700AE"/>
    <w:rsid w:val="00C72DC4"/>
    <w:rsid w:val="00C81411"/>
    <w:rsid w:val="00C8145D"/>
    <w:rsid w:val="00C81FD4"/>
    <w:rsid w:val="00C8592B"/>
    <w:rsid w:val="00C91E26"/>
    <w:rsid w:val="00C94481"/>
    <w:rsid w:val="00C9508F"/>
    <w:rsid w:val="00C96E35"/>
    <w:rsid w:val="00CA279F"/>
    <w:rsid w:val="00CA4E5B"/>
    <w:rsid w:val="00CA536F"/>
    <w:rsid w:val="00CA63E8"/>
    <w:rsid w:val="00CA652B"/>
    <w:rsid w:val="00CA6FFD"/>
    <w:rsid w:val="00CA7199"/>
    <w:rsid w:val="00CB290E"/>
    <w:rsid w:val="00CB2E26"/>
    <w:rsid w:val="00CB2F0D"/>
    <w:rsid w:val="00CB303B"/>
    <w:rsid w:val="00CB4DAD"/>
    <w:rsid w:val="00CB6EAC"/>
    <w:rsid w:val="00CB7F74"/>
    <w:rsid w:val="00CC14C1"/>
    <w:rsid w:val="00CC157B"/>
    <w:rsid w:val="00CC17AE"/>
    <w:rsid w:val="00CC25EB"/>
    <w:rsid w:val="00CC4269"/>
    <w:rsid w:val="00CC550F"/>
    <w:rsid w:val="00CC56A1"/>
    <w:rsid w:val="00CC7A70"/>
    <w:rsid w:val="00CC7CE2"/>
    <w:rsid w:val="00CD1544"/>
    <w:rsid w:val="00CD1819"/>
    <w:rsid w:val="00CD2896"/>
    <w:rsid w:val="00CD4E39"/>
    <w:rsid w:val="00CD5611"/>
    <w:rsid w:val="00CD57D3"/>
    <w:rsid w:val="00CD6149"/>
    <w:rsid w:val="00CD69B2"/>
    <w:rsid w:val="00CD6FD1"/>
    <w:rsid w:val="00CD7D98"/>
    <w:rsid w:val="00CE06EC"/>
    <w:rsid w:val="00CE1EEB"/>
    <w:rsid w:val="00CE3598"/>
    <w:rsid w:val="00CE45C2"/>
    <w:rsid w:val="00CE6A45"/>
    <w:rsid w:val="00CF080C"/>
    <w:rsid w:val="00CF0E0A"/>
    <w:rsid w:val="00CF1F4C"/>
    <w:rsid w:val="00CF23E3"/>
    <w:rsid w:val="00CF328E"/>
    <w:rsid w:val="00CF6310"/>
    <w:rsid w:val="00D00C66"/>
    <w:rsid w:val="00D01398"/>
    <w:rsid w:val="00D0357C"/>
    <w:rsid w:val="00D03688"/>
    <w:rsid w:val="00D06DA1"/>
    <w:rsid w:val="00D07D25"/>
    <w:rsid w:val="00D14D5C"/>
    <w:rsid w:val="00D14E9B"/>
    <w:rsid w:val="00D1593D"/>
    <w:rsid w:val="00D17867"/>
    <w:rsid w:val="00D20263"/>
    <w:rsid w:val="00D21DBE"/>
    <w:rsid w:val="00D21F09"/>
    <w:rsid w:val="00D24A23"/>
    <w:rsid w:val="00D250A8"/>
    <w:rsid w:val="00D257FE"/>
    <w:rsid w:val="00D25ADD"/>
    <w:rsid w:val="00D25CA2"/>
    <w:rsid w:val="00D268CF"/>
    <w:rsid w:val="00D27F87"/>
    <w:rsid w:val="00D33262"/>
    <w:rsid w:val="00D363F6"/>
    <w:rsid w:val="00D37B8E"/>
    <w:rsid w:val="00D404F4"/>
    <w:rsid w:val="00D4118C"/>
    <w:rsid w:val="00D419A2"/>
    <w:rsid w:val="00D42C0D"/>
    <w:rsid w:val="00D44FF9"/>
    <w:rsid w:val="00D4654C"/>
    <w:rsid w:val="00D46DF1"/>
    <w:rsid w:val="00D51C9A"/>
    <w:rsid w:val="00D52418"/>
    <w:rsid w:val="00D541DC"/>
    <w:rsid w:val="00D56035"/>
    <w:rsid w:val="00D56AFD"/>
    <w:rsid w:val="00D619EB"/>
    <w:rsid w:val="00D6227C"/>
    <w:rsid w:val="00D62745"/>
    <w:rsid w:val="00D63C60"/>
    <w:rsid w:val="00D64231"/>
    <w:rsid w:val="00D643EF"/>
    <w:rsid w:val="00D651DD"/>
    <w:rsid w:val="00D70BC5"/>
    <w:rsid w:val="00D727D0"/>
    <w:rsid w:val="00D7435C"/>
    <w:rsid w:val="00D75E58"/>
    <w:rsid w:val="00D7649C"/>
    <w:rsid w:val="00D82AD9"/>
    <w:rsid w:val="00D83165"/>
    <w:rsid w:val="00D83673"/>
    <w:rsid w:val="00D8376F"/>
    <w:rsid w:val="00D850B8"/>
    <w:rsid w:val="00D87E6F"/>
    <w:rsid w:val="00D9279B"/>
    <w:rsid w:val="00D94630"/>
    <w:rsid w:val="00D9472B"/>
    <w:rsid w:val="00D94E6E"/>
    <w:rsid w:val="00D96227"/>
    <w:rsid w:val="00D96679"/>
    <w:rsid w:val="00D97347"/>
    <w:rsid w:val="00DA123A"/>
    <w:rsid w:val="00DA19BC"/>
    <w:rsid w:val="00DA24E2"/>
    <w:rsid w:val="00DA2952"/>
    <w:rsid w:val="00DA5380"/>
    <w:rsid w:val="00DA5B16"/>
    <w:rsid w:val="00DA6ACF"/>
    <w:rsid w:val="00DB0246"/>
    <w:rsid w:val="00DB11F4"/>
    <w:rsid w:val="00DB4E9C"/>
    <w:rsid w:val="00DB6523"/>
    <w:rsid w:val="00DB6685"/>
    <w:rsid w:val="00DB6C15"/>
    <w:rsid w:val="00DB74DE"/>
    <w:rsid w:val="00DC1CA3"/>
    <w:rsid w:val="00DC25CB"/>
    <w:rsid w:val="00DC26C4"/>
    <w:rsid w:val="00DC393D"/>
    <w:rsid w:val="00DC3DF5"/>
    <w:rsid w:val="00DC4C3D"/>
    <w:rsid w:val="00DC511E"/>
    <w:rsid w:val="00DC5A34"/>
    <w:rsid w:val="00DC5BB8"/>
    <w:rsid w:val="00DC5DD9"/>
    <w:rsid w:val="00DC72D6"/>
    <w:rsid w:val="00DD0716"/>
    <w:rsid w:val="00DD091C"/>
    <w:rsid w:val="00DD2292"/>
    <w:rsid w:val="00DD427D"/>
    <w:rsid w:val="00DD4D95"/>
    <w:rsid w:val="00DE2EF4"/>
    <w:rsid w:val="00DE3DFD"/>
    <w:rsid w:val="00DE584B"/>
    <w:rsid w:val="00DE6A19"/>
    <w:rsid w:val="00DF6A98"/>
    <w:rsid w:val="00E03529"/>
    <w:rsid w:val="00E0520E"/>
    <w:rsid w:val="00E054BB"/>
    <w:rsid w:val="00E05DE6"/>
    <w:rsid w:val="00E06CC8"/>
    <w:rsid w:val="00E07501"/>
    <w:rsid w:val="00E107B3"/>
    <w:rsid w:val="00E10F19"/>
    <w:rsid w:val="00E1181B"/>
    <w:rsid w:val="00E11E49"/>
    <w:rsid w:val="00E1282D"/>
    <w:rsid w:val="00E14D21"/>
    <w:rsid w:val="00E15791"/>
    <w:rsid w:val="00E159B3"/>
    <w:rsid w:val="00E16F68"/>
    <w:rsid w:val="00E1750C"/>
    <w:rsid w:val="00E200B1"/>
    <w:rsid w:val="00E20CA3"/>
    <w:rsid w:val="00E20D90"/>
    <w:rsid w:val="00E22DB9"/>
    <w:rsid w:val="00E23D18"/>
    <w:rsid w:val="00E240A5"/>
    <w:rsid w:val="00E245B2"/>
    <w:rsid w:val="00E247F0"/>
    <w:rsid w:val="00E25817"/>
    <w:rsid w:val="00E25E6E"/>
    <w:rsid w:val="00E266D4"/>
    <w:rsid w:val="00E27BC4"/>
    <w:rsid w:val="00E34393"/>
    <w:rsid w:val="00E353C8"/>
    <w:rsid w:val="00E36C86"/>
    <w:rsid w:val="00E36F05"/>
    <w:rsid w:val="00E37305"/>
    <w:rsid w:val="00E37B70"/>
    <w:rsid w:val="00E449A7"/>
    <w:rsid w:val="00E45EEA"/>
    <w:rsid w:val="00E465EC"/>
    <w:rsid w:val="00E523EB"/>
    <w:rsid w:val="00E530DB"/>
    <w:rsid w:val="00E549B3"/>
    <w:rsid w:val="00E62F1F"/>
    <w:rsid w:val="00E63CFB"/>
    <w:rsid w:val="00E644E0"/>
    <w:rsid w:val="00E64B8A"/>
    <w:rsid w:val="00E64FE9"/>
    <w:rsid w:val="00E65E72"/>
    <w:rsid w:val="00E668D2"/>
    <w:rsid w:val="00E679D7"/>
    <w:rsid w:val="00E70F72"/>
    <w:rsid w:val="00E756F8"/>
    <w:rsid w:val="00E7663B"/>
    <w:rsid w:val="00E76C6F"/>
    <w:rsid w:val="00E77246"/>
    <w:rsid w:val="00E80091"/>
    <w:rsid w:val="00E80344"/>
    <w:rsid w:val="00E80B46"/>
    <w:rsid w:val="00E818AD"/>
    <w:rsid w:val="00E84974"/>
    <w:rsid w:val="00E84E7B"/>
    <w:rsid w:val="00E85EB4"/>
    <w:rsid w:val="00E862E7"/>
    <w:rsid w:val="00E917E6"/>
    <w:rsid w:val="00E92D1B"/>
    <w:rsid w:val="00EA1510"/>
    <w:rsid w:val="00EA1EF4"/>
    <w:rsid w:val="00EA3FCF"/>
    <w:rsid w:val="00EA499B"/>
    <w:rsid w:val="00EA4F20"/>
    <w:rsid w:val="00EA5829"/>
    <w:rsid w:val="00EA6050"/>
    <w:rsid w:val="00EA6552"/>
    <w:rsid w:val="00EA73DB"/>
    <w:rsid w:val="00EA77E5"/>
    <w:rsid w:val="00EB0C2C"/>
    <w:rsid w:val="00EB0E5E"/>
    <w:rsid w:val="00EB1EBB"/>
    <w:rsid w:val="00EB23AB"/>
    <w:rsid w:val="00EB4133"/>
    <w:rsid w:val="00EB4D7D"/>
    <w:rsid w:val="00EB5E0E"/>
    <w:rsid w:val="00EB6BC3"/>
    <w:rsid w:val="00EC5B6B"/>
    <w:rsid w:val="00ED0F2D"/>
    <w:rsid w:val="00ED1498"/>
    <w:rsid w:val="00ED1FF5"/>
    <w:rsid w:val="00ED21BC"/>
    <w:rsid w:val="00ED42CE"/>
    <w:rsid w:val="00ED7699"/>
    <w:rsid w:val="00EE28AB"/>
    <w:rsid w:val="00EE47B2"/>
    <w:rsid w:val="00EE5CB2"/>
    <w:rsid w:val="00EE765D"/>
    <w:rsid w:val="00EF141F"/>
    <w:rsid w:val="00EF22DB"/>
    <w:rsid w:val="00EF3529"/>
    <w:rsid w:val="00EF5D3F"/>
    <w:rsid w:val="00EF712B"/>
    <w:rsid w:val="00EF7D01"/>
    <w:rsid w:val="00EF7D5A"/>
    <w:rsid w:val="00F018F3"/>
    <w:rsid w:val="00F01BE9"/>
    <w:rsid w:val="00F020DD"/>
    <w:rsid w:val="00F02505"/>
    <w:rsid w:val="00F03617"/>
    <w:rsid w:val="00F04EF2"/>
    <w:rsid w:val="00F05FA7"/>
    <w:rsid w:val="00F06801"/>
    <w:rsid w:val="00F06EAB"/>
    <w:rsid w:val="00F112EA"/>
    <w:rsid w:val="00F13519"/>
    <w:rsid w:val="00F147C4"/>
    <w:rsid w:val="00F16C66"/>
    <w:rsid w:val="00F17781"/>
    <w:rsid w:val="00F22A53"/>
    <w:rsid w:val="00F23882"/>
    <w:rsid w:val="00F25C21"/>
    <w:rsid w:val="00F25F07"/>
    <w:rsid w:val="00F2626E"/>
    <w:rsid w:val="00F26B4C"/>
    <w:rsid w:val="00F31EA1"/>
    <w:rsid w:val="00F34DA5"/>
    <w:rsid w:val="00F35EC8"/>
    <w:rsid w:val="00F377A4"/>
    <w:rsid w:val="00F37909"/>
    <w:rsid w:val="00F41368"/>
    <w:rsid w:val="00F41834"/>
    <w:rsid w:val="00F44420"/>
    <w:rsid w:val="00F45CFC"/>
    <w:rsid w:val="00F469BA"/>
    <w:rsid w:val="00F474F2"/>
    <w:rsid w:val="00F52628"/>
    <w:rsid w:val="00F55401"/>
    <w:rsid w:val="00F55FA6"/>
    <w:rsid w:val="00F5774B"/>
    <w:rsid w:val="00F60480"/>
    <w:rsid w:val="00F61254"/>
    <w:rsid w:val="00F61EEE"/>
    <w:rsid w:val="00F64D99"/>
    <w:rsid w:val="00F6590C"/>
    <w:rsid w:val="00F678E0"/>
    <w:rsid w:val="00F703CA"/>
    <w:rsid w:val="00F715E6"/>
    <w:rsid w:val="00F7263B"/>
    <w:rsid w:val="00F72EE9"/>
    <w:rsid w:val="00F743FE"/>
    <w:rsid w:val="00F76B51"/>
    <w:rsid w:val="00F774B6"/>
    <w:rsid w:val="00F779CD"/>
    <w:rsid w:val="00F80A6A"/>
    <w:rsid w:val="00F81724"/>
    <w:rsid w:val="00F822B6"/>
    <w:rsid w:val="00F83508"/>
    <w:rsid w:val="00F837B8"/>
    <w:rsid w:val="00F838CE"/>
    <w:rsid w:val="00F84D96"/>
    <w:rsid w:val="00F91422"/>
    <w:rsid w:val="00F9167A"/>
    <w:rsid w:val="00F91DBB"/>
    <w:rsid w:val="00F955B1"/>
    <w:rsid w:val="00F961B9"/>
    <w:rsid w:val="00F9726F"/>
    <w:rsid w:val="00FA1256"/>
    <w:rsid w:val="00FA1516"/>
    <w:rsid w:val="00FA208A"/>
    <w:rsid w:val="00FA3EAA"/>
    <w:rsid w:val="00FB2B62"/>
    <w:rsid w:val="00FB3398"/>
    <w:rsid w:val="00FB37AA"/>
    <w:rsid w:val="00FB38B9"/>
    <w:rsid w:val="00FB3EF3"/>
    <w:rsid w:val="00FB4FC4"/>
    <w:rsid w:val="00FB50D6"/>
    <w:rsid w:val="00FB57D8"/>
    <w:rsid w:val="00FB665C"/>
    <w:rsid w:val="00FB668B"/>
    <w:rsid w:val="00FC072E"/>
    <w:rsid w:val="00FC5F55"/>
    <w:rsid w:val="00FC6771"/>
    <w:rsid w:val="00FD0ACF"/>
    <w:rsid w:val="00FD1ECE"/>
    <w:rsid w:val="00FD32A7"/>
    <w:rsid w:val="00FD5E24"/>
    <w:rsid w:val="00FE1080"/>
    <w:rsid w:val="00FE133D"/>
    <w:rsid w:val="00FE1A74"/>
    <w:rsid w:val="00FE206C"/>
    <w:rsid w:val="00FE4D17"/>
    <w:rsid w:val="00FE5427"/>
    <w:rsid w:val="00FE63A1"/>
    <w:rsid w:val="00FE71C5"/>
    <w:rsid w:val="00FF0E9F"/>
    <w:rsid w:val="00FF21FA"/>
    <w:rsid w:val="00FF23BD"/>
    <w:rsid w:val="00FF33F5"/>
    <w:rsid w:val="00FF536D"/>
    <w:rsid w:val="00FF5408"/>
    <w:rsid w:val="00FF623A"/>
    <w:rsid w:val="00FF6240"/>
    <w:rsid w:val="00FF680E"/>
    <w:rsid w:val="010C1F2E"/>
    <w:rsid w:val="011E3D92"/>
    <w:rsid w:val="016814B1"/>
    <w:rsid w:val="018E53BB"/>
    <w:rsid w:val="02457A2C"/>
    <w:rsid w:val="030B47EA"/>
    <w:rsid w:val="038E4BB3"/>
    <w:rsid w:val="048767CB"/>
    <w:rsid w:val="05AB2747"/>
    <w:rsid w:val="06324807"/>
    <w:rsid w:val="07E027FB"/>
    <w:rsid w:val="095A15DC"/>
    <w:rsid w:val="099A2423"/>
    <w:rsid w:val="0A6F0A42"/>
    <w:rsid w:val="0A9D041D"/>
    <w:rsid w:val="0AE75B3C"/>
    <w:rsid w:val="0B296FD5"/>
    <w:rsid w:val="0B2D564B"/>
    <w:rsid w:val="0B7F025A"/>
    <w:rsid w:val="0B8F1523"/>
    <w:rsid w:val="0B903360"/>
    <w:rsid w:val="0BB92EE4"/>
    <w:rsid w:val="0D1B59B9"/>
    <w:rsid w:val="0D7C07BE"/>
    <w:rsid w:val="0DFC545B"/>
    <w:rsid w:val="0E537D4A"/>
    <w:rsid w:val="0EBC1367"/>
    <w:rsid w:val="0F691CA9"/>
    <w:rsid w:val="0FDC05A2"/>
    <w:rsid w:val="101E1187"/>
    <w:rsid w:val="104327E0"/>
    <w:rsid w:val="1158509E"/>
    <w:rsid w:val="11731ED8"/>
    <w:rsid w:val="11FD6297"/>
    <w:rsid w:val="121C2389"/>
    <w:rsid w:val="129F4311"/>
    <w:rsid w:val="130C6140"/>
    <w:rsid w:val="13124312"/>
    <w:rsid w:val="137B32C6"/>
    <w:rsid w:val="15381DF6"/>
    <w:rsid w:val="155618F4"/>
    <w:rsid w:val="1638724C"/>
    <w:rsid w:val="170415AA"/>
    <w:rsid w:val="17811F47"/>
    <w:rsid w:val="178766DD"/>
    <w:rsid w:val="18194E5B"/>
    <w:rsid w:val="18F25DD8"/>
    <w:rsid w:val="1B083691"/>
    <w:rsid w:val="1B1C795E"/>
    <w:rsid w:val="1BE91714"/>
    <w:rsid w:val="1C964CCC"/>
    <w:rsid w:val="1CB05D8E"/>
    <w:rsid w:val="1CEC05AD"/>
    <w:rsid w:val="1ED32208"/>
    <w:rsid w:val="1EFF59A7"/>
    <w:rsid w:val="1F4B4494"/>
    <w:rsid w:val="212E73A1"/>
    <w:rsid w:val="21520FF7"/>
    <w:rsid w:val="22B1221A"/>
    <w:rsid w:val="22CC769A"/>
    <w:rsid w:val="231E3CEC"/>
    <w:rsid w:val="23785EAB"/>
    <w:rsid w:val="241A0DA4"/>
    <w:rsid w:val="24295BA6"/>
    <w:rsid w:val="250550E5"/>
    <w:rsid w:val="25757B75"/>
    <w:rsid w:val="261F5D33"/>
    <w:rsid w:val="26E56F7C"/>
    <w:rsid w:val="27571EB5"/>
    <w:rsid w:val="29183639"/>
    <w:rsid w:val="298365D8"/>
    <w:rsid w:val="2B1B4372"/>
    <w:rsid w:val="2B711015"/>
    <w:rsid w:val="2C0B1233"/>
    <w:rsid w:val="2DB1273B"/>
    <w:rsid w:val="2E132CAC"/>
    <w:rsid w:val="2EA96AE1"/>
    <w:rsid w:val="2EC118D3"/>
    <w:rsid w:val="2F4D3710"/>
    <w:rsid w:val="2FC260AC"/>
    <w:rsid w:val="30AC403F"/>
    <w:rsid w:val="311D0BD4"/>
    <w:rsid w:val="311F308B"/>
    <w:rsid w:val="318949A1"/>
    <w:rsid w:val="31F507C8"/>
    <w:rsid w:val="324F5BF1"/>
    <w:rsid w:val="327417EF"/>
    <w:rsid w:val="333D4794"/>
    <w:rsid w:val="339A0673"/>
    <w:rsid w:val="33F24ABB"/>
    <w:rsid w:val="35410BA6"/>
    <w:rsid w:val="35C91817"/>
    <w:rsid w:val="360867E3"/>
    <w:rsid w:val="371116C7"/>
    <w:rsid w:val="376E7BF5"/>
    <w:rsid w:val="37AC1BBE"/>
    <w:rsid w:val="391D1443"/>
    <w:rsid w:val="397845BB"/>
    <w:rsid w:val="3A75112A"/>
    <w:rsid w:val="3ACD0498"/>
    <w:rsid w:val="3B293484"/>
    <w:rsid w:val="3D1611A1"/>
    <w:rsid w:val="3FCF4A8E"/>
    <w:rsid w:val="3FEC4A80"/>
    <w:rsid w:val="406F1352"/>
    <w:rsid w:val="40F55BB6"/>
    <w:rsid w:val="410B4A2D"/>
    <w:rsid w:val="412A5860"/>
    <w:rsid w:val="422420A8"/>
    <w:rsid w:val="42D44852"/>
    <w:rsid w:val="43110115"/>
    <w:rsid w:val="43EF408A"/>
    <w:rsid w:val="44364FE3"/>
    <w:rsid w:val="44DC5472"/>
    <w:rsid w:val="468E71DB"/>
    <w:rsid w:val="46F30EE7"/>
    <w:rsid w:val="46F53B97"/>
    <w:rsid w:val="477047BE"/>
    <w:rsid w:val="47C371D5"/>
    <w:rsid w:val="497E1BB0"/>
    <w:rsid w:val="49880C8F"/>
    <w:rsid w:val="49F7299F"/>
    <w:rsid w:val="4A4554B8"/>
    <w:rsid w:val="4AB27CAF"/>
    <w:rsid w:val="4AC04771"/>
    <w:rsid w:val="4B8F7333"/>
    <w:rsid w:val="4BA86EFC"/>
    <w:rsid w:val="4CB03E0E"/>
    <w:rsid w:val="4E524648"/>
    <w:rsid w:val="4ECB10A3"/>
    <w:rsid w:val="4FAE31CC"/>
    <w:rsid w:val="502A43D5"/>
    <w:rsid w:val="50324460"/>
    <w:rsid w:val="50625682"/>
    <w:rsid w:val="513B584B"/>
    <w:rsid w:val="51CF1D01"/>
    <w:rsid w:val="51DA565B"/>
    <w:rsid w:val="52575E63"/>
    <w:rsid w:val="53E03FFE"/>
    <w:rsid w:val="55012924"/>
    <w:rsid w:val="554B32A8"/>
    <w:rsid w:val="55DB4F23"/>
    <w:rsid w:val="55DE49D2"/>
    <w:rsid w:val="565A40BC"/>
    <w:rsid w:val="582E5DFD"/>
    <w:rsid w:val="590F3861"/>
    <w:rsid w:val="597C07CB"/>
    <w:rsid w:val="5A3910C8"/>
    <w:rsid w:val="5A433242"/>
    <w:rsid w:val="5A4C3B3E"/>
    <w:rsid w:val="5A4F3FA0"/>
    <w:rsid w:val="5B181591"/>
    <w:rsid w:val="5B540F34"/>
    <w:rsid w:val="5BC61BBC"/>
    <w:rsid w:val="5C535134"/>
    <w:rsid w:val="5D077594"/>
    <w:rsid w:val="5DA56BD3"/>
    <w:rsid w:val="5E2A567D"/>
    <w:rsid w:val="5FE61094"/>
    <w:rsid w:val="605423C2"/>
    <w:rsid w:val="60594D60"/>
    <w:rsid w:val="60B53794"/>
    <w:rsid w:val="611D1AAB"/>
    <w:rsid w:val="61481234"/>
    <w:rsid w:val="6171512C"/>
    <w:rsid w:val="622E2AD0"/>
    <w:rsid w:val="631F0DF5"/>
    <w:rsid w:val="63665FEE"/>
    <w:rsid w:val="644D2584"/>
    <w:rsid w:val="64D14795"/>
    <w:rsid w:val="658A7755"/>
    <w:rsid w:val="660B1854"/>
    <w:rsid w:val="66F463D0"/>
    <w:rsid w:val="673B3A73"/>
    <w:rsid w:val="67490525"/>
    <w:rsid w:val="67BF28F6"/>
    <w:rsid w:val="682C5E0D"/>
    <w:rsid w:val="688C445A"/>
    <w:rsid w:val="692A0734"/>
    <w:rsid w:val="6942466E"/>
    <w:rsid w:val="69903FC9"/>
    <w:rsid w:val="69D16494"/>
    <w:rsid w:val="6A4E52F8"/>
    <w:rsid w:val="6AAE0890"/>
    <w:rsid w:val="6B4C07EA"/>
    <w:rsid w:val="6C3A69EF"/>
    <w:rsid w:val="6C9622F3"/>
    <w:rsid w:val="6D4A5D2C"/>
    <w:rsid w:val="6D761CA9"/>
    <w:rsid w:val="6E880137"/>
    <w:rsid w:val="6EC3291E"/>
    <w:rsid w:val="6F265009"/>
    <w:rsid w:val="70C06FA5"/>
    <w:rsid w:val="739F6935"/>
    <w:rsid w:val="7448595E"/>
    <w:rsid w:val="744A3547"/>
    <w:rsid w:val="750D581D"/>
    <w:rsid w:val="75357D54"/>
    <w:rsid w:val="7538496C"/>
    <w:rsid w:val="758E56B6"/>
    <w:rsid w:val="75E83018"/>
    <w:rsid w:val="763C3364"/>
    <w:rsid w:val="76D807F3"/>
    <w:rsid w:val="76EF57FC"/>
    <w:rsid w:val="77763CAD"/>
    <w:rsid w:val="77902869"/>
    <w:rsid w:val="77B92EBE"/>
    <w:rsid w:val="792026C4"/>
    <w:rsid w:val="798253AA"/>
    <w:rsid w:val="798F21F2"/>
    <w:rsid w:val="79BD37A5"/>
    <w:rsid w:val="7A401675"/>
    <w:rsid w:val="7AAA11E4"/>
    <w:rsid w:val="7ACF29F8"/>
    <w:rsid w:val="7ACF2C27"/>
    <w:rsid w:val="7AFF1BA9"/>
    <w:rsid w:val="7C8A0E4F"/>
    <w:rsid w:val="7CFE708D"/>
    <w:rsid w:val="7DCD5E4E"/>
    <w:rsid w:val="7E5202D3"/>
    <w:rsid w:val="7E94171B"/>
    <w:rsid w:val="7F0569E9"/>
    <w:rsid w:val="7F0709B3"/>
    <w:rsid w:val="7F2E59FC"/>
    <w:rsid w:val="7F89761A"/>
    <w:rsid w:val="7FCB5E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2"/>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3"/>
    <w:basedOn w:val="1"/>
    <w:next w:val="1"/>
    <w:link w:val="23"/>
    <w:qFormat/>
    <w:uiPriority w:val="99"/>
    <w:pPr>
      <w:keepNext/>
      <w:keepLines/>
      <w:spacing w:before="260" w:after="260" w:line="416" w:lineRule="atLeast"/>
      <w:outlineLvl w:val="2"/>
    </w:pPr>
    <w:rPr>
      <w:b/>
      <w:bCs/>
      <w:sz w:val="32"/>
      <w:szCs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4">
    <w:name w:val="Body Text"/>
    <w:basedOn w:val="1"/>
    <w:link w:val="60"/>
    <w:unhideWhenUsed/>
    <w:qFormat/>
    <w:locked/>
    <w:uiPriority w:val="99"/>
    <w:pPr>
      <w:spacing w:after="120"/>
    </w:pPr>
  </w:style>
  <w:style w:type="paragraph" w:styleId="5">
    <w:name w:val="Body Text Indent"/>
    <w:basedOn w:val="1"/>
    <w:link w:val="24"/>
    <w:qFormat/>
    <w:uiPriority w:val="99"/>
    <w:pPr>
      <w:widowControl w:val="0"/>
      <w:snapToGrid w:val="0"/>
      <w:spacing w:before="283" w:line="560" w:lineRule="exact"/>
      <w:ind w:firstLine="510"/>
    </w:pPr>
    <w:rPr>
      <w:sz w:val="20"/>
    </w:rPr>
  </w:style>
  <w:style w:type="paragraph" w:styleId="6">
    <w:name w:val="Plain Text"/>
    <w:basedOn w:val="1"/>
    <w:link w:val="25"/>
    <w:qFormat/>
    <w:uiPriority w:val="99"/>
    <w:pPr>
      <w:widowControl w:val="0"/>
      <w:spacing w:line="240" w:lineRule="auto"/>
      <w:textAlignment w:val="auto"/>
    </w:pPr>
    <w:rPr>
      <w:rFonts w:ascii="宋体" w:hAnsi="Courier New"/>
      <w:color w:val="auto"/>
      <w:kern w:val="2"/>
    </w:rPr>
  </w:style>
  <w:style w:type="paragraph" w:styleId="7">
    <w:name w:val="Date"/>
    <w:basedOn w:val="1"/>
    <w:next w:val="1"/>
    <w:link w:val="26"/>
    <w:qFormat/>
    <w:uiPriority w:val="99"/>
    <w:pPr>
      <w:ind w:left="100" w:leftChars="2500"/>
    </w:pPr>
  </w:style>
  <w:style w:type="paragraph" w:styleId="8">
    <w:name w:val="Balloon Text"/>
    <w:basedOn w:val="1"/>
    <w:link w:val="27"/>
    <w:qFormat/>
    <w:uiPriority w:val="99"/>
    <w:pPr>
      <w:spacing w:line="240" w:lineRule="auto"/>
    </w:pPr>
    <w:rPr>
      <w:sz w:val="18"/>
      <w:szCs w:val="18"/>
    </w:rPr>
  </w:style>
  <w:style w:type="paragraph" w:styleId="9">
    <w:name w:val="footer"/>
    <w:basedOn w:val="1"/>
    <w:link w:val="28"/>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link w:val="30"/>
    <w:qFormat/>
    <w:uiPriority w:val="99"/>
    <w:pPr>
      <w:spacing w:after="120" w:line="480" w:lineRule="auto"/>
    </w:pPr>
    <w:rPr>
      <w:sz w:val="20"/>
    </w:rPr>
  </w:style>
  <w:style w:type="paragraph" w:styleId="14">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5">
    <w:name w:val="Body Text First Indent"/>
    <w:basedOn w:val="4"/>
    <w:link w:val="61"/>
    <w:unhideWhenUsed/>
    <w:qFormat/>
    <w:locked/>
    <w:uiPriority w:val="99"/>
    <w:pPr>
      <w:ind w:firstLine="420" w:firstLineChars="1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99"/>
    <w:rPr>
      <w:rFonts w:cs="Times New Roman"/>
      <w:b/>
    </w:rPr>
  </w:style>
  <w:style w:type="character" w:styleId="20">
    <w:name w:val="page number"/>
    <w:qFormat/>
    <w:uiPriority w:val="99"/>
    <w:rPr>
      <w:rFonts w:cs="Times New Roman"/>
    </w:rPr>
  </w:style>
  <w:style w:type="character" w:styleId="21">
    <w:name w:val="Hyperlink"/>
    <w:qFormat/>
    <w:uiPriority w:val="99"/>
    <w:rPr>
      <w:rFonts w:cs="Times New Roman"/>
      <w:color w:val="0368A8"/>
      <w:u w:val="none"/>
    </w:rPr>
  </w:style>
  <w:style w:type="character" w:customStyle="1" w:styleId="22">
    <w:name w:val="标题 1 Char"/>
    <w:link w:val="2"/>
    <w:qFormat/>
    <w:locked/>
    <w:uiPriority w:val="99"/>
    <w:rPr>
      <w:rFonts w:cs="Times New Roman"/>
      <w:b/>
      <w:color w:val="000000"/>
      <w:kern w:val="44"/>
      <w:sz w:val="44"/>
      <w:u w:val="none" w:color="000000"/>
    </w:rPr>
  </w:style>
  <w:style w:type="character" w:customStyle="1" w:styleId="23">
    <w:name w:val="标题 3 Char"/>
    <w:link w:val="3"/>
    <w:semiHidden/>
    <w:qFormat/>
    <w:locked/>
    <w:uiPriority w:val="99"/>
    <w:rPr>
      <w:rFonts w:cs="Times New Roman"/>
      <w:b/>
      <w:color w:val="000000"/>
      <w:sz w:val="32"/>
      <w:u w:val="none" w:color="000000"/>
    </w:rPr>
  </w:style>
  <w:style w:type="character" w:customStyle="1" w:styleId="24">
    <w:name w:val="正文文本缩进 Char"/>
    <w:link w:val="5"/>
    <w:semiHidden/>
    <w:qFormat/>
    <w:locked/>
    <w:uiPriority w:val="99"/>
    <w:rPr>
      <w:rFonts w:cs="Times New Roman"/>
      <w:color w:val="000000"/>
      <w:kern w:val="0"/>
      <w:sz w:val="20"/>
      <w:u w:val="none" w:color="000000"/>
    </w:rPr>
  </w:style>
  <w:style w:type="character" w:customStyle="1" w:styleId="25">
    <w:name w:val="纯文本 Char1"/>
    <w:link w:val="6"/>
    <w:qFormat/>
    <w:locked/>
    <w:uiPriority w:val="99"/>
    <w:rPr>
      <w:rFonts w:ascii="宋体" w:hAnsi="Courier New" w:cs="Times New Roman"/>
      <w:color w:val="000000"/>
      <w:kern w:val="0"/>
      <w:sz w:val="21"/>
      <w:u w:val="none" w:color="000000"/>
    </w:rPr>
  </w:style>
  <w:style w:type="character" w:customStyle="1" w:styleId="26">
    <w:name w:val="日期 Char"/>
    <w:link w:val="7"/>
    <w:qFormat/>
    <w:locked/>
    <w:uiPriority w:val="99"/>
    <w:rPr>
      <w:rFonts w:cs="Times New Roman"/>
      <w:color w:val="000000"/>
      <w:sz w:val="21"/>
      <w:u w:val="none" w:color="000000"/>
    </w:rPr>
  </w:style>
  <w:style w:type="character" w:customStyle="1" w:styleId="27">
    <w:name w:val="批注框文本 Char"/>
    <w:link w:val="8"/>
    <w:qFormat/>
    <w:locked/>
    <w:uiPriority w:val="99"/>
    <w:rPr>
      <w:rFonts w:cs="Times New Roman"/>
      <w:color w:val="000000"/>
      <w:sz w:val="18"/>
      <w:u w:val="none" w:color="000000"/>
    </w:rPr>
  </w:style>
  <w:style w:type="character" w:customStyle="1" w:styleId="28">
    <w:name w:val="页脚 Char"/>
    <w:link w:val="9"/>
    <w:semiHidden/>
    <w:qFormat/>
    <w:locked/>
    <w:uiPriority w:val="99"/>
    <w:rPr>
      <w:rFonts w:cs="Times New Roman"/>
      <w:color w:val="000000"/>
      <w:kern w:val="0"/>
      <w:sz w:val="18"/>
      <w:u w:val="none" w:color="000000"/>
    </w:rPr>
  </w:style>
  <w:style w:type="character" w:customStyle="1" w:styleId="29">
    <w:name w:val="页眉 Char"/>
    <w:link w:val="10"/>
    <w:semiHidden/>
    <w:qFormat/>
    <w:locked/>
    <w:uiPriority w:val="99"/>
    <w:rPr>
      <w:rFonts w:cs="Times New Roman"/>
      <w:color w:val="000000"/>
      <w:kern w:val="0"/>
      <w:sz w:val="18"/>
      <w:u w:val="none" w:color="000000"/>
    </w:rPr>
  </w:style>
  <w:style w:type="character" w:customStyle="1" w:styleId="30">
    <w:name w:val="正文文本 2 Char"/>
    <w:link w:val="13"/>
    <w:semiHidden/>
    <w:qFormat/>
    <w:locked/>
    <w:uiPriority w:val="99"/>
    <w:rPr>
      <w:rFonts w:cs="Times New Roman"/>
      <w:color w:val="000000"/>
      <w:kern w:val="0"/>
      <w:sz w:val="20"/>
      <w:u w:val="none" w:color="000000"/>
    </w:rPr>
  </w:style>
  <w:style w:type="paragraph" w:customStyle="1" w:styleId="31">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32">
    <w:name w:val="章标题"/>
    <w:basedOn w:val="1"/>
    <w:next w:val="33"/>
    <w:qFormat/>
    <w:uiPriority w:val="99"/>
    <w:pPr>
      <w:spacing w:before="158" w:after="153" w:line="323" w:lineRule="atLeast"/>
      <w:jc w:val="center"/>
    </w:pPr>
    <w:rPr>
      <w:rFonts w:ascii="Arial" w:eastAsia="黑体"/>
      <w:sz w:val="31"/>
    </w:rPr>
  </w:style>
  <w:style w:type="paragraph" w:customStyle="1" w:styleId="33">
    <w:name w:val="节标题"/>
    <w:basedOn w:val="1"/>
    <w:next w:val="34"/>
    <w:qFormat/>
    <w:uiPriority w:val="99"/>
    <w:pPr>
      <w:spacing w:line="289" w:lineRule="atLeast"/>
      <w:jc w:val="center"/>
    </w:pPr>
    <w:rPr>
      <w:sz w:val="28"/>
    </w:rPr>
  </w:style>
  <w:style w:type="paragraph" w:customStyle="1" w:styleId="34">
    <w:name w:val="小节标题"/>
    <w:basedOn w:val="1"/>
    <w:next w:val="1"/>
    <w:qFormat/>
    <w:uiPriority w:val="99"/>
    <w:pPr>
      <w:spacing w:before="175" w:after="102" w:line="351" w:lineRule="atLeast"/>
    </w:pPr>
    <w:rPr>
      <w:rFonts w:eastAsia="黑体"/>
    </w:rPr>
  </w:style>
  <w:style w:type="paragraph" w:customStyle="1" w:styleId="35">
    <w:name w:val="目录2"/>
    <w:basedOn w:val="1"/>
    <w:next w:val="1"/>
    <w:qFormat/>
    <w:uiPriority w:val="99"/>
    <w:pPr>
      <w:tabs>
        <w:tab w:val="left" w:leader="dot" w:pos="8503"/>
      </w:tabs>
      <w:spacing w:line="317" w:lineRule="atLeast"/>
      <w:ind w:firstLine="209"/>
    </w:pPr>
  </w:style>
  <w:style w:type="paragraph" w:customStyle="1" w:styleId="36">
    <w:name w:val="目录4"/>
    <w:basedOn w:val="1"/>
    <w:next w:val="1"/>
    <w:qFormat/>
    <w:uiPriority w:val="99"/>
    <w:pPr>
      <w:tabs>
        <w:tab w:val="left" w:leader="dot" w:pos="8503"/>
      </w:tabs>
      <w:spacing w:line="317" w:lineRule="atLeast"/>
      <w:ind w:firstLine="629"/>
    </w:pPr>
  </w:style>
  <w:style w:type="paragraph" w:customStyle="1" w:styleId="37">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38">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39">
    <w:name w:val="目录3"/>
    <w:basedOn w:val="1"/>
    <w:next w:val="1"/>
    <w:qFormat/>
    <w:uiPriority w:val="99"/>
    <w:pPr>
      <w:tabs>
        <w:tab w:val="left" w:leader="dot" w:pos="8503"/>
      </w:tabs>
      <w:spacing w:line="317" w:lineRule="atLeast"/>
      <w:ind w:firstLine="419"/>
    </w:pPr>
  </w:style>
  <w:style w:type="paragraph" w:customStyle="1" w:styleId="40">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41">
    <w:name w:val="文章总标题"/>
    <w:basedOn w:val="1"/>
    <w:next w:val="42"/>
    <w:qFormat/>
    <w:uiPriority w:val="99"/>
    <w:pPr>
      <w:spacing w:before="566" w:after="544" w:line="566" w:lineRule="atLeast"/>
      <w:jc w:val="center"/>
    </w:pPr>
    <w:rPr>
      <w:rFonts w:ascii="Arial" w:eastAsia="黑体"/>
      <w:sz w:val="54"/>
    </w:rPr>
  </w:style>
  <w:style w:type="paragraph" w:customStyle="1" w:styleId="42">
    <w:name w:val="文章附标题"/>
    <w:basedOn w:val="1"/>
    <w:next w:val="32"/>
    <w:qFormat/>
    <w:uiPriority w:val="99"/>
    <w:pPr>
      <w:spacing w:before="187" w:after="175" w:line="374" w:lineRule="atLeast"/>
      <w:jc w:val="center"/>
    </w:pPr>
    <w:rPr>
      <w:sz w:val="36"/>
    </w:rPr>
  </w:style>
  <w:style w:type="paragraph" w:customStyle="1" w:styleId="43">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44">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45">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46">
    <w:name w:val="WPS Plain"/>
    <w:qFormat/>
    <w:uiPriority w:val="99"/>
    <w:rPr>
      <w:rFonts w:ascii="Times New Roman" w:hAnsi="Times New Roman" w:eastAsia="宋体" w:cs="Times New Roman"/>
      <w:lang w:val="en-US" w:eastAsia="zh-CN" w:bidi="ar-SA"/>
    </w:rPr>
  </w:style>
  <w:style w:type="paragraph" w:customStyle="1" w:styleId="47">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48">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0">
    <w:name w:val="链接"/>
    <w:qFormat/>
    <w:uiPriority w:val="99"/>
    <w:rPr>
      <w:rFonts w:ascii="Times New Roman" w:eastAsia="宋体"/>
      <w:color w:val="0000FF"/>
      <w:sz w:val="21"/>
      <w:u w:val="single" w:color="0000FF"/>
      <w:lang w:val="en-US" w:eastAsia="zh-CN"/>
    </w:rPr>
  </w:style>
  <w:style w:type="character" w:customStyle="1" w:styleId="51">
    <w:name w:val="超级链接"/>
    <w:qFormat/>
    <w:uiPriority w:val="99"/>
    <w:rPr>
      <w:rFonts w:ascii="Times New Roman" w:eastAsia="宋体"/>
      <w:color w:val="0000FF"/>
      <w:sz w:val="21"/>
      <w:u w:val="single" w:color="0000FF"/>
      <w:lang w:val="en-US" w:eastAsia="zh-CN"/>
    </w:rPr>
  </w:style>
  <w:style w:type="character" w:customStyle="1" w:styleId="52">
    <w:name w:val="param_td12"/>
    <w:qFormat/>
    <w:uiPriority w:val="99"/>
  </w:style>
  <w:style w:type="character" w:customStyle="1" w:styleId="53">
    <w:name w:val="纯文本 Char"/>
    <w:qFormat/>
    <w:locked/>
    <w:uiPriority w:val="99"/>
    <w:rPr>
      <w:rFonts w:ascii="宋体" w:hAnsi="Courier New" w:eastAsia="宋体"/>
      <w:kern w:val="2"/>
      <w:sz w:val="21"/>
      <w:lang w:val="en-US" w:eastAsia="zh-CN"/>
    </w:rPr>
  </w:style>
  <w:style w:type="character" w:customStyle="1" w:styleId="54">
    <w:name w:val="纯文本 Char Char"/>
    <w:qFormat/>
    <w:uiPriority w:val="99"/>
    <w:rPr>
      <w:rFonts w:ascii="宋体" w:hAnsi="Courier New" w:eastAsia="宋体"/>
      <w:kern w:val="2"/>
      <w:sz w:val="21"/>
      <w:lang w:val="en-US" w:eastAsia="zh-CN"/>
    </w:rPr>
  </w:style>
  <w:style w:type="character" w:customStyle="1" w:styleId="55">
    <w:name w:val="Char Char4"/>
    <w:qFormat/>
    <w:uiPriority w:val="99"/>
    <w:rPr>
      <w:rFonts w:ascii="宋体" w:eastAsia="宋体"/>
      <w:kern w:val="2"/>
      <w:sz w:val="28"/>
    </w:rPr>
  </w:style>
  <w:style w:type="character" w:customStyle="1" w:styleId="56">
    <w:name w:val="Plain Text Char1"/>
    <w:semiHidden/>
    <w:qFormat/>
    <w:locked/>
    <w:uiPriority w:val="99"/>
    <w:rPr>
      <w:rFonts w:ascii="宋体" w:hAnsi="Courier New" w:cs="Courier New"/>
      <w:color w:val="000000"/>
      <w:kern w:val="0"/>
      <w:sz w:val="21"/>
      <w:szCs w:val="21"/>
      <w:u w:val="none" w:color="000000"/>
    </w:rPr>
  </w:style>
  <w:style w:type="character" w:customStyle="1" w:styleId="57">
    <w:name w:val="15"/>
    <w:basedOn w:val="18"/>
    <w:qFormat/>
    <w:uiPriority w:val="0"/>
  </w:style>
  <w:style w:type="character" w:customStyle="1" w:styleId="58">
    <w:name w:val="样式 首行缩进:  0 字符 Char"/>
    <w:link w:val="59"/>
    <w:qFormat/>
    <w:locked/>
    <w:uiPriority w:val="0"/>
    <w:rPr>
      <w:sz w:val="24"/>
    </w:rPr>
  </w:style>
  <w:style w:type="paragraph" w:customStyle="1" w:styleId="59">
    <w:name w:val="样式 首行缩进:  0 字符"/>
    <w:basedOn w:val="1"/>
    <w:link w:val="58"/>
    <w:qFormat/>
    <w:uiPriority w:val="0"/>
    <w:pPr>
      <w:widowControl w:val="0"/>
      <w:spacing w:line="360" w:lineRule="auto"/>
      <w:ind w:firstLine="200" w:firstLineChars="200"/>
      <w:textAlignment w:val="auto"/>
    </w:pPr>
    <w:rPr>
      <w:color w:val="auto"/>
      <w:sz w:val="24"/>
    </w:rPr>
  </w:style>
  <w:style w:type="character" w:customStyle="1" w:styleId="60">
    <w:name w:val="正文文本 Char"/>
    <w:link w:val="4"/>
    <w:semiHidden/>
    <w:qFormat/>
    <w:uiPriority w:val="99"/>
    <w:rPr>
      <w:color w:val="000000"/>
      <w:sz w:val="21"/>
      <w:u w:color="000000"/>
    </w:rPr>
  </w:style>
  <w:style w:type="character" w:customStyle="1" w:styleId="61">
    <w:name w:val="正文首行缩进 Char"/>
    <w:link w:val="15"/>
    <w:semiHidden/>
    <w:qFormat/>
    <w:uiPriority w:val="99"/>
    <w:rPr>
      <w:color w:val="000000"/>
      <w:sz w:val="21"/>
      <w:u w:color="000000"/>
    </w:rPr>
  </w:style>
  <w:style w:type="paragraph" w:customStyle="1" w:styleId="62">
    <w:name w:val="正文文本 (2)"/>
    <w:basedOn w:val="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63">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64">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65">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66">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67">
    <w:name w:val="fontstyle01"/>
    <w:qFormat/>
    <w:uiPriority w:val="0"/>
    <w:rPr>
      <w:rFonts w:hint="eastAsia" w:ascii="宋体" w:hAnsi="宋体" w:eastAsia="宋体"/>
      <w:color w:val="000000"/>
      <w:sz w:val="24"/>
      <w:szCs w:val="24"/>
    </w:rPr>
  </w:style>
  <w:style w:type="paragraph" w:customStyle="1" w:styleId="68">
    <w:name w:val="Table Text"/>
    <w:basedOn w:val="1"/>
    <w:semiHidden/>
    <w:qFormat/>
    <w:uiPriority w:val="0"/>
    <w:pPr>
      <w:widowControl w:val="0"/>
      <w:spacing w:line="240" w:lineRule="auto"/>
      <w:textAlignment w:val="auto"/>
    </w:pPr>
    <w:rPr>
      <w:rFonts w:ascii="宋体" w:hAnsi="宋体" w:cs="宋体"/>
      <w:color w:val="auto"/>
      <w:kern w:val="2"/>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8568</Words>
  <Characters>9547</Characters>
  <Lines>61</Lines>
  <Paragraphs>88</Paragraphs>
  <TotalTime>8</TotalTime>
  <ScaleCrop>false</ScaleCrop>
  <LinksUpToDate>false</LinksUpToDate>
  <CharactersWithSpaces>9793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2025-11-10T06:31:00Z</dcterms:created>
  <dc:creator>ZM</dc:creator>
  <cp:lastModifiedBy>Administrator</cp:lastModifiedBy>
  <dcterms:modified xsi:type="dcterms:W3CDTF">2025-12-11T04:24:15Z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eyJoZGlkIjoiYzIzZjE4ZmIyOGYzOGE2MTU1YmVlN2UwM2NiZjY5NDkifQ==</vt:lpwstr>
  </property>
  <property fmtid="{D5CDD505-2E9C-101B-9397-08002B2CF9AE}" pid="4" name="ICV">
    <vt:lpwstr>97C9D5F6F161422B8288ABF0F4E91B08_12</vt:lpwstr>
  </property>
</Properties>
</file>