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624"/>
        <w:gridCol w:w="3848"/>
        <w:gridCol w:w="3816"/>
      </w:tblGrid>
      <w:tr w14:paraId="2DF0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29" w:type="pct"/>
            <w:vAlign w:val="center"/>
          </w:tcPr>
          <w:p w14:paraId="324FF1C8">
            <w:pPr>
              <w:keepNext w:val="0"/>
              <w:keepLines w:val="0"/>
              <w:pageBreakBefore w:val="0"/>
              <w:widowControl w:val="0"/>
              <w:kinsoku/>
              <w:wordWrap w:val="0"/>
              <w:overflowPunct/>
              <w:topLinePunct w:val="0"/>
              <w:autoSpaceDE/>
              <w:autoSpaceDN/>
              <w:bidi w:val="0"/>
              <w:adjustRightInd/>
              <w:snapToGrid/>
              <w:jc w:val="center"/>
              <w:textAlignment w:val="auto"/>
              <w:rPr>
                <w:rFonts w:hint="eastAsia" w:eastAsiaTheme="minorEastAsia"/>
                <w:b/>
                <w:bCs/>
                <w:vertAlign w:val="baseline"/>
                <w:lang w:val="en-US" w:eastAsia="zh-CN"/>
              </w:rPr>
            </w:pPr>
            <w:bookmarkStart w:id="0" w:name="_GoBack"/>
            <w:r>
              <w:rPr>
                <w:rFonts w:hint="eastAsia"/>
                <w:b/>
                <w:bCs/>
                <w:vertAlign w:val="baseline"/>
                <w:lang w:val="en-US" w:eastAsia="zh-CN"/>
              </w:rPr>
              <w:t>序号</w:t>
            </w:r>
          </w:p>
        </w:tc>
        <w:tc>
          <w:tcPr>
            <w:tcW w:w="816" w:type="pct"/>
            <w:vAlign w:val="center"/>
          </w:tcPr>
          <w:p w14:paraId="5BA4BDA3">
            <w:pPr>
              <w:keepNext w:val="0"/>
              <w:keepLines w:val="0"/>
              <w:pageBreakBefore w:val="0"/>
              <w:widowControl w:val="0"/>
              <w:kinsoku/>
              <w:wordWrap w:val="0"/>
              <w:overflowPunct/>
              <w:topLinePunct w:val="0"/>
              <w:autoSpaceDE/>
              <w:autoSpaceDN/>
              <w:bidi w:val="0"/>
              <w:adjustRightInd/>
              <w:snapToGrid/>
              <w:jc w:val="center"/>
              <w:textAlignment w:val="auto"/>
              <w:rPr>
                <w:rFonts w:hint="eastAsia" w:eastAsiaTheme="minorEastAsia"/>
                <w:b/>
                <w:bCs/>
                <w:vertAlign w:val="baseline"/>
                <w:lang w:val="en-US" w:eastAsia="zh-CN"/>
              </w:rPr>
            </w:pPr>
            <w:r>
              <w:rPr>
                <w:rFonts w:hint="eastAsia"/>
                <w:b/>
                <w:bCs/>
                <w:vertAlign w:val="baseline"/>
                <w:lang w:val="en-US" w:eastAsia="zh-CN"/>
              </w:rPr>
              <w:t>章节</w:t>
            </w:r>
          </w:p>
        </w:tc>
        <w:tc>
          <w:tcPr>
            <w:tcW w:w="1934" w:type="pct"/>
            <w:vAlign w:val="center"/>
          </w:tcPr>
          <w:p w14:paraId="7EA1FB62">
            <w:pPr>
              <w:keepNext w:val="0"/>
              <w:keepLines w:val="0"/>
              <w:pageBreakBefore w:val="0"/>
              <w:widowControl w:val="0"/>
              <w:kinsoku/>
              <w:wordWrap w:val="0"/>
              <w:overflowPunct/>
              <w:topLinePunct w:val="0"/>
              <w:autoSpaceDE/>
              <w:autoSpaceDN/>
              <w:bidi w:val="0"/>
              <w:adjustRightInd/>
              <w:snapToGrid/>
              <w:jc w:val="center"/>
              <w:textAlignment w:val="auto"/>
              <w:rPr>
                <w:b/>
                <w:bCs/>
                <w:vertAlign w:val="baseline"/>
              </w:rPr>
            </w:pPr>
            <w:r>
              <w:rPr>
                <w:rFonts w:hint="eastAsia"/>
                <w:b/>
                <w:bCs/>
                <w:vertAlign w:val="baseline"/>
              </w:rPr>
              <w:t>变更前采购内容</w:t>
            </w:r>
          </w:p>
        </w:tc>
        <w:tc>
          <w:tcPr>
            <w:tcW w:w="1918" w:type="pct"/>
            <w:vAlign w:val="center"/>
          </w:tcPr>
          <w:p w14:paraId="13DFEB98">
            <w:pPr>
              <w:keepNext w:val="0"/>
              <w:keepLines w:val="0"/>
              <w:pageBreakBefore w:val="0"/>
              <w:widowControl w:val="0"/>
              <w:kinsoku/>
              <w:wordWrap w:val="0"/>
              <w:overflowPunct/>
              <w:topLinePunct w:val="0"/>
              <w:autoSpaceDE/>
              <w:autoSpaceDN/>
              <w:bidi w:val="0"/>
              <w:adjustRightInd/>
              <w:snapToGrid/>
              <w:jc w:val="center"/>
              <w:textAlignment w:val="auto"/>
              <w:rPr>
                <w:b/>
                <w:bCs/>
                <w:vertAlign w:val="baseline"/>
              </w:rPr>
            </w:pPr>
            <w:r>
              <w:rPr>
                <w:rFonts w:hint="eastAsia"/>
                <w:b/>
                <w:bCs/>
                <w:vertAlign w:val="baseline"/>
              </w:rPr>
              <w:t>变更</w:t>
            </w:r>
            <w:r>
              <w:rPr>
                <w:rFonts w:hint="eastAsia"/>
                <w:b/>
                <w:bCs/>
                <w:vertAlign w:val="baseline"/>
                <w:lang w:val="en-US" w:eastAsia="zh-CN"/>
              </w:rPr>
              <w:t>后</w:t>
            </w:r>
            <w:r>
              <w:rPr>
                <w:rFonts w:hint="eastAsia"/>
                <w:b/>
                <w:bCs/>
                <w:vertAlign w:val="baseline"/>
              </w:rPr>
              <w:t>采购内容</w:t>
            </w:r>
          </w:p>
        </w:tc>
      </w:tr>
      <w:tr w14:paraId="6DB1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6A9ABDE3">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816" w:type="pct"/>
            <w:vAlign w:val="center"/>
          </w:tcPr>
          <w:p w14:paraId="5D34161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招标文件第二章投标人须知9.2</w:t>
            </w:r>
          </w:p>
        </w:tc>
        <w:tc>
          <w:tcPr>
            <w:tcW w:w="1934" w:type="pct"/>
            <w:vAlign w:val="center"/>
          </w:tcPr>
          <w:p w14:paraId="2BAD1E1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投标人认为采购文件、采购过程和中标结果使自己的权益受到损害的，可以在知道或者应知其权益受到损害之日起七个工作日内，按照政府采购质疑和投诉办法（中华人民共和国财政部令94号）以书面形式向采购人或采购代理机构提出质疑（邮寄件、传真件不予受理），逾期不再接收。接收质疑函联系部门：</w:t>
            </w:r>
            <w:r>
              <w:rPr>
                <w:rFonts w:hint="eastAsia" w:ascii="宋体" w:hAnsi="宋体" w:eastAsia="宋体" w:cs="宋体"/>
                <w:color w:val="auto"/>
                <w:szCs w:val="21"/>
                <w:highlight w:val="none"/>
                <w:lang w:val="zh-CN" w:eastAsia="zh-CN"/>
              </w:rPr>
              <w:t>河南天瑞源项目管理有限公司</w:t>
            </w:r>
            <w:r>
              <w:rPr>
                <w:rFonts w:hint="eastAsia" w:ascii="宋体" w:hAnsi="宋体" w:eastAsia="宋体" w:cs="宋体"/>
                <w:color w:val="auto"/>
                <w:szCs w:val="21"/>
                <w:highlight w:val="none"/>
                <w:lang w:eastAsia="zh-CN"/>
              </w:rPr>
              <w:t xml:space="preserve">  联系电话：</w:t>
            </w:r>
            <w:r>
              <w:rPr>
                <w:rFonts w:hint="eastAsia" w:ascii="宋体" w:hAnsi="宋体" w:eastAsia="宋体" w:cs="宋体"/>
                <w:color w:val="auto"/>
                <w:szCs w:val="21"/>
                <w:highlight w:val="none"/>
                <w:lang w:val="en-US" w:eastAsia="zh-CN"/>
              </w:rPr>
              <w:t>16603831740</w:t>
            </w:r>
            <w:r>
              <w:rPr>
                <w:rFonts w:hint="eastAsia" w:ascii="宋体" w:hAnsi="宋体" w:eastAsia="宋体" w:cs="宋体"/>
                <w:color w:val="auto"/>
                <w:szCs w:val="21"/>
                <w:highlight w:val="none"/>
                <w:lang w:eastAsia="zh-CN"/>
              </w:rPr>
              <w:t xml:space="preserve"> 通讯地址：</w:t>
            </w:r>
            <w:r>
              <w:rPr>
                <w:rFonts w:hint="eastAsia" w:ascii="宋体" w:hAnsi="宋体" w:eastAsia="宋体" w:cs="宋体"/>
                <w:color w:val="auto"/>
                <w:szCs w:val="21"/>
                <w:highlight w:val="none"/>
                <w:lang w:val="zh-CN" w:eastAsia="zh-CN"/>
              </w:rPr>
              <w:t>郑州市中原区华山路105号芝麻街公园里D9栋1楼1888室</w:t>
            </w:r>
            <w:r>
              <w:rPr>
                <w:rFonts w:hint="eastAsia" w:ascii="宋体" w:hAnsi="宋体" w:eastAsia="宋体" w:cs="宋体"/>
                <w:color w:val="auto"/>
                <w:szCs w:val="21"/>
                <w:highlight w:val="none"/>
                <w:lang w:eastAsia="zh-CN"/>
              </w:rPr>
              <w:t>。</w:t>
            </w:r>
          </w:p>
          <w:p w14:paraId="195AB4E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color w:val="auto"/>
                <w:szCs w:val="21"/>
                <w:highlight w:val="none"/>
                <w:lang w:eastAsia="zh-CN"/>
              </w:rPr>
              <w:t>在法定质疑期内投标人针对同一采购程序环节的质疑应当一次性提出。</w:t>
            </w:r>
          </w:p>
        </w:tc>
        <w:tc>
          <w:tcPr>
            <w:tcW w:w="1918" w:type="pct"/>
            <w:vAlign w:val="center"/>
          </w:tcPr>
          <w:p w14:paraId="5A51EC41">
            <w:pPr>
              <w:keepNext w:val="0"/>
              <w:keepLines w:val="0"/>
              <w:pageBreakBefore w:val="0"/>
              <w:widowControl w:val="0"/>
              <w:numPr>
                <w:ilvl w:val="0"/>
                <w:numId w:val="1"/>
              </w:numPr>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投标人认为采购文件、采购过程和中标结果使自己的权益受到损害的，可以在知道或者应知其权益受到损害之日起七个工作日内，按照《政府采购质疑和投诉办法》（中华人民共和国财政部令94号）</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lang w:eastAsia="zh-CN"/>
              </w:rPr>
              <w:t>《电子招标投标办法》第三十九条</w:t>
            </w:r>
            <w:r>
              <w:rPr>
                <w:rFonts w:hint="eastAsia" w:ascii="宋体" w:hAnsi="宋体" w:eastAsia="宋体" w:cs="宋体"/>
                <w:color w:val="auto"/>
                <w:szCs w:val="21"/>
                <w:highlight w:val="none"/>
                <w:lang w:val="en-US" w:eastAsia="zh-CN"/>
              </w:rPr>
              <w:t>规定，以法律法规规定的质疑格式通过“登封市公共资源交易中心电子招标投标平台”</w:t>
            </w:r>
            <w:r>
              <w:rPr>
                <w:rFonts w:hint="eastAsia" w:ascii="宋体" w:hAnsi="宋体" w:eastAsia="宋体" w:cs="宋体"/>
                <w:color w:val="auto"/>
                <w:szCs w:val="21"/>
                <w:highlight w:val="none"/>
                <w:lang w:eastAsia="zh-CN"/>
              </w:rPr>
              <w:t>向采购人或采购代理机构提出，逾期不再接收。</w:t>
            </w:r>
          </w:p>
          <w:p w14:paraId="2A37B65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color w:val="auto"/>
                <w:szCs w:val="21"/>
                <w:highlight w:val="none"/>
                <w:lang w:eastAsia="zh-CN"/>
              </w:rPr>
              <w:t>在法定质疑期内投标人针对同一采购程序环节的质疑应当一次性提出。</w:t>
            </w:r>
          </w:p>
        </w:tc>
      </w:tr>
      <w:tr w14:paraId="34EB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19DF7DBE">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816" w:type="pct"/>
            <w:vAlign w:val="center"/>
          </w:tcPr>
          <w:p w14:paraId="7015720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招标文件第四章第四章 评标办法（综合评分法）-</w:t>
            </w:r>
            <w:r>
              <w:rPr>
                <w:rFonts w:hint="eastAsia" w:ascii="宋体" w:hAnsi="宋体" w:eastAsia="宋体" w:cs="宋体"/>
                <w:color w:val="auto"/>
                <w:kern w:val="0"/>
                <w:sz w:val="21"/>
                <w:szCs w:val="21"/>
                <w:highlight w:val="none"/>
                <w:lang w:val="en-US" w:eastAsia="zh-CN"/>
              </w:rPr>
              <w:t>2.2.2（2）</w:t>
            </w:r>
            <w:r>
              <w:rPr>
                <w:rFonts w:hint="eastAsia" w:ascii="宋体" w:hAnsi="宋体" w:eastAsia="宋体" w:cs="宋体"/>
                <w:b/>
                <w:color w:val="auto"/>
                <w:sz w:val="21"/>
                <w:szCs w:val="21"/>
                <w:highlight w:val="none"/>
              </w:rPr>
              <w:t>术部分（</w:t>
            </w:r>
            <w:r>
              <w:rPr>
                <w:rFonts w:hint="eastAsia" w:ascii="宋体" w:hAnsi="宋体" w:cs="宋体"/>
                <w:b/>
                <w:color w:val="auto"/>
                <w:sz w:val="21"/>
                <w:szCs w:val="21"/>
                <w:highlight w:val="none"/>
                <w:lang w:val="en-US" w:eastAsia="zh-CN"/>
              </w:rPr>
              <w:t>45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kern w:val="0"/>
                <w:sz w:val="21"/>
                <w:szCs w:val="21"/>
                <w:highlight w:val="none"/>
              </w:rPr>
              <w:t>投标主要设备技术指标的响应程度：</w:t>
            </w:r>
            <w:r>
              <w:rPr>
                <w:rFonts w:hint="eastAsia" w:ascii="宋体" w:hAnsi="宋体" w:cs="宋体"/>
                <w:b/>
                <w:bCs/>
                <w:color w:val="auto"/>
                <w:kern w:val="0"/>
                <w:sz w:val="21"/>
                <w:szCs w:val="21"/>
                <w:highlight w:val="none"/>
                <w:lang w:val="en-US" w:eastAsia="zh-CN"/>
              </w:rPr>
              <w:t>45</w:t>
            </w:r>
            <w:r>
              <w:rPr>
                <w:rFonts w:hint="eastAsia" w:ascii="宋体" w:hAnsi="宋体" w:eastAsia="宋体" w:cs="宋体"/>
                <w:b/>
                <w:bCs/>
                <w:color w:val="auto"/>
                <w:kern w:val="0"/>
                <w:sz w:val="21"/>
                <w:szCs w:val="21"/>
                <w:highlight w:val="none"/>
              </w:rPr>
              <w:t>分</w:t>
            </w:r>
          </w:p>
        </w:tc>
        <w:tc>
          <w:tcPr>
            <w:tcW w:w="1934" w:type="pct"/>
            <w:vAlign w:val="center"/>
          </w:tcPr>
          <w:p w14:paraId="16E5011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技术指标和要求</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eastAsia="zh-CN"/>
              </w:rPr>
              <w:t>分</w:t>
            </w:r>
          </w:p>
          <w:p w14:paraId="54740AB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根据招标文件第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eastAsia="zh-CN"/>
              </w:rPr>
              <w:t>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招标项目需求及技术要求</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eastAsia="zh-CN"/>
              </w:rPr>
              <w:t>，如果投标人所投设备的所有条款均符合招标文件技术参数与要求，得基本分</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eastAsia="zh-CN"/>
              </w:rPr>
              <w:t>分。</w:t>
            </w:r>
          </w:p>
          <w:p w14:paraId="24E20C0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带“▲”号的技术参数为关键性技术参数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每有一项负偏差即扣除</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分，以此累计，</w:t>
            </w:r>
            <w:r>
              <w:rPr>
                <w:rFonts w:hint="eastAsia" w:ascii="宋体" w:hAnsi="宋体" w:eastAsia="宋体" w:cs="宋体"/>
                <w:color w:val="auto"/>
                <w:szCs w:val="21"/>
                <w:highlight w:val="none"/>
                <w:lang w:val="en-US" w:eastAsia="zh-CN"/>
              </w:rPr>
              <w:t>扣完为止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项为一般指标,每条负偏离扣1分，扣完为止</w:t>
            </w:r>
            <w:r>
              <w:rPr>
                <w:rFonts w:hint="eastAsia" w:ascii="宋体" w:hAnsi="宋体" w:eastAsia="宋体" w:cs="宋体"/>
                <w:color w:val="auto"/>
                <w:szCs w:val="21"/>
                <w:highlight w:val="none"/>
                <w:lang w:eastAsia="zh-CN"/>
              </w:rPr>
              <w:t>；</w:t>
            </w:r>
          </w:p>
        </w:tc>
        <w:tc>
          <w:tcPr>
            <w:tcW w:w="1918" w:type="pct"/>
            <w:vAlign w:val="center"/>
          </w:tcPr>
          <w:p w14:paraId="2BC4BC7F">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技术指标和要求</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eastAsia="zh-CN"/>
              </w:rPr>
              <w:t>分</w:t>
            </w:r>
          </w:p>
          <w:p w14:paraId="040D544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根据招标文件第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eastAsia="zh-CN"/>
              </w:rPr>
              <w:t>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招标项目需求及技术要求</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eastAsia="zh-CN"/>
              </w:rPr>
              <w:t>，如果投标人所投设备的所有条款均符合招标文件技术参数与要求，得基本分</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lang w:eastAsia="zh-CN"/>
              </w:rPr>
              <w:t>分。</w:t>
            </w:r>
          </w:p>
          <w:p w14:paraId="549F23C3">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带“▲”号的技术参数为关键性技术参数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每有一项负偏差即扣除</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分，以此累计，</w:t>
            </w:r>
            <w:r>
              <w:rPr>
                <w:rFonts w:hint="eastAsia" w:ascii="宋体" w:hAnsi="宋体" w:eastAsia="宋体" w:cs="宋体"/>
                <w:color w:val="auto"/>
                <w:szCs w:val="21"/>
                <w:highlight w:val="none"/>
                <w:lang w:val="en-US" w:eastAsia="zh-CN"/>
              </w:rPr>
              <w:t>扣至本项0分为止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项为一般指标,每条负偏离扣1分，扣至本项0分为止</w:t>
            </w:r>
            <w:r>
              <w:rPr>
                <w:rFonts w:hint="eastAsia" w:ascii="宋体" w:hAnsi="宋体" w:eastAsia="宋体" w:cs="宋体"/>
                <w:color w:val="auto"/>
                <w:szCs w:val="21"/>
                <w:highlight w:val="none"/>
                <w:lang w:eastAsia="zh-CN"/>
              </w:rPr>
              <w:t>；</w:t>
            </w:r>
          </w:p>
        </w:tc>
      </w:tr>
      <w:tr w14:paraId="7867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078488B9">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816" w:type="pct"/>
            <w:vAlign w:val="center"/>
          </w:tcPr>
          <w:p w14:paraId="5B6D382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招标文件第四章第四章 评标办法（综合评分法）-</w:t>
            </w:r>
            <w:r>
              <w:rPr>
                <w:rFonts w:hint="eastAsia" w:ascii="宋体" w:hAnsi="宋体" w:eastAsia="宋体" w:cs="宋体"/>
                <w:color w:val="auto"/>
                <w:kern w:val="0"/>
                <w:sz w:val="21"/>
                <w:szCs w:val="21"/>
                <w:highlight w:val="none"/>
                <w:lang w:val="en-US" w:eastAsia="zh-CN"/>
              </w:rPr>
              <w:t>2.2.2（2）</w:t>
            </w:r>
            <w:r>
              <w:rPr>
                <w:rFonts w:hint="eastAsia" w:ascii="宋体" w:hAnsi="宋体" w:eastAsia="宋体" w:cs="宋体"/>
                <w:b/>
                <w:color w:val="auto"/>
                <w:sz w:val="21"/>
                <w:szCs w:val="21"/>
                <w:highlight w:val="none"/>
              </w:rPr>
              <w:t>术部分（</w:t>
            </w:r>
            <w:r>
              <w:rPr>
                <w:rFonts w:hint="eastAsia" w:ascii="宋体" w:hAnsi="宋体" w:cs="宋体"/>
                <w:b/>
                <w:color w:val="auto"/>
                <w:sz w:val="21"/>
                <w:szCs w:val="21"/>
                <w:highlight w:val="none"/>
                <w:lang w:val="en-US" w:eastAsia="zh-CN"/>
              </w:rPr>
              <w:t>45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kern w:val="0"/>
                <w:sz w:val="21"/>
                <w:szCs w:val="21"/>
                <w:highlight w:val="none"/>
              </w:rPr>
              <w:t>投标主要设备技术指标的响应程度：</w:t>
            </w:r>
            <w:r>
              <w:rPr>
                <w:rFonts w:hint="eastAsia" w:ascii="宋体" w:hAnsi="宋体" w:cs="宋体"/>
                <w:b/>
                <w:bCs/>
                <w:color w:val="auto"/>
                <w:kern w:val="0"/>
                <w:sz w:val="21"/>
                <w:szCs w:val="21"/>
                <w:highlight w:val="none"/>
                <w:lang w:val="en-US" w:eastAsia="zh-CN"/>
              </w:rPr>
              <w:t>45</w:t>
            </w:r>
            <w:r>
              <w:rPr>
                <w:rFonts w:hint="eastAsia" w:ascii="宋体" w:hAnsi="宋体" w:eastAsia="宋体" w:cs="宋体"/>
                <w:b/>
                <w:bCs/>
                <w:color w:val="auto"/>
                <w:kern w:val="0"/>
                <w:sz w:val="21"/>
                <w:szCs w:val="21"/>
                <w:highlight w:val="none"/>
              </w:rPr>
              <w:t>分</w:t>
            </w:r>
          </w:p>
        </w:tc>
        <w:tc>
          <w:tcPr>
            <w:tcW w:w="1934" w:type="pct"/>
            <w:vAlign w:val="center"/>
          </w:tcPr>
          <w:p w14:paraId="1F04C288">
            <w:pPr>
              <w:pStyle w:val="2"/>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所投产品技术参数响应招标文件中技术参数”是指投标文件中“技术规格偏差表-投标规格”中列明的所投产品技术参数等于或优于招标文件对应项要求，偏差情况为“无偏离或正偏离”；否则为不响应，偏差情况为“负偏离”；</w:t>
            </w:r>
          </w:p>
        </w:tc>
        <w:tc>
          <w:tcPr>
            <w:tcW w:w="1918" w:type="pct"/>
            <w:vAlign w:val="center"/>
          </w:tcPr>
          <w:p w14:paraId="7167C51C">
            <w:pPr>
              <w:pStyle w:val="2"/>
              <w:keepNext w:val="0"/>
              <w:keepLines w:val="0"/>
              <w:pageBreakBefore w:val="0"/>
              <w:widowControl w:val="0"/>
              <w:kinsoku/>
              <w:wordWrap w:val="0"/>
              <w:overflowPunct/>
              <w:topLinePunct w:val="0"/>
              <w:autoSpaceDE/>
              <w:autoSpaceDN/>
              <w:bidi w:val="0"/>
              <w:adjustRightInd/>
              <w:snapToGrid/>
              <w:spacing w:after="0" w:line="240" w:lineRule="auto"/>
              <w:ind w:firstLine="0" w:firstLineChars="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（2）“所投产品技术参数响应招标文件中技术参数”是指投标文件中“技术规格偏差表-投标规格”中列明的所投产品技术参数等于或优于招标文件对应项要求；</w:t>
            </w:r>
          </w:p>
        </w:tc>
      </w:tr>
      <w:tr w14:paraId="7893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E06EFED">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816" w:type="pct"/>
            <w:vAlign w:val="center"/>
          </w:tcPr>
          <w:p w14:paraId="30776E3B">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招标文件第六章招标项目需求及技术要求-</w:t>
            </w:r>
            <w:r>
              <w:rPr>
                <w:rFonts w:hint="eastAsia" w:ascii="宋体" w:hAnsi="宋体" w:eastAsia="宋体" w:cs="宋体"/>
                <w:color w:val="auto"/>
                <w:szCs w:val="21"/>
                <w:highlight w:val="none"/>
                <w:lang w:eastAsia="zh-CN"/>
              </w:rPr>
              <w:t>一、招标项目概述</w:t>
            </w:r>
          </w:p>
        </w:tc>
        <w:tc>
          <w:tcPr>
            <w:tcW w:w="1934" w:type="pct"/>
            <w:vAlign w:val="center"/>
          </w:tcPr>
          <w:p w14:paraId="01C607D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color w:val="auto"/>
                <w:szCs w:val="21"/>
                <w:highlight w:val="none"/>
                <w:lang w:eastAsia="zh-CN"/>
              </w:rPr>
              <w:t>3.项目概况：通过中央水机房集中制备纯水，再通过不同的管网输送给</w:t>
            </w:r>
            <w:r>
              <w:rPr>
                <w:rFonts w:hint="eastAsia" w:ascii="宋体" w:hAnsi="宋体" w:eastAsia="宋体" w:cs="宋体"/>
                <w:color w:val="000000"/>
                <w:kern w:val="0"/>
                <w:sz w:val="21"/>
                <w:szCs w:val="21"/>
                <w:lang w:bidi="ar"/>
              </w:rPr>
              <w:t>中心供应室、病理科、检验科、内镜中心、中心手术室、口腔、急诊化验、婴儿洗澡、静配中心、产房、全院直饮水等，实现全院纯水系统的集中化分配及</w:t>
            </w:r>
            <w:r>
              <w:rPr>
                <w:rFonts w:hint="eastAsia" w:ascii="宋体" w:hAnsi="宋体" w:eastAsia="宋体" w:cs="宋体"/>
                <w:color w:val="000000"/>
                <w:kern w:val="0"/>
                <w:sz w:val="21"/>
                <w:szCs w:val="21"/>
                <w:shd w:val="clear" w:color="auto" w:fill="auto"/>
                <w:lang w:bidi="ar"/>
              </w:rPr>
              <w:t>管理。</w:t>
            </w:r>
            <w:r>
              <w:rPr>
                <w:rFonts w:hint="eastAsia" w:ascii="宋体" w:hAnsi="宋体" w:eastAsia="宋体" w:cs="宋体"/>
                <w:color w:val="000000"/>
                <w:kern w:val="0"/>
                <w:sz w:val="21"/>
                <w:szCs w:val="21"/>
                <w:highlight w:val="none"/>
                <w:shd w:val="clear" w:color="auto" w:fill="auto"/>
                <w:lang w:bidi="ar"/>
              </w:rPr>
              <w:t>（系统点位详见招标图纸）</w:t>
            </w:r>
            <w:r>
              <w:rPr>
                <w:rFonts w:hint="eastAsia" w:ascii="宋体" w:hAnsi="宋体" w:eastAsia="宋体" w:cs="宋体"/>
                <w:color w:val="000000"/>
                <w:kern w:val="0"/>
                <w:sz w:val="21"/>
                <w:szCs w:val="21"/>
                <w:shd w:val="clear" w:color="auto" w:fill="auto"/>
                <w:lang w:bidi="ar"/>
              </w:rPr>
              <w:t>。</w:t>
            </w:r>
          </w:p>
        </w:tc>
        <w:tc>
          <w:tcPr>
            <w:tcW w:w="1918" w:type="pct"/>
            <w:vAlign w:val="center"/>
          </w:tcPr>
          <w:p w14:paraId="0B4C1120">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color w:val="auto"/>
                <w:szCs w:val="21"/>
                <w:highlight w:val="none"/>
                <w:lang w:eastAsia="zh-CN"/>
              </w:rPr>
              <w:t>3.项目概况：</w:t>
            </w:r>
            <w:r>
              <w:rPr>
                <w:rFonts w:hint="eastAsia" w:ascii="宋体" w:hAnsi="宋体" w:eastAsia="宋体" w:cs="宋体"/>
                <w:color w:val="000000"/>
                <w:kern w:val="0"/>
                <w:sz w:val="21"/>
                <w:szCs w:val="21"/>
                <w:lang w:bidi="ar"/>
              </w:rPr>
              <w:t>通过中央水机房集中制备纯水，再通过不同的管网输送给中心供应室、病理科、检验科、内镜中心、中心手术室、口腔、急诊化验、婴儿洗澡、静配中心、产房、全院直饮水等，实现全院纯水系统的集中化分配及</w:t>
            </w:r>
            <w:r>
              <w:rPr>
                <w:rFonts w:hint="eastAsia" w:ascii="宋体" w:hAnsi="宋体" w:eastAsia="宋体" w:cs="宋体"/>
                <w:color w:val="000000"/>
                <w:kern w:val="0"/>
                <w:sz w:val="21"/>
                <w:szCs w:val="21"/>
                <w:shd w:val="clear" w:color="auto" w:fill="auto"/>
                <w:lang w:bidi="ar"/>
              </w:rPr>
              <w:t>管理。</w:t>
            </w:r>
          </w:p>
        </w:tc>
      </w:tr>
      <w:tr w14:paraId="7C13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5E419C8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sz w:val="21"/>
                <w:szCs w:val="21"/>
                <w:lang w:val="en-US" w:eastAsia="zh-CN"/>
              </w:rPr>
              <w:t>5</w:t>
            </w:r>
          </w:p>
        </w:tc>
        <w:tc>
          <w:tcPr>
            <w:tcW w:w="816" w:type="pct"/>
            <w:vAlign w:val="center"/>
          </w:tcPr>
          <w:p w14:paraId="75B55BF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招标文件第六章招标项目需求及技术要求-二、招标范围及要求</w:t>
            </w:r>
          </w:p>
        </w:tc>
        <w:tc>
          <w:tcPr>
            <w:tcW w:w="1934" w:type="pct"/>
            <w:vAlign w:val="center"/>
          </w:tcPr>
          <w:p w14:paraId="7942556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sz w:val="21"/>
                <w:szCs w:val="21"/>
              </w:rPr>
              <w:t>2.供应模式：制水设备包含东侧2套医疗纯水设备（</w:t>
            </w:r>
            <w:r>
              <w:rPr>
                <w:rFonts w:hint="eastAsia" w:ascii="宋体" w:hAnsi="宋体" w:eastAsia="宋体" w:cs="宋体"/>
                <w:color w:val="000000"/>
                <w:kern w:val="0"/>
                <w:sz w:val="21"/>
                <w:szCs w:val="21"/>
                <w:lang w:bidi="ar"/>
              </w:rPr>
              <w:t>感染性疾病楼冲洗用水</w:t>
            </w:r>
            <w:r>
              <w:rPr>
                <w:rFonts w:hint="eastAsia" w:ascii="宋体" w:hAnsi="宋体" w:eastAsia="宋体" w:cs="宋体"/>
                <w:sz w:val="21"/>
                <w:szCs w:val="21"/>
              </w:rPr>
              <w:t>2×0.5T/h，</w:t>
            </w:r>
            <w:r>
              <w:rPr>
                <w:rFonts w:hint="eastAsia" w:ascii="宋体" w:hAnsi="宋体" w:eastAsia="宋体" w:cs="宋体"/>
                <w:color w:val="000000"/>
                <w:kern w:val="0"/>
                <w:sz w:val="21"/>
                <w:szCs w:val="21"/>
                <w:lang w:bidi="ar"/>
              </w:rPr>
              <w:t>平疫结合楼内镜清洗用水</w:t>
            </w:r>
            <w:r>
              <w:rPr>
                <w:rFonts w:hint="eastAsia" w:ascii="宋体" w:hAnsi="宋体" w:eastAsia="宋体" w:cs="宋体"/>
                <w:sz w:val="21"/>
                <w:szCs w:val="21"/>
              </w:rPr>
              <w:t>1.0T/h）、1套直饮水设备（2×1.5T/h），西侧1套中央纯水设备（含检验科</w:t>
            </w:r>
            <w:r>
              <w:rPr>
                <w:rFonts w:hint="eastAsia" w:ascii="宋体" w:hAnsi="宋体" w:eastAsia="宋体" w:cs="宋体"/>
                <w:sz w:val="21"/>
                <w:szCs w:val="21"/>
                <w:lang w:val="en-US" w:eastAsia="zh-CN"/>
              </w:rPr>
              <w:t>的</w:t>
            </w:r>
            <w:r>
              <w:rPr>
                <w:rFonts w:hint="eastAsia" w:ascii="宋体" w:hAnsi="宋体" w:eastAsia="宋体" w:cs="宋体"/>
                <w:sz w:val="21"/>
                <w:szCs w:val="21"/>
              </w:rPr>
              <w:t>二次处理和1套酸化水设备240（L/h），），其中中央纯水设备预处理2×</w:t>
            </w:r>
            <w:r>
              <w:rPr>
                <w:rFonts w:hint="eastAsia" w:ascii="宋体" w:hAnsi="宋体" w:eastAsia="宋体" w:cs="宋体"/>
                <w:color w:val="000000"/>
                <w:sz w:val="21"/>
                <w:szCs w:val="21"/>
              </w:rPr>
              <w:t>18T/h</w:t>
            </w:r>
            <w:r>
              <w:rPr>
                <w:rFonts w:hint="eastAsia" w:ascii="宋体" w:hAnsi="宋体" w:eastAsia="宋体" w:cs="宋体"/>
                <w:sz w:val="21"/>
                <w:szCs w:val="21"/>
              </w:rPr>
              <w:t>，一级纯水主机2×10.0T/h，二级纯水主机2×3.0T/h，采用两套系统并联运行。中央纯水系统浓水回收再利用，用于绿地灌溉、</w:t>
            </w:r>
            <w:r>
              <w:rPr>
                <w:rFonts w:hint="eastAsia" w:ascii="宋体" w:hAnsi="宋体" w:eastAsia="宋体" w:cs="宋体"/>
                <w:sz w:val="21"/>
                <w:szCs w:val="21"/>
                <w:lang w:val="en-US" w:eastAsia="zh-CN"/>
              </w:rPr>
              <w:t>消防用水、</w:t>
            </w:r>
            <w:r>
              <w:rPr>
                <w:rFonts w:hint="eastAsia" w:ascii="宋体" w:hAnsi="宋体" w:eastAsia="宋体" w:cs="宋体"/>
                <w:sz w:val="21"/>
                <w:szCs w:val="21"/>
              </w:rPr>
              <w:t>洗车或冲厕等。（设计水量需根据图纸、需求表重新核算，不得小于以上数据。）</w:t>
            </w:r>
          </w:p>
        </w:tc>
        <w:tc>
          <w:tcPr>
            <w:tcW w:w="1918" w:type="pct"/>
            <w:vAlign w:val="center"/>
          </w:tcPr>
          <w:p w14:paraId="722EE9A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sz w:val="21"/>
                <w:szCs w:val="21"/>
              </w:rPr>
              <w:t>2.供应模式：制水设备包含东侧2套医疗纯水设备（</w:t>
            </w:r>
            <w:r>
              <w:rPr>
                <w:rFonts w:hint="eastAsia" w:ascii="宋体" w:hAnsi="宋体" w:eastAsia="宋体" w:cs="宋体"/>
                <w:color w:val="000000"/>
                <w:kern w:val="0"/>
                <w:sz w:val="21"/>
                <w:szCs w:val="21"/>
                <w:lang w:bidi="ar"/>
              </w:rPr>
              <w:t>感染性疾病楼冲洗用水</w:t>
            </w:r>
            <w:r>
              <w:rPr>
                <w:rFonts w:hint="eastAsia" w:ascii="宋体" w:hAnsi="宋体" w:eastAsia="宋体" w:cs="宋体"/>
                <w:sz w:val="21"/>
                <w:szCs w:val="21"/>
              </w:rPr>
              <w:t>2×0.5T/h，</w:t>
            </w:r>
            <w:r>
              <w:rPr>
                <w:rFonts w:hint="eastAsia" w:ascii="宋体" w:hAnsi="宋体" w:eastAsia="宋体" w:cs="宋体"/>
                <w:color w:val="000000"/>
                <w:kern w:val="0"/>
                <w:sz w:val="21"/>
                <w:szCs w:val="21"/>
                <w:lang w:bidi="ar"/>
              </w:rPr>
              <w:t>平疫结合楼内镜清洗用水</w:t>
            </w:r>
            <w:r>
              <w:rPr>
                <w:rFonts w:hint="eastAsia" w:ascii="宋体" w:hAnsi="宋体" w:eastAsia="宋体" w:cs="宋体"/>
                <w:sz w:val="21"/>
                <w:szCs w:val="21"/>
              </w:rPr>
              <w:t>1.0T/h）、1套直饮水设备（2×1.5T/h），西侧1套中央纯水设备（含检验科</w:t>
            </w:r>
            <w:r>
              <w:rPr>
                <w:rFonts w:hint="eastAsia" w:ascii="宋体" w:hAnsi="宋体" w:eastAsia="宋体" w:cs="宋体"/>
                <w:sz w:val="21"/>
                <w:szCs w:val="21"/>
                <w:lang w:val="en-US" w:eastAsia="zh-CN"/>
              </w:rPr>
              <w:t>的</w:t>
            </w:r>
            <w:r>
              <w:rPr>
                <w:rFonts w:hint="eastAsia" w:ascii="宋体" w:hAnsi="宋体" w:eastAsia="宋体" w:cs="宋体"/>
                <w:sz w:val="21"/>
                <w:szCs w:val="21"/>
              </w:rPr>
              <w:t>二次处理和1套酸化水设备240（L/h），），其中中央纯水设备预处理2×</w:t>
            </w:r>
            <w:r>
              <w:rPr>
                <w:rFonts w:hint="eastAsia" w:ascii="宋体" w:hAnsi="宋体" w:eastAsia="宋体" w:cs="宋体"/>
                <w:color w:val="000000"/>
                <w:sz w:val="21"/>
                <w:szCs w:val="21"/>
              </w:rPr>
              <w:t>18T/h</w:t>
            </w:r>
            <w:r>
              <w:rPr>
                <w:rFonts w:hint="eastAsia" w:ascii="宋体" w:hAnsi="宋体" w:eastAsia="宋体" w:cs="宋体"/>
                <w:sz w:val="21"/>
                <w:szCs w:val="21"/>
              </w:rPr>
              <w:t>，一级纯水主机2×10.0T/h，二级纯水主机2×3.0T/h，采用两套系统并联运行。中央纯水系统浓水回收再利用，用于绿地灌溉、</w:t>
            </w:r>
            <w:r>
              <w:rPr>
                <w:rFonts w:hint="eastAsia" w:ascii="宋体" w:hAnsi="宋体" w:eastAsia="宋体" w:cs="宋体"/>
                <w:sz w:val="21"/>
                <w:szCs w:val="21"/>
                <w:lang w:val="en-US" w:eastAsia="zh-CN"/>
              </w:rPr>
              <w:t>消防用水、</w:t>
            </w:r>
            <w:r>
              <w:rPr>
                <w:rFonts w:hint="eastAsia" w:ascii="宋体" w:hAnsi="宋体" w:eastAsia="宋体" w:cs="宋体"/>
                <w:sz w:val="21"/>
                <w:szCs w:val="21"/>
              </w:rPr>
              <w:t>洗车或冲厕等。</w:t>
            </w:r>
            <w:r>
              <w:rPr>
                <w:rFonts w:hint="eastAsia" w:ascii="宋体" w:hAnsi="宋体" w:eastAsia="宋体" w:cs="宋体"/>
                <w:b/>
                <w:bCs/>
                <w:sz w:val="21"/>
                <w:szCs w:val="21"/>
              </w:rPr>
              <w:t>（设计水量需</w:t>
            </w:r>
            <w:r>
              <w:rPr>
                <w:rFonts w:hint="eastAsia" w:ascii="宋体" w:hAnsi="宋体" w:eastAsia="宋体" w:cs="宋体"/>
                <w:b/>
                <w:bCs/>
                <w:sz w:val="21"/>
                <w:szCs w:val="21"/>
                <w:lang w:val="en-US" w:eastAsia="zh-CN"/>
              </w:rPr>
              <w:t>根据现场点位自行</w:t>
            </w:r>
            <w:r>
              <w:rPr>
                <w:rFonts w:hint="eastAsia" w:ascii="宋体" w:hAnsi="宋体" w:eastAsia="宋体" w:cs="宋体"/>
                <w:b/>
                <w:bCs/>
                <w:sz w:val="21"/>
                <w:szCs w:val="21"/>
              </w:rPr>
              <w:t>核算，不得小于以上数据。）</w:t>
            </w:r>
          </w:p>
        </w:tc>
      </w:tr>
      <w:tr w14:paraId="3CAD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5681090">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16" w:type="pct"/>
            <w:vAlign w:val="center"/>
          </w:tcPr>
          <w:p w14:paraId="2737839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招标文件第六章招标项目需求及技术要求-五、技术要求-</w:t>
            </w:r>
            <w:r>
              <w:rPr>
                <w:rFonts w:hint="eastAsia" w:ascii="宋体" w:hAnsi="宋体" w:eastAsia="宋体" w:cs="宋体"/>
                <w:sz w:val="21"/>
                <w:szCs w:val="21"/>
              </w:rPr>
              <w:t>（四）、技术及工艺要求说明</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 1.技术要求：</w:t>
            </w:r>
          </w:p>
        </w:tc>
        <w:tc>
          <w:tcPr>
            <w:tcW w:w="1934" w:type="pct"/>
            <w:vAlign w:val="center"/>
          </w:tcPr>
          <w:p w14:paraId="3F7B179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sz w:val="21"/>
                <w:szCs w:val="21"/>
              </w:rPr>
              <w:t xml:space="preserve">1.1 ▲系统水量：东侧：感染性疾病楼冲洗用水2×0.5T/h，平疫结合楼内镜清洗用水1.0T/h、直饮水2×1.5T/h，西侧：酸化水240L/h，实验用超纯水后处理2000L/h、中央纯水，预处理2×18.0T/h，一级纯水2×10.0T/h，二级纯水2×3.0T/h。中央纯水系统浓水回收再利用，用于绿地灌溉、洗车或冲厕等。（设计水量需根据图纸、需求表重新核算，不得小于以上数据。） </w:t>
            </w:r>
          </w:p>
        </w:tc>
        <w:tc>
          <w:tcPr>
            <w:tcW w:w="1918" w:type="pct"/>
            <w:vAlign w:val="center"/>
          </w:tcPr>
          <w:p w14:paraId="4FC283A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eastAsia="宋体" w:cs="宋体"/>
                <w:sz w:val="21"/>
                <w:szCs w:val="21"/>
              </w:rPr>
              <w:t>1.1 ▲系统水量：东侧：感染性疾病楼冲洗用水2×0.5T/h，平疫结合楼内镜清洗用水1.0T/h、直饮水2×1.5T/h，西侧：酸化水240L/h，实验用超纯水后处理2000L/h、中央纯水，预处理2×18.0T/h，一级纯水2×10.0T/h，二级纯水2×3.0T/h。中央纯水系统浓水回收再利用，用于绿地灌溉、洗车或冲厕等。</w:t>
            </w:r>
            <w:r>
              <w:rPr>
                <w:rFonts w:hint="eastAsia" w:ascii="宋体" w:hAnsi="宋体" w:eastAsia="宋体" w:cs="宋体"/>
                <w:b/>
                <w:bCs/>
                <w:sz w:val="21"/>
                <w:szCs w:val="21"/>
              </w:rPr>
              <w:t>（设计水量需</w:t>
            </w:r>
            <w:r>
              <w:rPr>
                <w:rFonts w:hint="eastAsia" w:ascii="宋体" w:hAnsi="宋体" w:eastAsia="宋体" w:cs="宋体"/>
                <w:b/>
                <w:bCs/>
                <w:sz w:val="21"/>
                <w:szCs w:val="21"/>
                <w:lang w:val="en-US" w:eastAsia="zh-CN"/>
              </w:rPr>
              <w:t>根据现场点位自行</w:t>
            </w:r>
            <w:r>
              <w:rPr>
                <w:rFonts w:hint="eastAsia" w:ascii="宋体" w:hAnsi="宋体" w:eastAsia="宋体" w:cs="宋体"/>
                <w:b/>
                <w:bCs/>
                <w:sz w:val="21"/>
                <w:szCs w:val="21"/>
              </w:rPr>
              <w:t>核算，不得小于以上数据。）</w:t>
            </w:r>
          </w:p>
        </w:tc>
      </w:tr>
      <w:tr w14:paraId="0248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12477567">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16" w:type="pct"/>
            <w:vAlign w:val="center"/>
          </w:tcPr>
          <w:p w14:paraId="41F5D91D">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招标文件第六章招标项目需求及技术要求-五、技术要求-</w:t>
            </w:r>
            <w:r>
              <w:rPr>
                <w:rFonts w:hint="eastAsia" w:ascii="宋体" w:hAnsi="宋体" w:eastAsia="宋体" w:cs="宋体"/>
                <w:sz w:val="21"/>
                <w:szCs w:val="21"/>
              </w:rPr>
              <w:t>（一）、基本要求及说明</w:t>
            </w:r>
            <w:r>
              <w:rPr>
                <w:rFonts w:hint="eastAsia" w:ascii="宋体" w:hAnsi="宋体" w:eastAsia="宋体" w:cs="宋体"/>
                <w:sz w:val="21"/>
                <w:szCs w:val="21"/>
                <w:lang w:val="en-US" w:eastAsia="zh-CN"/>
              </w:rPr>
              <w:t>-</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系统设备</w:t>
            </w:r>
          </w:p>
        </w:tc>
        <w:tc>
          <w:tcPr>
            <w:tcW w:w="1934" w:type="pct"/>
            <w:vAlign w:val="center"/>
          </w:tcPr>
          <w:p w14:paraId="4243A85E">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left"/>
              <w:textAlignment w:val="auto"/>
              <w:rPr>
                <w:rFonts w:hint="eastAsia" w:ascii="宋体" w:hAnsi="宋体" w:cs="宋体"/>
                <w:bCs/>
                <w:sz w:val="21"/>
                <w:szCs w:val="21"/>
                <w:lang w:eastAsia="zh-CN"/>
              </w:rPr>
            </w:pPr>
            <w:r>
              <w:rPr>
                <w:rFonts w:hint="eastAsia" w:ascii="宋体" w:hAnsi="宋体" w:cs="宋体"/>
                <w:bCs/>
                <w:sz w:val="21"/>
                <w:szCs w:val="21"/>
              </w:rPr>
              <w:t>西侧采用中央纯水设备，东侧采用单科室成套设备</w:t>
            </w:r>
            <w:r>
              <w:rPr>
                <w:rFonts w:hint="eastAsia" w:ascii="宋体" w:hAnsi="宋体" w:cs="宋体"/>
                <w:bCs/>
                <w:sz w:val="21"/>
                <w:szCs w:val="21"/>
                <w:lang w:eastAsia="zh-CN"/>
              </w:rPr>
              <w:t>。</w:t>
            </w:r>
          </w:p>
          <w:p w14:paraId="5AF24505">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eastAsiaTheme="minorEastAsia"/>
                <w:sz w:val="21"/>
                <w:szCs w:val="21"/>
                <w:lang w:eastAsia="zh-CN"/>
              </w:rPr>
            </w:pPr>
            <w:r>
              <w:rPr>
                <w:rFonts w:hint="eastAsia" w:ascii="宋体" w:hAnsi="宋体" w:cs="宋体"/>
                <w:color w:val="000000"/>
                <w:kern w:val="0"/>
                <w:sz w:val="21"/>
                <w:szCs w:val="21"/>
                <w:lang w:bidi="ar"/>
              </w:rPr>
              <w:t>纯水系统包括医用纯水系统中预处理、反渗透、后处理、控制系统、纯水输送管路等全套设备，具备完全自主知识产权。</w:t>
            </w:r>
          </w:p>
        </w:tc>
        <w:tc>
          <w:tcPr>
            <w:tcW w:w="1918" w:type="pct"/>
            <w:vAlign w:val="center"/>
          </w:tcPr>
          <w:p w14:paraId="47D2ECB2">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left"/>
              <w:textAlignment w:val="auto"/>
              <w:rPr>
                <w:rFonts w:hint="eastAsia" w:ascii="宋体" w:hAnsi="宋体" w:cs="宋体"/>
                <w:bCs/>
                <w:sz w:val="21"/>
                <w:szCs w:val="21"/>
                <w:lang w:eastAsia="zh-CN"/>
              </w:rPr>
            </w:pPr>
            <w:r>
              <w:rPr>
                <w:rFonts w:hint="eastAsia" w:ascii="宋体" w:hAnsi="宋体" w:cs="宋体"/>
                <w:bCs/>
                <w:sz w:val="21"/>
                <w:szCs w:val="21"/>
              </w:rPr>
              <w:t>西侧采用中央纯水设备，东侧采用单科室成套设备</w:t>
            </w:r>
            <w:r>
              <w:rPr>
                <w:rFonts w:hint="eastAsia" w:ascii="宋体" w:hAnsi="宋体" w:cs="宋体"/>
                <w:bCs/>
                <w:sz w:val="21"/>
                <w:szCs w:val="21"/>
                <w:lang w:eastAsia="zh-CN"/>
              </w:rPr>
              <w:t>。</w:t>
            </w:r>
          </w:p>
          <w:p w14:paraId="75A4428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eastAsia="zh-CN"/>
              </w:rPr>
            </w:pPr>
            <w:r>
              <w:rPr>
                <w:rFonts w:hint="eastAsia" w:ascii="宋体" w:hAnsi="宋体" w:cs="宋体"/>
                <w:color w:val="000000"/>
                <w:kern w:val="0"/>
                <w:sz w:val="21"/>
                <w:szCs w:val="21"/>
                <w:lang w:bidi="ar"/>
              </w:rPr>
              <w:t>纯水系统包括医用纯水系统中预处理、反渗透、后处理、控制系统、纯水输送管路等全套设备。</w:t>
            </w:r>
          </w:p>
        </w:tc>
      </w:tr>
      <w:tr w14:paraId="460E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0D5C5358">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16" w:type="pct"/>
            <w:vAlign w:val="center"/>
          </w:tcPr>
          <w:p w14:paraId="4D06D6A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招标文件第六章招标项目需求及技术要求-五、技术要求-</w:t>
            </w:r>
            <w:r>
              <w:rPr>
                <w:rFonts w:hint="eastAsia" w:ascii="宋体" w:hAnsi="宋体" w:eastAsia="宋体" w:cs="宋体"/>
                <w:sz w:val="21"/>
                <w:szCs w:val="21"/>
              </w:rPr>
              <w:t>（三）、功能配置要求</w:t>
            </w:r>
            <w:r>
              <w:rPr>
                <w:rFonts w:hint="eastAsia" w:ascii="宋体" w:hAnsi="宋体" w:eastAsia="宋体" w:cs="宋体"/>
                <w:sz w:val="21"/>
                <w:szCs w:val="21"/>
                <w:lang w:val="en-US" w:eastAsia="zh-CN"/>
              </w:rPr>
              <w:t>-</w:t>
            </w:r>
            <w:r>
              <w:rPr>
                <w:rFonts w:hint="eastAsia" w:ascii="宋体" w:hAnsi="宋体" w:eastAsia="宋体" w:cs="宋体"/>
                <w:bCs/>
                <w:color w:val="auto"/>
                <w:spacing w:val="1"/>
                <w:position w:val="-1"/>
                <w:sz w:val="21"/>
                <w:szCs w:val="21"/>
              </w:rPr>
              <w:t>其他</w:t>
            </w:r>
            <w:r>
              <w:rPr>
                <w:rFonts w:hint="eastAsia" w:ascii="宋体" w:hAnsi="宋体" w:eastAsia="宋体" w:cs="宋体"/>
                <w:bCs/>
                <w:color w:val="auto"/>
                <w:spacing w:val="1"/>
                <w:position w:val="-1"/>
                <w:sz w:val="21"/>
                <w:szCs w:val="21"/>
                <w:lang w:val="en-US" w:eastAsia="zh-CN"/>
              </w:rPr>
              <w:t>-</w:t>
            </w:r>
            <w:r>
              <w:rPr>
                <w:rFonts w:hint="eastAsia" w:ascii="宋体" w:hAnsi="宋体" w:eastAsia="宋体" w:cs="宋体"/>
                <w:color w:val="auto"/>
                <w:kern w:val="0"/>
                <w:sz w:val="21"/>
                <w:szCs w:val="21"/>
                <w:lang w:val="en-US" w:eastAsia="zh-CN" w:bidi="ar"/>
              </w:rPr>
              <w:t>次氯酸钠发生器(微酸性电解水生成器）</w:t>
            </w:r>
          </w:p>
        </w:tc>
        <w:tc>
          <w:tcPr>
            <w:tcW w:w="1934" w:type="pct"/>
            <w:vAlign w:val="center"/>
          </w:tcPr>
          <w:p w14:paraId="5B6E605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p>
          <w:p w14:paraId="682862D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7寸真彩人机交互界面，中文液晶显示屏，拥有自主知识产权软件系统</w:t>
            </w:r>
          </w:p>
          <w:p w14:paraId="50CBA282">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生成量≥4000mL/min</w:t>
            </w:r>
          </w:p>
          <w:p w14:paraId="421DB5D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w:t>
            </w:r>
          </w:p>
        </w:tc>
        <w:tc>
          <w:tcPr>
            <w:tcW w:w="1918" w:type="pct"/>
            <w:vAlign w:val="center"/>
          </w:tcPr>
          <w:p w14:paraId="0B58C02E">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p>
          <w:p w14:paraId="73D3EED9">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7寸真彩人机交互界面，中文液晶显示屏。</w:t>
            </w:r>
          </w:p>
          <w:p w14:paraId="6441E41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生成量≥4000mL/min</w:t>
            </w:r>
          </w:p>
          <w:p w14:paraId="2EAF6097">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cs="宋体"/>
                <w:color w:val="000000"/>
                <w:kern w:val="0"/>
                <w:sz w:val="21"/>
                <w:szCs w:val="21"/>
                <w:lang w:bidi="ar"/>
              </w:rPr>
            </w:pPr>
            <w:r>
              <w:rPr>
                <w:rFonts w:hint="eastAsia" w:ascii="宋体" w:hAnsi="宋体" w:cs="宋体"/>
                <w:color w:val="000000"/>
                <w:kern w:val="0"/>
                <w:sz w:val="21"/>
                <w:szCs w:val="21"/>
                <w:lang w:val="en-US" w:eastAsia="zh-CN" w:bidi="ar"/>
              </w:rPr>
              <w:t>……</w:t>
            </w:r>
          </w:p>
        </w:tc>
      </w:tr>
      <w:tr w14:paraId="368B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Align w:val="center"/>
          </w:tcPr>
          <w:p w14:paraId="1F6FC476">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816" w:type="pct"/>
            <w:vAlign w:val="center"/>
          </w:tcPr>
          <w:p w14:paraId="29779A38">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招标文件第六章招标项目需求及技术要求-五、技术要求-</w:t>
            </w:r>
            <w:r>
              <w:rPr>
                <w:rFonts w:hint="eastAsia" w:ascii="宋体" w:hAnsi="宋体" w:eastAsia="宋体" w:cs="宋体"/>
                <w:sz w:val="21"/>
                <w:szCs w:val="21"/>
              </w:rPr>
              <w:t>（一）、基本要求及说明</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28▲售后及质保</w:t>
            </w:r>
          </w:p>
        </w:tc>
        <w:tc>
          <w:tcPr>
            <w:tcW w:w="1934" w:type="pct"/>
            <w:vAlign w:val="center"/>
          </w:tcPr>
          <w:p w14:paraId="65A9D7FC">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p>
          <w:p w14:paraId="4B7D056A">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质保期2年 </w:t>
            </w:r>
          </w:p>
        </w:tc>
        <w:tc>
          <w:tcPr>
            <w:tcW w:w="1918" w:type="pct"/>
            <w:vAlign w:val="center"/>
          </w:tcPr>
          <w:p w14:paraId="56406E26">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p>
          <w:p w14:paraId="24940354">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vertAlign w:val="baseline"/>
              </w:rPr>
            </w:pPr>
            <w:r>
              <w:rPr>
                <w:rFonts w:hint="eastAsia" w:ascii="宋体" w:hAnsi="宋体" w:cs="宋体"/>
                <w:color w:val="000000"/>
                <w:kern w:val="0"/>
                <w:sz w:val="21"/>
                <w:szCs w:val="21"/>
                <w:lang w:val="en-US" w:eastAsia="zh-CN" w:bidi="ar"/>
              </w:rPr>
              <w:t xml:space="preserve">质保期：自设备安装调试合格之日起免费保修5年。 </w:t>
            </w:r>
          </w:p>
        </w:tc>
      </w:tr>
      <w:bookmarkEnd w:id="0"/>
    </w:tbl>
    <w:p w14:paraId="603AA9E0">
      <w:pPr>
        <w:spacing w:line="240" w:lineRule="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CBB7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5AC4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5AC4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D3904"/>
    <w:multiLevelType w:val="singleLevel"/>
    <w:tmpl w:val="D1BD390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13EC7"/>
    <w:rsid w:val="0F2F2B33"/>
    <w:rsid w:val="1475649E"/>
    <w:rsid w:val="1EC13EC7"/>
    <w:rsid w:val="26B6220F"/>
    <w:rsid w:val="274748AD"/>
    <w:rsid w:val="36C908B5"/>
    <w:rsid w:val="463F7FFF"/>
    <w:rsid w:val="535A0A68"/>
    <w:rsid w:val="54FC257C"/>
    <w:rsid w:val="57116717"/>
    <w:rsid w:val="5A317807"/>
    <w:rsid w:val="5B5D1FBD"/>
    <w:rsid w:val="658A21F8"/>
    <w:rsid w:val="6EE9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2465</Words>
  <Characters>2688</Characters>
  <Lines>0</Lines>
  <Paragraphs>0</Paragraphs>
  <TotalTime>5</TotalTime>
  <ScaleCrop>false</ScaleCrop>
  <LinksUpToDate>false</LinksUpToDate>
  <CharactersWithSpaces>2701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2025-02-13T03:07:00Z</dcterms:created>
  <dc:creator>Nb365</dc:creator>
  <cp:lastModifiedBy>Nb365</cp:lastModifiedBy>
  <cp:lastPrinted>2025-02-13T04:00:00Z</cp:lastPrinted>
  <dcterms:modified xsi:type="dcterms:W3CDTF">2025-02-13T09:00:11Z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05834F09DDFD45908FB63E0EDDA8DEB4_13</vt:lpwstr>
  </property>
  <property fmtid="{D5CDD505-2E9C-101B-9397-08002B2CF9AE}" pid="4" name="KSOTemplateDocerSaveRecord">
    <vt:lpwstr>eyJoZGlkIjoiMGJlNmQ4NWFlZjc0NWIyMTA5ZGI5YjczYTE2ZGYxYWQiLCJ1c2VySWQiOiI0NDczNTIzNzEifQ==</vt:lpwstr>
  </property>
</Properties>
</file>