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auto"/>
          <w:sz w:val="52"/>
          <w:szCs w:val="52"/>
          <w:lang w:val="en-US" w:eastAsia="zh-CN"/>
        </w:rPr>
      </w:pPr>
      <w:bookmarkStart w:id="0" w:name="_Toc144974495"/>
      <w:bookmarkStart w:id="1" w:name="_Toc152045527"/>
      <w:bookmarkStart w:id="2" w:name="_Toc152042303"/>
      <w:bookmarkStart w:id="3" w:name="_Toc179632544"/>
      <w:r>
        <w:rPr>
          <w:rFonts w:hint="eastAsia"/>
          <w:b/>
          <w:bCs/>
          <w:color w:val="auto"/>
          <w:sz w:val="52"/>
          <w:szCs w:val="52"/>
          <w:lang w:val="en-US" w:eastAsia="zh-CN"/>
        </w:rPr>
        <w:drawing>
          <wp:inline distT="0" distB="0" distL="114300" distR="114300">
            <wp:extent cx="5779135" cy="7998460"/>
            <wp:effectExtent l="0" t="0" r="12065" b="2540"/>
            <wp:docPr id="3" name="图片 3" descr="ebf3534e2138971eaecd021103c7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bf3534e2138971eaecd021103c716e"/>
                    <pic:cNvPicPr>
                      <a:picLocks noChangeAspect="1"/>
                    </pic:cNvPicPr>
                  </pic:nvPicPr>
                  <pic:blipFill>
                    <a:blip r:embed="rId8"/>
                    <a:stretch>
                      <a:fillRect/>
                    </a:stretch>
                  </pic:blipFill>
                  <pic:spPr>
                    <a:xfrm>
                      <a:off x="0" y="0"/>
                      <a:ext cx="5779135" cy="7998460"/>
                    </a:xfrm>
                    <a:prstGeom prst="rect">
                      <a:avLst/>
                    </a:prstGeom>
                  </pic:spPr>
                </pic:pic>
              </a:graphicData>
            </a:graphic>
          </wp:inline>
        </w:drawing>
      </w:r>
      <w:r>
        <w:rPr>
          <w:rFonts w:hint="eastAsia"/>
          <w:b/>
          <w:bCs/>
          <w:color w:val="auto"/>
          <w:sz w:val="52"/>
          <w:szCs w:val="52"/>
          <w:lang w:val="en-US" w:eastAsia="zh-CN"/>
        </w:rPr>
        <w:br w:type="page"/>
      </w:r>
    </w:p>
    <w:p>
      <w:pPr>
        <w:jc w:val="center"/>
        <w:rPr>
          <w:rFonts w:hint="eastAsia"/>
          <w:b/>
          <w:bCs/>
          <w:color w:val="auto"/>
          <w:sz w:val="52"/>
          <w:szCs w:val="52"/>
          <w:lang w:val="en-US" w:eastAsia="zh-CN"/>
        </w:rPr>
      </w:pPr>
    </w:p>
    <w:p>
      <w:pPr>
        <w:jc w:val="center"/>
        <w:rPr>
          <w:rFonts w:hint="eastAsia"/>
          <w:b/>
          <w:bCs/>
          <w:color w:val="auto"/>
          <w:sz w:val="72"/>
          <w:szCs w:val="40"/>
          <w:lang w:val="en-US" w:eastAsia="zh-CN"/>
        </w:rPr>
      </w:pPr>
      <w:r>
        <w:rPr>
          <w:rFonts w:hint="eastAsia"/>
          <w:b/>
          <w:bCs/>
          <w:color w:val="auto"/>
          <w:sz w:val="52"/>
          <w:szCs w:val="52"/>
          <w:lang w:val="en-US" w:eastAsia="zh-CN"/>
        </w:rPr>
        <w:t>邓州市退役军人事务局邓州市烈士纪念设施建设项目</w:t>
      </w:r>
    </w:p>
    <w:p>
      <w:pPr>
        <w:jc w:val="center"/>
        <w:rPr>
          <w:rFonts w:hint="eastAsia"/>
          <w:b/>
          <w:bCs/>
          <w:color w:val="auto"/>
          <w:sz w:val="72"/>
          <w:szCs w:val="40"/>
          <w:lang w:val="en-US" w:eastAsia="zh-CN"/>
        </w:rPr>
      </w:pPr>
    </w:p>
    <w:p>
      <w:pPr>
        <w:jc w:val="center"/>
        <w:rPr>
          <w:rFonts w:hint="eastAsia"/>
          <w:b/>
          <w:bCs/>
          <w:color w:val="auto"/>
          <w:sz w:val="72"/>
          <w:szCs w:val="40"/>
          <w:lang w:val="en-US" w:eastAsia="zh-CN"/>
        </w:rPr>
      </w:pPr>
    </w:p>
    <w:p>
      <w:pPr>
        <w:bidi w:val="0"/>
        <w:rPr>
          <w:rFonts w:hint="eastAsia"/>
          <w:lang w:val="en-US" w:eastAsia="zh-CN"/>
        </w:rPr>
      </w:pPr>
    </w:p>
    <w:p>
      <w:pPr>
        <w:jc w:val="center"/>
        <w:rPr>
          <w:rFonts w:hint="eastAsia"/>
          <w:b/>
          <w:bCs/>
          <w:color w:val="auto"/>
          <w:sz w:val="72"/>
          <w:szCs w:val="40"/>
          <w:lang w:val="en-US" w:eastAsia="zh-CN"/>
        </w:rPr>
      </w:pPr>
    </w:p>
    <w:p>
      <w:pPr>
        <w:jc w:val="center"/>
        <w:rPr>
          <w:rFonts w:hint="eastAsia"/>
          <w:b/>
          <w:bCs/>
          <w:color w:val="auto"/>
          <w:sz w:val="72"/>
          <w:szCs w:val="40"/>
          <w:lang w:val="en-US" w:eastAsia="zh-CN"/>
        </w:rPr>
      </w:pPr>
      <w:r>
        <w:rPr>
          <w:rFonts w:hint="eastAsia"/>
          <w:b/>
          <w:bCs/>
          <w:color w:val="auto"/>
          <w:sz w:val="72"/>
          <w:szCs w:val="40"/>
          <w:lang w:val="en-US" w:eastAsia="zh-CN"/>
        </w:rPr>
        <w:t>招  标  文  件</w:t>
      </w:r>
    </w:p>
    <w:p>
      <w:pPr>
        <w:jc w:val="center"/>
        <w:rPr>
          <w:rFonts w:hint="eastAsia"/>
          <w:b/>
          <w:bCs/>
          <w:color w:val="auto"/>
          <w:sz w:val="56"/>
          <w:szCs w:val="36"/>
          <w:lang w:val="en-US" w:eastAsia="zh-CN"/>
        </w:rPr>
      </w:pPr>
    </w:p>
    <w:p>
      <w:pPr>
        <w:bidi w:val="0"/>
        <w:rPr>
          <w:rFonts w:hint="eastAsia"/>
          <w:lang w:val="en-US" w:eastAsia="zh-CN"/>
        </w:rPr>
      </w:pPr>
    </w:p>
    <w:p>
      <w:pPr>
        <w:jc w:val="center"/>
        <w:rPr>
          <w:rFonts w:hint="default"/>
          <w:b/>
          <w:bCs/>
          <w:color w:val="auto"/>
          <w:sz w:val="56"/>
          <w:szCs w:val="36"/>
          <w:lang w:val="en-US" w:eastAsia="zh-CN"/>
        </w:rPr>
      </w:pPr>
      <w:r>
        <w:rPr>
          <w:rFonts w:hint="eastAsia"/>
          <w:b/>
          <w:bCs/>
          <w:color w:val="auto"/>
          <w:sz w:val="32"/>
          <w:szCs w:val="32"/>
          <w:lang w:val="en-US" w:eastAsia="zh-CN"/>
        </w:rPr>
        <w:t>项目编号：E4113000085003268001</w:t>
      </w:r>
    </w:p>
    <w:p>
      <w:pPr>
        <w:ind w:firstLine="1080" w:firstLineChars="300"/>
        <w:jc w:val="left"/>
        <w:rPr>
          <w:rFonts w:hint="eastAsia"/>
          <w:color w:val="auto"/>
          <w:sz w:val="36"/>
          <w:szCs w:val="21"/>
          <w:lang w:val="en-US" w:eastAsia="zh-CN"/>
        </w:rPr>
      </w:pPr>
    </w:p>
    <w:p>
      <w:pPr>
        <w:ind w:firstLine="1080" w:firstLineChars="300"/>
        <w:jc w:val="left"/>
        <w:rPr>
          <w:rFonts w:hint="eastAsia"/>
          <w:color w:val="auto"/>
          <w:sz w:val="36"/>
          <w:szCs w:val="21"/>
          <w:lang w:val="en-US" w:eastAsia="zh-CN"/>
        </w:rPr>
      </w:pPr>
    </w:p>
    <w:p>
      <w:pPr>
        <w:ind w:firstLine="1080" w:firstLineChars="300"/>
        <w:jc w:val="left"/>
        <w:rPr>
          <w:rFonts w:hint="eastAsia"/>
          <w:color w:val="auto"/>
          <w:sz w:val="36"/>
          <w:szCs w:val="21"/>
          <w:lang w:val="en-US" w:eastAsia="zh-CN"/>
        </w:rPr>
      </w:pPr>
    </w:p>
    <w:p>
      <w:pPr>
        <w:ind w:firstLine="1080" w:firstLineChars="300"/>
        <w:jc w:val="left"/>
        <w:rPr>
          <w:rFonts w:hint="eastAsia"/>
          <w:color w:val="auto"/>
          <w:sz w:val="36"/>
          <w:szCs w:val="21"/>
          <w:lang w:val="en-US" w:eastAsia="zh-CN"/>
        </w:rPr>
      </w:pPr>
    </w:p>
    <w:p>
      <w:pPr>
        <w:ind w:firstLine="1080" w:firstLineChars="300"/>
        <w:jc w:val="left"/>
        <w:rPr>
          <w:rFonts w:hint="eastAsia"/>
          <w:color w:val="auto"/>
          <w:sz w:val="36"/>
          <w:szCs w:val="21"/>
          <w:lang w:val="en-US" w:eastAsia="zh-CN"/>
        </w:rPr>
      </w:pPr>
    </w:p>
    <w:p>
      <w:pPr>
        <w:ind w:firstLine="1080" w:firstLineChars="300"/>
        <w:jc w:val="left"/>
        <w:rPr>
          <w:rFonts w:hint="eastAsia"/>
          <w:color w:val="auto"/>
          <w:sz w:val="36"/>
          <w:szCs w:val="21"/>
          <w:lang w:val="en-US" w:eastAsia="zh-CN"/>
        </w:rPr>
      </w:pPr>
    </w:p>
    <w:p>
      <w:pPr>
        <w:ind w:firstLine="1080" w:firstLineChars="300"/>
        <w:jc w:val="left"/>
        <w:rPr>
          <w:rFonts w:hint="eastAsia"/>
          <w:color w:val="auto"/>
          <w:sz w:val="36"/>
          <w:szCs w:val="21"/>
          <w:lang w:val="en-US" w:eastAsia="zh-CN"/>
        </w:rPr>
      </w:pPr>
    </w:p>
    <w:p>
      <w:pPr>
        <w:ind w:firstLine="1080" w:firstLineChars="300"/>
        <w:jc w:val="left"/>
        <w:rPr>
          <w:rFonts w:hint="eastAsia"/>
          <w:color w:val="auto"/>
          <w:sz w:val="36"/>
          <w:szCs w:val="21"/>
          <w:lang w:val="en-US" w:eastAsia="zh-CN"/>
        </w:rPr>
      </w:pPr>
    </w:p>
    <w:p>
      <w:pPr>
        <w:spacing w:line="360" w:lineRule="auto"/>
        <w:ind w:firstLine="1080" w:firstLineChars="300"/>
        <w:jc w:val="left"/>
        <w:rPr>
          <w:rFonts w:hint="eastAsia"/>
          <w:color w:val="auto"/>
          <w:sz w:val="36"/>
          <w:szCs w:val="21"/>
          <w:lang w:val="en-US" w:eastAsia="zh-CN"/>
        </w:rPr>
      </w:pPr>
      <w:r>
        <w:rPr>
          <w:rFonts w:hint="eastAsia"/>
          <w:color w:val="auto"/>
          <w:sz w:val="36"/>
          <w:szCs w:val="21"/>
          <w:lang w:val="en-US" w:eastAsia="zh-CN"/>
        </w:rPr>
        <w:t xml:space="preserve">招 标 人：邓州市退役军人事务局  </w:t>
      </w:r>
    </w:p>
    <w:p>
      <w:pPr>
        <w:spacing w:line="360" w:lineRule="auto"/>
        <w:ind w:firstLine="1080" w:firstLineChars="300"/>
        <w:jc w:val="left"/>
        <w:rPr>
          <w:rFonts w:hint="eastAsia"/>
          <w:color w:val="auto"/>
          <w:sz w:val="36"/>
          <w:szCs w:val="21"/>
          <w:lang w:val="en-US" w:eastAsia="zh-CN"/>
        </w:rPr>
      </w:pPr>
      <w:r>
        <w:rPr>
          <w:rFonts w:hint="eastAsia"/>
          <w:color w:val="auto"/>
          <w:sz w:val="36"/>
          <w:szCs w:val="21"/>
          <w:lang w:val="en-US" w:eastAsia="zh-CN"/>
        </w:rPr>
        <w:t>代理机构：河南湍韵工程管理有限公司</w:t>
      </w:r>
    </w:p>
    <w:p>
      <w:pPr>
        <w:spacing w:line="360" w:lineRule="auto"/>
        <w:ind w:firstLine="1080" w:firstLineChars="300"/>
        <w:jc w:val="left"/>
        <w:rPr>
          <w:rFonts w:hint="eastAsia"/>
          <w:color w:val="auto"/>
          <w:sz w:val="36"/>
          <w:szCs w:val="21"/>
          <w:lang w:val="en-US" w:eastAsia="zh-CN"/>
        </w:rPr>
      </w:pPr>
      <w:r>
        <w:rPr>
          <w:rFonts w:hint="eastAsia"/>
          <w:color w:val="auto"/>
          <w:sz w:val="36"/>
          <w:szCs w:val="21"/>
          <w:lang w:val="en-US" w:eastAsia="zh-CN"/>
        </w:rPr>
        <w:t>日    期：二零二二年九月</w:t>
      </w:r>
    </w:p>
    <w:p>
      <w:pPr>
        <w:rPr>
          <w:rFonts w:hint="default"/>
          <w:color w:val="auto"/>
          <w:sz w:val="40"/>
          <w:lang w:val="en-US" w:eastAsia="zh-CN"/>
        </w:rPr>
        <w:sectPr>
          <w:pgSz w:w="12240" w:h="15840"/>
          <w:pgMar w:top="1440" w:right="1440" w:bottom="1440" w:left="1440" w:header="720" w:footer="720" w:gutter="0"/>
          <w:cols w:space="720" w:num="1"/>
        </w:sectPr>
      </w:pPr>
    </w:p>
    <w:p>
      <w:pPr>
        <w:spacing w:line="800" w:lineRule="exact"/>
        <w:jc w:val="center"/>
        <w:rPr>
          <w:rFonts w:hint="eastAsia" w:ascii="宋体" w:hAnsi="宋体" w:cs="宋体"/>
          <w:b/>
          <w:bCs/>
          <w:sz w:val="44"/>
          <w:szCs w:val="44"/>
        </w:rPr>
      </w:pPr>
    </w:p>
    <w:p>
      <w:pPr>
        <w:spacing w:line="800" w:lineRule="exact"/>
        <w:jc w:val="center"/>
        <w:rPr>
          <w:rFonts w:hint="eastAsia" w:ascii="宋体" w:hAnsi="宋体" w:cs="宋体"/>
          <w:b/>
          <w:bCs/>
          <w:sz w:val="44"/>
          <w:szCs w:val="44"/>
        </w:rPr>
      </w:pPr>
      <w:r>
        <w:rPr>
          <w:rFonts w:hint="eastAsia" w:ascii="宋体" w:hAnsi="宋体" w:cs="宋体"/>
          <w:b/>
          <w:bCs/>
          <w:sz w:val="44"/>
          <w:szCs w:val="44"/>
        </w:rPr>
        <w:t>目   录</w:t>
      </w:r>
    </w:p>
    <w:p>
      <w:pPr>
        <w:bidi w:val="0"/>
      </w:pPr>
    </w:p>
    <w:p>
      <w:pPr>
        <w:bidi w:val="0"/>
      </w:pPr>
    </w:p>
    <w:p>
      <w:pPr>
        <w:pStyle w:val="21"/>
        <w:tabs>
          <w:tab w:val="right" w:leader="dot" w:pos="8906"/>
          <w:tab w:val="clear" w:pos="8296"/>
        </w:tabs>
        <w:spacing w:line="480" w:lineRule="auto"/>
        <w:jc w:val="center"/>
        <w:rPr>
          <w:rFonts w:hint="eastAsia" w:ascii="宋体" w:hAnsi="宋体" w:eastAsia="宋体" w:cs="宋体"/>
          <w:sz w:val="36"/>
          <w:szCs w:val="36"/>
        </w:rPr>
      </w:pPr>
      <w:r>
        <w:rPr>
          <w:rFonts w:hint="eastAsia" w:cs="宋体"/>
          <w:sz w:val="32"/>
          <w:szCs w:val="32"/>
        </w:rPr>
        <w:fldChar w:fldCharType="begin"/>
      </w:r>
      <w:r>
        <w:rPr>
          <w:rFonts w:hint="eastAsia" w:cs="宋体"/>
          <w:sz w:val="32"/>
          <w:szCs w:val="32"/>
        </w:rPr>
        <w:instrText xml:space="preserve"> TOC \o "1-3" \h \z \u </w:instrText>
      </w:r>
      <w:r>
        <w:rPr>
          <w:rFonts w:hint="eastAsia" w:cs="宋体"/>
          <w:sz w:val="32"/>
          <w:szCs w:val="32"/>
        </w:rPr>
        <w:fldChar w:fldCharType="separate"/>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_Toc31628 </w:instrText>
      </w:r>
      <w:r>
        <w:rPr>
          <w:rFonts w:hint="eastAsia" w:ascii="宋体" w:hAnsi="宋体" w:eastAsia="宋体" w:cs="宋体"/>
          <w:sz w:val="36"/>
          <w:szCs w:val="36"/>
        </w:rPr>
        <w:fldChar w:fldCharType="separate"/>
      </w:r>
      <w:r>
        <w:rPr>
          <w:rFonts w:hint="eastAsia" w:ascii="宋体" w:hAnsi="宋体" w:eastAsia="宋体" w:cs="宋体"/>
          <w:kern w:val="2"/>
          <w:sz w:val="36"/>
          <w:szCs w:val="36"/>
          <w:lang w:val="en-US" w:eastAsia="zh-CN" w:bidi="ar-SA"/>
        </w:rPr>
        <w:t>第一章 招标公告</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_Toc31628 </w:instrText>
      </w:r>
      <w:r>
        <w:rPr>
          <w:rFonts w:hint="eastAsia" w:ascii="宋体" w:hAnsi="宋体" w:eastAsia="宋体" w:cs="宋体"/>
          <w:sz w:val="36"/>
          <w:szCs w:val="36"/>
        </w:rPr>
        <w:fldChar w:fldCharType="separate"/>
      </w:r>
      <w:r>
        <w:rPr>
          <w:rFonts w:hint="eastAsia" w:ascii="宋体" w:hAnsi="宋体" w:eastAsia="宋体" w:cs="宋体"/>
          <w:sz w:val="36"/>
          <w:szCs w:val="36"/>
        </w:rPr>
        <w:t>2</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1"/>
        <w:tabs>
          <w:tab w:val="right" w:leader="dot" w:pos="8906"/>
          <w:tab w:val="clear" w:pos="8296"/>
        </w:tabs>
        <w:spacing w:line="48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_Toc30833 </w:instrText>
      </w:r>
      <w:r>
        <w:rPr>
          <w:rFonts w:hint="eastAsia" w:ascii="宋体" w:hAnsi="宋体" w:eastAsia="宋体" w:cs="宋体"/>
          <w:sz w:val="36"/>
          <w:szCs w:val="36"/>
        </w:rPr>
        <w:fldChar w:fldCharType="separate"/>
      </w:r>
      <w:r>
        <w:rPr>
          <w:rFonts w:hint="eastAsia" w:ascii="宋体" w:hAnsi="宋体" w:eastAsia="宋体" w:cs="宋体"/>
          <w:kern w:val="2"/>
          <w:sz w:val="36"/>
          <w:szCs w:val="36"/>
          <w:lang w:val="en-US" w:eastAsia="zh-CN" w:bidi="ar-SA"/>
        </w:rPr>
        <w:t>第二章 投标人须知</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_Toc30833 </w:instrText>
      </w:r>
      <w:r>
        <w:rPr>
          <w:rFonts w:hint="eastAsia" w:ascii="宋体" w:hAnsi="宋体" w:eastAsia="宋体" w:cs="宋体"/>
          <w:sz w:val="36"/>
          <w:szCs w:val="36"/>
        </w:rPr>
        <w:fldChar w:fldCharType="separate"/>
      </w:r>
      <w:r>
        <w:rPr>
          <w:rFonts w:hint="eastAsia" w:ascii="宋体" w:hAnsi="宋体" w:eastAsia="宋体" w:cs="宋体"/>
          <w:sz w:val="36"/>
          <w:szCs w:val="36"/>
        </w:rPr>
        <w:t>6</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1"/>
        <w:tabs>
          <w:tab w:val="right" w:leader="dot" w:pos="8906"/>
          <w:tab w:val="clear" w:pos="8296"/>
        </w:tabs>
        <w:spacing w:line="48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_Toc3240 </w:instrText>
      </w:r>
      <w:r>
        <w:rPr>
          <w:rFonts w:hint="eastAsia" w:ascii="宋体" w:hAnsi="宋体" w:eastAsia="宋体" w:cs="宋体"/>
          <w:sz w:val="36"/>
          <w:szCs w:val="36"/>
        </w:rPr>
        <w:fldChar w:fldCharType="separate"/>
      </w:r>
      <w:r>
        <w:rPr>
          <w:rFonts w:hint="eastAsia" w:ascii="宋体" w:hAnsi="宋体" w:eastAsia="宋体" w:cs="宋体"/>
          <w:sz w:val="36"/>
          <w:szCs w:val="36"/>
        </w:rPr>
        <w:t>第三章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评标办法（综合评估法）</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_Toc3240 </w:instrText>
      </w:r>
      <w:r>
        <w:rPr>
          <w:rFonts w:hint="eastAsia" w:ascii="宋体" w:hAnsi="宋体" w:eastAsia="宋体" w:cs="宋体"/>
          <w:sz w:val="36"/>
          <w:szCs w:val="36"/>
        </w:rPr>
        <w:fldChar w:fldCharType="separate"/>
      </w:r>
      <w:r>
        <w:rPr>
          <w:rFonts w:hint="eastAsia" w:ascii="宋体" w:hAnsi="宋体" w:eastAsia="宋体" w:cs="宋体"/>
          <w:sz w:val="36"/>
          <w:szCs w:val="36"/>
        </w:rPr>
        <w:t>24</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0"/>
        <w:tabs>
          <w:tab w:val="right" w:leader="dot" w:pos="8906"/>
          <w:tab w:val="clear" w:pos="8296"/>
        </w:tabs>
        <w:spacing w:line="480" w:lineRule="auto"/>
        <w:rPr>
          <w:rFonts w:hint="eastAsia" w:ascii="宋体" w:hAnsi="宋体" w:eastAsia="宋体" w:cs="宋体"/>
          <w:sz w:val="36"/>
          <w:szCs w:val="36"/>
        </w:rPr>
      </w:pP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_Toc28592 </w:instrText>
      </w:r>
      <w:r>
        <w:rPr>
          <w:rFonts w:hint="eastAsia" w:ascii="宋体" w:hAnsi="宋体" w:eastAsia="宋体" w:cs="宋体"/>
          <w:sz w:val="36"/>
          <w:szCs w:val="36"/>
        </w:rPr>
        <w:fldChar w:fldCharType="separate"/>
      </w:r>
      <w:r>
        <w:rPr>
          <w:rFonts w:hint="eastAsia" w:ascii="宋体" w:hAnsi="宋体" w:eastAsia="宋体" w:cs="宋体"/>
          <w:kern w:val="2"/>
          <w:sz w:val="36"/>
          <w:szCs w:val="36"/>
          <w:lang w:val="en-US" w:eastAsia="zh-CN" w:bidi="ar-SA"/>
        </w:rPr>
        <w:t>第四章 合同条款及格式</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_Toc28592 </w:instrText>
      </w:r>
      <w:r>
        <w:rPr>
          <w:rFonts w:hint="eastAsia" w:ascii="宋体" w:hAnsi="宋体" w:eastAsia="宋体" w:cs="宋体"/>
          <w:sz w:val="36"/>
          <w:szCs w:val="36"/>
        </w:rPr>
        <w:fldChar w:fldCharType="separate"/>
      </w:r>
      <w:r>
        <w:rPr>
          <w:rFonts w:hint="eastAsia" w:ascii="宋体" w:hAnsi="宋体" w:eastAsia="宋体" w:cs="宋体"/>
          <w:sz w:val="36"/>
          <w:szCs w:val="36"/>
        </w:rPr>
        <w:t>35</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1"/>
        <w:tabs>
          <w:tab w:val="right" w:leader="dot" w:pos="8906"/>
          <w:tab w:val="clear" w:pos="8296"/>
        </w:tabs>
        <w:spacing w:line="48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_Toc32269 </w:instrText>
      </w:r>
      <w:r>
        <w:rPr>
          <w:rFonts w:hint="eastAsia" w:ascii="宋体" w:hAnsi="宋体" w:eastAsia="宋体" w:cs="宋体"/>
          <w:sz w:val="36"/>
          <w:szCs w:val="36"/>
        </w:rPr>
        <w:fldChar w:fldCharType="separate"/>
      </w:r>
      <w:r>
        <w:rPr>
          <w:rFonts w:hint="eastAsia" w:ascii="宋体" w:hAnsi="宋体" w:eastAsia="宋体" w:cs="宋体"/>
          <w:kern w:val="2"/>
          <w:sz w:val="36"/>
          <w:szCs w:val="36"/>
          <w:lang w:val="en-US" w:eastAsia="zh-CN" w:bidi="ar-SA"/>
        </w:rPr>
        <w:t>第五章 技术标准和要求</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_Toc32269 </w:instrText>
      </w:r>
      <w:r>
        <w:rPr>
          <w:rFonts w:hint="eastAsia" w:ascii="宋体" w:hAnsi="宋体" w:eastAsia="宋体" w:cs="宋体"/>
          <w:sz w:val="36"/>
          <w:szCs w:val="36"/>
        </w:rPr>
        <w:fldChar w:fldCharType="separate"/>
      </w:r>
      <w:r>
        <w:rPr>
          <w:rFonts w:hint="eastAsia" w:ascii="宋体" w:hAnsi="宋体" w:eastAsia="宋体" w:cs="宋体"/>
          <w:sz w:val="36"/>
          <w:szCs w:val="36"/>
        </w:rPr>
        <w:t>36</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1"/>
        <w:tabs>
          <w:tab w:val="right" w:leader="dot" w:pos="8906"/>
          <w:tab w:val="clear" w:pos="8296"/>
        </w:tabs>
        <w:spacing w:line="480" w:lineRule="auto"/>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_Toc12043 </w:instrText>
      </w:r>
      <w:r>
        <w:rPr>
          <w:rFonts w:hint="eastAsia" w:ascii="宋体" w:hAnsi="宋体" w:eastAsia="宋体" w:cs="宋体"/>
          <w:sz w:val="36"/>
          <w:szCs w:val="36"/>
        </w:rPr>
        <w:fldChar w:fldCharType="separate"/>
      </w:r>
      <w:r>
        <w:rPr>
          <w:rFonts w:hint="eastAsia" w:ascii="宋体" w:hAnsi="宋体" w:eastAsia="宋体" w:cs="宋体"/>
          <w:kern w:val="2"/>
          <w:sz w:val="36"/>
          <w:szCs w:val="36"/>
          <w:lang w:val="en-US" w:eastAsia="zh-CN" w:bidi="ar-SA"/>
        </w:rPr>
        <w:t>第六章 投标文件格式</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_Toc12043 </w:instrText>
      </w:r>
      <w:r>
        <w:rPr>
          <w:rFonts w:hint="eastAsia" w:ascii="宋体" w:hAnsi="宋体" w:eastAsia="宋体" w:cs="宋体"/>
          <w:sz w:val="36"/>
          <w:szCs w:val="36"/>
        </w:rPr>
        <w:fldChar w:fldCharType="separate"/>
      </w:r>
      <w:r>
        <w:rPr>
          <w:rFonts w:hint="eastAsia" w:ascii="宋体" w:hAnsi="宋体" w:eastAsia="宋体" w:cs="宋体"/>
          <w:sz w:val="36"/>
          <w:szCs w:val="36"/>
        </w:rPr>
        <w:t>37</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1"/>
        <w:spacing w:line="480" w:lineRule="auto"/>
        <w:rPr>
          <w:rFonts w:ascii="宋体" w:hAnsi="宋体" w:eastAsia="宋体" w:cs="宋体"/>
          <w:sz w:val="32"/>
          <w:szCs w:val="32"/>
        </w:rPr>
      </w:pPr>
      <w:r>
        <w:rPr>
          <w:rFonts w:hint="eastAsia" w:ascii="宋体" w:hAnsi="宋体" w:eastAsia="宋体" w:cs="宋体"/>
          <w:szCs w:val="32"/>
        </w:rPr>
        <w:fldChar w:fldCharType="end"/>
      </w:r>
    </w:p>
    <w:p>
      <w:pPr>
        <w:pStyle w:val="21"/>
        <w:spacing w:line="480" w:lineRule="auto"/>
        <w:rPr>
          <w:rFonts w:ascii="宋体" w:hAnsi="宋体" w:eastAsia="宋体" w:cs="宋体"/>
          <w:sz w:val="32"/>
          <w:szCs w:val="32"/>
        </w:rPr>
      </w:pPr>
    </w:p>
    <w:p>
      <w:pPr>
        <w:pStyle w:val="21"/>
        <w:spacing w:line="480" w:lineRule="auto"/>
        <w:rPr>
          <w:rFonts w:ascii="宋体" w:hAnsi="宋体" w:eastAsia="宋体" w:cs="宋体"/>
          <w:sz w:val="32"/>
          <w:szCs w:val="32"/>
        </w:rPr>
      </w:pPr>
    </w:p>
    <w:p>
      <w:pPr>
        <w:pStyle w:val="21"/>
        <w:spacing w:line="480" w:lineRule="auto"/>
        <w:rPr>
          <w:rFonts w:ascii="宋体" w:hAnsi="宋体" w:eastAsia="宋体" w:cs="宋体"/>
          <w:sz w:val="32"/>
          <w:szCs w:val="32"/>
        </w:rPr>
      </w:pPr>
    </w:p>
    <w:p>
      <w:pPr>
        <w:pStyle w:val="21"/>
        <w:spacing w:line="480" w:lineRule="auto"/>
        <w:rPr>
          <w:rFonts w:ascii="宋体" w:hAnsi="宋体" w:eastAsia="宋体" w:cs="宋体"/>
          <w:sz w:val="32"/>
          <w:szCs w:val="32"/>
        </w:rPr>
      </w:pPr>
    </w:p>
    <w:p>
      <w:pPr>
        <w:pStyle w:val="21"/>
        <w:spacing w:line="480" w:lineRule="auto"/>
        <w:rPr>
          <w:rFonts w:ascii="宋体" w:hAnsi="宋体" w:eastAsia="宋体" w:cs="宋体"/>
          <w:sz w:val="32"/>
          <w:szCs w:val="32"/>
        </w:rPr>
      </w:pPr>
    </w:p>
    <w:p>
      <w:pPr>
        <w:pStyle w:val="21"/>
        <w:spacing w:line="480" w:lineRule="auto"/>
        <w:rPr>
          <w:rFonts w:ascii="宋体" w:hAnsi="宋体" w:eastAsia="宋体" w:cs="宋体"/>
          <w:sz w:val="32"/>
          <w:szCs w:val="32"/>
        </w:rPr>
      </w:pPr>
    </w:p>
    <w:p>
      <w:pPr>
        <w:pStyle w:val="21"/>
        <w:spacing w:line="480" w:lineRule="auto"/>
        <w:rPr>
          <w:rFonts w:ascii="宋体" w:hAnsi="宋体" w:eastAsia="宋体" w:cs="宋体"/>
          <w:sz w:val="32"/>
          <w:szCs w:val="32"/>
        </w:rPr>
      </w:pPr>
    </w:p>
    <w:p>
      <w:pPr>
        <w:pStyle w:val="21"/>
        <w:spacing w:line="480" w:lineRule="auto"/>
        <w:ind w:left="0" w:leftChars="0"/>
        <w:rPr>
          <w:rFonts w:ascii="宋体" w:hAnsi="宋体" w:eastAsia="宋体" w:cs="宋体"/>
          <w:sz w:val="32"/>
          <w:szCs w:val="32"/>
        </w:rPr>
      </w:pPr>
    </w:p>
    <w:p>
      <w:pPr>
        <w:rPr>
          <w:rFonts w:ascii="宋体" w:hAnsi="宋体" w:eastAsia="宋体" w:cs="宋体"/>
          <w:sz w:val="32"/>
          <w:szCs w:val="32"/>
        </w:rPr>
      </w:pPr>
    </w:p>
    <w:p>
      <w:pPr>
        <w:bidi w:val="0"/>
      </w:pPr>
    </w:p>
    <w:p>
      <w:pPr>
        <w:bidi w:val="0"/>
      </w:pPr>
    </w:p>
    <w:p>
      <w:pPr>
        <w:bidi w:val="0"/>
      </w:pPr>
    </w:p>
    <w:p>
      <w:pPr>
        <w:bidi w:val="0"/>
      </w:pPr>
    </w:p>
    <w:p>
      <w:pPr>
        <w:bidi w:val="0"/>
      </w:pPr>
    </w:p>
    <w:p>
      <w:pPr>
        <w:pStyle w:val="21"/>
        <w:spacing w:line="480" w:lineRule="auto"/>
        <w:jc w:val="center"/>
        <w:rPr>
          <w:rStyle w:val="48"/>
          <w:rFonts w:hint="eastAsia" w:ascii="宋体" w:hAnsi="宋体" w:cs="宋体"/>
          <w:kern w:val="2"/>
          <w:sz w:val="36"/>
          <w:szCs w:val="36"/>
          <w:lang w:val="en-US" w:eastAsia="zh-CN" w:bidi="ar-SA"/>
        </w:rPr>
      </w:pPr>
      <w:bookmarkStart w:id="4" w:name="_Toc31628"/>
    </w:p>
    <w:p>
      <w:pPr>
        <w:pStyle w:val="21"/>
        <w:spacing w:line="480" w:lineRule="auto"/>
        <w:jc w:val="center"/>
        <w:rPr>
          <w:rStyle w:val="48"/>
          <w:rFonts w:hint="eastAsia" w:ascii="宋体" w:hAnsi="宋体" w:cs="宋体"/>
          <w:kern w:val="2"/>
          <w:sz w:val="36"/>
          <w:szCs w:val="36"/>
          <w:lang w:val="en-US" w:eastAsia="zh-CN" w:bidi="ar-SA"/>
        </w:rPr>
        <w:sectPr>
          <w:footerReference r:id="rId5" w:type="first"/>
          <w:headerReference r:id="rId3" w:type="default"/>
          <w:footerReference r:id="rId4" w:type="default"/>
          <w:pgSz w:w="11906" w:h="16838"/>
          <w:pgMar w:top="1246" w:right="1800" w:bottom="1091" w:left="1800" w:header="964" w:footer="794" w:gutter="0"/>
          <w:pgBorders>
            <w:top w:val="thinThickSmallGap" w:color="auto" w:sz="12" w:space="1"/>
            <w:left w:val="none" w:sz="0" w:space="0"/>
            <w:bottom w:val="thinThickSmallGap" w:color="auto" w:sz="12" w:space="1"/>
            <w:right w:val="none" w:sz="0" w:space="0"/>
          </w:pgBorders>
          <w:pgNumType w:fmt="decimal" w:start="1"/>
          <w:cols w:space="720" w:num="1"/>
          <w:docGrid w:type="lines" w:linePitch="312" w:charSpace="0"/>
        </w:sectPr>
      </w:pPr>
    </w:p>
    <w:p>
      <w:pPr>
        <w:pStyle w:val="21"/>
        <w:spacing w:line="480" w:lineRule="auto"/>
        <w:jc w:val="center"/>
        <w:rPr>
          <w:rStyle w:val="48"/>
          <w:rFonts w:hint="eastAsia" w:ascii="宋体" w:hAnsi="宋体" w:cs="宋体"/>
          <w:kern w:val="2"/>
          <w:sz w:val="36"/>
          <w:szCs w:val="36"/>
          <w:lang w:val="en-US" w:eastAsia="zh-CN" w:bidi="ar-SA"/>
        </w:rPr>
      </w:pPr>
      <w:r>
        <w:rPr>
          <w:rStyle w:val="48"/>
          <w:rFonts w:hint="eastAsia" w:ascii="宋体" w:hAnsi="宋体" w:cs="宋体"/>
          <w:kern w:val="2"/>
          <w:sz w:val="36"/>
          <w:szCs w:val="36"/>
          <w:lang w:val="en-US" w:eastAsia="zh-CN" w:bidi="ar-SA"/>
        </w:rPr>
        <w:t>第一章 招标公告</w:t>
      </w:r>
    </w:p>
    <w:bookmarkEnd w:id="4"/>
    <w:p>
      <w:pPr>
        <w:pStyle w:val="23"/>
        <w:spacing w:before="0" w:beforeAutospacing="0" w:after="0" w:afterAutospacing="0" w:line="432" w:lineRule="auto"/>
        <w:jc w:val="center"/>
        <w:rPr>
          <w:rStyle w:val="28"/>
          <w:rFonts w:hint="eastAsia" w:ascii="宋体" w:hAnsi="宋体" w:eastAsia="宋体" w:cs="宋体"/>
          <w:color w:val="000000"/>
          <w:sz w:val="32"/>
          <w:szCs w:val="32"/>
          <w:lang w:val="en-US" w:eastAsia="zh-CN"/>
        </w:rPr>
      </w:pPr>
      <w:r>
        <w:rPr>
          <w:rStyle w:val="28"/>
          <w:rFonts w:hint="eastAsia" w:ascii="宋体" w:hAnsi="宋体" w:eastAsia="宋体" w:cs="宋体"/>
          <w:color w:val="000000"/>
          <w:sz w:val="32"/>
          <w:szCs w:val="32"/>
          <w:lang w:val="en-US" w:eastAsia="zh-CN"/>
        </w:rPr>
        <w:t>邓州市退役军人事务局邓州市烈士纪念设施建设项目</w:t>
      </w:r>
    </w:p>
    <w:p>
      <w:pPr>
        <w:pStyle w:val="23"/>
        <w:spacing w:before="0" w:beforeAutospacing="0" w:after="0" w:afterAutospacing="0" w:line="432" w:lineRule="auto"/>
        <w:jc w:val="center"/>
        <w:rPr>
          <w:rFonts w:hint="eastAsia" w:ascii="宋体" w:hAnsi="宋体" w:eastAsia="宋体" w:cs="宋体"/>
          <w:sz w:val="32"/>
          <w:szCs w:val="32"/>
        </w:rPr>
      </w:pPr>
      <w:r>
        <w:rPr>
          <w:rStyle w:val="28"/>
          <w:rFonts w:hint="eastAsia" w:ascii="宋体" w:hAnsi="宋体" w:eastAsia="宋体" w:cs="宋体"/>
          <w:color w:val="000000"/>
          <w:sz w:val="32"/>
          <w:szCs w:val="32"/>
        </w:rPr>
        <w:t>招标公告</w:t>
      </w:r>
    </w:p>
    <w:p>
      <w:pPr>
        <w:widowControl/>
        <w:spacing w:line="360" w:lineRule="auto"/>
        <w:jc w:val="left"/>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rPr>
        <w:t>1.招标条件</w:t>
      </w:r>
    </w:p>
    <w:p>
      <w:pPr>
        <w:widowControl/>
        <w:spacing w:line="360" w:lineRule="auto"/>
        <w:ind w:firstLine="480" w:firstLineChars="200"/>
        <w:jc w:val="left"/>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lang w:val="en-US" w:eastAsia="zh-CN"/>
        </w:rPr>
        <w:t>邓州市退役军人事务局邓州市烈士纪念设施建设项目</w:t>
      </w:r>
      <w:r>
        <w:rPr>
          <w:rFonts w:hint="eastAsia" w:ascii="宋体" w:hAnsi="宋体" w:eastAsia="宋体" w:cs="宋体"/>
          <w:b w:val="0"/>
          <w:bCs/>
          <w:color w:val="333333"/>
          <w:kern w:val="0"/>
          <w:sz w:val="24"/>
          <w:szCs w:val="24"/>
          <w:shd w:val="clear" w:color="auto" w:fill="FFFFFF"/>
        </w:rPr>
        <w:t>招标人为</w:t>
      </w:r>
      <w:r>
        <w:rPr>
          <w:rFonts w:hint="eastAsia" w:ascii="宋体" w:hAnsi="宋体" w:eastAsia="宋体" w:cs="宋体"/>
          <w:b w:val="0"/>
          <w:bCs/>
          <w:color w:val="333333"/>
          <w:kern w:val="0"/>
          <w:sz w:val="24"/>
          <w:szCs w:val="24"/>
          <w:shd w:val="clear" w:color="auto" w:fill="FFFFFF"/>
          <w:lang w:eastAsia="zh-CN"/>
        </w:rPr>
        <w:t>邓州市退役军人事务局</w:t>
      </w:r>
      <w:r>
        <w:rPr>
          <w:rFonts w:hint="eastAsia" w:ascii="宋体" w:hAnsi="宋体" w:eastAsia="宋体" w:cs="宋体"/>
          <w:b w:val="0"/>
          <w:bCs/>
          <w:color w:val="333333"/>
          <w:kern w:val="0"/>
          <w:sz w:val="24"/>
          <w:szCs w:val="24"/>
          <w:shd w:val="clear" w:color="auto" w:fill="FFFFFF"/>
        </w:rPr>
        <w:t>，建设资金来自财政资金。本项目已具备招标条件，现委托</w:t>
      </w:r>
      <w:r>
        <w:rPr>
          <w:rFonts w:hint="eastAsia" w:ascii="宋体" w:hAnsi="宋体" w:eastAsia="宋体" w:cs="宋体"/>
          <w:b w:val="0"/>
          <w:bCs/>
          <w:color w:val="333333"/>
          <w:kern w:val="0"/>
          <w:sz w:val="24"/>
          <w:szCs w:val="24"/>
          <w:shd w:val="clear" w:color="auto" w:fill="FFFFFF"/>
          <w:lang w:eastAsia="zh-CN"/>
        </w:rPr>
        <w:t>河南湍韵工程咨询</w:t>
      </w:r>
      <w:r>
        <w:rPr>
          <w:rFonts w:hint="eastAsia" w:ascii="宋体" w:hAnsi="宋体" w:eastAsia="宋体" w:cs="宋体"/>
          <w:b w:val="0"/>
          <w:bCs/>
          <w:color w:val="333333"/>
          <w:kern w:val="0"/>
          <w:sz w:val="24"/>
          <w:szCs w:val="24"/>
          <w:shd w:val="clear" w:color="auto" w:fill="FFFFFF"/>
        </w:rPr>
        <w:t>有限公司对该项目进行公开招标。</w:t>
      </w:r>
    </w:p>
    <w:p>
      <w:pPr>
        <w:widowControl/>
        <w:spacing w:line="360" w:lineRule="auto"/>
        <w:jc w:val="left"/>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rPr>
        <w:t>2.项目概况与招标内容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rPr>
        <w:t>2.1、项目名称：</w:t>
      </w:r>
      <w:r>
        <w:rPr>
          <w:rFonts w:hint="eastAsia" w:ascii="宋体" w:hAnsi="宋体" w:eastAsia="宋体" w:cs="宋体"/>
          <w:b w:val="0"/>
          <w:bCs/>
          <w:color w:val="333333"/>
          <w:kern w:val="0"/>
          <w:sz w:val="24"/>
          <w:szCs w:val="24"/>
          <w:shd w:val="clear" w:color="auto" w:fill="FFFFFF"/>
          <w:lang w:val="en-US" w:eastAsia="zh-CN"/>
        </w:rPr>
        <w:t>邓州市退役军人事务局邓州市烈士纪念设施建设项目</w:t>
      </w:r>
      <w:r>
        <w:rPr>
          <w:rFonts w:hint="eastAsia" w:ascii="宋体" w:hAnsi="宋体" w:eastAsia="宋体" w:cs="宋体"/>
          <w:b w:val="0"/>
          <w:bCs/>
          <w:color w:val="333333"/>
          <w:kern w:val="0"/>
          <w:sz w:val="24"/>
          <w:szCs w:val="24"/>
          <w:shd w:val="clear" w:color="auto" w:fill="FFFFFF"/>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lang w:eastAsia="zh-CN"/>
        </w:rPr>
      </w:pPr>
      <w:r>
        <w:rPr>
          <w:rFonts w:hint="eastAsia" w:ascii="宋体" w:hAnsi="宋体" w:eastAsia="宋体" w:cs="宋体"/>
          <w:b w:val="0"/>
          <w:bCs/>
          <w:color w:val="333333"/>
          <w:kern w:val="0"/>
          <w:sz w:val="24"/>
          <w:szCs w:val="24"/>
          <w:shd w:val="clear" w:color="auto" w:fill="FFFFFF"/>
        </w:rPr>
        <w:t>2.2、项目概况：</w:t>
      </w:r>
      <w:r>
        <w:rPr>
          <w:rFonts w:hint="eastAsia" w:ascii="宋体" w:hAnsi="宋体" w:eastAsia="宋体" w:cs="宋体"/>
          <w:b w:val="0"/>
          <w:bCs/>
          <w:color w:val="333333"/>
          <w:kern w:val="0"/>
          <w:sz w:val="24"/>
          <w:szCs w:val="24"/>
          <w:shd w:val="clear" w:color="auto" w:fill="FFFFFF"/>
          <w:lang w:eastAsia="zh-CN"/>
        </w:rPr>
        <w:t>项目占地</w:t>
      </w:r>
      <w:r>
        <w:rPr>
          <w:rFonts w:hint="eastAsia" w:ascii="宋体" w:hAnsi="宋体" w:eastAsia="宋体" w:cs="宋体"/>
          <w:b w:val="0"/>
          <w:bCs/>
          <w:color w:val="333333"/>
          <w:kern w:val="0"/>
          <w:sz w:val="24"/>
          <w:szCs w:val="24"/>
          <w:shd w:val="clear" w:color="auto" w:fill="FFFFFF"/>
          <w:lang w:val="en-US" w:eastAsia="zh-CN"/>
        </w:rPr>
        <w:t>71023.4㎡（合106.5亩），主要建设邓州市烈士纪念设施，含烈士英名墙、纪念堂馆、纪念碑一座、纪念塔祠、纪念雕塑、纪念广场及给排水、公共厕所、停车场、绿化等基础配套设施</w:t>
      </w:r>
      <w:r>
        <w:rPr>
          <w:rFonts w:hint="eastAsia" w:ascii="宋体" w:hAnsi="宋体" w:eastAsia="宋体" w:cs="宋体"/>
          <w:b w:val="0"/>
          <w:bCs/>
          <w:color w:val="333333"/>
          <w:kern w:val="0"/>
          <w:sz w:val="24"/>
          <w:szCs w:val="24"/>
          <w:shd w:val="clear" w:color="auto" w:fill="FFFFFF"/>
        </w:rPr>
        <w:t>。</w:t>
      </w:r>
    </w:p>
    <w:p>
      <w:pPr>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rPr>
        <w:t>2.3、</w:t>
      </w:r>
      <w:r>
        <w:rPr>
          <w:rFonts w:hint="eastAsia" w:ascii="宋体" w:hAnsi="宋体" w:eastAsia="宋体" w:cs="宋体"/>
          <w:b w:val="0"/>
          <w:bCs/>
          <w:color w:val="333333"/>
          <w:kern w:val="0"/>
          <w:sz w:val="24"/>
          <w:szCs w:val="24"/>
          <w:shd w:val="clear" w:color="auto" w:fill="FFFFFF"/>
          <w:lang w:val="en-US" w:eastAsia="zh-CN"/>
        </w:rPr>
        <w:t>项目编号：E4113000085003268001</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rPr>
        <w:t>2.4、项目总概算：</w:t>
      </w:r>
      <w:bookmarkStart w:id="391" w:name="_GoBack"/>
      <w:r>
        <w:rPr>
          <w:rFonts w:hint="eastAsia" w:ascii="宋体" w:hAnsi="宋体" w:cs="仿宋"/>
          <w:sz w:val="24"/>
          <w:lang w:val="en-US" w:eastAsia="zh-CN"/>
        </w:rPr>
        <w:t>13110328.68</w:t>
      </w:r>
      <w:r>
        <w:rPr>
          <w:rFonts w:hint="eastAsia" w:ascii="宋体" w:hAnsi="宋体" w:eastAsia="宋体" w:cs="宋体"/>
          <w:b w:val="0"/>
          <w:bCs/>
          <w:color w:val="333333"/>
          <w:kern w:val="0"/>
          <w:sz w:val="24"/>
          <w:szCs w:val="24"/>
          <w:shd w:val="clear" w:color="auto" w:fill="FFFFFF"/>
        </w:rPr>
        <w:t>元</w:t>
      </w:r>
    </w:p>
    <w:bookmarkEnd w:id="391"/>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
          <w:sz w:val="24"/>
        </w:rPr>
      </w:pPr>
      <w:r>
        <w:rPr>
          <w:rFonts w:hint="eastAsia" w:ascii="宋体" w:hAnsi="宋体" w:eastAsia="宋体" w:cs="宋体"/>
          <w:b w:val="0"/>
          <w:bCs/>
          <w:color w:val="333333"/>
          <w:kern w:val="0"/>
          <w:sz w:val="24"/>
          <w:szCs w:val="24"/>
          <w:shd w:val="clear" w:color="auto" w:fill="FFFFFF"/>
        </w:rPr>
        <w:t>2.5、招标范围：</w:t>
      </w:r>
      <w:r>
        <w:rPr>
          <w:rFonts w:hint="eastAsia" w:ascii="宋体" w:hAnsi="宋体" w:eastAsia="宋体" w:cs="仿宋"/>
          <w:sz w:val="24"/>
        </w:rPr>
        <w:t>招标文件、施工图纸及工程量清单包含的全部内容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rPr>
        <w:t>2.6、标段划分：本项目划分</w:t>
      </w:r>
      <w:r>
        <w:rPr>
          <w:rFonts w:hint="eastAsia" w:ascii="宋体" w:hAnsi="宋体" w:eastAsia="宋体" w:cs="宋体"/>
          <w:b w:val="0"/>
          <w:bCs/>
          <w:color w:val="333333"/>
          <w:kern w:val="0"/>
          <w:sz w:val="24"/>
          <w:szCs w:val="24"/>
          <w:shd w:val="clear" w:color="auto" w:fill="FFFFFF"/>
          <w:lang w:val="en-US" w:eastAsia="zh-CN"/>
        </w:rPr>
        <w:t>1</w:t>
      </w:r>
      <w:r>
        <w:rPr>
          <w:rFonts w:hint="eastAsia" w:ascii="宋体" w:hAnsi="宋体" w:eastAsia="宋体" w:cs="宋体"/>
          <w:b w:val="0"/>
          <w:bCs/>
          <w:color w:val="333333"/>
          <w:kern w:val="0"/>
          <w:sz w:val="24"/>
          <w:szCs w:val="24"/>
          <w:shd w:val="clear" w:color="auto" w:fill="FFFFFF"/>
        </w:rPr>
        <w:t>个标段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rPr>
        <w:t>2.7、建设地点：</w:t>
      </w:r>
      <w:r>
        <w:rPr>
          <w:rFonts w:hint="eastAsia" w:ascii="宋体" w:hAnsi="宋体" w:eastAsia="宋体" w:cs="宋体"/>
          <w:b w:val="0"/>
          <w:bCs/>
          <w:color w:val="333333"/>
          <w:kern w:val="0"/>
          <w:sz w:val="24"/>
          <w:szCs w:val="24"/>
          <w:shd w:val="clear" w:color="auto" w:fill="FFFFFF"/>
          <w:lang w:eastAsia="zh-CN"/>
        </w:rPr>
        <w:t>邓州市</w:t>
      </w:r>
      <w:r>
        <w:rPr>
          <w:rFonts w:hint="eastAsia" w:ascii="宋体" w:hAnsi="宋体" w:eastAsia="宋体" w:cs="宋体"/>
          <w:b w:val="0"/>
          <w:bCs/>
          <w:color w:val="333333"/>
          <w:kern w:val="0"/>
          <w:sz w:val="24"/>
          <w:szCs w:val="24"/>
          <w:shd w:val="clear" w:color="auto" w:fill="FFFFFF"/>
          <w:lang w:val="en-US" w:eastAsia="zh-CN"/>
        </w:rPr>
        <w:t>新华路与穰城路交叉口西南角</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333333"/>
          <w:kern w:val="0"/>
          <w:sz w:val="24"/>
          <w:szCs w:val="24"/>
          <w:shd w:val="clear" w:color="auto" w:fill="FFFFFF"/>
        </w:rPr>
        <w:t>2.8、招标控制价</w:t>
      </w:r>
      <w:r>
        <w:rPr>
          <w:rFonts w:hint="eastAsia" w:ascii="宋体" w:hAnsi="宋体" w:eastAsia="宋体" w:cs="宋体"/>
          <w:b w:val="0"/>
          <w:bCs/>
          <w:color w:val="333333"/>
          <w:kern w:val="0"/>
          <w:sz w:val="24"/>
          <w:szCs w:val="24"/>
          <w:shd w:val="clear" w:color="auto" w:fill="FFFFFF"/>
          <w:lang w:eastAsia="zh-CN"/>
        </w:rPr>
        <w:t>：</w:t>
      </w:r>
      <w:r>
        <w:rPr>
          <w:rFonts w:hint="eastAsia" w:ascii="宋体" w:hAnsi="宋体" w:cs="仿宋"/>
          <w:sz w:val="24"/>
          <w:lang w:val="en-US" w:eastAsia="zh-CN"/>
        </w:rPr>
        <w:t>13110328.68</w:t>
      </w:r>
      <w:r>
        <w:rPr>
          <w:rFonts w:hint="eastAsia" w:ascii="宋体" w:hAnsi="宋体" w:eastAsia="宋体" w:cs="宋体"/>
          <w:b w:val="0"/>
          <w:bCs/>
          <w:color w:val="333333"/>
          <w:kern w:val="0"/>
          <w:sz w:val="24"/>
          <w:szCs w:val="24"/>
          <w:shd w:val="clear" w:color="auto" w:fill="FFFFFF"/>
          <w:lang w:val="en-US" w:eastAsia="zh-CN"/>
        </w:rPr>
        <w:t>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rPr>
        <w:t>2.9、资金来源：财政资金；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rPr>
        <w:t>2.10、计划工期：</w:t>
      </w:r>
      <w:r>
        <w:rPr>
          <w:rFonts w:hint="eastAsia" w:ascii="宋体" w:hAnsi="宋体" w:cs="宋体"/>
          <w:b w:val="0"/>
          <w:bCs/>
          <w:color w:val="333333"/>
          <w:kern w:val="0"/>
          <w:sz w:val="24"/>
          <w:szCs w:val="24"/>
          <w:shd w:val="clear" w:color="auto" w:fill="FFFFFF"/>
          <w:lang w:val="en-US" w:eastAsia="zh-CN"/>
        </w:rPr>
        <w:t>150</w:t>
      </w:r>
      <w:r>
        <w:rPr>
          <w:rFonts w:hint="eastAsia" w:ascii="宋体" w:hAnsi="宋体" w:eastAsia="宋体" w:cs="宋体"/>
          <w:b w:val="0"/>
          <w:bCs/>
          <w:color w:val="333333"/>
          <w:kern w:val="0"/>
          <w:sz w:val="24"/>
          <w:szCs w:val="24"/>
          <w:shd w:val="clear" w:color="auto" w:fill="FFFFFF"/>
          <w:lang w:val="en-US" w:eastAsia="zh-CN"/>
        </w:rPr>
        <w:t>日历天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rPr>
        <w:t>2.11、质量要求：施工要求符合现行工程施工质量验收规范合格标准。</w:t>
      </w:r>
    </w:p>
    <w:p>
      <w:pPr>
        <w:widowControl/>
        <w:spacing w:line="360" w:lineRule="auto"/>
        <w:jc w:val="left"/>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rPr>
        <w:t>3.投标人资格要求</w:t>
      </w:r>
    </w:p>
    <w:p>
      <w:pPr>
        <w:widowControl/>
        <w:spacing w:line="360" w:lineRule="auto"/>
        <w:ind w:firstLine="480" w:firstLineChars="200"/>
        <w:jc w:val="left"/>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rPr>
        <w:t>3.1、投标人须具有独立法人资格，具有有效的营业执照；</w:t>
      </w:r>
    </w:p>
    <w:p>
      <w:pPr>
        <w:widowControl/>
        <w:spacing w:line="360" w:lineRule="auto"/>
        <w:ind w:firstLine="480" w:firstLineChars="200"/>
        <w:jc w:val="left"/>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rPr>
        <w:t>3.2、财务要求：投标人近</w:t>
      </w:r>
      <w:r>
        <w:rPr>
          <w:rFonts w:hint="eastAsia" w:ascii="宋体" w:hAnsi="宋体" w:eastAsia="宋体" w:cs="宋体"/>
          <w:b w:val="0"/>
          <w:bCs/>
          <w:color w:val="333333"/>
          <w:kern w:val="0"/>
          <w:sz w:val="24"/>
          <w:szCs w:val="24"/>
          <w:shd w:val="clear" w:color="auto" w:fill="FFFFFF"/>
          <w:lang w:eastAsia="zh-CN"/>
        </w:rPr>
        <w:t>三</w:t>
      </w:r>
      <w:r>
        <w:rPr>
          <w:rFonts w:hint="eastAsia" w:ascii="宋体" w:hAnsi="宋体" w:eastAsia="宋体" w:cs="宋体"/>
          <w:b w:val="0"/>
          <w:bCs/>
          <w:color w:val="333333"/>
          <w:kern w:val="0"/>
          <w:sz w:val="24"/>
          <w:szCs w:val="24"/>
          <w:shd w:val="clear" w:color="auto" w:fill="FFFFFF"/>
        </w:rPr>
        <w:t>年（201</w:t>
      </w:r>
      <w:r>
        <w:rPr>
          <w:rFonts w:hint="eastAsia" w:ascii="宋体" w:hAnsi="宋体" w:cs="宋体"/>
          <w:b w:val="0"/>
          <w:bCs/>
          <w:color w:val="333333"/>
          <w:kern w:val="0"/>
          <w:sz w:val="24"/>
          <w:szCs w:val="24"/>
          <w:shd w:val="clear" w:color="auto" w:fill="FFFFFF"/>
          <w:lang w:val="en-US" w:eastAsia="zh-CN"/>
        </w:rPr>
        <w:t>9</w:t>
      </w:r>
      <w:r>
        <w:rPr>
          <w:rFonts w:hint="eastAsia" w:ascii="宋体" w:hAnsi="宋体" w:eastAsia="宋体" w:cs="宋体"/>
          <w:b w:val="0"/>
          <w:bCs/>
          <w:color w:val="333333"/>
          <w:kern w:val="0"/>
          <w:sz w:val="24"/>
          <w:szCs w:val="24"/>
          <w:shd w:val="clear" w:color="auto" w:fill="FFFFFF"/>
        </w:rPr>
        <w:t>年度、20</w:t>
      </w:r>
      <w:r>
        <w:rPr>
          <w:rFonts w:hint="eastAsia" w:ascii="宋体" w:hAnsi="宋体" w:cs="宋体"/>
          <w:b w:val="0"/>
          <w:bCs/>
          <w:color w:val="333333"/>
          <w:kern w:val="0"/>
          <w:sz w:val="24"/>
          <w:szCs w:val="24"/>
          <w:shd w:val="clear" w:color="auto" w:fill="FFFFFF"/>
          <w:lang w:val="en-US" w:eastAsia="zh-CN"/>
        </w:rPr>
        <w:t>20</w:t>
      </w:r>
      <w:r>
        <w:rPr>
          <w:rFonts w:hint="eastAsia" w:ascii="宋体" w:hAnsi="宋体" w:eastAsia="宋体" w:cs="宋体"/>
          <w:b w:val="0"/>
          <w:bCs/>
          <w:color w:val="333333"/>
          <w:kern w:val="0"/>
          <w:sz w:val="24"/>
          <w:szCs w:val="24"/>
          <w:shd w:val="clear" w:color="auto" w:fill="FFFFFF"/>
        </w:rPr>
        <w:t>年度</w:t>
      </w:r>
      <w:r>
        <w:rPr>
          <w:rFonts w:hint="eastAsia" w:ascii="宋体" w:hAnsi="宋体" w:eastAsia="宋体" w:cs="宋体"/>
          <w:b w:val="0"/>
          <w:bCs/>
          <w:color w:val="333333"/>
          <w:kern w:val="0"/>
          <w:sz w:val="24"/>
          <w:szCs w:val="24"/>
          <w:shd w:val="clear" w:color="auto" w:fill="FFFFFF"/>
          <w:lang w:eastAsia="zh-CN"/>
        </w:rPr>
        <w:t>、</w:t>
      </w:r>
      <w:r>
        <w:rPr>
          <w:rFonts w:hint="eastAsia" w:ascii="宋体" w:hAnsi="宋体" w:eastAsia="宋体" w:cs="宋体"/>
          <w:b w:val="0"/>
          <w:bCs/>
          <w:color w:val="333333"/>
          <w:kern w:val="0"/>
          <w:sz w:val="24"/>
          <w:szCs w:val="24"/>
          <w:shd w:val="clear" w:color="auto" w:fill="FFFFFF"/>
          <w:lang w:val="en-US" w:eastAsia="zh-CN"/>
        </w:rPr>
        <w:t>202</w:t>
      </w:r>
      <w:r>
        <w:rPr>
          <w:rFonts w:hint="eastAsia" w:ascii="宋体" w:hAnsi="宋体" w:cs="宋体"/>
          <w:b w:val="0"/>
          <w:bCs/>
          <w:color w:val="333333"/>
          <w:kern w:val="0"/>
          <w:sz w:val="24"/>
          <w:szCs w:val="24"/>
          <w:shd w:val="clear" w:color="auto" w:fill="FFFFFF"/>
          <w:lang w:val="en-US" w:eastAsia="zh-CN"/>
        </w:rPr>
        <w:t>1</w:t>
      </w:r>
      <w:r>
        <w:rPr>
          <w:rFonts w:hint="eastAsia" w:ascii="宋体" w:hAnsi="宋体" w:eastAsia="宋体" w:cs="宋体"/>
          <w:b w:val="0"/>
          <w:bCs/>
          <w:color w:val="333333"/>
          <w:kern w:val="0"/>
          <w:sz w:val="24"/>
          <w:szCs w:val="24"/>
          <w:shd w:val="clear" w:color="auto" w:fill="FFFFFF"/>
          <w:lang w:val="en-US" w:eastAsia="zh-CN"/>
        </w:rPr>
        <w:t>年度</w:t>
      </w:r>
      <w:r>
        <w:rPr>
          <w:rFonts w:hint="eastAsia" w:ascii="宋体" w:hAnsi="宋体" w:eastAsia="宋体" w:cs="宋体"/>
          <w:b w:val="0"/>
          <w:bCs/>
          <w:color w:val="333333"/>
          <w:kern w:val="0"/>
          <w:sz w:val="24"/>
          <w:szCs w:val="24"/>
          <w:shd w:val="clear" w:color="auto" w:fill="FFFFFF"/>
        </w:rPr>
        <w:t>）财务状况良好，提供经会计师事务所或审计机构审计的财务会计报表；若投标人为新成立企业须提供自成立之后的经审计的财务报告或基本户银行出具的近期资信证明；</w:t>
      </w:r>
    </w:p>
    <w:p>
      <w:pPr>
        <w:widowControl/>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color w:val="333333"/>
          <w:kern w:val="0"/>
          <w:sz w:val="24"/>
          <w:szCs w:val="24"/>
          <w:shd w:val="clear" w:color="auto" w:fill="FFFFFF"/>
        </w:rPr>
        <w:t>3.3、投标人须提供在“信用中国”网和“中国政府采购网”渠道查询投标人信用记录，被列入失信被执行人、重大税收违法案件当事人名单、政府采购严重违法失信行为记录名单的单位将被拒绝参与本项目投标；</w:t>
      </w:r>
    </w:p>
    <w:p>
      <w:pPr>
        <w:widowControl/>
        <w:spacing w:line="360" w:lineRule="auto"/>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color w:val="333333"/>
          <w:kern w:val="0"/>
          <w:sz w:val="24"/>
          <w:szCs w:val="24"/>
          <w:shd w:val="clear" w:color="auto" w:fill="FFFFFF"/>
        </w:rPr>
        <w:t>3.4、投标人须具备相关主管部门颁发的建筑工程施工总承包三级及以上资质，具有有效的安全生产许可证，在人员、设备、资金等方面具有相应的施工能力</w:t>
      </w:r>
      <w:r>
        <w:rPr>
          <w:rFonts w:hint="eastAsia" w:ascii="宋体" w:hAnsi="宋体" w:eastAsia="宋体" w:cs="宋体"/>
          <w:b w:val="0"/>
          <w:bCs/>
          <w:kern w:val="0"/>
          <w:sz w:val="24"/>
          <w:szCs w:val="24"/>
        </w:rPr>
        <w:t>；</w:t>
      </w:r>
    </w:p>
    <w:p>
      <w:pPr>
        <w:widowControl/>
        <w:spacing w:line="360" w:lineRule="auto"/>
        <w:ind w:firstLine="480" w:firstLineChars="200"/>
        <w:jc w:val="left"/>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kern w:val="0"/>
          <w:sz w:val="24"/>
          <w:szCs w:val="24"/>
          <w:lang w:val="en-US" w:eastAsia="zh-CN"/>
        </w:rPr>
        <w:t>3.5</w:t>
      </w:r>
      <w:r>
        <w:rPr>
          <w:rFonts w:hint="eastAsia" w:ascii="宋体" w:hAnsi="宋体" w:cs="宋体"/>
          <w:b w:val="0"/>
          <w:bCs/>
          <w:kern w:val="0"/>
          <w:sz w:val="24"/>
          <w:szCs w:val="24"/>
          <w:lang w:val="en-US" w:eastAsia="zh-CN"/>
        </w:rPr>
        <w:t>拟派</w:t>
      </w:r>
      <w:r>
        <w:rPr>
          <w:rFonts w:hint="eastAsia" w:ascii="宋体" w:hAnsi="宋体" w:eastAsia="宋体" w:cs="宋体"/>
          <w:b w:val="0"/>
          <w:bCs/>
          <w:color w:val="333333"/>
          <w:kern w:val="0"/>
          <w:sz w:val="24"/>
          <w:szCs w:val="24"/>
          <w:shd w:val="clear" w:color="auto" w:fill="FFFFFF"/>
          <w:lang w:eastAsia="zh-CN"/>
        </w:rPr>
        <w:t>项目经理</w:t>
      </w:r>
      <w:r>
        <w:rPr>
          <w:rFonts w:hint="eastAsia" w:ascii="宋体" w:hAnsi="宋体" w:eastAsia="宋体" w:cs="宋体"/>
          <w:b w:val="0"/>
          <w:bCs/>
          <w:color w:val="333333"/>
          <w:kern w:val="0"/>
          <w:sz w:val="24"/>
          <w:szCs w:val="24"/>
          <w:shd w:val="clear" w:color="auto" w:fill="FFFFFF"/>
        </w:rPr>
        <w:t>须具有</w:t>
      </w:r>
      <w:r>
        <w:rPr>
          <w:rFonts w:hint="eastAsia" w:ascii="宋体" w:hAnsi="宋体" w:cs="宋体"/>
          <w:b w:val="0"/>
          <w:bCs/>
          <w:color w:val="333333"/>
          <w:kern w:val="0"/>
          <w:sz w:val="24"/>
          <w:szCs w:val="24"/>
          <w:shd w:val="clear" w:color="auto" w:fill="FFFFFF"/>
          <w:lang w:val="en-US" w:eastAsia="zh-CN"/>
        </w:rPr>
        <w:t>建筑</w:t>
      </w:r>
      <w:r>
        <w:rPr>
          <w:rFonts w:hint="eastAsia" w:ascii="宋体" w:hAnsi="宋体" w:eastAsia="宋体" w:cs="宋体"/>
          <w:b w:val="0"/>
          <w:bCs/>
          <w:color w:val="333333"/>
          <w:kern w:val="0"/>
          <w:sz w:val="24"/>
          <w:szCs w:val="24"/>
          <w:shd w:val="clear" w:color="auto" w:fill="FFFFFF"/>
        </w:rPr>
        <w:t>工程专业贰级及以上注册建造师资格并具有有效的安全生产考核合格证，且未担任其他在建工程项目的项目经理（项目负责人须提供劳动合同和本企业为其所缴纳202</w:t>
      </w:r>
      <w:r>
        <w:rPr>
          <w:rFonts w:hint="eastAsia" w:ascii="宋体" w:hAnsi="宋体" w:eastAsia="宋体" w:cs="宋体"/>
          <w:b w:val="0"/>
          <w:bCs/>
          <w:color w:val="333333"/>
          <w:kern w:val="0"/>
          <w:sz w:val="24"/>
          <w:szCs w:val="24"/>
          <w:shd w:val="clear" w:color="auto" w:fill="FFFFFF"/>
          <w:lang w:val="en-US" w:eastAsia="zh-CN"/>
        </w:rPr>
        <w:t>1</w:t>
      </w:r>
      <w:r>
        <w:rPr>
          <w:rFonts w:hint="eastAsia" w:ascii="宋体" w:hAnsi="宋体" w:eastAsia="宋体" w:cs="宋体"/>
          <w:b w:val="0"/>
          <w:bCs/>
          <w:color w:val="333333"/>
          <w:kern w:val="0"/>
          <w:sz w:val="24"/>
          <w:szCs w:val="24"/>
          <w:shd w:val="clear" w:color="auto" w:fill="FFFFFF"/>
        </w:rPr>
        <w:t>年1月1日以来在本单位任意三个月的社保证明）</w:t>
      </w:r>
    </w:p>
    <w:p>
      <w:pPr>
        <w:widowControl/>
        <w:spacing w:line="360" w:lineRule="auto"/>
        <w:ind w:firstLine="480" w:firstLineChars="200"/>
        <w:jc w:val="left"/>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lang w:val="en-US" w:eastAsia="zh-CN"/>
        </w:rPr>
        <w:t>3.6</w:t>
      </w:r>
      <w:r>
        <w:rPr>
          <w:rFonts w:hint="eastAsia" w:ascii="宋体" w:hAnsi="宋体" w:eastAsia="宋体" w:cs="宋体"/>
          <w:b w:val="0"/>
          <w:bCs/>
          <w:color w:val="333333"/>
          <w:kern w:val="0"/>
          <w:sz w:val="24"/>
          <w:szCs w:val="24"/>
          <w:shd w:val="clear" w:color="auto" w:fill="FFFFFF"/>
        </w:rPr>
        <w:t>业绩</w:t>
      </w:r>
      <w:r>
        <w:rPr>
          <w:rFonts w:hint="eastAsia" w:ascii="宋体" w:hAnsi="宋体" w:eastAsia="宋体" w:cs="宋体"/>
          <w:b w:val="0"/>
          <w:bCs/>
          <w:color w:val="333333"/>
          <w:kern w:val="0"/>
          <w:sz w:val="24"/>
          <w:szCs w:val="24"/>
          <w:shd w:val="clear" w:color="auto" w:fill="FFFFFF"/>
          <w:lang w:eastAsia="zh-CN"/>
        </w:rPr>
        <w:t>要求</w:t>
      </w:r>
      <w:r>
        <w:rPr>
          <w:rFonts w:hint="eastAsia" w:ascii="宋体" w:hAnsi="宋体" w:eastAsia="宋体" w:cs="宋体"/>
          <w:b w:val="0"/>
          <w:bCs/>
          <w:color w:val="333333"/>
          <w:kern w:val="0"/>
          <w:sz w:val="24"/>
          <w:szCs w:val="24"/>
          <w:shd w:val="clear" w:color="auto" w:fill="FFFFFF"/>
        </w:rPr>
        <w:t>：投标人201</w:t>
      </w:r>
      <w:r>
        <w:rPr>
          <w:rFonts w:hint="eastAsia" w:ascii="宋体" w:hAnsi="宋体" w:eastAsia="宋体" w:cs="宋体"/>
          <w:b w:val="0"/>
          <w:bCs/>
          <w:color w:val="333333"/>
          <w:kern w:val="0"/>
          <w:sz w:val="24"/>
          <w:szCs w:val="24"/>
          <w:shd w:val="clear" w:color="auto" w:fill="FFFFFF"/>
          <w:lang w:val="en-US" w:eastAsia="zh-CN"/>
        </w:rPr>
        <w:t>8</w:t>
      </w:r>
      <w:r>
        <w:rPr>
          <w:rFonts w:hint="eastAsia" w:ascii="宋体" w:hAnsi="宋体" w:eastAsia="宋体" w:cs="宋体"/>
          <w:b w:val="0"/>
          <w:bCs/>
          <w:color w:val="333333"/>
          <w:kern w:val="0"/>
          <w:sz w:val="24"/>
          <w:szCs w:val="24"/>
          <w:shd w:val="clear" w:color="auto" w:fill="FFFFFF"/>
        </w:rPr>
        <w:t>年1月1日（以合同签订时间为准）以来，具有类似业绩合同；</w:t>
      </w:r>
    </w:p>
    <w:p>
      <w:pPr>
        <w:widowControl/>
        <w:spacing w:line="360" w:lineRule="auto"/>
        <w:ind w:firstLine="480" w:firstLineChars="200"/>
        <w:jc w:val="left"/>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rPr>
        <w:t>3.</w:t>
      </w:r>
      <w:r>
        <w:rPr>
          <w:rFonts w:hint="eastAsia" w:ascii="宋体" w:hAnsi="宋体" w:eastAsia="宋体" w:cs="宋体"/>
          <w:b w:val="0"/>
          <w:bCs/>
          <w:color w:val="333333"/>
          <w:kern w:val="0"/>
          <w:sz w:val="24"/>
          <w:szCs w:val="24"/>
          <w:shd w:val="clear" w:color="auto" w:fill="FFFFFF"/>
          <w:lang w:val="en-US" w:eastAsia="zh-CN"/>
        </w:rPr>
        <w:t>7</w:t>
      </w:r>
      <w:r>
        <w:rPr>
          <w:rFonts w:hint="eastAsia" w:ascii="宋体" w:hAnsi="宋体" w:eastAsia="宋体" w:cs="宋体"/>
          <w:b w:val="0"/>
          <w:bCs/>
          <w:color w:val="333333"/>
          <w:kern w:val="0"/>
          <w:sz w:val="24"/>
          <w:szCs w:val="24"/>
          <w:shd w:val="clear" w:color="auto" w:fill="FFFFFF"/>
        </w:rPr>
        <w:t>、本</w:t>
      </w:r>
      <w:r>
        <w:rPr>
          <w:rFonts w:hint="eastAsia" w:ascii="宋体" w:hAnsi="宋体" w:eastAsia="宋体" w:cs="宋体"/>
          <w:b w:val="0"/>
          <w:bCs/>
          <w:color w:val="333333"/>
          <w:kern w:val="0"/>
          <w:sz w:val="24"/>
          <w:szCs w:val="24"/>
          <w:shd w:val="clear" w:color="auto" w:fill="FFFFFF"/>
          <w:lang w:val="en-US" w:eastAsia="zh-CN"/>
        </w:rPr>
        <w:t>项目</w:t>
      </w:r>
      <w:r>
        <w:rPr>
          <w:rFonts w:hint="eastAsia" w:ascii="宋体" w:hAnsi="宋体" w:cs="宋体"/>
          <w:b w:val="0"/>
          <w:bCs/>
          <w:color w:val="333333"/>
          <w:kern w:val="0"/>
          <w:sz w:val="24"/>
          <w:szCs w:val="24"/>
          <w:shd w:val="clear" w:color="auto" w:fill="FFFFFF"/>
          <w:lang w:val="en-US" w:eastAsia="zh-CN"/>
        </w:rPr>
        <w:t>不</w:t>
      </w:r>
      <w:r>
        <w:rPr>
          <w:rFonts w:hint="eastAsia" w:ascii="宋体" w:hAnsi="宋体" w:eastAsia="宋体" w:cs="宋体"/>
          <w:b w:val="0"/>
          <w:bCs/>
          <w:color w:val="333333"/>
          <w:kern w:val="0"/>
          <w:sz w:val="24"/>
          <w:szCs w:val="24"/>
          <w:shd w:val="clear" w:color="auto" w:fill="FFFFFF"/>
        </w:rPr>
        <w:t>接受联合体投标。</w:t>
      </w:r>
    </w:p>
    <w:p>
      <w:pPr>
        <w:widowControl/>
        <w:spacing w:line="360" w:lineRule="auto"/>
        <w:jc w:val="left"/>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4、招标文件的获取</w:t>
      </w:r>
    </w:p>
    <w:p>
      <w:pPr>
        <w:widowControl/>
        <w:spacing w:line="360" w:lineRule="auto"/>
        <w:jc w:val="left"/>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4.1企业诚信库注册及CA办理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本项目只接受邓州市公共资源电子交易平台中已加入企业诚信库的企业业务，由于邓州市交易中心启用新版电子交易系统，已在旧版系统中注册的各交易主体应重新在新版交易系统中注册完善相关信息后绑定原CA证书，新注册的各交易主体直接在新版交易系统中注册完善相关信息并绑定CA证书（详见邓州市公共资源交易中心网站《关于启用新版电子交易系统的通知》，请各潜在投标人按邓州市公共资源交易中心网站规定及时办理，未按邓州市交易中心规定办理相关手续导致无法参与投标的，投标人责任自负）。CA数字证书办理咨询电话：13283794990。新版电子交易系统技术支持/信安CA客服：0371-60203062/96596。</w:t>
      </w:r>
    </w:p>
    <w:p>
      <w:pPr>
        <w:widowControl/>
        <w:spacing w:line="360" w:lineRule="auto"/>
        <w:jc w:val="left"/>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4.2招标文件获取方法：</w:t>
      </w:r>
    </w:p>
    <w:p>
      <w:pPr>
        <w:widowControl/>
        <w:spacing w:line="360" w:lineRule="auto"/>
        <w:ind w:firstLine="480" w:firstLineChars="200"/>
        <w:jc w:val="left"/>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潜在投标人需通过邓州市公共资源交易网（</w:t>
      </w:r>
      <w:r>
        <w:rPr>
          <w:rFonts w:hint="eastAsia" w:ascii="宋体" w:hAnsi="宋体" w:eastAsia="宋体" w:cs="宋体"/>
          <w:b w:val="0"/>
          <w:bCs/>
          <w:color w:val="333333"/>
          <w:kern w:val="0"/>
          <w:sz w:val="24"/>
          <w:szCs w:val="24"/>
          <w:shd w:val="clear" w:color="auto" w:fill="FFFFFF"/>
          <w:lang w:val="en-US" w:eastAsia="zh-CN"/>
        </w:rPr>
        <w:fldChar w:fldCharType="begin"/>
      </w:r>
      <w:r>
        <w:rPr>
          <w:rFonts w:hint="eastAsia" w:ascii="宋体" w:hAnsi="宋体" w:eastAsia="宋体" w:cs="宋体"/>
          <w:b w:val="0"/>
          <w:bCs/>
          <w:color w:val="333333"/>
          <w:kern w:val="0"/>
          <w:sz w:val="24"/>
          <w:szCs w:val="24"/>
          <w:shd w:val="clear" w:color="auto" w:fill="FFFFFF"/>
          <w:lang w:val="en-US" w:eastAsia="zh-CN"/>
        </w:rPr>
        <w:instrText xml:space="preserve"> HYPERLINK "http://www.dzggzy.com/" </w:instrText>
      </w:r>
      <w:r>
        <w:rPr>
          <w:rFonts w:hint="eastAsia" w:ascii="宋体" w:hAnsi="宋体" w:eastAsia="宋体" w:cs="宋体"/>
          <w:b w:val="0"/>
          <w:bCs/>
          <w:color w:val="333333"/>
          <w:kern w:val="0"/>
          <w:sz w:val="24"/>
          <w:szCs w:val="24"/>
          <w:shd w:val="clear" w:color="auto" w:fill="FFFFFF"/>
          <w:lang w:val="en-US" w:eastAsia="zh-CN"/>
        </w:rPr>
        <w:fldChar w:fldCharType="separate"/>
      </w:r>
      <w:r>
        <w:rPr>
          <w:rFonts w:hint="eastAsia" w:ascii="宋体" w:hAnsi="宋体" w:eastAsia="宋体" w:cs="宋体"/>
          <w:b w:val="0"/>
          <w:bCs/>
          <w:color w:val="333333"/>
          <w:kern w:val="0"/>
          <w:sz w:val="24"/>
          <w:szCs w:val="24"/>
          <w:shd w:val="clear" w:color="auto" w:fill="FFFFFF"/>
          <w:lang w:val="en-US" w:eastAsia="zh-CN"/>
        </w:rPr>
        <w:t>http://www.dzggzy.com/</w:t>
      </w:r>
      <w:r>
        <w:rPr>
          <w:rFonts w:hint="eastAsia" w:ascii="宋体" w:hAnsi="宋体" w:eastAsia="宋体" w:cs="宋体"/>
          <w:b w:val="0"/>
          <w:bCs/>
          <w:color w:val="333333"/>
          <w:kern w:val="0"/>
          <w:sz w:val="24"/>
          <w:szCs w:val="24"/>
          <w:shd w:val="clear" w:color="auto" w:fill="FFFFFF"/>
          <w:lang w:val="en-US" w:eastAsia="zh-CN"/>
        </w:rPr>
        <w:fldChar w:fldCharType="end"/>
      </w:r>
      <w:r>
        <w:rPr>
          <w:rFonts w:hint="eastAsia" w:ascii="宋体" w:hAnsi="宋体" w:eastAsia="宋体" w:cs="宋体"/>
          <w:b w:val="0"/>
          <w:bCs/>
          <w:color w:val="333333"/>
          <w:kern w:val="0"/>
          <w:sz w:val="24"/>
          <w:szCs w:val="24"/>
          <w:shd w:val="clear" w:color="auto" w:fill="FFFFFF"/>
          <w:lang w:val="en-US" w:eastAsia="zh-CN"/>
        </w:rPr>
        <w:t>）登录交易系统进行招标文件下载。（详见邓州市公共资源交易网下载专区《投标人操作手册》）。</w:t>
      </w:r>
    </w:p>
    <w:p>
      <w:pPr>
        <w:widowControl/>
        <w:spacing w:line="360" w:lineRule="auto"/>
        <w:jc w:val="left"/>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4.3招标文件获取时间：2022年</w:t>
      </w:r>
      <w:r>
        <w:rPr>
          <w:rFonts w:hint="eastAsia" w:ascii="宋体" w:hAnsi="宋体" w:cs="宋体"/>
          <w:b w:val="0"/>
          <w:bCs/>
          <w:color w:val="333333"/>
          <w:kern w:val="0"/>
          <w:sz w:val="24"/>
          <w:szCs w:val="24"/>
          <w:shd w:val="clear" w:color="auto" w:fill="FFFFFF"/>
          <w:lang w:val="en-US" w:eastAsia="zh-CN"/>
        </w:rPr>
        <w:t>9</w:t>
      </w:r>
      <w:r>
        <w:rPr>
          <w:rFonts w:hint="eastAsia" w:ascii="宋体" w:hAnsi="宋体" w:eastAsia="宋体" w:cs="宋体"/>
          <w:b w:val="0"/>
          <w:bCs/>
          <w:color w:val="333333"/>
          <w:kern w:val="0"/>
          <w:sz w:val="24"/>
          <w:szCs w:val="24"/>
          <w:shd w:val="clear" w:color="auto" w:fill="FFFFFF"/>
          <w:lang w:val="en-US" w:eastAsia="zh-CN"/>
        </w:rPr>
        <w:t>月</w:t>
      </w:r>
      <w:r>
        <w:rPr>
          <w:rFonts w:hint="eastAsia" w:ascii="宋体" w:hAnsi="宋体" w:cs="宋体"/>
          <w:b w:val="0"/>
          <w:bCs/>
          <w:color w:val="333333"/>
          <w:kern w:val="0"/>
          <w:sz w:val="24"/>
          <w:szCs w:val="24"/>
          <w:shd w:val="clear" w:color="auto" w:fill="FFFFFF"/>
          <w:lang w:val="en-US" w:eastAsia="zh-CN"/>
        </w:rPr>
        <w:t>15</w:t>
      </w:r>
      <w:r>
        <w:rPr>
          <w:rFonts w:hint="eastAsia" w:ascii="宋体" w:hAnsi="宋体" w:eastAsia="宋体" w:cs="宋体"/>
          <w:b w:val="0"/>
          <w:bCs/>
          <w:color w:val="333333"/>
          <w:kern w:val="0"/>
          <w:sz w:val="24"/>
          <w:szCs w:val="24"/>
          <w:shd w:val="clear" w:color="auto" w:fill="FFFFFF"/>
          <w:lang w:val="en-US" w:eastAsia="zh-CN"/>
        </w:rPr>
        <w:t>日08时00分至2022年</w:t>
      </w:r>
      <w:r>
        <w:rPr>
          <w:rFonts w:hint="eastAsia" w:ascii="宋体" w:hAnsi="宋体" w:cs="宋体"/>
          <w:b w:val="0"/>
          <w:bCs/>
          <w:color w:val="333333"/>
          <w:kern w:val="0"/>
          <w:sz w:val="24"/>
          <w:szCs w:val="24"/>
          <w:shd w:val="clear" w:color="auto" w:fill="FFFFFF"/>
          <w:lang w:val="en-US" w:eastAsia="zh-CN"/>
        </w:rPr>
        <w:t>9</w:t>
      </w:r>
      <w:r>
        <w:rPr>
          <w:rFonts w:hint="eastAsia" w:ascii="宋体" w:hAnsi="宋体" w:eastAsia="宋体" w:cs="宋体"/>
          <w:b w:val="0"/>
          <w:bCs/>
          <w:color w:val="333333"/>
          <w:kern w:val="0"/>
          <w:sz w:val="24"/>
          <w:szCs w:val="24"/>
          <w:shd w:val="clear" w:color="auto" w:fill="FFFFFF"/>
          <w:lang w:val="en-US" w:eastAsia="zh-CN"/>
        </w:rPr>
        <w:t>月</w:t>
      </w:r>
      <w:r>
        <w:rPr>
          <w:rFonts w:hint="eastAsia" w:ascii="宋体" w:hAnsi="宋体" w:cs="宋体"/>
          <w:b w:val="0"/>
          <w:bCs/>
          <w:color w:val="333333"/>
          <w:kern w:val="0"/>
          <w:sz w:val="24"/>
          <w:szCs w:val="24"/>
          <w:shd w:val="clear" w:color="auto" w:fill="FFFFFF"/>
          <w:lang w:val="en-US" w:eastAsia="zh-CN"/>
        </w:rPr>
        <w:t>21</w:t>
      </w:r>
      <w:r>
        <w:rPr>
          <w:rFonts w:hint="eastAsia" w:ascii="宋体" w:hAnsi="宋体" w:eastAsia="宋体" w:cs="宋体"/>
          <w:b w:val="0"/>
          <w:bCs/>
          <w:color w:val="333333"/>
          <w:kern w:val="0"/>
          <w:sz w:val="24"/>
          <w:szCs w:val="24"/>
          <w:shd w:val="clear" w:color="auto" w:fill="FFFFFF"/>
          <w:lang w:val="en-US" w:eastAsia="zh-CN"/>
        </w:rPr>
        <w:t>日18时00分。</w:t>
      </w:r>
    </w:p>
    <w:p>
      <w:pPr>
        <w:widowControl/>
        <w:spacing w:line="360" w:lineRule="auto"/>
        <w:jc w:val="left"/>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4.4招标文件售价：0元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备注：本项目实行资格后审，营业执照、资质、业绩、人员、财务、证书等内容，须在交易中心诚信库已登记的信息中选取。审查内容以投标截止时间24小时前（节假日顺延）填报上传企业诚信库信息为准，过期更改的诚信库信息不作为本项目评审依据，诚信库上传信息必须内容齐全，真实有效，原件扫描件清晰可辨。否则，由此造成应得分而未得分或资格审查不合格等情况的，由投标企业承担责任。</w:t>
      </w:r>
    </w:p>
    <w:p>
      <w:pPr>
        <w:widowControl/>
        <w:spacing w:line="360" w:lineRule="auto"/>
        <w:jc w:val="left"/>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5.投标文件的递交及开标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5.1该项目需要使用不见面开标，告知投标人无需前往现场来参与投标。而是各投标人根据手册要求，提前做好相关准备工作。附件：操作手册地址(下载专区中自行下载)、不见面开标大厅地址（http://119.3.173.167/20630036/103_module/1001_main/1001_main_index.html?ORGID=411381）</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5.2该项目自行上传投标文件，无需寄送和递交加密投标文件电子版等。需要注意开标前登录不见面系统进行签到。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5.3因投标人无需现场参与开标，所有准备工作需要自行到位。(投标单位对不见面开标流程技术不熟悉可自行携带电脑到交易中心休息区操作)开标过程中如遇到紧急事项，可在不见面开标大厅中进行提出异议或文字交流，严重问题找平台技术人员或拨打技术支持电话15036295352、0371-60203062。</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5.4不见面开标过程中，如投标人准备不到位，造成无法及时解密、网络问题等情况造成开标无法继续的，视为该投标人自动放弃投标（20分钟内），将被退回投标文件。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5.5投标文件的递交及开标时间、地点：</w:t>
      </w:r>
    </w:p>
    <w:p>
      <w:pPr>
        <w:widowControl/>
        <w:spacing w:line="360" w:lineRule="auto"/>
        <w:ind w:firstLine="480" w:firstLineChars="200"/>
        <w:jc w:val="left"/>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投标文件递交截止时间及开标时间：2022年</w:t>
      </w:r>
      <w:r>
        <w:rPr>
          <w:rFonts w:hint="eastAsia" w:ascii="宋体" w:hAnsi="宋体" w:cs="宋体"/>
          <w:b w:val="0"/>
          <w:bCs/>
          <w:color w:val="333333"/>
          <w:kern w:val="0"/>
          <w:sz w:val="24"/>
          <w:szCs w:val="24"/>
          <w:shd w:val="clear" w:color="auto" w:fill="FFFFFF"/>
          <w:lang w:val="en-US" w:eastAsia="zh-CN"/>
        </w:rPr>
        <w:t>10</w:t>
      </w:r>
      <w:r>
        <w:rPr>
          <w:rFonts w:hint="eastAsia" w:ascii="宋体" w:hAnsi="宋体" w:eastAsia="宋体" w:cs="宋体"/>
          <w:b w:val="0"/>
          <w:bCs/>
          <w:color w:val="333333"/>
          <w:kern w:val="0"/>
          <w:sz w:val="24"/>
          <w:szCs w:val="24"/>
          <w:shd w:val="clear" w:color="auto" w:fill="FFFFFF"/>
          <w:lang w:val="en-US" w:eastAsia="zh-CN"/>
        </w:rPr>
        <w:t>月</w:t>
      </w:r>
      <w:r>
        <w:rPr>
          <w:rFonts w:hint="eastAsia" w:ascii="宋体" w:hAnsi="宋体" w:cs="宋体"/>
          <w:b w:val="0"/>
          <w:bCs/>
          <w:color w:val="333333"/>
          <w:kern w:val="0"/>
          <w:sz w:val="24"/>
          <w:szCs w:val="24"/>
          <w:shd w:val="clear" w:color="auto" w:fill="FFFFFF"/>
          <w:lang w:val="en-US" w:eastAsia="zh-CN"/>
        </w:rPr>
        <w:t>18</w:t>
      </w:r>
      <w:r>
        <w:rPr>
          <w:rFonts w:hint="eastAsia" w:ascii="宋体" w:hAnsi="宋体" w:eastAsia="宋体" w:cs="宋体"/>
          <w:b w:val="0"/>
          <w:bCs/>
          <w:color w:val="333333"/>
          <w:kern w:val="0"/>
          <w:sz w:val="24"/>
          <w:szCs w:val="24"/>
          <w:shd w:val="clear" w:color="auto" w:fill="FFFFFF"/>
          <w:lang w:val="en-US" w:eastAsia="zh-CN"/>
        </w:rPr>
        <w:t>日 09 时 00 分；</w:t>
      </w:r>
    </w:p>
    <w:p>
      <w:pPr>
        <w:widowControl/>
        <w:spacing w:line="360" w:lineRule="auto"/>
        <w:jc w:val="left"/>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开标地点：邓州市公共资源交易中心开标室。</w:t>
      </w:r>
    </w:p>
    <w:p>
      <w:pPr>
        <w:widowControl/>
        <w:spacing w:line="360" w:lineRule="auto"/>
        <w:jc w:val="left"/>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6.发布公告的媒介</w:t>
      </w:r>
    </w:p>
    <w:p>
      <w:pPr>
        <w:widowControl/>
        <w:spacing w:line="360" w:lineRule="auto"/>
        <w:ind w:firstLine="480" w:firstLineChars="200"/>
        <w:jc w:val="left"/>
        <w:rPr>
          <w:rFonts w:hint="eastAsia" w:ascii="宋体" w:hAnsi="宋体" w:eastAsia="宋体" w:cs="宋体"/>
          <w:b w:val="0"/>
          <w:bCs/>
          <w:color w:val="333333"/>
          <w:kern w:val="0"/>
          <w:sz w:val="24"/>
          <w:szCs w:val="24"/>
          <w:shd w:val="clear" w:color="auto" w:fill="FFFFFF"/>
          <w:lang w:val="en-US" w:eastAsia="zh-CN"/>
        </w:rPr>
      </w:pPr>
      <w:r>
        <w:rPr>
          <w:rFonts w:hint="eastAsia" w:ascii="宋体" w:hAnsi="宋体" w:eastAsia="宋体" w:cs="宋体"/>
          <w:b w:val="0"/>
          <w:bCs/>
          <w:color w:val="333333"/>
          <w:kern w:val="0"/>
          <w:sz w:val="24"/>
          <w:szCs w:val="24"/>
          <w:shd w:val="clear" w:color="auto" w:fill="FFFFFF"/>
          <w:lang w:val="en-US" w:eastAsia="zh-CN"/>
        </w:rPr>
        <w:t>本次公告同时在《中国招标投标公共服务平台》、《河南省政府采购网》、《全国公共资源交易平台（河南省·邓州市）》上发布。</w:t>
      </w:r>
    </w:p>
    <w:p>
      <w:pPr>
        <w:widowControl/>
        <w:spacing w:line="360" w:lineRule="auto"/>
        <w:jc w:val="left"/>
        <w:rPr>
          <w:rFonts w:hint="eastAsia" w:ascii="宋体" w:hAnsi="宋体" w:eastAsia="宋体" w:cs="宋体"/>
          <w:b w:val="0"/>
          <w:bCs/>
          <w:color w:val="333333"/>
          <w:kern w:val="0"/>
          <w:sz w:val="24"/>
          <w:szCs w:val="24"/>
          <w:shd w:val="clear" w:color="auto" w:fill="FFFFFF"/>
        </w:rPr>
      </w:pPr>
      <w:r>
        <w:rPr>
          <w:rFonts w:hint="eastAsia" w:ascii="宋体" w:hAnsi="宋体" w:eastAsia="宋体" w:cs="宋体"/>
          <w:b w:val="0"/>
          <w:bCs/>
          <w:color w:val="333333"/>
          <w:kern w:val="0"/>
          <w:sz w:val="24"/>
          <w:szCs w:val="24"/>
          <w:shd w:val="clear" w:color="auto" w:fill="FFFFFF"/>
          <w:lang w:val="en-US" w:eastAsia="zh-CN"/>
        </w:rPr>
        <w:t>7</w:t>
      </w:r>
      <w:r>
        <w:rPr>
          <w:rFonts w:hint="eastAsia" w:ascii="宋体" w:hAnsi="宋体" w:eastAsia="宋体" w:cs="宋体"/>
          <w:b w:val="0"/>
          <w:bCs/>
          <w:color w:val="333333"/>
          <w:kern w:val="0"/>
          <w:sz w:val="24"/>
          <w:szCs w:val="24"/>
          <w:shd w:val="clear" w:color="auto" w:fill="FFFFFF"/>
        </w:rPr>
        <w:t>.联系方式</w:t>
      </w:r>
    </w:p>
    <w:p>
      <w:pPr>
        <w:pStyle w:val="23"/>
        <w:widowControl/>
        <w:adjustRightInd w:val="0"/>
        <w:snapToGrid w:val="0"/>
        <w:spacing w:beforeAutospacing="0" w:afterAutospacing="0" w:line="480" w:lineRule="exact"/>
        <w:ind w:right="-420" w:rightChars="-200" w:firstLine="480" w:firstLineChars="2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招 标 人：邓州市退役军人事务局</w:t>
      </w:r>
    </w:p>
    <w:p>
      <w:pPr>
        <w:pStyle w:val="23"/>
        <w:widowControl/>
        <w:adjustRightInd w:val="0"/>
        <w:snapToGrid w:val="0"/>
        <w:spacing w:beforeAutospacing="0" w:afterAutospacing="0" w:line="480" w:lineRule="exact"/>
        <w:ind w:right="-420" w:rightChars="-200" w:firstLine="480" w:firstLineChars="200"/>
        <w:rPr>
          <w:rFonts w:hint="default"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地    址：邓州市三</w:t>
      </w:r>
      <w:r>
        <w:rPr>
          <w:rFonts w:hint="eastAsia" w:cs="宋体"/>
          <w:b w:val="0"/>
          <w:bCs/>
          <w:color w:val="333333"/>
          <w:kern w:val="0"/>
          <w:sz w:val="24"/>
          <w:szCs w:val="24"/>
          <w:shd w:val="clear" w:color="auto" w:fill="FFFFFF"/>
          <w:lang w:val="en-US" w:eastAsia="zh-CN" w:bidi="ar-SA"/>
        </w:rPr>
        <w:t>贤</w:t>
      </w:r>
      <w:r>
        <w:rPr>
          <w:rFonts w:hint="eastAsia" w:ascii="宋体" w:hAnsi="宋体" w:eastAsia="宋体" w:cs="宋体"/>
          <w:b w:val="0"/>
          <w:bCs/>
          <w:color w:val="333333"/>
          <w:kern w:val="0"/>
          <w:sz w:val="24"/>
          <w:szCs w:val="24"/>
          <w:shd w:val="clear" w:color="auto" w:fill="FFFFFF"/>
          <w:lang w:val="en-US" w:eastAsia="zh-CN" w:bidi="ar-SA"/>
        </w:rPr>
        <w:t>北路</w:t>
      </w:r>
      <w:r>
        <w:rPr>
          <w:rFonts w:hint="eastAsia" w:cs="宋体"/>
          <w:b w:val="0"/>
          <w:bCs/>
          <w:color w:val="333333"/>
          <w:kern w:val="0"/>
          <w:sz w:val="24"/>
          <w:szCs w:val="24"/>
          <w:shd w:val="clear" w:color="auto" w:fill="FFFFFF"/>
          <w:lang w:val="en-US" w:eastAsia="zh-CN" w:bidi="ar-SA"/>
        </w:rPr>
        <w:t>67号</w:t>
      </w:r>
    </w:p>
    <w:p>
      <w:pPr>
        <w:pStyle w:val="23"/>
        <w:widowControl/>
        <w:adjustRightInd w:val="0"/>
        <w:snapToGrid w:val="0"/>
        <w:spacing w:beforeAutospacing="0" w:afterAutospacing="0" w:line="480" w:lineRule="exact"/>
        <w:ind w:right="-420" w:rightChars="-200" w:firstLine="480" w:firstLineChars="2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 xml:space="preserve">联 系 人：王先生 </w:t>
      </w:r>
    </w:p>
    <w:p>
      <w:pPr>
        <w:pStyle w:val="23"/>
        <w:widowControl/>
        <w:adjustRightInd w:val="0"/>
        <w:snapToGrid w:val="0"/>
        <w:spacing w:beforeAutospacing="0" w:afterAutospacing="0" w:line="480" w:lineRule="exact"/>
        <w:ind w:right="-420" w:rightChars="-200" w:firstLine="480" w:firstLineChars="2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联系电话：13703773050</w:t>
      </w:r>
    </w:p>
    <w:p>
      <w:pPr>
        <w:pStyle w:val="23"/>
        <w:widowControl/>
        <w:adjustRightInd w:val="0"/>
        <w:snapToGrid w:val="0"/>
        <w:spacing w:beforeAutospacing="0" w:afterAutospacing="0" w:line="480" w:lineRule="exact"/>
        <w:ind w:right="-420" w:rightChars="-200" w:firstLine="480" w:firstLineChars="2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代理机构：河南湍韵工程管理有限公司</w:t>
      </w:r>
    </w:p>
    <w:p>
      <w:pPr>
        <w:pStyle w:val="23"/>
        <w:widowControl/>
        <w:adjustRightInd w:val="0"/>
        <w:snapToGrid w:val="0"/>
        <w:spacing w:beforeAutospacing="0" w:afterAutospacing="0" w:line="480" w:lineRule="exact"/>
        <w:ind w:right="-420" w:rightChars="-200" w:firstLine="480" w:firstLineChars="2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地  址：邓州市文化路与滨河路交叉口263号</w:t>
      </w:r>
    </w:p>
    <w:p>
      <w:pPr>
        <w:pStyle w:val="23"/>
        <w:widowControl/>
        <w:adjustRightInd w:val="0"/>
        <w:snapToGrid w:val="0"/>
        <w:spacing w:beforeAutospacing="0" w:afterAutospacing="0" w:line="480" w:lineRule="exact"/>
        <w:ind w:right="-420" w:rightChars="-200" w:firstLine="480" w:firstLineChars="2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 xml:space="preserve">项目联系人:张女士 </w:t>
      </w:r>
    </w:p>
    <w:p>
      <w:pPr>
        <w:pStyle w:val="23"/>
        <w:widowControl/>
        <w:adjustRightInd w:val="0"/>
        <w:snapToGrid w:val="0"/>
        <w:spacing w:beforeAutospacing="0" w:afterAutospacing="0" w:line="480" w:lineRule="exact"/>
        <w:ind w:right="-420" w:rightChars="-200" w:firstLine="480" w:firstLineChars="2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联系电话: 0377-67095668</w:t>
      </w:r>
    </w:p>
    <w:p>
      <w:pPr>
        <w:pStyle w:val="23"/>
        <w:widowControl/>
        <w:adjustRightInd w:val="0"/>
        <w:snapToGrid w:val="0"/>
        <w:spacing w:beforeAutospacing="0" w:afterAutospacing="0" w:line="480" w:lineRule="exact"/>
        <w:ind w:right="-420" w:rightChars="-200" w:firstLine="480" w:firstLineChars="2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监督部门：</w:t>
      </w:r>
    </w:p>
    <w:p>
      <w:pPr>
        <w:pStyle w:val="23"/>
        <w:widowControl/>
        <w:adjustRightInd w:val="0"/>
        <w:snapToGrid w:val="0"/>
        <w:spacing w:beforeAutospacing="0" w:afterAutospacing="0" w:line="480" w:lineRule="exact"/>
        <w:ind w:right="-420" w:rightChars="-200" w:firstLine="480" w:firstLineChars="2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监督机构：邓州市住房和城乡建设局</w:t>
      </w:r>
    </w:p>
    <w:p>
      <w:pPr>
        <w:pStyle w:val="23"/>
        <w:widowControl/>
        <w:adjustRightInd w:val="0"/>
        <w:snapToGrid w:val="0"/>
        <w:spacing w:beforeAutospacing="0" w:afterAutospacing="0" w:line="480" w:lineRule="exact"/>
        <w:ind w:right="-420" w:rightChars="-200" w:firstLine="480" w:firstLineChars="2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联系人：胡女士</w:t>
      </w:r>
    </w:p>
    <w:p>
      <w:pPr>
        <w:pStyle w:val="23"/>
        <w:widowControl/>
        <w:adjustRightInd w:val="0"/>
        <w:snapToGrid w:val="0"/>
        <w:spacing w:beforeAutospacing="0" w:afterAutospacing="0" w:line="480" w:lineRule="exact"/>
        <w:ind w:right="-420" w:rightChars="-200" w:firstLine="480" w:firstLineChars="2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联系电话：0377-62120232  </w:t>
      </w:r>
    </w:p>
    <w:p>
      <w:pPr>
        <w:ind w:firstLine="480" w:firstLineChars="2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统一社会信用代码：1141138100603261XQ</w:t>
      </w:r>
    </w:p>
    <w:p>
      <w:pPr>
        <w:jc w:val="center"/>
        <w:rPr>
          <w:rStyle w:val="48"/>
          <w:rFonts w:hint="eastAsia" w:ascii="宋体" w:hAnsi="宋体" w:cs="宋体"/>
          <w:kern w:val="2"/>
          <w:sz w:val="36"/>
          <w:szCs w:val="36"/>
          <w:lang w:val="en-US" w:eastAsia="zh-CN" w:bidi="ar-SA"/>
        </w:rPr>
      </w:pPr>
      <w:r>
        <w:rPr>
          <w:rFonts w:hint="eastAsia" w:ascii="仿宋" w:hAnsi="仿宋" w:eastAsia="仿宋"/>
          <w:sz w:val="32"/>
          <w:szCs w:val="32"/>
        </w:rPr>
        <w:br w:type="page"/>
      </w:r>
      <w:bookmarkStart w:id="5" w:name="_Toc30833"/>
      <w:r>
        <w:rPr>
          <w:rStyle w:val="48"/>
          <w:rFonts w:hint="eastAsia" w:ascii="宋体" w:hAnsi="宋体" w:cs="宋体"/>
          <w:kern w:val="2"/>
          <w:sz w:val="36"/>
          <w:szCs w:val="36"/>
          <w:lang w:val="en-US" w:eastAsia="zh-CN" w:bidi="ar-SA"/>
        </w:rPr>
        <w:t>第二章 投标人须知</w:t>
      </w:r>
      <w:bookmarkEnd w:id="0"/>
      <w:bookmarkEnd w:id="1"/>
      <w:bookmarkEnd w:id="2"/>
      <w:bookmarkEnd w:id="3"/>
    </w:p>
    <w:bookmarkEnd w:id="5"/>
    <w:p>
      <w:pPr>
        <w:pStyle w:val="44"/>
        <w:jc w:val="center"/>
        <w:rPr>
          <w:rFonts w:ascii="宋体" w:hAnsi="宋体"/>
          <w:b/>
          <w:bCs/>
        </w:rPr>
      </w:pPr>
      <w:bookmarkStart w:id="6" w:name="_Toc179632545"/>
      <w:bookmarkStart w:id="7" w:name="_Toc19476"/>
      <w:bookmarkStart w:id="8" w:name="_Toc10988"/>
      <w:bookmarkStart w:id="9" w:name="_Toc9441"/>
      <w:bookmarkStart w:id="10" w:name="_Toc152042304"/>
      <w:bookmarkStart w:id="11" w:name="_Toc144974496"/>
      <w:bookmarkStart w:id="12" w:name="_Toc152045528"/>
      <w:bookmarkStart w:id="13" w:name="_Toc152045529"/>
      <w:bookmarkStart w:id="14" w:name="_Toc144974497"/>
      <w:bookmarkStart w:id="15" w:name="_Toc179632546"/>
      <w:bookmarkStart w:id="16" w:name="_Toc152042305"/>
      <w:r>
        <w:rPr>
          <w:rFonts w:hint="eastAsia" w:ascii="宋体" w:hAnsi="宋体"/>
          <w:b/>
          <w:bCs/>
        </w:rPr>
        <w:t>投标人须知前附表</w:t>
      </w:r>
      <w:bookmarkEnd w:id="6"/>
      <w:bookmarkEnd w:id="7"/>
      <w:bookmarkEnd w:id="8"/>
      <w:bookmarkEnd w:id="9"/>
      <w:bookmarkEnd w:id="10"/>
      <w:bookmarkEnd w:id="11"/>
      <w:bookmarkEnd w:id="12"/>
    </w:p>
    <w:tbl>
      <w:tblPr>
        <w:tblStyle w:val="25"/>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800"/>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46" w:type="dxa"/>
            <w:vAlign w:val="center"/>
          </w:tcPr>
          <w:p>
            <w:pPr>
              <w:adjustRightInd w:val="0"/>
              <w:spacing w:line="360" w:lineRule="auto"/>
              <w:jc w:val="center"/>
              <w:textAlignment w:val="baseline"/>
              <w:rPr>
                <w:rFonts w:ascii="宋体" w:hAnsi="宋体" w:cs="宋体"/>
                <w:b/>
                <w:sz w:val="24"/>
              </w:rPr>
            </w:pPr>
            <w:r>
              <w:rPr>
                <w:rFonts w:hint="eastAsia" w:ascii="宋体" w:hAnsi="宋体" w:cs="宋体"/>
                <w:b/>
                <w:sz w:val="24"/>
              </w:rPr>
              <w:t>序号</w:t>
            </w:r>
          </w:p>
        </w:tc>
        <w:tc>
          <w:tcPr>
            <w:tcW w:w="1800" w:type="dxa"/>
            <w:vAlign w:val="center"/>
          </w:tcPr>
          <w:p>
            <w:pPr>
              <w:adjustRightInd w:val="0"/>
              <w:spacing w:line="360" w:lineRule="auto"/>
              <w:jc w:val="center"/>
              <w:textAlignment w:val="baseline"/>
              <w:rPr>
                <w:rFonts w:ascii="宋体" w:hAnsi="宋体" w:cs="宋体"/>
                <w:b/>
                <w:sz w:val="24"/>
              </w:rPr>
            </w:pPr>
            <w:r>
              <w:rPr>
                <w:rFonts w:hint="eastAsia" w:ascii="宋体" w:hAnsi="宋体" w:cs="宋体"/>
                <w:b/>
                <w:sz w:val="24"/>
              </w:rPr>
              <w:t>内   容</w:t>
            </w:r>
          </w:p>
        </w:tc>
        <w:tc>
          <w:tcPr>
            <w:tcW w:w="7147" w:type="dxa"/>
            <w:vAlign w:val="center"/>
          </w:tcPr>
          <w:p>
            <w:pPr>
              <w:adjustRightInd w:val="0"/>
              <w:spacing w:line="360" w:lineRule="auto"/>
              <w:jc w:val="center"/>
              <w:textAlignment w:val="baseline"/>
              <w:rPr>
                <w:rFonts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1.1.1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招标人</w:t>
            </w:r>
          </w:p>
        </w:tc>
        <w:tc>
          <w:tcPr>
            <w:tcW w:w="7147" w:type="dxa"/>
            <w:vAlign w:val="center"/>
          </w:tcPr>
          <w:p>
            <w:pPr>
              <w:widowControl/>
              <w:spacing w:line="360" w:lineRule="auto"/>
              <w:jc w:val="left"/>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招标人：</w:t>
            </w:r>
            <w:r>
              <w:rPr>
                <w:rFonts w:hint="eastAsia" w:ascii="宋体" w:hAnsi="宋体" w:cs="宋体"/>
                <w:color w:val="333333"/>
                <w:kern w:val="0"/>
                <w:sz w:val="24"/>
                <w:shd w:val="clear" w:color="auto" w:fill="FFFFFF"/>
                <w:lang w:eastAsia="zh-CN"/>
              </w:rPr>
              <w:t>邓州市退役军人事务局</w:t>
            </w:r>
            <w:r>
              <w:rPr>
                <w:rFonts w:hint="eastAsia" w:ascii="宋体" w:hAnsi="宋体" w:cs="宋体"/>
                <w:color w:val="333333"/>
                <w:kern w:val="0"/>
                <w:sz w:val="24"/>
                <w:shd w:val="clear" w:color="auto" w:fill="FFFFFF"/>
              </w:rPr>
              <w:t xml:space="preserve"> </w:t>
            </w:r>
          </w:p>
          <w:p>
            <w:pPr>
              <w:widowControl/>
              <w:spacing w:line="360" w:lineRule="auto"/>
              <w:jc w:val="left"/>
              <w:rPr>
                <w:rFonts w:hint="eastAsia" w:ascii="宋体" w:hAnsi="宋体" w:eastAsia="宋体" w:cs="宋体"/>
                <w:color w:val="333333"/>
                <w:kern w:val="0"/>
                <w:sz w:val="24"/>
                <w:shd w:val="clear" w:color="auto" w:fill="FFFFFF"/>
                <w:lang w:eastAsia="zh-CN"/>
              </w:rPr>
            </w:pPr>
            <w:r>
              <w:rPr>
                <w:rFonts w:hint="eastAsia" w:ascii="宋体" w:hAnsi="宋体" w:cs="宋体"/>
                <w:color w:val="333333"/>
                <w:kern w:val="0"/>
                <w:sz w:val="24"/>
                <w:shd w:val="clear" w:color="auto" w:fill="FFFFFF"/>
              </w:rPr>
              <w:t>联系人：</w:t>
            </w:r>
            <w:r>
              <w:rPr>
                <w:rFonts w:hint="eastAsia" w:ascii="宋体" w:hAnsi="宋体" w:cs="宋体"/>
                <w:color w:val="333333"/>
                <w:kern w:val="0"/>
                <w:sz w:val="24"/>
                <w:shd w:val="clear" w:color="auto" w:fill="FFFFFF"/>
                <w:lang w:val="en-US" w:eastAsia="zh-CN"/>
              </w:rPr>
              <w:t>王先生</w:t>
            </w:r>
          </w:p>
          <w:p>
            <w:pPr>
              <w:widowControl/>
              <w:spacing w:line="360" w:lineRule="auto"/>
              <w:jc w:val="left"/>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联系电话：</w:t>
            </w:r>
            <w:r>
              <w:rPr>
                <w:rFonts w:hint="eastAsia" w:ascii="宋体" w:hAnsi="宋体" w:cs="宋体"/>
                <w:color w:val="333333"/>
                <w:kern w:val="0"/>
                <w:sz w:val="24"/>
                <w:shd w:val="clear" w:color="auto" w:fill="FFFFFF"/>
                <w:lang w:val="en-US" w:eastAsia="zh-CN"/>
              </w:rPr>
              <w:t>13703773050</w:t>
            </w:r>
          </w:p>
          <w:p>
            <w:pPr>
              <w:widowControl/>
              <w:spacing w:line="360" w:lineRule="auto"/>
              <w:jc w:val="left"/>
              <w:rPr>
                <w:rFonts w:hint="default" w:ascii="宋体" w:hAnsi="宋体" w:eastAsia="宋体" w:cs="宋体"/>
                <w:spacing w:val="10"/>
                <w:sz w:val="24"/>
                <w:lang w:val="en-US" w:eastAsia="zh-CN"/>
              </w:rPr>
            </w:pPr>
            <w:r>
              <w:rPr>
                <w:rFonts w:hint="eastAsia" w:ascii="宋体" w:hAnsi="宋体" w:cs="宋体"/>
                <w:color w:val="333333"/>
                <w:kern w:val="0"/>
                <w:sz w:val="24"/>
                <w:shd w:val="clear" w:color="auto" w:fill="FFFFFF"/>
              </w:rPr>
              <w:t>地</w:t>
            </w:r>
            <w:r>
              <w:rPr>
                <w:rFonts w:hint="eastAsia" w:ascii="宋体" w:hAnsi="宋体" w:cs="宋体"/>
                <w:color w:val="333333"/>
                <w:kern w:val="0"/>
                <w:sz w:val="24"/>
                <w:shd w:val="clear" w:color="auto" w:fill="FFFFFF"/>
                <w:lang w:val="en-US" w:eastAsia="zh-CN"/>
              </w:rPr>
              <w:t xml:space="preserve">    </w:t>
            </w:r>
            <w:r>
              <w:rPr>
                <w:rFonts w:hint="eastAsia" w:ascii="宋体" w:hAnsi="宋体" w:cs="宋体"/>
                <w:color w:val="333333"/>
                <w:kern w:val="0"/>
                <w:sz w:val="24"/>
                <w:shd w:val="clear" w:color="auto" w:fill="FFFFFF"/>
              </w:rPr>
              <w:t>址：</w:t>
            </w:r>
            <w:r>
              <w:rPr>
                <w:rFonts w:hint="eastAsia" w:ascii="宋体" w:hAnsi="宋体" w:eastAsia="宋体" w:cs="宋体"/>
                <w:b w:val="0"/>
                <w:bCs/>
                <w:color w:val="333333"/>
                <w:kern w:val="0"/>
                <w:sz w:val="24"/>
                <w:szCs w:val="24"/>
                <w:shd w:val="clear" w:color="auto" w:fill="FFFFFF"/>
                <w:lang w:val="en-US" w:eastAsia="zh-CN" w:bidi="ar-SA"/>
              </w:rPr>
              <w:t>邓州市三</w:t>
            </w:r>
            <w:r>
              <w:rPr>
                <w:rFonts w:hint="eastAsia" w:cs="宋体"/>
                <w:b w:val="0"/>
                <w:bCs/>
                <w:color w:val="333333"/>
                <w:kern w:val="0"/>
                <w:sz w:val="24"/>
                <w:szCs w:val="24"/>
                <w:shd w:val="clear" w:color="auto" w:fill="FFFFFF"/>
                <w:lang w:val="en-US" w:eastAsia="zh-CN" w:bidi="ar-SA"/>
              </w:rPr>
              <w:t>贤</w:t>
            </w:r>
            <w:r>
              <w:rPr>
                <w:rFonts w:hint="eastAsia" w:ascii="宋体" w:hAnsi="宋体" w:eastAsia="宋体" w:cs="宋体"/>
                <w:b w:val="0"/>
                <w:bCs/>
                <w:color w:val="333333"/>
                <w:kern w:val="0"/>
                <w:sz w:val="24"/>
                <w:szCs w:val="24"/>
                <w:shd w:val="clear" w:color="auto" w:fill="FFFFFF"/>
                <w:lang w:val="en-US" w:eastAsia="zh-CN" w:bidi="ar-SA"/>
              </w:rPr>
              <w:t>北路</w:t>
            </w:r>
            <w:r>
              <w:rPr>
                <w:rFonts w:hint="eastAsia" w:cs="宋体"/>
                <w:b w:val="0"/>
                <w:bCs/>
                <w:color w:val="333333"/>
                <w:kern w:val="0"/>
                <w:sz w:val="24"/>
                <w:szCs w:val="24"/>
                <w:shd w:val="clear" w:color="auto" w:fill="FFFFFF"/>
                <w:lang w:val="en-US" w:eastAsia="zh-CN" w:bidi="ar-SA"/>
              </w:rPr>
              <w:t>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1.1.2</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招标代理机构</w:t>
            </w:r>
          </w:p>
        </w:tc>
        <w:tc>
          <w:tcPr>
            <w:tcW w:w="7147" w:type="dxa"/>
            <w:vAlign w:val="center"/>
          </w:tcPr>
          <w:p>
            <w:pPr>
              <w:widowControl/>
              <w:spacing w:line="360" w:lineRule="auto"/>
              <w:jc w:val="left"/>
              <w:rPr>
                <w:rFonts w:hint="eastAsia" w:ascii="宋体" w:hAnsi="宋体" w:eastAsia="宋体" w:cs="宋体"/>
                <w:color w:val="333333"/>
                <w:kern w:val="0"/>
                <w:sz w:val="24"/>
                <w:shd w:val="clear" w:color="auto" w:fill="FFFFFF"/>
                <w:lang w:eastAsia="zh-CN"/>
              </w:rPr>
            </w:pPr>
            <w:r>
              <w:rPr>
                <w:rFonts w:hint="eastAsia" w:ascii="宋体" w:hAnsi="宋体" w:cs="宋体"/>
                <w:color w:val="333333"/>
                <w:kern w:val="0"/>
                <w:sz w:val="24"/>
                <w:shd w:val="clear" w:color="auto" w:fill="FFFFFF"/>
              </w:rPr>
              <w:t>招标代理机构：</w:t>
            </w:r>
            <w:r>
              <w:rPr>
                <w:rFonts w:hint="eastAsia" w:ascii="宋体" w:hAnsi="宋体" w:cs="宋体"/>
                <w:color w:val="333333"/>
                <w:kern w:val="0"/>
                <w:sz w:val="24"/>
                <w:shd w:val="clear" w:color="auto" w:fill="FFFFFF"/>
                <w:lang w:eastAsia="zh-CN"/>
              </w:rPr>
              <w:t>河南湍韵工程管理有限公司</w:t>
            </w:r>
          </w:p>
          <w:p>
            <w:pPr>
              <w:widowControl/>
              <w:spacing w:line="360" w:lineRule="auto"/>
              <w:jc w:val="left"/>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联系人：</w:t>
            </w:r>
            <w:r>
              <w:rPr>
                <w:rFonts w:hint="eastAsia" w:ascii="宋体" w:hAnsi="宋体" w:cs="宋体"/>
                <w:color w:val="333333"/>
                <w:kern w:val="0"/>
                <w:sz w:val="24"/>
                <w:shd w:val="clear" w:color="auto" w:fill="FFFFFF"/>
                <w:lang w:val="en-US" w:eastAsia="zh-CN"/>
              </w:rPr>
              <w:t>张女士</w:t>
            </w:r>
            <w:r>
              <w:rPr>
                <w:rFonts w:hint="eastAsia" w:ascii="宋体" w:hAnsi="宋体" w:cs="宋体"/>
                <w:color w:val="333333"/>
                <w:kern w:val="0"/>
                <w:sz w:val="24"/>
                <w:shd w:val="clear" w:color="auto" w:fill="FFFFFF"/>
              </w:rPr>
              <w:t xml:space="preserve"> </w:t>
            </w:r>
          </w:p>
          <w:p>
            <w:pPr>
              <w:widowControl/>
              <w:spacing w:line="360" w:lineRule="auto"/>
              <w:jc w:val="left"/>
              <w:rPr>
                <w:rFonts w:hint="eastAsia" w:ascii="宋体" w:hAnsi="宋体" w:cs="宋体"/>
                <w:color w:val="333333"/>
                <w:kern w:val="0"/>
                <w:sz w:val="24"/>
                <w:shd w:val="clear" w:color="auto" w:fill="FFFFFF"/>
                <w:lang w:val="en-US" w:eastAsia="zh-CN"/>
              </w:rPr>
            </w:pPr>
            <w:r>
              <w:rPr>
                <w:rFonts w:hint="eastAsia" w:ascii="宋体" w:hAnsi="宋体" w:cs="宋体"/>
                <w:color w:val="333333"/>
                <w:kern w:val="0"/>
                <w:sz w:val="24"/>
                <w:shd w:val="clear" w:color="auto" w:fill="FFFFFF"/>
              </w:rPr>
              <w:t>联系电话：</w:t>
            </w:r>
            <w:r>
              <w:rPr>
                <w:rFonts w:hint="eastAsia" w:ascii="宋体" w:hAnsi="宋体" w:cs="宋体"/>
                <w:color w:val="333333"/>
                <w:kern w:val="0"/>
                <w:sz w:val="24"/>
                <w:shd w:val="clear" w:color="auto" w:fill="FFFFFF"/>
                <w:lang w:val="en-US" w:eastAsia="zh-CN"/>
              </w:rPr>
              <w:t>0377-67095668</w:t>
            </w:r>
          </w:p>
          <w:p>
            <w:pPr>
              <w:widowControl/>
              <w:spacing w:line="360" w:lineRule="auto"/>
              <w:jc w:val="left"/>
              <w:rPr>
                <w:rFonts w:ascii="宋体" w:hAnsi="宋体" w:cs="宋体"/>
                <w:sz w:val="24"/>
              </w:rPr>
            </w:pPr>
            <w:r>
              <w:rPr>
                <w:rFonts w:hint="eastAsia" w:ascii="宋体" w:hAnsi="宋体" w:cs="宋体"/>
                <w:color w:val="333333"/>
                <w:kern w:val="0"/>
                <w:sz w:val="24"/>
                <w:shd w:val="clear" w:color="auto" w:fill="FFFFFF"/>
              </w:rPr>
              <w:t>地</w:t>
            </w:r>
            <w:r>
              <w:rPr>
                <w:rFonts w:hint="eastAsia" w:ascii="宋体" w:hAnsi="宋体" w:cs="宋体"/>
                <w:color w:val="333333"/>
                <w:kern w:val="0"/>
                <w:sz w:val="24"/>
                <w:shd w:val="clear" w:color="auto" w:fill="FFFFFF"/>
                <w:lang w:val="en-US" w:eastAsia="zh-CN"/>
              </w:rPr>
              <w:t xml:space="preserve">    </w:t>
            </w:r>
            <w:r>
              <w:rPr>
                <w:rFonts w:hint="eastAsia" w:ascii="宋体" w:hAnsi="宋体" w:cs="宋体"/>
                <w:color w:val="333333"/>
                <w:kern w:val="0"/>
                <w:sz w:val="24"/>
                <w:shd w:val="clear" w:color="auto" w:fill="FFFFFF"/>
              </w:rPr>
              <w:t xml:space="preserve">址： </w:t>
            </w:r>
            <w:r>
              <w:rPr>
                <w:rFonts w:hint="eastAsia" w:ascii="宋体" w:hAnsi="宋体" w:cs="宋体"/>
                <w:color w:val="333333"/>
                <w:kern w:val="0"/>
                <w:sz w:val="24"/>
                <w:shd w:val="clear" w:color="auto" w:fill="FFFFFF"/>
                <w:lang w:val="en-US" w:eastAsia="zh-CN"/>
              </w:rPr>
              <w:t>邓州市文化路与滨河路交叉口263号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1.1.3</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项目名称</w:t>
            </w:r>
          </w:p>
        </w:tc>
        <w:tc>
          <w:tcPr>
            <w:tcW w:w="7147" w:type="dxa"/>
            <w:vAlign w:val="center"/>
          </w:tcPr>
          <w:p>
            <w:pPr>
              <w:pStyle w:val="16"/>
              <w:spacing w:line="360" w:lineRule="auto"/>
              <w:rPr>
                <w:rFonts w:hAnsi="宋体" w:cs="宋体"/>
                <w:sz w:val="24"/>
                <w:szCs w:val="24"/>
              </w:rPr>
            </w:pPr>
            <w:r>
              <w:rPr>
                <w:rFonts w:hint="eastAsia" w:hAnsi="宋体" w:cs="宋体"/>
                <w:sz w:val="24"/>
                <w:szCs w:val="24"/>
                <w:lang w:val="en-US" w:eastAsia="zh-CN"/>
              </w:rPr>
              <w:t>邓州市退役军人事务局邓州市烈士纪念设施建设项目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1.1.4</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建设地点</w:t>
            </w:r>
          </w:p>
        </w:tc>
        <w:tc>
          <w:tcPr>
            <w:tcW w:w="7147" w:type="dxa"/>
            <w:vAlign w:val="center"/>
          </w:tcPr>
          <w:p>
            <w:pPr>
              <w:adjustRightInd w:val="0"/>
              <w:spacing w:line="360" w:lineRule="auto"/>
              <w:textAlignment w:val="baseline"/>
              <w:rPr>
                <w:rFonts w:hint="default" w:ascii="宋体" w:hAnsi="宋体" w:cs="宋体"/>
                <w:color w:val="000000"/>
                <w:sz w:val="24"/>
                <w:lang w:val="en-US"/>
              </w:rPr>
            </w:pPr>
            <w:r>
              <w:rPr>
                <w:rFonts w:hint="eastAsia" w:ascii="宋体" w:hAnsi="宋体" w:eastAsia="宋体" w:cs="宋体"/>
                <w:b w:val="0"/>
                <w:bCs/>
                <w:color w:val="333333"/>
                <w:kern w:val="0"/>
                <w:sz w:val="24"/>
                <w:szCs w:val="24"/>
                <w:shd w:val="clear" w:color="auto" w:fill="FFFFFF"/>
                <w:lang w:eastAsia="zh-CN"/>
              </w:rPr>
              <w:t>邓州市</w:t>
            </w:r>
            <w:r>
              <w:rPr>
                <w:rFonts w:hint="eastAsia" w:ascii="宋体" w:hAnsi="宋体" w:cs="宋体"/>
                <w:b w:val="0"/>
                <w:bCs/>
                <w:color w:val="333333"/>
                <w:kern w:val="0"/>
                <w:sz w:val="24"/>
                <w:szCs w:val="24"/>
                <w:shd w:val="clear" w:color="auto" w:fill="FFFFFF"/>
                <w:lang w:val="en-US" w:eastAsia="zh-CN"/>
              </w:rPr>
              <w:t>新华路与穰城路交叉口西南角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1.2.1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资金来源</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1.2.2</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出资比例</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1.2.3</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资金落实情况</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1.2.4</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 xml:space="preserve">项目投资概算 </w:t>
            </w:r>
          </w:p>
        </w:tc>
        <w:tc>
          <w:tcPr>
            <w:tcW w:w="7147" w:type="dxa"/>
            <w:vAlign w:val="center"/>
          </w:tcPr>
          <w:p>
            <w:pPr>
              <w:adjustRightInd w:val="0"/>
              <w:spacing w:line="360" w:lineRule="auto"/>
              <w:textAlignment w:val="baseline"/>
              <w:rPr>
                <w:rFonts w:hint="default" w:ascii="宋体" w:hAnsi="宋体" w:eastAsia="宋体" w:cs="宋体"/>
                <w:sz w:val="24"/>
                <w:lang w:val="en-US" w:eastAsia="zh-CN"/>
              </w:rPr>
            </w:pPr>
            <w:r>
              <w:rPr>
                <w:rFonts w:hint="eastAsia" w:ascii="宋体" w:hAnsi="宋体" w:cs="仿宋"/>
                <w:sz w:val="24"/>
                <w:lang w:val="en-US" w:eastAsia="zh-CN"/>
              </w:rPr>
              <w:t>13110328.68</w:t>
            </w:r>
            <w:r>
              <w:rPr>
                <w:rFonts w:hint="eastAsia" w:ascii="宋体" w:hAnsi="宋体" w:cs="宋体"/>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1.3.1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招标范围</w:t>
            </w:r>
          </w:p>
        </w:tc>
        <w:tc>
          <w:tcPr>
            <w:tcW w:w="7147" w:type="dxa"/>
            <w:vAlign w:val="center"/>
          </w:tcPr>
          <w:p>
            <w:pPr>
              <w:adjustRightInd w:val="0"/>
              <w:spacing w:line="360" w:lineRule="auto"/>
              <w:textAlignment w:val="baseline"/>
              <w:rPr>
                <w:rFonts w:ascii="宋体" w:hAnsi="宋体" w:cs="宋体"/>
                <w:color w:val="000000"/>
                <w:sz w:val="24"/>
              </w:rPr>
            </w:pPr>
            <w:r>
              <w:rPr>
                <w:rFonts w:hint="eastAsia" w:ascii="宋体" w:hAnsi="宋体" w:cs="宋体"/>
                <w:color w:val="000000"/>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1.3.2</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工期</w:t>
            </w:r>
          </w:p>
        </w:tc>
        <w:tc>
          <w:tcPr>
            <w:tcW w:w="7147" w:type="dxa"/>
            <w:vAlign w:val="center"/>
          </w:tcPr>
          <w:p>
            <w:pPr>
              <w:adjustRightInd w:val="0"/>
              <w:spacing w:line="360" w:lineRule="auto"/>
              <w:textAlignment w:val="baseline"/>
              <w:rPr>
                <w:rFonts w:hint="default" w:ascii="宋体" w:hAnsi="宋体" w:eastAsia="宋体" w:cs="宋体"/>
                <w:sz w:val="24"/>
                <w:lang w:val="en-US" w:eastAsia="zh-CN"/>
              </w:rPr>
            </w:pPr>
            <w:r>
              <w:rPr>
                <w:rFonts w:hint="eastAsia" w:ascii="宋体" w:hAnsi="宋体" w:cs="宋体"/>
                <w:color w:val="000000"/>
                <w:sz w:val="24"/>
                <w:lang w:val="en-US" w:eastAsia="zh-CN"/>
              </w:rPr>
              <w:t>150日历天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1.3.3</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质量要求</w:t>
            </w:r>
          </w:p>
        </w:tc>
        <w:tc>
          <w:tcPr>
            <w:tcW w:w="7147" w:type="dxa"/>
            <w:vAlign w:val="center"/>
          </w:tcPr>
          <w:p>
            <w:pPr>
              <w:widowControl/>
              <w:wordWrap w:val="0"/>
              <w:spacing w:line="360" w:lineRule="auto"/>
              <w:jc w:val="left"/>
              <w:rPr>
                <w:rFonts w:ascii="宋体" w:hAnsi="宋体" w:cs="宋体"/>
                <w:sz w:val="24"/>
              </w:rPr>
            </w:pPr>
            <w:r>
              <w:rPr>
                <w:rFonts w:hint="eastAsia" w:ascii="宋体" w:hAnsi="宋体" w:cs="宋体"/>
                <w:color w:val="000000"/>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1.4.1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投标人资质条件、能力和信誉</w:t>
            </w:r>
          </w:p>
        </w:tc>
        <w:tc>
          <w:tcPr>
            <w:tcW w:w="7147" w:type="dxa"/>
            <w:vAlign w:val="center"/>
          </w:tcPr>
          <w:p>
            <w:pPr>
              <w:pStyle w:val="23"/>
              <w:widowControl w:val="0"/>
              <w:spacing w:before="0" w:beforeAutospacing="0" w:after="0" w:afterAutospacing="0" w:line="460" w:lineRule="exact"/>
              <w:rPr>
                <w:rFonts w:cs="宋体"/>
                <w:kern w:val="2"/>
                <w:sz w:val="24"/>
                <w:szCs w:val="24"/>
              </w:rPr>
            </w:pPr>
            <w:r>
              <w:rPr>
                <w:rFonts w:hint="eastAsia" w:cs="宋体"/>
                <w:kern w:val="2"/>
                <w:sz w:val="24"/>
                <w:szCs w:val="24"/>
              </w:rPr>
              <w:t>详见招标公告“3、投标人资格要求”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1.4.2</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是否接受联合体投标</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sym w:font="Wingdings 2" w:char="0052"/>
            </w:r>
            <w:r>
              <w:rPr>
                <w:rFonts w:hint="eastAsia" w:ascii="宋体" w:hAnsi="宋体" w:cs="宋体"/>
                <w:sz w:val="24"/>
              </w:rPr>
              <w:t>不接受</w:t>
            </w:r>
          </w:p>
          <w:p>
            <w:pPr>
              <w:adjustRightInd w:val="0"/>
              <w:spacing w:line="360" w:lineRule="auto"/>
              <w:textAlignment w:val="baseline"/>
              <w:rPr>
                <w:rFonts w:ascii="宋体" w:hAnsi="宋体" w:cs="宋体"/>
                <w:sz w:val="24"/>
              </w:rPr>
            </w:pPr>
            <w:r>
              <w:rPr>
                <w:rFonts w:hint="eastAsia" w:ascii="宋体" w:hAnsi="宋体" w:cs="宋体"/>
                <w:sz w:val="24"/>
                <w:lang w:eastAsia="zh-CN"/>
              </w:rPr>
              <w:t>□</w:t>
            </w:r>
            <w:r>
              <w:rPr>
                <w:rFonts w:hint="eastAsia" w:ascii="宋体" w:hAnsi="宋体" w:cs="宋体"/>
                <w:sz w:val="24"/>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1.9.1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踏勘现场</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1.9.2</w:t>
            </w:r>
          </w:p>
        </w:tc>
        <w:tc>
          <w:tcPr>
            <w:tcW w:w="1800" w:type="dxa"/>
            <w:vAlign w:val="center"/>
          </w:tcPr>
          <w:p>
            <w:pPr>
              <w:spacing w:line="360" w:lineRule="auto"/>
              <w:jc w:val="center"/>
              <w:rPr>
                <w:rFonts w:ascii="宋体" w:hAnsi="宋体" w:cs="宋体"/>
                <w:sz w:val="24"/>
              </w:rPr>
            </w:pPr>
            <w:r>
              <w:rPr>
                <w:rFonts w:hint="eastAsia" w:ascii="宋体" w:hAnsi="宋体" w:cs="宋体"/>
                <w:sz w:val="24"/>
              </w:rPr>
              <w:t>投标人提出问题的截止时间</w:t>
            </w:r>
          </w:p>
        </w:tc>
        <w:tc>
          <w:tcPr>
            <w:tcW w:w="7147" w:type="dxa"/>
            <w:vAlign w:val="center"/>
          </w:tcPr>
          <w:p>
            <w:pPr>
              <w:autoSpaceDE w:val="0"/>
              <w:autoSpaceDN w:val="0"/>
              <w:spacing w:line="440" w:lineRule="exact"/>
              <w:rPr>
                <w:rFonts w:ascii="宋体" w:hAnsi="宋体" w:cs="宋体"/>
                <w:sz w:val="24"/>
              </w:rPr>
            </w:pPr>
            <w:r>
              <w:rPr>
                <w:rFonts w:hint="eastAsia" w:ascii="宋体" w:hAnsi="宋体" w:cs="宋体"/>
                <w:sz w:val="24"/>
              </w:rPr>
              <w:t>递交投标文件的截止之日17日前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1.10.3</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招标人书面澄清的时间</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递交投标文件的截止之日15日前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1.11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分包</w:t>
            </w:r>
          </w:p>
        </w:tc>
        <w:tc>
          <w:tcPr>
            <w:tcW w:w="7147" w:type="dxa"/>
            <w:vAlign w:val="center"/>
          </w:tcPr>
          <w:p>
            <w:pPr>
              <w:pStyle w:val="13"/>
              <w:topLinePunct/>
              <w:adjustRightInd w:val="0"/>
              <w:spacing w:line="360" w:lineRule="auto"/>
              <w:textAlignment w:val="baseline"/>
              <w:rPr>
                <w:rFonts w:hAnsi="宋体" w:cs="宋体"/>
                <w:szCs w:val="24"/>
              </w:rPr>
            </w:pPr>
            <w:r>
              <w:rPr>
                <w:rFonts w:hint="eastAsia" w:hAnsi="宋体" w:cs="宋体"/>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1.12</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偏离</w:t>
            </w:r>
          </w:p>
        </w:tc>
        <w:tc>
          <w:tcPr>
            <w:tcW w:w="7147" w:type="dxa"/>
            <w:vAlign w:val="center"/>
          </w:tcPr>
          <w:p>
            <w:pPr>
              <w:pStyle w:val="13"/>
              <w:topLinePunct/>
              <w:adjustRightInd w:val="0"/>
              <w:spacing w:line="360" w:lineRule="auto"/>
              <w:textAlignment w:val="baseline"/>
              <w:rPr>
                <w:rFonts w:hAnsi="宋体" w:cs="宋体"/>
                <w:szCs w:val="24"/>
              </w:rPr>
            </w:pPr>
            <w:r>
              <w:rPr>
                <w:rFonts w:hint="eastAsia" w:hAnsi="宋体" w:cs="宋体"/>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2.1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构成招标文件的其他材料</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招标文件补充资料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46" w:type="dxa"/>
            <w:vMerge w:val="restart"/>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2.2.1</w:t>
            </w:r>
          </w:p>
        </w:tc>
        <w:tc>
          <w:tcPr>
            <w:tcW w:w="1800" w:type="dxa"/>
            <w:vMerge w:val="restart"/>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投标人要求澄清招标文件的截止时间</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46" w:type="dxa"/>
            <w:vMerge w:val="continue"/>
            <w:vAlign w:val="center"/>
          </w:tcPr>
          <w:p>
            <w:pPr>
              <w:adjustRightInd w:val="0"/>
              <w:spacing w:line="360" w:lineRule="auto"/>
              <w:textAlignment w:val="baseline"/>
            </w:pPr>
          </w:p>
        </w:tc>
        <w:tc>
          <w:tcPr>
            <w:tcW w:w="1800" w:type="dxa"/>
            <w:vMerge w:val="continue"/>
            <w:vAlign w:val="center"/>
          </w:tcPr>
          <w:p>
            <w:pPr>
              <w:adjustRightInd w:val="0"/>
              <w:spacing w:line="360" w:lineRule="auto"/>
              <w:textAlignment w:val="baseline"/>
            </w:pP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形式：在电子招标投标交易平台提出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2.2.2</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投标文件上传/递交截止时间</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highlight w:val="none"/>
              </w:rPr>
              <w:t>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日上午</w:t>
            </w:r>
            <w:r>
              <w:rPr>
                <w:rFonts w:hint="eastAsia" w:ascii="宋体" w:hAnsi="宋体" w:cs="宋体"/>
                <w:sz w:val="24"/>
                <w:highlight w:val="none"/>
                <w:lang w:val="en-US" w:eastAsia="zh-CN"/>
              </w:rPr>
              <w:t>9</w:t>
            </w:r>
            <w:r>
              <w:rPr>
                <w:rFonts w:hint="eastAsia" w:ascii="宋体" w:hAnsi="宋体" w:cs="宋体"/>
                <w:sz w:val="24"/>
                <w:highlight w:val="none"/>
              </w:rPr>
              <w:t>时</w:t>
            </w:r>
            <w:r>
              <w:rPr>
                <w:rFonts w:hint="eastAsia" w:ascii="宋体" w:hAnsi="宋体" w:cs="宋体"/>
                <w:sz w:val="24"/>
                <w:highlight w:val="none"/>
                <w:lang w:val="en-US" w:eastAsia="zh-CN"/>
              </w:rPr>
              <w:t>0</w:t>
            </w:r>
            <w:r>
              <w:rPr>
                <w:rFonts w:hint="eastAsia" w:ascii="宋体" w:hAnsi="宋体" w:cs="宋体"/>
                <w:sz w:val="24"/>
                <w:highlight w:val="none"/>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2.2.3</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投标人确认收到招标文件澄清的时间</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在收到相应澄清文件后</w:t>
            </w:r>
            <w:r>
              <w:rPr>
                <w:rFonts w:hint="eastAsia" w:ascii="宋体" w:hAnsi="宋体" w:cs="宋体"/>
                <w:sz w:val="24"/>
                <w:u w:val="single"/>
              </w:rPr>
              <w:t>24</w:t>
            </w:r>
            <w:r>
              <w:rPr>
                <w:rFonts w:hint="eastAsia" w:ascii="宋体" w:hAnsi="宋体" w:cs="宋体"/>
                <w:sz w:val="24"/>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2.3.2</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投标人确认收到招标文件修改的时间</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在收到相应修改文件后</w:t>
            </w:r>
            <w:r>
              <w:rPr>
                <w:rFonts w:hint="eastAsia" w:ascii="宋体" w:hAnsi="宋体" w:cs="宋体"/>
                <w:sz w:val="24"/>
                <w:u w:val="single"/>
              </w:rPr>
              <w:t>24</w:t>
            </w:r>
            <w:r>
              <w:rPr>
                <w:rFonts w:hint="eastAsia" w:ascii="宋体" w:hAnsi="宋体" w:cs="宋体"/>
                <w:sz w:val="24"/>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3.1.1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构成投标文件的其他材料</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3.3.1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投标有效期</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3.4.1</w:t>
            </w:r>
          </w:p>
        </w:tc>
        <w:tc>
          <w:tcPr>
            <w:tcW w:w="1800" w:type="dxa"/>
            <w:vAlign w:val="center"/>
          </w:tcPr>
          <w:p>
            <w:pPr>
              <w:adjustRightInd w:val="0"/>
              <w:spacing w:line="360" w:lineRule="auto"/>
              <w:jc w:val="center"/>
              <w:textAlignment w:val="baseline"/>
              <w:rPr>
                <w:rFonts w:ascii="宋体" w:hAnsi="宋体" w:cs="宋体"/>
                <w:sz w:val="24"/>
                <w:highlight w:val="yellow"/>
              </w:rPr>
            </w:pPr>
            <w:r>
              <w:rPr>
                <w:rFonts w:hint="eastAsia" w:ascii="宋体" w:hAnsi="宋体" w:cs="宋体"/>
                <w:sz w:val="24"/>
              </w:rPr>
              <w:t>投标保证金</w:t>
            </w:r>
          </w:p>
        </w:tc>
        <w:tc>
          <w:tcPr>
            <w:tcW w:w="7147" w:type="dxa"/>
            <w:vAlign w:val="center"/>
          </w:tcPr>
          <w:p>
            <w:pPr>
              <w:spacing w:line="360" w:lineRule="auto"/>
              <w:rPr>
                <w:rFonts w:hint="eastAsia" w:ascii="宋体" w:hAnsi="宋体" w:eastAsia="宋体" w:cs="宋体"/>
                <w:b/>
                <w:bCs/>
                <w:sz w:val="24"/>
                <w:szCs w:val="24"/>
                <w:lang w:eastAsia="zh-CN"/>
              </w:rPr>
            </w:pPr>
            <w:r>
              <w:rPr>
                <w:rFonts w:hint="eastAsia" w:ascii="宋体" w:hAnsi="宋体" w:eastAsia="宋体" w:cs="宋体"/>
                <w:sz w:val="24"/>
                <w:szCs w:val="24"/>
                <w:lang w:eastAsia="zh-CN"/>
              </w:rPr>
              <w:t>一、</w:t>
            </w:r>
            <w:r>
              <w:rPr>
                <w:rFonts w:hint="eastAsia" w:ascii="宋体" w:hAnsi="宋体" w:eastAsia="宋体" w:cs="宋体"/>
                <w:b/>
                <w:bCs/>
                <w:sz w:val="24"/>
                <w:szCs w:val="24"/>
                <w:lang w:eastAsia="zh-CN"/>
              </w:rPr>
              <w:t>投标保证金金额：</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壹万</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整(￥：</w:t>
            </w:r>
            <w:r>
              <w:rPr>
                <w:rFonts w:hint="eastAsia" w:ascii="宋体" w:hAnsi="宋体" w:cs="宋体"/>
                <w:sz w:val="24"/>
                <w:szCs w:val="24"/>
                <w:lang w:val="en-US" w:eastAsia="zh-CN"/>
              </w:rPr>
              <w:t>10000</w:t>
            </w:r>
            <w:r>
              <w:rPr>
                <w:rFonts w:hint="eastAsia" w:ascii="宋体" w:hAnsi="宋体" w:eastAsia="宋体" w:cs="宋体"/>
                <w:sz w:val="24"/>
                <w:szCs w:val="24"/>
                <w:lang w:eastAsia="zh-CN"/>
              </w:rPr>
              <w:t>.00元）</w:t>
            </w:r>
          </w:p>
          <w:p>
            <w:pPr>
              <w:keepNext w:val="0"/>
              <w:keepLines w:val="0"/>
              <w:pageBreakBefore w:val="0"/>
              <w:tabs>
                <w:tab w:val="left" w:pos="3467"/>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二、投标保证金的缴纳形式：</w:t>
            </w:r>
          </w:p>
          <w:p>
            <w:pPr>
              <w:tabs>
                <w:tab w:val="left" w:pos="3467"/>
              </w:tabs>
              <w:spacing w:after="0"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）银行转账</w:t>
            </w:r>
          </w:p>
          <w:p>
            <w:pPr>
              <w:tabs>
                <w:tab w:val="left" w:pos="3467"/>
              </w:tabs>
              <w:spacing w:after="0" w:line="360" w:lineRule="auto"/>
              <w:rPr>
                <w:rFonts w:ascii="宋体" w:hAnsi="宋体" w:cs="宋体"/>
                <w:b w:val="0"/>
                <w:bCs/>
                <w:sz w:val="24"/>
                <w:szCs w:val="24"/>
                <w:lang w:eastAsia="zh-CN"/>
              </w:rPr>
            </w:pPr>
            <w:r>
              <w:rPr>
                <w:rFonts w:hint="eastAsia" w:ascii="宋体" w:hAnsi="宋体" w:cs="宋体"/>
                <w:b w:val="0"/>
                <w:bCs/>
                <w:sz w:val="24"/>
                <w:szCs w:val="24"/>
                <w:lang w:eastAsia="zh-CN"/>
              </w:rPr>
              <w:t>投标保证金缴纳至：</w:t>
            </w:r>
          </w:p>
          <w:p>
            <w:pPr>
              <w:tabs>
                <w:tab w:val="left" w:pos="3467"/>
              </w:tabs>
              <w:spacing w:after="0" w:line="360" w:lineRule="auto"/>
              <w:rPr>
                <w:rFonts w:ascii="宋体" w:hAnsi="宋体" w:cs="宋体"/>
                <w:b w:val="0"/>
                <w:bCs/>
                <w:sz w:val="24"/>
                <w:szCs w:val="24"/>
                <w:lang w:eastAsia="zh-CN"/>
              </w:rPr>
            </w:pPr>
            <w:r>
              <w:rPr>
                <w:rFonts w:hint="eastAsia" w:ascii="宋体" w:hAnsi="宋体" w:cs="宋体"/>
                <w:b w:val="0"/>
                <w:bCs/>
                <w:sz w:val="24"/>
                <w:szCs w:val="24"/>
                <w:lang w:eastAsia="zh-CN"/>
              </w:rPr>
              <w:t>开户行：</w:t>
            </w:r>
            <w:r>
              <w:rPr>
                <w:rFonts w:hint="eastAsia" w:ascii="宋体" w:hAnsi="宋体" w:cs="宋体"/>
                <w:b w:val="0"/>
                <w:bCs/>
                <w:color w:val="000000" w:themeColor="text1"/>
                <w:sz w:val="24"/>
                <w:szCs w:val="24"/>
                <w:lang w:eastAsia="zh-CN"/>
                <w14:textFill>
                  <w14:solidFill>
                    <w14:schemeClr w14:val="tx1"/>
                  </w14:solidFill>
                </w14:textFill>
              </w:rPr>
              <w:t>中国工商银行邓州支行</w:t>
            </w:r>
          </w:p>
          <w:p>
            <w:pPr>
              <w:tabs>
                <w:tab w:val="left" w:pos="3467"/>
              </w:tabs>
              <w:spacing w:after="0" w:line="360" w:lineRule="auto"/>
              <w:rPr>
                <w:rFonts w:ascii="宋体" w:hAnsi="宋体" w:cs="宋体"/>
                <w:b w:val="0"/>
                <w:bCs/>
                <w:sz w:val="24"/>
                <w:szCs w:val="24"/>
                <w:lang w:eastAsia="zh-CN"/>
              </w:rPr>
            </w:pPr>
            <w:r>
              <w:rPr>
                <w:rFonts w:hint="eastAsia" w:ascii="宋体" w:hAnsi="宋体" w:cs="宋体"/>
                <w:b w:val="0"/>
                <w:bCs/>
                <w:sz w:val="24"/>
                <w:szCs w:val="24"/>
                <w:lang w:eastAsia="zh-CN"/>
              </w:rPr>
              <w:t>收款单位：邓州市公共资源交易中心</w:t>
            </w:r>
          </w:p>
          <w:p>
            <w:pPr>
              <w:tabs>
                <w:tab w:val="left" w:pos="3467"/>
              </w:tabs>
              <w:spacing w:after="0" w:line="360" w:lineRule="auto"/>
              <w:rPr>
                <w:rFonts w:ascii="宋体" w:hAnsi="宋体" w:cs="宋体"/>
                <w:b w:val="0"/>
                <w:bCs/>
                <w:sz w:val="24"/>
                <w:szCs w:val="24"/>
                <w:lang w:eastAsia="zh-CN"/>
              </w:rPr>
            </w:pPr>
            <w:r>
              <w:rPr>
                <w:rFonts w:hint="eastAsia" w:ascii="宋体" w:hAnsi="宋体" w:cs="宋体"/>
                <w:b w:val="0"/>
                <w:bCs/>
                <w:sz w:val="24"/>
                <w:szCs w:val="24"/>
                <w:lang w:eastAsia="zh-CN"/>
              </w:rPr>
              <w:t>投标保证金缴纳截止时间：同开标截止时间。</w:t>
            </w:r>
          </w:p>
          <w:p>
            <w:pPr>
              <w:tabs>
                <w:tab w:val="left" w:pos="3467"/>
              </w:tabs>
              <w:spacing w:after="0" w:line="360" w:lineRule="auto"/>
              <w:rPr>
                <w:rFonts w:ascii="宋体" w:hAnsi="宋体" w:cs="宋体"/>
                <w:b w:val="0"/>
                <w:bCs/>
                <w:sz w:val="24"/>
                <w:szCs w:val="24"/>
                <w:lang w:eastAsia="zh-CN"/>
              </w:rPr>
            </w:pPr>
            <w:r>
              <w:rPr>
                <w:rFonts w:hint="eastAsia" w:ascii="宋体" w:hAnsi="宋体" w:cs="宋体"/>
                <w:b w:val="0"/>
                <w:bCs/>
                <w:sz w:val="24"/>
                <w:szCs w:val="24"/>
                <w:lang w:eastAsia="zh-CN"/>
              </w:rPr>
              <w:t>备注说明：投标企业需严格按提交订单后该</w:t>
            </w:r>
            <w:r>
              <w:rPr>
                <w:rFonts w:hint="eastAsia" w:ascii="宋体" w:hAnsi="宋体" w:cs="宋体"/>
                <w:b w:val="0"/>
                <w:bCs/>
                <w:sz w:val="24"/>
                <w:szCs w:val="24"/>
                <w:lang w:val="en-US" w:eastAsia="zh-CN"/>
              </w:rPr>
              <w:t>项目</w:t>
            </w:r>
            <w:r>
              <w:rPr>
                <w:rFonts w:hint="eastAsia" w:ascii="宋体" w:hAnsi="宋体" w:cs="宋体"/>
                <w:b w:val="0"/>
                <w:bCs/>
                <w:sz w:val="24"/>
                <w:szCs w:val="24"/>
                <w:lang w:eastAsia="zh-CN"/>
              </w:rPr>
              <w:t>所生成的子账号交纳保证金，确认相关信息无误；保证金必须从企业基本帐户一次性足额打入该子帐户；企业基本帐户必须与企业在邓州市公共资源交易中心新系统中信息完全一致；未按照相关要求交纳均视为未缴纳保证金，不能参加开标活动。</w:t>
            </w:r>
          </w:p>
          <w:p>
            <w:pPr>
              <w:tabs>
                <w:tab w:val="left" w:pos="3467"/>
              </w:tabs>
              <w:spacing w:after="0" w:line="360" w:lineRule="auto"/>
              <w:rPr>
                <w:rFonts w:hint="eastAsia" w:ascii="宋体" w:hAnsi="宋体" w:cs="宋体"/>
                <w:b/>
                <w:sz w:val="24"/>
                <w:szCs w:val="24"/>
                <w:lang w:eastAsia="zh-CN"/>
              </w:rPr>
            </w:pPr>
            <w:r>
              <w:rPr>
                <w:rFonts w:hint="eastAsia" w:ascii="宋体" w:hAnsi="宋体" w:cs="宋体"/>
                <w:b/>
                <w:sz w:val="24"/>
                <w:szCs w:val="24"/>
                <w:lang w:eastAsia="zh-CN"/>
              </w:rPr>
              <w:t>（</w:t>
            </w:r>
            <w:r>
              <w:rPr>
                <w:rFonts w:hint="eastAsia" w:ascii="宋体" w:hAnsi="宋体" w:cs="宋体"/>
                <w:b/>
                <w:sz w:val="24"/>
                <w:szCs w:val="24"/>
                <w:lang w:val="en-US" w:eastAsia="zh-CN"/>
              </w:rPr>
              <w:t>2</w:t>
            </w:r>
            <w:r>
              <w:rPr>
                <w:rFonts w:hint="eastAsia" w:ascii="宋体" w:hAnsi="宋体" w:cs="宋体"/>
                <w:b/>
                <w:sz w:val="24"/>
                <w:szCs w:val="24"/>
                <w:lang w:eastAsia="zh-CN"/>
              </w:rPr>
              <w:t>）保函</w:t>
            </w:r>
          </w:p>
          <w:p>
            <w:pPr>
              <w:tabs>
                <w:tab w:val="left" w:pos="3467"/>
              </w:tabs>
              <w:spacing w:after="0" w:line="360" w:lineRule="auto"/>
              <w:rPr>
                <w:rFonts w:ascii="宋体" w:hAnsi="宋体" w:cs="宋体"/>
                <w:b w:val="0"/>
                <w:bCs/>
                <w:sz w:val="24"/>
                <w:szCs w:val="24"/>
                <w:lang w:eastAsia="zh-CN"/>
              </w:rPr>
            </w:pPr>
            <w:r>
              <w:rPr>
                <w:rFonts w:hint="eastAsia" w:ascii="宋体" w:hAnsi="宋体" w:cs="宋体"/>
                <w:b w:val="0"/>
                <w:bCs/>
                <w:sz w:val="24"/>
                <w:szCs w:val="24"/>
                <w:lang w:eastAsia="zh-CN"/>
              </w:rPr>
              <w:t>以保函形式交纳投标保证金，具体要求如下：</w:t>
            </w:r>
          </w:p>
          <w:p>
            <w:pPr>
              <w:tabs>
                <w:tab w:val="left" w:pos="3467"/>
              </w:tabs>
              <w:spacing w:after="0" w:line="360" w:lineRule="auto"/>
              <w:rPr>
                <w:rFonts w:ascii="宋体" w:hAnsi="宋体" w:cs="宋体"/>
                <w:b w:val="0"/>
                <w:bCs/>
                <w:sz w:val="24"/>
                <w:szCs w:val="24"/>
                <w:lang w:eastAsia="zh-CN"/>
              </w:rPr>
            </w:pPr>
            <w:r>
              <w:rPr>
                <w:rFonts w:hint="eastAsia" w:ascii="宋体" w:hAnsi="宋体" w:cs="宋体"/>
                <w:b w:val="0"/>
                <w:bCs/>
                <w:sz w:val="24"/>
                <w:szCs w:val="24"/>
                <w:lang w:eastAsia="zh-CN"/>
              </w:rPr>
              <w:t>①投标企业必须首先确认本企业诚信库内填写的基本账户相关信息真实准确；</w:t>
            </w:r>
          </w:p>
          <w:p>
            <w:pPr>
              <w:tabs>
                <w:tab w:val="left" w:pos="3467"/>
              </w:tabs>
              <w:spacing w:after="0" w:line="360" w:lineRule="auto"/>
              <w:rPr>
                <w:rFonts w:ascii="宋体" w:hAnsi="宋体" w:cs="宋体"/>
                <w:b w:val="0"/>
                <w:bCs/>
                <w:sz w:val="24"/>
                <w:szCs w:val="24"/>
                <w:lang w:eastAsia="zh-CN"/>
              </w:rPr>
            </w:pPr>
            <w:r>
              <w:rPr>
                <w:rFonts w:hint="eastAsia" w:ascii="宋体" w:hAnsi="宋体" w:cs="宋体"/>
                <w:b w:val="0"/>
                <w:bCs/>
                <w:sz w:val="24"/>
                <w:szCs w:val="24"/>
                <w:lang w:eastAsia="zh-CN"/>
              </w:rPr>
              <w:t>②企业可以在交易中心电子交易系统缴纳保证金页面下选择电子保函业务；</w:t>
            </w:r>
          </w:p>
          <w:p>
            <w:pPr>
              <w:tabs>
                <w:tab w:val="left" w:pos="3467"/>
              </w:tabs>
              <w:spacing w:after="0" w:line="360" w:lineRule="auto"/>
              <w:rPr>
                <w:rFonts w:ascii="宋体" w:hAnsi="宋体" w:cs="宋体"/>
                <w:b w:val="0"/>
                <w:bCs/>
                <w:sz w:val="24"/>
                <w:szCs w:val="24"/>
                <w:lang w:eastAsia="zh-CN"/>
              </w:rPr>
            </w:pPr>
            <w:r>
              <w:rPr>
                <w:rFonts w:hint="eastAsia" w:ascii="宋体" w:hAnsi="宋体" w:cs="宋体"/>
                <w:b w:val="0"/>
                <w:bCs/>
                <w:sz w:val="24"/>
                <w:szCs w:val="24"/>
                <w:lang w:eastAsia="zh-CN"/>
              </w:rPr>
              <w:t>③办理电子投标保函费用可自由选择方式转入；</w:t>
            </w:r>
          </w:p>
          <w:p>
            <w:pPr>
              <w:tabs>
                <w:tab w:val="left" w:pos="3467"/>
              </w:tabs>
              <w:spacing w:after="0" w:line="360" w:lineRule="auto"/>
              <w:rPr>
                <w:rFonts w:ascii="宋体" w:hAnsi="宋体" w:cs="宋体"/>
                <w:b w:val="0"/>
                <w:bCs/>
                <w:sz w:val="24"/>
                <w:szCs w:val="24"/>
                <w:lang w:eastAsia="zh-CN"/>
              </w:rPr>
            </w:pPr>
            <w:r>
              <w:rPr>
                <w:rFonts w:hint="eastAsia" w:ascii="宋体" w:hAnsi="宋体" w:cs="宋体"/>
                <w:b w:val="0"/>
                <w:bCs/>
                <w:sz w:val="24"/>
                <w:szCs w:val="24"/>
                <w:lang w:eastAsia="zh-CN"/>
              </w:rPr>
              <w:t>④投标截止时间前投标企业应按照以上要求在保函平台中申请并生成电子投标保函。否则视为未交纳投标保证金，其投标文件将被拒绝，不能参加开标活动。</w:t>
            </w:r>
          </w:p>
          <w:p>
            <w:pPr>
              <w:adjustRightInd w:val="0"/>
              <w:spacing w:line="360" w:lineRule="auto"/>
              <w:textAlignment w:val="baseline"/>
              <w:rPr>
                <w:rFonts w:ascii="宋体" w:hAnsi="宋体" w:cs="宋体"/>
                <w:sz w:val="24"/>
                <w:highlight w:val="yellow"/>
              </w:rPr>
            </w:pPr>
            <w:r>
              <w:rPr>
                <w:rFonts w:hint="eastAsia" w:ascii="宋体" w:hAnsi="宋体" w:cs="宋体"/>
                <w:b/>
                <w:sz w:val="24"/>
                <w:szCs w:val="24"/>
                <w:lang w:eastAsia="zh-CN"/>
              </w:rPr>
              <w:t>（</w:t>
            </w:r>
            <w:r>
              <w:rPr>
                <w:rFonts w:hint="eastAsia" w:ascii="宋体" w:hAnsi="宋体" w:cs="宋体"/>
                <w:b/>
                <w:sz w:val="24"/>
                <w:szCs w:val="24"/>
                <w:lang w:val="en-US" w:eastAsia="zh-CN"/>
              </w:rPr>
              <w:t>3</w:t>
            </w:r>
            <w:r>
              <w:rPr>
                <w:rFonts w:hint="eastAsia" w:ascii="宋体" w:hAnsi="宋体" w:cs="宋体"/>
                <w:b/>
                <w:sz w:val="24"/>
                <w:szCs w:val="24"/>
                <w:lang w:eastAsia="zh-CN"/>
              </w:rPr>
              <w:t>）</w:t>
            </w:r>
            <w:r>
              <w:rPr>
                <w:rFonts w:hint="eastAsia" w:ascii="宋体" w:hAnsi="宋体" w:cs="宋体"/>
                <w:b/>
                <w:sz w:val="24"/>
                <w:szCs w:val="24"/>
              </w:rPr>
              <w:t>保证金免缴：</w:t>
            </w:r>
            <w:r>
              <w:rPr>
                <w:rFonts w:hint="eastAsia" w:ascii="宋体" w:hAnsi="宋体" w:cs="宋体"/>
                <w:b w:val="0"/>
                <w:bCs/>
                <w:sz w:val="24"/>
                <w:szCs w:val="24"/>
              </w:rPr>
              <w:t>凡是纳入南阳市建筑业企业信用评价且结果为AAA级的各类投标企业，在参与政府投资项目招标投标活动中，可免缴投标保证金；信用评价结果为AAA级的企业在投标时在投标文件中提交AAA企业佐证材料；2020年度南阳市建筑业企业信用评价结果有效期自2021年4月30日到2022年4月29日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3.5.2</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近年财务状况的年份要求</w:t>
            </w:r>
          </w:p>
        </w:tc>
        <w:tc>
          <w:tcPr>
            <w:tcW w:w="7147" w:type="dxa"/>
            <w:vAlign w:val="center"/>
          </w:tcPr>
          <w:p>
            <w:pPr>
              <w:widowControl/>
              <w:spacing w:line="360" w:lineRule="auto"/>
              <w:ind w:firstLine="480" w:firstLineChars="200"/>
              <w:jc w:val="left"/>
              <w:rPr>
                <w:rFonts w:hAnsi="宋体"/>
                <w:color w:val="auto"/>
              </w:rPr>
            </w:pPr>
            <w:r>
              <w:rPr>
                <w:rFonts w:hint="eastAsia" w:ascii="宋体" w:hAnsi="宋体" w:eastAsia="宋体" w:cs="宋体"/>
                <w:b w:val="0"/>
                <w:bCs/>
                <w:color w:val="333333"/>
                <w:kern w:val="0"/>
                <w:sz w:val="24"/>
                <w:szCs w:val="24"/>
                <w:shd w:val="clear" w:color="auto" w:fill="FFFFFF"/>
              </w:rPr>
              <w:t>投标人近</w:t>
            </w:r>
            <w:r>
              <w:rPr>
                <w:rFonts w:hint="eastAsia" w:ascii="宋体" w:hAnsi="宋体" w:eastAsia="宋体" w:cs="宋体"/>
                <w:b w:val="0"/>
                <w:bCs/>
                <w:color w:val="333333"/>
                <w:kern w:val="0"/>
                <w:sz w:val="24"/>
                <w:szCs w:val="24"/>
                <w:shd w:val="clear" w:color="auto" w:fill="FFFFFF"/>
                <w:lang w:eastAsia="zh-CN"/>
              </w:rPr>
              <w:t>三</w:t>
            </w:r>
            <w:r>
              <w:rPr>
                <w:rFonts w:hint="eastAsia" w:ascii="宋体" w:hAnsi="宋体" w:eastAsia="宋体" w:cs="宋体"/>
                <w:b w:val="0"/>
                <w:bCs/>
                <w:color w:val="333333"/>
                <w:kern w:val="0"/>
                <w:sz w:val="24"/>
                <w:szCs w:val="24"/>
                <w:shd w:val="clear" w:color="auto" w:fill="FFFFFF"/>
              </w:rPr>
              <w:t>年（201</w:t>
            </w:r>
            <w:r>
              <w:rPr>
                <w:rFonts w:hint="eastAsia" w:ascii="宋体" w:hAnsi="宋体" w:cs="宋体"/>
                <w:b w:val="0"/>
                <w:bCs/>
                <w:color w:val="333333"/>
                <w:kern w:val="0"/>
                <w:sz w:val="24"/>
                <w:szCs w:val="24"/>
                <w:shd w:val="clear" w:color="auto" w:fill="FFFFFF"/>
                <w:lang w:val="en-US" w:eastAsia="zh-CN"/>
              </w:rPr>
              <w:t>9</w:t>
            </w:r>
            <w:r>
              <w:rPr>
                <w:rFonts w:hint="eastAsia" w:ascii="宋体" w:hAnsi="宋体" w:eastAsia="宋体" w:cs="宋体"/>
                <w:b w:val="0"/>
                <w:bCs/>
                <w:color w:val="333333"/>
                <w:kern w:val="0"/>
                <w:sz w:val="24"/>
                <w:szCs w:val="24"/>
                <w:shd w:val="clear" w:color="auto" w:fill="FFFFFF"/>
              </w:rPr>
              <w:t>年度、20</w:t>
            </w:r>
            <w:r>
              <w:rPr>
                <w:rFonts w:hint="eastAsia" w:ascii="宋体" w:hAnsi="宋体" w:cs="宋体"/>
                <w:b w:val="0"/>
                <w:bCs/>
                <w:color w:val="333333"/>
                <w:kern w:val="0"/>
                <w:sz w:val="24"/>
                <w:szCs w:val="24"/>
                <w:shd w:val="clear" w:color="auto" w:fill="FFFFFF"/>
                <w:lang w:val="en-US" w:eastAsia="zh-CN"/>
              </w:rPr>
              <w:t>20</w:t>
            </w:r>
            <w:r>
              <w:rPr>
                <w:rFonts w:hint="eastAsia" w:ascii="宋体" w:hAnsi="宋体" w:eastAsia="宋体" w:cs="宋体"/>
                <w:b w:val="0"/>
                <w:bCs/>
                <w:color w:val="333333"/>
                <w:kern w:val="0"/>
                <w:sz w:val="24"/>
                <w:szCs w:val="24"/>
                <w:shd w:val="clear" w:color="auto" w:fill="FFFFFF"/>
              </w:rPr>
              <w:t>年度</w:t>
            </w:r>
            <w:r>
              <w:rPr>
                <w:rFonts w:hint="eastAsia" w:ascii="宋体" w:hAnsi="宋体" w:eastAsia="宋体" w:cs="宋体"/>
                <w:b w:val="0"/>
                <w:bCs/>
                <w:color w:val="333333"/>
                <w:kern w:val="0"/>
                <w:sz w:val="24"/>
                <w:szCs w:val="24"/>
                <w:shd w:val="clear" w:color="auto" w:fill="FFFFFF"/>
                <w:lang w:eastAsia="zh-CN"/>
              </w:rPr>
              <w:t>、</w:t>
            </w:r>
            <w:r>
              <w:rPr>
                <w:rFonts w:hint="eastAsia" w:ascii="宋体" w:hAnsi="宋体" w:eastAsia="宋体" w:cs="宋体"/>
                <w:b w:val="0"/>
                <w:bCs/>
                <w:color w:val="333333"/>
                <w:kern w:val="0"/>
                <w:sz w:val="24"/>
                <w:szCs w:val="24"/>
                <w:shd w:val="clear" w:color="auto" w:fill="FFFFFF"/>
                <w:lang w:val="en-US" w:eastAsia="zh-CN"/>
              </w:rPr>
              <w:t>202</w:t>
            </w:r>
            <w:r>
              <w:rPr>
                <w:rFonts w:hint="eastAsia" w:ascii="宋体" w:hAnsi="宋体" w:cs="宋体"/>
                <w:b w:val="0"/>
                <w:bCs/>
                <w:color w:val="333333"/>
                <w:kern w:val="0"/>
                <w:sz w:val="24"/>
                <w:szCs w:val="24"/>
                <w:shd w:val="clear" w:color="auto" w:fill="FFFFFF"/>
                <w:lang w:val="en-US" w:eastAsia="zh-CN"/>
              </w:rPr>
              <w:t>1</w:t>
            </w:r>
            <w:r>
              <w:rPr>
                <w:rFonts w:hint="eastAsia" w:ascii="宋体" w:hAnsi="宋体" w:eastAsia="宋体" w:cs="宋体"/>
                <w:b w:val="0"/>
                <w:bCs/>
                <w:color w:val="333333"/>
                <w:kern w:val="0"/>
                <w:sz w:val="24"/>
                <w:szCs w:val="24"/>
                <w:shd w:val="clear" w:color="auto" w:fill="FFFFFF"/>
                <w:lang w:val="en-US" w:eastAsia="zh-CN"/>
              </w:rPr>
              <w:t>年度</w:t>
            </w:r>
            <w:r>
              <w:rPr>
                <w:rFonts w:hint="eastAsia" w:ascii="宋体" w:hAnsi="宋体" w:eastAsia="宋体" w:cs="宋体"/>
                <w:b w:val="0"/>
                <w:bCs/>
                <w:color w:val="333333"/>
                <w:kern w:val="0"/>
                <w:sz w:val="24"/>
                <w:szCs w:val="24"/>
                <w:shd w:val="clear" w:color="auto" w:fill="FFFFFF"/>
              </w:rPr>
              <w:t>）财务状况良好，提供经会计师事务所或审计机构审计的财务会计报表；若投标人为新成立企业须提供自成立之后的经审计的财务报告或基本户银行出具的近期资信证明；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3.5.3</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近年完成的类似项目的年份要求</w:t>
            </w:r>
          </w:p>
        </w:tc>
        <w:tc>
          <w:tcPr>
            <w:tcW w:w="7147" w:type="dxa"/>
            <w:vAlign w:val="center"/>
          </w:tcPr>
          <w:p>
            <w:pPr>
              <w:pStyle w:val="45"/>
              <w:spacing w:line="360" w:lineRule="auto"/>
              <w:jc w:val="both"/>
              <w:rPr>
                <w:rFonts w:hAnsi="宋体"/>
                <w:color w:val="auto"/>
              </w:rPr>
            </w:pPr>
            <w:r>
              <w:rPr>
                <w:rFonts w:hint="eastAsia" w:hAnsi="宋体"/>
                <w:color w:val="auto"/>
              </w:rPr>
              <w:t>201</w:t>
            </w:r>
            <w:r>
              <w:rPr>
                <w:rFonts w:hint="eastAsia" w:hAnsi="宋体"/>
                <w:color w:val="auto"/>
                <w:lang w:val="en-US" w:eastAsia="zh-CN"/>
              </w:rPr>
              <w:t>8</w:t>
            </w:r>
            <w:r>
              <w:rPr>
                <w:rFonts w:hint="eastAsia" w:hAnsi="宋体"/>
                <w:color w:val="auto"/>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3.5.5</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近年发生的诉讼及仲裁情况的年份要求</w:t>
            </w:r>
          </w:p>
        </w:tc>
        <w:tc>
          <w:tcPr>
            <w:tcW w:w="7147" w:type="dxa"/>
            <w:vAlign w:val="center"/>
          </w:tcPr>
          <w:p>
            <w:pPr>
              <w:pStyle w:val="45"/>
              <w:spacing w:line="360" w:lineRule="auto"/>
              <w:jc w:val="both"/>
              <w:rPr>
                <w:rFonts w:hAnsi="宋体"/>
                <w:color w:val="auto"/>
              </w:rPr>
            </w:pPr>
            <w:r>
              <w:rPr>
                <w:rFonts w:hint="eastAsia" w:hAnsi="宋体"/>
                <w:color w:val="auto"/>
              </w:rPr>
              <w:t>201</w:t>
            </w:r>
            <w:r>
              <w:rPr>
                <w:rFonts w:hint="eastAsia" w:hAnsi="宋体"/>
                <w:color w:val="auto"/>
                <w:lang w:val="en-US" w:eastAsia="zh-CN"/>
              </w:rPr>
              <w:t>8</w:t>
            </w:r>
            <w:r>
              <w:rPr>
                <w:rFonts w:hint="eastAsia" w:hAnsi="宋体"/>
                <w:color w:val="auto"/>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3.6</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pacing w:val="-16"/>
                <w:sz w:val="24"/>
              </w:rPr>
              <w:t>是否允许递交备选投标方案</w:t>
            </w:r>
          </w:p>
        </w:tc>
        <w:tc>
          <w:tcPr>
            <w:tcW w:w="7147" w:type="dxa"/>
            <w:vAlign w:val="center"/>
          </w:tcPr>
          <w:p>
            <w:pPr>
              <w:pStyle w:val="13"/>
              <w:topLinePunct/>
              <w:adjustRightInd w:val="0"/>
              <w:spacing w:line="360" w:lineRule="auto"/>
              <w:textAlignment w:val="baseline"/>
              <w:rPr>
                <w:rFonts w:hAnsi="宋体" w:cs="宋体"/>
                <w:szCs w:val="24"/>
              </w:rPr>
            </w:pPr>
            <w:r>
              <w:rPr>
                <w:rFonts w:hint="eastAsia" w:hAnsi="宋体" w:cs="宋体"/>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46" w:type="dxa"/>
            <w:vAlign w:val="center"/>
          </w:tcPr>
          <w:p>
            <w:pPr>
              <w:adjustRightInd w:val="0"/>
              <w:spacing w:line="360" w:lineRule="auto"/>
              <w:jc w:val="center"/>
              <w:textAlignment w:val="baseline"/>
              <w:rPr>
                <w:rFonts w:ascii="宋体" w:hAnsi="宋体" w:cs="宋体"/>
                <w:color w:val="C00000"/>
                <w:sz w:val="24"/>
              </w:rPr>
            </w:pPr>
            <w:r>
              <w:rPr>
                <w:rFonts w:hint="eastAsia" w:ascii="宋体" w:hAnsi="宋体" w:cs="宋体"/>
                <w:color w:val="000000"/>
                <w:sz w:val="24"/>
              </w:rPr>
              <w:t>3.7.3</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签字或盖章要求</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（1）招标文件中明确要求投标文件须加盖单位公章的，都须加盖投标人单位的CA印章。</w:t>
            </w:r>
          </w:p>
          <w:p>
            <w:pPr>
              <w:adjustRightInd w:val="0"/>
              <w:spacing w:line="360" w:lineRule="auto"/>
              <w:textAlignment w:val="baseline"/>
              <w:rPr>
                <w:rFonts w:ascii="宋体" w:hAnsi="宋体" w:cs="宋体"/>
                <w:sz w:val="24"/>
              </w:rPr>
            </w:pPr>
            <w:r>
              <w:rPr>
                <w:rFonts w:hint="eastAsia" w:ascii="宋体" w:hAnsi="宋体" w:cs="宋体"/>
                <w:sz w:val="24"/>
              </w:rPr>
              <w:t>（2）所有要求法定代表人电子签章处都须加盖投标人法定代表人的CA 印章。</w:t>
            </w:r>
          </w:p>
          <w:p>
            <w:pPr>
              <w:adjustRightInd w:val="0"/>
              <w:spacing w:line="360" w:lineRule="auto"/>
              <w:textAlignment w:val="baseline"/>
              <w:rPr>
                <w:rFonts w:ascii="宋体" w:hAnsi="宋体" w:cs="宋体"/>
                <w:sz w:val="24"/>
              </w:rPr>
            </w:pPr>
            <w:r>
              <w:rPr>
                <w:rFonts w:hint="eastAsia" w:ascii="宋体" w:hAnsi="宋体" w:cs="宋体"/>
                <w:sz w:val="24"/>
              </w:rPr>
              <w:t>（3）投标人是自然人的，加盖本人的CA印章。</w:t>
            </w:r>
          </w:p>
          <w:p>
            <w:pPr>
              <w:adjustRightInd w:val="0"/>
              <w:spacing w:line="360" w:lineRule="auto"/>
              <w:textAlignment w:val="baseline"/>
              <w:rPr>
                <w:rFonts w:ascii="宋体" w:hAnsi="宋体" w:cs="宋体"/>
                <w:sz w:val="24"/>
              </w:rPr>
            </w:pPr>
            <w:r>
              <w:rPr>
                <w:rFonts w:hint="eastAsia" w:ascii="宋体" w:hAnsi="宋体" w:cs="宋体"/>
                <w:sz w:val="24"/>
              </w:rPr>
              <w:t>（投标人若组成联合体，除联合体协议书须双方签字盖章外，投标文件其余部分由牵头人签字盖章即可）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4.2.1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投标文件要求</w:t>
            </w:r>
          </w:p>
        </w:tc>
        <w:tc>
          <w:tcPr>
            <w:tcW w:w="7147" w:type="dxa"/>
            <w:vAlign w:val="center"/>
          </w:tcPr>
          <w:p>
            <w:pPr>
              <w:adjustRightInd w:val="0"/>
              <w:spacing w:line="360" w:lineRule="auto"/>
              <w:textAlignment w:val="baseline"/>
              <w:rPr>
                <w:rFonts w:ascii="宋体" w:hAnsi="宋体" w:cs="宋体"/>
                <w:sz w:val="24"/>
                <w:lang w:eastAsia="zh-CN"/>
              </w:rPr>
            </w:pPr>
            <w:r>
              <w:rPr>
                <w:rFonts w:hint="eastAsia" w:ascii="宋体" w:hAnsi="宋体" w:cs="宋体"/>
                <w:sz w:val="24"/>
                <w:lang w:eastAsia="zh-CN"/>
              </w:rPr>
              <w:t>电子投标文件递交</w:t>
            </w:r>
          </w:p>
          <w:p>
            <w:pPr>
              <w:adjustRightInd w:val="0"/>
              <w:spacing w:line="360" w:lineRule="auto"/>
              <w:textAlignment w:val="baseline"/>
              <w:rPr>
                <w:rFonts w:ascii="宋体" w:hAnsi="宋体" w:cs="宋体"/>
                <w:sz w:val="24"/>
              </w:rPr>
            </w:pPr>
            <w:r>
              <w:rPr>
                <w:rFonts w:hint="eastAsia" w:ascii="宋体" w:hAnsi="宋体" w:cs="宋体"/>
                <w:sz w:val="24"/>
                <w:lang w:eastAsia="zh-CN"/>
              </w:rPr>
              <w:t>投标人应在规定的投标截止时间前完成投标文件的递交。电子投标文件（格式为:.tbdat），投标人上传时必须得到系统“上传成功”的确认回复，并认真检查电子投标文件是否完整、正确。未在投标截止时间前完成上传或送达的，视为逾期送达。</w:t>
            </w:r>
            <w:r>
              <w:rPr>
                <w:rFonts w:hint="eastAsia" w:ascii="宋体" w:hAnsi="宋体" w:cs="宋体"/>
                <w:sz w:val="24"/>
              </w:rPr>
              <w:t>逾期上传的投标文件，招标人不予受理。递交网址：http://139.9.119.230:18082/HMROOT/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4.2.2</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是否退还投标文件</w:t>
            </w:r>
          </w:p>
        </w:tc>
        <w:tc>
          <w:tcPr>
            <w:tcW w:w="7147" w:type="dxa"/>
            <w:vAlign w:val="center"/>
          </w:tcPr>
          <w:p>
            <w:pPr>
              <w:pStyle w:val="13"/>
              <w:topLinePunct/>
              <w:adjustRightInd w:val="0"/>
              <w:spacing w:line="360" w:lineRule="auto"/>
              <w:textAlignment w:val="baseline"/>
              <w:rPr>
                <w:rFonts w:hAnsi="宋体" w:cs="宋体"/>
                <w:szCs w:val="24"/>
              </w:rPr>
            </w:pPr>
            <w:r>
              <w:rPr>
                <w:rFonts w:hint="eastAsia" w:hAnsi="宋体" w:cs="宋体"/>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5.1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开标时间和地点</w:t>
            </w:r>
          </w:p>
        </w:tc>
        <w:tc>
          <w:tcPr>
            <w:tcW w:w="7147" w:type="dxa"/>
            <w:vAlign w:val="center"/>
          </w:tcPr>
          <w:p>
            <w:pPr>
              <w:widowControl/>
              <w:spacing w:line="360" w:lineRule="auto"/>
              <w:jc w:val="left"/>
              <w:rPr>
                <w:rFonts w:ascii="宋体" w:hAnsi="宋体" w:cs="宋体"/>
                <w:sz w:val="24"/>
                <w:lang w:eastAsia="zh-CN"/>
              </w:rPr>
            </w:pPr>
            <w:r>
              <w:rPr>
                <w:rFonts w:hint="eastAsia" w:ascii="宋体" w:hAnsi="宋体" w:cs="宋体"/>
                <w:sz w:val="24"/>
                <w:lang w:eastAsia="zh-CN"/>
              </w:rPr>
              <w:t>开标时间：同投标截止时间</w:t>
            </w:r>
          </w:p>
          <w:p>
            <w:pPr>
              <w:widowControl/>
              <w:spacing w:line="360" w:lineRule="auto"/>
              <w:jc w:val="left"/>
              <w:rPr>
                <w:rFonts w:ascii="宋体" w:hAnsi="宋体" w:cs="宋体"/>
                <w:sz w:val="24"/>
                <w:lang w:eastAsia="zh-CN"/>
              </w:rPr>
            </w:pPr>
            <w:r>
              <w:rPr>
                <w:rFonts w:hint="eastAsia" w:ascii="宋体" w:hAnsi="宋体" w:cs="宋体"/>
                <w:sz w:val="24"/>
                <w:lang w:eastAsia="zh-CN"/>
              </w:rPr>
              <w:t>开标地点：同投标文件递交地点</w:t>
            </w:r>
          </w:p>
          <w:p>
            <w:pPr>
              <w:widowControl/>
              <w:spacing w:line="360" w:lineRule="auto"/>
              <w:jc w:val="left"/>
              <w:rPr>
                <w:rFonts w:ascii="宋体" w:hAnsi="宋体" w:cs="宋体"/>
                <w:sz w:val="24"/>
              </w:rPr>
            </w:pPr>
            <w:r>
              <w:rPr>
                <w:rFonts w:hint="eastAsia" w:ascii="宋体" w:hAnsi="宋体" w:cs="宋体"/>
                <w:sz w:val="24"/>
                <w:lang w:eastAsia="zh-CN"/>
              </w:rPr>
              <w:t>电子版投标文件必须凭制作投标文件所用的 CA 密匙在开始解密后20分钟内完成解密。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5.2</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开标程序</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szCs w:val="24"/>
              </w:rPr>
              <w:t>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6.1.1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评标委员会的组建</w:t>
            </w:r>
          </w:p>
        </w:tc>
        <w:tc>
          <w:tcPr>
            <w:tcW w:w="7147" w:type="dxa"/>
            <w:vAlign w:val="center"/>
          </w:tcPr>
          <w:p>
            <w:pPr>
              <w:adjustRightInd w:val="0"/>
              <w:spacing w:line="360" w:lineRule="auto"/>
              <w:textAlignment w:val="baseline"/>
              <w:rPr>
                <w:rFonts w:ascii="宋体" w:hAnsi="宋体" w:cs="宋体"/>
                <w:sz w:val="24"/>
              </w:rPr>
            </w:pPr>
            <w:r>
              <w:rPr>
                <w:rFonts w:hint="eastAsia" w:ascii="宋体" w:hAnsi="宋体" w:cs="宋体"/>
                <w:sz w:val="24"/>
              </w:rPr>
              <w:t>评标委员会构成：招标人代表1人、有关技术、经济等方面专家4人。</w:t>
            </w:r>
          </w:p>
          <w:p>
            <w:pPr>
              <w:adjustRightInd w:val="0"/>
              <w:spacing w:line="360" w:lineRule="auto"/>
              <w:textAlignment w:val="baseline"/>
              <w:rPr>
                <w:rFonts w:ascii="宋体" w:hAnsi="宋体" w:cs="宋体"/>
                <w:sz w:val="24"/>
              </w:rPr>
            </w:pPr>
            <w:r>
              <w:rPr>
                <w:rFonts w:hint="eastAsia" w:ascii="宋体" w:hAnsi="宋体" w:cs="宋体"/>
                <w:sz w:val="24"/>
              </w:rPr>
              <w:t>评标专家确定方式：从相关评标专家库中随机抽取。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7.1</w:t>
            </w:r>
          </w:p>
        </w:tc>
        <w:tc>
          <w:tcPr>
            <w:tcW w:w="1800"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是否授权评标委员会确定中标人</w:t>
            </w:r>
          </w:p>
        </w:tc>
        <w:tc>
          <w:tcPr>
            <w:tcW w:w="7147" w:type="dxa"/>
            <w:vAlign w:val="center"/>
          </w:tcPr>
          <w:p>
            <w:pPr>
              <w:adjustRightInd w:val="0"/>
              <w:spacing w:line="360" w:lineRule="auto"/>
              <w:textAlignment w:val="baseline"/>
              <w:rPr>
                <w:rFonts w:ascii="宋体" w:hAnsi="宋体" w:cs="宋体"/>
                <w:sz w:val="24"/>
                <w:u w:val="single"/>
              </w:rPr>
            </w:pPr>
            <w:r>
              <w:rPr>
                <w:rFonts w:hint="eastAsia" w:ascii="宋体" w:hAnsi="宋体" w:cs="宋体"/>
                <w:sz w:val="24"/>
              </w:rPr>
              <w:t>否，推荐的中标候选人数3名，推荐的中标候选人数3名 ，并标明推荐顺序，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7.3.1</w:t>
            </w:r>
          </w:p>
        </w:tc>
        <w:tc>
          <w:tcPr>
            <w:tcW w:w="1800" w:type="dxa"/>
            <w:vAlign w:val="center"/>
          </w:tcPr>
          <w:p>
            <w:pPr>
              <w:widowControl/>
              <w:adjustRightInd w:val="0"/>
              <w:spacing w:line="360" w:lineRule="auto"/>
              <w:jc w:val="center"/>
              <w:textAlignment w:val="baseline"/>
              <w:rPr>
                <w:rFonts w:ascii="宋体" w:hAnsi="宋体" w:cs="宋体"/>
                <w:sz w:val="24"/>
              </w:rPr>
            </w:pPr>
            <w:r>
              <w:rPr>
                <w:rFonts w:hint="eastAsia" w:ascii="宋体" w:hAnsi="宋体" w:cs="宋体"/>
                <w:sz w:val="24"/>
              </w:rPr>
              <w:t>履约担保</w:t>
            </w:r>
          </w:p>
        </w:tc>
        <w:tc>
          <w:tcPr>
            <w:tcW w:w="7147" w:type="dxa"/>
            <w:vAlign w:val="center"/>
          </w:tcPr>
          <w:p>
            <w:pPr>
              <w:widowControl/>
              <w:adjustRightInd w:val="0"/>
              <w:spacing w:line="360" w:lineRule="auto"/>
              <w:jc w:val="left"/>
              <w:textAlignment w:val="baseline"/>
              <w:rPr>
                <w:rFonts w:ascii="宋体" w:hAnsi="宋体" w:cs="宋体"/>
                <w:sz w:val="24"/>
              </w:rPr>
            </w:pPr>
            <w:r>
              <w:rPr>
                <w:rFonts w:hint="eastAsia" w:ascii="宋体" w:hAnsi="宋体" w:cs="宋体"/>
                <w:sz w:val="24"/>
                <w:lang w:eastAsia="zh-CN"/>
              </w:rPr>
              <w:t>履约担保的金额及履约担保的形式：由招标人和中标人协商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10.2</w:t>
            </w:r>
          </w:p>
        </w:tc>
        <w:tc>
          <w:tcPr>
            <w:tcW w:w="1800" w:type="dxa"/>
          </w:tcPr>
          <w:p>
            <w:pPr>
              <w:pStyle w:val="46"/>
              <w:spacing w:before="166" w:line="360" w:lineRule="auto"/>
              <w:ind w:right="159"/>
              <w:rPr>
                <w:sz w:val="24"/>
              </w:rPr>
            </w:pPr>
            <w:r>
              <w:rPr>
                <w:sz w:val="24"/>
              </w:rPr>
              <w:t>招标控制价</w:t>
            </w:r>
          </w:p>
        </w:tc>
        <w:tc>
          <w:tcPr>
            <w:tcW w:w="7147" w:type="dxa"/>
          </w:tcPr>
          <w:p>
            <w:pPr>
              <w:spacing w:line="360" w:lineRule="auto"/>
              <w:ind w:left="960" w:hanging="960" w:hangingChars="400"/>
              <w:jc w:val="left"/>
              <w:rPr>
                <w:rFonts w:hint="eastAsia"/>
                <w:color w:val="auto"/>
                <w:sz w:val="24"/>
                <w:lang w:val="en-US" w:eastAsia="zh-CN"/>
              </w:rPr>
            </w:pPr>
            <w:r>
              <w:rPr>
                <w:rFonts w:hint="eastAsia"/>
                <w:color w:val="auto"/>
                <w:sz w:val="24"/>
                <w:lang w:val="en-US" w:eastAsia="zh-CN"/>
              </w:rPr>
              <w:t>本项目设招标控制价，招标控制价是招标人控制投标报价的最</w:t>
            </w:r>
          </w:p>
          <w:p>
            <w:pPr>
              <w:spacing w:line="360" w:lineRule="auto"/>
              <w:ind w:left="960" w:hanging="960" w:hangingChars="400"/>
              <w:jc w:val="left"/>
              <w:rPr>
                <w:rFonts w:hint="eastAsia"/>
                <w:color w:val="auto"/>
                <w:sz w:val="24"/>
                <w:lang w:val="en-US" w:eastAsia="zh-CN"/>
              </w:rPr>
            </w:pPr>
            <w:r>
              <w:rPr>
                <w:rFonts w:hint="eastAsia"/>
                <w:color w:val="auto"/>
                <w:sz w:val="24"/>
                <w:lang w:val="en-US" w:eastAsia="zh-CN"/>
              </w:rPr>
              <w:t>高限价，投标人的投标总报价高于招标控制价的视为无效报价，</w:t>
            </w:r>
          </w:p>
          <w:p>
            <w:pPr>
              <w:spacing w:line="360" w:lineRule="auto"/>
              <w:ind w:left="960" w:hanging="960" w:hangingChars="400"/>
              <w:jc w:val="left"/>
              <w:rPr>
                <w:rFonts w:hint="eastAsia"/>
                <w:color w:val="auto"/>
                <w:sz w:val="24"/>
                <w:lang w:val="en-US" w:eastAsia="zh-CN"/>
              </w:rPr>
            </w:pPr>
            <w:r>
              <w:rPr>
                <w:rFonts w:hint="eastAsia"/>
                <w:color w:val="auto"/>
                <w:sz w:val="24"/>
                <w:lang w:val="en-US" w:eastAsia="zh-CN"/>
              </w:rPr>
              <w:t>其投标按废标处理；</w:t>
            </w:r>
          </w:p>
          <w:p>
            <w:pPr>
              <w:spacing w:line="360" w:lineRule="auto"/>
              <w:ind w:left="960" w:hanging="960" w:hangingChars="400"/>
              <w:jc w:val="left"/>
              <w:rPr>
                <w:rFonts w:hint="eastAsia"/>
                <w:color w:val="auto"/>
                <w:sz w:val="24"/>
                <w:lang w:val="en-US" w:eastAsia="zh-CN"/>
              </w:rPr>
            </w:pPr>
            <w:r>
              <w:rPr>
                <w:rFonts w:hint="eastAsia"/>
                <w:color w:val="auto"/>
                <w:sz w:val="24"/>
                <w:lang w:val="en-US" w:eastAsia="zh-CN"/>
              </w:rPr>
              <w:t xml:space="preserve">人民币：壹仟叁佰壹拾壹万零叁佰贰拾捌元陆角捌（￥13110328.68元）（含不可竞争费、暂列金额、专业工程暂估价），其中不可竞争费、暂列金额、专业工程暂估价包括： </w:t>
            </w:r>
          </w:p>
          <w:p>
            <w:pPr>
              <w:spacing w:line="360" w:lineRule="auto"/>
              <w:ind w:left="960" w:hanging="960" w:hangingChars="400"/>
              <w:jc w:val="left"/>
              <w:rPr>
                <w:rFonts w:hint="eastAsia"/>
                <w:highlight w:val="none"/>
                <w:lang w:val="en-US" w:eastAsia="zh-CN"/>
              </w:rPr>
            </w:pPr>
            <w:r>
              <w:rPr>
                <w:rFonts w:hint="eastAsia"/>
                <w:color w:val="auto"/>
                <w:sz w:val="24"/>
                <w:highlight w:val="none"/>
                <w:lang w:val="en-US" w:eastAsia="zh-CN"/>
              </w:rPr>
              <w:t>措施项目费：388627.36  元</w:t>
            </w:r>
          </w:p>
          <w:p>
            <w:pPr>
              <w:spacing w:line="360" w:lineRule="auto"/>
              <w:ind w:left="960" w:hanging="960" w:hangingChars="400"/>
              <w:jc w:val="left"/>
              <w:rPr>
                <w:rFonts w:hint="eastAsia"/>
                <w:color w:val="auto"/>
                <w:sz w:val="24"/>
                <w:highlight w:val="yellow"/>
                <w:lang w:val="en-US" w:eastAsia="zh-CN"/>
              </w:rPr>
            </w:pPr>
            <w:r>
              <w:rPr>
                <w:rFonts w:hint="eastAsia"/>
                <w:color w:val="auto"/>
                <w:sz w:val="24"/>
                <w:highlight w:val="none"/>
                <w:lang w:val="en-US" w:eastAsia="zh-CN"/>
              </w:rPr>
              <w:t>安全文明施工费：110953.97元</w:t>
            </w:r>
          </w:p>
          <w:p>
            <w:pPr>
              <w:spacing w:line="360" w:lineRule="auto"/>
              <w:ind w:left="960" w:hanging="960" w:hangingChars="400"/>
              <w:jc w:val="left"/>
              <w:rPr>
                <w:rFonts w:hint="eastAsia"/>
                <w:color w:val="auto"/>
                <w:sz w:val="24"/>
                <w:highlight w:val="none"/>
                <w:lang w:val="en-US" w:eastAsia="zh-CN"/>
              </w:rPr>
            </w:pPr>
            <w:r>
              <w:rPr>
                <w:rFonts w:hint="eastAsia"/>
                <w:color w:val="auto"/>
                <w:sz w:val="24"/>
                <w:highlight w:val="none"/>
                <w:lang w:val="en-US" w:eastAsia="zh-CN"/>
              </w:rPr>
              <w:t>规费：127095.84 元</w:t>
            </w:r>
          </w:p>
          <w:p>
            <w:pPr>
              <w:spacing w:line="360" w:lineRule="auto"/>
              <w:ind w:left="960" w:hanging="960" w:hangingChars="400"/>
              <w:jc w:val="left"/>
              <w:rPr>
                <w:rFonts w:hint="eastAsia"/>
                <w:color w:val="auto"/>
                <w:sz w:val="24"/>
                <w:highlight w:val="none"/>
                <w:lang w:val="en-US" w:eastAsia="zh-CN"/>
              </w:rPr>
            </w:pPr>
            <w:r>
              <w:rPr>
                <w:rFonts w:hint="eastAsia"/>
                <w:color w:val="auto"/>
                <w:sz w:val="24"/>
                <w:highlight w:val="none"/>
                <w:lang w:val="en-US" w:eastAsia="zh-CN"/>
              </w:rPr>
              <w:t>增值税：1082504.21 元</w:t>
            </w:r>
          </w:p>
          <w:p>
            <w:pPr>
              <w:spacing w:line="360" w:lineRule="auto"/>
              <w:ind w:left="960" w:hanging="960" w:hangingChars="400"/>
              <w:jc w:val="left"/>
              <w:rPr>
                <w:rFonts w:hint="eastAsia"/>
                <w:color w:val="auto"/>
                <w:sz w:val="24"/>
                <w:highlight w:val="none"/>
                <w:lang w:val="en-US" w:eastAsia="zh-CN"/>
              </w:rPr>
            </w:pPr>
            <w:r>
              <w:rPr>
                <w:rFonts w:hint="eastAsia"/>
                <w:color w:val="auto"/>
                <w:sz w:val="24"/>
                <w:highlight w:val="none"/>
                <w:lang w:val="en-US" w:eastAsia="zh-CN"/>
              </w:rPr>
              <w:t>暂列金额：1313153.76 元</w:t>
            </w:r>
          </w:p>
          <w:p>
            <w:pPr>
              <w:spacing w:line="360" w:lineRule="auto"/>
              <w:ind w:left="960" w:hanging="960" w:hangingChars="400"/>
              <w:jc w:val="left"/>
            </w:pPr>
            <w:r>
              <w:rPr>
                <w:rFonts w:hint="eastAsia"/>
                <w:color w:val="auto"/>
                <w:sz w:val="24"/>
                <w:highlight w:val="none"/>
                <w:lang w:val="en-US" w:eastAsia="zh-CN"/>
              </w:rPr>
              <w:t>专业工程暂估价：1113000.00元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10.3</w:t>
            </w:r>
          </w:p>
        </w:tc>
        <w:tc>
          <w:tcPr>
            <w:tcW w:w="1800" w:type="dxa"/>
          </w:tcPr>
          <w:p>
            <w:pPr>
              <w:pStyle w:val="46"/>
              <w:spacing w:before="154" w:line="360" w:lineRule="auto"/>
              <w:ind w:right="159"/>
              <w:jc w:val="center"/>
              <w:rPr>
                <w:sz w:val="24"/>
              </w:rPr>
            </w:pPr>
            <w:r>
              <w:rPr>
                <w:sz w:val="24"/>
              </w:rPr>
              <w:t>付款方式</w:t>
            </w:r>
          </w:p>
        </w:tc>
        <w:tc>
          <w:tcPr>
            <w:tcW w:w="7147" w:type="dxa"/>
            <w:vAlign w:val="center"/>
          </w:tcPr>
          <w:p>
            <w:pPr>
              <w:spacing w:line="360" w:lineRule="auto"/>
              <w:rPr>
                <w:spacing w:val="-3"/>
                <w:sz w:val="24"/>
              </w:rPr>
            </w:pPr>
            <w:r>
              <w:rPr>
                <w:rFonts w:hint="eastAsia"/>
                <w:spacing w:val="-3"/>
                <w:sz w:val="24"/>
              </w:rPr>
              <w:t>在签订合同时双方约定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46" w:type="dxa"/>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10.4</w:t>
            </w:r>
          </w:p>
        </w:tc>
        <w:tc>
          <w:tcPr>
            <w:tcW w:w="1800" w:type="dxa"/>
          </w:tcPr>
          <w:p>
            <w:pPr>
              <w:pStyle w:val="46"/>
              <w:spacing w:before="10" w:line="360" w:lineRule="auto"/>
              <w:rPr>
                <w:rFonts w:ascii="Times New Roman"/>
                <w:sz w:val="24"/>
              </w:rPr>
            </w:pPr>
          </w:p>
          <w:p>
            <w:pPr>
              <w:pStyle w:val="46"/>
              <w:spacing w:before="1" w:line="360" w:lineRule="auto"/>
              <w:ind w:left="165" w:right="159"/>
              <w:jc w:val="center"/>
              <w:rPr>
                <w:sz w:val="24"/>
              </w:rPr>
            </w:pPr>
            <w:r>
              <w:rPr>
                <w:sz w:val="24"/>
              </w:rPr>
              <w:t>中标服务费</w:t>
            </w:r>
          </w:p>
        </w:tc>
        <w:tc>
          <w:tcPr>
            <w:tcW w:w="7147" w:type="dxa"/>
          </w:tcPr>
          <w:p>
            <w:pPr>
              <w:pStyle w:val="46"/>
              <w:spacing w:before="100" w:line="360" w:lineRule="auto"/>
              <w:ind w:left="106"/>
              <w:rPr>
                <w:rFonts w:hint="eastAsia"/>
                <w:spacing w:val="-3"/>
                <w:sz w:val="24"/>
                <w:lang w:val="en-US"/>
              </w:rPr>
            </w:pPr>
            <w:r>
              <w:rPr>
                <w:rFonts w:hint="eastAsia"/>
                <w:spacing w:val="-3"/>
                <w:sz w:val="24"/>
                <w:lang w:val="en-US"/>
              </w:rPr>
              <w:t>招标代理费根据发改价格（2015）299 号文规定，以中标金额为基数，按市场调节价，由中标人支付。</w:t>
            </w:r>
          </w:p>
          <w:p>
            <w:pPr>
              <w:pStyle w:val="46"/>
              <w:spacing w:before="100" w:line="360" w:lineRule="auto"/>
              <w:ind w:left="106"/>
              <w:rPr>
                <w:rFonts w:hint="eastAsia"/>
                <w:spacing w:val="-3"/>
                <w:sz w:val="24"/>
                <w:lang w:val="en-US"/>
              </w:rPr>
            </w:pPr>
            <w:r>
              <w:rPr>
                <w:rFonts w:hint="eastAsia"/>
                <w:spacing w:val="-3"/>
                <w:sz w:val="24"/>
                <w:lang w:val="en-US"/>
              </w:rPr>
              <w:t>备注：1、依据中招协【2015】026 号通知精神，结合市场实际情况。对中标金额在 50万元以下的项目，按中标金额 50 万元收取招标代理服务费，对中标金额 50～100 万元的项目，按中标金额 100 万元收取招标代理服务费。</w:t>
            </w:r>
          </w:p>
          <w:p>
            <w:pPr>
              <w:pStyle w:val="46"/>
              <w:spacing w:before="100" w:line="360" w:lineRule="auto"/>
              <w:ind w:left="106"/>
              <w:rPr>
                <w:spacing w:val="-3"/>
                <w:sz w:val="24"/>
              </w:rPr>
            </w:pPr>
            <w:r>
              <w:rPr>
                <w:rFonts w:hint="eastAsia"/>
                <w:spacing w:val="-3"/>
                <w:sz w:val="24"/>
                <w:lang w:val="en-US"/>
              </w:rPr>
              <w:t>2、招标代理费参照国家计委计价格[2002]1980 号文件及发改办价格[2003]857 号文件规定的标准，结合市场实际情况计取，由中标单位支付。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93" w:type="dxa"/>
            <w:gridSpan w:val="3"/>
            <w:vAlign w:val="center"/>
          </w:tcPr>
          <w:p>
            <w:pPr>
              <w:spacing w:line="460" w:lineRule="exact"/>
              <w:rPr>
                <w:rFonts w:ascii="宋体" w:hAnsi="宋体" w:cs="宋体"/>
                <w:color w:val="FF0000"/>
                <w:sz w:val="24"/>
              </w:rPr>
            </w:pPr>
            <w:r>
              <w:rPr>
                <w:rFonts w:hint="eastAsia" w:ascii="宋体" w:hAnsi="宋体" w:cs="宋体"/>
                <w:color w:val="00000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46" w:type="dxa"/>
            <w:vAlign w:val="center"/>
          </w:tcPr>
          <w:p>
            <w:pPr>
              <w:spacing w:line="360" w:lineRule="auto"/>
              <w:rPr>
                <w:rFonts w:ascii="宋体" w:hAnsi="宋体" w:cs="宋体"/>
                <w:color w:val="FF0000"/>
                <w:sz w:val="24"/>
              </w:rPr>
            </w:pPr>
          </w:p>
        </w:tc>
        <w:tc>
          <w:tcPr>
            <w:tcW w:w="8947" w:type="dxa"/>
            <w:gridSpan w:val="2"/>
            <w:vAlign w:val="center"/>
          </w:tcPr>
          <w:p>
            <w:pPr>
              <w:spacing w:line="360" w:lineRule="auto"/>
              <w:rPr>
                <w:rFonts w:ascii="宋体" w:hAnsi="宋体" w:cs="宋体"/>
                <w:spacing w:val="-3"/>
                <w:sz w:val="24"/>
                <w:lang w:bidi="zh-CN"/>
              </w:rPr>
            </w:pPr>
            <w:r>
              <w:rPr>
                <w:rFonts w:hint="eastAsia" w:ascii="宋体" w:hAnsi="宋体" w:cs="宋体"/>
                <w:spacing w:val="-3"/>
                <w:sz w:val="24"/>
                <w:lang w:bidi="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93" w:type="dxa"/>
            <w:gridSpan w:val="3"/>
            <w:vAlign w:val="center"/>
          </w:tcPr>
          <w:p>
            <w:pPr>
              <w:spacing w:line="460" w:lineRule="exact"/>
              <w:rPr>
                <w:rFonts w:ascii="宋体" w:hAnsi="宋体" w:cs="宋体"/>
                <w:sz w:val="24"/>
              </w:rPr>
            </w:pPr>
            <w:r>
              <w:rPr>
                <w:rFonts w:hint="eastAsia" w:ascii="宋体" w:hAnsi="宋体" w:cs="宋体"/>
                <w:color w:val="00000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46" w:type="dxa"/>
            <w:vAlign w:val="center"/>
          </w:tcPr>
          <w:p>
            <w:pPr>
              <w:spacing w:line="460" w:lineRule="exact"/>
              <w:rPr>
                <w:rFonts w:ascii="宋体" w:hAnsi="宋体" w:cs="宋体"/>
                <w:sz w:val="24"/>
              </w:rPr>
            </w:pPr>
          </w:p>
        </w:tc>
        <w:tc>
          <w:tcPr>
            <w:tcW w:w="8947" w:type="dxa"/>
            <w:gridSpan w:val="2"/>
            <w:vAlign w:val="center"/>
          </w:tcPr>
          <w:p>
            <w:pPr>
              <w:spacing w:line="460" w:lineRule="exact"/>
              <w:rPr>
                <w:rFonts w:ascii="宋体" w:hAnsi="宋体" w:cs="宋体"/>
                <w:color w:val="000000"/>
                <w:sz w:val="24"/>
              </w:rPr>
            </w:pPr>
            <w:r>
              <w:rPr>
                <w:rFonts w:hint="eastAsia" w:ascii="宋体" w:hAnsi="宋体" w:cs="宋体"/>
                <w:color w:val="000000"/>
                <w:sz w:val="24"/>
              </w:rPr>
              <w:t>除投标人须知正文规定的情形外，除非已经产生中标候选人，在投标有效期内同意延长投标有效期的投标人少于三个的，招标人应当依法重新招标。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93" w:type="dxa"/>
            <w:gridSpan w:val="3"/>
            <w:vAlign w:val="center"/>
          </w:tcPr>
          <w:p>
            <w:pPr>
              <w:spacing w:line="460" w:lineRule="exact"/>
              <w:rPr>
                <w:rFonts w:ascii="宋体" w:hAnsi="宋体" w:cs="宋体"/>
                <w:sz w:val="24"/>
              </w:rPr>
            </w:pPr>
            <w:r>
              <w:rPr>
                <w:rFonts w:hint="eastAsia" w:ascii="宋体" w:hAnsi="宋体" w:cs="宋体"/>
                <w:color w:val="00000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46" w:type="dxa"/>
            <w:vAlign w:val="center"/>
          </w:tcPr>
          <w:p>
            <w:pPr>
              <w:spacing w:line="360" w:lineRule="auto"/>
              <w:rPr>
                <w:rFonts w:ascii="宋体" w:hAnsi="宋体" w:cs="宋体"/>
                <w:sz w:val="24"/>
              </w:rPr>
            </w:pPr>
          </w:p>
        </w:tc>
        <w:tc>
          <w:tcPr>
            <w:tcW w:w="8947" w:type="dxa"/>
            <w:gridSpan w:val="2"/>
            <w:vAlign w:val="center"/>
          </w:tcPr>
          <w:p>
            <w:pPr>
              <w:spacing w:line="360" w:lineRule="auto"/>
              <w:rPr>
                <w:rFonts w:ascii="宋体" w:hAnsi="宋体" w:cs="宋体"/>
                <w:color w:val="000000"/>
                <w:sz w:val="24"/>
              </w:rPr>
            </w:pPr>
            <w:r>
              <w:rPr>
                <w:rFonts w:hint="eastAsia" w:ascii="宋体" w:hAnsi="宋体" w:cs="宋体"/>
                <w:color w:val="000000"/>
                <w:sz w:val="24"/>
              </w:rPr>
              <w:t>构成招标文件组成部分的“通用合同条款”、“专用合同条款”和“技术标准和要求”等章节中出现的措辞“发包人”和“承包人”，在招标投标阶段应当分别按“招标人（招标人）”和“投标人”进行理解。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93" w:type="dxa"/>
            <w:gridSpan w:val="3"/>
            <w:vAlign w:val="center"/>
          </w:tcPr>
          <w:p>
            <w:pPr>
              <w:spacing w:line="460" w:lineRule="exact"/>
              <w:rPr>
                <w:rFonts w:ascii="宋体" w:hAnsi="宋体" w:cs="宋体"/>
                <w:sz w:val="24"/>
              </w:rPr>
            </w:pPr>
            <w:r>
              <w:rPr>
                <w:rFonts w:hint="eastAsia" w:ascii="宋体" w:hAnsi="宋体" w:cs="宋体"/>
                <w:color w:val="000000"/>
                <w:sz w:val="24"/>
              </w:rPr>
              <w:t>10.8监督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46" w:type="dxa"/>
            <w:vAlign w:val="center"/>
          </w:tcPr>
          <w:p>
            <w:pPr>
              <w:spacing w:line="460" w:lineRule="exact"/>
              <w:rPr>
                <w:rFonts w:ascii="宋体" w:hAnsi="宋体" w:cs="宋体"/>
                <w:sz w:val="24"/>
              </w:rPr>
            </w:pPr>
          </w:p>
        </w:tc>
        <w:tc>
          <w:tcPr>
            <w:tcW w:w="8947" w:type="dxa"/>
            <w:gridSpan w:val="2"/>
            <w:vAlign w:val="center"/>
          </w:tcPr>
          <w:p>
            <w:pPr>
              <w:spacing w:line="460" w:lineRule="exact"/>
              <w:rPr>
                <w:rFonts w:ascii="宋体" w:hAnsi="宋体" w:cs="宋体"/>
                <w:color w:val="000000"/>
                <w:sz w:val="24"/>
              </w:rPr>
            </w:pPr>
            <w:r>
              <w:rPr>
                <w:rFonts w:hint="eastAsia" w:ascii="宋体" w:hAnsi="宋体" w:cs="宋体"/>
                <w:color w:val="000000"/>
                <w:sz w:val="24"/>
              </w:rPr>
              <w:t>本项目的招标投标活动及其相关当事人应当接受政府有关部门依法实施的监督、监察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93" w:type="dxa"/>
            <w:gridSpan w:val="3"/>
            <w:vAlign w:val="center"/>
          </w:tcPr>
          <w:p>
            <w:pPr>
              <w:spacing w:line="460" w:lineRule="exact"/>
              <w:rPr>
                <w:rFonts w:ascii="宋体" w:hAnsi="宋体" w:cs="宋体"/>
                <w:sz w:val="24"/>
              </w:rPr>
            </w:pPr>
            <w:r>
              <w:rPr>
                <w:rFonts w:hint="eastAsia" w:ascii="宋体" w:hAnsi="宋体" w:cs="宋体"/>
                <w:color w:val="00000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46" w:type="dxa"/>
            <w:vAlign w:val="center"/>
          </w:tcPr>
          <w:p>
            <w:pPr>
              <w:spacing w:line="460" w:lineRule="exact"/>
              <w:rPr>
                <w:rFonts w:ascii="宋体" w:hAnsi="宋体" w:cs="宋体"/>
                <w:sz w:val="24"/>
              </w:rPr>
            </w:pPr>
          </w:p>
        </w:tc>
        <w:tc>
          <w:tcPr>
            <w:tcW w:w="8947" w:type="dxa"/>
            <w:gridSpan w:val="2"/>
            <w:vAlign w:val="center"/>
          </w:tcPr>
          <w:p>
            <w:pPr>
              <w:spacing w:line="460" w:lineRule="exact"/>
              <w:rPr>
                <w:rFonts w:ascii="宋体" w:hAnsi="宋体" w:cs="宋体"/>
                <w:color w:val="000000"/>
                <w:sz w:val="24"/>
              </w:rPr>
            </w:pPr>
            <w:r>
              <w:rPr>
                <w:rFonts w:hint="eastAsia" w:ascii="宋体" w:hAnsi="宋体" w:cs="宋体"/>
                <w:color w:val="00000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 ，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93" w:type="dxa"/>
            <w:gridSpan w:val="3"/>
            <w:vAlign w:val="center"/>
          </w:tcPr>
          <w:p>
            <w:pPr>
              <w:spacing w:line="460" w:lineRule="exact"/>
              <w:rPr>
                <w:rFonts w:ascii="宋体" w:hAnsi="宋体" w:cs="宋体"/>
                <w:sz w:val="24"/>
              </w:rPr>
            </w:pPr>
            <w:r>
              <w:rPr>
                <w:rFonts w:hint="eastAsia" w:ascii="宋体" w:hAnsi="宋体" w:cs="宋体"/>
                <w:color w:val="000000"/>
                <w:sz w:val="24"/>
              </w:rPr>
              <w:t>10.10招标人声明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46" w:type="dxa"/>
            <w:vAlign w:val="center"/>
          </w:tcPr>
          <w:p>
            <w:pPr>
              <w:spacing w:line="460" w:lineRule="exact"/>
            </w:pPr>
          </w:p>
        </w:tc>
        <w:tc>
          <w:tcPr>
            <w:tcW w:w="8947" w:type="dxa"/>
            <w:gridSpan w:val="2"/>
            <w:vAlign w:val="center"/>
          </w:tcPr>
          <w:p>
            <w:pPr>
              <w:spacing w:line="460" w:lineRule="exact"/>
              <w:rPr>
                <w:rFonts w:ascii="宋体" w:hAnsi="宋体" w:cs="宋体"/>
                <w:color w:val="000000"/>
                <w:sz w:val="24"/>
              </w:rPr>
            </w:pPr>
            <w:r>
              <w:rPr>
                <w:rFonts w:hint="eastAsia" w:ascii="宋体" w:hAnsi="宋体" w:cs="宋体"/>
                <w:color w:val="000000"/>
                <w:sz w:val="24"/>
              </w:rPr>
              <w:t>1、投标人因参与投标活动而涉及的人身伤害、财产损害、侵犯他人权益、仲裁或诉讼等，应当责任自负，费用自担，并应保证招标人和招标代理机构免于承担上述责任或者其他不利影响。</w:t>
            </w:r>
          </w:p>
          <w:p>
            <w:pPr>
              <w:spacing w:line="460" w:lineRule="exact"/>
              <w:rPr>
                <w:rFonts w:ascii="宋体" w:hAnsi="宋体" w:cs="宋体"/>
                <w:color w:val="000000"/>
                <w:sz w:val="24"/>
              </w:rPr>
            </w:pPr>
            <w:r>
              <w:rPr>
                <w:rFonts w:hint="eastAsia" w:ascii="宋体" w:hAnsi="宋体" w:cs="宋体"/>
                <w:color w:val="000000"/>
                <w:sz w:val="24"/>
              </w:rPr>
              <w:t>2、招标人声明招标文件中附带的参考资料是招标人掌握的现有的和客观的信息，招标人不对投标人由此做出的任何理解、推论、判断、结论和决策负责。</w:t>
            </w:r>
          </w:p>
          <w:p>
            <w:pPr>
              <w:spacing w:line="460" w:lineRule="exact"/>
              <w:rPr>
                <w:rFonts w:ascii="宋体" w:hAnsi="宋体" w:cs="宋体"/>
                <w:color w:val="000000"/>
                <w:sz w:val="24"/>
              </w:rPr>
            </w:pPr>
            <w:r>
              <w:rPr>
                <w:rFonts w:hint="eastAsia" w:ascii="宋体" w:hAnsi="宋体" w:cs="宋体"/>
                <w:color w:val="000000"/>
                <w:sz w:val="24"/>
              </w:rPr>
              <w:t>3、严禁投标人挂靠资质投标，一经查出取消入围资格，列入招标人采购黑名单，并上报上级主管部门，对招标人造成损失的应赔偿因此造成的经济损失。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93" w:type="dxa"/>
            <w:gridSpan w:val="3"/>
            <w:vAlign w:val="center"/>
          </w:tcPr>
          <w:p>
            <w:pPr>
              <w:spacing w:line="460" w:lineRule="exact"/>
              <w:rPr>
                <w:rFonts w:hint="default" w:ascii="宋体" w:hAnsi="宋体" w:eastAsia="宋体" w:cs="宋体"/>
                <w:sz w:val="24"/>
                <w:lang w:val="en-US" w:eastAsia="zh-CN"/>
              </w:rPr>
            </w:pPr>
            <w:r>
              <w:rPr>
                <w:rFonts w:hint="eastAsia" w:ascii="宋体" w:hAnsi="宋体" w:cs="宋体"/>
                <w:color w:val="000000"/>
                <w:kern w:val="0"/>
                <w:sz w:val="24"/>
              </w:rPr>
              <w:t>10.11河南省政府采购合同融资政策</w:t>
            </w:r>
            <w:r>
              <w:rPr>
                <w:rFonts w:hint="eastAsia" w:ascii="宋体" w:hAnsi="宋体" w:cs="宋体"/>
                <w:color w:val="000000"/>
                <w:kern w:val="0"/>
                <w:sz w:val="24"/>
                <w:lang w:val="en-US" w:eastAsia="zh-CN"/>
              </w:rPr>
              <w:t>告知函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46" w:type="dxa"/>
            <w:vAlign w:val="center"/>
          </w:tcPr>
          <w:p>
            <w:pPr>
              <w:pStyle w:val="24"/>
              <w:spacing w:line="360" w:lineRule="auto"/>
              <w:ind w:left="0" w:leftChars="0" w:right="63" w:firstLine="0" w:firstLineChars="0"/>
              <w:jc w:val="left"/>
              <w:rPr>
                <w:sz w:val="24"/>
                <w:szCs w:val="24"/>
              </w:rPr>
            </w:pPr>
          </w:p>
        </w:tc>
        <w:tc>
          <w:tcPr>
            <w:tcW w:w="8947" w:type="dxa"/>
            <w:gridSpan w:val="2"/>
            <w:vAlign w:val="center"/>
          </w:tcPr>
          <w:p>
            <w:pPr>
              <w:spacing w:line="460" w:lineRule="exact"/>
              <w:rPr>
                <w:rFonts w:hint="eastAsia" w:ascii="宋体" w:hAnsi="宋体" w:cs="宋体"/>
                <w:color w:val="000000"/>
                <w:sz w:val="24"/>
              </w:rPr>
            </w:pPr>
            <w:r>
              <w:rPr>
                <w:rFonts w:hint="eastAsia" w:ascii="宋体" w:hAnsi="宋体" w:cs="宋体"/>
                <w:color w:val="000000"/>
                <w:sz w:val="24"/>
              </w:rPr>
              <w:t>河南省政府采购合同融资政策告知函</w:t>
            </w:r>
          </w:p>
          <w:p>
            <w:pPr>
              <w:spacing w:line="460" w:lineRule="exact"/>
              <w:rPr>
                <w:rFonts w:hint="eastAsia" w:ascii="宋体" w:hAnsi="宋体" w:cs="宋体"/>
                <w:color w:val="000000"/>
                <w:sz w:val="24"/>
              </w:rPr>
            </w:pPr>
            <w:r>
              <w:rPr>
                <w:rFonts w:hint="eastAsia" w:ascii="宋体" w:hAnsi="宋体" w:cs="宋体"/>
                <w:color w:val="000000"/>
                <w:sz w:val="24"/>
              </w:rPr>
              <w:t>各投标单位：</w:t>
            </w:r>
          </w:p>
          <w:p>
            <w:pPr>
              <w:spacing w:line="460" w:lineRule="exact"/>
              <w:rPr>
                <w:rFonts w:hint="eastAsia" w:ascii="宋体" w:hAnsi="宋体" w:cs="宋体"/>
                <w:color w:val="000000"/>
                <w:sz w:val="24"/>
              </w:rPr>
            </w:pPr>
            <w:r>
              <w:rPr>
                <w:rFonts w:hint="eastAsia" w:ascii="宋体" w:hAnsi="宋体" w:cs="宋体"/>
                <w:color w:val="000000"/>
                <w:sz w:val="24"/>
              </w:rPr>
              <w:t>欢迎贵公司参与河南省政府采购活动！</w:t>
            </w:r>
          </w:p>
          <w:p>
            <w:pPr>
              <w:spacing w:line="460" w:lineRule="exact"/>
              <w:rPr>
                <w:rFonts w:hint="eastAsia" w:ascii="宋体" w:hAnsi="宋体" w:cs="宋体"/>
                <w:color w:val="000000"/>
                <w:sz w:val="24"/>
              </w:rPr>
            </w:pPr>
            <w:r>
              <w:rPr>
                <w:rFonts w:hint="eastAsia" w:ascii="宋体" w:hAnsi="宋体" w:cs="宋体"/>
                <w:color w:val="000000"/>
                <w:sz w:val="24"/>
              </w:rPr>
              <w:t>政府采购合同融资是河南省财政厅支持中小微企业发展，针对参与政府采购活动的投标单位融资难、融资贵问题推出的一项融资政策。贵公司若成为本次政府采购项目的中标单位，可持政府采购合同向金融机构申请贷款，无需抵押、担保，融资机构将根据《河南省政府采购合同融资工作实施方案》（豫财购[2017]10号）,按照双方自愿的原则提供便捷、优惠的贷款服务。</w:t>
            </w:r>
          </w:p>
          <w:p>
            <w:pPr>
              <w:spacing w:line="460" w:lineRule="exact"/>
            </w:pPr>
            <w:r>
              <w:rPr>
                <w:rFonts w:hint="eastAsia" w:ascii="宋体" w:hAnsi="宋体" w:cs="宋体"/>
                <w:color w:val="000000"/>
                <w:sz w:val="24"/>
              </w:rPr>
              <w:t>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3" w:type="dxa"/>
            <w:gridSpan w:val="3"/>
            <w:vAlign w:val="center"/>
          </w:tcPr>
          <w:p>
            <w:pPr>
              <w:spacing w:line="360" w:lineRule="auto"/>
              <w:rPr>
                <w:sz w:val="24"/>
              </w:rPr>
            </w:pPr>
            <w:r>
              <w:rPr>
                <w:rFonts w:hint="eastAsia"/>
                <w:sz w:val="24"/>
              </w:rPr>
              <w:t>备注：招标文件如出现前后不一致时，以投标人须知前附表为准。</w:t>
            </w:r>
          </w:p>
        </w:tc>
      </w:tr>
    </w:tbl>
    <w:p>
      <w:pPr>
        <w:spacing w:line="400" w:lineRule="exact"/>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1. 总则</w:t>
      </w:r>
      <w:bookmarkEnd w:id="13"/>
      <w:bookmarkEnd w:id="14"/>
      <w:bookmarkEnd w:id="15"/>
      <w:bookmarkEnd w:id="16"/>
    </w:p>
    <w:p>
      <w:pPr>
        <w:pStyle w:val="47"/>
        <w:spacing w:line="560" w:lineRule="exact"/>
        <w:rPr>
          <w:rFonts w:ascii="宋体" w:hAnsi="宋体" w:eastAsia="宋体"/>
          <w:szCs w:val="24"/>
        </w:rPr>
      </w:pPr>
      <w:bookmarkStart w:id="17" w:name="_Toc31584"/>
      <w:bookmarkStart w:id="18" w:name="_Toc152042306"/>
      <w:bookmarkStart w:id="19" w:name="_Toc179632547"/>
      <w:bookmarkStart w:id="20" w:name="_Toc152045530"/>
      <w:bookmarkStart w:id="21" w:name="_Toc31258"/>
      <w:bookmarkStart w:id="22" w:name="_Toc32237"/>
      <w:bookmarkStart w:id="23" w:name="_Toc144974498"/>
      <w:r>
        <w:rPr>
          <w:rFonts w:hint="eastAsia" w:ascii="宋体" w:hAnsi="宋体" w:eastAsia="宋体"/>
          <w:szCs w:val="24"/>
        </w:rPr>
        <w:t>1.1 项目概况</w:t>
      </w:r>
      <w:bookmarkEnd w:id="17"/>
      <w:bookmarkEnd w:id="18"/>
      <w:bookmarkEnd w:id="19"/>
      <w:bookmarkEnd w:id="20"/>
      <w:bookmarkEnd w:id="21"/>
      <w:bookmarkEnd w:id="22"/>
      <w:bookmarkEnd w:id="23"/>
    </w:p>
    <w:p>
      <w:pPr>
        <w:spacing w:line="560" w:lineRule="exact"/>
        <w:ind w:firstLine="480" w:firstLineChars="200"/>
        <w:rPr>
          <w:rFonts w:ascii="宋体" w:hAnsi="宋体" w:cs="宋体"/>
          <w:sz w:val="24"/>
        </w:rPr>
      </w:pPr>
      <w:r>
        <w:rPr>
          <w:rFonts w:hint="eastAsia" w:ascii="宋体" w:hAnsi="宋体" w:cs="宋体"/>
          <w:sz w:val="24"/>
        </w:rPr>
        <w:t>1.1.1根据《中华人民共和国招标投标法》等有关法律、法规和规章的规定，本招标项目已具备招标条件，现对本标段施工进行招标。</w:t>
      </w:r>
    </w:p>
    <w:p>
      <w:pPr>
        <w:spacing w:line="560" w:lineRule="exact"/>
        <w:ind w:firstLine="480" w:firstLineChars="200"/>
        <w:rPr>
          <w:rFonts w:ascii="宋体" w:hAnsi="宋体" w:cs="宋体"/>
          <w:sz w:val="24"/>
        </w:rPr>
      </w:pPr>
      <w:r>
        <w:rPr>
          <w:rFonts w:hint="eastAsia" w:ascii="宋体" w:hAnsi="宋体" w:cs="宋体"/>
          <w:sz w:val="24"/>
        </w:rPr>
        <w:t>1.1.2 本招标项目招标人：见投标人须知前附表。</w:t>
      </w:r>
    </w:p>
    <w:p>
      <w:pPr>
        <w:spacing w:line="560" w:lineRule="exact"/>
        <w:ind w:firstLine="480" w:firstLineChars="200"/>
        <w:rPr>
          <w:rFonts w:ascii="宋体" w:hAnsi="宋体" w:cs="宋体"/>
          <w:sz w:val="24"/>
        </w:rPr>
      </w:pPr>
      <w:r>
        <w:rPr>
          <w:rFonts w:hint="eastAsia" w:ascii="宋体" w:hAnsi="宋体" w:cs="宋体"/>
          <w:sz w:val="24"/>
        </w:rPr>
        <w:t>1.1.3 本标段招标代理机构：见投标人须知前附表。</w:t>
      </w:r>
    </w:p>
    <w:p>
      <w:pPr>
        <w:spacing w:line="560" w:lineRule="exact"/>
        <w:ind w:firstLine="480" w:firstLineChars="200"/>
        <w:rPr>
          <w:rFonts w:ascii="宋体" w:hAnsi="宋体" w:cs="宋体"/>
          <w:sz w:val="24"/>
        </w:rPr>
      </w:pPr>
      <w:r>
        <w:rPr>
          <w:rFonts w:hint="eastAsia" w:ascii="宋体" w:hAnsi="宋体" w:cs="宋体"/>
          <w:sz w:val="24"/>
        </w:rPr>
        <w:t>1.1.4 本招标项目名称：见投标人须知前附表。</w:t>
      </w:r>
    </w:p>
    <w:p>
      <w:pPr>
        <w:spacing w:line="560" w:lineRule="exact"/>
        <w:ind w:firstLine="480" w:firstLineChars="200"/>
        <w:rPr>
          <w:rFonts w:ascii="宋体" w:hAnsi="宋体" w:cs="宋体"/>
          <w:sz w:val="24"/>
        </w:rPr>
      </w:pPr>
      <w:r>
        <w:rPr>
          <w:rFonts w:hint="eastAsia" w:ascii="宋体" w:hAnsi="宋体" w:cs="宋体"/>
          <w:sz w:val="24"/>
        </w:rPr>
        <w:t>1.1.5 本标段建设地点：见投标人须知前附表。</w:t>
      </w:r>
    </w:p>
    <w:p>
      <w:pPr>
        <w:pStyle w:val="47"/>
        <w:spacing w:line="560" w:lineRule="exact"/>
        <w:rPr>
          <w:rFonts w:ascii="宋体" w:hAnsi="宋体" w:eastAsia="宋体"/>
          <w:szCs w:val="24"/>
        </w:rPr>
      </w:pPr>
      <w:bookmarkStart w:id="24" w:name="_Toc152045531"/>
      <w:bookmarkStart w:id="25" w:name="_Toc32521"/>
      <w:bookmarkStart w:id="26" w:name="_Toc152042307"/>
      <w:bookmarkStart w:id="27" w:name="_Toc30492"/>
      <w:bookmarkStart w:id="28" w:name="_Toc10773"/>
      <w:bookmarkStart w:id="29" w:name="_Toc144974499"/>
      <w:bookmarkStart w:id="30" w:name="_Toc179632548"/>
      <w:r>
        <w:rPr>
          <w:rFonts w:hint="eastAsia" w:ascii="宋体" w:hAnsi="宋体" w:eastAsia="宋体"/>
          <w:szCs w:val="24"/>
        </w:rPr>
        <w:t>1.2 资金来源和落实情况</w:t>
      </w:r>
      <w:bookmarkEnd w:id="24"/>
      <w:bookmarkEnd w:id="25"/>
      <w:bookmarkEnd w:id="26"/>
      <w:bookmarkEnd w:id="27"/>
      <w:bookmarkEnd w:id="28"/>
      <w:bookmarkEnd w:id="29"/>
      <w:bookmarkEnd w:id="30"/>
    </w:p>
    <w:p>
      <w:pPr>
        <w:spacing w:line="560" w:lineRule="exact"/>
        <w:ind w:firstLine="480" w:firstLineChars="200"/>
        <w:rPr>
          <w:rFonts w:ascii="宋体" w:hAnsi="宋体" w:cs="宋体"/>
          <w:sz w:val="24"/>
        </w:rPr>
      </w:pPr>
      <w:r>
        <w:rPr>
          <w:rFonts w:hint="eastAsia" w:ascii="宋体" w:hAnsi="宋体" w:cs="宋体"/>
          <w:sz w:val="24"/>
        </w:rPr>
        <w:t>1.2.1 本招标项目的资金来源：见投标人须知前附表。</w:t>
      </w:r>
    </w:p>
    <w:p>
      <w:pPr>
        <w:spacing w:line="560" w:lineRule="exact"/>
        <w:ind w:firstLine="480" w:firstLineChars="200"/>
        <w:rPr>
          <w:rFonts w:ascii="宋体" w:hAnsi="宋体" w:cs="宋体"/>
          <w:sz w:val="24"/>
        </w:rPr>
      </w:pPr>
      <w:r>
        <w:rPr>
          <w:rFonts w:hint="eastAsia" w:ascii="宋体" w:hAnsi="宋体" w:cs="宋体"/>
          <w:sz w:val="24"/>
        </w:rPr>
        <w:t>1.2.2 本招标项目的出资比例：见投标人须知前附表。</w:t>
      </w:r>
    </w:p>
    <w:p>
      <w:pPr>
        <w:spacing w:line="560" w:lineRule="exact"/>
        <w:ind w:firstLine="480" w:firstLineChars="200"/>
        <w:rPr>
          <w:rFonts w:ascii="宋体" w:hAnsi="宋体" w:cs="宋体"/>
          <w:sz w:val="24"/>
        </w:rPr>
      </w:pPr>
      <w:r>
        <w:rPr>
          <w:rFonts w:hint="eastAsia" w:ascii="宋体" w:hAnsi="宋体" w:cs="宋体"/>
          <w:sz w:val="24"/>
        </w:rPr>
        <w:t>1.2.3 本招标项目的资金落实情况：见投标人须知前附表。</w:t>
      </w:r>
    </w:p>
    <w:p>
      <w:pPr>
        <w:pStyle w:val="47"/>
        <w:spacing w:line="560" w:lineRule="exact"/>
        <w:rPr>
          <w:rFonts w:ascii="宋体" w:hAnsi="宋体" w:eastAsia="宋体"/>
          <w:szCs w:val="24"/>
        </w:rPr>
      </w:pPr>
      <w:bookmarkStart w:id="31" w:name="_Toc144974500"/>
      <w:bookmarkStart w:id="32" w:name="_Toc179632549"/>
      <w:bookmarkStart w:id="33" w:name="_Toc26400"/>
      <w:bookmarkStart w:id="34" w:name="_Toc8428"/>
      <w:bookmarkStart w:id="35" w:name="_Toc152045532"/>
      <w:bookmarkStart w:id="36" w:name="_Toc152042308"/>
      <w:bookmarkStart w:id="37" w:name="_Toc11344"/>
      <w:r>
        <w:rPr>
          <w:rFonts w:hint="eastAsia" w:ascii="宋体" w:hAnsi="宋体" w:eastAsia="宋体"/>
          <w:szCs w:val="24"/>
        </w:rPr>
        <w:t>1.3 招标范围、计划工期和质量要求</w:t>
      </w:r>
      <w:bookmarkEnd w:id="31"/>
      <w:bookmarkEnd w:id="32"/>
      <w:bookmarkEnd w:id="33"/>
      <w:bookmarkEnd w:id="34"/>
      <w:bookmarkEnd w:id="35"/>
      <w:bookmarkEnd w:id="36"/>
      <w:bookmarkEnd w:id="37"/>
    </w:p>
    <w:p>
      <w:pPr>
        <w:spacing w:line="560" w:lineRule="exact"/>
        <w:ind w:firstLine="480" w:firstLineChars="200"/>
        <w:rPr>
          <w:rFonts w:ascii="宋体" w:hAnsi="宋体" w:cs="宋体"/>
          <w:sz w:val="24"/>
        </w:rPr>
      </w:pPr>
      <w:r>
        <w:rPr>
          <w:rFonts w:hint="eastAsia" w:ascii="宋体" w:hAnsi="宋体" w:cs="宋体"/>
          <w:sz w:val="24"/>
        </w:rPr>
        <w:t>1.3.1 本次招标范围：见投标人须知前附表。</w:t>
      </w:r>
    </w:p>
    <w:p>
      <w:pPr>
        <w:spacing w:line="560" w:lineRule="exact"/>
        <w:ind w:firstLine="480" w:firstLineChars="200"/>
        <w:rPr>
          <w:rFonts w:ascii="宋体" w:hAnsi="宋体" w:cs="宋体"/>
          <w:sz w:val="24"/>
        </w:rPr>
      </w:pPr>
      <w:r>
        <w:rPr>
          <w:rFonts w:hint="eastAsia" w:ascii="宋体" w:hAnsi="宋体" w:cs="宋体"/>
          <w:sz w:val="24"/>
        </w:rPr>
        <w:t>1.3.2 本标段的工期要求：见投标人须知前附表。</w:t>
      </w:r>
    </w:p>
    <w:p>
      <w:pPr>
        <w:spacing w:line="560" w:lineRule="exact"/>
        <w:ind w:firstLine="480" w:firstLineChars="200"/>
        <w:rPr>
          <w:rFonts w:ascii="宋体" w:hAnsi="宋体" w:cs="宋体"/>
          <w:sz w:val="24"/>
        </w:rPr>
      </w:pPr>
      <w:r>
        <w:rPr>
          <w:rFonts w:hint="eastAsia" w:ascii="宋体" w:hAnsi="宋体" w:cs="宋体"/>
          <w:sz w:val="24"/>
        </w:rPr>
        <w:t>1.3.3 本标段的质量要求：见投标人须知前附表。</w:t>
      </w:r>
    </w:p>
    <w:p>
      <w:pPr>
        <w:pStyle w:val="47"/>
        <w:spacing w:line="560" w:lineRule="exact"/>
        <w:rPr>
          <w:rFonts w:ascii="宋体" w:hAnsi="宋体" w:eastAsia="宋体"/>
          <w:szCs w:val="24"/>
        </w:rPr>
      </w:pPr>
      <w:bookmarkStart w:id="38" w:name="_Toc144974502"/>
      <w:bookmarkStart w:id="39" w:name="_Toc20496"/>
      <w:bookmarkStart w:id="40" w:name="_Toc152045534"/>
      <w:bookmarkStart w:id="41" w:name="_Toc1132"/>
      <w:bookmarkStart w:id="42" w:name="_Toc179632551"/>
      <w:bookmarkStart w:id="43" w:name="_Toc30009"/>
      <w:bookmarkStart w:id="44" w:name="_Toc152042310"/>
      <w:r>
        <w:rPr>
          <w:rFonts w:hint="eastAsia" w:ascii="宋体" w:hAnsi="宋体" w:eastAsia="宋体"/>
          <w:szCs w:val="24"/>
        </w:rPr>
        <w:t>1.4 投标人资格要求</w:t>
      </w:r>
      <w:bookmarkEnd w:id="38"/>
      <w:bookmarkEnd w:id="39"/>
      <w:bookmarkEnd w:id="40"/>
      <w:bookmarkEnd w:id="41"/>
      <w:bookmarkEnd w:id="42"/>
      <w:bookmarkEnd w:id="43"/>
      <w:bookmarkEnd w:id="44"/>
    </w:p>
    <w:p>
      <w:pPr>
        <w:spacing w:line="560" w:lineRule="exact"/>
        <w:ind w:firstLine="480" w:firstLineChars="200"/>
        <w:rPr>
          <w:rFonts w:ascii="宋体" w:hAnsi="宋体" w:cs="宋体"/>
          <w:sz w:val="24"/>
        </w:rPr>
      </w:pPr>
      <w:r>
        <w:rPr>
          <w:rFonts w:hint="eastAsia" w:ascii="宋体" w:hAnsi="宋体" w:cs="宋体"/>
          <w:sz w:val="24"/>
        </w:rPr>
        <w:t>1.4.1 投标人应具备承担本标段施工的资质条件、能力和信誉:</w:t>
      </w:r>
    </w:p>
    <w:p>
      <w:pPr>
        <w:spacing w:line="560" w:lineRule="exact"/>
        <w:ind w:firstLine="820" w:firstLineChars="342"/>
        <w:rPr>
          <w:rFonts w:ascii="宋体" w:hAnsi="宋体" w:cs="宋体"/>
          <w:sz w:val="24"/>
        </w:rPr>
      </w:pPr>
      <w:r>
        <w:rPr>
          <w:rFonts w:hint="eastAsia" w:ascii="宋体" w:hAnsi="宋体" w:cs="宋体"/>
          <w:sz w:val="24"/>
        </w:rPr>
        <w:t>（1）资质条件：见投标人须知前附表；</w:t>
      </w:r>
    </w:p>
    <w:p>
      <w:pPr>
        <w:spacing w:line="560" w:lineRule="exact"/>
        <w:ind w:firstLine="820" w:firstLineChars="342"/>
        <w:rPr>
          <w:rFonts w:ascii="宋体" w:hAnsi="宋体" w:cs="宋体"/>
          <w:sz w:val="24"/>
        </w:rPr>
      </w:pPr>
      <w:r>
        <w:rPr>
          <w:rFonts w:hint="eastAsia" w:ascii="宋体" w:hAnsi="宋体" w:cs="宋体"/>
          <w:sz w:val="24"/>
        </w:rPr>
        <w:t>（2）业绩要求：见投标人须知前附表；</w:t>
      </w:r>
    </w:p>
    <w:p>
      <w:pPr>
        <w:spacing w:line="560" w:lineRule="exact"/>
        <w:ind w:firstLine="820" w:firstLineChars="342"/>
        <w:rPr>
          <w:rFonts w:ascii="宋体" w:hAnsi="宋体" w:cs="宋体"/>
          <w:sz w:val="24"/>
        </w:rPr>
      </w:pPr>
      <w:r>
        <w:rPr>
          <w:rFonts w:hint="eastAsia" w:ascii="宋体" w:hAnsi="宋体" w:cs="宋体"/>
          <w:sz w:val="24"/>
        </w:rPr>
        <w:t>（3）信誉要求：见投标人须知前附表；</w:t>
      </w:r>
    </w:p>
    <w:p>
      <w:pPr>
        <w:spacing w:line="560" w:lineRule="exact"/>
        <w:ind w:firstLine="820" w:firstLineChars="342"/>
        <w:rPr>
          <w:rFonts w:ascii="宋体" w:hAnsi="宋体" w:cs="宋体"/>
          <w:sz w:val="24"/>
        </w:rPr>
      </w:pPr>
      <w:r>
        <w:rPr>
          <w:rFonts w:hint="eastAsia" w:ascii="宋体" w:hAnsi="宋体" w:cs="宋体"/>
          <w:sz w:val="24"/>
        </w:rPr>
        <w:t>（4）项目经理资格：见投标人须知前附表；</w:t>
      </w:r>
    </w:p>
    <w:p>
      <w:pPr>
        <w:spacing w:line="560" w:lineRule="exact"/>
        <w:ind w:firstLine="840" w:firstLineChars="350"/>
        <w:rPr>
          <w:rFonts w:ascii="宋体" w:hAnsi="宋体" w:cs="宋体"/>
          <w:sz w:val="24"/>
        </w:rPr>
      </w:pPr>
      <w:r>
        <w:rPr>
          <w:rFonts w:hint="eastAsia" w:ascii="宋体" w:hAnsi="宋体" w:cs="宋体"/>
          <w:sz w:val="24"/>
        </w:rPr>
        <w:t>（5）财务要求：见投标人须知前附表；</w:t>
      </w:r>
    </w:p>
    <w:p>
      <w:pPr>
        <w:spacing w:line="560" w:lineRule="exact"/>
        <w:ind w:firstLine="840" w:firstLineChars="350"/>
        <w:rPr>
          <w:rFonts w:ascii="宋体" w:hAnsi="宋体" w:cs="宋体"/>
          <w:sz w:val="24"/>
        </w:rPr>
      </w:pPr>
      <w:r>
        <w:rPr>
          <w:rFonts w:hint="eastAsia" w:ascii="宋体" w:hAnsi="宋体" w:cs="宋体"/>
          <w:sz w:val="24"/>
        </w:rPr>
        <w:t>（6）其他要求：见投标人须知前附表。</w:t>
      </w:r>
    </w:p>
    <w:p>
      <w:pPr>
        <w:spacing w:line="560" w:lineRule="exact"/>
        <w:ind w:firstLine="480" w:firstLineChars="200"/>
        <w:rPr>
          <w:rFonts w:ascii="宋体" w:hAnsi="宋体" w:cs="宋体"/>
          <w:sz w:val="24"/>
        </w:rPr>
      </w:pPr>
      <w:r>
        <w:rPr>
          <w:rFonts w:hint="eastAsia" w:ascii="宋体" w:hAnsi="宋体" w:cs="宋体"/>
          <w:sz w:val="24"/>
        </w:rPr>
        <w:t xml:space="preserve">1.4.2 投标人须知前附表规定接受联合体投标的，除应符合本章第1.4.1项和投标人须知前附表的要求外，还应遵守以下规定： </w:t>
      </w:r>
    </w:p>
    <w:p>
      <w:pPr>
        <w:spacing w:line="560" w:lineRule="exact"/>
        <w:ind w:firstLine="820" w:firstLineChars="342"/>
        <w:rPr>
          <w:rFonts w:ascii="宋体" w:hAnsi="宋体" w:cs="宋体"/>
          <w:sz w:val="24"/>
        </w:rPr>
      </w:pPr>
      <w:r>
        <w:rPr>
          <w:rFonts w:hint="eastAsia" w:ascii="宋体" w:hAnsi="宋体" w:cs="宋体"/>
          <w:sz w:val="24"/>
        </w:rPr>
        <w:t>（1）联合体各方应按招标文件提供的格式签订联合体协议书，明确联合体牵头人和各方权利义务；</w:t>
      </w:r>
    </w:p>
    <w:p>
      <w:pPr>
        <w:spacing w:line="560" w:lineRule="exact"/>
        <w:ind w:firstLine="820" w:firstLineChars="342"/>
        <w:rPr>
          <w:rFonts w:ascii="宋体" w:hAnsi="宋体" w:cs="宋体"/>
          <w:sz w:val="24"/>
        </w:rPr>
      </w:pPr>
      <w:r>
        <w:rPr>
          <w:rFonts w:hint="eastAsia" w:ascii="宋体" w:hAnsi="宋体" w:cs="宋体"/>
          <w:sz w:val="24"/>
        </w:rPr>
        <w:t xml:space="preserve">（2）由同一专业的单位组成的联合体，按照资质等级较低的单位确定资质等级； </w:t>
      </w:r>
    </w:p>
    <w:p>
      <w:pPr>
        <w:spacing w:line="560" w:lineRule="exact"/>
        <w:ind w:firstLine="820" w:firstLineChars="342"/>
        <w:rPr>
          <w:rFonts w:ascii="宋体" w:hAnsi="宋体" w:cs="宋体"/>
          <w:sz w:val="24"/>
        </w:rPr>
      </w:pPr>
      <w:r>
        <w:rPr>
          <w:rFonts w:hint="eastAsia" w:ascii="宋体" w:hAnsi="宋体" w:cs="宋体"/>
          <w:sz w:val="24"/>
        </w:rPr>
        <w:t>（3）联合体各方不得再以自己名义单独或参加其他联合体在同一标段中投标。</w:t>
      </w:r>
    </w:p>
    <w:p>
      <w:pPr>
        <w:spacing w:line="560" w:lineRule="exact"/>
        <w:ind w:firstLine="480" w:firstLineChars="200"/>
        <w:rPr>
          <w:rFonts w:ascii="宋体" w:hAnsi="宋体" w:cs="宋体"/>
          <w:sz w:val="24"/>
        </w:rPr>
      </w:pPr>
      <w:r>
        <w:rPr>
          <w:rFonts w:hint="eastAsia" w:ascii="宋体" w:hAnsi="宋体" w:cs="宋体"/>
          <w:sz w:val="24"/>
        </w:rPr>
        <w:t>1.4.3 投标人不得存在下列情形之一：</w:t>
      </w:r>
    </w:p>
    <w:p>
      <w:pPr>
        <w:spacing w:line="560" w:lineRule="exact"/>
        <w:ind w:firstLine="820" w:firstLineChars="342"/>
        <w:rPr>
          <w:rFonts w:ascii="宋体" w:hAnsi="宋体" w:cs="宋体"/>
          <w:sz w:val="24"/>
        </w:rPr>
      </w:pPr>
      <w:r>
        <w:rPr>
          <w:rFonts w:hint="eastAsia" w:ascii="宋体" w:hAnsi="宋体" w:cs="宋体"/>
          <w:sz w:val="24"/>
        </w:rPr>
        <w:t xml:space="preserve">（1）为招标人不具有独立法人资格的附属机构（单位）； </w:t>
      </w:r>
    </w:p>
    <w:p>
      <w:pPr>
        <w:spacing w:line="560" w:lineRule="exact"/>
        <w:ind w:firstLine="820" w:firstLineChars="342"/>
        <w:rPr>
          <w:rFonts w:ascii="宋体" w:hAnsi="宋体" w:cs="宋体"/>
          <w:sz w:val="24"/>
        </w:rPr>
      </w:pPr>
      <w:r>
        <w:rPr>
          <w:rFonts w:hint="eastAsia" w:ascii="宋体" w:hAnsi="宋体" w:cs="宋体"/>
          <w:sz w:val="24"/>
        </w:rPr>
        <w:t xml:space="preserve">（2）为本标段前期准备提供设计或咨询服务的，但设计施工总承包的除外； </w:t>
      </w:r>
    </w:p>
    <w:p>
      <w:pPr>
        <w:spacing w:line="560" w:lineRule="exact"/>
        <w:ind w:firstLine="820" w:firstLineChars="342"/>
        <w:rPr>
          <w:rFonts w:ascii="宋体" w:hAnsi="宋体" w:cs="宋体"/>
          <w:sz w:val="24"/>
        </w:rPr>
      </w:pPr>
      <w:r>
        <w:rPr>
          <w:rFonts w:hint="eastAsia" w:ascii="宋体" w:hAnsi="宋体" w:cs="宋体"/>
          <w:sz w:val="24"/>
        </w:rPr>
        <w:t>（3）为本标段的监理人；</w:t>
      </w:r>
    </w:p>
    <w:p>
      <w:pPr>
        <w:spacing w:line="560" w:lineRule="exact"/>
        <w:ind w:firstLine="820" w:firstLineChars="342"/>
        <w:rPr>
          <w:rFonts w:ascii="宋体" w:hAnsi="宋体" w:cs="宋体"/>
          <w:sz w:val="24"/>
        </w:rPr>
      </w:pPr>
      <w:r>
        <w:rPr>
          <w:rFonts w:hint="eastAsia" w:ascii="宋体" w:hAnsi="宋体" w:cs="宋体"/>
          <w:sz w:val="24"/>
        </w:rPr>
        <w:t xml:space="preserve">（4）为本标段的代建人； </w:t>
      </w:r>
    </w:p>
    <w:p>
      <w:pPr>
        <w:spacing w:line="560" w:lineRule="exact"/>
        <w:ind w:firstLine="820" w:firstLineChars="342"/>
        <w:rPr>
          <w:rFonts w:ascii="宋体" w:hAnsi="宋体" w:cs="宋体"/>
          <w:sz w:val="24"/>
        </w:rPr>
      </w:pPr>
      <w:r>
        <w:rPr>
          <w:rFonts w:hint="eastAsia" w:ascii="宋体" w:hAnsi="宋体" w:cs="宋体"/>
          <w:sz w:val="24"/>
        </w:rPr>
        <w:t xml:space="preserve">（5）为本标段提供招标代理服务的； </w:t>
      </w:r>
    </w:p>
    <w:p>
      <w:pPr>
        <w:spacing w:line="560" w:lineRule="exact"/>
        <w:ind w:firstLine="820" w:firstLineChars="342"/>
        <w:rPr>
          <w:rFonts w:ascii="宋体" w:hAnsi="宋体" w:cs="宋体"/>
          <w:sz w:val="24"/>
        </w:rPr>
      </w:pPr>
      <w:r>
        <w:rPr>
          <w:rFonts w:hint="eastAsia" w:ascii="宋体" w:hAnsi="宋体" w:cs="宋体"/>
          <w:sz w:val="24"/>
        </w:rPr>
        <w:t>（6）与本标段的监理人或代建人或招标代理机构同为一个法定代表人的；</w:t>
      </w:r>
    </w:p>
    <w:p>
      <w:pPr>
        <w:spacing w:line="560" w:lineRule="exact"/>
        <w:ind w:firstLine="820" w:firstLineChars="342"/>
        <w:rPr>
          <w:rFonts w:ascii="宋体" w:hAnsi="宋体" w:cs="宋体"/>
          <w:sz w:val="24"/>
        </w:rPr>
      </w:pPr>
      <w:r>
        <w:rPr>
          <w:rFonts w:hint="eastAsia" w:ascii="宋体" w:hAnsi="宋体" w:cs="宋体"/>
          <w:sz w:val="24"/>
        </w:rPr>
        <w:t>（7）与本标段的监理人或代建人或招标代理机构相互控股或参股的；</w:t>
      </w:r>
    </w:p>
    <w:p>
      <w:pPr>
        <w:spacing w:line="560" w:lineRule="exact"/>
        <w:ind w:firstLine="820" w:firstLineChars="342"/>
        <w:rPr>
          <w:rFonts w:ascii="宋体" w:hAnsi="宋体" w:cs="宋体"/>
          <w:sz w:val="24"/>
        </w:rPr>
      </w:pPr>
      <w:r>
        <w:rPr>
          <w:rFonts w:hint="eastAsia" w:ascii="宋体" w:hAnsi="宋体" w:cs="宋体"/>
          <w:sz w:val="24"/>
        </w:rPr>
        <w:t>（8）与本标段的监理人或代建人或招标代理机构相互任职或工作的；</w:t>
      </w:r>
    </w:p>
    <w:p>
      <w:pPr>
        <w:spacing w:line="560" w:lineRule="exact"/>
        <w:ind w:firstLine="820" w:firstLineChars="342"/>
        <w:rPr>
          <w:rFonts w:ascii="宋体" w:hAnsi="宋体" w:cs="宋体"/>
          <w:sz w:val="24"/>
        </w:rPr>
      </w:pPr>
      <w:r>
        <w:rPr>
          <w:rFonts w:hint="eastAsia" w:ascii="宋体" w:hAnsi="宋体" w:cs="宋体"/>
          <w:sz w:val="24"/>
        </w:rPr>
        <w:t xml:space="preserve">（9）被责令停业的； </w:t>
      </w:r>
    </w:p>
    <w:p>
      <w:pPr>
        <w:spacing w:line="560" w:lineRule="exact"/>
        <w:ind w:firstLine="820" w:firstLineChars="342"/>
        <w:rPr>
          <w:rFonts w:ascii="宋体" w:hAnsi="宋体" w:cs="宋体"/>
          <w:sz w:val="24"/>
        </w:rPr>
      </w:pPr>
      <w:r>
        <w:rPr>
          <w:rFonts w:hint="eastAsia" w:ascii="宋体" w:hAnsi="宋体" w:cs="宋体"/>
          <w:sz w:val="24"/>
        </w:rPr>
        <w:t xml:space="preserve">（10）被暂停或取消投标资格的； </w:t>
      </w:r>
    </w:p>
    <w:p>
      <w:pPr>
        <w:spacing w:line="560" w:lineRule="exact"/>
        <w:ind w:firstLine="820" w:firstLineChars="342"/>
        <w:rPr>
          <w:rFonts w:ascii="宋体" w:hAnsi="宋体" w:cs="宋体"/>
          <w:sz w:val="24"/>
        </w:rPr>
      </w:pPr>
      <w:r>
        <w:rPr>
          <w:rFonts w:hint="eastAsia" w:ascii="宋体" w:hAnsi="宋体" w:cs="宋体"/>
          <w:sz w:val="24"/>
        </w:rPr>
        <w:t>（11）财产被接管或冻结的；</w:t>
      </w:r>
    </w:p>
    <w:p>
      <w:pPr>
        <w:spacing w:line="560" w:lineRule="exact"/>
        <w:ind w:firstLine="820" w:firstLineChars="342"/>
        <w:rPr>
          <w:rFonts w:ascii="宋体" w:hAnsi="宋体" w:cs="宋体"/>
          <w:sz w:val="24"/>
        </w:rPr>
      </w:pPr>
      <w:r>
        <w:rPr>
          <w:rFonts w:hint="eastAsia" w:ascii="宋体" w:hAnsi="宋体" w:cs="宋体"/>
          <w:sz w:val="24"/>
        </w:rPr>
        <w:t>（12）在最近三年内有骗取中标或严重违约或重大工程质量问题的。</w:t>
      </w:r>
    </w:p>
    <w:p>
      <w:pPr>
        <w:pStyle w:val="47"/>
        <w:spacing w:line="560" w:lineRule="exact"/>
        <w:rPr>
          <w:rFonts w:ascii="宋体" w:hAnsi="宋体" w:eastAsia="宋体"/>
          <w:szCs w:val="24"/>
        </w:rPr>
      </w:pPr>
      <w:bookmarkStart w:id="45" w:name="_Toc144974503"/>
      <w:bookmarkStart w:id="46" w:name="_Toc14005"/>
      <w:bookmarkStart w:id="47" w:name="_Toc152042311"/>
      <w:bookmarkStart w:id="48" w:name="_Toc14062"/>
      <w:bookmarkStart w:id="49" w:name="_Toc179632552"/>
      <w:bookmarkStart w:id="50" w:name="_Toc541"/>
      <w:bookmarkStart w:id="51" w:name="_Toc152045535"/>
      <w:r>
        <w:rPr>
          <w:rFonts w:hint="eastAsia" w:ascii="宋体" w:hAnsi="宋体" w:eastAsia="宋体"/>
          <w:szCs w:val="24"/>
        </w:rPr>
        <w:t>1.5 费用承担</w:t>
      </w:r>
      <w:bookmarkEnd w:id="45"/>
      <w:bookmarkEnd w:id="46"/>
      <w:bookmarkEnd w:id="47"/>
      <w:bookmarkEnd w:id="48"/>
      <w:bookmarkEnd w:id="49"/>
      <w:bookmarkEnd w:id="50"/>
      <w:bookmarkEnd w:id="51"/>
    </w:p>
    <w:p>
      <w:pPr>
        <w:spacing w:line="560" w:lineRule="exact"/>
        <w:ind w:firstLine="480" w:firstLineChars="200"/>
        <w:rPr>
          <w:rFonts w:ascii="宋体" w:hAnsi="宋体" w:cs="宋体"/>
          <w:sz w:val="24"/>
        </w:rPr>
      </w:pPr>
      <w:r>
        <w:rPr>
          <w:rFonts w:hint="eastAsia" w:ascii="宋体" w:hAnsi="宋体" w:cs="宋体"/>
          <w:sz w:val="24"/>
        </w:rPr>
        <w:t>投标人准备和参加投标活动发生的费用自理。</w:t>
      </w:r>
    </w:p>
    <w:p>
      <w:pPr>
        <w:pStyle w:val="47"/>
        <w:spacing w:line="560" w:lineRule="exact"/>
        <w:rPr>
          <w:rFonts w:ascii="宋体" w:hAnsi="宋体" w:eastAsia="宋体"/>
          <w:szCs w:val="24"/>
        </w:rPr>
      </w:pPr>
      <w:bookmarkStart w:id="52" w:name="_Toc19815"/>
      <w:bookmarkStart w:id="53" w:name="_Toc15513"/>
      <w:bookmarkStart w:id="54" w:name="_Toc144974504"/>
      <w:bookmarkStart w:id="55" w:name="_Toc152042312"/>
      <w:bookmarkStart w:id="56" w:name="_Toc152045536"/>
      <w:bookmarkStart w:id="57" w:name="_Toc179632553"/>
      <w:bookmarkStart w:id="58" w:name="_Toc28529"/>
      <w:r>
        <w:rPr>
          <w:rFonts w:hint="eastAsia" w:ascii="宋体" w:hAnsi="宋体" w:eastAsia="宋体"/>
          <w:szCs w:val="24"/>
        </w:rPr>
        <w:t>1.6 保密</w:t>
      </w:r>
      <w:bookmarkEnd w:id="52"/>
      <w:bookmarkEnd w:id="53"/>
      <w:bookmarkEnd w:id="54"/>
      <w:bookmarkEnd w:id="55"/>
      <w:bookmarkEnd w:id="56"/>
      <w:bookmarkEnd w:id="57"/>
      <w:bookmarkEnd w:id="58"/>
    </w:p>
    <w:p>
      <w:pPr>
        <w:spacing w:line="560" w:lineRule="exact"/>
        <w:ind w:firstLine="480" w:firstLineChars="200"/>
        <w:rPr>
          <w:rFonts w:ascii="宋体" w:hAnsi="宋体" w:cs="宋体"/>
          <w:sz w:val="24"/>
        </w:rPr>
      </w:pPr>
      <w:r>
        <w:rPr>
          <w:rFonts w:hint="eastAsia" w:ascii="宋体" w:hAnsi="宋体" w:cs="宋体"/>
          <w:sz w:val="24"/>
        </w:rPr>
        <w:t xml:space="preserve">参与招标投标活动的各方应对招标文件和投标文件中的商业和技术等秘密保密，违者应对由此造成的后果承担法律责任。 </w:t>
      </w:r>
    </w:p>
    <w:p>
      <w:pPr>
        <w:pStyle w:val="47"/>
        <w:spacing w:line="560" w:lineRule="exact"/>
        <w:rPr>
          <w:rFonts w:ascii="宋体" w:hAnsi="宋体" w:eastAsia="宋体"/>
          <w:szCs w:val="24"/>
        </w:rPr>
      </w:pPr>
      <w:bookmarkStart w:id="59" w:name="_Toc144974505"/>
      <w:bookmarkStart w:id="60" w:name="_Toc179632554"/>
      <w:bookmarkStart w:id="61" w:name="_Toc28910"/>
      <w:bookmarkStart w:id="62" w:name="_Toc25299"/>
      <w:bookmarkStart w:id="63" w:name="_Toc19187"/>
      <w:bookmarkStart w:id="64" w:name="_Toc152042313"/>
      <w:bookmarkStart w:id="65" w:name="_Toc152045537"/>
      <w:r>
        <w:rPr>
          <w:rFonts w:hint="eastAsia" w:ascii="宋体" w:hAnsi="宋体" w:eastAsia="宋体"/>
          <w:szCs w:val="24"/>
        </w:rPr>
        <w:t>1.7 语言</w:t>
      </w:r>
      <w:bookmarkEnd w:id="59"/>
      <w:r>
        <w:rPr>
          <w:rFonts w:hint="eastAsia" w:ascii="宋体" w:hAnsi="宋体" w:eastAsia="宋体"/>
          <w:szCs w:val="24"/>
        </w:rPr>
        <w:t>文字</w:t>
      </w:r>
      <w:bookmarkEnd w:id="60"/>
      <w:bookmarkEnd w:id="61"/>
      <w:bookmarkEnd w:id="62"/>
      <w:bookmarkEnd w:id="63"/>
      <w:bookmarkEnd w:id="64"/>
      <w:bookmarkEnd w:id="65"/>
    </w:p>
    <w:p>
      <w:pPr>
        <w:spacing w:line="560" w:lineRule="exact"/>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pStyle w:val="47"/>
        <w:spacing w:line="560" w:lineRule="exact"/>
        <w:rPr>
          <w:rFonts w:ascii="宋体" w:hAnsi="宋体" w:eastAsia="宋体"/>
          <w:szCs w:val="24"/>
        </w:rPr>
      </w:pPr>
      <w:bookmarkStart w:id="66" w:name="_Toc2529"/>
      <w:bookmarkStart w:id="67" w:name="_Toc17318"/>
      <w:bookmarkStart w:id="68" w:name="_Toc179632555"/>
      <w:bookmarkStart w:id="69" w:name="_Toc152042314"/>
      <w:bookmarkStart w:id="70" w:name="_Toc144974506"/>
      <w:bookmarkStart w:id="71" w:name="_Toc152045538"/>
      <w:bookmarkStart w:id="72" w:name="_Toc14577"/>
      <w:r>
        <w:rPr>
          <w:rFonts w:hint="eastAsia" w:ascii="宋体" w:hAnsi="宋体" w:eastAsia="宋体"/>
          <w:szCs w:val="24"/>
        </w:rPr>
        <w:t>1.8 计量单位</w:t>
      </w:r>
      <w:bookmarkEnd w:id="66"/>
      <w:bookmarkEnd w:id="67"/>
      <w:bookmarkEnd w:id="68"/>
      <w:bookmarkEnd w:id="69"/>
      <w:bookmarkEnd w:id="70"/>
      <w:bookmarkEnd w:id="71"/>
      <w:bookmarkEnd w:id="72"/>
    </w:p>
    <w:p>
      <w:pPr>
        <w:spacing w:line="560" w:lineRule="exact"/>
        <w:ind w:firstLine="480" w:firstLineChars="200"/>
        <w:rPr>
          <w:rFonts w:ascii="宋体" w:hAnsi="宋体" w:cs="宋体"/>
          <w:sz w:val="24"/>
        </w:rPr>
      </w:pPr>
      <w:r>
        <w:rPr>
          <w:rFonts w:hint="eastAsia" w:ascii="宋体" w:hAnsi="宋体" w:cs="宋体"/>
          <w:sz w:val="24"/>
        </w:rPr>
        <w:t>所有计量均采用中华人民共和国法定计量单位。</w:t>
      </w:r>
    </w:p>
    <w:p>
      <w:pPr>
        <w:pStyle w:val="47"/>
        <w:spacing w:line="560" w:lineRule="exact"/>
        <w:rPr>
          <w:rFonts w:ascii="宋体" w:hAnsi="宋体" w:eastAsia="宋体"/>
          <w:szCs w:val="24"/>
        </w:rPr>
      </w:pPr>
      <w:bookmarkStart w:id="73" w:name="_Toc25831"/>
      <w:bookmarkStart w:id="74" w:name="_Toc179632556"/>
      <w:bookmarkStart w:id="75" w:name="_Toc21203"/>
      <w:bookmarkStart w:id="76" w:name="_Toc152042315"/>
      <w:bookmarkStart w:id="77" w:name="_Toc152045539"/>
      <w:bookmarkStart w:id="78" w:name="_Toc144974507"/>
      <w:bookmarkStart w:id="79" w:name="_Toc29977"/>
      <w:r>
        <w:rPr>
          <w:rFonts w:hint="eastAsia" w:ascii="宋体" w:hAnsi="宋体" w:eastAsia="宋体"/>
          <w:szCs w:val="24"/>
        </w:rPr>
        <w:t>1.9 踏勘现场</w:t>
      </w:r>
      <w:bookmarkEnd w:id="73"/>
      <w:bookmarkEnd w:id="74"/>
      <w:bookmarkEnd w:id="75"/>
      <w:bookmarkEnd w:id="76"/>
      <w:bookmarkEnd w:id="77"/>
      <w:bookmarkEnd w:id="78"/>
      <w:bookmarkEnd w:id="79"/>
    </w:p>
    <w:p>
      <w:pPr>
        <w:spacing w:line="560" w:lineRule="exact"/>
        <w:ind w:firstLine="480" w:firstLineChars="200"/>
        <w:rPr>
          <w:rFonts w:ascii="宋体" w:hAnsi="宋体" w:cs="宋体"/>
          <w:sz w:val="24"/>
        </w:rPr>
      </w:pPr>
      <w:r>
        <w:rPr>
          <w:rFonts w:hint="eastAsia" w:ascii="宋体" w:hAnsi="宋体" w:cs="宋体"/>
          <w:sz w:val="24"/>
        </w:rPr>
        <w:t xml:space="preserve">1.9.1 投标人须知前附表规定组织踏勘现场的，招标人按投标人须知前附表规定的时间、地点组织投标人踏勘项目现场。 </w:t>
      </w:r>
    </w:p>
    <w:p>
      <w:pPr>
        <w:spacing w:line="560" w:lineRule="exact"/>
        <w:ind w:firstLine="480" w:firstLineChars="200"/>
        <w:rPr>
          <w:rFonts w:ascii="宋体" w:hAnsi="宋体" w:cs="宋体"/>
          <w:sz w:val="24"/>
        </w:rPr>
      </w:pPr>
      <w:r>
        <w:rPr>
          <w:rFonts w:hint="eastAsia" w:ascii="宋体" w:hAnsi="宋体" w:cs="宋体"/>
          <w:sz w:val="24"/>
        </w:rPr>
        <w:t>1.9.2 投标人踏勘现场发生的费用自理。</w:t>
      </w:r>
    </w:p>
    <w:p>
      <w:pPr>
        <w:spacing w:line="560" w:lineRule="exact"/>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spacing w:line="560" w:lineRule="exact"/>
        <w:ind w:firstLine="480" w:firstLineChars="200"/>
        <w:rPr>
          <w:rFonts w:ascii="宋体" w:hAnsi="宋体" w:cs="宋体"/>
          <w:sz w:val="24"/>
        </w:rPr>
      </w:pPr>
      <w:r>
        <w:rPr>
          <w:rFonts w:hint="eastAsia" w:ascii="宋体" w:hAnsi="宋体" w:cs="宋体"/>
          <w:sz w:val="24"/>
        </w:rPr>
        <w:t>1.9.4 招标人在踏勘现场中介绍的工程场地和相关的周边环境情况，供投标人在编制投标文件时参考，招标人不对投标人据此作出的判断和决策负责。</w:t>
      </w:r>
    </w:p>
    <w:p>
      <w:pPr>
        <w:pStyle w:val="47"/>
        <w:spacing w:line="560" w:lineRule="exact"/>
        <w:rPr>
          <w:rFonts w:ascii="宋体" w:hAnsi="宋体" w:eastAsia="宋体"/>
          <w:szCs w:val="24"/>
        </w:rPr>
      </w:pPr>
      <w:bookmarkStart w:id="80" w:name="_Toc152042316"/>
      <w:bookmarkStart w:id="81" w:name="_Toc14759"/>
      <w:bookmarkStart w:id="82" w:name="_Toc179632557"/>
      <w:bookmarkStart w:id="83" w:name="_Toc152045540"/>
      <w:bookmarkStart w:id="84" w:name="_Toc10197"/>
      <w:bookmarkStart w:id="85" w:name="_Toc21080"/>
      <w:bookmarkStart w:id="86" w:name="_Toc144974508"/>
      <w:r>
        <w:rPr>
          <w:rFonts w:hint="eastAsia" w:ascii="宋体" w:hAnsi="宋体" w:eastAsia="宋体"/>
          <w:szCs w:val="24"/>
        </w:rPr>
        <w:t>1.10 投标预备会</w:t>
      </w:r>
      <w:bookmarkEnd w:id="80"/>
      <w:bookmarkEnd w:id="81"/>
      <w:bookmarkEnd w:id="82"/>
      <w:bookmarkEnd w:id="83"/>
      <w:bookmarkEnd w:id="84"/>
      <w:bookmarkEnd w:id="85"/>
      <w:bookmarkEnd w:id="86"/>
    </w:p>
    <w:p>
      <w:pPr>
        <w:spacing w:line="560" w:lineRule="exact"/>
        <w:ind w:firstLine="480" w:firstLineChars="200"/>
        <w:rPr>
          <w:rFonts w:ascii="宋体" w:hAnsi="宋体" w:cs="宋体"/>
          <w:sz w:val="24"/>
        </w:rPr>
      </w:pPr>
      <w:r>
        <w:rPr>
          <w:rFonts w:hint="eastAsia" w:ascii="宋体" w:hAnsi="宋体" w:cs="宋体"/>
          <w:sz w:val="24"/>
        </w:rPr>
        <w:t>1.10.1 投标人须知前附表规定召开投标预备会的，招标人按投标人须知前附表规定的时间和地点召开投标预备会，澄清投标人提出的问题。</w:t>
      </w:r>
    </w:p>
    <w:p>
      <w:pPr>
        <w:spacing w:line="560" w:lineRule="exact"/>
        <w:ind w:firstLine="480" w:firstLineChars="200"/>
        <w:rPr>
          <w:rFonts w:ascii="宋体" w:hAnsi="宋体" w:cs="宋体"/>
          <w:sz w:val="24"/>
        </w:rPr>
      </w:pPr>
      <w:r>
        <w:rPr>
          <w:rFonts w:hint="eastAsia" w:ascii="宋体" w:hAnsi="宋体" w:cs="宋体"/>
          <w:sz w:val="24"/>
        </w:rPr>
        <w:t>1.10.2 投标人应在投标人须知前附表规定的时间前，以书面形式将提出的问题送达招标人，以便招标人在会议期间澄清。</w:t>
      </w:r>
    </w:p>
    <w:p>
      <w:pPr>
        <w:spacing w:line="560" w:lineRule="exact"/>
        <w:ind w:firstLine="480" w:firstLineChars="200"/>
        <w:rPr>
          <w:rFonts w:ascii="宋体" w:hAnsi="宋体" w:cs="宋体"/>
          <w:sz w:val="24"/>
        </w:rPr>
      </w:pPr>
      <w:r>
        <w:rPr>
          <w:rFonts w:hint="eastAsia" w:ascii="宋体" w:hAnsi="宋体" w:cs="宋体"/>
          <w:sz w:val="24"/>
        </w:rPr>
        <w:t>1.10.3 投标预备会后，招标人在投标人须知前附表规定的时间内，将对投标人所提问题的澄清，以书面方式通知所有购买招标文件的投标人。该澄清内容为招标文件的组成部分。</w:t>
      </w:r>
    </w:p>
    <w:p>
      <w:pPr>
        <w:spacing w:line="560" w:lineRule="exact"/>
        <w:rPr>
          <w:rFonts w:ascii="宋体" w:hAnsi="宋体" w:cs="宋体"/>
          <w:sz w:val="24"/>
        </w:rPr>
      </w:pPr>
      <w:r>
        <w:rPr>
          <w:rFonts w:hint="eastAsia" w:ascii="宋体" w:hAnsi="宋体" w:cs="宋体"/>
          <w:sz w:val="24"/>
        </w:rPr>
        <w:t>1.11 分包</w:t>
      </w:r>
    </w:p>
    <w:p>
      <w:pPr>
        <w:spacing w:line="560" w:lineRule="exact"/>
        <w:rPr>
          <w:rFonts w:ascii="宋体" w:hAnsi="宋体" w:cs="宋体"/>
          <w:sz w:val="24"/>
        </w:rPr>
      </w:pPr>
      <w:r>
        <w:rPr>
          <w:rFonts w:hint="eastAsia" w:ascii="宋体" w:hAnsi="宋体" w:cs="宋体"/>
          <w:sz w:val="24"/>
        </w:rPr>
        <w:t>不允许</w:t>
      </w:r>
    </w:p>
    <w:p>
      <w:pPr>
        <w:spacing w:line="560" w:lineRule="exact"/>
        <w:rPr>
          <w:rFonts w:ascii="宋体" w:hAnsi="宋体" w:cs="宋体"/>
          <w:sz w:val="24"/>
        </w:rPr>
      </w:pPr>
      <w:r>
        <w:rPr>
          <w:rFonts w:hint="eastAsia" w:ascii="宋体" w:hAnsi="宋体" w:cs="宋体"/>
          <w:sz w:val="24"/>
        </w:rPr>
        <w:t>1.12 偏离</w:t>
      </w:r>
    </w:p>
    <w:p>
      <w:pPr>
        <w:spacing w:line="560" w:lineRule="exact"/>
        <w:rPr>
          <w:rFonts w:ascii="宋体" w:hAnsi="宋体" w:cs="宋体"/>
          <w:sz w:val="24"/>
        </w:rPr>
      </w:pPr>
      <w:r>
        <w:rPr>
          <w:rFonts w:hint="eastAsia" w:ascii="宋体" w:hAnsi="宋体" w:cs="宋体"/>
          <w:sz w:val="24"/>
        </w:rPr>
        <w:t xml:space="preserve">    投标人须知前附表允许投标文件偏离招标文件某些要求的，偏离应当符合招标文件规定的偏离范围和幅度。</w:t>
      </w:r>
    </w:p>
    <w:p>
      <w:pPr>
        <w:pStyle w:val="44"/>
        <w:rPr>
          <w:rFonts w:ascii="宋体" w:hAnsi="宋体"/>
          <w:b/>
          <w:sz w:val="32"/>
          <w:szCs w:val="32"/>
        </w:rPr>
      </w:pPr>
      <w:bookmarkStart w:id="87" w:name="_Toc152045542"/>
      <w:bookmarkStart w:id="88" w:name="_Toc179632560"/>
      <w:bookmarkStart w:id="89" w:name="_Toc152042318"/>
      <w:bookmarkStart w:id="90" w:name="_Toc9014"/>
      <w:bookmarkStart w:id="91" w:name="_Toc17270"/>
      <w:bookmarkStart w:id="92" w:name="_Toc144974510"/>
      <w:bookmarkStart w:id="93" w:name="_Toc20667"/>
      <w:r>
        <w:rPr>
          <w:rFonts w:hint="eastAsia" w:ascii="宋体" w:hAnsi="宋体"/>
          <w:b/>
          <w:sz w:val="32"/>
          <w:szCs w:val="32"/>
        </w:rPr>
        <w:t>2. 招标文件</w:t>
      </w:r>
      <w:bookmarkEnd w:id="87"/>
      <w:bookmarkEnd w:id="88"/>
      <w:bookmarkEnd w:id="89"/>
      <w:bookmarkEnd w:id="90"/>
      <w:bookmarkEnd w:id="91"/>
      <w:bookmarkEnd w:id="92"/>
      <w:bookmarkEnd w:id="93"/>
    </w:p>
    <w:p>
      <w:pPr>
        <w:pStyle w:val="47"/>
        <w:spacing w:line="560" w:lineRule="exact"/>
        <w:rPr>
          <w:rFonts w:ascii="宋体" w:hAnsi="宋体" w:eastAsia="宋体"/>
          <w:szCs w:val="24"/>
        </w:rPr>
      </w:pPr>
      <w:bookmarkStart w:id="94" w:name="_Toc15119"/>
      <w:bookmarkStart w:id="95" w:name="_Toc152042319"/>
      <w:bookmarkStart w:id="96" w:name="_Toc23434"/>
      <w:bookmarkStart w:id="97" w:name="_Toc30695"/>
      <w:bookmarkStart w:id="98" w:name="_Toc152045543"/>
      <w:bookmarkStart w:id="99" w:name="_Toc179632561"/>
      <w:bookmarkStart w:id="100" w:name="_Toc144974511"/>
      <w:r>
        <w:rPr>
          <w:rFonts w:hint="eastAsia" w:ascii="宋体" w:hAnsi="宋体" w:eastAsia="宋体"/>
          <w:szCs w:val="24"/>
        </w:rPr>
        <w:t>2.1 招标文件的组成</w:t>
      </w:r>
      <w:bookmarkEnd w:id="94"/>
      <w:bookmarkEnd w:id="95"/>
      <w:bookmarkEnd w:id="96"/>
      <w:bookmarkEnd w:id="97"/>
      <w:bookmarkEnd w:id="98"/>
      <w:bookmarkEnd w:id="99"/>
      <w:bookmarkEnd w:id="100"/>
    </w:p>
    <w:p>
      <w:pPr>
        <w:spacing w:line="560" w:lineRule="exact"/>
        <w:ind w:firstLine="480"/>
        <w:rPr>
          <w:rFonts w:ascii="宋体" w:hAnsi="宋体" w:cs="宋体"/>
          <w:sz w:val="24"/>
        </w:rPr>
      </w:pPr>
      <w:r>
        <w:rPr>
          <w:rFonts w:hint="eastAsia" w:ascii="宋体" w:hAnsi="宋体" w:cs="宋体"/>
          <w:sz w:val="24"/>
        </w:rPr>
        <w:t>本招标文件包括：</w:t>
      </w:r>
    </w:p>
    <w:p>
      <w:pPr>
        <w:spacing w:line="560" w:lineRule="exact"/>
        <w:ind w:firstLine="480"/>
        <w:rPr>
          <w:rFonts w:ascii="宋体" w:hAnsi="宋体" w:cs="宋体"/>
          <w:sz w:val="24"/>
        </w:rPr>
      </w:pPr>
      <w:r>
        <w:rPr>
          <w:rFonts w:hint="eastAsia" w:ascii="宋体" w:hAnsi="宋体" w:cs="宋体"/>
          <w:sz w:val="24"/>
        </w:rPr>
        <w:t>（1）招标公告；</w:t>
      </w:r>
    </w:p>
    <w:p>
      <w:pPr>
        <w:spacing w:line="560" w:lineRule="exact"/>
        <w:ind w:firstLine="480"/>
        <w:rPr>
          <w:rFonts w:ascii="宋体" w:hAnsi="宋体" w:cs="宋体"/>
          <w:sz w:val="24"/>
        </w:rPr>
      </w:pPr>
      <w:r>
        <w:rPr>
          <w:rFonts w:hint="eastAsia" w:ascii="宋体" w:hAnsi="宋体" w:cs="宋体"/>
          <w:sz w:val="24"/>
        </w:rPr>
        <w:t>（2）投标人须知；</w:t>
      </w:r>
    </w:p>
    <w:p>
      <w:pPr>
        <w:spacing w:line="560" w:lineRule="exact"/>
        <w:ind w:firstLine="480"/>
        <w:rPr>
          <w:rFonts w:ascii="宋体" w:hAnsi="宋体" w:cs="宋体"/>
          <w:sz w:val="24"/>
        </w:rPr>
      </w:pPr>
      <w:r>
        <w:rPr>
          <w:rFonts w:hint="eastAsia" w:ascii="宋体" w:hAnsi="宋体" w:cs="宋体"/>
          <w:sz w:val="24"/>
        </w:rPr>
        <w:t>（3）评标办法；</w:t>
      </w:r>
    </w:p>
    <w:p>
      <w:pPr>
        <w:spacing w:line="560" w:lineRule="exact"/>
        <w:ind w:firstLine="480"/>
        <w:rPr>
          <w:rFonts w:ascii="宋体" w:hAnsi="宋体" w:cs="宋体"/>
          <w:sz w:val="24"/>
        </w:rPr>
      </w:pPr>
      <w:r>
        <w:rPr>
          <w:rFonts w:hint="eastAsia" w:ascii="宋体" w:hAnsi="宋体" w:cs="宋体"/>
          <w:sz w:val="24"/>
        </w:rPr>
        <w:t>（4）合同条款及格式；</w:t>
      </w:r>
    </w:p>
    <w:p>
      <w:pPr>
        <w:spacing w:line="560" w:lineRule="exact"/>
        <w:ind w:firstLine="480"/>
        <w:rPr>
          <w:rFonts w:ascii="宋体" w:hAnsi="宋体" w:cs="宋体"/>
          <w:sz w:val="24"/>
        </w:rPr>
      </w:pPr>
      <w:r>
        <w:rPr>
          <w:rFonts w:hint="eastAsia" w:ascii="宋体" w:hAnsi="宋体" w:cs="宋体"/>
          <w:sz w:val="24"/>
        </w:rPr>
        <w:t xml:space="preserve">（5）技术标准和要求； </w:t>
      </w:r>
    </w:p>
    <w:p>
      <w:pPr>
        <w:spacing w:line="560" w:lineRule="exact"/>
        <w:ind w:firstLine="480"/>
        <w:rPr>
          <w:rFonts w:ascii="宋体" w:hAnsi="宋体" w:cs="宋体"/>
          <w:sz w:val="24"/>
        </w:rPr>
      </w:pPr>
      <w:r>
        <w:rPr>
          <w:rFonts w:hint="eastAsia" w:ascii="宋体" w:hAnsi="宋体" w:cs="宋体"/>
          <w:sz w:val="24"/>
        </w:rPr>
        <w:t>（6）投标文件格式。</w:t>
      </w:r>
    </w:p>
    <w:p>
      <w:pPr>
        <w:spacing w:line="560" w:lineRule="exact"/>
        <w:ind w:firstLine="480" w:firstLineChars="200"/>
        <w:rPr>
          <w:rFonts w:ascii="宋体" w:hAnsi="宋体" w:cs="宋体"/>
          <w:sz w:val="24"/>
        </w:rPr>
      </w:pPr>
      <w:r>
        <w:rPr>
          <w:rFonts w:hint="eastAsia" w:ascii="宋体" w:hAnsi="宋体" w:cs="宋体"/>
          <w:sz w:val="24"/>
        </w:rPr>
        <w:t>根据本章第1.10款、第2.2款和第2.3款对招标文件所作的澄清、修改，构成招标文件的组成部分。</w:t>
      </w:r>
      <w:bookmarkStart w:id="101" w:name="_Toc144974512"/>
      <w:bookmarkStart w:id="102" w:name="_Toc152042320"/>
      <w:bookmarkStart w:id="103" w:name="_Toc30717"/>
      <w:bookmarkStart w:id="104" w:name="_Toc152045544"/>
      <w:bookmarkStart w:id="105" w:name="_Toc18275"/>
      <w:bookmarkStart w:id="106" w:name="_Toc179632562"/>
    </w:p>
    <w:p>
      <w:pPr>
        <w:spacing w:line="560" w:lineRule="exact"/>
        <w:rPr>
          <w:rFonts w:ascii="宋体" w:hAnsi="宋体" w:cs="宋体"/>
          <w:sz w:val="24"/>
        </w:rPr>
      </w:pPr>
      <w:r>
        <w:rPr>
          <w:rFonts w:hint="eastAsia" w:ascii="宋体" w:hAnsi="宋体" w:cs="宋体"/>
          <w:sz w:val="24"/>
        </w:rPr>
        <w:t>2.2 招标文件的澄清</w:t>
      </w:r>
      <w:bookmarkEnd w:id="101"/>
      <w:bookmarkEnd w:id="102"/>
      <w:bookmarkEnd w:id="103"/>
      <w:bookmarkEnd w:id="104"/>
      <w:bookmarkEnd w:id="105"/>
      <w:bookmarkEnd w:id="106"/>
      <w:bookmarkStart w:id="107" w:name="_Toc144974513"/>
      <w:bookmarkStart w:id="108" w:name="_Toc179632563"/>
      <w:bookmarkStart w:id="109" w:name="_Toc152045545"/>
      <w:bookmarkStart w:id="110" w:name="_Toc152042321"/>
      <w:bookmarkStart w:id="111" w:name="_Toc29307"/>
      <w:bookmarkStart w:id="112" w:name="_Toc17759"/>
    </w:p>
    <w:p>
      <w:pPr>
        <w:spacing w:line="560" w:lineRule="exact"/>
        <w:ind w:firstLine="480" w:firstLineChars="200"/>
        <w:rPr>
          <w:rFonts w:ascii="宋体" w:hAnsi="宋体" w:cs="宋体"/>
          <w:sz w:val="24"/>
        </w:rPr>
      </w:pPr>
      <w:r>
        <w:rPr>
          <w:rFonts w:hint="eastAsia" w:ascii="宋体" w:hAnsi="宋体" w:cs="宋体"/>
          <w:sz w:val="24"/>
        </w:rPr>
        <w:t>2.2.1.投标人下载招标文件后，应仔细阅读和检查招标文件的全部内容。如发现缺页或附件不全，应及时向招标人提出，以便补齐。如有疑问，应在投标人须知前附表规定的时间前在“</w:t>
      </w:r>
      <w:r>
        <w:rPr>
          <w:rFonts w:hint="eastAsia" w:ascii="宋体" w:hAnsi="宋体" w:cs="宋体"/>
          <w:sz w:val="24"/>
          <w:lang w:val="en-US" w:eastAsia="zh-CN"/>
        </w:rPr>
        <w:t>邓州市</w:t>
      </w:r>
      <w:r>
        <w:rPr>
          <w:rFonts w:hint="eastAsia" w:ascii="宋体" w:hAnsi="宋体" w:cs="宋体"/>
          <w:sz w:val="24"/>
        </w:rPr>
        <w:t>公共资源交易中心”电子交易平台进行提问，要求招标人对招标文件予以澄清，如无疑问，将视为认可招标文件全部内容。</w:t>
      </w:r>
    </w:p>
    <w:p>
      <w:pPr>
        <w:spacing w:line="560" w:lineRule="exact"/>
        <w:ind w:firstLine="480" w:firstLineChars="200"/>
        <w:rPr>
          <w:rFonts w:ascii="宋体" w:hAnsi="宋体" w:cs="宋体"/>
          <w:sz w:val="24"/>
        </w:rPr>
      </w:pPr>
      <w:r>
        <w:rPr>
          <w:rFonts w:hint="eastAsia" w:ascii="宋体" w:hAnsi="宋体" w:cs="宋体"/>
          <w:sz w:val="24"/>
        </w:rPr>
        <w:t>2.2.2.招标文件的澄清将在投标人须知前附表规定的时间前在“</w:t>
      </w:r>
      <w:r>
        <w:rPr>
          <w:rFonts w:hint="eastAsia" w:ascii="宋体" w:hAnsi="宋体" w:cs="宋体"/>
          <w:sz w:val="24"/>
          <w:lang w:val="en-US" w:eastAsia="zh-CN"/>
        </w:rPr>
        <w:t>邓州市</w:t>
      </w:r>
      <w:r>
        <w:rPr>
          <w:rFonts w:hint="eastAsia" w:ascii="宋体" w:hAnsi="宋体" w:cs="宋体"/>
          <w:sz w:val="24"/>
        </w:rPr>
        <w:t>公共资源交易中心”电子交易平台公布给所有购买招标文件的投标人，但不指明澄清问题的来源。</w:t>
      </w:r>
    </w:p>
    <w:p>
      <w:pPr>
        <w:spacing w:line="560" w:lineRule="exact"/>
        <w:ind w:firstLine="480" w:firstLineChars="200"/>
        <w:rPr>
          <w:rFonts w:ascii="宋体" w:hAnsi="宋体" w:cs="宋体"/>
          <w:sz w:val="24"/>
        </w:rPr>
      </w:pPr>
      <w:r>
        <w:rPr>
          <w:rFonts w:hint="eastAsia" w:ascii="宋体" w:hAnsi="宋体" w:cs="宋体"/>
          <w:sz w:val="24"/>
        </w:rPr>
        <w:t>2.2.3.投标人在收到澄清后，应按投标人须知前附表规定的时间和形式通知招标人，确认已收到该澄清。</w:t>
      </w:r>
    </w:p>
    <w:p>
      <w:pPr>
        <w:spacing w:line="560" w:lineRule="exact"/>
        <w:ind w:firstLine="480" w:firstLineChars="200"/>
        <w:rPr>
          <w:rFonts w:ascii="宋体" w:hAnsi="宋体" w:cs="宋体"/>
          <w:sz w:val="24"/>
        </w:rPr>
      </w:pPr>
      <w:r>
        <w:rPr>
          <w:rFonts w:hint="eastAsia" w:ascii="宋体" w:hAnsi="宋体" w:cs="宋体"/>
          <w:sz w:val="24"/>
        </w:rPr>
        <w:t>2.2.4.因“</w:t>
      </w:r>
      <w:r>
        <w:rPr>
          <w:rFonts w:hint="eastAsia" w:ascii="宋体" w:hAnsi="宋体" w:cs="宋体"/>
          <w:sz w:val="24"/>
          <w:lang w:val="en-US" w:eastAsia="zh-CN"/>
        </w:rPr>
        <w:t>邓州市</w:t>
      </w:r>
      <w:r>
        <w:rPr>
          <w:rFonts w:hint="eastAsia" w:ascii="宋体" w:hAnsi="宋体" w:cs="宋体"/>
          <w:sz w:val="24"/>
        </w:rPr>
        <w:t>公共资源交易中心”电子交易平台在投标截止时间前具有保密性，投标人在投标截止时间前须自行查看项目进展、招标文件的澄清及修改等，因投标人未及时查看而造成的后果自负。</w:t>
      </w:r>
    </w:p>
    <w:p>
      <w:pPr>
        <w:pStyle w:val="47"/>
        <w:spacing w:line="560" w:lineRule="exact"/>
        <w:rPr>
          <w:rFonts w:ascii="宋体" w:hAnsi="宋体" w:eastAsia="宋体"/>
          <w:szCs w:val="24"/>
        </w:rPr>
      </w:pPr>
      <w:bookmarkStart w:id="113" w:name="_Toc25015"/>
      <w:r>
        <w:rPr>
          <w:rFonts w:hint="eastAsia" w:ascii="宋体" w:hAnsi="宋体" w:eastAsia="宋体"/>
          <w:szCs w:val="24"/>
        </w:rPr>
        <w:t>2.3 招标文件的修改</w:t>
      </w:r>
      <w:bookmarkEnd w:id="107"/>
      <w:bookmarkEnd w:id="108"/>
      <w:bookmarkEnd w:id="109"/>
      <w:bookmarkEnd w:id="110"/>
      <w:bookmarkEnd w:id="111"/>
      <w:bookmarkEnd w:id="112"/>
      <w:bookmarkEnd w:id="113"/>
    </w:p>
    <w:p>
      <w:pPr>
        <w:spacing w:line="560" w:lineRule="exact"/>
        <w:ind w:firstLine="480" w:firstLineChars="200"/>
        <w:rPr>
          <w:rFonts w:ascii="宋体" w:hAnsi="宋体" w:cs="宋体"/>
          <w:sz w:val="24"/>
        </w:rPr>
      </w:pPr>
      <w:bookmarkStart w:id="114" w:name="_Toc24044"/>
      <w:bookmarkStart w:id="115" w:name="_Toc10489"/>
      <w:bookmarkStart w:id="116" w:name="_Toc152042324"/>
      <w:bookmarkStart w:id="117" w:name="_Toc144974516"/>
      <w:bookmarkStart w:id="118" w:name="_Toc179632566"/>
      <w:bookmarkStart w:id="119" w:name="_Toc152045548"/>
      <w:r>
        <w:rPr>
          <w:rFonts w:hint="eastAsia" w:ascii="宋体" w:hAnsi="宋体" w:cs="宋体"/>
          <w:sz w:val="24"/>
        </w:rPr>
        <w:t>2.3.1.在投标截止时间15天前，招标人可主动地或在解答投标人提出的澄清问题时修改招标文件，招标文件的修改将在“</w:t>
      </w:r>
      <w:r>
        <w:rPr>
          <w:rFonts w:hint="eastAsia" w:ascii="宋体" w:hAnsi="宋体" w:cs="宋体"/>
          <w:sz w:val="24"/>
          <w:lang w:val="en-US" w:eastAsia="zh-CN"/>
        </w:rPr>
        <w:t>邓州市</w:t>
      </w:r>
      <w:r>
        <w:rPr>
          <w:rFonts w:hint="eastAsia" w:ascii="宋体" w:hAnsi="宋体" w:cs="宋体"/>
          <w:sz w:val="24"/>
        </w:rPr>
        <w:t>公共资源交易中心”电子交易平台公布给所有购买招标文件的投标人。如果修改发出的时间距投标截止时间不足15天，并且修改内容影响投标文件编制的，投标人应在“</w:t>
      </w:r>
      <w:r>
        <w:rPr>
          <w:rFonts w:hint="eastAsia" w:ascii="宋体" w:hAnsi="宋体" w:cs="宋体"/>
          <w:sz w:val="24"/>
          <w:lang w:val="en-US" w:eastAsia="zh-CN"/>
        </w:rPr>
        <w:t>邓州市</w:t>
      </w:r>
      <w:r>
        <w:rPr>
          <w:rFonts w:hint="eastAsia" w:ascii="宋体" w:hAnsi="宋体" w:cs="宋体"/>
          <w:sz w:val="24"/>
        </w:rPr>
        <w:t xml:space="preserve">公共资源交易中心”电子交易平台通知招标代理机构，招标人相应延长投标截止时间。 </w:t>
      </w:r>
    </w:p>
    <w:p>
      <w:pPr>
        <w:spacing w:line="560" w:lineRule="exact"/>
        <w:ind w:firstLine="480" w:firstLineChars="200"/>
        <w:rPr>
          <w:rFonts w:ascii="宋体" w:hAnsi="宋体" w:cs="宋体"/>
          <w:sz w:val="24"/>
        </w:rPr>
      </w:pPr>
      <w:r>
        <w:rPr>
          <w:rFonts w:hint="eastAsia" w:ascii="宋体" w:hAnsi="宋体" w:cs="宋体"/>
          <w:sz w:val="24"/>
        </w:rPr>
        <w:t>2.3.2.投标人收到修改内容后，应在投标人须知前附表规定的时间内在“</w:t>
      </w:r>
      <w:r>
        <w:rPr>
          <w:rFonts w:hint="eastAsia" w:ascii="宋体" w:hAnsi="宋体" w:cs="宋体"/>
          <w:sz w:val="24"/>
          <w:lang w:val="en-US" w:eastAsia="zh-CN"/>
        </w:rPr>
        <w:t>邓州市</w:t>
      </w:r>
      <w:r>
        <w:rPr>
          <w:rFonts w:hint="eastAsia" w:ascii="宋体" w:hAnsi="宋体" w:cs="宋体"/>
          <w:sz w:val="24"/>
        </w:rPr>
        <w:t>公共资源交易中心”电子交易平台回复，确认已收到该修改。</w:t>
      </w:r>
    </w:p>
    <w:p>
      <w:pPr>
        <w:pStyle w:val="44"/>
        <w:jc w:val="left"/>
        <w:rPr>
          <w:rFonts w:ascii="宋体" w:hAnsi="宋体"/>
          <w:b/>
          <w:sz w:val="32"/>
          <w:szCs w:val="32"/>
        </w:rPr>
      </w:pPr>
      <w:bookmarkStart w:id="120" w:name="_Toc29153"/>
      <w:r>
        <w:rPr>
          <w:rFonts w:hint="eastAsia" w:ascii="宋体" w:hAnsi="宋体"/>
          <w:b/>
          <w:sz w:val="32"/>
          <w:szCs w:val="32"/>
        </w:rPr>
        <w:t>3. 投标文件</w:t>
      </w:r>
      <w:bookmarkEnd w:id="114"/>
      <w:bookmarkEnd w:id="115"/>
      <w:bookmarkEnd w:id="120"/>
      <w:bookmarkStart w:id="121" w:name="_Toc144974515"/>
      <w:bookmarkStart w:id="122" w:name="_Toc152042323"/>
      <w:bookmarkStart w:id="123" w:name="_Toc152045547"/>
      <w:bookmarkStart w:id="124" w:name="_Toc179632565"/>
    </w:p>
    <w:bookmarkEnd w:id="121"/>
    <w:bookmarkEnd w:id="122"/>
    <w:bookmarkEnd w:id="123"/>
    <w:bookmarkEnd w:id="124"/>
    <w:p>
      <w:pPr>
        <w:pStyle w:val="47"/>
        <w:spacing w:line="560" w:lineRule="exact"/>
        <w:rPr>
          <w:rFonts w:ascii="宋体" w:hAnsi="宋体" w:eastAsia="宋体"/>
          <w:szCs w:val="24"/>
        </w:rPr>
      </w:pPr>
      <w:bookmarkStart w:id="125" w:name="_Toc32415"/>
      <w:bookmarkStart w:id="126" w:name="_Toc28546"/>
      <w:bookmarkStart w:id="127" w:name="_Toc15581"/>
      <w:r>
        <w:rPr>
          <w:rFonts w:hint="eastAsia" w:ascii="宋体" w:hAnsi="宋体" w:eastAsia="宋体"/>
          <w:szCs w:val="24"/>
        </w:rPr>
        <w:t>3.1 投标文件的组成</w:t>
      </w:r>
      <w:bookmarkEnd w:id="125"/>
      <w:bookmarkEnd w:id="126"/>
      <w:bookmarkEnd w:id="127"/>
    </w:p>
    <w:p>
      <w:pPr>
        <w:pStyle w:val="16"/>
        <w:spacing w:line="600" w:lineRule="exact"/>
        <w:ind w:firstLine="480" w:firstLineChars="200"/>
        <w:rPr>
          <w:rFonts w:hAnsi="宋体" w:cs="宋体"/>
          <w:color w:val="000000"/>
          <w:sz w:val="24"/>
        </w:rPr>
      </w:pPr>
      <w:r>
        <w:rPr>
          <w:rFonts w:hint="eastAsia" w:hAnsi="宋体" w:cs="宋体"/>
          <w:color w:val="000000"/>
          <w:sz w:val="24"/>
        </w:rPr>
        <w:t>一、投标函；</w:t>
      </w:r>
    </w:p>
    <w:p>
      <w:pPr>
        <w:pStyle w:val="16"/>
        <w:spacing w:line="600" w:lineRule="exact"/>
        <w:ind w:firstLine="480" w:firstLineChars="200"/>
        <w:rPr>
          <w:rFonts w:hAnsi="宋体" w:cs="宋体"/>
          <w:color w:val="000000"/>
          <w:sz w:val="24"/>
        </w:rPr>
      </w:pPr>
      <w:r>
        <w:rPr>
          <w:rFonts w:hint="eastAsia" w:hAnsi="宋体" w:cs="宋体"/>
          <w:color w:val="000000"/>
          <w:sz w:val="24"/>
        </w:rPr>
        <w:t>二、投标函附表；</w:t>
      </w:r>
    </w:p>
    <w:p>
      <w:pPr>
        <w:pStyle w:val="16"/>
        <w:spacing w:line="600" w:lineRule="exact"/>
        <w:ind w:firstLine="480" w:firstLineChars="200"/>
        <w:rPr>
          <w:rFonts w:hAnsi="宋体" w:cs="宋体"/>
          <w:color w:val="000000"/>
          <w:sz w:val="24"/>
        </w:rPr>
      </w:pPr>
      <w:r>
        <w:rPr>
          <w:rFonts w:hint="eastAsia" w:hAnsi="宋体" w:cs="宋体"/>
          <w:color w:val="000000"/>
          <w:sz w:val="24"/>
        </w:rPr>
        <w:t>三、法定代表人身份证明；</w:t>
      </w:r>
    </w:p>
    <w:p>
      <w:pPr>
        <w:pStyle w:val="16"/>
        <w:spacing w:line="600" w:lineRule="exact"/>
        <w:ind w:firstLine="480" w:firstLineChars="200"/>
        <w:rPr>
          <w:rFonts w:hAnsi="宋体" w:cs="宋体"/>
          <w:color w:val="000000"/>
          <w:sz w:val="24"/>
        </w:rPr>
      </w:pPr>
      <w:r>
        <w:rPr>
          <w:rFonts w:hint="eastAsia" w:hAnsi="宋体" w:cs="宋体"/>
          <w:color w:val="000000"/>
          <w:sz w:val="24"/>
        </w:rPr>
        <w:t>四、授权委托书；</w:t>
      </w:r>
    </w:p>
    <w:p>
      <w:pPr>
        <w:pStyle w:val="16"/>
        <w:spacing w:line="600" w:lineRule="exact"/>
        <w:ind w:firstLine="480" w:firstLineChars="200"/>
        <w:rPr>
          <w:rFonts w:hAnsi="宋体" w:cs="宋体"/>
          <w:color w:val="000000"/>
          <w:sz w:val="24"/>
        </w:rPr>
      </w:pPr>
      <w:r>
        <w:rPr>
          <w:rFonts w:hint="eastAsia" w:hAnsi="宋体" w:cs="宋体"/>
          <w:color w:val="000000"/>
          <w:sz w:val="24"/>
        </w:rPr>
        <w:t>五、联合体协议书</w:t>
      </w:r>
    </w:p>
    <w:p>
      <w:pPr>
        <w:pStyle w:val="16"/>
        <w:spacing w:line="600" w:lineRule="exact"/>
        <w:ind w:firstLine="480" w:firstLineChars="200"/>
        <w:rPr>
          <w:rFonts w:hAnsi="宋体" w:cs="宋体"/>
          <w:color w:val="000000"/>
          <w:sz w:val="24"/>
        </w:rPr>
      </w:pPr>
      <w:r>
        <w:rPr>
          <w:rFonts w:hint="eastAsia" w:hAnsi="宋体" w:cs="宋体"/>
          <w:color w:val="000000"/>
          <w:sz w:val="24"/>
        </w:rPr>
        <w:t xml:space="preserve">六、承包人建议书； </w:t>
      </w:r>
    </w:p>
    <w:p>
      <w:pPr>
        <w:pStyle w:val="16"/>
        <w:spacing w:line="600" w:lineRule="exact"/>
        <w:ind w:firstLine="480" w:firstLineChars="200"/>
        <w:rPr>
          <w:rFonts w:hAnsi="宋体" w:cs="宋体"/>
          <w:color w:val="000000"/>
          <w:sz w:val="24"/>
        </w:rPr>
      </w:pPr>
      <w:r>
        <w:rPr>
          <w:rFonts w:hint="eastAsia" w:hAnsi="宋体" w:cs="宋体"/>
          <w:color w:val="000000"/>
          <w:sz w:val="24"/>
        </w:rPr>
        <w:t>七、承包人实施计划；</w:t>
      </w:r>
    </w:p>
    <w:p>
      <w:pPr>
        <w:pStyle w:val="16"/>
        <w:spacing w:line="600" w:lineRule="exact"/>
        <w:ind w:firstLine="480" w:firstLineChars="200"/>
        <w:rPr>
          <w:rFonts w:hAnsi="宋体" w:cs="宋体"/>
          <w:color w:val="000000"/>
          <w:sz w:val="24"/>
        </w:rPr>
      </w:pPr>
      <w:r>
        <w:rPr>
          <w:rFonts w:hint="eastAsia" w:hAnsi="宋体" w:cs="宋体"/>
          <w:color w:val="000000"/>
          <w:sz w:val="24"/>
        </w:rPr>
        <w:t>八、资格审查资料；</w:t>
      </w:r>
    </w:p>
    <w:p>
      <w:pPr>
        <w:pStyle w:val="16"/>
        <w:spacing w:line="600" w:lineRule="exact"/>
        <w:ind w:firstLine="480" w:firstLineChars="200"/>
        <w:rPr>
          <w:rFonts w:hAnsi="宋体" w:cs="宋体"/>
          <w:color w:val="000000"/>
          <w:sz w:val="24"/>
        </w:rPr>
      </w:pPr>
      <w:r>
        <w:rPr>
          <w:rFonts w:hint="eastAsia" w:hAnsi="宋体" w:cs="宋体"/>
          <w:color w:val="000000"/>
          <w:sz w:val="24"/>
        </w:rPr>
        <w:t>九、其他材料。</w:t>
      </w:r>
    </w:p>
    <w:p>
      <w:pPr>
        <w:spacing w:line="360" w:lineRule="auto"/>
        <w:rPr>
          <w:rFonts w:ascii="宋体" w:hAnsi="宋体" w:cs="宋体"/>
          <w:color w:val="000000"/>
          <w:sz w:val="24"/>
        </w:rPr>
      </w:pPr>
      <w:r>
        <w:rPr>
          <w:rFonts w:hint="eastAsia" w:ascii="宋体" w:hAnsi="宋体" w:cs="宋体"/>
          <w:b/>
          <w:bCs/>
          <w:sz w:val="24"/>
        </w:rPr>
        <w:t>注：以上内容中要求附的证明材料的扫描件，投标文件中均需加盖投标人电子签章。</w:t>
      </w:r>
    </w:p>
    <w:p>
      <w:pPr>
        <w:pStyle w:val="47"/>
        <w:spacing w:line="600" w:lineRule="exact"/>
        <w:rPr>
          <w:rFonts w:ascii="宋体" w:hAnsi="宋体" w:eastAsia="宋体"/>
          <w:color w:val="FF0000"/>
        </w:rPr>
      </w:pPr>
      <w:bookmarkStart w:id="128" w:name="_Toc14306"/>
      <w:bookmarkStart w:id="129" w:name="_Toc8013"/>
      <w:bookmarkStart w:id="130" w:name="_Toc27053"/>
      <w:r>
        <w:rPr>
          <w:rFonts w:hint="eastAsia" w:ascii="宋体" w:hAnsi="宋体" w:eastAsia="宋体"/>
          <w:szCs w:val="24"/>
        </w:rPr>
        <w:t>3.2 投标报价</w:t>
      </w:r>
      <w:bookmarkEnd w:id="128"/>
      <w:bookmarkEnd w:id="129"/>
      <w:bookmarkEnd w:id="130"/>
    </w:p>
    <w:p>
      <w:pPr>
        <w:spacing w:line="360" w:lineRule="auto"/>
        <w:ind w:firstLine="480" w:firstLineChars="200"/>
        <w:rPr>
          <w:rFonts w:ascii="宋体" w:hAnsi="宋体" w:cs="宋体"/>
          <w:sz w:val="24"/>
        </w:rPr>
      </w:pPr>
      <w:r>
        <w:rPr>
          <w:rFonts w:hint="eastAsia" w:ascii="宋体" w:hAnsi="宋体" w:cs="宋体"/>
          <w:sz w:val="24"/>
        </w:rPr>
        <w:t>3.2.1 投标人应按第六章“投标文件格式”的要求填写投标报价。</w:t>
      </w:r>
    </w:p>
    <w:p>
      <w:pPr>
        <w:spacing w:line="360" w:lineRule="auto"/>
        <w:ind w:firstLine="480" w:firstLineChars="200"/>
        <w:rPr>
          <w:rFonts w:ascii="宋体" w:hAnsi="宋体" w:cs="宋体"/>
          <w:sz w:val="24"/>
        </w:rPr>
      </w:pPr>
      <w:r>
        <w:rPr>
          <w:rFonts w:hint="eastAsia" w:ascii="宋体" w:hAnsi="宋体" w:cs="宋体"/>
          <w:sz w:val="24"/>
        </w:rPr>
        <w:t>3.2.2 投标人应充分了解施工场地的位置、周边环境、道路、装卸、保管、安装限制以及影响投标报价的其他要素。投标人结合市场情况进行投标报价。</w:t>
      </w:r>
    </w:p>
    <w:p>
      <w:pPr>
        <w:spacing w:line="360" w:lineRule="auto"/>
        <w:rPr>
          <w:rFonts w:ascii="宋体" w:hAnsi="宋体" w:cs="宋体"/>
          <w:sz w:val="24"/>
        </w:rPr>
      </w:pPr>
      <w:r>
        <w:rPr>
          <w:rFonts w:hint="eastAsia" w:ascii="宋体" w:hAnsi="宋体" w:cs="宋体"/>
          <w:sz w:val="24"/>
        </w:rPr>
        <w:t>3.2.3投标报价：详见投标人须知前附表</w:t>
      </w:r>
    </w:p>
    <w:p>
      <w:pPr>
        <w:spacing w:line="560" w:lineRule="exact"/>
        <w:ind w:firstLine="480" w:firstLineChars="200"/>
        <w:rPr>
          <w:rFonts w:ascii="宋体" w:hAnsi="宋体" w:cs="宋体"/>
          <w:sz w:val="24"/>
        </w:rPr>
      </w:pPr>
      <w:r>
        <w:rPr>
          <w:rFonts w:hint="eastAsia" w:ascii="宋体" w:hAnsi="宋体" w:cs="宋体"/>
          <w:sz w:val="24"/>
        </w:rPr>
        <w:t>3.2.4</w:t>
      </w:r>
      <w:bookmarkStart w:id="131" w:name="_Toc30312"/>
      <w:r>
        <w:rPr>
          <w:rFonts w:hint="eastAsia" w:ascii="宋体" w:hAnsi="宋体" w:cs="宋体"/>
          <w:sz w:val="24"/>
        </w:rPr>
        <w:t>招标人设有最高投标限价的，投标人的投标报价不得超过最高投标限价，最高投标限价或其计算方法在投标人须知前附表中载明。</w:t>
      </w:r>
    </w:p>
    <w:p>
      <w:pPr>
        <w:spacing w:line="560" w:lineRule="exact"/>
        <w:ind w:firstLine="480" w:firstLineChars="200"/>
        <w:rPr>
          <w:rFonts w:ascii="宋体" w:hAnsi="宋体" w:cs="宋体"/>
          <w:sz w:val="24"/>
        </w:rPr>
      </w:pPr>
      <w:r>
        <w:rPr>
          <w:rFonts w:hint="eastAsia" w:ascii="宋体" w:hAnsi="宋体" w:cs="宋体"/>
          <w:sz w:val="24"/>
        </w:rPr>
        <w:t xml:space="preserve">3.2.5 </w:t>
      </w:r>
      <w:bookmarkEnd w:id="131"/>
      <w:r>
        <w:rPr>
          <w:rFonts w:hint="eastAsia" w:ascii="宋体" w:hAnsi="宋体" w:cs="宋体"/>
          <w:sz w:val="24"/>
        </w:rPr>
        <w:t>投标报价的其他要求见投标人须知前附表。</w:t>
      </w:r>
    </w:p>
    <w:bookmarkEnd w:id="116"/>
    <w:bookmarkEnd w:id="117"/>
    <w:bookmarkEnd w:id="118"/>
    <w:bookmarkEnd w:id="119"/>
    <w:p>
      <w:pPr>
        <w:pStyle w:val="47"/>
        <w:spacing w:line="540" w:lineRule="exact"/>
        <w:rPr>
          <w:rFonts w:ascii="宋体" w:hAnsi="宋体" w:eastAsia="宋体"/>
          <w:szCs w:val="24"/>
        </w:rPr>
      </w:pPr>
      <w:bookmarkStart w:id="132" w:name="_Toc27059"/>
      <w:bookmarkStart w:id="133" w:name="_Toc26157"/>
      <w:bookmarkStart w:id="134" w:name="_Toc144974517"/>
      <w:bookmarkStart w:id="135" w:name="_Toc179632567"/>
      <w:bookmarkStart w:id="136" w:name="_Toc152045549"/>
      <w:bookmarkStart w:id="137" w:name="_Toc152042325"/>
      <w:bookmarkStart w:id="138" w:name="_Toc21603"/>
      <w:r>
        <w:rPr>
          <w:rFonts w:hint="eastAsia" w:ascii="宋体" w:hAnsi="宋体" w:eastAsia="宋体"/>
          <w:szCs w:val="24"/>
        </w:rPr>
        <w:t>3.3 投标有效期</w:t>
      </w:r>
      <w:bookmarkEnd w:id="132"/>
      <w:bookmarkEnd w:id="133"/>
      <w:bookmarkEnd w:id="134"/>
      <w:bookmarkEnd w:id="135"/>
      <w:bookmarkEnd w:id="136"/>
      <w:bookmarkEnd w:id="137"/>
      <w:bookmarkEnd w:id="138"/>
    </w:p>
    <w:p>
      <w:pPr>
        <w:spacing w:line="560" w:lineRule="exact"/>
        <w:ind w:firstLine="480" w:firstLineChars="200"/>
        <w:rPr>
          <w:rFonts w:ascii="宋体" w:hAnsi="宋体" w:cs="宋体"/>
          <w:sz w:val="24"/>
        </w:rPr>
      </w:pPr>
      <w:r>
        <w:rPr>
          <w:rFonts w:hint="eastAsia" w:ascii="宋体" w:hAnsi="宋体" w:cs="宋体"/>
          <w:sz w:val="24"/>
        </w:rPr>
        <w:t>3.3.1 在投标人须知前附表规定的投标有效期内，投标人不得要求撤销或修改其投标文件。</w:t>
      </w:r>
    </w:p>
    <w:p>
      <w:pPr>
        <w:spacing w:line="560" w:lineRule="exact"/>
        <w:ind w:firstLine="480" w:firstLineChars="200"/>
        <w:rPr>
          <w:rFonts w:ascii="宋体" w:hAnsi="宋体" w:cs="宋体"/>
          <w:sz w:val="24"/>
        </w:rPr>
      </w:pPr>
      <w:r>
        <w:rPr>
          <w:rFonts w:hint="eastAsia" w:ascii="宋体" w:hAnsi="宋体" w:cs="宋体"/>
          <w:sz w:val="24"/>
        </w:rPr>
        <w:t>3.3.2 出现特殊情况需要延长投标有效期的，招标人以书面形式通知所有投标人延长投标有效期。投标人同意延长的，不得要求或被允许修改或撤销其投标文件；</w:t>
      </w:r>
    </w:p>
    <w:p>
      <w:pPr>
        <w:pStyle w:val="47"/>
        <w:spacing w:line="360" w:lineRule="auto"/>
        <w:rPr>
          <w:rFonts w:ascii="宋体" w:hAnsi="宋体" w:eastAsia="宋体"/>
          <w:szCs w:val="24"/>
          <w:highlight w:val="yellow"/>
        </w:rPr>
      </w:pPr>
      <w:bookmarkStart w:id="139" w:name="_Toc1793"/>
      <w:bookmarkStart w:id="140" w:name="_Toc21273"/>
      <w:bookmarkStart w:id="141" w:name="_Toc144974518"/>
      <w:bookmarkStart w:id="142" w:name="_Toc152045550"/>
      <w:bookmarkStart w:id="143" w:name="_Toc152042326"/>
      <w:bookmarkStart w:id="144" w:name="_Toc27278"/>
      <w:bookmarkStart w:id="145" w:name="_Toc179632568"/>
      <w:r>
        <w:rPr>
          <w:rFonts w:hint="eastAsia" w:ascii="宋体" w:hAnsi="宋体" w:eastAsia="宋体"/>
          <w:szCs w:val="24"/>
        </w:rPr>
        <w:t>3.4 投标保证金</w:t>
      </w:r>
      <w:bookmarkEnd w:id="139"/>
      <w:bookmarkEnd w:id="140"/>
      <w:bookmarkEnd w:id="141"/>
      <w:bookmarkEnd w:id="142"/>
      <w:bookmarkEnd w:id="143"/>
      <w:bookmarkEnd w:id="144"/>
      <w:bookmarkEnd w:id="145"/>
    </w:p>
    <w:p>
      <w:pPr>
        <w:spacing w:line="360" w:lineRule="auto"/>
        <w:rPr>
          <w:rFonts w:ascii="宋体" w:hAnsi="宋体" w:cs="宋体"/>
          <w:sz w:val="24"/>
          <w:szCs w:val="32"/>
        </w:rPr>
      </w:pPr>
      <w:bookmarkStart w:id="146" w:name="_Toc28030"/>
      <w:bookmarkStart w:id="147" w:name="_Toc144974520"/>
      <w:bookmarkStart w:id="148" w:name="_Toc26833"/>
      <w:bookmarkStart w:id="149" w:name="_Toc152045552"/>
      <w:bookmarkStart w:id="150" w:name="_Toc152042328"/>
      <w:bookmarkStart w:id="151" w:name="_Toc144974521"/>
      <w:bookmarkStart w:id="152" w:name="_Toc179632571"/>
      <w:bookmarkStart w:id="153" w:name="_Toc152045553"/>
      <w:bookmarkStart w:id="154" w:name="_Toc152042329"/>
      <w:r>
        <w:rPr>
          <w:rFonts w:hint="eastAsia" w:ascii="宋体" w:hAnsi="宋体" w:cs="宋体"/>
          <w:sz w:val="24"/>
          <w:szCs w:val="32"/>
        </w:rPr>
        <w:t xml:space="preserve">    详见投标人须知前附表。</w:t>
      </w:r>
    </w:p>
    <w:p>
      <w:pPr>
        <w:spacing w:line="360" w:lineRule="auto"/>
        <w:rPr>
          <w:rFonts w:ascii="宋体" w:hAnsi="宋体" w:cs="宋体"/>
          <w:sz w:val="24"/>
          <w:szCs w:val="32"/>
        </w:rPr>
      </w:pPr>
      <w:r>
        <w:rPr>
          <w:rFonts w:hint="eastAsia" w:ascii="宋体" w:hAnsi="宋体" w:cs="宋体"/>
          <w:sz w:val="24"/>
          <w:szCs w:val="32"/>
        </w:rPr>
        <w:t>3.5 资格审查资料</w:t>
      </w:r>
      <w:bookmarkEnd w:id="146"/>
      <w:bookmarkEnd w:id="147"/>
      <w:bookmarkEnd w:id="148"/>
      <w:bookmarkEnd w:id="149"/>
      <w:bookmarkEnd w:id="150"/>
    </w:p>
    <w:p>
      <w:pPr>
        <w:spacing w:line="360" w:lineRule="auto"/>
        <w:ind w:firstLine="480" w:firstLineChars="200"/>
        <w:rPr>
          <w:rFonts w:ascii="宋体" w:hAnsi="宋体" w:cs="宋体"/>
          <w:sz w:val="24"/>
          <w:szCs w:val="32"/>
        </w:rPr>
      </w:pPr>
      <w:r>
        <w:rPr>
          <w:rFonts w:hint="eastAsia" w:ascii="宋体" w:hAnsi="宋体" w:cs="宋体"/>
          <w:sz w:val="24"/>
          <w:szCs w:val="32"/>
        </w:rPr>
        <w:t>3.5.1 除投标人须知前附表另有规定外，投标人应按下列规定提供资格审查资料，以证明其满足本章第 1.4 款规定的资质、财务、业绩、信誉等要求。</w:t>
      </w:r>
    </w:p>
    <w:p>
      <w:pPr>
        <w:spacing w:line="360" w:lineRule="auto"/>
        <w:ind w:firstLine="480" w:firstLineChars="200"/>
        <w:rPr>
          <w:rFonts w:ascii="宋体" w:hAnsi="宋体" w:cs="宋体"/>
          <w:sz w:val="24"/>
          <w:szCs w:val="32"/>
        </w:rPr>
      </w:pPr>
      <w:r>
        <w:rPr>
          <w:rFonts w:hint="eastAsia" w:ascii="宋体" w:hAnsi="宋体" w:cs="宋体"/>
          <w:sz w:val="24"/>
          <w:szCs w:val="32"/>
        </w:rPr>
        <w:t>3.5.2 “近年财务状况表”应附经会计师事务所或审计机构审计的财务会计报表，具体年份要求见投标人须知前附表。</w:t>
      </w:r>
    </w:p>
    <w:p>
      <w:pPr>
        <w:spacing w:line="360" w:lineRule="auto"/>
        <w:ind w:firstLine="480" w:firstLineChars="200"/>
        <w:rPr>
          <w:rFonts w:ascii="宋体" w:hAnsi="宋体" w:cs="宋体"/>
          <w:sz w:val="24"/>
          <w:szCs w:val="32"/>
        </w:rPr>
      </w:pPr>
      <w:r>
        <w:rPr>
          <w:rFonts w:hint="eastAsia" w:ascii="宋体" w:hAnsi="宋体" w:cs="宋体"/>
          <w:sz w:val="24"/>
          <w:szCs w:val="32"/>
        </w:rPr>
        <w:t>3.5.3 “近年完成的类似项目情况表”应附合同、中标通知书的复印件，具体年份要求见投标人须知前附表。每张表格只填写一个项目，并标明序号。</w:t>
      </w:r>
    </w:p>
    <w:p>
      <w:pPr>
        <w:spacing w:line="360" w:lineRule="auto"/>
        <w:ind w:firstLine="480" w:firstLineChars="200"/>
        <w:rPr>
          <w:rFonts w:ascii="宋体" w:hAnsi="宋体" w:cs="宋体"/>
          <w:sz w:val="24"/>
          <w:szCs w:val="32"/>
        </w:rPr>
      </w:pPr>
      <w:r>
        <w:rPr>
          <w:rFonts w:hint="eastAsia" w:ascii="宋体" w:hAnsi="宋体" w:cs="宋体"/>
          <w:sz w:val="24"/>
          <w:szCs w:val="32"/>
        </w:rPr>
        <w:t>3.5.4 “正在施工和新承接的项目情况表”应附合同、中标通知书的复印件。每张表格只填写一个项目，并标明序号。</w:t>
      </w:r>
    </w:p>
    <w:p>
      <w:pPr>
        <w:spacing w:line="360" w:lineRule="auto"/>
        <w:ind w:firstLine="480" w:firstLineChars="200"/>
        <w:rPr>
          <w:rFonts w:ascii="宋体" w:hAnsi="宋体" w:cs="宋体"/>
        </w:rPr>
      </w:pPr>
      <w:r>
        <w:rPr>
          <w:rFonts w:hint="eastAsia" w:ascii="宋体" w:hAnsi="宋体" w:cs="宋体"/>
          <w:sz w:val="24"/>
          <w:szCs w:val="32"/>
        </w:rPr>
        <w:t>3.5.5 “近年发生的诉讼及仲裁情况”应说明相关情况，并附法院或仲裁机构作出的判决、裁决等有关法律文书复印件，具体年份要求见投标人须知前附表。</w:t>
      </w:r>
    </w:p>
    <w:p>
      <w:pPr>
        <w:pStyle w:val="47"/>
        <w:spacing w:line="560" w:lineRule="exact"/>
        <w:rPr>
          <w:rFonts w:ascii="宋体" w:hAnsi="宋体" w:eastAsia="宋体"/>
          <w:szCs w:val="24"/>
        </w:rPr>
      </w:pPr>
      <w:bookmarkStart w:id="155" w:name="_Toc7453"/>
      <w:bookmarkStart w:id="156" w:name="_Toc2443"/>
      <w:bookmarkStart w:id="157" w:name="_Toc23592"/>
      <w:r>
        <w:rPr>
          <w:rFonts w:hint="eastAsia" w:ascii="宋体" w:hAnsi="宋体" w:eastAsia="宋体"/>
          <w:szCs w:val="24"/>
        </w:rPr>
        <w:t>3.6 备选投标方案</w:t>
      </w:r>
      <w:bookmarkEnd w:id="151"/>
      <w:bookmarkEnd w:id="152"/>
      <w:bookmarkEnd w:id="153"/>
      <w:bookmarkEnd w:id="154"/>
      <w:bookmarkEnd w:id="155"/>
      <w:bookmarkEnd w:id="156"/>
      <w:bookmarkEnd w:id="157"/>
    </w:p>
    <w:p>
      <w:pPr>
        <w:spacing w:line="560" w:lineRule="exact"/>
        <w:ind w:firstLine="480" w:firstLineChars="200"/>
        <w:rPr>
          <w:rFonts w:ascii="宋体" w:hAnsi="宋体" w:cs="宋体"/>
          <w:sz w:val="24"/>
        </w:rPr>
      </w:pPr>
      <w:r>
        <w:rPr>
          <w:rFonts w:hint="eastAsia" w:ascii="宋体" w:hAnsi="宋体" w:cs="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7"/>
        <w:spacing w:line="560" w:lineRule="exact"/>
        <w:rPr>
          <w:rFonts w:ascii="宋体" w:hAnsi="宋体" w:eastAsia="宋体"/>
          <w:szCs w:val="24"/>
        </w:rPr>
      </w:pPr>
      <w:bookmarkStart w:id="158" w:name="_Toc19624"/>
      <w:bookmarkStart w:id="159" w:name="_Toc13900"/>
      <w:bookmarkStart w:id="160" w:name="_Toc1518"/>
      <w:bookmarkStart w:id="161" w:name="_Toc179632572"/>
      <w:bookmarkStart w:id="162" w:name="_Toc152045554"/>
      <w:bookmarkStart w:id="163" w:name="_Toc152042330"/>
      <w:bookmarkStart w:id="164" w:name="_Toc144974522"/>
      <w:r>
        <w:rPr>
          <w:rFonts w:hint="eastAsia" w:ascii="宋体" w:hAnsi="宋体" w:eastAsia="宋体"/>
          <w:szCs w:val="24"/>
        </w:rPr>
        <w:t>3.7 投标文件的编制</w:t>
      </w:r>
      <w:bookmarkEnd w:id="158"/>
      <w:bookmarkEnd w:id="159"/>
      <w:bookmarkEnd w:id="160"/>
      <w:bookmarkEnd w:id="161"/>
      <w:bookmarkEnd w:id="162"/>
      <w:bookmarkEnd w:id="163"/>
      <w:bookmarkEnd w:id="164"/>
    </w:p>
    <w:p>
      <w:pPr>
        <w:spacing w:line="560" w:lineRule="exact"/>
        <w:ind w:firstLine="480" w:firstLineChars="200"/>
        <w:rPr>
          <w:rFonts w:ascii="宋体" w:hAnsi="宋体" w:cs="宋体"/>
          <w:sz w:val="24"/>
        </w:rPr>
      </w:pPr>
      <w:r>
        <w:rPr>
          <w:rFonts w:hint="eastAsia" w:ascii="宋体" w:hAnsi="宋体" w:cs="宋体"/>
          <w:sz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560" w:lineRule="exact"/>
        <w:ind w:firstLine="480" w:firstLineChars="200"/>
        <w:rPr>
          <w:rFonts w:ascii="宋体" w:hAnsi="宋体" w:cs="宋体"/>
          <w:sz w:val="24"/>
        </w:rPr>
      </w:pPr>
      <w:r>
        <w:rPr>
          <w:rFonts w:hint="eastAsia" w:ascii="宋体" w:hAnsi="宋体" w:cs="宋体"/>
          <w:sz w:val="24"/>
        </w:rPr>
        <w:t>3.7.2 投标文件应当对招标文件有关工期、投标有效期、质量要求、技术标准和要求、招标范围等实质性内容作出响应。</w:t>
      </w:r>
    </w:p>
    <w:p>
      <w:pPr>
        <w:spacing w:line="560" w:lineRule="exact"/>
        <w:ind w:firstLine="480" w:firstLineChars="200"/>
        <w:rPr>
          <w:rFonts w:ascii="宋体" w:hAnsi="宋体" w:cs="宋体"/>
          <w:sz w:val="24"/>
        </w:rPr>
      </w:pPr>
      <w:r>
        <w:rPr>
          <w:rFonts w:hint="eastAsia" w:ascii="宋体" w:hAnsi="宋体" w:cs="宋体"/>
          <w:sz w:val="24"/>
        </w:rPr>
        <w:t>3.7.3 投标人须在投标文件递交截止时间前制作并提交电子投标文件。</w:t>
      </w:r>
    </w:p>
    <w:p>
      <w:pPr>
        <w:spacing w:line="560" w:lineRule="exact"/>
        <w:ind w:firstLine="480" w:firstLineChars="200"/>
        <w:rPr>
          <w:rFonts w:ascii="宋体" w:hAnsi="宋体" w:cs="宋体"/>
          <w:sz w:val="24"/>
        </w:rPr>
      </w:pPr>
      <w:r>
        <w:rPr>
          <w:rFonts w:hint="eastAsia" w:ascii="宋体" w:hAnsi="宋体" w:cs="宋体"/>
          <w:sz w:val="24"/>
        </w:rPr>
        <w:t>（1）电子投标文件应在投标文件截止时间前通过“</w:t>
      </w:r>
      <w:r>
        <w:rPr>
          <w:rFonts w:hint="eastAsia" w:ascii="宋体" w:hAnsi="宋体" w:cs="宋体"/>
          <w:sz w:val="24"/>
          <w:lang w:val="en-US" w:eastAsia="zh-CN"/>
        </w:rPr>
        <w:t>邓州市</w:t>
      </w:r>
      <w:r>
        <w:rPr>
          <w:rFonts w:hint="eastAsia" w:ascii="宋体" w:hAnsi="宋体" w:cs="宋体"/>
          <w:sz w:val="24"/>
        </w:rPr>
        <w:t>公共资源交易中心”电子交易平台内上传。</w:t>
      </w:r>
    </w:p>
    <w:p>
      <w:pPr>
        <w:spacing w:line="560" w:lineRule="exact"/>
        <w:ind w:firstLine="480" w:firstLineChars="200"/>
        <w:rPr>
          <w:rFonts w:ascii="宋体" w:hAnsi="宋体" w:cs="宋体"/>
          <w:sz w:val="24"/>
        </w:rPr>
      </w:pPr>
      <w:r>
        <w:rPr>
          <w:rFonts w:hint="eastAsia" w:ascii="宋体" w:hAnsi="宋体" w:cs="宋体"/>
          <w:sz w:val="24"/>
        </w:rPr>
        <w:t>（2）电子版投标文件需应用投标人单位的CA印章，法定代表人签字的地方都应用法定代表人的CA印章，若有委托代理人，且委托代理人没有CA锁，则投标文件需上传有委托代理人手写签名的扫描件。</w:t>
      </w:r>
    </w:p>
    <w:p>
      <w:pPr>
        <w:spacing w:line="560" w:lineRule="exact"/>
        <w:ind w:firstLine="480" w:firstLineChars="200"/>
        <w:rPr>
          <w:rFonts w:ascii="宋体" w:hAnsi="宋体" w:cs="宋体"/>
          <w:sz w:val="24"/>
        </w:rPr>
      </w:pPr>
      <w:r>
        <w:rPr>
          <w:rFonts w:hint="eastAsia" w:ascii="宋体" w:hAnsi="宋体" w:cs="宋体"/>
          <w:sz w:val="24"/>
        </w:rPr>
        <w:t>（3）投标文件签字或盖章要求详见投标人须知前附表。</w:t>
      </w:r>
    </w:p>
    <w:p>
      <w:pPr>
        <w:spacing w:line="560" w:lineRule="exact"/>
        <w:ind w:firstLine="482" w:firstLineChars="200"/>
        <w:rPr>
          <w:rFonts w:ascii="宋体" w:hAnsi="宋体" w:cs="宋体"/>
          <w:sz w:val="24"/>
        </w:rPr>
      </w:pPr>
      <w:r>
        <w:rPr>
          <w:rFonts w:hint="eastAsia" w:ascii="宋体" w:hAnsi="宋体" w:cs="宋体"/>
          <w:b/>
          <w:bCs/>
          <w:sz w:val="24"/>
        </w:rPr>
        <w:t>注：投标人若组成联合体，除联合体协议书须双方签字盖章外，投标文件其余部分由牵头人签字盖章即可。</w:t>
      </w:r>
    </w:p>
    <w:p>
      <w:pPr>
        <w:pStyle w:val="44"/>
        <w:jc w:val="left"/>
        <w:rPr>
          <w:rFonts w:ascii="宋体" w:hAnsi="宋体"/>
          <w:b/>
          <w:sz w:val="32"/>
          <w:szCs w:val="32"/>
        </w:rPr>
      </w:pPr>
      <w:bookmarkStart w:id="165" w:name="_Toc144974523"/>
      <w:bookmarkStart w:id="166" w:name="_Toc152042331"/>
      <w:bookmarkStart w:id="167" w:name="_Toc26619"/>
      <w:bookmarkStart w:id="168" w:name="_Toc30146"/>
      <w:bookmarkStart w:id="169" w:name="_Toc179632573"/>
      <w:bookmarkStart w:id="170" w:name="_Toc152045555"/>
      <w:bookmarkStart w:id="171" w:name="_Toc15257"/>
      <w:r>
        <w:rPr>
          <w:rFonts w:hint="eastAsia" w:ascii="宋体" w:hAnsi="宋体"/>
          <w:b/>
          <w:sz w:val="32"/>
          <w:szCs w:val="32"/>
        </w:rPr>
        <w:t>4. 投标</w:t>
      </w:r>
      <w:bookmarkEnd w:id="165"/>
      <w:bookmarkEnd w:id="166"/>
      <w:bookmarkEnd w:id="167"/>
      <w:bookmarkEnd w:id="168"/>
      <w:bookmarkEnd w:id="169"/>
      <w:bookmarkEnd w:id="170"/>
      <w:bookmarkEnd w:id="171"/>
    </w:p>
    <w:p>
      <w:pPr>
        <w:spacing w:line="560" w:lineRule="exact"/>
        <w:ind w:firstLine="480" w:firstLineChars="200"/>
        <w:rPr>
          <w:rFonts w:ascii="宋体" w:hAnsi="宋体" w:cs="宋体"/>
          <w:sz w:val="24"/>
        </w:rPr>
      </w:pPr>
      <w:r>
        <w:rPr>
          <w:rFonts w:hint="eastAsia" w:ascii="宋体" w:hAnsi="宋体" w:cs="宋体"/>
          <w:sz w:val="24"/>
        </w:rPr>
        <w:t>4.1 电子投标文件的递交：</w:t>
      </w:r>
    </w:p>
    <w:p>
      <w:pPr>
        <w:spacing w:line="560" w:lineRule="exact"/>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投标人应在规定的投标截止时间前完成投标文件的递交。电子投标文件（格式为:.tbdat），投标人上传时必须得到系统“上传成功”的确认回复，并认真检查电子投标文件是否完整、正确。未在投标截止时间前完成上传或送达的，视为逾期送达。</w:t>
      </w:r>
      <w:r>
        <w:rPr>
          <w:rFonts w:hint="eastAsia" w:ascii="宋体" w:hAnsi="宋体" w:cs="宋体"/>
          <w:sz w:val="24"/>
        </w:rPr>
        <w:t>逾期上传的投标文件，招标人不予受理。递交网址：</w:t>
      </w:r>
      <w:r>
        <w:rPr>
          <w:rFonts w:hint="eastAsia" w:ascii="宋体" w:hAnsi="宋体" w:cs="宋体"/>
          <w:sz w:val="24"/>
        </w:rPr>
        <w:fldChar w:fldCharType="begin"/>
      </w:r>
      <w:r>
        <w:rPr>
          <w:rFonts w:hint="eastAsia" w:ascii="宋体" w:hAnsi="宋体" w:cs="宋体"/>
          <w:sz w:val="24"/>
        </w:rPr>
        <w:instrText xml:space="preserve"> HYPERLINK "http://139.9.119.230:18082/HMROOT/" </w:instrText>
      </w:r>
      <w:r>
        <w:rPr>
          <w:rFonts w:hint="eastAsia" w:ascii="宋体" w:hAnsi="宋体" w:cs="宋体"/>
          <w:sz w:val="24"/>
        </w:rPr>
        <w:fldChar w:fldCharType="separate"/>
      </w:r>
      <w:r>
        <w:rPr>
          <w:rStyle w:val="36"/>
          <w:rFonts w:hint="eastAsia" w:ascii="宋体" w:hAnsi="宋体" w:cs="宋体"/>
          <w:sz w:val="24"/>
        </w:rPr>
        <w:t>http://139.9.119.230:18082/HMROOT/</w:t>
      </w:r>
      <w:r>
        <w:rPr>
          <w:rFonts w:hint="eastAsia" w:ascii="宋体" w:hAnsi="宋体" w:cs="宋体"/>
          <w:sz w:val="24"/>
        </w:rPr>
        <w:fldChar w:fldCharType="end"/>
      </w:r>
    </w:p>
    <w:p>
      <w:pPr>
        <w:spacing w:line="560" w:lineRule="exact"/>
        <w:ind w:firstLine="480" w:firstLineChars="200"/>
        <w:jc w:val="left"/>
        <w:rPr>
          <w:rFonts w:ascii="宋体" w:hAnsi="宋体" w:cs="宋体"/>
          <w:sz w:val="24"/>
        </w:rPr>
      </w:pPr>
      <w:r>
        <w:rPr>
          <w:rFonts w:hint="eastAsia" w:ascii="宋体" w:hAnsi="宋体" w:cs="宋体"/>
          <w:sz w:val="24"/>
        </w:rPr>
        <w:t>（2）投标人因交易中心投标系统问题无法上传电子投标文件时，请在工作时间与</w:t>
      </w:r>
      <w:r>
        <w:rPr>
          <w:rFonts w:hint="eastAsia" w:ascii="宋体" w:hAnsi="宋体" w:cs="宋体"/>
          <w:sz w:val="24"/>
          <w:lang w:val="en-US" w:eastAsia="zh-CN"/>
        </w:rPr>
        <w:t>邓州市</w:t>
      </w:r>
      <w:r>
        <w:rPr>
          <w:rFonts w:hint="eastAsia" w:ascii="宋体" w:hAnsi="宋体" w:cs="宋体"/>
          <w:sz w:val="24"/>
        </w:rPr>
        <w:t>公共资源交易中心联系。</w:t>
      </w:r>
    </w:p>
    <w:p>
      <w:pPr>
        <w:spacing w:line="560" w:lineRule="exact"/>
        <w:ind w:firstLine="480" w:firstLineChars="200"/>
        <w:jc w:val="left"/>
        <w:rPr>
          <w:rFonts w:ascii="宋体" w:hAnsi="宋体" w:cs="宋体"/>
          <w:sz w:val="24"/>
        </w:rPr>
      </w:pPr>
      <w:r>
        <w:rPr>
          <w:rFonts w:hint="eastAsia" w:ascii="宋体" w:hAnsi="宋体" w:cs="宋体"/>
          <w:sz w:val="24"/>
        </w:rPr>
        <w:t>4.2投标文件的修改与撤回</w:t>
      </w:r>
      <w:bookmarkStart w:id="172" w:name="_Toc152042335"/>
      <w:bookmarkStart w:id="173" w:name="_Toc14698"/>
      <w:bookmarkStart w:id="174" w:name="_Toc179632577"/>
      <w:bookmarkStart w:id="175" w:name="_Toc152045559"/>
      <w:bookmarkStart w:id="176" w:name="_Toc144974527"/>
      <w:bookmarkStart w:id="177" w:name="_Toc15353"/>
    </w:p>
    <w:p>
      <w:pPr>
        <w:spacing w:line="560" w:lineRule="exact"/>
        <w:ind w:firstLine="480" w:firstLineChars="200"/>
        <w:jc w:val="left"/>
        <w:rPr>
          <w:rFonts w:ascii="宋体" w:hAnsi="宋体" w:cs="宋体"/>
          <w:sz w:val="24"/>
        </w:rPr>
      </w:pPr>
      <w:r>
        <w:rPr>
          <w:rFonts w:hint="eastAsia" w:ascii="宋体" w:hAnsi="宋体" w:cs="宋体"/>
          <w:sz w:val="24"/>
        </w:rPr>
        <w:t>4.2.1 在投标截止时间之前，投标人可通过</w:t>
      </w:r>
      <w:r>
        <w:rPr>
          <w:rFonts w:hint="eastAsia" w:ascii="宋体" w:hAnsi="宋体" w:cs="宋体"/>
          <w:sz w:val="24"/>
          <w:lang w:val="en-US" w:eastAsia="zh-CN"/>
        </w:rPr>
        <w:t>邓州市</w:t>
      </w:r>
      <w:r>
        <w:rPr>
          <w:rFonts w:hint="eastAsia" w:ascii="宋体" w:hAnsi="宋体" w:cs="宋体"/>
          <w:sz w:val="24"/>
        </w:rPr>
        <w:t>公共资源交易中心电子交易平台撤回投标文件。</w:t>
      </w:r>
    </w:p>
    <w:p>
      <w:pPr>
        <w:spacing w:line="560" w:lineRule="exact"/>
        <w:ind w:firstLine="480" w:firstLineChars="200"/>
        <w:jc w:val="left"/>
        <w:rPr>
          <w:rFonts w:ascii="宋体" w:hAnsi="宋体" w:cs="宋体"/>
          <w:sz w:val="24"/>
        </w:rPr>
      </w:pPr>
      <w:r>
        <w:rPr>
          <w:rFonts w:hint="eastAsia" w:ascii="宋体" w:hAnsi="宋体" w:cs="宋体"/>
          <w:sz w:val="24"/>
        </w:rPr>
        <w:t>4.2.2 在投标截止时间之后，投标人不得对其投标文件做任何修改。</w:t>
      </w:r>
    </w:p>
    <w:p>
      <w:pPr>
        <w:spacing w:line="560" w:lineRule="exact"/>
        <w:ind w:firstLine="480" w:firstLineChars="200"/>
        <w:jc w:val="left"/>
        <w:rPr>
          <w:rFonts w:ascii="宋体" w:hAnsi="宋体" w:cs="宋体"/>
          <w:sz w:val="24"/>
        </w:rPr>
      </w:pPr>
      <w:r>
        <w:rPr>
          <w:rFonts w:hint="eastAsia" w:ascii="宋体" w:hAnsi="宋体" w:cs="宋体"/>
          <w:sz w:val="24"/>
        </w:rPr>
        <w:t>4.2.3 从投标截止时间至投标人在投标文件中载明的投标有效期满期间，投标人不得撤回其投标文件。</w:t>
      </w:r>
    </w:p>
    <w:p>
      <w:pPr>
        <w:spacing w:line="560" w:lineRule="exact"/>
        <w:jc w:val="left"/>
        <w:rPr>
          <w:rFonts w:ascii="宋体" w:hAnsi="宋体" w:cs="宋体"/>
          <w:b/>
          <w:sz w:val="32"/>
          <w:szCs w:val="32"/>
        </w:rPr>
      </w:pPr>
      <w:r>
        <w:rPr>
          <w:rFonts w:hint="eastAsia" w:ascii="宋体" w:hAnsi="宋体" w:cs="宋体"/>
          <w:b/>
          <w:sz w:val="32"/>
          <w:szCs w:val="32"/>
        </w:rPr>
        <w:t>5. 开标</w:t>
      </w:r>
      <w:bookmarkEnd w:id="172"/>
      <w:bookmarkEnd w:id="173"/>
      <w:bookmarkEnd w:id="174"/>
      <w:bookmarkEnd w:id="175"/>
      <w:bookmarkEnd w:id="176"/>
      <w:bookmarkEnd w:id="177"/>
      <w:bookmarkStart w:id="178" w:name="_Toc152042336"/>
      <w:bookmarkStart w:id="179" w:name="_Toc15749"/>
      <w:bookmarkStart w:id="180" w:name="_Toc31981"/>
      <w:bookmarkStart w:id="181" w:name="_Toc144974528"/>
      <w:bookmarkStart w:id="182" w:name="_Toc152045560"/>
      <w:bookmarkStart w:id="183" w:name="_Toc179632578"/>
    </w:p>
    <w:p>
      <w:pPr>
        <w:spacing w:line="560" w:lineRule="exact"/>
        <w:rPr>
          <w:rFonts w:ascii="宋体" w:hAnsi="宋体" w:cs="宋体"/>
          <w:sz w:val="24"/>
        </w:rPr>
      </w:pPr>
      <w:r>
        <w:rPr>
          <w:rFonts w:hint="eastAsia" w:ascii="宋体" w:hAnsi="宋体" w:cs="宋体"/>
          <w:sz w:val="24"/>
        </w:rPr>
        <w:t>5.1 开标时间和地点</w:t>
      </w:r>
      <w:bookmarkEnd w:id="178"/>
      <w:bookmarkEnd w:id="179"/>
      <w:bookmarkEnd w:id="180"/>
      <w:bookmarkEnd w:id="181"/>
      <w:bookmarkEnd w:id="182"/>
      <w:bookmarkEnd w:id="183"/>
      <w:bookmarkStart w:id="184" w:name="_Toc144974530"/>
      <w:bookmarkStart w:id="185" w:name="_Toc152042338"/>
      <w:bookmarkStart w:id="186" w:name="_Toc12080"/>
      <w:bookmarkStart w:id="187" w:name="_Toc152045562"/>
      <w:bookmarkStart w:id="188" w:name="_Toc19138"/>
      <w:bookmarkStart w:id="189" w:name="_Toc179632580"/>
    </w:p>
    <w:p>
      <w:pPr>
        <w:spacing w:line="560" w:lineRule="exact"/>
        <w:ind w:firstLine="480" w:firstLineChars="200"/>
        <w:rPr>
          <w:rFonts w:ascii="宋体" w:hAnsi="宋体" w:cs="宋体"/>
          <w:sz w:val="24"/>
        </w:rPr>
      </w:pPr>
      <w:r>
        <w:rPr>
          <w:rFonts w:hint="eastAsia" w:ascii="宋体" w:hAnsi="宋体" w:cs="宋体"/>
          <w:sz w:val="24"/>
        </w:rPr>
        <w:t>5.1.1 招标人在本章第2.2.2项规定的投标截止时间（开标时间），通过电子招标投标交易平台公开开标，所有投标人的法定代表人（单位负责人）或其委托代理人应当登录</w:t>
      </w:r>
      <w:r>
        <w:rPr>
          <w:rFonts w:hint="eastAsia" w:ascii="宋体" w:hAnsi="宋体" w:cs="宋体"/>
          <w:sz w:val="24"/>
          <w:lang w:val="en-US" w:eastAsia="zh-CN"/>
        </w:rPr>
        <w:t>邓州市</w:t>
      </w:r>
      <w:r>
        <w:rPr>
          <w:rFonts w:hint="eastAsia" w:ascii="宋体" w:hAnsi="宋体" w:cs="宋体"/>
          <w:sz w:val="24"/>
        </w:rPr>
        <w:t>公共资源交易中心门户网站远程开标大厅准时参加开标。使用本单位CA锁（制作投标文件时所使用的CA锁）对本单位的加密电子投标文件进行远程不见面方式解密。</w:t>
      </w:r>
    </w:p>
    <w:p>
      <w:pPr>
        <w:spacing w:line="560" w:lineRule="exact"/>
        <w:ind w:firstLine="480" w:firstLineChars="200"/>
        <w:rPr>
          <w:rFonts w:ascii="宋体" w:hAnsi="宋体" w:cs="宋体"/>
          <w:sz w:val="24"/>
        </w:rPr>
      </w:pPr>
      <w:r>
        <w:rPr>
          <w:rFonts w:hint="eastAsia" w:ascii="宋体" w:hAnsi="宋体" w:cs="宋体"/>
          <w:sz w:val="24"/>
        </w:rPr>
        <w:t>5.1.2投标人须在投标人须知前附表规定的时间内完成解密。由于投标人的自身原因，在规定时间内解密不成功的，作废标处理。</w:t>
      </w:r>
    </w:p>
    <w:p>
      <w:pPr>
        <w:spacing w:line="560" w:lineRule="exact"/>
        <w:ind w:firstLine="480" w:firstLineChars="200"/>
        <w:rPr>
          <w:rFonts w:ascii="宋体" w:hAnsi="宋体" w:cs="宋体"/>
          <w:sz w:val="24"/>
        </w:rPr>
      </w:pPr>
      <w:r>
        <w:rPr>
          <w:rFonts w:hint="eastAsia" w:ascii="宋体" w:hAnsi="宋体" w:cs="宋体"/>
          <w:sz w:val="24"/>
        </w:rPr>
        <w:t xml:space="preserve">5.2 开标程序 </w:t>
      </w:r>
    </w:p>
    <w:p>
      <w:pPr>
        <w:pStyle w:val="44"/>
        <w:ind w:firstLine="960" w:firstLineChars="400"/>
        <w:jc w:val="left"/>
        <w:rPr>
          <w:rFonts w:hint="eastAsia" w:ascii="宋体" w:hAnsi="宋体" w:cs="宋体"/>
          <w:sz w:val="24"/>
          <w:lang w:val="en-US" w:eastAsia="zh-CN"/>
        </w:rPr>
      </w:pPr>
      <w:bookmarkStart w:id="190" w:name="_Toc13715"/>
      <w:r>
        <w:rPr>
          <w:rFonts w:hint="eastAsia" w:ascii="宋体" w:hAnsi="宋体" w:cs="宋体"/>
          <w:sz w:val="24"/>
          <w:lang w:val="en-US" w:eastAsia="zh-CN"/>
        </w:rPr>
        <w:t>在线开标</w:t>
      </w:r>
    </w:p>
    <w:p>
      <w:pPr>
        <w:pStyle w:val="44"/>
        <w:jc w:val="left"/>
        <w:rPr>
          <w:rFonts w:ascii="宋体" w:hAnsi="宋体"/>
          <w:b/>
          <w:sz w:val="32"/>
          <w:szCs w:val="32"/>
        </w:rPr>
      </w:pPr>
      <w:r>
        <w:rPr>
          <w:rFonts w:hint="eastAsia" w:ascii="宋体" w:hAnsi="宋体"/>
          <w:b/>
          <w:sz w:val="32"/>
          <w:szCs w:val="32"/>
        </w:rPr>
        <w:t>6. 评标</w:t>
      </w:r>
      <w:bookmarkEnd w:id="184"/>
      <w:bookmarkEnd w:id="185"/>
      <w:bookmarkEnd w:id="186"/>
      <w:bookmarkEnd w:id="187"/>
      <w:bookmarkEnd w:id="188"/>
      <w:bookmarkEnd w:id="189"/>
      <w:bookmarkEnd w:id="190"/>
    </w:p>
    <w:p>
      <w:pPr>
        <w:pStyle w:val="47"/>
        <w:spacing w:line="560" w:lineRule="exact"/>
        <w:rPr>
          <w:rFonts w:ascii="宋体" w:hAnsi="宋体" w:eastAsia="宋体"/>
          <w:szCs w:val="24"/>
        </w:rPr>
      </w:pPr>
      <w:bookmarkStart w:id="191" w:name="_Toc152045563"/>
      <w:bookmarkStart w:id="192" w:name="_Toc152042339"/>
      <w:bookmarkStart w:id="193" w:name="_Toc11300"/>
      <w:bookmarkStart w:id="194" w:name="_Toc179632581"/>
      <w:bookmarkStart w:id="195" w:name="_Toc6883"/>
      <w:bookmarkStart w:id="196" w:name="_Toc22367"/>
      <w:bookmarkStart w:id="197" w:name="_Toc144974531"/>
      <w:r>
        <w:rPr>
          <w:rFonts w:hint="eastAsia" w:ascii="宋体" w:hAnsi="宋体" w:eastAsia="宋体"/>
          <w:szCs w:val="24"/>
        </w:rPr>
        <w:t>6.1 评标委员会</w:t>
      </w:r>
      <w:bookmarkEnd w:id="191"/>
      <w:bookmarkEnd w:id="192"/>
      <w:bookmarkEnd w:id="193"/>
      <w:bookmarkEnd w:id="194"/>
      <w:bookmarkEnd w:id="195"/>
      <w:bookmarkEnd w:id="196"/>
      <w:bookmarkEnd w:id="197"/>
    </w:p>
    <w:p>
      <w:pPr>
        <w:spacing w:line="560" w:lineRule="exact"/>
        <w:ind w:firstLine="480" w:firstLineChars="200"/>
        <w:rPr>
          <w:rFonts w:ascii="宋体" w:hAnsi="宋体" w:cs="宋体"/>
          <w:sz w:val="24"/>
        </w:rPr>
      </w:pPr>
      <w:r>
        <w:rPr>
          <w:rFonts w:hint="eastAsia" w:ascii="宋体" w:hAnsi="宋体" w:cs="宋体"/>
          <w:sz w:val="24"/>
        </w:rPr>
        <w:t>6.1.1 评标由招标人依法组建的评标委员会负责。评标委员会由有关技术、经济等方面的专家组成。评标委员会成员人数以及技术、经济等方面专家的确定方式见投标人须知前附表。</w:t>
      </w:r>
    </w:p>
    <w:p>
      <w:pPr>
        <w:spacing w:line="560" w:lineRule="exact"/>
        <w:ind w:firstLine="480" w:firstLineChars="200"/>
        <w:rPr>
          <w:rFonts w:ascii="宋体" w:hAnsi="宋体" w:cs="宋体"/>
          <w:sz w:val="24"/>
        </w:rPr>
      </w:pPr>
      <w:r>
        <w:rPr>
          <w:rFonts w:hint="eastAsia" w:ascii="宋体" w:hAnsi="宋体" w:cs="宋体"/>
          <w:sz w:val="24"/>
        </w:rPr>
        <w:t>6.1.2 评标委员会成员有下列情形之一的，应当回避：</w:t>
      </w:r>
    </w:p>
    <w:p>
      <w:pPr>
        <w:spacing w:line="560" w:lineRule="exact"/>
        <w:ind w:firstLine="820" w:firstLineChars="342"/>
        <w:rPr>
          <w:rFonts w:ascii="宋体" w:hAnsi="宋体" w:cs="宋体"/>
          <w:sz w:val="24"/>
        </w:rPr>
      </w:pPr>
      <w:r>
        <w:rPr>
          <w:rFonts w:hint="eastAsia" w:ascii="宋体" w:hAnsi="宋体" w:cs="宋体"/>
          <w:sz w:val="24"/>
        </w:rPr>
        <w:t>（1）招标人或投标人的主要负责人的近亲属；</w:t>
      </w:r>
    </w:p>
    <w:p>
      <w:pPr>
        <w:spacing w:line="560" w:lineRule="exact"/>
        <w:ind w:firstLine="820" w:firstLineChars="342"/>
        <w:rPr>
          <w:rFonts w:ascii="宋体" w:hAnsi="宋体" w:cs="宋体"/>
          <w:sz w:val="24"/>
        </w:rPr>
      </w:pPr>
      <w:r>
        <w:rPr>
          <w:rFonts w:hint="eastAsia" w:ascii="宋体" w:hAnsi="宋体" w:cs="宋体"/>
          <w:sz w:val="24"/>
        </w:rPr>
        <w:t>（2）项目主管部门或者行政监督部门的人员；</w:t>
      </w:r>
    </w:p>
    <w:p>
      <w:pPr>
        <w:spacing w:line="560" w:lineRule="exact"/>
        <w:ind w:firstLine="820" w:firstLineChars="342"/>
        <w:rPr>
          <w:rFonts w:ascii="宋体" w:hAnsi="宋体" w:cs="宋体"/>
          <w:sz w:val="24"/>
        </w:rPr>
      </w:pPr>
      <w:r>
        <w:rPr>
          <w:rFonts w:hint="eastAsia" w:ascii="宋体" w:hAnsi="宋体" w:cs="宋体"/>
          <w:sz w:val="24"/>
        </w:rPr>
        <w:t>（3）与投标人有经济利益关系，可能影响对投标公正评审的；</w:t>
      </w:r>
    </w:p>
    <w:p>
      <w:pPr>
        <w:spacing w:line="560" w:lineRule="exact"/>
        <w:ind w:firstLine="820" w:firstLineChars="342"/>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pStyle w:val="47"/>
        <w:tabs>
          <w:tab w:val="left" w:pos="2620"/>
        </w:tabs>
        <w:spacing w:line="560" w:lineRule="exact"/>
        <w:rPr>
          <w:rFonts w:ascii="宋体" w:hAnsi="宋体" w:eastAsia="宋体"/>
          <w:szCs w:val="24"/>
        </w:rPr>
      </w:pPr>
      <w:bookmarkStart w:id="198" w:name="_Toc152045564"/>
      <w:bookmarkStart w:id="199" w:name="_Toc14977"/>
      <w:bookmarkStart w:id="200" w:name="_Toc17577"/>
      <w:bookmarkStart w:id="201" w:name="_Toc179632582"/>
      <w:bookmarkStart w:id="202" w:name="_Toc16491"/>
      <w:bookmarkStart w:id="203" w:name="_Toc144974532"/>
      <w:bookmarkStart w:id="204" w:name="_Toc152042340"/>
      <w:r>
        <w:rPr>
          <w:rFonts w:hint="eastAsia" w:ascii="宋体" w:hAnsi="宋体" w:eastAsia="宋体"/>
          <w:szCs w:val="24"/>
        </w:rPr>
        <w:t>6.2 评标原则</w:t>
      </w:r>
      <w:bookmarkEnd w:id="198"/>
      <w:bookmarkEnd w:id="199"/>
      <w:bookmarkEnd w:id="200"/>
      <w:bookmarkEnd w:id="201"/>
      <w:bookmarkEnd w:id="202"/>
      <w:bookmarkEnd w:id="203"/>
      <w:bookmarkEnd w:id="204"/>
      <w:r>
        <w:rPr>
          <w:rFonts w:hint="eastAsia" w:ascii="宋体" w:hAnsi="宋体" w:eastAsia="宋体"/>
          <w:szCs w:val="24"/>
        </w:rPr>
        <w:tab/>
      </w:r>
    </w:p>
    <w:p>
      <w:pPr>
        <w:spacing w:line="560" w:lineRule="exact"/>
        <w:ind w:firstLine="480" w:firstLineChars="200"/>
        <w:rPr>
          <w:rFonts w:ascii="宋体" w:hAnsi="宋体" w:cs="宋体"/>
          <w:sz w:val="24"/>
        </w:rPr>
      </w:pPr>
      <w:r>
        <w:rPr>
          <w:rFonts w:hint="eastAsia" w:ascii="宋体" w:hAnsi="宋体" w:cs="宋体"/>
          <w:sz w:val="24"/>
        </w:rPr>
        <w:t>评标活动遵循公平、公正、科学和择优的原则。</w:t>
      </w:r>
    </w:p>
    <w:p>
      <w:pPr>
        <w:pStyle w:val="47"/>
        <w:spacing w:line="560" w:lineRule="exact"/>
        <w:rPr>
          <w:rFonts w:ascii="宋体" w:hAnsi="宋体" w:eastAsia="宋体"/>
          <w:szCs w:val="24"/>
        </w:rPr>
      </w:pPr>
      <w:bookmarkStart w:id="205" w:name="_Toc144974533"/>
      <w:bookmarkStart w:id="206" w:name="_Toc152042341"/>
      <w:bookmarkStart w:id="207" w:name="_Toc179632583"/>
      <w:bookmarkStart w:id="208" w:name="_Toc32741"/>
      <w:bookmarkStart w:id="209" w:name="_Toc13809"/>
      <w:bookmarkStart w:id="210" w:name="_Toc152045565"/>
      <w:bookmarkStart w:id="211" w:name="_Toc18705"/>
      <w:r>
        <w:rPr>
          <w:rFonts w:hint="eastAsia" w:ascii="宋体" w:hAnsi="宋体" w:eastAsia="宋体"/>
          <w:szCs w:val="24"/>
        </w:rPr>
        <w:t>6.3 评标</w:t>
      </w:r>
      <w:bookmarkEnd w:id="205"/>
      <w:bookmarkEnd w:id="206"/>
      <w:bookmarkEnd w:id="207"/>
      <w:bookmarkEnd w:id="208"/>
      <w:bookmarkEnd w:id="209"/>
      <w:bookmarkEnd w:id="210"/>
      <w:bookmarkEnd w:id="211"/>
    </w:p>
    <w:p>
      <w:pPr>
        <w:spacing w:line="560" w:lineRule="exact"/>
        <w:ind w:firstLine="480" w:firstLineChars="200"/>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bookmarkStart w:id="212" w:name="_Toc144974534"/>
      <w:bookmarkStart w:id="213" w:name="_Toc179632584"/>
      <w:bookmarkStart w:id="214" w:name="_Toc152042342"/>
      <w:bookmarkStart w:id="215" w:name="_Toc152045566"/>
    </w:p>
    <w:p>
      <w:pPr>
        <w:spacing w:line="560" w:lineRule="exact"/>
        <w:jc w:val="left"/>
        <w:rPr>
          <w:rFonts w:ascii="宋体" w:hAnsi="宋体" w:cs="宋体"/>
          <w:b/>
          <w:sz w:val="32"/>
          <w:szCs w:val="32"/>
        </w:rPr>
      </w:pPr>
      <w:r>
        <w:rPr>
          <w:rFonts w:hint="eastAsia" w:ascii="宋体" w:hAnsi="宋体" w:cs="宋体"/>
          <w:b/>
          <w:sz w:val="32"/>
          <w:szCs w:val="32"/>
        </w:rPr>
        <w:t>7. 合同授予</w:t>
      </w:r>
      <w:bookmarkEnd w:id="212"/>
      <w:bookmarkEnd w:id="213"/>
      <w:bookmarkEnd w:id="214"/>
      <w:bookmarkEnd w:id="215"/>
      <w:bookmarkStart w:id="216" w:name="_Toc152042343"/>
      <w:bookmarkStart w:id="217" w:name="_Toc152045567"/>
      <w:bookmarkStart w:id="218" w:name="_Toc144974535"/>
      <w:bookmarkStart w:id="219" w:name="_Toc179632585"/>
    </w:p>
    <w:p>
      <w:pPr>
        <w:spacing w:line="560" w:lineRule="exact"/>
        <w:rPr>
          <w:rFonts w:ascii="宋体" w:hAnsi="宋体" w:cs="宋体"/>
          <w:sz w:val="24"/>
        </w:rPr>
      </w:pPr>
      <w:r>
        <w:rPr>
          <w:rFonts w:hint="eastAsia" w:ascii="宋体" w:hAnsi="宋体" w:cs="宋体"/>
          <w:sz w:val="24"/>
        </w:rPr>
        <w:t>7.1 定标方式</w:t>
      </w:r>
      <w:bookmarkEnd w:id="216"/>
      <w:bookmarkEnd w:id="217"/>
      <w:bookmarkEnd w:id="218"/>
      <w:bookmarkEnd w:id="219"/>
    </w:p>
    <w:p>
      <w:pPr>
        <w:spacing w:line="560" w:lineRule="exact"/>
        <w:ind w:firstLine="480" w:firstLineChars="200"/>
        <w:rPr>
          <w:rFonts w:ascii="宋体" w:hAnsi="宋体" w:cs="宋体"/>
          <w:sz w:val="24"/>
        </w:rPr>
      </w:pPr>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pStyle w:val="47"/>
        <w:spacing w:line="560" w:lineRule="exact"/>
        <w:rPr>
          <w:rFonts w:ascii="宋体" w:hAnsi="宋体" w:eastAsia="宋体"/>
          <w:szCs w:val="24"/>
        </w:rPr>
      </w:pPr>
      <w:bookmarkStart w:id="220" w:name="_Toc179632586"/>
      <w:bookmarkStart w:id="221" w:name="_Toc152045568"/>
      <w:bookmarkStart w:id="222" w:name="_Toc152042344"/>
      <w:bookmarkStart w:id="223" w:name="_Toc4981"/>
      <w:bookmarkStart w:id="224" w:name="_Toc28023"/>
      <w:bookmarkStart w:id="225" w:name="_Toc21100"/>
      <w:bookmarkStart w:id="226" w:name="_Toc144974536"/>
      <w:r>
        <w:rPr>
          <w:rFonts w:hint="eastAsia" w:ascii="宋体" w:hAnsi="宋体" w:eastAsia="宋体"/>
          <w:szCs w:val="24"/>
        </w:rPr>
        <w:t>7.2 中标通知</w:t>
      </w:r>
      <w:bookmarkEnd w:id="220"/>
      <w:bookmarkEnd w:id="221"/>
      <w:bookmarkEnd w:id="222"/>
      <w:bookmarkEnd w:id="223"/>
      <w:bookmarkEnd w:id="224"/>
      <w:bookmarkEnd w:id="225"/>
      <w:bookmarkEnd w:id="226"/>
    </w:p>
    <w:p>
      <w:pPr>
        <w:spacing w:line="560" w:lineRule="exact"/>
        <w:ind w:firstLine="480" w:firstLineChars="200"/>
        <w:rPr>
          <w:rFonts w:ascii="宋体" w:hAnsi="宋体" w:cs="宋体"/>
          <w:sz w:val="24"/>
        </w:rPr>
      </w:pPr>
      <w:r>
        <w:rPr>
          <w:rFonts w:hint="eastAsia" w:ascii="宋体" w:hAnsi="宋体" w:cs="宋体"/>
          <w:sz w:val="24"/>
        </w:rPr>
        <w:t>在本章第3.3款规定的投标有效期内，招标人以书面形式向中标人发出中标通知书，同时将中标结果通知未中标的投标人。联合体中标的，联合体各方应当共同与招标人签订合同，就中标项目向招标人承担连带责任。</w:t>
      </w:r>
    </w:p>
    <w:p>
      <w:pPr>
        <w:pStyle w:val="47"/>
        <w:spacing w:line="560" w:lineRule="exact"/>
        <w:rPr>
          <w:rFonts w:ascii="宋体" w:hAnsi="宋体" w:eastAsia="宋体"/>
          <w:szCs w:val="24"/>
        </w:rPr>
      </w:pPr>
      <w:bookmarkStart w:id="227" w:name="_Toc16485"/>
      <w:bookmarkStart w:id="228" w:name="_Toc152045569"/>
      <w:bookmarkStart w:id="229" w:name="_Toc152042345"/>
      <w:bookmarkStart w:id="230" w:name="_Toc144974537"/>
      <w:bookmarkStart w:id="231" w:name="_Toc12564"/>
      <w:bookmarkStart w:id="232" w:name="_Toc179632587"/>
      <w:bookmarkStart w:id="233" w:name="_Toc31787"/>
      <w:r>
        <w:rPr>
          <w:rFonts w:hint="eastAsia" w:ascii="宋体" w:hAnsi="宋体" w:eastAsia="宋体"/>
          <w:szCs w:val="24"/>
        </w:rPr>
        <w:t>7.3 履约担保</w:t>
      </w:r>
      <w:bookmarkEnd w:id="227"/>
      <w:bookmarkEnd w:id="228"/>
      <w:bookmarkEnd w:id="229"/>
      <w:bookmarkEnd w:id="230"/>
      <w:bookmarkEnd w:id="231"/>
      <w:bookmarkEnd w:id="232"/>
      <w:r>
        <w:rPr>
          <w:rFonts w:hint="eastAsia" w:ascii="宋体" w:hAnsi="宋体" w:eastAsia="宋体"/>
          <w:szCs w:val="24"/>
        </w:rPr>
        <w:t>（如有）</w:t>
      </w:r>
      <w:bookmarkEnd w:id="233"/>
    </w:p>
    <w:p>
      <w:pPr>
        <w:spacing w:line="560" w:lineRule="exact"/>
        <w:ind w:firstLine="480" w:firstLineChars="200"/>
        <w:rPr>
          <w:rFonts w:ascii="宋体" w:hAnsi="宋体" w:cs="宋体"/>
          <w:sz w:val="24"/>
        </w:rPr>
      </w:pPr>
      <w:r>
        <w:rPr>
          <w:rFonts w:hint="eastAsia" w:ascii="宋体" w:hAnsi="宋体" w:cs="宋体"/>
          <w:sz w:val="24"/>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560" w:lineRule="exact"/>
        <w:ind w:firstLine="480" w:firstLineChars="200"/>
        <w:rPr>
          <w:rFonts w:ascii="宋体" w:hAnsi="宋体" w:cs="宋体"/>
          <w:sz w:val="24"/>
        </w:rPr>
      </w:pPr>
      <w:r>
        <w:rPr>
          <w:rFonts w:hint="eastAsia" w:ascii="宋体" w:hAnsi="宋体" w:cs="宋体"/>
          <w:sz w:val="24"/>
        </w:rPr>
        <w:t>7.3.2 中标人不能按本章第7.3.1项要求提交履约担保的，视为放弃中标，给招标人造成的损失的，中标人还应予以赔偿。</w:t>
      </w:r>
    </w:p>
    <w:p>
      <w:pPr>
        <w:pStyle w:val="47"/>
        <w:spacing w:line="560" w:lineRule="exact"/>
        <w:rPr>
          <w:rFonts w:ascii="宋体" w:hAnsi="宋体" w:eastAsia="宋体"/>
          <w:szCs w:val="24"/>
        </w:rPr>
      </w:pPr>
      <w:bookmarkStart w:id="234" w:name="_Toc15943"/>
      <w:bookmarkStart w:id="235" w:name="_Toc144974538"/>
      <w:bookmarkStart w:id="236" w:name="_Toc152045570"/>
      <w:bookmarkStart w:id="237" w:name="_Toc152042346"/>
      <w:bookmarkStart w:id="238" w:name="_Toc15497"/>
      <w:bookmarkStart w:id="239" w:name="_Toc179632588"/>
      <w:bookmarkStart w:id="240" w:name="_Toc12451"/>
      <w:r>
        <w:rPr>
          <w:rFonts w:hint="eastAsia" w:ascii="宋体" w:hAnsi="宋体" w:eastAsia="宋体"/>
          <w:szCs w:val="24"/>
        </w:rPr>
        <w:t>7.4 签订合同</w:t>
      </w:r>
      <w:bookmarkEnd w:id="234"/>
      <w:bookmarkEnd w:id="235"/>
      <w:bookmarkEnd w:id="236"/>
      <w:bookmarkEnd w:id="237"/>
      <w:bookmarkEnd w:id="238"/>
      <w:bookmarkEnd w:id="239"/>
      <w:bookmarkEnd w:id="240"/>
    </w:p>
    <w:p>
      <w:pPr>
        <w:spacing w:line="560" w:lineRule="exact"/>
        <w:ind w:firstLine="480" w:firstLineChars="200"/>
        <w:rPr>
          <w:rFonts w:ascii="宋体" w:hAnsi="宋体" w:cs="宋体"/>
          <w:sz w:val="24"/>
        </w:rPr>
      </w:pPr>
      <w:r>
        <w:rPr>
          <w:rFonts w:hint="eastAsia" w:ascii="宋体" w:hAnsi="宋体" w:cs="宋体"/>
          <w:sz w:val="24"/>
        </w:rPr>
        <w:t xml:space="preserve">7.4.1招标人和中标人应当自中标通知书发出之日起30天内，根据招标文件和中标人的投标文件订立书面合同。中标人无正当理由拒签合同的，招标人取消其中标资格，并承担法律责任。 </w:t>
      </w:r>
    </w:p>
    <w:p>
      <w:pPr>
        <w:spacing w:line="560" w:lineRule="exact"/>
        <w:ind w:firstLine="480" w:firstLineChars="200"/>
        <w:rPr>
          <w:rFonts w:ascii="宋体" w:hAnsi="宋体" w:cs="宋体"/>
          <w:sz w:val="24"/>
        </w:rPr>
      </w:pPr>
      <w:r>
        <w:rPr>
          <w:rFonts w:hint="eastAsia" w:ascii="宋体" w:hAnsi="宋体" w:cs="宋体"/>
          <w:sz w:val="24"/>
        </w:rPr>
        <w:t xml:space="preserve">7.4.2 发出中标通知书后，招标人无正当理由拒签合同的，并承担法律责任。  </w:t>
      </w:r>
      <w:bookmarkStart w:id="241" w:name="_Toc179632589"/>
      <w:bookmarkStart w:id="242" w:name="_Toc144974539"/>
      <w:bookmarkStart w:id="243" w:name="_Toc152045571"/>
      <w:bookmarkStart w:id="244" w:name="_Toc152042347"/>
    </w:p>
    <w:p>
      <w:pPr>
        <w:spacing w:line="560" w:lineRule="exact"/>
        <w:jc w:val="left"/>
        <w:rPr>
          <w:rFonts w:ascii="宋体" w:hAnsi="宋体" w:cs="宋体"/>
          <w:b/>
          <w:sz w:val="24"/>
        </w:rPr>
      </w:pPr>
      <w:r>
        <w:rPr>
          <w:rFonts w:hint="eastAsia" w:ascii="宋体" w:hAnsi="宋体" w:cs="宋体"/>
          <w:b/>
          <w:sz w:val="32"/>
          <w:szCs w:val="32"/>
        </w:rPr>
        <w:t>8. 重新招标和不再招标</w:t>
      </w:r>
      <w:bookmarkEnd w:id="241"/>
      <w:bookmarkEnd w:id="242"/>
      <w:bookmarkEnd w:id="243"/>
      <w:bookmarkEnd w:id="244"/>
    </w:p>
    <w:p>
      <w:pPr>
        <w:pStyle w:val="47"/>
        <w:spacing w:line="560" w:lineRule="exact"/>
        <w:rPr>
          <w:rFonts w:ascii="宋体" w:hAnsi="宋体" w:eastAsia="宋体"/>
          <w:szCs w:val="24"/>
        </w:rPr>
      </w:pPr>
      <w:bookmarkStart w:id="245" w:name="_Toc4080"/>
      <w:bookmarkStart w:id="246" w:name="_Toc152045572"/>
      <w:bookmarkStart w:id="247" w:name="_Toc144974540"/>
      <w:bookmarkStart w:id="248" w:name="_Toc2402"/>
      <w:bookmarkStart w:id="249" w:name="_Toc30703"/>
      <w:bookmarkStart w:id="250" w:name="_Toc152042348"/>
      <w:bookmarkStart w:id="251" w:name="_Toc179632590"/>
      <w:r>
        <w:rPr>
          <w:rFonts w:hint="eastAsia" w:ascii="宋体" w:hAnsi="宋体" w:eastAsia="宋体"/>
          <w:szCs w:val="24"/>
        </w:rPr>
        <w:t>8.1 重新招标</w:t>
      </w:r>
      <w:bookmarkEnd w:id="245"/>
      <w:bookmarkEnd w:id="246"/>
      <w:bookmarkEnd w:id="247"/>
      <w:bookmarkEnd w:id="248"/>
      <w:bookmarkEnd w:id="249"/>
      <w:bookmarkEnd w:id="250"/>
      <w:bookmarkEnd w:id="251"/>
    </w:p>
    <w:p>
      <w:pPr>
        <w:spacing w:line="560" w:lineRule="exact"/>
        <w:ind w:firstLine="480" w:firstLineChars="200"/>
        <w:rPr>
          <w:rFonts w:ascii="宋体" w:hAnsi="宋体" w:cs="宋体"/>
          <w:sz w:val="24"/>
        </w:rPr>
      </w:pPr>
      <w:r>
        <w:rPr>
          <w:rFonts w:hint="eastAsia" w:ascii="宋体" w:hAnsi="宋体" w:cs="宋体"/>
          <w:sz w:val="24"/>
        </w:rPr>
        <w:t>有下列情形之一的，招标人将重新招标：</w:t>
      </w:r>
    </w:p>
    <w:p>
      <w:pPr>
        <w:spacing w:line="560" w:lineRule="exact"/>
        <w:ind w:firstLine="410" w:firstLineChars="171"/>
        <w:rPr>
          <w:rFonts w:ascii="宋体" w:hAnsi="宋体" w:cs="宋体"/>
          <w:sz w:val="24"/>
        </w:rPr>
      </w:pPr>
      <w:r>
        <w:rPr>
          <w:rFonts w:hint="eastAsia" w:ascii="宋体" w:hAnsi="宋体" w:cs="宋体"/>
          <w:sz w:val="24"/>
        </w:rPr>
        <w:t>（1）投标截止时间止，投标人少于3个的；</w:t>
      </w:r>
    </w:p>
    <w:p>
      <w:pPr>
        <w:spacing w:line="560" w:lineRule="exact"/>
        <w:ind w:firstLine="410" w:firstLineChars="171"/>
        <w:rPr>
          <w:rFonts w:ascii="宋体" w:hAnsi="宋体" w:cs="宋体"/>
          <w:sz w:val="24"/>
        </w:rPr>
      </w:pPr>
      <w:r>
        <w:rPr>
          <w:rFonts w:hint="eastAsia" w:ascii="宋体" w:hAnsi="宋体" w:cs="宋体"/>
          <w:sz w:val="24"/>
        </w:rPr>
        <w:t>（2）经评标委员会评审后否决所有投标的。</w:t>
      </w:r>
    </w:p>
    <w:p>
      <w:pPr>
        <w:pStyle w:val="47"/>
        <w:spacing w:line="560" w:lineRule="exact"/>
        <w:rPr>
          <w:rFonts w:ascii="宋体" w:hAnsi="宋体" w:eastAsia="宋体"/>
          <w:szCs w:val="24"/>
        </w:rPr>
      </w:pPr>
      <w:bookmarkStart w:id="252" w:name="_Toc25783"/>
      <w:bookmarkStart w:id="253" w:name="_Toc144974541"/>
      <w:bookmarkStart w:id="254" w:name="_Toc27882"/>
      <w:bookmarkStart w:id="255" w:name="_Toc152042349"/>
      <w:bookmarkStart w:id="256" w:name="_Toc179632591"/>
      <w:bookmarkStart w:id="257" w:name="_Toc152045573"/>
      <w:bookmarkStart w:id="258" w:name="_Toc8335"/>
      <w:r>
        <w:rPr>
          <w:rFonts w:hint="eastAsia" w:ascii="宋体" w:hAnsi="宋体" w:eastAsia="宋体"/>
          <w:szCs w:val="24"/>
        </w:rPr>
        <w:t>8.2 不再招标</w:t>
      </w:r>
      <w:bookmarkEnd w:id="252"/>
      <w:bookmarkEnd w:id="253"/>
      <w:bookmarkEnd w:id="254"/>
      <w:bookmarkEnd w:id="255"/>
      <w:bookmarkEnd w:id="256"/>
      <w:bookmarkEnd w:id="257"/>
      <w:bookmarkEnd w:id="258"/>
    </w:p>
    <w:p>
      <w:pPr>
        <w:spacing w:line="560" w:lineRule="exact"/>
        <w:ind w:firstLine="480" w:firstLineChars="200"/>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bookmarkStart w:id="259" w:name="_Toc179632592"/>
      <w:bookmarkStart w:id="260" w:name="_Toc144974542"/>
      <w:bookmarkStart w:id="261" w:name="_Toc152042350"/>
      <w:bookmarkStart w:id="262" w:name="_Toc152045574"/>
    </w:p>
    <w:p>
      <w:pPr>
        <w:pStyle w:val="44"/>
        <w:spacing w:line="560" w:lineRule="exact"/>
        <w:jc w:val="left"/>
        <w:rPr>
          <w:rFonts w:ascii="宋体" w:hAnsi="宋体"/>
          <w:b/>
          <w:sz w:val="32"/>
          <w:szCs w:val="32"/>
        </w:rPr>
      </w:pPr>
      <w:bookmarkStart w:id="263" w:name="_Toc31188"/>
      <w:bookmarkStart w:id="264" w:name="_Toc21064"/>
      <w:bookmarkStart w:id="265" w:name="_Toc15370"/>
      <w:r>
        <w:rPr>
          <w:rFonts w:hint="eastAsia" w:ascii="宋体" w:hAnsi="宋体"/>
          <w:b/>
          <w:sz w:val="32"/>
          <w:szCs w:val="32"/>
        </w:rPr>
        <w:t>9. 纪律和监督</w:t>
      </w:r>
      <w:bookmarkEnd w:id="259"/>
      <w:bookmarkEnd w:id="260"/>
      <w:bookmarkEnd w:id="261"/>
      <w:bookmarkEnd w:id="262"/>
      <w:bookmarkEnd w:id="263"/>
      <w:bookmarkEnd w:id="264"/>
      <w:bookmarkEnd w:id="265"/>
    </w:p>
    <w:p>
      <w:pPr>
        <w:pStyle w:val="47"/>
        <w:spacing w:line="560" w:lineRule="exact"/>
        <w:rPr>
          <w:rFonts w:ascii="宋体" w:hAnsi="宋体" w:eastAsia="宋体"/>
          <w:szCs w:val="24"/>
        </w:rPr>
      </w:pPr>
      <w:bookmarkStart w:id="266" w:name="_Toc179632593"/>
      <w:bookmarkStart w:id="267" w:name="_Toc5820"/>
      <w:bookmarkStart w:id="268" w:name="_Toc152045575"/>
      <w:bookmarkStart w:id="269" w:name="_Toc144974543"/>
      <w:bookmarkStart w:id="270" w:name="_Toc11592"/>
      <w:bookmarkStart w:id="271" w:name="_Toc152042351"/>
      <w:bookmarkStart w:id="272" w:name="_Toc18568"/>
      <w:r>
        <w:rPr>
          <w:rFonts w:hint="eastAsia" w:ascii="宋体" w:hAnsi="宋体" w:eastAsia="宋体"/>
          <w:szCs w:val="24"/>
        </w:rPr>
        <w:t>9.1 对招标人的纪律要求</w:t>
      </w:r>
      <w:bookmarkEnd w:id="266"/>
      <w:bookmarkEnd w:id="267"/>
      <w:bookmarkEnd w:id="268"/>
      <w:bookmarkEnd w:id="269"/>
      <w:bookmarkEnd w:id="270"/>
      <w:bookmarkEnd w:id="271"/>
      <w:bookmarkEnd w:id="272"/>
    </w:p>
    <w:p>
      <w:pPr>
        <w:spacing w:line="560" w:lineRule="exact"/>
        <w:ind w:firstLine="480" w:firstLineChars="200"/>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pStyle w:val="47"/>
        <w:spacing w:line="560" w:lineRule="exact"/>
        <w:rPr>
          <w:rFonts w:ascii="宋体" w:hAnsi="宋体" w:eastAsia="宋体"/>
          <w:szCs w:val="24"/>
        </w:rPr>
      </w:pPr>
      <w:bookmarkStart w:id="273" w:name="_Toc179632594"/>
      <w:bookmarkStart w:id="274" w:name="_Toc152045576"/>
      <w:bookmarkStart w:id="275" w:name="_Toc4372"/>
      <w:bookmarkStart w:id="276" w:name="_Toc144974544"/>
      <w:bookmarkStart w:id="277" w:name="_Toc28519"/>
      <w:bookmarkStart w:id="278" w:name="_Toc152042352"/>
      <w:bookmarkStart w:id="279" w:name="_Toc6748"/>
      <w:r>
        <w:rPr>
          <w:rFonts w:hint="eastAsia" w:ascii="宋体" w:hAnsi="宋体" w:eastAsia="宋体"/>
          <w:szCs w:val="24"/>
        </w:rPr>
        <w:t>9.2 对投标人的纪律要求</w:t>
      </w:r>
      <w:bookmarkEnd w:id="273"/>
      <w:bookmarkEnd w:id="274"/>
      <w:bookmarkEnd w:id="275"/>
      <w:bookmarkEnd w:id="276"/>
      <w:bookmarkEnd w:id="277"/>
      <w:bookmarkEnd w:id="278"/>
      <w:bookmarkEnd w:id="279"/>
    </w:p>
    <w:p>
      <w:pPr>
        <w:spacing w:line="560" w:lineRule="exact"/>
        <w:ind w:firstLine="480" w:firstLineChars="200"/>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7"/>
        <w:spacing w:line="560" w:lineRule="exact"/>
        <w:rPr>
          <w:rFonts w:ascii="宋体" w:hAnsi="宋体" w:eastAsia="宋体"/>
          <w:szCs w:val="24"/>
        </w:rPr>
      </w:pPr>
      <w:bookmarkStart w:id="280" w:name="_Toc10301"/>
      <w:bookmarkStart w:id="281" w:name="_Toc144974545"/>
      <w:bookmarkStart w:id="282" w:name="_Toc23916"/>
      <w:bookmarkStart w:id="283" w:name="_Toc3309"/>
      <w:bookmarkStart w:id="284" w:name="_Toc152042353"/>
      <w:bookmarkStart w:id="285" w:name="_Toc152045577"/>
      <w:bookmarkStart w:id="286" w:name="_Toc179632595"/>
      <w:r>
        <w:rPr>
          <w:rFonts w:hint="eastAsia" w:ascii="宋体" w:hAnsi="宋体" w:eastAsia="宋体"/>
          <w:szCs w:val="24"/>
        </w:rPr>
        <w:t>9.3 对评标委员会成员的纪律要求</w:t>
      </w:r>
      <w:bookmarkEnd w:id="280"/>
      <w:bookmarkEnd w:id="281"/>
      <w:bookmarkEnd w:id="282"/>
      <w:bookmarkEnd w:id="283"/>
      <w:bookmarkEnd w:id="284"/>
      <w:bookmarkEnd w:id="285"/>
      <w:bookmarkEnd w:id="286"/>
    </w:p>
    <w:p>
      <w:pPr>
        <w:spacing w:line="560" w:lineRule="exact"/>
        <w:ind w:firstLine="480" w:firstLineChars="200"/>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7"/>
        <w:spacing w:line="560" w:lineRule="exact"/>
        <w:rPr>
          <w:rFonts w:ascii="宋体" w:hAnsi="宋体" w:eastAsia="宋体"/>
          <w:szCs w:val="24"/>
        </w:rPr>
      </w:pPr>
      <w:bookmarkStart w:id="287" w:name="_Toc22119"/>
      <w:bookmarkStart w:id="288" w:name="_Toc152045578"/>
      <w:bookmarkStart w:id="289" w:name="_Toc20289"/>
      <w:bookmarkStart w:id="290" w:name="_Toc179632596"/>
      <w:bookmarkStart w:id="291" w:name="_Toc32408"/>
      <w:bookmarkStart w:id="292" w:name="_Toc152042354"/>
      <w:bookmarkStart w:id="293" w:name="_Toc144974546"/>
      <w:r>
        <w:rPr>
          <w:rFonts w:hint="eastAsia" w:ascii="宋体" w:hAnsi="宋体" w:eastAsia="宋体"/>
          <w:szCs w:val="24"/>
        </w:rPr>
        <w:t>9.4 对与评标活动有关的工作人员的纪律要求</w:t>
      </w:r>
      <w:bookmarkEnd w:id="287"/>
      <w:bookmarkEnd w:id="288"/>
      <w:bookmarkEnd w:id="289"/>
      <w:bookmarkEnd w:id="290"/>
      <w:bookmarkEnd w:id="291"/>
      <w:bookmarkEnd w:id="292"/>
    </w:p>
    <w:p>
      <w:pPr>
        <w:spacing w:line="560" w:lineRule="exact"/>
        <w:ind w:firstLine="480" w:firstLineChars="200"/>
        <w:rPr>
          <w:rFonts w:ascii="宋体" w:hAnsi="宋体" w:cs="宋体"/>
          <w:sz w:val="24"/>
        </w:rPr>
      </w:pPr>
      <w:bookmarkStart w:id="294" w:name="_Toc152042355"/>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94"/>
    </w:p>
    <w:p>
      <w:pPr>
        <w:pStyle w:val="47"/>
        <w:spacing w:line="560" w:lineRule="exact"/>
        <w:rPr>
          <w:rFonts w:ascii="宋体" w:hAnsi="宋体" w:eastAsia="宋体"/>
          <w:szCs w:val="24"/>
        </w:rPr>
      </w:pPr>
      <w:bookmarkStart w:id="295" w:name="_Toc152045579"/>
      <w:bookmarkStart w:id="296" w:name="_Toc31454"/>
      <w:bookmarkStart w:id="297" w:name="_Toc152042356"/>
      <w:bookmarkStart w:id="298" w:name="_Toc179632597"/>
      <w:bookmarkStart w:id="299" w:name="_Toc2275"/>
      <w:bookmarkStart w:id="300" w:name="_Toc7764"/>
      <w:r>
        <w:rPr>
          <w:rFonts w:hint="eastAsia" w:ascii="宋体" w:hAnsi="宋体" w:eastAsia="宋体"/>
          <w:szCs w:val="24"/>
        </w:rPr>
        <w:t>9.5 投诉</w:t>
      </w:r>
      <w:bookmarkEnd w:id="293"/>
      <w:bookmarkEnd w:id="295"/>
      <w:bookmarkEnd w:id="296"/>
      <w:bookmarkEnd w:id="297"/>
      <w:bookmarkEnd w:id="298"/>
      <w:bookmarkEnd w:id="299"/>
      <w:bookmarkEnd w:id="300"/>
    </w:p>
    <w:p>
      <w:pPr>
        <w:spacing w:line="560" w:lineRule="exact"/>
        <w:ind w:firstLine="480" w:firstLineChars="200"/>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pStyle w:val="44"/>
        <w:spacing w:line="560" w:lineRule="exact"/>
        <w:jc w:val="left"/>
        <w:rPr>
          <w:rFonts w:ascii="宋体" w:hAnsi="宋体"/>
          <w:b/>
          <w:sz w:val="32"/>
          <w:szCs w:val="32"/>
        </w:rPr>
      </w:pPr>
      <w:bookmarkStart w:id="301" w:name="_Toc7717"/>
      <w:bookmarkStart w:id="302" w:name="_Toc24399"/>
      <w:bookmarkStart w:id="303" w:name="_Toc31228"/>
      <w:bookmarkStart w:id="304" w:name="_Toc152045587"/>
      <w:bookmarkStart w:id="305" w:name="_Toc179632605"/>
      <w:bookmarkStart w:id="306" w:name="_Toc144974554"/>
      <w:bookmarkStart w:id="307" w:name="_Toc152042364"/>
      <w:bookmarkStart w:id="308" w:name="_Toc179632627"/>
      <w:bookmarkStart w:id="309" w:name="_Toc152042387"/>
      <w:bookmarkStart w:id="310" w:name="_Toc144974577"/>
      <w:bookmarkStart w:id="311" w:name="_Toc152045609"/>
      <w:r>
        <w:rPr>
          <w:rFonts w:hint="eastAsia" w:ascii="宋体" w:hAnsi="宋体"/>
          <w:b/>
          <w:sz w:val="32"/>
          <w:szCs w:val="32"/>
        </w:rPr>
        <w:t>10. 需要补充的其他内容</w:t>
      </w:r>
      <w:bookmarkEnd w:id="301"/>
      <w:bookmarkEnd w:id="302"/>
      <w:bookmarkEnd w:id="303"/>
    </w:p>
    <w:p>
      <w:pPr>
        <w:spacing w:line="560" w:lineRule="exact"/>
        <w:rPr>
          <w:rFonts w:ascii="宋体" w:hAnsi="宋体" w:cs="宋体"/>
          <w:sz w:val="24"/>
        </w:rPr>
      </w:pPr>
      <w:bookmarkStart w:id="312" w:name="_Toc152045580"/>
      <w:bookmarkStart w:id="313" w:name="_Toc152042357"/>
      <w:bookmarkStart w:id="314" w:name="_Toc179632598"/>
      <w:bookmarkStart w:id="315" w:name="_Toc144974547"/>
      <w:r>
        <w:rPr>
          <w:rFonts w:hint="eastAsia" w:ascii="宋体" w:hAnsi="宋体" w:cs="宋体"/>
          <w:sz w:val="24"/>
        </w:rPr>
        <w:t>需要补充的其他内容</w:t>
      </w:r>
    </w:p>
    <w:p>
      <w:pPr>
        <w:spacing w:line="560" w:lineRule="exact"/>
        <w:rPr>
          <w:rFonts w:ascii="宋体" w:hAnsi="宋体" w:cs="宋体"/>
          <w:sz w:val="24"/>
        </w:rPr>
      </w:pPr>
      <w:r>
        <w:rPr>
          <w:rFonts w:hint="eastAsia" w:ascii="宋体" w:hAnsi="宋体" w:cs="宋体"/>
          <w:sz w:val="24"/>
        </w:rPr>
        <w:t>需要补充的其他内容：见投标人须知前附表。</w:t>
      </w:r>
    </w:p>
    <w:p>
      <w:pPr>
        <w:spacing w:line="560" w:lineRule="exact"/>
        <w:rPr>
          <w:rFonts w:ascii="宋体" w:hAnsi="宋体" w:cs="宋体"/>
          <w:sz w:val="24"/>
        </w:rPr>
      </w:pPr>
      <w:r>
        <w:rPr>
          <w:rFonts w:hint="eastAsia" w:ascii="宋体" w:hAnsi="宋体" w:cs="宋体"/>
          <w:sz w:val="24"/>
        </w:rPr>
        <w:t xml:space="preserve"> </w:t>
      </w:r>
    </w:p>
    <w:p>
      <w:pPr>
        <w:spacing w:line="560" w:lineRule="exact"/>
        <w:rPr>
          <w:rFonts w:ascii="宋体" w:hAnsi="宋体"/>
          <w:sz w:val="24"/>
        </w:rPr>
      </w:pPr>
    </w:p>
    <w:bookmarkEnd w:id="312"/>
    <w:bookmarkEnd w:id="313"/>
    <w:bookmarkEnd w:id="314"/>
    <w:bookmarkEnd w:id="315"/>
    <w:p/>
    <w:bookmarkEnd w:id="304"/>
    <w:bookmarkEnd w:id="305"/>
    <w:bookmarkEnd w:id="306"/>
    <w:bookmarkEnd w:id="307"/>
    <w:p>
      <w:pPr>
        <w:jc w:val="center"/>
        <w:rPr>
          <w:rStyle w:val="48"/>
          <w:rFonts w:ascii="宋体" w:hAnsi="宋体" w:cs="宋体"/>
        </w:rPr>
      </w:pPr>
    </w:p>
    <w:p>
      <w:pPr>
        <w:ind w:left="1267"/>
        <w:jc w:val="center"/>
      </w:pPr>
      <w:r>
        <w:rPr>
          <w:rStyle w:val="48"/>
          <w:rFonts w:hint="eastAsia" w:ascii="宋体" w:hAnsi="宋体" w:cs="宋体"/>
        </w:rPr>
        <w:br w:type="page"/>
      </w:r>
      <w:bookmarkStart w:id="316" w:name="_Toc3240"/>
      <w:r>
        <w:rPr>
          <w:rStyle w:val="48"/>
          <w:rFonts w:hint="eastAsia" w:ascii="宋体" w:hAnsi="宋体" w:cs="宋体"/>
          <w:sz w:val="36"/>
          <w:szCs w:val="36"/>
        </w:rPr>
        <w:t>第三章</w:t>
      </w:r>
      <w:r>
        <w:rPr>
          <w:rStyle w:val="48"/>
          <w:rFonts w:hint="eastAsia" w:ascii="宋体" w:hAnsi="宋体" w:cs="宋体"/>
          <w:sz w:val="36"/>
          <w:szCs w:val="36"/>
          <w:lang w:val="en-US" w:eastAsia="zh-CN"/>
        </w:rPr>
        <w:t xml:space="preserve"> </w:t>
      </w:r>
      <w:r>
        <w:rPr>
          <w:rStyle w:val="48"/>
          <w:rFonts w:hint="eastAsia" w:ascii="宋体" w:hAnsi="宋体" w:cs="宋体"/>
          <w:sz w:val="36"/>
          <w:szCs w:val="36"/>
        </w:rPr>
        <w:t>评标办法（综合评估法）</w:t>
      </w:r>
      <w:bookmarkEnd w:id="316"/>
    </w:p>
    <w:p>
      <w:pPr>
        <w:spacing w:line="360" w:lineRule="auto"/>
        <w:jc w:val="center"/>
        <w:rPr>
          <w:rFonts w:ascii="宋体" w:cs="宋体"/>
          <w:sz w:val="24"/>
        </w:rPr>
      </w:pPr>
      <w:r>
        <w:rPr>
          <w:rFonts w:hint="eastAsia" w:ascii="宋体" w:hAnsi="宋体" w:cs="宋体"/>
          <w:b/>
          <w:sz w:val="24"/>
        </w:rPr>
        <w:t>评标办法前附表</w:t>
      </w:r>
    </w:p>
    <w:tbl>
      <w:tblPr>
        <w:tblStyle w:val="25"/>
        <w:tblpPr w:leftFromText="180" w:rightFromText="180" w:vertAnchor="text" w:tblpXSpec="center" w:tblpY="1"/>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75"/>
        <w:gridCol w:w="2424"/>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30" w:type="dxa"/>
            <w:gridSpan w:val="2"/>
          </w:tcPr>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条款号</w:t>
            </w:r>
          </w:p>
        </w:tc>
        <w:tc>
          <w:tcPr>
            <w:tcW w:w="2424" w:type="dxa"/>
          </w:tcPr>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评审因素</w:t>
            </w:r>
          </w:p>
        </w:tc>
        <w:tc>
          <w:tcPr>
            <w:tcW w:w="4906" w:type="dxa"/>
          </w:tcPr>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5" w:type="dxa"/>
            <w:vMerge w:val="restart"/>
          </w:tcPr>
          <w:p>
            <w:pPr>
              <w:jc w:val="center"/>
              <w:rPr>
                <w:rFonts w:cs="宋体" w:asciiTheme="minorEastAsia" w:hAnsiTheme="minorEastAsia" w:eastAsiaTheme="minorEastAsia"/>
                <w:sz w:val="24"/>
              </w:rPr>
            </w:pPr>
          </w:p>
          <w:p>
            <w:pPr>
              <w:jc w:val="center"/>
              <w:rPr>
                <w:rFonts w:cs="宋体" w:asciiTheme="minorEastAsia" w:hAnsiTheme="minorEastAsia" w:eastAsiaTheme="minorEastAsia"/>
                <w:sz w:val="24"/>
              </w:rPr>
            </w:pPr>
            <w:r>
              <w:rPr>
                <w:rFonts w:cs="宋体" w:asciiTheme="minorEastAsia" w:hAnsiTheme="minorEastAsia" w:eastAsiaTheme="minorEastAsia"/>
                <w:sz w:val="24"/>
              </w:rPr>
              <w:t>2.1.1</w:t>
            </w:r>
          </w:p>
        </w:tc>
        <w:tc>
          <w:tcPr>
            <w:tcW w:w="675" w:type="dxa"/>
            <w:vMerge w:val="restart"/>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形式评审标准</w:t>
            </w:r>
          </w:p>
        </w:tc>
        <w:tc>
          <w:tcPr>
            <w:tcW w:w="2424" w:type="dxa"/>
            <w:vAlign w:val="center"/>
          </w:tcPr>
          <w:p>
            <w:pPr>
              <w:pStyle w:val="46"/>
              <w:spacing w:line="476" w:lineRule="exact"/>
              <w:jc w:val="left"/>
              <w:rPr>
                <w:sz w:val="24"/>
              </w:rPr>
            </w:pPr>
            <w:r>
              <w:rPr>
                <w:sz w:val="24"/>
              </w:rPr>
              <w:t>投标人名称</w:t>
            </w:r>
          </w:p>
        </w:tc>
        <w:tc>
          <w:tcPr>
            <w:tcW w:w="4906" w:type="dxa"/>
          </w:tcPr>
          <w:p>
            <w:pPr>
              <w:pStyle w:val="46"/>
              <w:spacing w:line="476" w:lineRule="exact"/>
              <w:jc w:val="left"/>
              <w:rPr>
                <w:sz w:val="24"/>
              </w:rPr>
            </w:pPr>
            <w:r>
              <w:rPr>
                <w:sz w:val="24"/>
              </w:rPr>
              <w:t xml:space="preserve">与营业执照、资质证书、安全生产许可证一致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jc w:val="center"/>
              <w:rPr>
                <w:rFonts w:cs="宋体" w:asciiTheme="minorEastAsia" w:hAnsiTheme="minorEastAsia" w:eastAsiaTheme="minorEastAsia"/>
                <w:sz w:val="24"/>
              </w:rPr>
            </w:pPr>
          </w:p>
        </w:tc>
        <w:tc>
          <w:tcPr>
            <w:tcW w:w="2424" w:type="dxa"/>
            <w:vAlign w:val="center"/>
          </w:tcPr>
          <w:p>
            <w:pPr>
              <w:pStyle w:val="46"/>
              <w:spacing w:line="476" w:lineRule="exact"/>
              <w:rPr>
                <w:sz w:val="24"/>
              </w:rPr>
            </w:pPr>
            <w:r>
              <w:rPr>
                <w:sz w:val="24"/>
              </w:rPr>
              <w:t>投标文件签字盖章</w:t>
            </w:r>
          </w:p>
        </w:tc>
        <w:tc>
          <w:tcPr>
            <w:tcW w:w="4906" w:type="dxa"/>
          </w:tcPr>
          <w:p>
            <w:pPr>
              <w:pStyle w:val="46"/>
              <w:spacing w:line="476" w:lineRule="exact"/>
              <w:jc w:val="left"/>
              <w:rPr>
                <w:sz w:val="24"/>
              </w:rPr>
            </w:pPr>
            <w:r>
              <w:rPr>
                <w:sz w:val="24"/>
              </w:rPr>
              <w:t xml:space="preserve">签字盖章符合“投标人须知”前附表规定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jc w:val="center"/>
              <w:rPr>
                <w:rFonts w:cs="宋体" w:asciiTheme="minorEastAsia" w:hAnsiTheme="minorEastAsia" w:eastAsiaTheme="minorEastAsia"/>
                <w:sz w:val="24"/>
              </w:rPr>
            </w:pPr>
          </w:p>
        </w:tc>
        <w:tc>
          <w:tcPr>
            <w:tcW w:w="2424" w:type="dxa"/>
            <w:vAlign w:val="center"/>
          </w:tcPr>
          <w:p>
            <w:pPr>
              <w:pStyle w:val="46"/>
              <w:spacing w:line="476" w:lineRule="exact"/>
              <w:rPr>
                <w:sz w:val="24"/>
              </w:rPr>
            </w:pPr>
            <w:r>
              <w:rPr>
                <w:sz w:val="24"/>
              </w:rPr>
              <w:t>投标文件格式</w:t>
            </w:r>
          </w:p>
        </w:tc>
        <w:tc>
          <w:tcPr>
            <w:tcW w:w="4906" w:type="dxa"/>
          </w:tcPr>
          <w:p>
            <w:pPr>
              <w:pStyle w:val="46"/>
              <w:spacing w:line="476" w:lineRule="exact"/>
              <w:jc w:val="left"/>
              <w:rPr>
                <w:sz w:val="24"/>
              </w:rPr>
            </w:pPr>
            <w:r>
              <w:rPr>
                <w:sz w:val="24"/>
              </w:rPr>
              <w:t xml:space="preserve">符合投标文件格式的要求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jc w:val="center"/>
              <w:rPr>
                <w:rFonts w:cs="宋体" w:asciiTheme="minorEastAsia" w:hAnsiTheme="minorEastAsia" w:eastAsiaTheme="minorEastAsia"/>
                <w:sz w:val="24"/>
              </w:rPr>
            </w:pPr>
          </w:p>
        </w:tc>
        <w:tc>
          <w:tcPr>
            <w:tcW w:w="2424" w:type="dxa"/>
            <w:vAlign w:val="center"/>
          </w:tcPr>
          <w:p>
            <w:pPr>
              <w:spacing w:line="360" w:lineRule="exact"/>
              <w:rPr>
                <w:sz w:val="24"/>
              </w:rPr>
            </w:pPr>
            <w:r>
              <w:rPr>
                <w:rFonts w:hint="eastAsia" w:ascii="宋体" w:hAnsi="宋体" w:cs="宋体"/>
                <w:sz w:val="24"/>
              </w:rPr>
              <w:t>联合体</w:t>
            </w:r>
          </w:p>
        </w:tc>
        <w:tc>
          <w:tcPr>
            <w:tcW w:w="4906" w:type="dxa"/>
            <w:vAlign w:val="center"/>
          </w:tcPr>
          <w:p>
            <w:pPr>
              <w:spacing w:line="360" w:lineRule="exact"/>
              <w:rPr>
                <w:sz w:val="24"/>
              </w:rPr>
            </w:pPr>
            <w:r>
              <w:rPr>
                <w:rFonts w:hint="eastAsia" w:ascii="宋体" w:hAnsi="宋体" w:cs="宋体"/>
                <w:sz w:val="24"/>
              </w:rPr>
              <w:t>提交联合体协议书并确定牵头人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jc w:val="center"/>
              <w:rPr>
                <w:rFonts w:cs="宋体" w:asciiTheme="minorEastAsia" w:hAnsiTheme="minorEastAsia" w:eastAsiaTheme="minorEastAsia"/>
                <w:sz w:val="24"/>
              </w:rPr>
            </w:pPr>
          </w:p>
        </w:tc>
        <w:tc>
          <w:tcPr>
            <w:tcW w:w="2424" w:type="dxa"/>
            <w:vAlign w:val="center"/>
          </w:tcPr>
          <w:p>
            <w:pPr>
              <w:pStyle w:val="46"/>
              <w:spacing w:line="476" w:lineRule="exact"/>
              <w:rPr>
                <w:sz w:val="24"/>
              </w:rPr>
            </w:pPr>
            <w:r>
              <w:rPr>
                <w:sz w:val="24"/>
              </w:rPr>
              <w:t>报价唯一</w:t>
            </w:r>
          </w:p>
        </w:tc>
        <w:tc>
          <w:tcPr>
            <w:tcW w:w="4906" w:type="dxa"/>
          </w:tcPr>
          <w:p>
            <w:pPr>
              <w:pStyle w:val="46"/>
              <w:spacing w:line="476" w:lineRule="exact"/>
              <w:jc w:val="left"/>
              <w:rPr>
                <w:sz w:val="24"/>
              </w:rPr>
            </w:pPr>
            <w:r>
              <w:rPr>
                <w:sz w:val="24"/>
              </w:rPr>
              <w:t xml:space="preserve">只能有一个有效报价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5" w:type="dxa"/>
            <w:vMerge w:val="restart"/>
          </w:tcPr>
          <w:p>
            <w:pPr>
              <w:jc w:val="center"/>
              <w:rPr>
                <w:rFonts w:cs="宋体" w:asciiTheme="minorEastAsia" w:hAnsiTheme="minorEastAsia" w:eastAsiaTheme="minorEastAsia"/>
                <w:sz w:val="24"/>
              </w:rPr>
            </w:pPr>
            <w:r>
              <w:rPr>
                <w:rFonts w:cs="宋体" w:asciiTheme="minorEastAsia" w:hAnsiTheme="minorEastAsia" w:eastAsiaTheme="minorEastAsia"/>
                <w:sz w:val="24"/>
              </w:rPr>
              <w:t>2.1.2</w:t>
            </w:r>
          </w:p>
        </w:tc>
        <w:tc>
          <w:tcPr>
            <w:tcW w:w="675" w:type="dxa"/>
            <w:vMerge w:val="restart"/>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资格评审标准</w:t>
            </w:r>
          </w:p>
        </w:tc>
        <w:tc>
          <w:tcPr>
            <w:tcW w:w="2424" w:type="dxa"/>
            <w:vAlign w:val="center"/>
          </w:tcPr>
          <w:p>
            <w:pPr>
              <w:pStyle w:val="46"/>
              <w:spacing w:line="476" w:lineRule="exact"/>
              <w:jc w:val="center"/>
              <w:rPr>
                <w:sz w:val="24"/>
              </w:rPr>
            </w:pPr>
            <w:r>
              <w:rPr>
                <w:sz w:val="24"/>
              </w:rPr>
              <w:t>营业执照</w:t>
            </w:r>
          </w:p>
        </w:tc>
        <w:tc>
          <w:tcPr>
            <w:tcW w:w="4906" w:type="dxa"/>
            <w:vAlign w:val="center"/>
          </w:tcPr>
          <w:p>
            <w:pPr>
              <w:pStyle w:val="46"/>
              <w:spacing w:line="476" w:lineRule="exact"/>
              <w:jc w:val="left"/>
              <w:rPr>
                <w:sz w:val="24"/>
              </w:rPr>
            </w:pPr>
            <w:r>
              <w:rPr>
                <w:sz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spacing w:line="360" w:lineRule="auto"/>
              <w:jc w:val="center"/>
              <w:rPr>
                <w:rFonts w:cs="宋体" w:asciiTheme="minorEastAsia" w:hAnsiTheme="minorEastAsia" w:eastAsiaTheme="minorEastAsia"/>
                <w:sz w:val="24"/>
              </w:rPr>
            </w:pPr>
          </w:p>
        </w:tc>
        <w:tc>
          <w:tcPr>
            <w:tcW w:w="2424" w:type="dxa"/>
            <w:vAlign w:val="center"/>
          </w:tcPr>
          <w:p>
            <w:pPr>
              <w:pStyle w:val="46"/>
              <w:spacing w:line="476" w:lineRule="exact"/>
              <w:jc w:val="center"/>
              <w:rPr>
                <w:sz w:val="24"/>
              </w:rPr>
            </w:pPr>
            <w:r>
              <w:rPr>
                <w:sz w:val="24"/>
              </w:rPr>
              <w:t>安全生产许可证</w:t>
            </w:r>
          </w:p>
        </w:tc>
        <w:tc>
          <w:tcPr>
            <w:tcW w:w="4906" w:type="dxa"/>
            <w:vAlign w:val="center"/>
          </w:tcPr>
          <w:p>
            <w:pPr>
              <w:pStyle w:val="46"/>
              <w:spacing w:line="476" w:lineRule="exact"/>
              <w:jc w:val="left"/>
              <w:rPr>
                <w:sz w:val="24"/>
              </w:rPr>
            </w:pPr>
            <w:r>
              <w:rPr>
                <w:sz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spacing w:line="360" w:lineRule="auto"/>
              <w:jc w:val="center"/>
              <w:rPr>
                <w:rFonts w:cs="宋体" w:asciiTheme="minorEastAsia" w:hAnsiTheme="minorEastAsia" w:eastAsiaTheme="minorEastAsia"/>
                <w:sz w:val="24"/>
              </w:rPr>
            </w:pPr>
          </w:p>
        </w:tc>
        <w:tc>
          <w:tcPr>
            <w:tcW w:w="2424" w:type="dxa"/>
            <w:vAlign w:val="center"/>
          </w:tcPr>
          <w:p>
            <w:pPr>
              <w:pStyle w:val="46"/>
              <w:spacing w:line="476" w:lineRule="exact"/>
              <w:jc w:val="center"/>
              <w:rPr>
                <w:sz w:val="24"/>
              </w:rPr>
            </w:pPr>
            <w:r>
              <w:rPr>
                <w:sz w:val="24"/>
              </w:rPr>
              <w:t>资质等级</w:t>
            </w:r>
          </w:p>
        </w:tc>
        <w:tc>
          <w:tcPr>
            <w:tcW w:w="4906" w:type="dxa"/>
            <w:vAlign w:val="center"/>
          </w:tcPr>
          <w:p>
            <w:pPr>
              <w:pStyle w:val="46"/>
              <w:spacing w:line="476" w:lineRule="exact"/>
              <w:jc w:val="left"/>
              <w:rPr>
                <w:sz w:val="24"/>
              </w:rPr>
            </w:pPr>
            <w:r>
              <w:rPr>
                <w:sz w:val="24"/>
              </w:rPr>
              <w:t>符合“投标人须知”前附表规定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spacing w:line="360" w:lineRule="auto"/>
              <w:jc w:val="center"/>
              <w:rPr>
                <w:rFonts w:cs="宋体" w:asciiTheme="minorEastAsia" w:hAnsiTheme="minorEastAsia" w:eastAsiaTheme="minorEastAsia"/>
                <w:sz w:val="24"/>
              </w:rPr>
            </w:pPr>
          </w:p>
        </w:tc>
        <w:tc>
          <w:tcPr>
            <w:tcW w:w="2424" w:type="dxa"/>
            <w:vAlign w:val="center"/>
          </w:tcPr>
          <w:p>
            <w:pPr>
              <w:pStyle w:val="46"/>
              <w:spacing w:line="476" w:lineRule="exact"/>
              <w:jc w:val="center"/>
              <w:rPr>
                <w:sz w:val="24"/>
              </w:rPr>
            </w:pPr>
            <w:r>
              <w:rPr>
                <w:rFonts w:hint="eastAsia"/>
                <w:sz w:val="24"/>
              </w:rPr>
              <w:t>项目经理</w:t>
            </w:r>
          </w:p>
        </w:tc>
        <w:tc>
          <w:tcPr>
            <w:tcW w:w="4906" w:type="dxa"/>
            <w:vAlign w:val="center"/>
          </w:tcPr>
          <w:p>
            <w:pPr>
              <w:pStyle w:val="46"/>
              <w:spacing w:before="35" w:line="476" w:lineRule="exact"/>
              <w:jc w:val="left"/>
              <w:rPr>
                <w:sz w:val="24"/>
              </w:rPr>
            </w:pPr>
            <w:r>
              <w:rPr>
                <w:sz w:val="24"/>
              </w:rPr>
              <w:t>符合“投标人须知”前附表规定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spacing w:line="360" w:lineRule="auto"/>
              <w:jc w:val="center"/>
              <w:rPr>
                <w:rFonts w:cs="宋体" w:asciiTheme="minorEastAsia" w:hAnsiTheme="minorEastAsia" w:eastAsiaTheme="minorEastAsia"/>
                <w:sz w:val="24"/>
              </w:rPr>
            </w:pPr>
          </w:p>
        </w:tc>
        <w:tc>
          <w:tcPr>
            <w:tcW w:w="2424" w:type="dxa"/>
            <w:vAlign w:val="center"/>
          </w:tcPr>
          <w:p>
            <w:pPr>
              <w:pStyle w:val="46"/>
              <w:spacing w:line="476" w:lineRule="exact"/>
              <w:jc w:val="center"/>
              <w:rPr>
                <w:sz w:val="24"/>
              </w:rPr>
            </w:pPr>
            <w:r>
              <w:rPr>
                <w:rFonts w:hint="eastAsia"/>
                <w:sz w:val="24"/>
              </w:rPr>
              <w:t>信誉要求</w:t>
            </w:r>
          </w:p>
        </w:tc>
        <w:tc>
          <w:tcPr>
            <w:tcW w:w="4906" w:type="dxa"/>
            <w:vAlign w:val="center"/>
          </w:tcPr>
          <w:p>
            <w:pPr>
              <w:pStyle w:val="46"/>
              <w:spacing w:before="35" w:line="476" w:lineRule="exact"/>
              <w:jc w:val="left"/>
              <w:rPr>
                <w:sz w:val="24"/>
              </w:rPr>
            </w:pPr>
            <w:r>
              <w:rPr>
                <w:sz w:val="24"/>
              </w:rPr>
              <w:t>符合“投标人须知”前附表规定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spacing w:line="360" w:lineRule="auto"/>
              <w:jc w:val="center"/>
              <w:rPr>
                <w:rFonts w:cs="宋体" w:asciiTheme="minorEastAsia" w:hAnsiTheme="minorEastAsia" w:eastAsiaTheme="minorEastAsia"/>
                <w:sz w:val="24"/>
              </w:rPr>
            </w:pPr>
          </w:p>
        </w:tc>
        <w:tc>
          <w:tcPr>
            <w:tcW w:w="2424" w:type="dxa"/>
            <w:vAlign w:val="center"/>
          </w:tcPr>
          <w:p>
            <w:pPr>
              <w:pStyle w:val="46"/>
              <w:spacing w:line="476" w:lineRule="exact"/>
              <w:rPr>
                <w:sz w:val="24"/>
              </w:rPr>
            </w:pPr>
            <w:r>
              <w:rPr>
                <w:rFonts w:hint="eastAsia"/>
                <w:sz w:val="24"/>
              </w:rPr>
              <w:t>其他要求</w:t>
            </w:r>
          </w:p>
        </w:tc>
        <w:tc>
          <w:tcPr>
            <w:tcW w:w="4906" w:type="dxa"/>
          </w:tcPr>
          <w:p>
            <w:pPr>
              <w:pStyle w:val="46"/>
              <w:spacing w:before="35" w:line="476" w:lineRule="exact"/>
              <w:jc w:val="left"/>
              <w:rPr>
                <w:sz w:val="24"/>
              </w:rPr>
            </w:pPr>
            <w:r>
              <w:rPr>
                <w:sz w:val="24"/>
              </w:rPr>
              <w:t xml:space="preserve">符合“投标人须知”前附表规定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5" w:type="dxa"/>
            <w:vMerge w:val="restart"/>
          </w:tcPr>
          <w:p>
            <w:pPr>
              <w:jc w:val="center"/>
              <w:rPr>
                <w:rFonts w:cs="宋体" w:asciiTheme="minorEastAsia" w:hAnsiTheme="minorEastAsia" w:eastAsiaTheme="minorEastAsia"/>
                <w:sz w:val="24"/>
              </w:rPr>
            </w:pPr>
            <w:r>
              <w:rPr>
                <w:rFonts w:cs="宋体" w:asciiTheme="minorEastAsia" w:hAnsiTheme="minorEastAsia" w:eastAsiaTheme="minorEastAsia"/>
                <w:sz w:val="24"/>
              </w:rPr>
              <w:t>2.1.3</w:t>
            </w:r>
          </w:p>
        </w:tc>
        <w:tc>
          <w:tcPr>
            <w:tcW w:w="675" w:type="dxa"/>
            <w:vMerge w:val="restart"/>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响应性评审标准</w:t>
            </w:r>
          </w:p>
        </w:tc>
        <w:tc>
          <w:tcPr>
            <w:tcW w:w="2424" w:type="dxa"/>
            <w:vAlign w:val="center"/>
          </w:tcPr>
          <w:p>
            <w:pPr>
              <w:pStyle w:val="46"/>
              <w:spacing w:line="476" w:lineRule="exact"/>
              <w:rPr>
                <w:sz w:val="24"/>
              </w:rPr>
            </w:pPr>
            <w:r>
              <w:rPr>
                <w:sz w:val="24"/>
              </w:rPr>
              <w:t>投标内容</w:t>
            </w:r>
          </w:p>
        </w:tc>
        <w:tc>
          <w:tcPr>
            <w:tcW w:w="4906" w:type="dxa"/>
          </w:tcPr>
          <w:p>
            <w:pPr>
              <w:pStyle w:val="46"/>
              <w:spacing w:line="476" w:lineRule="exact"/>
              <w:jc w:val="left"/>
              <w:rPr>
                <w:sz w:val="24"/>
              </w:rPr>
            </w:pPr>
            <w:r>
              <w:rPr>
                <w:w w:val="110"/>
                <w:sz w:val="24"/>
              </w:rPr>
              <w:t>符合“投标人须知”前附表规定</w:t>
            </w:r>
            <w:r>
              <w:rPr>
                <w:w w:val="223"/>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jc w:val="center"/>
              <w:rPr>
                <w:rFonts w:cs="宋体" w:asciiTheme="minorEastAsia" w:hAnsiTheme="minorEastAsia" w:eastAsiaTheme="minorEastAsia"/>
                <w:sz w:val="24"/>
              </w:rPr>
            </w:pPr>
          </w:p>
        </w:tc>
        <w:tc>
          <w:tcPr>
            <w:tcW w:w="2424" w:type="dxa"/>
            <w:vAlign w:val="center"/>
          </w:tcPr>
          <w:p>
            <w:pPr>
              <w:pStyle w:val="46"/>
              <w:spacing w:line="446" w:lineRule="exact"/>
              <w:rPr>
                <w:sz w:val="24"/>
              </w:rPr>
            </w:pPr>
            <w:r>
              <w:rPr>
                <w:sz w:val="24"/>
              </w:rPr>
              <w:t>投标有效期</w:t>
            </w:r>
          </w:p>
        </w:tc>
        <w:tc>
          <w:tcPr>
            <w:tcW w:w="4906" w:type="dxa"/>
          </w:tcPr>
          <w:p>
            <w:pPr>
              <w:pStyle w:val="46"/>
              <w:spacing w:line="446" w:lineRule="exact"/>
              <w:jc w:val="left"/>
              <w:rPr>
                <w:sz w:val="24"/>
              </w:rPr>
            </w:pPr>
            <w:r>
              <w:rPr>
                <w:w w:val="110"/>
                <w:sz w:val="24"/>
              </w:rPr>
              <w:t>符合“投标人须知”前附表规定</w:t>
            </w:r>
            <w:r>
              <w:rPr>
                <w:w w:val="223"/>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jc w:val="center"/>
              <w:rPr>
                <w:rFonts w:cs="宋体" w:asciiTheme="minorEastAsia" w:hAnsiTheme="minorEastAsia" w:eastAsiaTheme="minorEastAsia"/>
                <w:sz w:val="24"/>
              </w:rPr>
            </w:pPr>
          </w:p>
        </w:tc>
        <w:tc>
          <w:tcPr>
            <w:tcW w:w="2424" w:type="dxa"/>
            <w:vAlign w:val="center"/>
          </w:tcPr>
          <w:p>
            <w:pPr>
              <w:pStyle w:val="46"/>
              <w:spacing w:before="4"/>
              <w:rPr>
                <w:sz w:val="24"/>
              </w:rPr>
            </w:pPr>
            <w:r>
              <w:rPr>
                <w:sz w:val="24"/>
              </w:rPr>
              <w:t>工期</w:t>
            </w:r>
          </w:p>
        </w:tc>
        <w:tc>
          <w:tcPr>
            <w:tcW w:w="4906" w:type="dxa"/>
          </w:tcPr>
          <w:p>
            <w:pPr>
              <w:pStyle w:val="46"/>
              <w:spacing w:before="4"/>
              <w:jc w:val="left"/>
              <w:rPr>
                <w:sz w:val="24"/>
              </w:rPr>
            </w:pPr>
            <w:r>
              <w:rPr>
                <w:w w:val="110"/>
                <w:sz w:val="24"/>
              </w:rPr>
              <w:t>符合“投标人须知”前附表规定</w:t>
            </w:r>
            <w:r>
              <w:rPr>
                <w:w w:val="223"/>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jc w:val="center"/>
              <w:rPr>
                <w:rFonts w:cs="宋体" w:asciiTheme="minorEastAsia" w:hAnsiTheme="minorEastAsia" w:eastAsiaTheme="minorEastAsia"/>
                <w:sz w:val="24"/>
              </w:rPr>
            </w:pPr>
          </w:p>
        </w:tc>
        <w:tc>
          <w:tcPr>
            <w:tcW w:w="2424" w:type="dxa"/>
            <w:vAlign w:val="center"/>
          </w:tcPr>
          <w:p>
            <w:pPr>
              <w:pStyle w:val="46"/>
              <w:spacing w:line="499" w:lineRule="exact"/>
              <w:rPr>
                <w:sz w:val="24"/>
              </w:rPr>
            </w:pPr>
            <w:r>
              <w:rPr>
                <w:sz w:val="24"/>
              </w:rPr>
              <w:t>工程质量</w:t>
            </w:r>
          </w:p>
        </w:tc>
        <w:tc>
          <w:tcPr>
            <w:tcW w:w="4906" w:type="dxa"/>
          </w:tcPr>
          <w:p>
            <w:pPr>
              <w:pStyle w:val="46"/>
              <w:spacing w:line="499" w:lineRule="exact"/>
              <w:jc w:val="left"/>
              <w:rPr>
                <w:sz w:val="24"/>
              </w:rPr>
            </w:pPr>
            <w:r>
              <w:rPr>
                <w:w w:val="110"/>
                <w:sz w:val="24"/>
              </w:rPr>
              <w:t>符合“投标人须知”前附表规定</w:t>
            </w:r>
            <w:r>
              <w:rPr>
                <w:w w:val="223"/>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5" w:type="dxa"/>
            <w:vMerge w:val="continue"/>
          </w:tcPr>
          <w:p>
            <w:pPr>
              <w:jc w:val="center"/>
              <w:rPr>
                <w:rFonts w:cs="宋体" w:asciiTheme="minorEastAsia" w:hAnsiTheme="minorEastAsia" w:eastAsiaTheme="minorEastAsia"/>
                <w:sz w:val="24"/>
              </w:rPr>
            </w:pPr>
          </w:p>
        </w:tc>
        <w:tc>
          <w:tcPr>
            <w:tcW w:w="675" w:type="dxa"/>
            <w:vMerge w:val="continue"/>
            <w:vAlign w:val="center"/>
          </w:tcPr>
          <w:p>
            <w:pPr>
              <w:jc w:val="center"/>
              <w:rPr>
                <w:rFonts w:cs="宋体" w:asciiTheme="minorEastAsia" w:hAnsiTheme="minorEastAsia" w:eastAsiaTheme="minorEastAsia"/>
                <w:sz w:val="24"/>
              </w:rPr>
            </w:pPr>
          </w:p>
        </w:tc>
        <w:tc>
          <w:tcPr>
            <w:tcW w:w="2424" w:type="dxa"/>
            <w:vAlign w:val="center"/>
          </w:tcPr>
          <w:p>
            <w:pPr>
              <w:pStyle w:val="46"/>
              <w:spacing w:line="460" w:lineRule="exact"/>
              <w:rPr>
                <w:sz w:val="24"/>
              </w:rPr>
            </w:pPr>
            <w:r>
              <w:rPr>
                <w:sz w:val="24"/>
              </w:rPr>
              <w:t>投标保证金</w:t>
            </w:r>
          </w:p>
        </w:tc>
        <w:tc>
          <w:tcPr>
            <w:tcW w:w="4906" w:type="dxa"/>
          </w:tcPr>
          <w:p>
            <w:pPr>
              <w:pStyle w:val="46"/>
              <w:spacing w:line="460" w:lineRule="exact"/>
              <w:jc w:val="left"/>
              <w:rPr>
                <w:sz w:val="24"/>
              </w:rPr>
            </w:pPr>
            <w:r>
              <w:rPr>
                <w:w w:val="110"/>
                <w:sz w:val="24"/>
              </w:rPr>
              <w:t>符合“投标人须知”前附表规定</w:t>
            </w:r>
            <w:r>
              <w:rPr>
                <w:w w:val="223"/>
                <w:sz w:val="24"/>
              </w:rPr>
              <w:t xml:space="preserve"> </w:t>
            </w:r>
          </w:p>
        </w:tc>
      </w:tr>
    </w:tbl>
    <w:p>
      <w:pPr>
        <w:spacing w:line="480" w:lineRule="exact"/>
        <w:rPr>
          <w:rFonts w:ascii="宋体" w:hAnsi="宋体" w:cs="宋体"/>
          <w:b/>
          <w:sz w:val="24"/>
        </w:rPr>
      </w:pPr>
    </w:p>
    <w:p>
      <w:pPr>
        <w:spacing w:line="480" w:lineRule="exact"/>
        <w:rPr>
          <w:rFonts w:ascii="宋体" w:hAnsi="宋体" w:cs="宋体"/>
          <w:b/>
          <w:sz w:val="24"/>
        </w:rPr>
      </w:pPr>
    </w:p>
    <w:p>
      <w:pPr>
        <w:spacing w:line="480" w:lineRule="exact"/>
        <w:rPr>
          <w:rFonts w:ascii="宋体" w:hAnsi="宋体" w:cs="宋体"/>
          <w:b/>
          <w:sz w:val="24"/>
        </w:rPr>
      </w:pPr>
    </w:p>
    <w:p>
      <w:pPr>
        <w:spacing w:line="480" w:lineRule="exact"/>
        <w:rPr>
          <w:rFonts w:ascii="宋体" w:hAnsi="宋体" w:cs="宋体"/>
          <w:b/>
          <w:sz w:val="24"/>
        </w:rPr>
      </w:pPr>
    </w:p>
    <w:p>
      <w:pPr>
        <w:spacing w:line="480" w:lineRule="exact"/>
        <w:rPr>
          <w:rFonts w:ascii="宋体" w:hAnsi="宋体" w:cs="宋体"/>
          <w:b/>
          <w:sz w:val="24"/>
        </w:rPr>
      </w:pPr>
    </w:p>
    <w:p>
      <w:pPr>
        <w:rPr>
          <w:rFonts w:hint="eastAsia" w:ascii="宋体" w:hAnsi="宋体" w:cs="宋体"/>
          <w:b/>
          <w:sz w:val="28"/>
          <w:szCs w:val="28"/>
        </w:rPr>
      </w:pPr>
      <w:r>
        <w:rPr>
          <w:rFonts w:hint="eastAsia" w:ascii="宋体" w:hAnsi="宋体" w:cs="宋体"/>
          <w:b/>
          <w:sz w:val="28"/>
          <w:szCs w:val="28"/>
        </w:rPr>
        <w:br w:type="page"/>
      </w:r>
    </w:p>
    <w:p>
      <w:pPr>
        <w:numPr>
          <w:ilvl w:val="0"/>
          <w:numId w:val="1"/>
        </w:numPr>
        <w:spacing w:line="480" w:lineRule="exact"/>
        <w:jc w:val="center"/>
        <w:rPr>
          <w:rFonts w:hint="eastAsia" w:ascii="宋体" w:hAnsi="宋体" w:cs="宋体"/>
          <w:b/>
          <w:sz w:val="28"/>
          <w:szCs w:val="28"/>
        </w:rPr>
      </w:pPr>
      <w:r>
        <w:rPr>
          <w:rFonts w:hint="eastAsia" w:ascii="宋体" w:hAnsi="宋体" w:cs="宋体"/>
          <w:b/>
          <w:sz w:val="28"/>
          <w:szCs w:val="28"/>
        </w:rPr>
        <w:t>商务标清标内容</w:t>
      </w:r>
    </w:p>
    <w:tbl>
      <w:tblPr>
        <w:tblStyle w:val="25"/>
        <w:tblW w:w="10364" w:type="dxa"/>
        <w:jc w:val="center"/>
        <w:tblLayout w:type="fixed"/>
        <w:tblCellMar>
          <w:top w:w="0" w:type="dxa"/>
          <w:left w:w="108" w:type="dxa"/>
          <w:bottom w:w="0" w:type="dxa"/>
          <w:right w:w="108" w:type="dxa"/>
        </w:tblCellMar>
      </w:tblPr>
      <w:tblGrid>
        <w:gridCol w:w="405"/>
        <w:gridCol w:w="548"/>
        <w:gridCol w:w="3429"/>
        <w:gridCol w:w="4442"/>
        <w:gridCol w:w="781"/>
        <w:gridCol w:w="759"/>
      </w:tblGrid>
      <w:tr>
        <w:tblPrEx>
          <w:tblCellMar>
            <w:top w:w="0" w:type="dxa"/>
            <w:left w:w="108" w:type="dxa"/>
            <w:bottom w:w="0" w:type="dxa"/>
            <w:right w:w="108" w:type="dxa"/>
          </w:tblCellMar>
        </w:tblPrEx>
        <w:trPr>
          <w:trHeight w:val="282" w:hRule="atLeast"/>
          <w:jc w:val="center"/>
        </w:trPr>
        <w:tc>
          <w:tcPr>
            <w:tcW w:w="95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kern w:val="0"/>
              </w:rPr>
            </w:pPr>
            <w:r>
              <w:rPr>
                <w:rFonts w:hint="eastAsia" w:cs="宋体"/>
                <w:b/>
                <w:bCs/>
                <w:color w:val="000000"/>
                <w:kern w:val="0"/>
              </w:rPr>
              <w:t>序号</w:t>
            </w:r>
          </w:p>
        </w:tc>
        <w:tc>
          <w:tcPr>
            <w:tcW w:w="3429" w:type="dxa"/>
            <w:vMerge w:val="restart"/>
            <w:tcBorders>
              <w:top w:val="single" w:color="auto" w:sz="4" w:space="0"/>
              <w:left w:val="nil"/>
              <w:bottom w:val="single" w:color="auto" w:sz="4" w:space="0"/>
              <w:right w:val="single" w:color="auto" w:sz="4" w:space="0"/>
            </w:tcBorders>
            <w:vAlign w:val="center"/>
          </w:tcPr>
          <w:p>
            <w:pPr>
              <w:spacing w:line="300" w:lineRule="exact"/>
              <w:jc w:val="center"/>
              <w:rPr>
                <w:b/>
                <w:bCs/>
                <w:color w:val="000000"/>
                <w:kern w:val="0"/>
              </w:rPr>
            </w:pPr>
            <w:r>
              <w:rPr>
                <w:rFonts w:hint="eastAsia" w:cs="宋体"/>
                <w:b/>
                <w:bCs/>
                <w:color w:val="000000"/>
                <w:kern w:val="0"/>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300" w:lineRule="exact"/>
              <w:jc w:val="center"/>
              <w:rPr>
                <w:b/>
                <w:bCs/>
                <w:color w:val="000000"/>
                <w:kern w:val="0"/>
              </w:rPr>
            </w:pPr>
            <w:r>
              <w:rPr>
                <w:rFonts w:hint="eastAsia" w:cs="宋体"/>
                <w:b/>
                <w:bCs/>
                <w:color w:val="000000"/>
                <w:kern w:val="0"/>
              </w:rPr>
              <w:t>清标内容</w:t>
            </w:r>
          </w:p>
        </w:tc>
        <w:tc>
          <w:tcPr>
            <w:tcW w:w="1540" w:type="dxa"/>
            <w:gridSpan w:val="2"/>
            <w:tcBorders>
              <w:top w:val="single" w:color="auto" w:sz="4" w:space="0"/>
              <w:left w:val="nil"/>
              <w:bottom w:val="single" w:color="auto" w:sz="4" w:space="0"/>
              <w:right w:val="single" w:color="auto" w:sz="4" w:space="0"/>
            </w:tcBorders>
            <w:vAlign w:val="center"/>
          </w:tcPr>
          <w:p>
            <w:pPr>
              <w:spacing w:line="300" w:lineRule="exact"/>
              <w:jc w:val="center"/>
              <w:rPr>
                <w:b/>
                <w:bCs/>
                <w:color w:val="000000"/>
                <w:kern w:val="0"/>
              </w:rPr>
            </w:pPr>
            <w:r>
              <w:rPr>
                <w:rFonts w:hint="eastAsia" w:cs="宋体"/>
                <w:b/>
                <w:bCs/>
                <w:color w:val="000000"/>
                <w:kern w:val="0"/>
              </w:rPr>
              <w:t>清标结果</w:t>
            </w:r>
          </w:p>
        </w:tc>
      </w:tr>
      <w:tr>
        <w:tblPrEx>
          <w:tblCellMar>
            <w:top w:w="0" w:type="dxa"/>
            <w:left w:w="108" w:type="dxa"/>
            <w:bottom w:w="0" w:type="dxa"/>
            <w:right w:w="108" w:type="dxa"/>
          </w:tblCellMar>
        </w:tblPrEx>
        <w:trPr>
          <w:trHeight w:val="204" w:hRule="atLeast"/>
          <w:jc w:val="center"/>
        </w:trPr>
        <w:tc>
          <w:tcPr>
            <w:tcW w:w="95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b/>
                <w:bCs/>
                <w:color w:val="000000"/>
                <w:kern w:val="0"/>
              </w:rPr>
            </w:pPr>
          </w:p>
        </w:tc>
        <w:tc>
          <w:tcPr>
            <w:tcW w:w="3429" w:type="dxa"/>
            <w:vMerge w:val="continue"/>
            <w:tcBorders>
              <w:top w:val="single" w:color="auto" w:sz="4" w:space="0"/>
              <w:left w:val="nil"/>
              <w:bottom w:val="single" w:color="auto" w:sz="4" w:space="0"/>
              <w:right w:val="single" w:color="auto" w:sz="4" w:space="0"/>
            </w:tcBorders>
            <w:vAlign w:val="center"/>
          </w:tcPr>
          <w:p>
            <w:pPr>
              <w:spacing w:line="240" w:lineRule="exact"/>
              <w:jc w:val="left"/>
              <w:rPr>
                <w:b/>
                <w:bCs/>
                <w:color w:val="000000"/>
                <w:kern w:val="0"/>
              </w:rPr>
            </w:pPr>
          </w:p>
        </w:tc>
        <w:tc>
          <w:tcPr>
            <w:tcW w:w="4442" w:type="dxa"/>
            <w:vMerge w:val="continue"/>
            <w:tcBorders>
              <w:top w:val="single" w:color="auto" w:sz="4" w:space="0"/>
              <w:left w:val="nil"/>
              <w:bottom w:val="single" w:color="auto" w:sz="4" w:space="0"/>
              <w:right w:val="single" w:color="auto" w:sz="4" w:space="0"/>
            </w:tcBorders>
            <w:vAlign w:val="center"/>
          </w:tcPr>
          <w:p>
            <w:pPr>
              <w:spacing w:line="240" w:lineRule="exact"/>
              <w:jc w:val="left"/>
              <w:rPr>
                <w:b/>
                <w:bCs/>
                <w:color w:val="000000"/>
                <w:kern w:val="0"/>
              </w:rPr>
            </w:pP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b/>
                <w:bCs/>
                <w:color w:val="000000"/>
                <w:kern w:val="0"/>
              </w:rPr>
            </w:pPr>
            <w:r>
              <w:rPr>
                <w:rFonts w:hint="eastAsia" w:cs="宋体"/>
                <w:b/>
                <w:bCs/>
                <w:color w:val="000000"/>
                <w:kern w:val="0"/>
              </w:rPr>
              <w:t>是</w:t>
            </w: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b/>
                <w:bCs/>
                <w:color w:val="000000"/>
                <w:kern w:val="0"/>
              </w:rPr>
            </w:pPr>
            <w:r>
              <w:rPr>
                <w:rFonts w:hint="eastAsia" w:cs="宋体"/>
                <w:b/>
                <w:bCs/>
                <w:color w:val="000000"/>
                <w:kern w:val="0"/>
              </w:rPr>
              <w:t>否</w:t>
            </w:r>
          </w:p>
        </w:tc>
      </w:tr>
      <w:tr>
        <w:tblPrEx>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000000"/>
                <w:kern w:val="0"/>
              </w:rPr>
            </w:pPr>
            <w:r>
              <w:rPr>
                <w:color w:val="000000"/>
                <w:kern w:val="0"/>
              </w:rPr>
              <w:t>1</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1.1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项目总报价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1.2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单项工程费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1.3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单位工程费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是否等于分部分项工程费</w:t>
            </w:r>
            <w:r>
              <w:rPr>
                <w:color w:val="000000"/>
                <w:kern w:val="0"/>
              </w:rPr>
              <w:t>+</w:t>
            </w:r>
            <w:r>
              <w:rPr>
                <w:rFonts w:hint="eastAsia" w:cs="宋体"/>
                <w:color w:val="000000"/>
                <w:kern w:val="0"/>
              </w:rPr>
              <w:t>措施项目费</w:t>
            </w:r>
            <w:r>
              <w:rPr>
                <w:color w:val="000000"/>
                <w:kern w:val="0"/>
              </w:rPr>
              <w:t>+</w:t>
            </w:r>
            <w:r>
              <w:rPr>
                <w:rFonts w:hint="eastAsia" w:cs="宋体"/>
                <w:color w:val="000000"/>
                <w:kern w:val="0"/>
              </w:rPr>
              <w:t>其它项目费</w:t>
            </w:r>
            <w:r>
              <w:rPr>
                <w:color w:val="000000"/>
                <w:kern w:val="0"/>
              </w:rPr>
              <w:t>+</w:t>
            </w:r>
            <w:r>
              <w:rPr>
                <w:rFonts w:hint="eastAsia" w:cs="宋体"/>
                <w:color w:val="000000"/>
                <w:kern w:val="0"/>
              </w:rPr>
              <w:t>规费</w:t>
            </w:r>
            <w:r>
              <w:rPr>
                <w:color w:val="000000"/>
                <w:kern w:val="0"/>
              </w:rPr>
              <w:t>+</w:t>
            </w:r>
            <w:r>
              <w:rPr>
                <w:rFonts w:hint="eastAsia" w:cs="宋体"/>
                <w:color w:val="000000"/>
                <w:kern w:val="0"/>
              </w:rPr>
              <w:t>税金之和</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000000"/>
                <w:kern w:val="0"/>
              </w:rPr>
            </w:pPr>
            <w:r>
              <w:rPr>
                <w:color w:val="000000"/>
                <w:kern w:val="0"/>
              </w:rPr>
              <w:t>2</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2.1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240" w:lineRule="exact"/>
              <w:ind w:left="31680" w:hanging="186" w:hangingChars="100"/>
              <w:rPr>
                <w:color w:val="000000"/>
                <w:spacing w:val="-12"/>
                <w:kern w:val="0"/>
              </w:rPr>
            </w:pPr>
            <w:r>
              <w:rPr>
                <w:rFonts w:hint="eastAsia" w:cs="宋体"/>
                <w:color w:val="000000"/>
                <w:spacing w:val="-12"/>
                <w:kern w:val="0"/>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2.2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2.3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2.4</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2.5</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2.6</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2.7</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spacing w:val="-4"/>
                <w:kern w:val="0"/>
              </w:rPr>
            </w:pPr>
            <w:r>
              <w:rPr>
                <w:rFonts w:hint="eastAsia" w:cs="宋体"/>
                <w:color w:val="000000"/>
                <w:spacing w:val="-4"/>
                <w:kern w:val="0"/>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综合单价＝人工费</w:t>
            </w:r>
            <w:r>
              <w:rPr>
                <w:color w:val="000000"/>
                <w:kern w:val="0"/>
              </w:rPr>
              <w:t>+</w:t>
            </w:r>
            <w:r>
              <w:rPr>
                <w:rFonts w:hint="eastAsia" w:cs="宋体"/>
                <w:color w:val="000000"/>
                <w:kern w:val="0"/>
              </w:rPr>
              <w:t>材料费</w:t>
            </w:r>
            <w:r>
              <w:rPr>
                <w:color w:val="000000"/>
                <w:kern w:val="0"/>
              </w:rPr>
              <w:t>+</w:t>
            </w:r>
            <w:r>
              <w:rPr>
                <w:rFonts w:hint="eastAsia" w:cs="宋体"/>
                <w:color w:val="000000"/>
                <w:kern w:val="0"/>
              </w:rPr>
              <w:t>机械费</w:t>
            </w:r>
            <w:r>
              <w:rPr>
                <w:color w:val="000000"/>
                <w:kern w:val="0"/>
              </w:rPr>
              <w:t>+</w:t>
            </w:r>
            <w:r>
              <w:rPr>
                <w:rFonts w:hint="eastAsia" w:cs="宋体"/>
                <w:color w:val="000000"/>
                <w:kern w:val="0"/>
              </w:rPr>
              <w:t>管理费</w:t>
            </w:r>
            <w:r>
              <w:rPr>
                <w:color w:val="000000"/>
                <w:kern w:val="0"/>
              </w:rPr>
              <w:t>+</w:t>
            </w:r>
            <w:r>
              <w:rPr>
                <w:rFonts w:hint="eastAsia" w:cs="宋体"/>
                <w:color w:val="000000"/>
                <w:kern w:val="0"/>
              </w:rPr>
              <w:t>利润之和</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2.8</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材料单价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spacing w:val="-12"/>
                <w:kern w:val="0"/>
              </w:rPr>
            </w:pPr>
            <w:r>
              <w:rPr>
                <w:rFonts w:hint="eastAsia" w:cs="宋体"/>
                <w:color w:val="000000"/>
                <w:spacing w:val="-12"/>
                <w:kern w:val="0"/>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000000"/>
                <w:kern w:val="0"/>
              </w:rPr>
            </w:pPr>
            <w:r>
              <w:rPr>
                <w:color w:val="000000"/>
                <w:kern w:val="0"/>
              </w:rPr>
              <w:t>3</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3.1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3.2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000000"/>
                <w:kern w:val="0"/>
              </w:rPr>
            </w:pPr>
            <w:r>
              <w:rPr>
                <w:color w:val="000000"/>
                <w:kern w:val="0"/>
              </w:rPr>
              <w:t>4</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4.1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其它项目费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各组成部分之和（暂列金额</w:t>
            </w:r>
            <w:r>
              <w:rPr>
                <w:color w:val="000000"/>
                <w:kern w:val="0"/>
              </w:rPr>
              <w:t>+</w:t>
            </w:r>
            <w:r>
              <w:rPr>
                <w:rFonts w:hint="eastAsia" w:cs="宋体"/>
                <w:color w:val="000000"/>
                <w:kern w:val="0"/>
              </w:rPr>
              <w:t>专业暂估价</w:t>
            </w:r>
            <w:r>
              <w:rPr>
                <w:color w:val="000000"/>
                <w:kern w:val="0"/>
              </w:rPr>
              <w:t>+</w:t>
            </w:r>
            <w:r>
              <w:rPr>
                <w:rFonts w:hint="eastAsia" w:cs="宋体"/>
                <w:color w:val="000000"/>
                <w:kern w:val="0"/>
              </w:rPr>
              <w:t>计日工费</w:t>
            </w:r>
            <w:r>
              <w:rPr>
                <w:color w:val="000000"/>
                <w:kern w:val="0"/>
              </w:rPr>
              <w:t>+</w:t>
            </w:r>
            <w:r>
              <w:rPr>
                <w:rFonts w:hint="eastAsia" w:cs="宋体"/>
                <w:color w:val="000000"/>
                <w:kern w:val="0"/>
              </w:rPr>
              <w:t>总承包服务费）</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4.2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暂列金额</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4.3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4.4</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计日工</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应与招标人数量一致</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color w:val="000000"/>
                <w:kern w:val="0"/>
              </w:rPr>
              <w:t>4.5</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总承包服务费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是否按招标文件要求计算</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454"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rPr>
            </w:pPr>
            <w:r>
              <w:rPr>
                <w:color w:val="000000"/>
                <w:kern w:val="0"/>
              </w:rPr>
              <w:t>5</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规费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454"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rPr>
            </w:pPr>
            <w:r>
              <w:rPr>
                <w:color w:val="000000"/>
                <w:kern w:val="0"/>
              </w:rPr>
              <w:t>6</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增值税</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rPr>
            </w:pPr>
            <w:r>
              <w:rPr>
                <w:rFonts w:hint="eastAsia" w:cs="宋体"/>
                <w:color w:val="000000"/>
                <w:kern w:val="0"/>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r>
        <w:tblPrEx>
          <w:tblCellMar>
            <w:top w:w="0" w:type="dxa"/>
            <w:left w:w="108" w:type="dxa"/>
            <w:bottom w:w="0" w:type="dxa"/>
            <w:right w:w="108" w:type="dxa"/>
          </w:tblCellMar>
        </w:tblPrEx>
        <w:trPr>
          <w:trHeight w:val="471"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rPr>
            </w:pPr>
            <w:r>
              <w:rPr>
                <w:color w:val="000000"/>
                <w:kern w:val="0"/>
              </w:rPr>
              <w:t>7</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871" w:type="dxa"/>
            <w:gridSpan w:val="2"/>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r>
              <w:rPr>
                <w:rFonts w:hint="eastAsia" w:cs="宋体"/>
                <w:color w:val="000000"/>
                <w:kern w:val="0"/>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c>
          <w:tcPr>
            <w:tcW w:w="759"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rPr>
            </w:pPr>
          </w:p>
        </w:tc>
      </w:tr>
    </w:tbl>
    <w:p>
      <w:pPr>
        <w:pStyle w:val="14"/>
        <w:rPr>
          <w:rFonts w:hint="eastAsia" w:cs="宋体"/>
          <w:b/>
          <w:bCs/>
          <w:color w:val="000000"/>
          <w:kern w:val="0"/>
        </w:rPr>
      </w:pPr>
      <w:r>
        <w:rPr>
          <w:rFonts w:hint="eastAsia" w:cs="宋体"/>
          <w:b/>
          <w:bCs/>
          <w:color w:val="000000"/>
          <w:kern w:val="0"/>
        </w:rPr>
        <w:t>注：不在上述范围内且不具有实质性影响的内容，均不能作为清标的依据或理由</w:t>
      </w:r>
    </w:p>
    <w:p>
      <w:pPr>
        <w:numPr>
          <w:ilvl w:val="0"/>
          <w:numId w:val="1"/>
        </w:numPr>
        <w:ind w:left="0" w:leftChars="0" w:firstLine="0" w:firstLineChars="0"/>
        <w:jc w:val="center"/>
        <w:rPr>
          <w:rFonts w:hint="eastAsia"/>
          <w:b/>
          <w:bCs/>
        </w:rPr>
      </w:pPr>
      <w:r>
        <w:rPr>
          <w:rFonts w:hint="eastAsia"/>
          <w:b/>
          <w:bCs/>
        </w:rPr>
        <w:t>评审规则</w:t>
      </w:r>
    </w:p>
    <w:p>
      <w:pPr>
        <w:pStyle w:val="2"/>
        <w:numPr>
          <w:ilvl w:val="0"/>
          <w:numId w:val="2"/>
        </w:numPr>
        <w:ind w:leftChars="0"/>
        <w:rPr>
          <w:rFonts w:hint="eastAsia"/>
        </w:rPr>
      </w:pPr>
      <w:r>
        <w:rPr>
          <w:rFonts w:hint="eastAsia"/>
        </w:rPr>
        <w:t>技术标的主要内容及评标分值：25 分</w:t>
      </w:r>
    </w:p>
    <w:tbl>
      <w:tblPr>
        <w:tblStyle w:val="26"/>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180"/>
        <w:gridCol w:w="720"/>
        <w:gridCol w:w="548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numPr>
                <w:ilvl w:val="0"/>
                <w:numId w:val="0"/>
              </w:numPr>
              <w:jc w:val="center"/>
              <w:rPr>
                <w:rFonts w:hint="eastAsia"/>
                <w:vertAlign w:val="baseline"/>
              </w:rPr>
            </w:pPr>
            <w:r>
              <w:rPr>
                <w:rFonts w:hint="eastAsia"/>
                <w:vertAlign w:val="baseline"/>
              </w:rPr>
              <w:t>序</w:t>
            </w:r>
          </w:p>
          <w:p>
            <w:pPr>
              <w:numPr>
                <w:ilvl w:val="0"/>
                <w:numId w:val="0"/>
              </w:numPr>
              <w:jc w:val="center"/>
              <w:rPr>
                <w:rFonts w:hint="eastAsia"/>
                <w:vertAlign w:val="baseline"/>
              </w:rPr>
            </w:pPr>
            <w:r>
              <w:rPr>
                <w:rFonts w:hint="eastAsia"/>
                <w:vertAlign w:val="baseline"/>
              </w:rPr>
              <w:t>号</w:t>
            </w:r>
          </w:p>
        </w:tc>
        <w:tc>
          <w:tcPr>
            <w:tcW w:w="1180" w:type="dxa"/>
            <w:vAlign w:val="center"/>
          </w:tcPr>
          <w:p>
            <w:pPr>
              <w:numPr>
                <w:ilvl w:val="0"/>
                <w:numId w:val="0"/>
              </w:numPr>
              <w:jc w:val="center"/>
              <w:rPr>
                <w:rFonts w:hint="eastAsia"/>
                <w:vertAlign w:val="baseline"/>
              </w:rPr>
            </w:pPr>
            <w:r>
              <w:rPr>
                <w:rFonts w:hint="eastAsia"/>
                <w:vertAlign w:val="baseline"/>
              </w:rPr>
              <w:t>内容</w:t>
            </w:r>
          </w:p>
        </w:tc>
        <w:tc>
          <w:tcPr>
            <w:tcW w:w="720" w:type="dxa"/>
            <w:vAlign w:val="center"/>
          </w:tcPr>
          <w:p>
            <w:pPr>
              <w:numPr>
                <w:ilvl w:val="0"/>
                <w:numId w:val="0"/>
              </w:numPr>
              <w:jc w:val="center"/>
              <w:rPr>
                <w:rFonts w:hint="eastAsia"/>
                <w:vertAlign w:val="baseline"/>
              </w:rPr>
            </w:pPr>
            <w:r>
              <w:rPr>
                <w:rFonts w:hint="eastAsia"/>
                <w:vertAlign w:val="baseline"/>
              </w:rPr>
              <w:t>分值</w:t>
            </w:r>
          </w:p>
        </w:tc>
        <w:tc>
          <w:tcPr>
            <w:tcW w:w="5480" w:type="dxa"/>
            <w:vAlign w:val="center"/>
          </w:tcPr>
          <w:p>
            <w:pPr>
              <w:numPr>
                <w:ilvl w:val="0"/>
                <w:numId w:val="0"/>
              </w:numPr>
              <w:jc w:val="center"/>
              <w:rPr>
                <w:rFonts w:hint="eastAsia"/>
                <w:vertAlign w:val="baseline"/>
              </w:rPr>
            </w:pPr>
            <w:r>
              <w:rPr>
                <w:rFonts w:hint="eastAsia"/>
                <w:vertAlign w:val="baseline"/>
              </w:rPr>
              <w:t>评审标准</w:t>
            </w:r>
          </w:p>
        </w:tc>
        <w:tc>
          <w:tcPr>
            <w:tcW w:w="1130" w:type="dxa"/>
            <w:vAlign w:val="center"/>
          </w:tcPr>
          <w:p>
            <w:pPr>
              <w:numPr>
                <w:ilvl w:val="0"/>
                <w:numId w:val="0"/>
              </w:numPr>
              <w:jc w:val="center"/>
              <w:rPr>
                <w:rFonts w:hint="eastAsia"/>
                <w:vertAlign w:val="baseline"/>
              </w:rPr>
            </w:pPr>
            <w:r>
              <w:rPr>
                <w:rFonts w:hint="eastAsia"/>
                <w:vertAlign w:val="baseli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21" w:type="dxa"/>
            <w:vMerge w:val="restart"/>
            <w:vAlign w:val="center"/>
          </w:tcPr>
          <w:p>
            <w:pPr>
              <w:numPr>
                <w:ilvl w:val="0"/>
                <w:numId w:val="0"/>
              </w:numPr>
              <w:jc w:val="center"/>
              <w:rPr>
                <w:rFonts w:hint="eastAsia" w:eastAsia="宋体"/>
                <w:vertAlign w:val="baseline"/>
                <w:lang w:val="en-US" w:eastAsia="zh-CN"/>
              </w:rPr>
            </w:pPr>
            <w:r>
              <w:rPr>
                <w:rFonts w:hint="eastAsia"/>
                <w:vertAlign w:val="baseline"/>
                <w:lang w:val="en-US" w:eastAsia="zh-CN"/>
              </w:rPr>
              <w:t>1</w:t>
            </w:r>
          </w:p>
        </w:tc>
        <w:tc>
          <w:tcPr>
            <w:tcW w:w="1180" w:type="dxa"/>
            <w:vMerge w:val="restart"/>
            <w:vAlign w:val="center"/>
          </w:tcPr>
          <w:p>
            <w:pPr>
              <w:numPr>
                <w:ilvl w:val="0"/>
                <w:numId w:val="0"/>
              </w:numPr>
              <w:jc w:val="center"/>
              <w:rPr>
                <w:rFonts w:hint="eastAsia"/>
                <w:vertAlign w:val="baseline"/>
              </w:rPr>
            </w:pPr>
            <w:r>
              <w:rPr>
                <w:rFonts w:hint="eastAsia"/>
                <w:vertAlign w:val="baseline"/>
              </w:rPr>
              <w:t>内容完整性</w:t>
            </w:r>
          </w:p>
        </w:tc>
        <w:tc>
          <w:tcPr>
            <w:tcW w:w="720" w:type="dxa"/>
            <w:vMerge w:val="restart"/>
            <w:vAlign w:val="center"/>
          </w:tcPr>
          <w:p>
            <w:pPr>
              <w:numPr>
                <w:ilvl w:val="0"/>
                <w:numId w:val="0"/>
              </w:numPr>
              <w:jc w:val="center"/>
              <w:rPr>
                <w:rFonts w:hint="eastAsia"/>
                <w:vertAlign w:val="baseline"/>
              </w:rPr>
            </w:pPr>
            <w:r>
              <w:rPr>
                <w:rFonts w:hint="eastAsia"/>
                <w:vertAlign w:val="baseline"/>
              </w:rPr>
              <w:t>0-0.5分</w:t>
            </w:r>
          </w:p>
        </w:tc>
        <w:tc>
          <w:tcPr>
            <w:tcW w:w="5480" w:type="dxa"/>
            <w:vAlign w:val="center"/>
          </w:tcPr>
          <w:p>
            <w:pPr>
              <w:numPr>
                <w:ilvl w:val="0"/>
                <w:numId w:val="0"/>
              </w:numPr>
              <w:jc w:val="center"/>
              <w:rPr>
                <w:rFonts w:hint="eastAsia"/>
                <w:vertAlign w:val="baseline"/>
              </w:rPr>
            </w:pPr>
            <w:r>
              <w:rPr>
                <w:rFonts w:hint="eastAsia"/>
                <w:vertAlign w:val="baseline"/>
              </w:rPr>
              <w:t>技术标的主要内容具有完整性，符合招标文件的要求。</w:t>
            </w:r>
          </w:p>
        </w:tc>
        <w:tc>
          <w:tcPr>
            <w:tcW w:w="1130" w:type="dxa"/>
            <w:vAlign w:val="center"/>
          </w:tcPr>
          <w:p>
            <w:pPr>
              <w:numPr>
                <w:ilvl w:val="0"/>
                <w:numId w:val="0"/>
              </w:numPr>
              <w:jc w:val="center"/>
              <w:rPr>
                <w:rFonts w:hint="default" w:eastAsia="宋体"/>
                <w:vertAlign w:val="baseline"/>
                <w:lang w:val="en-US" w:eastAsia="zh-CN"/>
              </w:rPr>
            </w:pPr>
            <w:r>
              <w:rPr>
                <w:rFonts w:hint="eastAsia"/>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1" w:type="dxa"/>
            <w:vMerge w:val="continue"/>
            <w:vAlign w:val="center"/>
          </w:tcPr>
          <w:p>
            <w:pPr>
              <w:jc w:val="center"/>
            </w:pPr>
          </w:p>
        </w:tc>
        <w:tc>
          <w:tcPr>
            <w:tcW w:w="1180" w:type="dxa"/>
            <w:vMerge w:val="continue"/>
            <w:vAlign w:val="center"/>
          </w:tcPr>
          <w:p>
            <w:pPr>
              <w:jc w:val="center"/>
            </w:pPr>
          </w:p>
        </w:tc>
        <w:tc>
          <w:tcPr>
            <w:tcW w:w="720" w:type="dxa"/>
            <w:vMerge w:val="continue"/>
            <w:vAlign w:val="center"/>
          </w:tcPr>
          <w:p>
            <w:pPr>
              <w:jc w:val="center"/>
            </w:pPr>
          </w:p>
        </w:tc>
        <w:tc>
          <w:tcPr>
            <w:tcW w:w="5480" w:type="dxa"/>
            <w:vAlign w:val="center"/>
          </w:tcPr>
          <w:p>
            <w:pPr>
              <w:numPr>
                <w:ilvl w:val="0"/>
                <w:numId w:val="0"/>
              </w:numPr>
              <w:jc w:val="center"/>
              <w:rPr>
                <w:rFonts w:hint="eastAsia"/>
                <w:vertAlign w:val="baseline"/>
              </w:rPr>
            </w:pPr>
            <w:r>
              <w:rPr>
                <w:rFonts w:hint="eastAsia"/>
                <w:vertAlign w:val="baseline"/>
              </w:rPr>
              <w:t>技术标不符合招标文件要求。</w:t>
            </w:r>
          </w:p>
        </w:tc>
        <w:tc>
          <w:tcPr>
            <w:tcW w:w="1130" w:type="dxa"/>
            <w:vAlign w:val="center"/>
          </w:tcPr>
          <w:p>
            <w:pPr>
              <w:jc w:val="center"/>
              <w:rPr>
                <w:rFonts w:hint="eastAsia" w:eastAsia="宋体"/>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pPr>
              <w:numPr>
                <w:ilvl w:val="0"/>
                <w:numId w:val="0"/>
              </w:numPr>
              <w:jc w:val="center"/>
              <w:rPr>
                <w:rFonts w:hint="eastAsia" w:eastAsia="宋体"/>
                <w:vertAlign w:val="baseline"/>
                <w:lang w:val="en-US" w:eastAsia="zh-CN"/>
              </w:rPr>
            </w:pPr>
            <w:r>
              <w:rPr>
                <w:rFonts w:hint="eastAsia"/>
                <w:vertAlign w:val="baseline"/>
                <w:lang w:val="en-US" w:eastAsia="zh-CN"/>
              </w:rPr>
              <w:t>2</w:t>
            </w:r>
          </w:p>
        </w:tc>
        <w:tc>
          <w:tcPr>
            <w:tcW w:w="1180" w:type="dxa"/>
            <w:vMerge w:val="restart"/>
            <w:vAlign w:val="center"/>
          </w:tcPr>
          <w:p>
            <w:pPr>
              <w:numPr>
                <w:ilvl w:val="0"/>
                <w:numId w:val="0"/>
              </w:numPr>
              <w:jc w:val="center"/>
              <w:rPr>
                <w:rFonts w:hint="eastAsia"/>
                <w:vertAlign w:val="baseline"/>
              </w:rPr>
            </w:pPr>
            <w:r>
              <w:rPr>
                <w:rFonts w:hint="eastAsia"/>
                <w:vertAlign w:val="baseline"/>
              </w:rPr>
              <w:t>主要施工</w:t>
            </w:r>
          </w:p>
          <w:p>
            <w:pPr>
              <w:numPr>
                <w:ilvl w:val="0"/>
                <w:numId w:val="0"/>
              </w:numPr>
              <w:jc w:val="center"/>
              <w:rPr>
                <w:rFonts w:hint="eastAsia"/>
                <w:vertAlign w:val="baseline"/>
              </w:rPr>
            </w:pPr>
            <w:r>
              <w:rPr>
                <w:rFonts w:hint="eastAsia"/>
                <w:vertAlign w:val="baseline"/>
              </w:rPr>
              <w:t>方案与技</w:t>
            </w:r>
          </w:p>
          <w:p>
            <w:pPr>
              <w:numPr>
                <w:ilvl w:val="0"/>
                <w:numId w:val="0"/>
              </w:numPr>
              <w:jc w:val="center"/>
              <w:rPr>
                <w:rFonts w:hint="eastAsia"/>
                <w:vertAlign w:val="baseline"/>
              </w:rPr>
            </w:pPr>
            <w:r>
              <w:rPr>
                <w:rFonts w:hint="eastAsia"/>
                <w:vertAlign w:val="baseline"/>
              </w:rPr>
              <w:t>术措施</w:t>
            </w:r>
          </w:p>
        </w:tc>
        <w:tc>
          <w:tcPr>
            <w:tcW w:w="720" w:type="dxa"/>
            <w:vMerge w:val="restart"/>
            <w:vAlign w:val="center"/>
          </w:tcPr>
          <w:p>
            <w:pPr>
              <w:numPr>
                <w:ilvl w:val="0"/>
                <w:numId w:val="0"/>
              </w:numPr>
              <w:jc w:val="center"/>
              <w:rPr>
                <w:rFonts w:hint="eastAsia"/>
                <w:vertAlign w:val="baseline"/>
              </w:rPr>
            </w:pPr>
            <w:r>
              <w:rPr>
                <w:rFonts w:hint="eastAsia"/>
                <w:vertAlign w:val="baseline"/>
              </w:rPr>
              <w:t>1-3 分</w:t>
            </w:r>
          </w:p>
        </w:tc>
        <w:tc>
          <w:tcPr>
            <w:tcW w:w="5480" w:type="dxa"/>
            <w:vAlign w:val="center"/>
          </w:tcPr>
          <w:p>
            <w:pPr>
              <w:numPr>
                <w:ilvl w:val="0"/>
                <w:numId w:val="0"/>
              </w:numPr>
              <w:jc w:val="left"/>
              <w:rPr>
                <w:rFonts w:hint="eastAsia"/>
                <w:vertAlign w:val="baseline"/>
              </w:rPr>
            </w:pPr>
            <w:r>
              <w:rPr>
                <w:rFonts w:hint="eastAsia"/>
                <w:vertAlign w:val="baseline"/>
              </w:rPr>
              <w:t>施工方案（含工程特点、施工重点与难点及绿色施工）</w:t>
            </w:r>
          </w:p>
          <w:p>
            <w:pPr>
              <w:numPr>
                <w:ilvl w:val="0"/>
                <w:numId w:val="0"/>
              </w:numPr>
              <w:jc w:val="left"/>
              <w:rPr>
                <w:rFonts w:hint="eastAsia"/>
                <w:vertAlign w:val="baseline"/>
              </w:rPr>
            </w:pPr>
            <w:r>
              <w:rPr>
                <w:rFonts w:hint="eastAsia"/>
                <w:vertAlign w:val="baseline"/>
              </w:rPr>
              <w:t>总体安排合理，运用先进、合理的施工工艺、施工机械；</w:t>
            </w:r>
          </w:p>
          <w:p>
            <w:pPr>
              <w:numPr>
                <w:ilvl w:val="0"/>
                <w:numId w:val="0"/>
              </w:numPr>
              <w:jc w:val="left"/>
              <w:rPr>
                <w:rFonts w:hint="eastAsia"/>
                <w:vertAlign w:val="baseline"/>
              </w:rPr>
            </w:pPr>
            <w:r>
              <w:rPr>
                <w:rFonts w:hint="eastAsia"/>
                <w:vertAlign w:val="baseline"/>
              </w:rPr>
              <w:t>对施工难点有先进和合理的建议。</w:t>
            </w:r>
          </w:p>
        </w:tc>
        <w:tc>
          <w:tcPr>
            <w:tcW w:w="1130" w:type="dxa"/>
            <w:vAlign w:val="center"/>
          </w:tcPr>
          <w:p>
            <w:pPr>
              <w:numPr>
                <w:ilvl w:val="0"/>
                <w:numId w:val="0"/>
              </w:numPr>
              <w:jc w:val="center"/>
              <w:rPr>
                <w:rFonts w:hint="eastAsia"/>
                <w:vertAlign w:val="baseline"/>
              </w:rPr>
            </w:pPr>
            <w:r>
              <w:rPr>
                <w:rFonts w:hint="eastAsia"/>
                <w:vertAlign w:val="baseline"/>
              </w:rPr>
              <w:t>2＜得</w:t>
            </w:r>
            <w:r>
              <w:rPr>
                <w:rFonts w:hint="eastAsia"/>
                <w:vertAlign w:val="baseline"/>
                <w:lang w:val="en-US" w:eastAsia="zh-CN"/>
              </w:rPr>
              <w:t>分</w:t>
            </w:r>
            <w:r>
              <w:rPr>
                <w:rFonts w:hint="eastAsia"/>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pPr>
              <w:numPr>
                <w:ilvl w:val="0"/>
                <w:numId w:val="0"/>
              </w:numPr>
              <w:jc w:val="center"/>
              <w:rPr>
                <w:rFonts w:hint="eastAsia"/>
                <w:vertAlign w:val="baseline"/>
              </w:rPr>
            </w:pPr>
          </w:p>
        </w:tc>
        <w:tc>
          <w:tcPr>
            <w:tcW w:w="1180" w:type="dxa"/>
            <w:vMerge w:val="continue"/>
            <w:vAlign w:val="center"/>
          </w:tcPr>
          <w:p>
            <w:pPr>
              <w:numPr>
                <w:ilvl w:val="0"/>
                <w:numId w:val="0"/>
              </w:numPr>
              <w:jc w:val="center"/>
              <w:rPr>
                <w:rFonts w:hint="eastAsia"/>
                <w:vertAlign w:val="baseline"/>
              </w:rPr>
            </w:pPr>
          </w:p>
        </w:tc>
        <w:tc>
          <w:tcPr>
            <w:tcW w:w="720" w:type="dxa"/>
            <w:vMerge w:val="continue"/>
            <w:vAlign w:val="center"/>
          </w:tcPr>
          <w:p>
            <w:pPr>
              <w:numPr>
                <w:ilvl w:val="0"/>
                <w:numId w:val="0"/>
              </w:numPr>
              <w:jc w:val="center"/>
              <w:rPr>
                <w:rFonts w:hint="eastAsia"/>
                <w:vertAlign w:val="baseline"/>
              </w:rPr>
            </w:pPr>
          </w:p>
        </w:tc>
        <w:tc>
          <w:tcPr>
            <w:tcW w:w="5480" w:type="dxa"/>
            <w:vAlign w:val="center"/>
          </w:tcPr>
          <w:p>
            <w:pPr>
              <w:numPr>
                <w:ilvl w:val="0"/>
                <w:numId w:val="0"/>
              </w:numPr>
              <w:jc w:val="left"/>
              <w:rPr>
                <w:rFonts w:hint="eastAsia"/>
                <w:vertAlign w:val="baseline"/>
              </w:rPr>
            </w:pPr>
            <w:r>
              <w:rPr>
                <w:rFonts w:hint="eastAsia"/>
                <w:vertAlign w:val="baseline"/>
              </w:rPr>
              <w:t>施工方案（含工程特点、施工重点与难点及绿色施工）</w:t>
            </w:r>
          </w:p>
          <w:p>
            <w:pPr>
              <w:numPr>
                <w:ilvl w:val="0"/>
                <w:numId w:val="0"/>
              </w:numPr>
              <w:jc w:val="left"/>
              <w:rPr>
                <w:rFonts w:hint="eastAsia"/>
                <w:vertAlign w:val="baseline"/>
              </w:rPr>
            </w:pPr>
            <w:r>
              <w:rPr>
                <w:rFonts w:hint="eastAsia"/>
                <w:vertAlign w:val="baseline"/>
              </w:rPr>
              <w:t>总体安排合理，施工工艺、施工机械合理、可行；对施</w:t>
            </w:r>
          </w:p>
          <w:p>
            <w:pPr>
              <w:numPr>
                <w:ilvl w:val="0"/>
                <w:numId w:val="0"/>
              </w:numPr>
              <w:jc w:val="left"/>
              <w:rPr>
                <w:rFonts w:hint="eastAsia"/>
                <w:vertAlign w:val="baseline"/>
              </w:rPr>
            </w:pPr>
            <w:r>
              <w:rPr>
                <w:rFonts w:hint="eastAsia"/>
                <w:vertAlign w:val="baseline"/>
              </w:rPr>
              <w:t>工难点有合理的建议。</w:t>
            </w:r>
          </w:p>
        </w:tc>
        <w:tc>
          <w:tcPr>
            <w:tcW w:w="1130" w:type="dxa"/>
            <w:vAlign w:val="center"/>
          </w:tcPr>
          <w:p>
            <w:pPr>
              <w:numPr>
                <w:ilvl w:val="0"/>
                <w:numId w:val="0"/>
              </w:numPr>
              <w:jc w:val="center"/>
              <w:rPr>
                <w:rFonts w:hint="eastAsia"/>
                <w:vertAlign w:val="baseline"/>
              </w:rPr>
            </w:pPr>
            <w:r>
              <w:rPr>
                <w:rFonts w:hint="eastAsia"/>
                <w:vertAlign w:val="baseline"/>
              </w:rPr>
              <w:t>1≤得分</w:t>
            </w:r>
          </w:p>
          <w:p>
            <w:pPr>
              <w:numPr>
                <w:ilvl w:val="0"/>
                <w:numId w:val="0"/>
              </w:numPr>
              <w:jc w:val="center"/>
              <w:rPr>
                <w:rFonts w:hint="eastAsia"/>
                <w:vertAlign w:val="baseline"/>
              </w:rPr>
            </w:pPr>
            <w:r>
              <w:rPr>
                <w:rFonts w:hint="eastAsia"/>
                <w:vertAlign w:val="baseli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pPr>
              <w:numPr>
                <w:ilvl w:val="0"/>
                <w:numId w:val="0"/>
              </w:numPr>
              <w:jc w:val="center"/>
              <w:rPr>
                <w:rFonts w:hint="eastAsia" w:eastAsia="宋体"/>
                <w:vertAlign w:val="baseline"/>
                <w:lang w:val="en-US" w:eastAsia="zh-CN"/>
              </w:rPr>
            </w:pPr>
            <w:r>
              <w:rPr>
                <w:rFonts w:hint="eastAsia"/>
                <w:vertAlign w:val="baseline"/>
                <w:lang w:val="en-US" w:eastAsia="zh-CN"/>
              </w:rPr>
              <w:t>3</w:t>
            </w:r>
          </w:p>
        </w:tc>
        <w:tc>
          <w:tcPr>
            <w:tcW w:w="1180" w:type="dxa"/>
            <w:vMerge w:val="restart"/>
            <w:vAlign w:val="center"/>
          </w:tcPr>
          <w:p>
            <w:pPr>
              <w:numPr>
                <w:ilvl w:val="0"/>
                <w:numId w:val="0"/>
              </w:numPr>
              <w:jc w:val="center"/>
              <w:rPr>
                <w:rFonts w:hint="eastAsia"/>
                <w:vertAlign w:val="baseline"/>
              </w:rPr>
            </w:pPr>
            <w:r>
              <w:rPr>
                <w:rFonts w:hint="eastAsia"/>
                <w:vertAlign w:val="baseline"/>
              </w:rPr>
              <w:t>质量管理</w:t>
            </w:r>
          </w:p>
          <w:p>
            <w:pPr>
              <w:numPr>
                <w:ilvl w:val="0"/>
                <w:numId w:val="0"/>
              </w:numPr>
              <w:jc w:val="center"/>
              <w:rPr>
                <w:rFonts w:hint="eastAsia"/>
                <w:vertAlign w:val="baseline"/>
              </w:rPr>
            </w:pPr>
            <w:r>
              <w:rPr>
                <w:rFonts w:hint="eastAsia"/>
                <w:vertAlign w:val="baseline"/>
              </w:rPr>
              <w:t>体系与措</w:t>
            </w:r>
          </w:p>
          <w:p>
            <w:pPr>
              <w:numPr>
                <w:ilvl w:val="0"/>
                <w:numId w:val="0"/>
              </w:numPr>
              <w:jc w:val="center"/>
              <w:rPr>
                <w:rFonts w:hint="eastAsia"/>
                <w:vertAlign w:val="baseline"/>
              </w:rPr>
            </w:pPr>
            <w:r>
              <w:rPr>
                <w:rFonts w:hint="eastAsia"/>
                <w:vertAlign w:val="baseline"/>
              </w:rPr>
              <w:t>施</w:t>
            </w:r>
          </w:p>
        </w:tc>
        <w:tc>
          <w:tcPr>
            <w:tcW w:w="720" w:type="dxa"/>
            <w:vMerge w:val="restart"/>
            <w:vAlign w:val="center"/>
          </w:tcPr>
          <w:p>
            <w:pPr>
              <w:numPr>
                <w:ilvl w:val="0"/>
                <w:numId w:val="0"/>
              </w:numPr>
              <w:jc w:val="center"/>
              <w:rPr>
                <w:rFonts w:hint="eastAsia"/>
                <w:vertAlign w:val="baseline"/>
              </w:rPr>
            </w:pPr>
            <w:r>
              <w:rPr>
                <w:rFonts w:hint="eastAsia"/>
                <w:vertAlign w:val="baseline"/>
              </w:rPr>
              <w:t>1-2 分</w:t>
            </w:r>
          </w:p>
        </w:tc>
        <w:tc>
          <w:tcPr>
            <w:tcW w:w="5480" w:type="dxa"/>
            <w:vAlign w:val="center"/>
          </w:tcPr>
          <w:p>
            <w:pPr>
              <w:numPr>
                <w:ilvl w:val="0"/>
                <w:numId w:val="0"/>
              </w:numPr>
              <w:jc w:val="left"/>
              <w:rPr>
                <w:rFonts w:hint="eastAsia"/>
                <w:vertAlign w:val="baseline"/>
              </w:rPr>
            </w:pPr>
            <w:r>
              <w:rPr>
                <w:rFonts w:hint="eastAsia"/>
                <w:vertAlign w:val="baseline"/>
              </w:rPr>
              <w:t>组织机构形式合理，有完善的指挥系统、质量监控系统、</w:t>
            </w:r>
          </w:p>
          <w:p>
            <w:pPr>
              <w:numPr>
                <w:ilvl w:val="0"/>
                <w:numId w:val="0"/>
              </w:numPr>
              <w:jc w:val="left"/>
              <w:rPr>
                <w:rFonts w:hint="eastAsia"/>
                <w:vertAlign w:val="baseline"/>
              </w:rPr>
            </w:pPr>
            <w:r>
              <w:rPr>
                <w:rFonts w:hint="eastAsia"/>
                <w:vertAlign w:val="baseline"/>
              </w:rPr>
              <w:t>联络协调系统，对项目提出先进、可行、具体的保证措</w:t>
            </w:r>
          </w:p>
          <w:p>
            <w:pPr>
              <w:numPr>
                <w:ilvl w:val="0"/>
                <w:numId w:val="0"/>
              </w:numPr>
              <w:jc w:val="left"/>
              <w:rPr>
                <w:rFonts w:hint="eastAsia"/>
                <w:vertAlign w:val="baseline"/>
              </w:rPr>
            </w:pPr>
            <w:r>
              <w:rPr>
                <w:rFonts w:hint="eastAsia"/>
                <w:vertAlign w:val="baseline"/>
              </w:rPr>
              <w:t>施。主体结构质量保证措施完整得力、经济、安全、切</w:t>
            </w:r>
          </w:p>
          <w:p>
            <w:pPr>
              <w:numPr>
                <w:ilvl w:val="0"/>
                <w:numId w:val="0"/>
              </w:numPr>
              <w:jc w:val="left"/>
              <w:rPr>
                <w:rFonts w:hint="eastAsia"/>
                <w:vertAlign w:val="baseline"/>
              </w:rPr>
            </w:pPr>
            <w:r>
              <w:rPr>
                <w:rFonts w:hint="eastAsia"/>
                <w:vertAlign w:val="baseline"/>
              </w:rPr>
              <w:t>实可行。主体结构、装饰装修按照工程建设强制性标准</w:t>
            </w:r>
          </w:p>
          <w:p>
            <w:pPr>
              <w:numPr>
                <w:ilvl w:val="0"/>
                <w:numId w:val="0"/>
              </w:numPr>
              <w:jc w:val="left"/>
              <w:rPr>
                <w:rFonts w:hint="eastAsia"/>
                <w:vertAlign w:val="baseline"/>
              </w:rPr>
            </w:pPr>
            <w:r>
              <w:rPr>
                <w:rFonts w:hint="eastAsia"/>
                <w:vertAlign w:val="baseline"/>
              </w:rPr>
              <w:t>和其他技术标准施工，不得偷工减料。</w:t>
            </w:r>
          </w:p>
        </w:tc>
        <w:tc>
          <w:tcPr>
            <w:tcW w:w="1130" w:type="dxa"/>
            <w:vAlign w:val="center"/>
          </w:tcPr>
          <w:p>
            <w:pPr>
              <w:numPr>
                <w:ilvl w:val="0"/>
                <w:numId w:val="0"/>
              </w:numPr>
              <w:jc w:val="center"/>
              <w:rPr>
                <w:rFonts w:hint="eastAsia"/>
                <w:vertAlign w:val="baseline"/>
              </w:rPr>
            </w:pPr>
            <w:r>
              <w:rPr>
                <w:rFonts w:hint="eastAsia"/>
                <w:vertAlign w:val="baseline"/>
              </w:rPr>
              <w:t>1.5＜得分</w:t>
            </w:r>
          </w:p>
          <w:p>
            <w:pPr>
              <w:numPr>
                <w:ilvl w:val="0"/>
                <w:numId w:val="0"/>
              </w:numPr>
              <w:jc w:val="center"/>
              <w:rPr>
                <w:rFonts w:hint="eastAsia"/>
                <w:vertAlign w:val="baseline"/>
              </w:rPr>
            </w:pPr>
            <w:r>
              <w:rPr>
                <w:rFonts w:hint="eastAsia"/>
                <w:vertAlign w:val="baseli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pPr>
              <w:numPr>
                <w:ilvl w:val="0"/>
                <w:numId w:val="0"/>
              </w:numPr>
              <w:jc w:val="center"/>
              <w:rPr>
                <w:rFonts w:hint="eastAsia"/>
                <w:vertAlign w:val="baseline"/>
              </w:rPr>
            </w:pPr>
          </w:p>
        </w:tc>
        <w:tc>
          <w:tcPr>
            <w:tcW w:w="1180" w:type="dxa"/>
            <w:vMerge w:val="continue"/>
            <w:vAlign w:val="center"/>
          </w:tcPr>
          <w:p>
            <w:pPr>
              <w:numPr>
                <w:ilvl w:val="0"/>
                <w:numId w:val="0"/>
              </w:numPr>
              <w:jc w:val="center"/>
              <w:rPr>
                <w:rFonts w:hint="eastAsia"/>
                <w:vertAlign w:val="baseline"/>
              </w:rPr>
            </w:pPr>
          </w:p>
        </w:tc>
        <w:tc>
          <w:tcPr>
            <w:tcW w:w="720" w:type="dxa"/>
            <w:vMerge w:val="continue"/>
            <w:vAlign w:val="center"/>
          </w:tcPr>
          <w:p>
            <w:pPr>
              <w:numPr>
                <w:ilvl w:val="0"/>
                <w:numId w:val="0"/>
              </w:numPr>
              <w:jc w:val="center"/>
              <w:rPr>
                <w:rFonts w:hint="eastAsia"/>
                <w:vertAlign w:val="baseline"/>
              </w:rPr>
            </w:pPr>
          </w:p>
        </w:tc>
        <w:tc>
          <w:tcPr>
            <w:tcW w:w="5480" w:type="dxa"/>
            <w:vAlign w:val="center"/>
          </w:tcPr>
          <w:p>
            <w:pPr>
              <w:numPr>
                <w:ilvl w:val="0"/>
                <w:numId w:val="0"/>
              </w:numPr>
              <w:jc w:val="left"/>
              <w:rPr>
                <w:rFonts w:hint="eastAsia"/>
                <w:vertAlign w:val="baseline"/>
              </w:rPr>
            </w:pPr>
            <w:r>
              <w:rPr>
                <w:rFonts w:hint="eastAsia"/>
                <w:vertAlign w:val="baseline"/>
              </w:rPr>
              <w:t>组织机构形式基本合理，指挥系统、质量监控系统、联</w:t>
            </w:r>
          </w:p>
          <w:p>
            <w:pPr>
              <w:numPr>
                <w:ilvl w:val="0"/>
                <w:numId w:val="0"/>
              </w:numPr>
              <w:jc w:val="left"/>
              <w:rPr>
                <w:rFonts w:hint="eastAsia"/>
                <w:vertAlign w:val="baseline"/>
              </w:rPr>
            </w:pPr>
            <w:r>
              <w:rPr>
                <w:rFonts w:hint="eastAsia"/>
                <w:vertAlign w:val="baseline"/>
              </w:rPr>
              <w:t>络协调系统，具体措施可行。主体结构质量保证措施经</w:t>
            </w:r>
          </w:p>
          <w:p>
            <w:pPr>
              <w:numPr>
                <w:ilvl w:val="0"/>
                <w:numId w:val="0"/>
              </w:numPr>
              <w:jc w:val="left"/>
              <w:rPr>
                <w:rFonts w:hint="eastAsia"/>
                <w:vertAlign w:val="baseline"/>
              </w:rPr>
            </w:pPr>
            <w:r>
              <w:rPr>
                <w:rFonts w:hint="eastAsia"/>
                <w:vertAlign w:val="baseline"/>
              </w:rPr>
              <w:t>济、安全、基本可行。主体结构、装饰装修符合工程建</w:t>
            </w:r>
          </w:p>
          <w:p>
            <w:pPr>
              <w:numPr>
                <w:ilvl w:val="0"/>
                <w:numId w:val="0"/>
              </w:numPr>
              <w:jc w:val="left"/>
              <w:rPr>
                <w:rFonts w:hint="eastAsia"/>
                <w:vertAlign w:val="baseline"/>
              </w:rPr>
            </w:pPr>
            <w:r>
              <w:rPr>
                <w:rFonts w:hint="eastAsia"/>
                <w:vertAlign w:val="baseline"/>
              </w:rPr>
              <w:t>设强制性标准，不得偷工减料。</w:t>
            </w:r>
          </w:p>
        </w:tc>
        <w:tc>
          <w:tcPr>
            <w:tcW w:w="1130" w:type="dxa"/>
            <w:vAlign w:val="center"/>
          </w:tcPr>
          <w:p>
            <w:pPr>
              <w:numPr>
                <w:ilvl w:val="0"/>
                <w:numId w:val="0"/>
              </w:numPr>
              <w:jc w:val="center"/>
              <w:rPr>
                <w:rFonts w:hint="eastAsia"/>
                <w:vertAlign w:val="baseline"/>
              </w:rPr>
            </w:pPr>
            <w:r>
              <w:rPr>
                <w:rFonts w:hint="eastAsia"/>
                <w:vertAlign w:val="baseli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pPr>
              <w:numPr>
                <w:ilvl w:val="0"/>
                <w:numId w:val="0"/>
              </w:numPr>
              <w:jc w:val="center"/>
              <w:rPr>
                <w:rFonts w:hint="eastAsia" w:eastAsia="宋体"/>
                <w:vertAlign w:val="baseline"/>
                <w:lang w:val="en-US" w:eastAsia="zh-CN"/>
              </w:rPr>
            </w:pPr>
            <w:r>
              <w:rPr>
                <w:rFonts w:hint="eastAsia"/>
                <w:vertAlign w:val="baseline"/>
                <w:lang w:val="en-US" w:eastAsia="zh-CN"/>
              </w:rPr>
              <w:t>4</w:t>
            </w:r>
          </w:p>
        </w:tc>
        <w:tc>
          <w:tcPr>
            <w:tcW w:w="1180" w:type="dxa"/>
            <w:vMerge w:val="restart"/>
            <w:vAlign w:val="center"/>
          </w:tcPr>
          <w:p>
            <w:pPr>
              <w:numPr>
                <w:ilvl w:val="0"/>
                <w:numId w:val="0"/>
              </w:numPr>
              <w:jc w:val="center"/>
              <w:rPr>
                <w:rFonts w:hint="eastAsia"/>
                <w:vertAlign w:val="baseline"/>
              </w:rPr>
            </w:pPr>
            <w:r>
              <w:rPr>
                <w:rFonts w:hint="eastAsia"/>
                <w:vertAlign w:val="baseline"/>
              </w:rPr>
              <w:t>安全管理</w:t>
            </w:r>
          </w:p>
          <w:p>
            <w:pPr>
              <w:numPr>
                <w:ilvl w:val="0"/>
                <w:numId w:val="0"/>
              </w:numPr>
              <w:jc w:val="center"/>
              <w:rPr>
                <w:rFonts w:hint="eastAsia"/>
                <w:vertAlign w:val="baseline"/>
              </w:rPr>
            </w:pPr>
            <w:r>
              <w:rPr>
                <w:rFonts w:hint="eastAsia"/>
                <w:vertAlign w:val="baseline"/>
              </w:rPr>
              <w:t>体系与措</w:t>
            </w:r>
          </w:p>
          <w:p>
            <w:pPr>
              <w:numPr>
                <w:ilvl w:val="0"/>
                <w:numId w:val="0"/>
              </w:numPr>
              <w:jc w:val="center"/>
              <w:rPr>
                <w:rFonts w:hint="eastAsia"/>
                <w:vertAlign w:val="baseline"/>
              </w:rPr>
            </w:pPr>
            <w:r>
              <w:rPr>
                <w:rFonts w:hint="eastAsia"/>
                <w:vertAlign w:val="baseline"/>
              </w:rPr>
              <w:t>施</w:t>
            </w:r>
          </w:p>
        </w:tc>
        <w:tc>
          <w:tcPr>
            <w:tcW w:w="720" w:type="dxa"/>
            <w:vMerge w:val="restart"/>
            <w:vAlign w:val="center"/>
          </w:tcPr>
          <w:p>
            <w:pPr>
              <w:numPr>
                <w:ilvl w:val="0"/>
                <w:numId w:val="0"/>
              </w:numPr>
              <w:jc w:val="center"/>
              <w:rPr>
                <w:rFonts w:hint="eastAsia"/>
                <w:vertAlign w:val="baseline"/>
              </w:rPr>
            </w:pPr>
            <w:r>
              <w:rPr>
                <w:rFonts w:hint="eastAsia"/>
                <w:vertAlign w:val="baseline"/>
              </w:rPr>
              <w:t>1-2 分</w:t>
            </w:r>
          </w:p>
        </w:tc>
        <w:tc>
          <w:tcPr>
            <w:tcW w:w="5480" w:type="dxa"/>
            <w:vAlign w:val="center"/>
          </w:tcPr>
          <w:p>
            <w:pPr>
              <w:numPr>
                <w:ilvl w:val="0"/>
                <w:numId w:val="0"/>
              </w:numPr>
              <w:jc w:val="center"/>
              <w:rPr>
                <w:rFonts w:hint="eastAsia"/>
                <w:vertAlign w:val="baseline"/>
              </w:rPr>
            </w:pPr>
            <w:r>
              <w:rPr>
                <w:rFonts w:hint="eastAsia"/>
                <w:vertAlign w:val="baseline"/>
              </w:rPr>
              <w:t>施工安全生产保障体系健全，安全管理制度完善，安全</w:t>
            </w:r>
          </w:p>
          <w:p>
            <w:pPr>
              <w:numPr>
                <w:ilvl w:val="0"/>
                <w:numId w:val="0"/>
              </w:numPr>
              <w:jc w:val="center"/>
              <w:rPr>
                <w:rFonts w:hint="eastAsia"/>
                <w:vertAlign w:val="baseline"/>
              </w:rPr>
            </w:pPr>
            <w:r>
              <w:rPr>
                <w:rFonts w:hint="eastAsia"/>
                <w:vertAlign w:val="baseline"/>
              </w:rPr>
              <w:t>管理目标具体，全员安全责任制明确，现场安全管理组</w:t>
            </w:r>
          </w:p>
          <w:p>
            <w:pPr>
              <w:numPr>
                <w:ilvl w:val="0"/>
                <w:numId w:val="0"/>
              </w:numPr>
              <w:jc w:val="center"/>
              <w:rPr>
                <w:rFonts w:hint="eastAsia"/>
                <w:vertAlign w:val="baseline"/>
              </w:rPr>
            </w:pPr>
            <w:r>
              <w:rPr>
                <w:rFonts w:hint="eastAsia"/>
                <w:vertAlign w:val="baseline"/>
              </w:rPr>
              <w:t>织机构、人员配备满足国家规定要求。根据工程特点、</w:t>
            </w:r>
          </w:p>
          <w:p>
            <w:pPr>
              <w:numPr>
                <w:ilvl w:val="0"/>
                <w:numId w:val="0"/>
              </w:numPr>
              <w:jc w:val="center"/>
              <w:rPr>
                <w:rFonts w:hint="eastAsia"/>
                <w:vertAlign w:val="baseline"/>
              </w:rPr>
            </w:pPr>
            <w:r>
              <w:rPr>
                <w:rFonts w:hint="eastAsia"/>
                <w:vertAlign w:val="baseline"/>
              </w:rPr>
              <w:t>周边环境和施工工艺，现场重大危险源辨识全面，制定</w:t>
            </w:r>
          </w:p>
          <w:p>
            <w:pPr>
              <w:numPr>
                <w:ilvl w:val="0"/>
                <w:numId w:val="0"/>
              </w:numPr>
              <w:jc w:val="center"/>
              <w:rPr>
                <w:rFonts w:hint="eastAsia"/>
                <w:vertAlign w:val="baseline"/>
              </w:rPr>
            </w:pPr>
            <w:r>
              <w:rPr>
                <w:rFonts w:hint="eastAsia"/>
                <w:vertAlign w:val="baseline"/>
              </w:rPr>
              <w:t>有项目危险性较大的分部分项工程清单并明确有相应的</w:t>
            </w:r>
          </w:p>
          <w:p>
            <w:pPr>
              <w:numPr>
                <w:ilvl w:val="0"/>
                <w:numId w:val="0"/>
              </w:numPr>
              <w:jc w:val="center"/>
              <w:rPr>
                <w:rFonts w:hint="eastAsia"/>
                <w:vertAlign w:val="baseline"/>
              </w:rPr>
            </w:pPr>
            <w:r>
              <w:rPr>
                <w:rFonts w:hint="eastAsia"/>
                <w:vertAlign w:val="baseline"/>
              </w:rPr>
              <w:t>安全管理措施。安全技术方案措施科学合理、先进可行。</w:t>
            </w:r>
          </w:p>
        </w:tc>
        <w:tc>
          <w:tcPr>
            <w:tcW w:w="1130" w:type="dxa"/>
            <w:vAlign w:val="center"/>
          </w:tcPr>
          <w:p>
            <w:pPr>
              <w:numPr>
                <w:ilvl w:val="0"/>
                <w:numId w:val="0"/>
              </w:numPr>
              <w:jc w:val="center"/>
              <w:rPr>
                <w:rFonts w:hint="eastAsia"/>
                <w:vertAlign w:val="baseline"/>
              </w:rPr>
            </w:pPr>
            <w:r>
              <w:rPr>
                <w:rFonts w:hint="eastAsia"/>
                <w:vertAlign w:val="baseline"/>
              </w:rPr>
              <w:t>1.5＜得分</w:t>
            </w:r>
          </w:p>
          <w:p>
            <w:pPr>
              <w:numPr>
                <w:ilvl w:val="0"/>
                <w:numId w:val="0"/>
              </w:numPr>
              <w:jc w:val="center"/>
              <w:rPr>
                <w:rFonts w:hint="eastAsia"/>
                <w:vertAlign w:val="baseline"/>
              </w:rPr>
            </w:pPr>
            <w:r>
              <w:rPr>
                <w:rFonts w:hint="eastAsia"/>
                <w:vertAlign w:val="baseli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21" w:type="dxa"/>
            <w:vMerge w:val="continue"/>
            <w:vAlign w:val="center"/>
          </w:tcPr>
          <w:p>
            <w:pPr>
              <w:numPr>
                <w:ilvl w:val="0"/>
                <w:numId w:val="0"/>
              </w:numPr>
              <w:jc w:val="center"/>
              <w:rPr>
                <w:rFonts w:hint="eastAsia"/>
                <w:vertAlign w:val="baseline"/>
              </w:rPr>
            </w:pPr>
          </w:p>
        </w:tc>
        <w:tc>
          <w:tcPr>
            <w:tcW w:w="1180" w:type="dxa"/>
            <w:vMerge w:val="continue"/>
            <w:vAlign w:val="center"/>
          </w:tcPr>
          <w:p>
            <w:pPr>
              <w:numPr>
                <w:ilvl w:val="0"/>
                <w:numId w:val="0"/>
              </w:numPr>
              <w:jc w:val="center"/>
              <w:rPr>
                <w:rFonts w:hint="eastAsia"/>
                <w:vertAlign w:val="baseline"/>
              </w:rPr>
            </w:pPr>
          </w:p>
        </w:tc>
        <w:tc>
          <w:tcPr>
            <w:tcW w:w="720" w:type="dxa"/>
            <w:vMerge w:val="continue"/>
            <w:vAlign w:val="center"/>
          </w:tcPr>
          <w:p>
            <w:pPr>
              <w:numPr>
                <w:ilvl w:val="0"/>
                <w:numId w:val="0"/>
              </w:numPr>
              <w:jc w:val="center"/>
              <w:rPr>
                <w:rFonts w:hint="eastAsia"/>
                <w:vertAlign w:val="baseline"/>
              </w:rPr>
            </w:pPr>
          </w:p>
        </w:tc>
        <w:tc>
          <w:tcPr>
            <w:tcW w:w="5480" w:type="dxa"/>
            <w:vAlign w:val="center"/>
          </w:tcPr>
          <w:p>
            <w:pPr>
              <w:numPr>
                <w:ilvl w:val="0"/>
                <w:numId w:val="0"/>
              </w:numPr>
              <w:jc w:val="left"/>
              <w:rPr>
                <w:rFonts w:hint="eastAsia"/>
                <w:vertAlign w:val="baseline"/>
              </w:rPr>
            </w:pPr>
            <w:r>
              <w:rPr>
                <w:rFonts w:hint="eastAsia"/>
                <w:vertAlign w:val="baseline"/>
              </w:rPr>
              <w:t>有施工安全生产保障体系、安全责任制和安全管理制度，</w:t>
            </w:r>
          </w:p>
          <w:p>
            <w:pPr>
              <w:numPr>
                <w:ilvl w:val="0"/>
                <w:numId w:val="0"/>
              </w:numPr>
              <w:jc w:val="left"/>
              <w:rPr>
                <w:rFonts w:hint="eastAsia"/>
                <w:vertAlign w:val="baseline"/>
              </w:rPr>
            </w:pPr>
            <w:r>
              <w:rPr>
                <w:rFonts w:hint="eastAsia"/>
                <w:vertAlign w:val="baseline"/>
              </w:rPr>
              <w:t>现场安全管理机构、人员配备满足国家规定。根据工程</w:t>
            </w:r>
          </w:p>
          <w:p>
            <w:pPr>
              <w:numPr>
                <w:ilvl w:val="0"/>
                <w:numId w:val="0"/>
              </w:numPr>
              <w:jc w:val="left"/>
              <w:rPr>
                <w:rFonts w:hint="eastAsia"/>
                <w:vertAlign w:val="baseline"/>
              </w:rPr>
            </w:pPr>
            <w:r>
              <w:rPr>
                <w:rFonts w:hint="eastAsia"/>
                <w:vertAlign w:val="baseline"/>
              </w:rPr>
              <w:t>特点、周边环境和施工工艺，正确识别现场重大危险源</w:t>
            </w:r>
          </w:p>
          <w:p>
            <w:pPr>
              <w:numPr>
                <w:ilvl w:val="0"/>
                <w:numId w:val="0"/>
              </w:numPr>
              <w:jc w:val="left"/>
              <w:rPr>
                <w:rFonts w:hint="eastAsia"/>
                <w:vertAlign w:val="baseline"/>
              </w:rPr>
            </w:pPr>
            <w:r>
              <w:rPr>
                <w:rFonts w:hint="eastAsia"/>
                <w:vertAlign w:val="baseline"/>
              </w:rPr>
              <w:t>并有相应的安全防护管理措施。制定有本项目危险性较</w:t>
            </w:r>
          </w:p>
          <w:p>
            <w:pPr>
              <w:numPr>
                <w:ilvl w:val="0"/>
                <w:numId w:val="0"/>
              </w:numPr>
              <w:jc w:val="left"/>
              <w:rPr>
                <w:rFonts w:hint="eastAsia"/>
                <w:vertAlign w:val="baseline"/>
              </w:rPr>
            </w:pPr>
            <w:r>
              <w:rPr>
                <w:rFonts w:hint="eastAsia"/>
                <w:vertAlign w:val="baseline"/>
              </w:rPr>
              <w:t>大的分部分项工程清单和相关专项施工方案（或方案计</w:t>
            </w:r>
          </w:p>
          <w:p>
            <w:pPr>
              <w:numPr>
                <w:ilvl w:val="0"/>
                <w:numId w:val="0"/>
              </w:numPr>
              <w:jc w:val="left"/>
              <w:rPr>
                <w:rFonts w:hint="eastAsia"/>
                <w:vertAlign w:val="baseline"/>
              </w:rPr>
            </w:pPr>
            <w:r>
              <w:rPr>
                <w:rFonts w:hint="eastAsia"/>
                <w:vertAlign w:val="baseline"/>
              </w:rPr>
              <w:t>划），安全技术方案、措施基本可行。</w:t>
            </w:r>
          </w:p>
        </w:tc>
        <w:tc>
          <w:tcPr>
            <w:tcW w:w="1130" w:type="dxa"/>
            <w:vAlign w:val="center"/>
          </w:tcPr>
          <w:p>
            <w:pPr>
              <w:numPr>
                <w:ilvl w:val="0"/>
                <w:numId w:val="0"/>
              </w:numPr>
              <w:jc w:val="center"/>
              <w:rPr>
                <w:rFonts w:hint="eastAsia"/>
                <w:vertAlign w:val="baseline"/>
              </w:rPr>
            </w:pPr>
            <w:r>
              <w:rPr>
                <w:rFonts w:hint="eastAsia"/>
                <w:vertAlign w:val="baseli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pPr>
              <w:numPr>
                <w:ilvl w:val="0"/>
                <w:numId w:val="0"/>
              </w:numPr>
              <w:jc w:val="center"/>
              <w:rPr>
                <w:rFonts w:hint="eastAsia" w:eastAsia="宋体"/>
                <w:vertAlign w:val="baseline"/>
                <w:lang w:val="en-US" w:eastAsia="zh-CN"/>
              </w:rPr>
            </w:pPr>
            <w:r>
              <w:rPr>
                <w:rFonts w:hint="eastAsia"/>
                <w:vertAlign w:val="baseline"/>
                <w:lang w:val="en-US" w:eastAsia="zh-CN"/>
              </w:rPr>
              <w:t>5</w:t>
            </w:r>
          </w:p>
        </w:tc>
        <w:tc>
          <w:tcPr>
            <w:tcW w:w="1180" w:type="dxa"/>
            <w:vMerge w:val="restart"/>
            <w:vAlign w:val="center"/>
          </w:tcPr>
          <w:p>
            <w:pPr>
              <w:numPr>
                <w:ilvl w:val="0"/>
                <w:numId w:val="0"/>
              </w:numPr>
              <w:jc w:val="center"/>
              <w:rPr>
                <w:rFonts w:hint="eastAsia"/>
                <w:vertAlign w:val="baseline"/>
              </w:rPr>
            </w:pPr>
            <w:r>
              <w:rPr>
                <w:rFonts w:hint="eastAsia"/>
                <w:vertAlign w:val="baseline"/>
              </w:rPr>
              <w:t>文明施工、</w:t>
            </w:r>
          </w:p>
          <w:p>
            <w:pPr>
              <w:numPr>
                <w:ilvl w:val="0"/>
                <w:numId w:val="0"/>
              </w:numPr>
              <w:jc w:val="center"/>
              <w:rPr>
                <w:rFonts w:hint="eastAsia"/>
                <w:vertAlign w:val="baseline"/>
              </w:rPr>
            </w:pPr>
            <w:r>
              <w:rPr>
                <w:rFonts w:hint="eastAsia"/>
                <w:vertAlign w:val="baseline"/>
              </w:rPr>
              <w:t>环境保护</w:t>
            </w:r>
          </w:p>
          <w:p>
            <w:pPr>
              <w:numPr>
                <w:ilvl w:val="0"/>
                <w:numId w:val="0"/>
              </w:numPr>
              <w:jc w:val="center"/>
              <w:rPr>
                <w:rFonts w:hint="eastAsia"/>
                <w:vertAlign w:val="baseline"/>
              </w:rPr>
            </w:pPr>
            <w:r>
              <w:rPr>
                <w:rFonts w:hint="eastAsia"/>
                <w:vertAlign w:val="baseline"/>
              </w:rPr>
              <w:t>管理体系</w:t>
            </w:r>
          </w:p>
          <w:p>
            <w:pPr>
              <w:numPr>
                <w:ilvl w:val="0"/>
                <w:numId w:val="0"/>
              </w:numPr>
              <w:jc w:val="center"/>
              <w:rPr>
                <w:rFonts w:hint="eastAsia"/>
                <w:vertAlign w:val="baseline"/>
              </w:rPr>
            </w:pPr>
            <w:r>
              <w:rPr>
                <w:rFonts w:hint="eastAsia"/>
                <w:vertAlign w:val="baseline"/>
              </w:rPr>
              <w:t>及施工现</w:t>
            </w:r>
          </w:p>
          <w:p>
            <w:pPr>
              <w:numPr>
                <w:ilvl w:val="0"/>
                <w:numId w:val="0"/>
              </w:numPr>
              <w:jc w:val="center"/>
              <w:rPr>
                <w:rFonts w:hint="eastAsia"/>
                <w:vertAlign w:val="baseline"/>
              </w:rPr>
            </w:pPr>
            <w:r>
              <w:rPr>
                <w:rFonts w:hint="eastAsia"/>
                <w:vertAlign w:val="baseline"/>
              </w:rPr>
              <w:t>场扬尘治</w:t>
            </w:r>
          </w:p>
          <w:p>
            <w:pPr>
              <w:numPr>
                <w:ilvl w:val="0"/>
                <w:numId w:val="0"/>
              </w:numPr>
              <w:jc w:val="center"/>
              <w:rPr>
                <w:rFonts w:hint="eastAsia"/>
                <w:vertAlign w:val="baseline"/>
              </w:rPr>
            </w:pPr>
            <w:r>
              <w:rPr>
                <w:rFonts w:hint="eastAsia"/>
                <w:vertAlign w:val="baseline"/>
              </w:rPr>
              <w:t>理措施</w:t>
            </w:r>
          </w:p>
        </w:tc>
        <w:tc>
          <w:tcPr>
            <w:tcW w:w="720" w:type="dxa"/>
            <w:vMerge w:val="restart"/>
            <w:vAlign w:val="center"/>
          </w:tcPr>
          <w:p>
            <w:pPr>
              <w:numPr>
                <w:ilvl w:val="0"/>
                <w:numId w:val="0"/>
              </w:numPr>
              <w:jc w:val="center"/>
              <w:rPr>
                <w:rFonts w:hint="eastAsia"/>
                <w:vertAlign w:val="baseline"/>
              </w:rPr>
            </w:pPr>
            <w:r>
              <w:rPr>
                <w:rFonts w:hint="eastAsia"/>
                <w:vertAlign w:val="baseline"/>
              </w:rPr>
              <w:t>1-3 分</w:t>
            </w:r>
          </w:p>
        </w:tc>
        <w:tc>
          <w:tcPr>
            <w:tcW w:w="5480" w:type="dxa"/>
            <w:vAlign w:val="center"/>
          </w:tcPr>
          <w:p>
            <w:pPr>
              <w:numPr>
                <w:ilvl w:val="0"/>
                <w:numId w:val="0"/>
              </w:numPr>
              <w:jc w:val="left"/>
              <w:rPr>
                <w:rFonts w:hint="eastAsia"/>
                <w:vertAlign w:val="baseline"/>
              </w:rPr>
            </w:pPr>
            <w:r>
              <w:rPr>
                <w:rFonts w:hint="eastAsia"/>
                <w:vertAlign w:val="baseline"/>
              </w:rPr>
              <w:t>创安全文明标准化工地目标明确，有针对项目实际情况，</w:t>
            </w:r>
          </w:p>
          <w:p>
            <w:pPr>
              <w:numPr>
                <w:ilvl w:val="0"/>
                <w:numId w:val="0"/>
              </w:numPr>
              <w:jc w:val="left"/>
              <w:rPr>
                <w:rFonts w:hint="eastAsia"/>
                <w:vertAlign w:val="baseline"/>
              </w:rPr>
            </w:pPr>
            <w:r>
              <w:rPr>
                <w:rFonts w:hint="eastAsia"/>
                <w:vertAlign w:val="baseline"/>
              </w:rPr>
              <w:t>科学可行的创建计划和符合相关标准、规范、规程的创</w:t>
            </w:r>
          </w:p>
          <w:p>
            <w:pPr>
              <w:numPr>
                <w:ilvl w:val="0"/>
                <w:numId w:val="0"/>
              </w:numPr>
              <w:jc w:val="left"/>
              <w:rPr>
                <w:rFonts w:hint="eastAsia"/>
                <w:vertAlign w:val="baseline"/>
              </w:rPr>
            </w:pPr>
            <w:r>
              <w:rPr>
                <w:rFonts w:hint="eastAsia"/>
                <w:vertAlign w:val="baseline"/>
              </w:rPr>
              <w:t>建保证措施和安全文明措施费用投入使用计划，现场施</w:t>
            </w:r>
          </w:p>
          <w:p>
            <w:pPr>
              <w:numPr>
                <w:ilvl w:val="0"/>
                <w:numId w:val="0"/>
              </w:numPr>
              <w:jc w:val="left"/>
              <w:rPr>
                <w:rFonts w:hint="eastAsia"/>
                <w:vertAlign w:val="baseline"/>
              </w:rPr>
            </w:pPr>
            <w:r>
              <w:rPr>
                <w:rFonts w:hint="eastAsia"/>
                <w:vertAlign w:val="baseline"/>
              </w:rPr>
              <w:t>工区、生活区、办公区等设置科学规范，符合有关文明</w:t>
            </w:r>
          </w:p>
          <w:p>
            <w:pPr>
              <w:numPr>
                <w:ilvl w:val="0"/>
                <w:numId w:val="0"/>
              </w:numPr>
              <w:jc w:val="left"/>
              <w:rPr>
                <w:rFonts w:hint="eastAsia"/>
                <w:vertAlign w:val="baseline"/>
              </w:rPr>
            </w:pPr>
            <w:r>
              <w:rPr>
                <w:rFonts w:hint="eastAsia"/>
                <w:vertAlign w:val="baseline"/>
              </w:rPr>
              <w:t>施工、健康卫生的规定。施工现场扬尘治理措施符合河</w:t>
            </w:r>
          </w:p>
          <w:p>
            <w:pPr>
              <w:numPr>
                <w:ilvl w:val="0"/>
                <w:numId w:val="0"/>
              </w:numPr>
              <w:jc w:val="left"/>
              <w:rPr>
                <w:rFonts w:hint="eastAsia"/>
                <w:vertAlign w:val="baseline"/>
              </w:rPr>
            </w:pPr>
            <w:r>
              <w:rPr>
                <w:rFonts w:hint="eastAsia"/>
                <w:vertAlign w:val="baseline"/>
              </w:rPr>
              <w:t>南省《城市房屋建筑和市政基础设施工程及道路扬尘污</w:t>
            </w:r>
          </w:p>
          <w:p>
            <w:pPr>
              <w:numPr>
                <w:ilvl w:val="0"/>
                <w:numId w:val="0"/>
              </w:numPr>
              <w:jc w:val="left"/>
              <w:rPr>
                <w:rFonts w:hint="eastAsia"/>
                <w:vertAlign w:val="baseline"/>
              </w:rPr>
            </w:pPr>
            <w:r>
              <w:rPr>
                <w:rFonts w:hint="eastAsia"/>
                <w:vertAlign w:val="baseline"/>
              </w:rPr>
              <w:t>染防治标准》（DBJ41/174）的规定，防治方案科学、先</w:t>
            </w:r>
          </w:p>
          <w:p>
            <w:pPr>
              <w:numPr>
                <w:ilvl w:val="0"/>
                <w:numId w:val="0"/>
              </w:numPr>
              <w:jc w:val="left"/>
              <w:rPr>
                <w:rFonts w:hint="eastAsia"/>
                <w:vertAlign w:val="baseline"/>
              </w:rPr>
            </w:pPr>
            <w:r>
              <w:rPr>
                <w:rFonts w:hint="eastAsia"/>
                <w:vertAlign w:val="baseline"/>
              </w:rPr>
              <w:t>进</w:t>
            </w:r>
          </w:p>
        </w:tc>
        <w:tc>
          <w:tcPr>
            <w:tcW w:w="1130" w:type="dxa"/>
            <w:vAlign w:val="center"/>
          </w:tcPr>
          <w:p>
            <w:pPr>
              <w:numPr>
                <w:ilvl w:val="0"/>
                <w:numId w:val="0"/>
              </w:numPr>
              <w:jc w:val="center"/>
              <w:rPr>
                <w:rFonts w:hint="eastAsia"/>
                <w:vertAlign w:val="baseline"/>
              </w:rPr>
            </w:pPr>
            <w:r>
              <w:rPr>
                <w:rFonts w:hint="eastAsia"/>
                <w:vertAlign w:val="baseli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pPr>
              <w:numPr>
                <w:ilvl w:val="0"/>
                <w:numId w:val="0"/>
              </w:numPr>
              <w:jc w:val="center"/>
              <w:rPr>
                <w:rFonts w:hint="eastAsia"/>
                <w:vertAlign w:val="baseline"/>
              </w:rPr>
            </w:pPr>
          </w:p>
        </w:tc>
        <w:tc>
          <w:tcPr>
            <w:tcW w:w="1180" w:type="dxa"/>
            <w:vMerge w:val="continue"/>
            <w:vAlign w:val="center"/>
          </w:tcPr>
          <w:p>
            <w:pPr>
              <w:numPr>
                <w:ilvl w:val="0"/>
                <w:numId w:val="0"/>
              </w:numPr>
              <w:jc w:val="center"/>
              <w:rPr>
                <w:rFonts w:hint="eastAsia"/>
                <w:vertAlign w:val="baseline"/>
              </w:rPr>
            </w:pPr>
          </w:p>
        </w:tc>
        <w:tc>
          <w:tcPr>
            <w:tcW w:w="720" w:type="dxa"/>
            <w:vMerge w:val="continue"/>
            <w:vAlign w:val="center"/>
          </w:tcPr>
          <w:p>
            <w:pPr>
              <w:numPr>
                <w:ilvl w:val="0"/>
                <w:numId w:val="0"/>
              </w:numPr>
              <w:jc w:val="center"/>
              <w:rPr>
                <w:rFonts w:hint="eastAsia"/>
                <w:vertAlign w:val="baseline"/>
              </w:rPr>
            </w:pPr>
          </w:p>
        </w:tc>
        <w:tc>
          <w:tcPr>
            <w:tcW w:w="5480" w:type="dxa"/>
            <w:vAlign w:val="center"/>
          </w:tcPr>
          <w:p>
            <w:pPr>
              <w:numPr>
                <w:ilvl w:val="0"/>
                <w:numId w:val="0"/>
              </w:numPr>
              <w:jc w:val="left"/>
              <w:rPr>
                <w:rFonts w:hint="eastAsia"/>
                <w:vertAlign w:val="baseline"/>
              </w:rPr>
            </w:pPr>
            <w:r>
              <w:rPr>
                <w:rFonts w:hint="eastAsia"/>
                <w:vertAlign w:val="baseline"/>
              </w:rPr>
              <w:t>有安全文明标准化工地创建目标计划和创建措施，有安</w:t>
            </w:r>
          </w:p>
          <w:p>
            <w:pPr>
              <w:numPr>
                <w:ilvl w:val="0"/>
                <w:numId w:val="0"/>
              </w:numPr>
              <w:jc w:val="left"/>
              <w:rPr>
                <w:rFonts w:hint="eastAsia"/>
                <w:vertAlign w:val="baseline"/>
              </w:rPr>
            </w:pPr>
            <w:r>
              <w:rPr>
                <w:rFonts w:hint="eastAsia"/>
                <w:vertAlign w:val="baseline"/>
              </w:rPr>
              <w:t>全文明措施费用投入使用计划，现场施工区、生活区、</w:t>
            </w:r>
          </w:p>
          <w:p>
            <w:pPr>
              <w:numPr>
                <w:ilvl w:val="0"/>
                <w:numId w:val="0"/>
              </w:numPr>
              <w:jc w:val="left"/>
              <w:rPr>
                <w:rFonts w:hint="eastAsia"/>
                <w:vertAlign w:val="baseline"/>
              </w:rPr>
            </w:pPr>
            <w:r>
              <w:rPr>
                <w:rFonts w:hint="eastAsia"/>
                <w:vertAlign w:val="baseline"/>
              </w:rPr>
              <w:t>办公区等设置符合有关文明施工、健康卫生的规定。施</w:t>
            </w:r>
          </w:p>
          <w:p>
            <w:pPr>
              <w:numPr>
                <w:ilvl w:val="0"/>
                <w:numId w:val="0"/>
              </w:numPr>
              <w:jc w:val="left"/>
              <w:rPr>
                <w:rFonts w:hint="eastAsia"/>
                <w:vertAlign w:val="baseline"/>
              </w:rPr>
            </w:pPr>
            <w:r>
              <w:rPr>
                <w:rFonts w:hint="eastAsia"/>
                <w:vertAlign w:val="baseline"/>
              </w:rPr>
              <w:t>工现场扬尘治理措施基本达到河南省《城市房屋建筑和</w:t>
            </w:r>
          </w:p>
          <w:p>
            <w:pPr>
              <w:numPr>
                <w:ilvl w:val="0"/>
                <w:numId w:val="0"/>
              </w:numPr>
              <w:jc w:val="left"/>
              <w:rPr>
                <w:rFonts w:hint="eastAsia"/>
                <w:vertAlign w:val="baseline"/>
              </w:rPr>
            </w:pPr>
            <w:r>
              <w:rPr>
                <w:rFonts w:hint="eastAsia"/>
                <w:vertAlign w:val="baseline"/>
              </w:rPr>
              <w:t>市 政 基 础 设 施 工 程 及 道 路 扬 尘 污 染 防 治 标 准 》（DBJ41/174）的规定，有防治方案。</w:t>
            </w:r>
          </w:p>
        </w:tc>
        <w:tc>
          <w:tcPr>
            <w:tcW w:w="1130" w:type="dxa"/>
            <w:vAlign w:val="center"/>
          </w:tcPr>
          <w:p>
            <w:pPr>
              <w:numPr>
                <w:ilvl w:val="0"/>
                <w:numId w:val="0"/>
              </w:numPr>
              <w:jc w:val="center"/>
              <w:rPr>
                <w:rFonts w:hint="eastAsia"/>
                <w:vertAlign w:val="baseline"/>
              </w:rPr>
            </w:pPr>
            <w:r>
              <w:rPr>
                <w:rFonts w:hint="eastAsia"/>
                <w:vertAlign w:val="baseli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pPr>
              <w:numPr>
                <w:ilvl w:val="0"/>
                <w:numId w:val="0"/>
              </w:numPr>
              <w:jc w:val="center"/>
              <w:rPr>
                <w:rFonts w:hint="eastAsia" w:eastAsia="宋体"/>
                <w:vertAlign w:val="baseline"/>
                <w:lang w:val="en-US" w:eastAsia="zh-CN"/>
              </w:rPr>
            </w:pPr>
            <w:r>
              <w:rPr>
                <w:rFonts w:hint="eastAsia"/>
                <w:vertAlign w:val="baseline"/>
                <w:lang w:val="en-US" w:eastAsia="zh-CN"/>
              </w:rPr>
              <w:t>6</w:t>
            </w:r>
          </w:p>
        </w:tc>
        <w:tc>
          <w:tcPr>
            <w:tcW w:w="1180" w:type="dxa"/>
            <w:vMerge w:val="restart"/>
            <w:vAlign w:val="center"/>
          </w:tcPr>
          <w:p>
            <w:pPr>
              <w:numPr>
                <w:ilvl w:val="0"/>
                <w:numId w:val="0"/>
              </w:numPr>
              <w:jc w:val="center"/>
              <w:rPr>
                <w:rFonts w:hint="eastAsia"/>
                <w:vertAlign w:val="baseline"/>
              </w:rPr>
            </w:pPr>
            <w:r>
              <w:rPr>
                <w:rFonts w:hint="eastAsia"/>
                <w:vertAlign w:val="baseline"/>
              </w:rPr>
              <w:t>工期保证</w:t>
            </w:r>
          </w:p>
          <w:p>
            <w:pPr>
              <w:numPr>
                <w:ilvl w:val="0"/>
                <w:numId w:val="0"/>
              </w:numPr>
              <w:jc w:val="center"/>
              <w:rPr>
                <w:rFonts w:hint="eastAsia"/>
                <w:vertAlign w:val="baseline"/>
              </w:rPr>
            </w:pPr>
            <w:r>
              <w:rPr>
                <w:rFonts w:hint="eastAsia"/>
                <w:vertAlign w:val="baseline"/>
              </w:rPr>
              <w:t>措施</w:t>
            </w:r>
          </w:p>
        </w:tc>
        <w:tc>
          <w:tcPr>
            <w:tcW w:w="720" w:type="dxa"/>
            <w:vMerge w:val="restart"/>
            <w:vAlign w:val="center"/>
          </w:tcPr>
          <w:p>
            <w:pPr>
              <w:numPr>
                <w:ilvl w:val="0"/>
                <w:numId w:val="0"/>
              </w:numPr>
              <w:jc w:val="center"/>
              <w:rPr>
                <w:rFonts w:hint="eastAsia"/>
                <w:vertAlign w:val="baseline"/>
              </w:rPr>
            </w:pPr>
            <w:r>
              <w:rPr>
                <w:rFonts w:hint="eastAsia"/>
                <w:vertAlign w:val="baseline"/>
              </w:rPr>
              <w:t>1-2 分</w:t>
            </w:r>
          </w:p>
        </w:tc>
        <w:tc>
          <w:tcPr>
            <w:tcW w:w="5480" w:type="dxa"/>
            <w:vAlign w:val="center"/>
          </w:tcPr>
          <w:p>
            <w:pPr>
              <w:numPr>
                <w:ilvl w:val="0"/>
                <w:numId w:val="0"/>
              </w:numPr>
              <w:jc w:val="left"/>
              <w:rPr>
                <w:rFonts w:hint="eastAsia"/>
                <w:vertAlign w:val="baseline"/>
              </w:rPr>
            </w:pPr>
            <w:r>
              <w:rPr>
                <w:rFonts w:hint="eastAsia"/>
                <w:vertAlign w:val="baseline"/>
              </w:rPr>
              <w:t>工期承诺满足招标文件要求，工期保证措施合理且有针</w:t>
            </w:r>
          </w:p>
          <w:p>
            <w:pPr>
              <w:numPr>
                <w:ilvl w:val="0"/>
                <w:numId w:val="0"/>
              </w:numPr>
              <w:jc w:val="left"/>
              <w:rPr>
                <w:rFonts w:hint="eastAsia"/>
                <w:vertAlign w:val="baseline"/>
              </w:rPr>
            </w:pPr>
            <w:r>
              <w:rPr>
                <w:rFonts w:hint="eastAsia"/>
                <w:vertAlign w:val="baseline"/>
              </w:rPr>
              <w:t>对性，有具体的违约责任承诺。</w:t>
            </w:r>
          </w:p>
        </w:tc>
        <w:tc>
          <w:tcPr>
            <w:tcW w:w="1130" w:type="dxa"/>
            <w:vAlign w:val="center"/>
          </w:tcPr>
          <w:p>
            <w:pPr>
              <w:numPr>
                <w:ilvl w:val="0"/>
                <w:numId w:val="0"/>
              </w:numPr>
              <w:jc w:val="center"/>
              <w:rPr>
                <w:rFonts w:hint="eastAsia"/>
                <w:vertAlign w:val="baseline"/>
              </w:rPr>
            </w:pPr>
            <w:r>
              <w:rPr>
                <w:rFonts w:hint="eastAsia"/>
                <w:vertAlign w:val="baseline"/>
              </w:rPr>
              <w:t>1.5＜得分</w:t>
            </w:r>
          </w:p>
          <w:p>
            <w:pPr>
              <w:numPr>
                <w:ilvl w:val="0"/>
                <w:numId w:val="0"/>
              </w:numPr>
              <w:jc w:val="center"/>
              <w:rPr>
                <w:rFonts w:hint="eastAsia"/>
                <w:vertAlign w:val="baseline"/>
              </w:rPr>
            </w:pPr>
            <w:r>
              <w:rPr>
                <w:rFonts w:hint="eastAsia"/>
                <w:vertAlign w:val="baseli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pPr>
              <w:numPr>
                <w:ilvl w:val="0"/>
                <w:numId w:val="0"/>
              </w:numPr>
              <w:jc w:val="center"/>
              <w:rPr>
                <w:rFonts w:hint="eastAsia"/>
                <w:vertAlign w:val="baseline"/>
              </w:rPr>
            </w:pPr>
          </w:p>
        </w:tc>
        <w:tc>
          <w:tcPr>
            <w:tcW w:w="1180" w:type="dxa"/>
            <w:vMerge w:val="continue"/>
            <w:vAlign w:val="center"/>
          </w:tcPr>
          <w:p>
            <w:pPr>
              <w:numPr>
                <w:ilvl w:val="0"/>
                <w:numId w:val="0"/>
              </w:numPr>
              <w:jc w:val="center"/>
              <w:rPr>
                <w:rFonts w:hint="eastAsia"/>
                <w:vertAlign w:val="baseline"/>
              </w:rPr>
            </w:pPr>
          </w:p>
        </w:tc>
        <w:tc>
          <w:tcPr>
            <w:tcW w:w="720" w:type="dxa"/>
            <w:vMerge w:val="continue"/>
            <w:vAlign w:val="center"/>
          </w:tcPr>
          <w:p>
            <w:pPr>
              <w:numPr>
                <w:ilvl w:val="0"/>
                <w:numId w:val="0"/>
              </w:numPr>
              <w:jc w:val="center"/>
              <w:rPr>
                <w:rFonts w:hint="eastAsia"/>
                <w:vertAlign w:val="baseline"/>
              </w:rPr>
            </w:pPr>
          </w:p>
        </w:tc>
        <w:tc>
          <w:tcPr>
            <w:tcW w:w="5480" w:type="dxa"/>
            <w:vAlign w:val="center"/>
          </w:tcPr>
          <w:p>
            <w:pPr>
              <w:numPr>
                <w:ilvl w:val="0"/>
                <w:numId w:val="0"/>
              </w:numPr>
              <w:jc w:val="left"/>
              <w:rPr>
                <w:rFonts w:hint="eastAsia"/>
              </w:rPr>
            </w:pPr>
            <w:r>
              <w:rPr>
                <w:rFonts w:hint="eastAsia"/>
              </w:rPr>
              <w:t>工期承诺满足招标文件要求，工期保证措施基本合理，</w:t>
            </w:r>
          </w:p>
          <w:p>
            <w:pPr>
              <w:numPr>
                <w:ilvl w:val="0"/>
                <w:numId w:val="0"/>
              </w:numPr>
              <w:jc w:val="left"/>
              <w:rPr>
                <w:rFonts w:hint="eastAsia"/>
                <w:vertAlign w:val="baseline"/>
              </w:rPr>
            </w:pPr>
            <w:r>
              <w:rPr>
                <w:rFonts w:hint="eastAsia"/>
              </w:rPr>
              <w:t>有具体的违约责任承诺</w:t>
            </w:r>
          </w:p>
        </w:tc>
        <w:tc>
          <w:tcPr>
            <w:tcW w:w="1130" w:type="dxa"/>
            <w:vAlign w:val="center"/>
          </w:tcPr>
          <w:p>
            <w:pPr>
              <w:numPr>
                <w:ilvl w:val="0"/>
                <w:numId w:val="0"/>
              </w:numPr>
              <w:jc w:val="center"/>
              <w:rPr>
                <w:rFonts w:hint="eastAsia"/>
                <w:vertAlign w:val="baseline"/>
              </w:rPr>
            </w:pPr>
            <w:r>
              <w:rPr>
                <w:rFonts w:hint="eastAsia"/>
                <w:vertAlign w:val="baseli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21" w:type="dxa"/>
            <w:vMerge w:val="restart"/>
            <w:vAlign w:val="center"/>
          </w:tcPr>
          <w:p>
            <w:pPr>
              <w:numPr>
                <w:ilvl w:val="0"/>
                <w:numId w:val="0"/>
              </w:numPr>
              <w:jc w:val="center"/>
              <w:rPr>
                <w:rFonts w:hint="eastAsia" w:eastAsia="宋体"/>
                <w:vertAlign w:val="baseline"/>
                <w:lang w:val="en-US" w:eastAsia="zh-CN"/>
              </w:rPr>
            </w:pPr>
            <w:r>
              <w:rPr>
                <w:rFonts w:hint="eastAsia"/>
                <w:vertAlign w:val="baseline"/>
                <w:lang w:val="en-US" w:eastAsia="zh-CN"/>
              </w:rPr>
              <w:t>7</w:t>
            </w:r>
          </w:p>
        </w:tc>
        <w:tc>
          <w:tcPr>
            <w:tcW w:w="1180" w:type="dxa"/>
            <w:vMerge w:val="restart"/>
            <w:vAlign w:val="center"/>
          </w:tcPr>
          <w:p>
            <w:pPr>
              <w:numPr>
                <w:ilvl w:val="0"/>
                <w:numId w:val="0"/>
              </w:numPr>
              <w:jc w:val="center"/>
              <w:rPr>
                <w:rFonts w:hint="eastAsia"/>
                <w:vertAlign w:val="baseline"/>
              </w:rPr>
            </w:pPr>
            <w:r>
              <w:rPr>
                <w:rFonts w:hint="eastAsia"/>
                <w:vertAlign w:val="baseline"/>
              </w:rPr>
              <w:t>拟投入资</w:t>
            </w:r>
          </w:p>
          <w:p>
            <w:pPr>
              <w:numPr>
                <w:ilvl w:val="0"/>
                <w:numId w:val="0"/>
              </w:numPr>
              <w:jc w:val="center"/>
              <w:rPr>
                <w:rFonts w:hint="eastAsia"/>
                <w:vertAlign w:val="baseline"/>
              </w:rPr>
            </w:pPr>
            <w:r>
              <w:rPr>
                <w:rFonts w:hint="eastAsia"/>
                <w:vertAlign w:val="baseline"/>
              </w:rPr>
              <w:t>源配备计</w:t>
            </w:r>
          </w:p>
          <w:p>
            <w:pPr>
              <w:numPr>
                <w:ilvl w:val="0"/>
                <w:numId w:val="0"/>
              </w:numPr>
              <w:jc w:val="center"/>
              <w:rPr>
                <w:rFonts w:hint="eastAsia"/>
                <w:vertAlign w:val="baseline"/>
              </w:rPr>
            </w:pPr>
            <w:r>
              <w:rPr>
                <w:rFonts w:hint="eastAsia"/>
                <w:vertAlign w:val="baseline"/>
              </w:rPr>
              <w:t>划</w:t>
            </w:r>
          </w:p>
        </w:tc>
        <w:tc>
          <w:tcPr>
            <w:tcW w:w="720" w:type="dxa"/>
            <w:vMerge w:val="restart"/>
            <w:vAlign w:val="center"/>
          </w:tcPr>
          <w:p>
            <w:pPr>
              <w:numPr>
                <w:ilvl w:val="0"/>
                <w:numId w:val="0"/>
              </w:numPr>
              <w:jc w:val="center"/>
              <w:rPr>
                <w:rFonts w:hint="eastAsia"/>
                <w:vertAlign w:val="baseline"/>
              </w:rPr>
            </w:pPr>
            <w:r>
              <w:rPr>
                <w:rFonts w:hint="eastAsia"/>
                <w:vertAlign w:val="baseline"/>
              </w:rPr>
              <w:t>0.5-2</w:t>
            </w:r>
          </w:p>
          <w:p>
            <w:pPr>
              <w:numPr>
                <w:ilvl w:val="0"/>
                <w:numId w:val="0"/>
              </w:numPr>
              <w:jc w:val="center"/>
              <w:rPr>
                <w:rFonts w:hint="eastAsia"/>
                <w:vertAlign w:val="baseline"/>
              </w:rPr>
            </w:pPr>
            <w:r>
              <w:rPr>
                <w:rFonts w:hint="eastAsia"/>
                <w:vertAlign w:val="baseline"/>
              </w:rPr>
              <w:t>分</w:t>
            </w:r>
          </w:p>
        </w:tc>
        <w:tc>
          <w:tcPr>
            <w:tcW w:w="5480" w:type="dxa"/>
            <w:vAlign w:val="center"/>
          </w:tcPr>
          <w:p>
            <w:pPr>
              <w:numPr>
                <w:ilvl w:val="0"/>
                <w:numId w:val="0"/>
              </w:numPr>
              <w:jc w:val="left"/>
              <w:rPr>
                <w:rFonts w:hint="eastAsia"/>
                <w:vertAlign w:val="baseline"/>
              </w:rPr>
            </w:pPr>
            <w:r>
              <w:rPr>
                <w:rFonts w:hint="eastAsia"/>
                <w:vertAlign w:val="baseline"/>
              </w:rPr>
              <w:t>1.机械：投入计划与进度计划呼应，采用先进机械设备</w:t>
            </w:r>
          </w:p>
          <w:p>
            <w:pPr>
              <w:numPr>
                <w:ilvl w:val="0"/>
                <w:numId w:val="0"/>
              </w:numPr>
              <w:jc w:val="left"/>
              <w:rPr>
                <w:rFonts w:hint="eastAsia"/>
                <w:vertAlign w:val="baseline"/>
              </w:rPr>
            </w:pPr>
            <w:r>
              <w:rPr>
                <w:rFonts w:hint="eastAsia"/>
                <w:vertAlign w:val="baseline"/>
              </w:rPr>
              <w:t>且配置合理、先进，满足安全技术规范和施工进度需要；</w:t>
            </w:r>
          </w:p>
          <w:p>
            <w:pPr>
              <w:numPr>
                <w:ilvl w:val="0"/>
                <w:numId w:val="0"/>
              </w:numPr>
              <w:jc w:val="left"/>
              <w:rPr>
                <w:rFonts w:hint="eastAsia"/>
                <w:vertAlign w:val="baseline"/>
              </w:rPr>
            </w:pPr>
            <w:r>
              <w:rPr>
                <w:rFonts w:hint="eastAsia"/>
                <w:vertAlign w:val="baseline"/>
              </w:rPr>
              <w:t>PC 构件运输、安装设备满足施工要求；</w:t>
            </w:r>
          </w:p>
          <w:p>
            <w:pPr>
              <w:numPr>
                <w:ilvl w:val="0"/>
                <w:numId w:val="0"/>
              </w:numPr>
              <w:jc w:val="left"/>
              <w:rPr>
                <w:rFonts w:hint="eastAsia"/>
                <w:vertAlign w:val="baseline"/>
              </w:rPr>
            </w:pPr>
            <w:r>
              <w:rPr>
                <w:rFonts w:hint="eastAsia"/>
                <w:vertAlign w:val="baseline"/>
              </w:rPr>
              <w:t>2.劳动力：投入计划与进度计划呼应，较好满足施工需</w:t>
            </w:r>
          </w:p>
          <w:p>
            <w:pPr>
              <w:numPr>
                <w:ilvl w:val="0"/>
                <w:numId w:val="0"/>
              </w:numPr>
              <w:jc w:val="left"/>
              <w:rPr>
                <w:rFonts w:hint="eastAsia"/>
                <w:vertAlign w:val="baseline"/>
              </w:rPr>
            </w:pPr>
            <w:r>
              <w:rPr>
                <w:rFonts w:hint="eastAsia"/>
                <w:vertAlign w:val="baseline"/>
              </w:rPr>
              <w:t>要，调配投入计划合理、准确；</w:t>
            </w:r>
          </w:p>
          <w:p>
            <w:pPr>
              <w:numPr>
                <w:ilvl w:val="0"/>
                <w:numId w:val="0"/>
              </w:numPr>
              <w:jc w:val="left"/>
              <w:rPr>
                <w:rFonts w:hint="eastAsia"/>
                <w:vertAlign w:val="baseline"/>
              </w:rPr>
            </w:pPr>
            <w:r>
              <w:rPr>
                <w:rFonts w:hint="eastAsia"/>
                <w:vertAlign w:val="baseline"/>
              </w:rPr>
              <w:t>3.主要物资计划：主要物资（含 PC 构件的供应需求）投</w:t>
            </w:r>
          </w:p>
          <w:p>
            <w:pPr>
              <w:numPr>
                <w:ilvl w:val="0"/>
                <w:numId w:val="0"/>
              </w:numPr>
              <w:jc w:val="left"/>
              <w:rPr>
                <w:rFonts w:hint="eastAsia"/>
                <w:vertAlign w:val="baseline"/>
              </w:rPr>
            </w:pPr>
            <w:r>
              <w:rPr>
                <w:rFonts w:hint="eastAsia"/>
                <w:vertAlign w:val="baseline"/>
              </w:rPr>
              <w:t>入计划与进度计划呼应，较好满足施工需要，调配投入</w:t>
            </w:r>
          </w:p>
          <w:p>
            <w:pPr>
              <w:numPr>
                <w:ilvl w:val="0"/>
                <w:numId w:val="0"/>
              </w:numPr>
              <w:jc w:val="left"/>
              <w:rPr>
                <w:rFonts w:hint="eastAsia"/>
                <w:vertAlign w:val="baseline"/>
              </w:rPr>
            </w:pPr>
            <w:r>
              <w:rPr>
                <w:rFonts w:hint="eastAsia"/>
                <w:vertAlign w:val="baseline"/>
              </w:rPr>
              <w:t>计划合理、准确</w:t>
            </w:r>
          </w:p>
        </w:tc>
        <w:tc>
          <w:tcPr>
            <w:tcW w:w="1130" w:type="dxa"/>
            <w:vAlign w:val="center"/>
          </w:tcPr>
          <w:p>
            <w:pPr>
              <w:numPr>
                <w:ilvl w:val="0"/>
                <w:numId w:val="0"/>
              </w:numPr>
              <w:jc w:val="center"/>
              <w:rPr>
                <w:rFonts w:hint="eastAsia"/>
                <w:vertAlign w:val="baseline"/>
              </w:rPr>
            </w:pPr>
            <w:r>
              <w:rPr>
                <w:rFonts w:hint="eastAsia"/>
                <w:vertAlign w:val="baseli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pPr>
              <w:numPr>
                <w:ilvl w:val="0"/>
                <w:numId w:val="0"/>
              </w:numPr>
              <w:jc w:val="center"/>
              <w:rPr>
                <w:rFonts w:hint="eastAsia"/>
                <w:vertAlign w:val="baseline"/>
              </w:rPr>
            </w:pPr>
          </w:p>
        </w:tc>
        <w:tc>
          <w:tcPr>
            <w:tcW w:w="1180" w:type="dxa"/>
            <w:vMerge w:val="continue"/>
            <w:vAlign w:val="center"/>
          </w:tcPr>
          <w:p>
            <w:pPr>
              <w:numPr>
                <w:ilvl w:val="0"/>
                <w:numId w:val="0"/>
              </w:numPr>
              <w:jc w:val="center"/>
              <w:rPr>
                <w:rFonts w:hint="eastAsia"/>
                <w:vertAlign w:val="baseline"/>
              </w:rPr>
            </w:pPr>
          </w:p>
        </w:tc>
        <w:tc>
          <w:tcPr>
            <w:tcW w:w="720" w:type="dxa"/>
            <w:vMerge w:val="continue"/>
            <w:vAlign w:val="center"/>
          </w:tcPr>
          <w:p>
            <w:pPr>
              <w:numPr>
                <w:ilvl w:val="0"/>
                <w:numId w:val="0"/>
              </w:numPr>
              <w:jc w:val="center"/>
              <w:rPr>
                <w:rFonts w:hint="eastAsia"/>
                <w:vertAlign w:val="baseline"/>
              </w:rPr>
            </w:pPr>
          </w:p>
        </w:tc>
        <w:tc>
          <w:tcPr>
            <w:tcW w:w="5480" w:type="dxa"/>
            <w:vAlign w:val="center"/>
          </w:tcPr>
          <w:p>
            <w:pPr>
              <w:numPr>
                <w:ilvl w:val="0"/>
                <w:numId w:val="0"/>
              </w:numPr>
              <w:jc w:val="left"/>
              <w:rPr>
                <w:rFonts w:hint="eastAsia"/>
                <w:vertAlign w:val="baseline"/>
              </w:rPr>
            </w:pPr>
            <w:r>
              <w:rPr>
                <w:rFonts w:hint="eastAsia"/>
                <w:vertAlign w:val="baseline"/>
              </w:rPr>
              <w:t>1.机械：投入计划与进度计划呼应，机械设备配置基本</w:t>
            </w:r>
          </w:p>
          <w:p>
            <w:pPr>
              <w:numPr>
                <w:ilvl w:val="0"/>
                <w:numId w:val="0"/>
              </w:numPr>
              <w:jc w:val="left"/>
              <w:rPr>
                <w:rFonts w:hint="eastAsia"/>
                <w:vertAlign w:val="baseline"/>
              </w:rPr>
            </w:pPr>
            <w:r>
              <w:rPr>
                <w:rFonts w:hint="eastAsia"/>
                <w:vertAlign w:val="baseline"/>
              </w:rPr>
              <w:t>合理，满足安全技术规范和施工进度需要；</w:t>
            </w:r>
          </w:p>
          <w:p>
            <w:pPr>
              <w:numPr>
                <w:ilvl w:val="0"/>
                <w:numId w:val="0"/>
              </w:numPr>
              <w:jc w:val="left"/>
              <w:rPr>
                <w:rFonts w:hint="eastAsia"/>
                <w:vertAlign w:val="baseline"/>
              </w:rPr>
            </w:pPr>
            <w:r>
              <w:rPr>
                <w:rFonts w:hint="eastAsia"/>
                <w:vertAlign w:val="baseline"/>
              </w:rPr>
              <w:t>2.劳动力：投入计划与进度计划呼应，基本满足施工需</w:t>
            </w:r>
          </w:p>
          <w:p>
            <w:pPr>
              <w:numPr>
                <w:ilvl w:val="0"/>
                <w:numId w:val="0"/>
              </w:numPr>
              <w:jc w:val="left"/>
              <w:rPr>
                <w:rFonts w:hint="eastAsia"/>
                <w:vertAlign w:val="baseline"/>
              </w:rPr>
            </w:pPr>
            <w:r>
              <w:rPr>
                <w:rFonts w:hint="eastAsia"/>
                <w:vertAlign w:val="baseline"/>
              </w:rPr>
              <w:t>要，调配投入计划基本合理；</w:t>
            </w:r>
          </w:p>
          <w:p>
            <w:pPr>
              <w:numPr>
                <w:ilvl w:val="0"/>
                <w:numId w:val="0"/>
              </w:numPr>
              <w:jc w:val="left"/>
              <w:rPr>
                <w:rFonts w:hint="eastAsia"/>
                <w:vertAlign w:val="baseline"/>
              </w:rPr>
            </w:pPr>
            <w:r>
              <w:rPr>
                <w:rFonts w:hint="eastAsia"/>
                <w:vertAlign w:val="baseline"/>
              </w:rPr>
              <w:t>3.主要物资计划：主要物资（含 PC 构件的供应需求）投入计划与进度计划呼应，基本满足施工需要，调配投入计划基本合理。</w:t>
            </w:r>
          </w:p>
        </w:tc>
        <w:tc>
          <w:tcPr>
            <w:tcW w:w="1130" w:type="dxa"/>
            <w:vAlign w:val="center"/>
          </w:tcPr>
          <w:p>
            <w:pPr>
              <w:numPr>
                <w:ilvl w:val="0"/>
                <w:numId w:val="0"/>
              </w:numPr>
              <w:jc w:val="center"/>
              <w:rPr>
                <w:rFonts w:hint="eastAsia"/>
                <w:vertAlign w:val="baseline"/>
              </w:rPr>
            </w:pPr>
            <w:r>
              <w:rPr>
                <w:rFonts w:hint="eastAsia"/>
                <w:vertAlign w:val="baseline"/>
              </w:rPr>
              <w:t>0.5≤得分</w:t>
            </w:r>
          </w:p>
          <w:p>
            <w:pPr>
              <w:numPr>
                <w:ilvl w:val="0"/>
                <w:numId w:val="0"/>
              </w:numPr>
              <w:jc w:val="center"/>
              <w:rPr>
                <w:rFonts w:hint="eastAsia"/>
                <w:vertAlign w:val="baseline"/>
              </w:rPr>
            </w:pPr>
            <w:r>
              <w:rPr>
                <w:rFonts w:hint="eastAsia"/>
                <w:vertAlign w:val="baseli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pPr>
              <w:numPr>
                <w:ilvl w:val="0"/>
                <w:numId w:val="0"/>
              </w:numPr>
              <w:jc w:val="left"/>
              <w:rPr>
                <w:rFonts w:hint="eastAsia" w:eastAsia="宋体"/>
                <w:vertAlign w:val="baseline"/>
                <w:lang w:val="en-US" w:eastAsia="zh-CN"/>
              </w:rPr>
            </w:pPr>
            <w:r>
              <w:rPr>
                <w:rFonts w:hint="eastAsia"/>
                <w:vertAlign w:val="baseline"/>
                <w:lang w:val="en-US" w:eastAsia="zh-CN"/>
              </w:rPr>
              <w:t>8</w:t>
            </w:r>
          </w:p>
        </w:tc>
        <w:tc>
          <w:tcPr>
            <w:tcW w:w="1180" w:type="dxa"/>
            <w:vMerge w:val="restart"/>
            <w:vAlign w:val="center"/>
          </w:tcPr>
          <w:p>
            <w:pPr>
              <w:numPr>
                <w:ilvl w:val="0"/>
                <w:numId w:val="0"/>
              </w:numPr>
              <w:jc w:val="left"/>
              <w:rPr>
                <w:rFonts w:hint="eastAsia"/>
                <w:vertAlign w:val="baseline"/>
              </w:rPr>
            </w:pPr>
            <w:r>
              <w:rPr>
                <w:rFonts w:hint="eastAsia"/>
                <w:vertAlign w:val="baseline"/>
              </w:rPr>
              <w:t>施工进度</w:t>
            </w:r>
          </w:p>
          <w:p>
            <w:pPr>
              <w:numPr>
                <w:ilvl w:val="0"/>
                <w:numId w:val="0"/>
              </w:numPr>
              <w:jc w:val="left"/>
              <w:rPr>
                <w:rFonts w:hint="eastAsia"/>
                <w:vertAlign w:val="baseline"/>
              </w:rPr>
            </w:pPr>
            <w:r>
              <w:rPr>
                <w:rFonts w:hint="eastAsia"/>
                <w:vertAlign w:val="baseline"/>
              </w:rPr>
              <w:t>表与网络</w:t>
            </w:r>
          </w:p>
          <w:p>
            <w:pPr>
              <w:numPr>
                <w:ilvl w:val="0"/>
                <w:numId w:val="0"/>
              </w:numPr>
              <w:jc w:val="left"/>
              <w:rPr>
                <w:rFonts w:hint="eastAsia"/>
                <w:vertAlign w:val="baseline"/>
              </w:rPr>
            </w:pPr>
            <w:r>
              <w:rPr>
                <w:rFonts w:hint="eastAsia"/>
                <w:vertAlign w:val="baseline"/>
              </w:rPr>
              <w:t>计划图</w:t>
            </w:r>
          </w:p>
        </w:tc>
        <w:tc>
          <w:tcPr>
            <w:tcW w:w="720" w:type="dxa"/>
            <w:vMerge w:val="restart"/>
            <w:vAlign w:val="center"/>
          </w:tcPr>
          <w:p>
            <w:pPr>
              <w:numPr>
                <w:ilvl w:val="0"/>
                <w:numId w:val="0"/>
              </w:numPr>
              <w:jc w:val="left"/>
              <w:rPr>
                <w:rFonts w:hint="eastAsia"/>
                <w:vertAlign w:val="baseline"/>
              </w:rPr>
            </w:pPr>
            <w:r>
              <w:rPr>
                <w:rFonts w:hint="eastAsia"/>
                <w:vertAlign w:val="baseline"/>
              </w:rPr>
              <w:t>0.5-2</w:t>
            </w:r>
          </w:p>
          <w:p>
            <w:pPr>
              <w:numPr>
                <w:ilvl w:val="0"/>
                <w:numId w:val="0"/>
              </w:numPr>
              <w:jc w:val="left"/>
              <w:rPr>
                <w:rFonts w:hint="eastAsia"/>
                <w:vertAlign w:val="baseline"/>
              </w:rPr>
            </w:pPr>
            <w:r>
              <w:rPr>
                <w:rFonts w:hint="eastAsia"/>
                <w:vertAlign w:val="baseline"/>
              </w:rPr>
              <w:t>分</w:t>
            </w:r>
          </w:p>
        </w:tc>
        <w:tc>
          <w:tcPr>
            <w:tcW w:w="5480" w:type="dxa"/>
            <w:vAlign w:val="center"/>
          </w:tcPr>
          <w:p>
            <w:pPr>
              <w:numPr>
                <w:ilvl w:val="0"/>
                <w:numId w:val="0"/>
              </w:numPr>
              <w:jc w:val="left"/>
              <w:rPr>
                <w:rFonts w:hint="eastAsia"/>
                <w:vertAlign w:val="baseline"/>
              </w:rPr>
            </w:pPr>
            <w:r>
              <w:rPr>
                <w:rFonts w:hint="eastAsia"/>
                <w:vertAlign w:val="baseline"/>
              </w:rPr>
              <w:t>关键线路清晰、准确、完整、计划编制合理、可行、满</w:t>
            </w:r>
          </w:p>
          <w:p>
            <w:pPr>
              <w:numPr>
                <w:ilvl w:val="0"/>
                <w:numId w:val="0"/>
              </w:numPr>
              <w:jc w:val="left"/>
              <w:rPr>
                <w:rFonts w:hint="eastAsia"/>
                <w:vertAlign w:val="baseline"/>
              </w:rPr>
            </w:pPr>
            <w:r>
              <w:rPr>
                <w:rFonts w:hint="eastAsia"/>
                <w:vertAlign w:val="baseline"/>
              </w:rPr>
              <w:t>足招标文件对工期的要求。</w:t>
            </w:r>
          </w:p>
        </w:tc>
        <w:tc>
          <w:tcPr>
            <w:tcW w:w="1130" w:type="dxa"/>
            <w:vAlign w:val="center"/>
          </w:tcPr>
          <w:p>
            <w:pPr>
              <w:numPr>
                <w:ilvl w:val="0"/>
                <w:numId w:val="0"/>
              </w:numPr>
              <w:jc w:val="center"/>
              <w:rPr>
                <w:rFonts w:hint="eastAsia"/>
                <w:vertAlign w:val="baseline"/>
              </w:rPr>
            </w:pPr>
            <w:r>
              <w:rPr>
                <w:rFonts w:hint="eastAsia"/>
                <w:vertAlign w:val="baseli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pPr>
              <w:numPr>
                <w:ilvl w:val="0"/>
                <w:numId w:val="0"/>
              </w:numPr>
              <w:jc w:val="left"/>
              <w:rPr>
                <w:rFonts w:hint="eastAsia"/>
                <w:vertAlign w:val="baseline"/>
              </w:rPr>
            </w:pPr>
          </w:p>
        </w:tc>
        <w:tc>
          <w:tcPr>
            <w:tcW w:w="1180" w:type="dxa"/>
            <w:vMerge w:val="continue"/>
            <w:vAlign w:val="center"/>
          </w:tcPr>
          <w:p>
            <w:pPr>
              <w:numPr>
                <w:ilvl w:val="0"/>
                <w:numId w:val="0"/>
              </w:numPr>
              <w:jc w:val="left"/>
              <w:rPr>
                <w:rFonts w:hint="eastAsia"/>
                <w:vertAlign w:val="baseline"/>
              </w:rPr>
            </w:pPr>
          </w:p>
        </w:tc>
        <w:tc>
          <w:tcPr>
            <w:tcW w:w="720" w:type="dxa"/>
            <w:vMerge w:val="continue"/>
            <w:vAlign w:val="center"/>
          </w:tcPr>
          <w:p>
            <w:pPr>
              <w:numPr>
                <w:ilvl w:val="0"/>
                <w:numId w:val="0"/>
              </w:numPr>
              <w:jc w:val="left"/>
              <w:rPr>
                <w:rFonts w:hint="eastAsia"/>
                <w:vertAlign w:val="baseline"/>
              </w:rPr>
            </w:pPr>
          </w:p>
        </w:tc>
        <w:tc>
          <w:tcPr>
            <w:tcW w:w="5480" w:type="dxa"/>
            <w:vAlign w:val="center"/>
          </w:tcPr>
          <w:p>
            <w:pPr>
              <w:numPr>
                <w:ilvl w:val="0"/>
                <w:numId w:val="0"/>
              </w:numPr>
              <w:jc w:val="left"/>
              <w:rPr>
                <w:rFonts w:hint="eastAsia"/>
                <w:vertAlign w:val="baseline"/>
              </w:rPr>
            </w:pPr>
            <w:r>
              <w:rPr>
                <w:rFonts w:hint="eastAsia"/>
                <w:vertAlign w:val="baseline"/>
              </w:rPr>
              <w:t>关键线路基本准确，计划编制基本可行。</w:t>
            </w:r>
          </w:p>
        </w:tc>
        <w:tc>
          <w:tcPr>
            <w:tcW w:w="1130" w:type="dxa"/>
            <w:vAlign w:val="center"/>
          </w:tcPr>
          <w:p>
            <w:pPr>
              <w:numPr>
                <w:ilvl w:val="0"/>
                <w:numId w:val="0"/>
              </w:numPr>
              <w:jc w:val="center"/>
              <w:rPr>
                <w:rFonts w:hint="eastAsia"/>
                <w:vertAlign w:val="baseline"/>
              </w:rPr>
            </w:pPr>
            <w:r>
              <w:rPr>
                <w:rFonts w:hint="eastAsia"/>
                <w:vertAlign w:val="baseline"/>
              </w:rPr>
              <w:t>0.5≤得分</w:t>
            </w:r>
          </w:p>
          <w:p>
            <w:pPr>
              <w:numPr>
                <w:ilvl w:val="0"/>
                <w:numId w:val="0"/>
              </w:numPr>
              <w:jc w:val="center"/>
              <w:rPr>
                <w:rFonts w:hint="eastAsia"/>
                <w:vertAlign w:val="baseline"/>
              </w:rPr>
            </w:pPr>
            <w:r>
              <w:rPr>
                <w:rFonts w:hint="eastAsia"/>
                <w:vertAlign w:val="baseli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pPr>
              <w:numPr>
                <w:ilvl w:val="0"/>
                <w:numId w:val="0"/>
              </w:numPr>
              <w:jc w:val="left"/>
              <w:rPr>
                <w:rFonts w:hint="eastAsia" w:eastAsia="宋体"/>
                <w:vertAlign w:val="baseline"/>
                <w:lang w:val="en-US" w:eastAsia="zh-CN"/>
              </w:rPr>
            </w:pPr>
            <w:r>
              <w:rPr>
                <w:rFonts w:hint="eastAsia"/>
                <w:vertAlign w:val="baseline"/>
                <w:lang w:val="en-US" w:eastAsia="zh-CN"/>
              </w:rPr>
              <w:t>9</w:t>
            </w:r>
          </w:p>
        </w:tc>
        <w:tc>
          <w:tcPr>
            <w:tcW w:w="1180" w:type="dxa"/>
            <w:vMerge w:val="restart"/>
            <w:vAlign w:val="center"/>
          </w:tcPr>
          <w:p>
            <w:pPr>
              <w:numPr>
                <w:ilvl w:val="0"/>
                <w:numId w:val="0"/>
              </w:numPr>
              <w:jc w:val="left"/>
              <w:rPr>
                <w:rFonts w:hint="eastAsia"/>
                <w:vertAlign w:val="baseline"/>
              </w:rPr>
            </w:pPr>
            <w:r>
              <w:rPr>
                <w:rFonts w:hint="eastAsia"/>
                <w:vertAlign w:val="baseline"/>
              </w:rPr>
              <w:t>施工总平</w:t>
            </w:r>
          </w:p>
          <w:p>
            <w:pPr>
              <w:numPr>
                <w:ilvl w:val="0"/>
                <w:numId w:val="0"/>
              </w:numPr>
              <w:jc w:val="left"/>
              <w:rPr>
                <w:rFonts w:hint="eastAsia"/>
                <w:vertAlign w:val="baseline"/>
              </w:rPr>
            </w:pPr>
            <w:r>
              <w:rPr>
                <w:rFonts w:hint="eastAsia"/>
                <w:vertAlign w:val="baseline"/>
              </w:rPr>
              <w:t>面图布置</w:t>
            </w:r>
          </w:p>
        </w:tc>
        <w:tc>
          <w:tcPr>
            <w:tcW w:w="720" w:type="dxa"/>
            <w:vMerge w:val="restart"/>
            <w:vAlign w:val="center"/>
          </w:tcPr>
          <w:p>
            <w:pPr>
              <w:numPr>
                <w:ilvl w:val="0"/>
                <w:numId w:val="0"/>
              </w:numPr>
              <w:jc w:val="left"/>
              <w:rPr>
                <w:rFonts w:hint="eastAsia"/>
                <w:vertAlign w:val="baseline"/>
              </w:rPr>
            </w:pPr>
            <w:r>
              <w:rPr>
                <w:rFonts w:hint="eastAsia"/>
                <w:vertAlign w:val="baseline"/>
              </w:rPr>
              <w:t>0.5-1</w:t>
            </w:r>
          </w:p>
          <w:p>
            <w:pPr>
              <w:numPr>
                <w:ilvl w:val="0"/>
                <w:numId w:val="0"/>
              </w:numPr>
              <w:jc w:val="left"/>
              <w:rPr>
                <w:rFonts w:hint="eastAsia"/>
                <w:vertAlign w:val="baseline"/>
              </w:rPr>
            </w:pPr>
            <w:r>
              <w:rPr>
                <w:rFonts w:hint="eastAsia"/>
                <w:vertAlign w:val="baseline"/>
              </w:rPr>
              <w:t>分</w:t>
            </w:r>
          </w:p>
        </w:tc>
        <w:tc>
          <w:tcPr>
            <w:tcW w:w="5480" w:type="dxa"/>
            <w:vAlign w:val="center"/>
          </w:tcPr>
          <w:p>
            <w:pPr>
              <w:numPr>
                <w:ilvl w:val="0"/>
                <w:numId w:val="0"/>
              </w:numPr>
              <w:jc w:val="left"/>
              <w:rPr>
                <w:rFonts w:hint="eastAsia"/>
                <w:vertAlign w:val="baseline"/>
              </w:rPr>
            </w:pPr>
            <w:r>
              <w:rPr>
                <w:rFonts w:hint="eastAsia"/>
                <w:vertAlign w:val="baseline"/>
              </w:rPr>
              <w:t>总体布置有针对性、合理、能较好满足施工需要，符合</w:t>
            </w:r>
          </w:p>
          <w:p>
            <w:pPr>
              <w:numPr>
                <w:ilvl w:val="0"/>
                <w:numId w:val="0"/>
              </w:numPr>
              <w:jc w:val="left"/>
              <w:rPr>
                <w:rFonts w:hint="eastAsia"/>
                <w:vertAlign w:val="baseline"/>
              </w:rPr>
            </w:pPr>
            <w:r>
              <w:rPr>
                <w:rFonts w:hint="eastAsia"/>
                <w:vertAlign w:val="baseline"/>
              </w:rPr>
              <w:t>安全、文明施工要求；材料堆放有序</w:t>
            </w:r>
          </w:p>
        </w:tc>
        <w:tc>
          <w:tcPr>
            <w:tcW w:w="1130" w:type="dxa"/>
            <w:vAlign w:val="center"/>
          </w:tcPr>
          <w:p>
            <w:pPr>
              <w:numPr>
                <w:ilvl w:val="0"/>
                <w:numId w:val="0"/>
              </w:numPr>
              <w:jc w:val="center"/>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pPr>
              <w:numPr>
                <w:ilvl w:val="0"/>
                <w:numId w:val="0"/>
              </w:numPr>
              <w:jc w:val="left"/>
              <w:rPr>
                <w:rFonts w:hint="eastAsia"/>
                <w:vertAlign w:val="baseline"/>
              </w:rPr>
            </w:pPr>
          </w:p>
        </w:tc>
        <w:tc>
          <w:tcPr>
            <w:tcW w:w="1180" w:type="dxa"/>
            <w:vMerge w:val="continue"/>
            <w:vAlign w:val="center"/>
          </w:tcPr>
          <w:p>
            <w:pPr>
              <w:numPr>
                <w:ilvl w:val="0"/>
                <w:numId w:val="0"/>
              </w:numPr>
              <w:jc w:val="left"/>
              <w:rPr>
                <w:rFonts w:hint="eastAsia"/>
                <w:vertAlign w:val="baseline"/>
              </w:rPr>
            </w:pPr>
          </w:p>
        </w:tc>
        <w:tc>
          <w:tcPr>
            <w:tcW w:w="720" w:type="dxa"/>
            <w:vMerge w:val="continue"/>
            <w:vAlign w:val="center"/>
          </w:tcPr>
          <w:p>
            <w:pPr>
              <w:numPr>
                <w:ilvl w:val="0"/>
                <w:numId w:val="0"/>
              </w:numPr>
              <w:jc w:val="left"/>
              <w:rPr>
                <w:rFonts w:hint="eastAsia"/>
                <w:vertAlign w:val="baseline"/>
              </w:rPr>
            </w:pPr>
          </w:p>
        </w:tc>
        <w:tc>
          <w:tcPr>
            <w:tcW w:w="5480" w:type="dxa"/>
            <w:vAlign w:val="center"/>
          </w:tcPr>
          <w:p>
            <w:pPr>
              <w:numPr>
                <w:ilvl w:val="0"/>
                <w:numId w:val="0"/>
              </w:numPr>
              <w:jc w:val="left"/>
              <w:rPr>
                <w:rFonts w:hint="eastAsia"/>
                <w:vertAlign w:val="baseline"/>
              </w:rPr>
            </w:pPr>
            <w:r>
              <w:rPr>
                <w:rFonts w:hint="eastAsia"/>
                <w:vertAlign w:val="baseline"/>
              </w:rPr>
              <w:t>总体布置基本合理、基本满足施工需要。</w:t>
            </w:r>
          </w:p>
        </w:tc>
        <w:tc>
          <w:tcPr>
            <w:tcW w:w="1130" w:type="dxa"/>
            <w:vAlign w:val="center"/>
          </w:tcPr>
          <w:p>
            <w:pPr>
              <w:numPr>
                <w:ilvl w:val="0"/>
                <w:numId w:val="0"/>
              </w:numPr>
              <w:jc w:val="center"/>
              <w:rPr>
                <w:rFonts w:hint="default" w:eastAsia="宋体"/>
                <w:vertAlign w:val="baseline"/>
                <w:lang w:val="en-US" w:eastAsia="zh-CN"/>
              </w:rPr>
            </w:pPr>
            <w:r>
              <w:rPr>
                <w:rFonts w:hint="eastAsia"/>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pPr>
              <w:numPr>
                <w:ilvl w:val="0"/>
                <w:numId w:val="0"/>
              </w:numPr>
              <w:jc w:val="left"/>
              <w:rPr>
                <w:rFonts w:hint="default" w:eastAsia="宋体"/>
                <w:vertAlign w:val="baseline"/>
                <w:lang w:val="en-US" w:eastAsia="zh-CN"/>
              </w:rPr>
            </w:pPr>
            <w:r>
              <w:rPr>
                <w:rFonts w:hint="eastAsia"/>
                <w:vertAlign w:val="baseline"/>
                <w:lang w:val="en-US" w:eastAsia="zh-CN"/>
              </w:rPr>
              <w:t>10</w:t>
            </w:r>
          </w:p>
        </w:tc>
        <w:tc>
          <w:tcPr>
            <w:tcW w:w="1180" w:type="dxa"/>
            <w:vMerge w:val="restart"/>
            <w:vAlign w:val="center"/>
          </w:tcPr>
          <w:p>
            <w:pPr>
              <w:numPr>
                <w:ilvl w:val="0"/>
                <w:numId w:val="0"/>
              </w:numPr>
              <w:jc w:val="left"/>
              <w:rPr>
                <w:rFonts w:hint="eastAsia"/>
                <w:vertAlign w:val="baseline"/>
              </w:rPr>
            </w:pPr>
            <w:r>
              <w:rPr>
                <w:rFonts w:hint="eastAsia"/>
                <w:vertAlign w:val="baseline"/>
              </w:rPr>
              <w:t>技术创新</w:t>
            </w:r>
          </w:p>
          <w:p>
            <w:pPr>
              <w:numPr>
                <w:ilvl w:val="0"/>
                <w:numId w:val="0"/>
              </w:numPr>
              <w:jc w:val="left"/>
              <w:rPr>
                <w:rFonts w:hint="eastAsia"/>
                <w:vertAlign w:val="baseline"/>
              </w:rPr>
            </w:pPr>
            <w:r>
              <w:rPr>
                <w:rFonts w:hint="eastAsia"/>
                <w:vertAlign w:val="baseline"/>
              </w:rPr>
              <w:t>的应用实</w:t>
            </w:r>
          </w:p>
          <w:p>
            <w:pPr>
              <w:numPr>
                <w:ilvl w:val="0"/>
                <w:numId w:val="0"/>
              </w:numPr>
              <w:jc w:val="left"/>
              <w:rPr>
                <w:rFonts w:hint="eastAsia"/>
                <w:vertAlign w:val="baseline"/>
              </w:rPr>
            </w:pPr>
            <w:r>
              <w:rPr>
                <w:rFonts w:hint="eastAsia"/>
                <w:vertAlign w:val="baseline"/>
              </w:rPr>
              <w:t>施措施</w:t>
            </w:r>
          </w:p>
        </w:tc>
        <w:tc>
          <w:tcPr>
            <w:tcW w:w="720" w:type="dxa"/>
            <w:vMerge w:val="restart"/>
            <w:vAlign w:val="center"/>
          </w:tcPr>
          <w:p>
            <w:pPr>
              <w:numPr>
                <w:ilvl w:val="0"/>
                <w:numId w:val="0"/>
              </w:numPr>
              <w:jc w:val="left"/>
              <w:rPr>
                <w:rFonts w:hint="eastAsia"/>
                <w:vertAlign w:val="baseline"/>
              </w:rPr>
            </w:pPr>
            <w:r>
              <w:rPr>
                <w:rFonts w:hint="eastAsia"/>
                <w:vertAlign w:val="baseline"/>
              </w:rPr>
              <w:t>1-2 分</w:t>
            </w:r>
          </w:p>
        </w:tc>
        <w:tc>
          <w:tcPr>
            <w:tcW w:w="5480" w:type="dxa"/>
            <w:vAlign w:val="center"/>
          </w:tcPr>
          <w:p>
            <w:pPr>
              <w:numPr>
                <w:ilvl w:val="0"/>
                <w:numId w:val="0"/>
              </w:numPr>
              <w:jc w:val="left"/>
              <w:rPr>
                <w:rFonts w:hint="eastAsia"/>
                <w:vertAlign w:val="baseline"/>
              </w:rPr>
            </w:pPr>
            <w:r>
              <w:rPr>
                <w:rFonts w:hint="eastAsia"/>
                <w:vertAlign w:val="baseline"/>
              </w:rPr>
              <w:t>（1）节能减排、（2）绿色施工、（3）工艺创新、（4）装配式建筑等技术创新的应用实施措施符合工程情况，具</w:t>
            </w:r>
          </w:p>
          <w:p>
            <w:pPr>
              <w:numPr>
                <w:ilvl w:val="0"/>
                <w:numId w:val="0"/>
              </w:numPr>
              <w:jc w:val="left"/>
              <w:rPr>
                <w:rFonts w:hint="eastAsia"/>
                <w:vertAlign w:val="baseline"/>
              </w:rPr>
            </w:pPr>
            <w:r>
              <w:rPr>
                <w:rFonts w:hint="eastAsia"/>
                <w:vertAlign w:val="baseline"/>
              </w:rPr>
              <w:t>有针对性、可行性、经济适用性。</w:t>
            </w:r>
          </w:p>
        </w:tc>
        <w:tc>
          <w:tcPr>
            <w:tcW w:w="1130" w:type="dxa"/>
            <w:vAlign w:val="center"/>
          </w:tcPr>
          <w:p>
            <w:pPr>
              <w:numPr>
                <w:ilvl w:val="0"/>
                <w:numId w:val="0"/>
              </w:numPr>
              <w:jc w:val="center"/>
              <w:rPr>
                <w:rFonts w:hint="eastAsia"/>
                <w:vertAlign w:val="baseline"/>
              </w:rPr>
            </w:pPr>
            <w:r>
              <w:rPr>
                <w:rFonts w:hint="eastAsia"/>
                <w:vertAlign w:val="baseline"/>
              </w:rPr>
              <w:t>1.5＜得分</w:t>
            </w:r>
          </w:p>
          <w:p>
            <w:pPr>
              <w:numPr>
                <w:ilvl w:val="0"/>
                <w:numId w:val="0"/>
              </w:numPr>
              <w:jc w:val="center"/>
              <w:rPr>
                <w:rFonts w:hint="eastAsia"/>
                <w:vertAlign w:val="baseline"/>
              </w:rPr>
            </w:pPr>
            <w:r>
              <w:rPr>
                <w:rFonts w:hint="eastAsia"/>
                <w:vertAlign w:val="baseli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pPr>
              <w:numPr>
                <w:ilvl w:val="0"/>
                <w:numId w:val="0"/>
              </w:numPr>
              <w:jc w:val="left"/>
              <w:rPr>
                <w:rFonts w:hint="eastAsia"/>
                <w:vertAlign w:val="baseline"/>
              </w:rPr>
            </w:pPr>
          </w:p>
        </w:tc>
        <w:tc>
          <w:tcPr>
            <w:tcW w:w="1180" w:type="dxa"/>
            <w:vMerge w:val="continue"/>
            <w:vAlign w:val="center"/>
          </w:tcPr>
          <w:p>
            <w:pPr>
              <w:numPr>
                <w:ilvl w:val="0"/>
                <w:numId w:val="0"/>
              </w:numPr>
              <w:jc w:val="left"/>
              <w:rPr>
                <w:rFonts w:hint="eastAsia"/>
                <w:vertAlign w:val="baseline"/>
              </w:rPr>
            </w:pPr>
          </w:p>
        </w:tc>
        <w:tc>
          <w:tcPr>
            <w:tcW w:w="720" w:type="dxa"/>
            <w:vMerge w:val="continue"/>
            <w:vAlign w:val="center"/>
          </w:tcPr>
          <w:p>
            <w:pPr>
              <w:numPr>
                <w:ilvl w:val="0"/>
                <w:numId w:val="0"/>
              </w:numPr>
              <w:jc w:val="left"/>
              <w:rPr>
                <w:rFonts w:hint="eastAsia"/>
                <w:vertAlign w:val="baseline"/>
              </w:rPr>
            </w:pPr>
          </w:p>
        </w:tc>
        <w:tc>
          <w:tcPr>
            <w:tcW w:w="5480" w:type="dxa"/>
            <w:vAlign w:val="center"/>
          </w:tcPr>
          <w:p>
            <w:pPr>
              <w:numPr>
                <w:ilvl w:val="0"/>
                <w:numId w:val="0"/>
              </w:numPr>
              <w:jc w:val="left"/>
              <w:rPr>
                <w:rFonts w:hint="eastAsia"/>
                <w:vertAlign w:val="baseline"/>
              </w:rPr>
            </w:pPr>
            <w:r>
              <w:rPr>
                <w:rFonts w:hint="eastAsia"/>
                <w:vertAlign w:val="baseline"/>
              </w:rPr>
              <w:t>（1）节能减排、（2）绿色施工、（3）工艺创新、（4）装配式建筑等技术创新的应用实施措施基本符合工程情况，具有针对性</w:t>
            </w:r>
          </w:p>
        </w:tc>
        <w:tc>
          <w:tcPr>
            <w:tcW w:w="1130" w:type="dxa"/>
            <w:vAlign w:val="center"/>
          </w:tcPr>
          <w:p>
            <w:pPr>
              <w:numPr>
                <w:ilvl w:val="0"/>
                <w:numId w:val="0"/>
              </w:numPr>
              <w:jc w:val="center"/>
              <w:rPr>
                <w:rFonts w:hint="eastAsia"/>
                <w:vertAlign w:val="baseline"/>
              </w:rPr>
            </w:pPr>
            <w:r>
              <w:rPr>
                <w:rFonts w:hint="eastAsia"/>
                <w:vertAlign w:val="baseli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pPr>
              <w:numPr>
                <w:ilvl w:val="0"/>
                <w:numId w:val="0"/>
              </w:numPr>
              <w:jc w:val="left"/>
              <w:rPr>
                <w:rFonts w:hint="default" w:eastAsia="宋体"/>
                <w:vertAlign w:val="baseline"/>
                <w:lang w:val="en-US" w:eastAsia="zh-CN"/>
              </w:rPr>
            </w:pPr>
            <w:r>
              <w:rPr>
                <w:rFonts w:hint="eastAsia"/>
                <w:vertAlign w:val="baseline"/>
                <w:lang w:val="en-US" w:eastAsia="zh-CN"/>
              </w:rPr>
              <w:t>11</w:t>
            </w:r>
          </w:p>
        </w:tc>
        <w:tc>
          <w:tcPr>
            <w:tcW w:w="1180" w:type="dxa"/>
            <w:vMerge w:val="restart"/>
            <w:vAlign w:val="center"/>
          </w:tcPr>
          <w:p>
            <w:pPr>
              <w:numPr>
                <w:ilvl w:val="0"/>
                <w:numId w:val="0"/>
              </w:numPr>
              <w:jc w:val="left"/>
              <w:rPr>
                <w:rFonts w:hint="eastAsia"/>
                <w:vertAlign w:val="baseline"/>
              </w:rPr>
            </w:pPr>
            <w:r>
              <w:rPr>
                <w:rFonts w:hint="eastAsia"/>
                <w:vertAlign w:val="baseline"/>
              </w:rPr>
              <w:t>采用新工</w:t>
            </w:r>
          </w:p>
          <w:p>
            <w:pPr>
              <w:numPr>
                <w:ilvl w:val="0"/>
                <w:numId w:val="0"/>
              </w:numPr>
              <w:jc w:val="left"/>
              <w:rPr>
                <w:rFonts w:hint="eastAsia"/>
                <w:vertAlign w:val="baseline"/>
              </w:rPr>
            </w:pPr>
            <w:r>
              <w:rPr>
                <w:rFonts w:hint="eastAsia"/>
                <w:vertAlign w:val="baseline"/>
              </w:rPr>
              <w:t>艺、新技</w:t>
            </w:r>
          </w:p>
          <w:p>
            <w:pPr>
              <w:numPr>
                <w:ilvl w:val="0"/>
                <w:numId w:val="0"/>
              </w:numPr>
              <w:jc w:val="left"/>
              <w:rPr>
                <w:rFonts w:hint="eastAsia"/>
                <w:vertAlign w:val="baseline"/>
              </w:rPr>
            </w:pPr>
            <w:r>
              <w:rPr>
                <w:rFonts w:hint="eastAsia"/>
                <w:vertAlign w:val="baseline"/>
              </w:rPr>
              <w:t>术、新设</w:t>
            </w:r>
          </w:p>
          <w:p>
            <w:pPr>
              <w:numPr>
                <w:ilvl w:val="0"/>
                <w:numId w:val="0"/>
              </w:numPr>
              <w:jc w:val="left"/>
              <w:rPr>
                <w:rFonts w:hint="eastAsia"/>
                <w:vertAlign w:val="baseline"/>
              </w:rPr>
            </w:pPr>
            <w:r>
              <w:rPr>
                <w:rFonts w:hint="eastAsia"/>
                <w:vertAlign w:val="baseline"/>
              </w:rPr>
              <w:t>备、新材</w:t>
            </w:r>
          </w:p>
          <w:p>
            <w:pPr>
              <w:numPr>
                <w:ilvl w:val="0"/>
                <w:numId w:val="0"/>
              </w:numPr>
              <w:jc w:val="left"/>
              <w:rPr>
                <w:rFonts w:hint="eastAsia"/>
                <w:vertAlign w:val="baseline"/>
              </w:rPr>
            </w:pPr>
            <w:r>
              <w:rPr>
                <w:rFonts w:hint="eastAsia"/>
                <w:vertAlign w:val="baseline"/>
              </w:rPr>
              <w:t>料、BIM 等的程度</w:t>
            </w:r>
          </w:p>
        </w:tc>
        <w:tc>
          <w:tcPr>
            <w:tcW w:w="720" w:type="dxa"/>
            <w:vMerge w:val="restart"/>
            <w:vAlign w:val="center"/>
          </w:tcPr>
          <w:p>
            <w:pPr>
              <w:numPr>
                <w:ilvl w:val="0"/>
                <w:numId w:val="0"/>
              </w:numPr>
              <w:jc w:val="left"/>
              <w:rPr>
                <w:rFonts w:hint="eastAsia"/>
                <w:vertAlign w:val="baseline"/>
              </w:rPr>
            </w:pPr>
            <w:r>
              <w:rPr>
                <w:rFonts w:hint="eastAsia"/>
                <w:vertAlign w:val="baseline"/>
              </w:rPr>
              <w:t>1-2 分</w:t>
            </w:r>
          </w:p>
        </w:tc>
        <w:tc>
          <w:tcPr>
            <w:tcW w:w="5480" w:type="dxa"/>
            <w:vAlign w:val="center"/>
          </w:tcPr>
          <w:p>
            <w:pPr>
              <w:numPr>
                <w:ilvl w:val="0"/>
                <w:numId w:val="0"/>
              </w:numPr>
              <w:jc w:val="left"/>
              <w:rPr>
                <w:rFonts w:hint="eastAsia"/>
                <w:vertAlign w:val="baseline"/>
              </w:rPr>
            </w:pPr>
            <w:r>
              <w:rPr>
                <w:rFonts w:hint="eastAsia"/>
                <w:vertAlign w:val="baseline"/>
              </w:rPr>
              <w:t>采用新工艺、新技术、新设备、新材料、BIM 等的程度</w:t>
            </w:r>
          </w:p>
          <w:p>
            <w:pPr>
              <w:numPr>
                <w:ilvl w:val="0"/>
                <w:numId w:val="0"/>
              </w:numPr>
              <w:jc w:val="left"/>
              <w:rPr>
                <w:rFonts w:hint="eastAsia"/>
                <w:vertAlign w:val="baseline"/>
              </w:rPr>
            </w:pPr>
            <w:r>
              <w:rPr>
                <w:rFonts w:hint="eastAsia"/>
                <w:vertAlign w:val="baseline"/>
              </w:rPr>
              <w:t>满足设计要求，符合施工需要和相应技术标准等规定，</w:t>
            </w:r>
          </w:p>
          <w:p>
            <w:pPr>
              <w:numPr>
                <w:ilvl w:val="0"/>
                <w:numId w:val="0"/>
              </w:numPr>
              <w:jc w:val="left"/>
              <w:rPr>
                <w:rFonts w:hint="eastAsia"/>
                <w:vertAlign w:val="baseline"/>
              </w:rPr>
            </w:pPr>
            <w:r>
              <w:rPr>
                <w:rFonts w:hint="eastAsia"/>
                <w:vertAlign w:val="baseline"/>
              </w:rPr>
              <w:t>经济适用</w:t>
            </w:r>
          </w:p>
        </w:tc>
        <w:tc>
          <w:tcPr>
            <w:tcW w:w="1130" w:type="dxa"/>
            <w:vAlign w:val="center"/>
          </w:tcPr>
          <w:p>
            <w:pPr>
              <w:numPr>
                <w:ilvl w:val="0"/>
                <w:numId w:val="0"/>
              </w:numPr>
              <w:jc w:val="center"/>
              <w:rPr>
                <w:rFonts w:hint="eastAsia"/>
                <w:vertAlign w:val="baseline"/>
              </w:rPr>
            </w:pPr>
            <w:r>
              <w:rPr>
                <w:rFonts w:hint="eastAsia"/>
                <w:vertAlign w:val="baseline"/>
              </w:rPr>
              <w:t>1.5≤得分</w:t>
            </w:r>
          </w:p>
          <w:p>
            <w:pPr>
              <w:numPr>
                <w:ilvl w:val="0"/>
                <w:numId w:val="0"/>
              </w:numPr>
              <w:jc w:val="center"/>
              <w:rPr>
                <w:rFonts w:hint="eastAsia"/>
                <w:vertAlign w:val="baseline"/>
              </w:rPr>
            </w:pPr>
            <w:r>
              <w:rPr>
                <w:rFonts w:hint="eastAsia"/>
                <w:vertAlign w:val="baseli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pPr>
              <w:numPr>
                <w:ilvl w:val="0"/>
                <w:numId w:val="0"/>
              </w:numPr>
              <w:jc w:val="left"/>
              <w:rPr>
                <w:rFonts w:hint="eastAsia"/>
                <w:vertAlign w:val="baseline"/>
              </w:rPr>
            </w:pPr>
          </w:p>
        </w:tc>
        <w:tc>
          <w:tcPr>
            <w:tcW w:w="1180" w:type="dxa"/>
            <w:vMerge w:val="continue"/>
            <w:vAlign w:val="center"/>
          </w:tcPr>
          <w:p>
            <w:pPr>
              <w:numPr>
                <w:ilvl w:val="0"/>
                <w:numId w:val="0"/>
              </w:numPr>
              <w:jc w:val="left"/>
              <w:rPr>
                <w:rFonts w:hint="eastAsia"/>
                <w:vertAlign w:val="baseline"/>
              </w:rPr>
            </w:pPr>
          </w:p>
        </w:tc>
        <w:tc>
          <w:tcPr>
            <w:tcW w:w="720" w:type="dxa"/>
            <w:vMerge w:val="continue"/>
            <w:vAlign w:val="center"/>
          </w:tcPr>
          <w:p>
            <w:pPr>
              <w:numPr>
                <w:ilvl w:val="0"/>
                <w:numId w:val="0"/>
              </w:numPr>
              <w:jc w:val="left"/>
              <w:rPr>
                <w:rFonts w:hint="eastAsia"/>
                <w:vertAlign w:val="baseline"/>
              </w:rPr>
            </w:pPr>
          </w:p>
        </w:tc>
        <w:tc>
          <w:tcPr>
            <w:tcW w:w="5480" w:type="dxa"/>
            <w:vAlign w:val="center"/>
          </w:tcPr>
          <w:p>
            <w:pPr>
              <w:numPr>
                <w:ilvl w:val="0"/>
                <w:numId w:val="0"/>
              </w:numPr>
              <w:jc w:val="left"/>
              <w:rPr>
                <w:rFonts w:hint="eastAsia"/>
                <w:vertAlign w:val="baseline"/>
              </w:rPr>
            </w:pPr>
            <w:r>
              <w:rPr>
                <w:rFonts w:hint="eastAsia"/>
                <w:vertAlign w:val="baseline"/>
              </w:rPr>
              <w:t>采用新工艺、新技术、新设备、新材料、BIM 等的程度</w:t>
            </w:r>
          </w:p>
          <w:p>
            <w:pPr>
              <w:numPr>
                <w:ilvl w:val="0"/>
                <w:numId w:val="0"/>
              </w:numPr>
              <w:jc w:val="left"/>
              <w:rPr>
                <w:rFonts w:hint="eastAsia"/>
                <w:vertAlign w:val="baseline"/>
              </w:rPr>
            </w:pPr>
            <w:r>
              <w:rPr>
                <w:rFonts w:hint="eastAsia"/>
                <w:vertAlign w:val="baseline"/>
              </w:rPr>
              <w:t>满足设计要求，基本符合施工要求和相应技术标准等规</w:t>
            </w:r>
          </w:p>
          <w:p>
            <w:pPr>
              <w:numPr>
                <w:ilvl w:val="0"/>
                <w:numId w:val="0"/>
              </w:numPr>
              <w:jc w:val="left"/>
              <w:rPr>
                <w:rFonts w:hint="eastAsia"/>
                <w:vertAlign w:val="baseline"/>
              </w:rPr>
            </w:pPr>
            <w:r>
              <w:rPr>
                <w:rFonts w:hint="eastAsia"/>
                <w:vertAlign w:val="baseline"/>
              </w:rPr>
              <w:t>定。</w:t>
            </w:r>
          </w:p>
        </w:tc>
        <w:tc>
          <w:tcPr>
            <w:tcW w:w="1130" w:type="dxa"/>
            <w:vAlign w:val="center"/>
          </w:tcPr>
          <w:p>
            <w:pPr>
              <w:numPr>
                <w:ilvl w:val="0"/>
                <w:numId w:val="0"/>
              </w:numPr>
              <w:jc w:val="center"/>
              <w:rPr>
                <w:rFonts w:hint="eastAsia"/>
                <w:vertAlign w:val="baseline"/>
              </w:rPr>
            </w:pPr>
            <w:r>
              <w:rPr>
                <w:rFonts w:hint="eastAsia"/>
                <w:vertAlign w:val="baseli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pPr>
              <w:numPr>
                <w:ilvl w:val="0"/>
                <w:numId w:val="0"/>
              </w:numPr>
              <w:jc w:val="left"/>
              <w:rPr>
                <w:rFonts w:hint="default" w:eastAsia="宋体"/>
                <w:vertAlign w:val="baseline"/>
                <w:lang w:val="en-US" w:eastAsia="zh-CN"/>
              </w:rPr>
            </w:pPr>
            <w:r>
              <w:rPr>
                <w:rFonts w:hint="eastAsia"/>
                <w:vertAlign w:val="baseline"/>
                <w:lang w:val="en-US" w:eastAsia="zh-CN"/>
              </w:rPr>
              <w:t>12</w:t>
            </w:r>
          </w:p>
        </w:tc>
        <w:tc>
          <w:tcPr>
            <w:tcW w:w="1180" w:type="dxa"/>
            <w:vMerge w:val="restart"/>
            <w:vAlign w:val="center"/>
          </w:tcPr>
          <w:p>
            <w:pPr>
              <w:numPr>
                <w:ilvl w:val="0"/>
                <w:numId w:val="0"/>
              </w:numPr>
              <w:jc w:val="left"/>
              <w:rPr>
                <w:rFonts w:hint="eastAsia"/>
                <w:vertAlign w:val="baseline"/>
              </w:rPr>
            </w:pPr>
            <w:r>
              <w:rPr>
                <w:rFonts w:hint="eastAsia"/>
                <w:vertAlign w:val="baseline"/>
              </w:rPr>
              <w:t>施工现场</w:t>
            </w:r>
          </w:p>
          <w:p>
            <w:pPr>
              <w:numPr>
                <w:ilvl w:val="0"/>
                <w:numId w:val="0"/>
              </w:numPr>
              <w:jc w:val="left"/>
              <w:rPr>
                <w:rFonts w:hint="eastAsia"/>
                <w:vertAlign w:val="baseline"/>
              </w:rPr>
            </w:pPr>
            <w:r>
              <w:rPr>
                <w:rFonts w:hint="eastAsia"/>
                <w:vertAlign w:val="baseline"/>
              </w:rPr>
              <w:t>实施信息</w:t>
            </w:r>
          </w:p>
          <w:p>
            <w:pPr>
              <w:numPr>
                <w:ilvl w:val="0"/>
                <w:numId w:val="0"/>
              </w:numPr>
              <w:jc w:val="left"/>
              <w:rPr>
                <w:rFonts w:hint="eastAsia"/>
                <w:vertAlign w:val="baseline"/>
              </w:rPr>
            </w:pPr>
            <w:r>
              <w:rPr>
                <w:rFonts w:hint="eastAsia"/>
                <w:vertAlign w:val="baseline"/>
              </w:rPr>
              <w:t>化监控和</w:t>
            </w:r>
          </w:p>
          <w:p>
            <w:pPr>
              <w:numPr>
                <w:ilvl w:val="0"/>
                <w:numId w:val="0"/>
              </w:numPr>
              <w:jc w:val="left"/>
              <w:rPr>
                <w:rFonts w:hint="eastAsia"/>
                <w:vertAlign w:val="baseline"/>
              </w:rPr>
            </w:pPr>
            <w:r>
              <w:rPr>
                <w:rFonts w:hint="eastAsia"/>
                <w:vertAlign w:val="baseline"/>
              </w:rPr>
              <w:t>数据处理</w:t>
            </w:r>
          </w:p>
        </w:tc>
        <w:tc>
          <w:tcPr>
            <w:tcW w:w="720" w:type="dxa"/>
            <w:vMerge w:val="restart"/>
            <w:vAlign w:val="center"/>
          </w:tcPr>
          <w:p>
            <w:pPr>
              <w:numPr>
                <w:ilvl w:val="0"/>
                <w:numId w:val="0"/>
              </w:numPr>
              <w:jc w:val="left"/>
              <w:rPr>
                <w:rFonts w:hint="eastAsia"/>
                <w:vertAlign w:val="baseline"/>
              </w:rPr>
            </w:pPr>
            <w:r>
              <w:rPr>
                <w:rFonts w:hint="eastAsia"/>
                <w:vertAlign w:val="baseline"/>
              </w:rPr>
              <w:t>0.5-1</w:t>
            </w:r>
          </w:p>
          <w:p>
            <w:pPr>
              <w:numPr>
                <w:ilvl w:val="0"/>
                <w:numId w:val="0"/>
              </w:numPr>
              <w:jc w:val="left"/>
              <w:rPr>
                <w:rFonts w:hint="eastAsia"/>
                <w:vertAlign w:val="baseline"/>
              </w:rPr>
            </w:pPr>
            <w:r>
              <w:rPr>
                <w:rFonts w:hint="eastAsia"/>
                <w:vertAlign w:val="baseline"/>
              </w:rPr>
              <w:t>.5 分</w:t>
            </w:r>
          </w:p>
        </w:tc>
        <w:tc>
          <w:tcPr>
            <w:tcW w:w="5480" w:type="dxa"/>
            <w:vAlign w:val="center"/>
          </w:tcPr>
          <w:p>
            <w:pPr>
              <w:numPr>
                <w:ilvl w:val="0"/>
                <w:numId w:val="0"/>
              </w:numPr>
              <w:jc w:val="left"/>
              <w:rPr>
                <w:rFonts w:hint="eastAsia"/>
                <w:vertAlign w:val="baseline"/>
              </w:rPr>
            </w:pPr>
            <w:r>
              <w:rPr>
                <w:rFonts w:hint="eastAsia"/>
                <w:vertAlign w:val="baseline"/>
              </w:rPr>
              <w:t>施工现场实施信息化监控和数据处理系统布置合理，满</w:t>
            </w:r>
          </w:p>
          <w:p>
            <w:pPr>
              <w:numPr>
                <w:ilvl w:val="0"/>
                <w:numId w:val="0"/>
              </w:numPr>
              <w:jc w:val="left"/>
              <w:rPr>
                <w:rFonts w:hint="eastAsia"/>
                <w:vertAlign w:val="baseline"/>
              </w:rPr>
            </w:pPr>
            <w:r>
              <w:rPr>
                <w:rFonts w:hint="eastAsia"/>
                <w:vertAlign w:val="baseline"/>
              </w:rPr>
              <w:t>足需要。</w:t>
            </w:r>
          </w:p>
        </w:tc>
        <w:tc>
          <w:tcPr>
            <w:tcW w:w="1130" w:type="dxa"/>
            <w:vAlign w:val="center"/>
          </w:tcPr>
          <w:p>
            <w:pPr>
              <w:numPr>
                <w:ilvl w:val="0"/>
                <w:numId w:val="0"/>
              </w:numPr>
              <w:jc w:val="center"/>
              <w:rPr>
                <w:rFonts w:hint="eastAsia"/>
                <w:vertAlign w:val="baseline"/>
              </w:rPr>
            </w:pPr>
            <w:r>
              <w:rPr>
                <w:rFonts w:hint="eastAsia"/>
                <w:vertAlign w:val="baseli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pPr>
              <w:numPr>
                <w:ilvl w:val="0"/>
                <w:numId w:val="0"/>
              </w:numPr>
              <w:jc w:val="center"/>
              <w:rPr>
                <w:rFonts w:hint="eastAsia"/>
                <w:vertAlign w:val="baseline"/>
              </w:rPr>
            </w:pPr>
          </w:p>
        </w:tc>
        <w:tc>
          <w:tcPr>
            <w:tcW w:w="1180" w:type="dxa"/>
            <w:vMerge w:val="continue"/>
            <w:vAlign w:val="center"/>
          </w:tcPr>
          <w:p>
            <w:pPr>
              <w:numPr>
                <w:ilvl w:val="0"/>
                <w:numId w:val="0"/>
              </w:numPr>
              <w:jc w:val="center"/>
              <w:rPr>
                <w:rFonts w:hint="eastAsia"/>
                <w:vertAlign w:val="baseline"/>
              </w:rPr>
            </w:pPr>
          </w:p>
        </w:tc>
        <w:tc>
          <w:tcPr>
            <w:tcW w:w="720" w:type="dxa"/>
            <w:vMerge w:val="continue"/>
            <w:vAlign w:val="center"/>
          </w:tcPr>
          <w:p>
            <w:pPr>
              <w:numPr>
                <w:ilvl w:val="0"/>
                <w:numId w:val="0"/>
              </w:numPr>
              <w:jc w:val="center"/>
              <w:rPr>
                <w:rFonts w:hint="eastAsia"/>
                <w:vertAlign w:val="baseline"/>
              </w:rPr>
            </w:pPr>
          </w:p>
        </w:tc>
        <w:tc>
          <w:tcPr>
            <w:tcW w:w="5480" w:type="dxa"/>
            <w:vAlign w:val="center"/>
          </w:tcPr>
          <w:p>
            <w:pPr>
              <w:numPr>
                <w:ilvl w:val="0"/>
                <w:numId w:val="0"/>
              </w:numPr>
              <w:jc w:val="left"/>
              <w:rPr>
                <w:rFonts w:hint="eastAsia"/>
                <w:vertAlign w:val="baseline"/>
              </w:rPr>
            </w:pPr>
            <w:r>
              <w:rPr>
                <w:rFonts w:hint="eastAsia"/>
                <w:vertAlign w:val="baseline"/>
              </w:rPr>
              <w:t>施工现场实施信息化监控和数据处理系统布置基本符合</w:t>
            </w:r>
          </w:p>
          <w:p>
            <w:pPr>
              <w:numPr>
                <w:ilvl w:val="0"/>
                <w:numId w:val="0"/>
              </w:numPr>
              <w:jc w:val="left"/>
              <w:rPr>
                <w:rFonts w:hint="eastAsia"/>
                <w:vertAlign w:val="baseline"/>
              </w:rPr>
            </w:pPr>
            <w:r>
              <w:rPr>
                <w:rFonts w:hint="eastAsia"/>
                <w:vertAlign w:val="baseline"/>
              </w:rPr>
              <w:t>需要。</w:t>
            </w:r>
          </w:p>
        </w:tc>
        <w:tc>
          <w:tcPr>
            <w:tcW w:w="1130" w:type="dxa"/>
            <w:vAlign w:val="center"/>
          </w:tcPr>
          <w:p>
            <w:pPr>
              <w:numPr>
                <w:ilvl w:val="0"/>
                <w:numId w:val="0"/>
              </w:numPr>
              <w:jc w:val="center"/>
              <w:rPr>
                <w:rFonts w:hint="eastAsia"/>
                <w:vertAlign w:val="baseline"/>
              </w:rPr>
            </w:pPr>
            <w:r>
              <w:rPr>
                <w:rFonts w:hint="eastAsia"/>
                <w:vertAlign w:val="baseline"/>
              </w:rPr>
              <w:t>0.5＜得分</w:t>
            </w:r>
          </w:p>
          <w:p>
            <w:pPr>
              <w:numPr>
                <w:ilvl w:val="0"/>
                <w:numId w:val="0"/>
              </w:numPr>
              <w:jc w:val="center"/>
              <w:rPr>
                <w:rFonts w:hint="eastAsia"/>
                <w:vertAlign w:val="baseline"/>
              </w:rPr>
            </w:pPr>
            <w:r>
              <w:rPr>
                <w:rFonts w:hint="eastAsia"/>
                <w:vertAlign w:val="baseli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pPr>
              <w:numPr>
                <w:ilvl w:val="0"/>
                <w:numId w:val="0"/>
              </w:numPr>
              <w:jc w:val="center"/>
              <w:rPr>
                <w:rFonts w:hint="default" w:eastAsia="宋体"/>
                <w:vertAlign w:val="baseline"/>
                <w:lang w:val="en-US" w:eastAsia="zh-CN"/>
              </w:rPr>
            </w:pPr>
            <w:r>
              <w:rPr>
                <w:rFonts w:hint="eastAsia"/>
                <w:vertAlign w:val="baseline"/>
                <w:lang w:val="en-US" w:eastAsia="zh-CN"/>
              </w:rPr>
              <w:t>13</w:t>
            </w:r>
          </w:p>
        </w:tc>
        <w:tc>
          <w:tcPr>
            <w:tcW w:w="1180" w:type="dxa"/>
            <w:vMerge w:val="restart"/>
            <w:vAlign w:val="center"/>
          </w:tcPr>
          <w:p>
            <w:pPr>
              <w:numPr>
                <w:ilvl w:val="0"/>
                <w:numId w:val="0"/>
              </w:numPr>
              <w:jc w:val="center"/>
              <w:rPr>
                <w:rFonts w:hint="eastAsia"/>
                <w:vertAlign w:val="baseline"/>
              </w:rPr>
            </w:pPr>
            <w:r>
              <w:rPr>
                <w:rFonts w:hint="eastAsia"/>
                <w:vertAlign w:val="baseline"/>
              </w:rPr>
              <w:t>风险管理</w:t>
            </w:r>
          </w:p>
          <w:p>
            <w:pPr>
              <w:numPr>
                <w:ilvl w:val="0"/>
                <w:numId w:val="0"/>
              </w:numPr>
              <w:jc w:val="center"/>
              <w:rPr>
                <w:rFonts w:hint="eastAsia"/>
                <w:vertAlign w:val="baseline"/>
              </w:rPr>
            </w:pPr>
            <w:r>
              <w:rPr>
                <w:rFonts w:hint="eastAsia"/>
                <w:vertAlign w:val="baseline"/>
              </w:rPr>
              <w:t>措施</w:t>
            </w:r>
          </w:p>
        </w:tc>
        <w:tc>
          <w:tcPr>
            <w:tcW w:w="720" w:type="dxa"/>
            <w:vMerge w:val="restart"/>
            <w:vAlign w:val="center"/>
          </w:tcPr>
          <w:p>
            <w:pPr>
              <w:numPr>
                <w:ilvl w:val="0"/>
                <w:numId w:val="0"/>
              </w:numPr>
              <w:jc w:val="center"/>
              <w:rPr>
                <w:rFonts w:hint="eastAsia"/>
                <w:vertAlign w:val="baseline"/>
              </w:rPr>
            </w:pPr>
            <w:r>
              <w:rPr>
                <w:rFonts w:hint="eastAsia"/>
                <w:vertAlign w:val="baseline"/>
              </w:rPr>
              <w:t>1-2 分</w:t>
            </w:r>
          </w:p>
        </w:tc>
        <w:tc>
          <w:tcPr>
            <w:tcW w:w="5480" w:type="dxa"/>
            <w:vAlign w:val="center"/>
          </w:tcPr>
          <w:p>
            <w:pPr>
              <w:numPr>
                <w:ilvl w:val="0"/>
                <w:numId w:val="0"/>
              </w:numPr>
              <w:jc w:val="center"/>
              <w:rPr>
                <w:rFonts w:hint="eastAsia"/>
                <w:vertAlign w:val="baseline"/>
              </w:rPr>
            </w:pPr>
            <w:r>
              <w:rPr>
                <w:rFonts w:hint="eastAsia"/>
                <w:vertAlign w:val="baseline"/>
              </w:rPr>
              <w:t>风险防控管理措施齐全，风险预控符合规范要求，风险</w:t>
            </w:r>
          </w:p>
          <w:p>
            <w:pPr>
              <w:numPr>
                <w:ilvl w:val="0"/>
                <w:numId w:val="0"/>
              </w:numPr>
              <w:jc w:val="center"/>
              <w:rPr>
                <w:rFonts w:hint="eastAsia"/>
                <w:vertAlign w:val="baseline"/>
              </w:rPr>
            </w:pPr>
            <w:r>
              <w:rPr>
                <w:rFonts w:hint="eastAsia"/>
                <w:vertAlign w:val="baseline"/>
              </w:rPr>
              <w:t>控制要点定位准确，各阶段风险控制及应急措施得力</w:t>
            </w:r>
          </w:p>
        </w:tc>
        <w:tc>
          <w:tcPr>
            <w:tcW w:w="1130" w:type="dxa"/>
            <w:vAlign w:val="center"/>
          </w:tcPr>
          <w:p>
            <w:pPr>
              <w:numPr>
                <w:ilvl w:val="0"/>
                <w:numId w:val="0"/>
              </w:numPr>
              <w:jc w:val="center"/>
              <w:rPr>
                <w:rFonts w:hint="eastAsia"/>
                <w:vertAlign w:val="baseline"/>
              </w:rPr>
            </w:pPr>
            <w:r>
              <w:rPr>
                <w:rFonts w:hint="eastAsia"/>
                <w:vertAlign w:val="baseline"/>
              </w:rPr>
              <w:t>1.5＜得分</w:t>
            </w:r>
          </w:p>
          <w:p>
            <w:pPr>
              <w:numPr>
                <w:ilvl w:val="0"/>
                <w:numId w:val="0"/>
              </w:numPr>
              <w:jc w:val="center"/>
              <w:rPr>
                <w:rFonts w:hint="eastAsia"/>
                <w:vertAlign w:val="baseline"/>
              </w:rPr>
            </w:pPr>
            <w:r>
              <w:rPr>
                <w:rFonts w:hint="eastAsia"/>
                <w:vertAlign w:val="baseli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pPr>
              <w:numPr>
                <w:ilvl w:val="0"/>
                <w:numId w:val="0"/>
              </w:numPr>
              <w:jc w:val="center"/>
              <w:rPr>
                <w:rFonts w:hint="eastAsia"/>
                <w:vertAlign w:val="baseline"/>
              </w:rPr>
            </w:pPr>
          </w:p>
        </w:tc>
        <w:tc>
          <w:tcPr>
            <w:tcW w:w="1180" w:type="dxa"/>
            <w:vMerge w:val="continue"/>
            <w:vAlign w:val="center"/>
          </w:tcPr>
          <w:p>
            <w:pPr>
              <w:numPr>
                <w:ilvl w:val="0"/>
                <w:numId w:val="0"/>
              </w:numPr>
              <w:jc w:val="center"/>
              <w:rPr>
                <w:rFonts w:hint="eastAsia"/>
                <w:vertAlign w:val="baseline"/>
              </w:rPr>
            </w:pPr>
          </w:p>
        </w:tc>
        <w:tc>
          <w:tcPr>
            <w:tcW w:w="720" w:type="dxa"/>
            <w:vMerge w:val="continue"/>
            <w:vAlign w:val="center"/>
          </w:tcPr>
          <w:p>
            <w:pPr>
              <w:numPr>
                <w:ilvl w:val="0"/>
                <w:numId w:val="0"/>
              </w:numPr>
              <w:jc w:val="center"/>
              <w:rPr>
                <w:rFonts w:hint="eastAsia"/>
                <w:vertAlign w:val="baseline"/>
              </w:rPr>
            </w:pPr>
          </w:p>
        </w:tc>
        <w:tc>
          <w:tcPr>
            <w:tcW w:w="5480" w:type="dxa"/>
            <w:vAlign w:val="center"/>
          </w:tcPr>
          <w:p>
            <w:pPr>
              <w:numPr>
                <w:ilvl w:val="0"/>
                <w:numId w:val="0"/>
              </w:numPr>
              <w:jc w:val="center"/>
              <w:rPr>
                <w:rFonts w:hint="eastAsia"/>
                <w:vertAlign w:val="baseline"/>
              </w:rPr>
            </w:pPr>
            <w:r>
              <w:rPr>
                <w:rFonts w:hint="eastAsia"/>
                <w:vertAlign w:val="baseline"/>
              </w:rPr>
              <w:t>风险防控管理措施基本齐全，风险预控符合规范要求，</w:t>
            </w:r>
          </w:p>
          <w:p>
            <w:pPr>
              <w:numPr>
                <w:ilvl w:val="0"/>
                <w:numId w:val="0"/>
              </w:numPr>
              <w:jc w:val="center"/>
              <w:rPr>
                <w:rFonts w:hint="eastAsia"/>
                <w:vertAlign w:val="baseline"/>
              </w:rPr>
            </w:pPr>
            <w:r>
              <w:rPr>
                <w:rFonts w:hint="eastAsia"/>
                <w:vertAlign w:val="baseline"/>
              </w:rPr>
              <w:t>风险控制要点定位基本准确，有各阶段风险控制及应急</w:t>
            </w:r>
          </w:p>
          <w:p>
            <w:pPr>
              <w:numPr>
                <w:ilvl w:val="0"/>
                <w:numId w:val="0"/>
              </w:numPr>
              <w:jc w:val="center"/>
              <w:rPr>
                <w:rFonts w:hint="eastAsia"/>
                <w:vertAlign w:val="baseline"/>
              </w:rPr>
            </w:pPr>
            <w:r>
              <w:rPr>
                <w:rFonts w:hint="eastAsia"/>
                <w:vertAlign w:val="baseline"/>
              </w:rPr>
              <w:t>措施。</w:t>
            </w:r>
          </w:p>
        </w:tc>
        <w:tc>
          <w:tcPr>
            <w:tcW w:w="1130" w:type="dxa"/>
            <w:vAlign w:val="center"/>
          </w:tcPr>
          <w:p>
            <w:pPr>
              <w:numPr>
                <w:ilvl w:val="0"/>
                <w:numId w:val="0"/>
              </w:numPr>
              <w:jc w:val="center"/>
              <w:rPr>
                <w:rFonts w:hint="eastAsia"/>
                <w:vertAlign w:val="baseline"/>
              </w:rPr>
            </w:pPr>
            <w:r>
              <w:rPr>
                <w:rFonts w:hint="eastAsia"/>
                <w:vertAlign w:val="baseli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2"/>
            <w:vAlign w:val="center"/>
          </w:tcPr>
          <w:p>
            <w:pPr>
              <w:numPr>
                <w:ilvl w:val="0"/>
                <w:numId w:val="0"/>
              </w:numPr>
              <w:jc w:val="center"/>
              <w:rPr>
                <w:rFonts w:hint="default" w:eastAsia="宋体"/>
                <w:vertAlign w:val="baseline"/>
                <w:lang w:val="en-US" w:eastAsia="zh-CN"/>
              </w:rPr>
            </w:pPr>
            <w:r>
              <w:rPr>
                <w:rFonts w:hint="eastAsia"/>
                <w:vertAlign w:val="baseline"/>
                <w:lang w:val="en-US" w:eastAsia="zh-CN"/>
              </w:rPr>
              <w:t>合计</w:t>
            </w:r>
          </w:p>
        </w:tc>
        <w:tc>
          <w:tcPr>
            <w:tcW w:w="720" w:type="dxa"/>
            <w:vAlign w:val="center"/>
          </w:tcPr>
          <w:p>
            <w:pPr>
              <w:numPr>
                <w:ilvl w:val="0"/>
                <w:numId w:val="0"/>
              </w:numPr>
              <w:jc w:val="center"/>
              <w:rPr>
                <w:rFonts w:hint="eastAsia"/>
                <w:vertAlign w:val="baseline"/>
              </w:rPr>
            </w:pPr>
            <w:r>
              <w:rPr>
                <w:rFonts w:hint="eastAsia"/>
                <w:vertAlign w:val="baseline"/>
              </w:rPr>
              <w:t>10-25</w:t>
            </w:r>
          </w:p>
          <w:p>
            <w:pPr>
              <w:numPr>
                <w:ilvl w:val="0"/>
                <w:numId w:val="0"/>
              </w:numPr>
              <w:jc w:val="center"/>
              <w:rPr>
                <w:rFonts w:hint="eastAsia"/>
                <w:vertAlign w:val="baseline"/>
              </w:rPr>
            </w:pPr>
            <w:r>
              <w:rPr>
                <w:rFonts w:hint="eastAsia"/>
                <w:vertAlign w:val="baseline"/>
              </w:rPr>
              <w:t>分</w:t>
            </w:r>
          </w:p>
        </w:tc>
        <w:tc>
          <w:tcPr>
            <w:tcW w:w="5480" w:type="dxa"/>
            <w:vAlign w:val="center"/>
          </w:tcPr>
          <w:p>
            <w:pPr>
              <w:numPr>
                <w:ilvl w:val="0"/>
                <w:numId w:val="0"/>
              </w:numPr>
              <w:jc w:val="center"/>
              <w:rPr>
                <w:rFonts w:hint="eastAsia"/>
                <w:vertAlign w:val="baseline"/>
              </w:rPr>
            </w:pPr>
          </w:p>
        </w:tc>
        <w:tc>
          <w:tcPr>
            <w:tcW w:w="1130" w:type="dxa"/>
            <w:vAlign w:val="center"/>
          </w:tcPr>
          <w:p>
            <w:pPr>
              <w:numPr>
                <w:ilvl w:val="0"/>
                <w:numId w:val="0"/>
              </w:numPr>
              <w:jc w:val="center"/>
              <w:rPr>
                <w:rFonts w:hint="eastAsia"/>
                <w:vertAlign w:val="baseline"/>
              </w:rPr>
            </w:pPr>
            <w:r>
              <w:rPr>
                <w:rFonts w:hint="eastAsia"/>
                <w:vertAlign w:val="baseline"/>
              </w:rPr>
              <w:t>10≤得分</w:t>
            </w:r>
          </w:p>
          <w:p>
            <w:pPr>
              <w:numPr>
                <w:ilvl w:val="0"/>
                <w:numId w:val="0"/>
              </w:numPr>
              <w:jc w:val="center"/>
              <w:rPr>
                <w:rFonts w:hint="eastAsia"/>
                <w:vertAlign w:val="baseline"/>
              </w:rPr>
            </w:pPr>
            <w:r>
              <w:rPr>
                <w:rFonts w:hint="eastAsia"/>
                <w:vertAlign w:val="baseline"/>
              </w:rPr>
              <w:t>≤25</w:t>
            </w:r>
          </w:p>
        </w:tc>
      </w:tr>
    </w:tbl>
    <w:p>
      <w:pPr>
        <w:numPr>
          <w:ilvl w:val="0"/>
          <w:numId w:val="0"/>
        </w:numPr>
        <w:rPr>
          <w:rFonts w:hint="eastAsia"/>
        </w:rPr>
      </w:pPr>
      <w:r>
        <w:rPr>
          <w:rFonts w:hint="eastAsia"/>
        </w:rPr>
        <w:t>注：以上项目若有缺项的，该项为 0 分；不缺项的，不低于最低分。</w:t>
      </w:r>
    </w:p>
    <w:p>
      <w:pPr>
        <w:pStyle w:val="2"/>
        <w:numPr>
          <w:ilvl w:val="0"/>
          <w:numId w:val="2"/>
        </w:numPr>
        <w:ind w:left="420" w:leftChars="0" w:firstLine="480" w:firstLineChars="200"/>
        <w:rPr>
          <w:rFonts w:hint="eastAsia"/>
        </w:rPr>
      </w:pPr>
      <w:r>
        <w:rPr>
          <w:rFonts w:hint="eastAsia"/>
        </w:rPr>
        <w:t>商务标的主要内容及评标分值：50 分</w:t>
      </w:r>
    </w:p>
    <w:tbl>
      <w:tblPr>
        <w:tblStyle w:val="2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2041"/>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1680" w:type="dxa"/>
            <w:vMerge w:val="restart"/>
            <w:vAlign w:val="center"/>
          </w:tcPr>
          <w:p>
            <w:pPr>
              <w:numPr>
                <w:ilvl w:val="0"/>
                <w:numId w:val="0"/>
              </w:numPr>
              <w:jc w:val="center"/>
              <w:rPr>
                <w:rFonts w:hint="eastAsia"/>
                <w:vertAlign w:val="baseline"/>
              </w:rPr>
            </w:pPr>
            <w:r>
              <w:rPr>
                <w:rFonts w:hint="eastAsia"/>
                <w:vertAlign w:val="baseline"/>
              </w:rPr>
              <w:t>投标报</w:t>
            </w:r>
          </w:p>
          <w:p>
            <w:pPr>
              <w:numPr>
                <w:ilvl w:val="0"/>
                <w:numId w:val="0"/>
              </w:numPr>
              <w:jc w:val="center"/>
              <w:rPr>
                <w:rFonts w:hint="eastAsia"/>
                <w:vertAlign w:val="baseline"/>
              </w:rPr>
            </w:pPr>
            <w:r>
              <w:rPr>
                <w:rFonts w:hint="eastAsia"/>
                <w:vertAlign w:val="baseline"/>
              </w:rPr>
              <w:t>价评分标准</w:t>
            </w:r>
          </w:p>
          <w:p>
            <w:pPr>
              <w:numPr>
                <w:ilvl w:val="0"/>
                <w:numId w:val="0"/>
              </w:numPr>
              <w:jc w:val="center"/>
              <w:rPr>
                <w:rFonts w:hint="eastAsia"/>
                <w:vertAlign w:val="baseline"/>
              </w:rPr>
            </w:pPr>
            <w:r>
              <w:rPr>
                <w:rFonts w:hint="eastAsia"/>
                <w:vertAlign w:val="baseline"/>
              </w:rPr>
              <w:t>（50 分）</w:t>
            </w:r>
          </w:p>
        </w:tc>
        <w:tc>
          <w:tcPr>
            <w:tcW w:w="2041" w:type="dxa"/>
            <w:vAlign w:val="center"/>
          </w:tcPr>
          <w:p>
            <w:pPr>
              <w:numPr>
                <w:ilvl w:val="0"/>
                <w:numId w:val="0"/>
              </w:numPr>
              <w:jc w:val="center"/>
              <w:rPr>
                <w:rFonts w:hint="eastAsia"/>
                <w:vertAlign w:val="baseline"/>
              </w:rPr>
            </w:pPr>
            <w:r>
              <w:rPr>
                <w:rFonts w:hint="eastAsia"/>
                <w:vertAlign w:val="baseline"/>
              </w:rPr>
              <w:t>1、投标报价（30 分）</w:t>
            </w:r>
          </w:p>
        </w:tc>
        <w:tc>
          <w:tcPr>
            <w:tcW w:w="5337" w:type="dxa"/>
            <w:vAlign w:val="center"/>
          </w:tcPr>
          <w:p>
            <w:pPr>
              <w:numPr>
                <w:ilvl w:val="0"/>
                <w:numId w:val="0"/>
              </w:numPr>
              <w:jc w:val="both"/>
              <w:rPr>
                <w:rFonts w:hint="eastAsia"/>
                <w:vertAlign w:val="baseline"/>
              </w:rPr>
            </w:pPr>
            <w:r>
              <w:rPr>
                <w:rFonts w:hint="eastAsia"/>
                <w:vertAlign w:val="baseline"/>
              </w:rPr>
              <w:t>评标基准价＝最高投标限价×K+投标报价×（1 －K）；</w:t>
            </w:r>
          </w:p>
          <w:p>
            <w:pPr>
              <w:numPr>
                <w:ilvl w:val="0"/>
                <w:numId w:val="0"/>
              </w:numPr>
              <w:jc w:val="both"/>
              <w:rPr>
                <w:rFonts w:hint="eastAsia"/>
                <w:vertAlign w:val="baseline"/>
              </w:rPr>
            </w:pPr>
            <w:r>
              <w:rPr>
                <w:rFonts w:hint="eastAsia"/>
                <w:vertAlign w:val="baseline"/>
              </w:rPr>
              <w:t>偏差率=100%×（投标报价－评标基准价）/评标基准价。</w:t>
            </w:r>
          </w:p>
          <w:p>
            <w:pPr>
              <w:numPr>
                <w:ilvl w:val="0"/>
                <w:numId w:val="0"/>
              </w:numPr>
              <w:jc w:val="both"/>
              <w:rPr>
                <w:rFonts w:hint="eastAsia"/>
                <w:vertAlign w:val="baseline"/>
              </w:rPr>
            </w:pPr>
            <w:r>
              <w:rPr>
                <w:rFonts w:hint="eastAsia"/>
                <w:vertAlign w:val="baseline"/>
              </w:rPr>
              <w:t>其中：K为最高投标限价权重系数，取值范围为0.3、0.35、0.4、0.45、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numPr>
                <w:ilvl w:val="0"/>
                <w:numId w:val="0"/>
              </w:numPr>
              <w:jc w:val="both"/>
              <w:rPr>
                <w:rFonts w:hint="eastAsia"/>
                <w:vertAlign w:val="baseline"/>
              </w:rPr>
            </w:pPr>
            <w:r>
              <w:rPr>
                <w:rFonts w:hint="eastAsia"/>
                <w:vertAlign w:val="baseline"/>
              </w:rPr>
              <w:t>当投标报价与评标基准价相等时，得基本分20分。</w:t>
            </w:r>
          </w:p>
          <w:p>
            <w:pPr>
              <w:numPr>
                <w:ilvl w:val="0"/>
                <w:numId w:val="0"/>
              </w:numPr>
              <w:jc w:val="both"/>
              <w:rPr>
                <w:rFonts w:hint="eastAsia"/>
                <w:vertAlign w:val="baseline"/>
              </w:rPr>
            </w:pPr>
            <w:r>
              <w:rPr>
                <w:rFonts w:hint="eastAsia"/>
                <w:vertAlign w:val="baseline"/>
              </w:rPr>
              <w:t>当投标报价低于评标基准价时，每低1%范围内在基本分20分的基础上加2分，最多加10分；当投标</w:t>
            </w:r>
          </w:p>
          <w:p>
            <w:pPr>
              <w:numPr>
                <w:ilvl w:val="0"/>
                <w:numId w:val="0"/>
              </w:numPr>
              <w:jc w:val="both"/>
              <w:rPr>
                <w:rFonts w:hint="eastAsia"/>
                <w:vertAlign w:val="baseline"/>
              </w:rPr>
            </w:pPr>
            <w:r>
              <w:rPr>
                <w:rFonts w:hint="eastAsia"/>
                <w:vertAlign w:val="baseline"/>
              </w:rPr>
              <w:t>报价低于评标基准价5%以上（不含5%）时，每再</w:t>
            </w:r>
          </w:p>
          <w:p>
            <w:pPr>
              <w:numPr>
                <w:ilvl w:val="0"/>
                <w:numId w:val="0"/>
              </w:numPr>
              <w:jc w:val="both"/>
              <w:rPr>
                <w:rFonts w:hint="eastAsia"/>
                <w:vertAlign w:val="baseline"/>
              </w:rPr>
            </w:pPr>
            <w:r>
              <w:rPr>
                <w:rFonts w:hint="eastAsia"/>
                <w:vertAlign w:val="baseline"/>
              </w:rPr>
              <w:t>低1%范围内在满分30分的基础上扣3分，扣完为</w:t>
            </w:r>
          </w:p>
          <w:p>
            <w:pPr>
              <w:numPr>
                <w:ilvl w:val="0"/>
                <w:numId w:val="0"/>
              </w:numPr>
              <w:jc w:val="both"/>
              <w:rPr>
                <w:rFonts w:hint="eastAsia"/>
                <w:vertAlign w:val="baseline"/>
              </w:rPr>
            </w:pPr>
            <w:r>
              <w:rPr>
                <w:rFonts w:hint="eastAsia"/>
                <w:vertAlign w:val="baseline"/>
              </w:rPr>
              <w:t>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1680" w:type="dxa"/>
            <w:vMerge w:val="continue"/>
            <w:vAlign w:val="center"/>
          </w:tcPr>
          <w:p>
            <w:pPr>
              <w:numPr>
                <w:ilvl w:val="0"/>
                <w:numId w:val="0"/>
              </w:numPr>
              <w:jc w:val="center"/>
              <w:rPr>
                <w:rFonts w:hint="eastAsia"/>
                <w:vertAlign w:val="baseline"/>
              </w:rPr>
            </w:pPr>
          </w:p>
        </w:tc>
        <w:tc>
          <w:tcPr>
            <w:tcW w:w="2041" w:type="dxa"/>
            <w:vAlign w:val="center"/>
          </w:tcPr>
          <w:p>
            <w:pPr>
              <w:numPr>
                <w:ilvl w:val="0"/>
                <w:numId w:val="0"/>
              </w:numPr>
              <w:jc w:val="center"/>
              <w:rPr>
                <w:rFonts w:hint="eastAsia"/>
                <w:vertAlign w:val="baseline"/>
              </w:rPr>
            </w:pPr>
            <w:r>
              <w:rPr>
                <w:rFonts w:hint="eastAsia"/>
                <w:vertAlign w:val="baseline"/>
              </w:rPr>
              <w:t>2、分部分项工程项目清单单价评审（10 分）</w:t>
            </w:r>
          </w:p>
        </w:tc>
        <w:tc>
          <w:tcPr>
            <w:tcW w:w="5337" w:type="dxa"/>
            <w:vAlign w:val="center"/>
          </w:tcPr>
          <w:p>
            <w:pPr>
              <w:numPr>
                <w:ilvl w:val="0"/>
                <w:numId w:val="0"/>
              </w:numPr>
              <w:jc w:val="both"/>
              <w:rPr>
                <w:rFonts w:hint="eastAsia"/>
                <w:vertAlign w:val="baseline"/>
              </w:rPr>
            </w:pPr>
            <w:r>
              <w:rPr>
                <w:rFonts w:hint="eastAsia"/>
                <w:vertAlign w:val="baseline"/>
              </w:rPr>
              <w:t>从最高投标限价中分部分项工程项目权重最大的</w:t>
            </w:r>
          </w:p>
          <w:p>
            <w:pPr>
              <w:numPr>
                <w:ilvl w:val="0"/>
                <w:numId w:val="0"/>
              </w:numPr>
              <w:jc w:val="both"/>
              <w:rPr>
                <w:rFonts w:hint="eastAsia"/>
                <w:vertAlign w:val="baseline"/>
              </w:rPr>
            </w:pPr>
            <w:r>
              <w:rPr>
                <w:rFonts w:hint="eastAsia"/>
                <w:vertAlign w:val="baseline"/>
              </w:rPr>
              <w:t>前10-30项清单项目中抽取15项，在剩余的分部分</w:t>
            </w:r>
          </w:p>
          <w:p>
            <w:pPr>
              <w:numPr>
                <w:ilvl w:val="0"/>
                <w:numId w:val="0"/>
              </w:numPr>
              <w:jc w:val="both"/>
              <w:rPr>
                <w:rFonts w:hint="eastAsia"/>
                <w:vertAlign w:val="baseline"/>
              </w:rPr>
            </w:pPr>
            <w:r>
              <w:rPr>
                <w:rFonts w:hint="eastAsia"/>
                <w:vertAlign w:val="baseline"/>
              </w:rPr>
              <w:t>项工程项目清单项目中抽取5项。</w:t>
            </w:r>
          </w:p>
          <w:p>
            <w:pPr>
              <w:numPr>
                <w:ilvl w:val="0"/>
                <w:numId w:val="0"/>
              </w:numPr>
              <w:jc w:val="both"/>
              <w:rPr>
                <w:rFonts w:hint="eastAsia"/>
                <w:vertAlign w:val="baseline"/>
              </w:rPr>
            </w:pPr>
            <w:r>
              <w:rPr>
                <w:rFonts w:hint="eastAsia"/>
                <w:vertAlign w:val="baseline"/>
              </w:rPr>
              <w:t>综合单价基准值是以各有效投标报价中（当有效投标人5名及以上时，去掉1个最高、1个最低值）对应抽取清单项目综合单价的算术平均值。</w:t>
            </w:r>
          </w:p>
          <w:p>
            <w:pPr>
              <w:numPr>
                <w:ilvl w:val="0"/>
                <w:numId w:val="0"/>
              </w:numPr>
              <w:jc w:val="both"/>
              <w:rPr>
                <w:rFonts w:hint="eastAsia"/>
                <w:vertAlign w:val="baseline"/>
              </w:rPr>
            </w:pPr>
            <w:r>
              <w:rPr>
                <w:rFonts w:hint="eastAsia"/>
                <w:vertAlign w:val="baseline"/>
              </w:rPr>
              <w:t>投标人报价在综合单价基准值95%–103%范围内</w:t>
            </w:r>
          </w:p>
          <w:p>
            <w:pPr>
              <w:numPr>
                <w:ilvl w:val="0"/>
                <w:numId w:val="0"/>
              </w:numPr>
              <w:jc w:val="both"/>
              <w:rPr>
                <w:rFonts w:hint="eastAsia"/>
                <w:vertAlign w:val="baseline"/>
              </w:rPr>
            </w:pPr>
            <w:r>
              <w:rPr>
                <w:rFonts w:hint="eastAsia"/>
                <w:vertAlign w:val="baseline"/>
              </w:rPr>
              <w:t>（不含95%和103%）的，每项得0.5分；在综合单</w:t>
            </w:r>
          </w:p>
          <w:p>
            <w:pPr>
              <w:numPr>
                <w:ilvl w:val="0"/>
                <w:numId w:val="0"/>
              </w:numPr>
              <w:jc w:val="both"/>
              <w:rPr>
                <w:rFonts w:hint="eastAsia"/>
                <w:vertAlign w:val="baseline"/>
              </w:rPr>
            </w:pPr>
            <w:r>
              <w:rPr>
                <w:rFonts w:hint="eastAsia"/>
                <w:vertAlign w:val="baseline"/>
              </w:rPr>
              <w:t>价基准值90%–95%范围内（含90%和95%）每项得</w:t>
            </w:r>
          </w:p>
          <w:p>
            <w:pPr>
              <w:numPr>
                <w:ilvl w:val="0"/>
                <w:numId w:val="0"/>
              </w:numPr>
              <w:jc w:val="both"/>
              <w:rPr>
                <w:rFonts w:hint="eastAsia"/>
                <w:vertAlign w:val="baseline"/>
              </w:rPr>
            </w:pPr>
            <w:r>
              <w:rPr>
                <w:rFonts w:hint="eastAsia"/>
                <w:vertAlign w:val="baseline"/>
              </w:rPr>
              <w:t>0.25分。满分共计10分。超出该范围的不得分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1680" w:type="dxa"/>
            <w:vMerge w:val="continue"/>
            <w:vAlign w:val="center"/>
          </w:tcPr>
          <w:p>
            <w:pPr>
              <w:numPr>
                <w:ilvl w:val="0"/>
                <w:numId w:val="0"/>
              </w:numPr>
              <w:jc w:val="center"/>
              <w:rPr>
                <w:rFonts w:hint="eastAsia"/>
                <w:vertAlign w:val="baseline"/>
              </w:rPr>
            </w:pPr>
          </w:p>
        </w:tc>
        <w:tc>
          <w:tcPr>
            <w:tcW w:w="2041" w:type="dxa"/>
            <w:vAlign w:val="center"/>
          </w:tcPr>
          <w:p>
            <w:pPr>
              <w:numPr>
                <w:ilvl w:val="0"/>
                <w:numId w:val="0"/>
              </w:numPr>
              <w:jc w:val="center"/>
              <w:rPr>
                <w:rFonts w:hint="eastAsia"/>
                <w:vertAlign w:val="baseline"/>
              </w:rPr>
            </w:pPr>
            <w:r>
              <w:rPr>
                <w:rFonts w:hint="eastAsia"/>
                <w:vertAlign w:val="baseline"/>
              </w:rPr>
              <w:t>3、措施项目费的评审（不含安全文明措施费）（5 分）</w:t>
            </w:r>
          </w:p>
        </w:tc>
        <w:tc>
          <w:tcPr>
            <w:tcW w:w="5337" w:type="dxa"/>
            <w:vAlign w:val="center"/>
          </w:tcPr>
          <w:p>
            <w:pPr>
              <w:numPr>
                <w:ilvl w:val="0"/>
                <w:numId w:val="0"/>
              </w:numPr>
              <w:jc w:val="both"/>
              <w:rPr>
                <w:rFonts w:hint="eastAsia"/>
                <w:vertAlign w:val="baseline"/>
              </w:rPr>
            </w:pPr>
            <w:r>
              <w:rPr>
                <w:rFonts w:hint="eastAsia"/>
                <w:vertAlign w:val="baseline"/>
              </w:rPr>
              <w:t>措施项目费基准值是在最高投标限价中措施项目</w:t>
            </w:r>
          </w:p>
          <w:p>
            <w:pPr>
              <w:numPr>
                <w:ilvl w:val="0"/>
                <w:numId w:val="0"/>
              </w:numPr>
              <w:jc w:val="both"/>
              <w:rPr>
                <w:rFonts w:hint="eastAsia"/>
                <w:vertAlign w:val="baseline"/>
              </w:rPr>
            </w:pPr>
            <w:r>
              <w:rPr>
                <w:rFonts w:hint="eastAsia"/>
                <w:vertAlign w:val="baseline"/>
              </w:rPr>
              <w:t>费用80%-110%范围之间的有效投标人所报措施项</w:t>
            </w:r>
          </w:p>
          <w:p>
            <w:pPr>
              <w:numPr>
                <w:ilvl w:val="0"/>
                <w:numId w:val="0"/>
              </w:numPr>
              <w:jc w:val="both"/>
              <w:rPr>
                <w:rFonts w:hint="eastAsia"/>
                <w:vertAlign w:val="baseline"/>
              </w:rPr>
            </w:pPr>
            <w:r>
              <w:rPr>
                <w:rFonts w:hint="eastAsia"/>
                <w:vertAlign w:val="baseline"/>
              </w:rPr>
              <w:t>目费的算术平均值。投标所报措施费与措施项目</w:t>
            </w:r>
          </w:p>
          <w:p>
            <w:pPr>
              <w:numPr>
                <w:ilvl w:val="0"/>
                <w:numId w:val="0"/>
              </w:numPr>
              <w:jc w:val="both"/>
              <w:rPr>
                <w:rFonts w:hint="eastAsia"/>
                <w:vertAlign w:val="baseline"/>
              </w:rPr>
            </w:pPr>
            <w:r>
              <w:rPr>
                <w:rFonts w:hint="eastAsia"/>
                <w:vertAlign w:val="baseline"/>
              </w:rPr>
              <w:t>基准值相等得基本分3分。当投标报价低于措施项</w:t>
            </w:r>
          </w:p>
          <w:p>
            <w:pPr>
              <w:numPr>
                <w:ilvl w:val="0"/>
                <w:numId w:val="0"/>
              </w:numPr>
              <w:jc w:val="both"/>
              <w:rPr>
                <w:rFonts w:hint="eastAsia"/>
                <w:vertAlign w:val="baseline"/>
              </w:rPr>
            </w:pPr>
            <w:r>
              <w:rPr>
                <w:rFonts w:hint="eastAsia"/>
                <w:vertAlign w:val="baseline"/>
              </w:rPr>
              <w:t>目基准值时，每低1%在基本分3分的基础上加0.1</w:t>
            </w:r>
          </w:p>
          <w:p>
            <w:pPr>
              <w:numPr>
                <w:ilvl w:val="0"/>
                <w:numId w:val="0"/>
              </w:numPr>
              <w:jc w:val="both"/>
              <w:rPr>
                <w:rFonts w:hint="eastAsia"/>
                <w:vertAlign w:val="baseline"/>
              </w:rPr>
            </w:pPr>
            <w:r>
              <w:rPr>
                <w:rFonts w:hint="eastAsia"/>
                <w:vertAlign w:val="baseline"/>
              </w:rPr>
              <w:t>分，最多加至5分为止；当高于措施项目基准值时，</w:t>
            </w:r>
          </w:p>
          <w:p>
            <w:pPr>
              <w:numPr>
                <w:ilvl w:val="0"/>
                <w:numId w:val="0"/>
              </w:numPr>
              <w:jc w:val="both"/>
              <w:rPr>
                <w:rFonts w:hint="eastAsia"/>
                <w:vertAlign w:val="baseline"/>
              </w:rPr>
            </w:pPr>
            <w:r>
              <w:rPr>
                <w:rFonts w:hint="eastAsia"/>
                <w:vertAlign w:val="baseline"/>
              </w:rPr>
              <w:t>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80" w:type="dxa"/>
            <w:vMerge w:val="continue"/>
            <w:vAlign w:val="center"/>
          </w:tcPr>
          <w:p>
            <w:pPr>
              <w:numPr>
                <w:ilvl w:val="0"/>
                <w:numId w:val="0"/>
              </w:numPr>
              <w:jc w:val="center"/>
              <w:rPr>
                <w:rFonts w:hint="eastAsia"/>
                <w:vertAlign w:val="baseline"/>
              </w:rPr>
            </w:pPr>
          </w:p>
        </w:tc>
        <w:tc>
          <w:tcPr>
            <w:tcW w:w="2041" w:type="dxa"/>
            <w:vAlign w:val="center"/>
          </w:tcPr>
          <w:p>
            <w:pPr>
              <w:numPr>
                <w:ilvl w:val="0"/>
                <w:numId w:val="0"/>
              </w:numPr>
              <w:jc w:val="center"/>
              <w:rPr>
                <w:rFonts w:hint="eastAsia"/>
                <w:vertAlign w:val="baseline"/>
              </w:rPr>
            </w:pPr>
            <w:r>
              <w:rPr>
                <w:rFonts w:hint="eastAsia"/>
                <w:vertAlign w:val="baseline"/>
              </w:rPr>
              <w:t>4、主要材料单价的评审（5 分）</w:t>
            </w:r>
          </w:p>
        </w:tc>
        <w:tc>
          <w:tcPr>
            <w:tcW w:w="5337" w:type="dxa"/>
            <w:vAlign w:val="center"/>
          </w:tcPr>
          <w:p>
            <w:pPr>
              <w:numPr>
                <w:ilvl w:val="0"/>
                <w:numId w:val="0"/>
              </w:numPr>
              <w:jc w:val="both"/>
              <w:rPr>
                <w:rFonts w:hint="eastAsia"/>
                <w:vertAlign w:val="baseline"/>
              </w:rPr>
            </w:pPr>
            <w:r>
              <w:rPr>
                <w:rFonts w:hint="eastAsia"/>
                <w:vertAlign w:val="baseline"/>
              </w:rPr>
              <w:t>从最高投标限价中材料总价权重最大的前10-20</w:t>
            </w:r>
          </w:p>
          <w:p>
            <w:pPr>
              <w:numPr>
                <w:ilvl w:val="0"/>
                <w:numId w:val="0"/>
              </w:numPr>
              <w:jc w:val="both"/>
              <w:rPr>
                <w:rFonts w:hint="eastAsia"/>
                <w:vertAlign w:val="baseline"/>
              </w:rPr>
            </w:pPr>
            <w:r>
              <w:rPr>
                <w:rFonts w:hint="eastAsia"/>
                <w:vertAlign w:val="baseline"/>
              </w:rPr>
              <w:t>项材料中抽取6项，在剩余材料中抽取4项。</w:t>
            </w:r>
          </w:p>
          <w:p>
            <w:pPr>
              <w:numPr>
                <w:ilvl w:val="0"/>
                <w:numId w:val="0"/>
              </w:numPr>
              <w:jc w:val="both"/>
              <w:rPr>
                <w:rFonts w:hint="eastAsia"/>
                <w:vertAlign w:val="baseline"/>
              </w:rPr>
            </w:pPr>
            <w:r>
              <w:rPr>
                <w:rFonts w:hint="eastAsia"/>
                <w:vertAlign w:val="baseline"/>
              </w:rPr>
              <w:t>主要材料单价基准值是以各有效投标报价中（当有效投标人5名及以上时，去掉1个最高、1个最低值）对应抽取材料单价的算术平均值。</w:t>
            </w:r>
          </w:p>
          <w:p>
            <w:pPr>
              <w:numPr>
                <w:ilvl w:val="0"/>
                <w:numId w:val="0"/>
              </w:numPr>
              <w:jc w:val="both"/>
              <w:rPr>
                <w:rFonts w:hint="eastAsia"/>
                <w:vertAlign w:val="baseline"/>
              </w:rPr>
            </w:pPr>
            <w:r>
              <w:rPr>
                <w:rFonts w:hint="eastAsia"/>
                <w:vertAlign w:val="baseline"/>
              </w:rPr>
              <w:t>当投标人报价在材料单价基准值95%–103%范围内（不含95%和103%）每项得0.5分，在材料单价基准值90%–95%范围内（含90%和95%）每项得0.25</w:t>
            </w:r>
          </w:p>
          <w:p>
            <w:pPr>
              <w:numPr>
                <w:ilvl w:val="0"/>
                <w:numId w:val="0"/>
              </w:numPr>
              <w:jc w:val="both"/>
              <w:rPr>
                <w:rFonts w:hint="eastAsia"/>
                <w:vertAlign w:val="baseline"/>
              </w:rPr>
            </w:pPr>
            <w:r>
              <w:rPr>
                <w:rFonts w:hint="eastAsia"/>
                <w:vertAlign w:val="baseline"/>
              </w:rPr>
              <w:t>分。超出该范围的不得分。材料单价与综合单价组成中价格不一致时该项为0分。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680" w:type="dxa"/>
            <w:vAlign w:val="center"/>
          </w:tcPr>
          <w:p>
            <w:pPr>
              <w:numPr>
                <w:ilvl w:val="0"/>
                <w:numId w:val="0"/>
              </w:numPr>
              <w:jc w:val="center"/>
              <w:rPr>
                <w:rFonts w:hint="eastAsia"/>
                <w:vertAlign w:val="baseline"/>
              </w:rPr>
            </w:pPr>
          </w:p>
        </w:tc>
        <w:tc>
          <w:tcPr>
            <w:tcW w:w="7378" w:type="dxa"/>
            <w:gridSpan w:val="2"/>
            <w:vAlign w:val="center"/>
          </w:tcPr>
          <w:p>
            <w:pPr>
              <w:numPr>
                <w:ilvl w:val="0"/>
                <w:numId w:val="0"/>
              </w:numPr>
              <w:jc w:val="left"/>
              <w:rPr>
                <w:rFonts w:hint="eastAsia"/>
                <w:vertAlign w:val="baseline"/>
              </w:rPr>
            </w:pPr>
            <w:r>
              <w:rPr>
                <w:rFonts w:hint="eastAsia"/>
                <w:vertAlign w:val="baseline"/>
              </w:rPr>
              <w:t>针对上述2、4款项中部分分部分项工程项目数量较少、施工工艺简单、主材种类较少而不能满足最低抽项要求的，应将所有分部分项工程项目或主要材料项目纳入评审范围</w:t>
            </w:r>
          </w:p>
        </w:tc>
      </w:tr>
    </w:tbl>
    <w:p>
      <w:pPr>
        <w:numPr>
          <w:ilvl w:val="0"/>
          <w:numId w:val="2"/>
        </w:numPr>
        <w:ind w:left="420" w:leftChars="0" w:firstLine="420" w:firstLineChars="200"/>
        <w:rPr>
          <w:rFonts w:hint="eastAsia"/>
        </w:rPr>
      </w:pPr>
      <w:r>
        <w:rPr>
          <w:rFonts w:hint="eastAsia"/>
        </w:rPr>
        <w:t>综合标的评标分值：25 分</w:t>
      </w:r>
    </w:p>
    <w:tbl>
      <w:tblPr>
        <w:tblStyle w:val="26"/>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390"/>
        <w:gridCol w:w="548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pStyle w:val="2"/>
              <w:numPr>
                <w:ilvl w:val="0"/>
                <w:numId w:val="0"/>
              </w:numPr>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序号</w:t>
            </w:r>
          </w:p>
        </w:tc>
        <w:tc>
          <w:tcPr>
            <w:tcW w:w="1390" w:type="dxa"/>
            <w:vAlign w:val="center"/>
          </w:tcPr>
          <w:p>
            <w:pPr>
              <w:pStyle w:val="2"/>
              <w:numPr>
                <w:ilvl w:val="0"/>
                <w:numId w:val="0"/>
              </w:numPr>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项 目</w:t>
            </w:r>
          </w:p>
        </w:tc>
        <w:tc>
          <w:tcPr>
            <w:tcW w:w="5480" w:type="dxa"/>
            <w:vAlign w:val="center"/>
          </w:tcPr>
          <w:p>
            <w:pPr>
              <w:pStyle w:val="2"/>
              <w:numPr>
                <w:ilvl w:val="0"/>
                <w:numId w:val="0"/>
              </w:numPr>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评 审 标 准</w:t>
            </w:r>
          </w:p>
        </w:tc>
        <w:tc>
          <w:tcPr>
            <w:tcW w:w="1520" w:type="dxa"/>
            <w:vAlign w:val="center"/>
          </w:tcPr>
          <w:p>
            <w:pPr>
              <w:pStyle w:val="2"/>
              <w:numPr>
                <w:ilvl w:val="0"/>
                <w:numId w:val="0"/>
              </w:numPr>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pStyle w:val="2"/>
              <w:numPr>
                <w:ilvl w:val="0"/>
                <w:numId w:val="0"/>
              </w:numPr>
              <w:jc w:val="center"/>
              <w:rPr>
                <w:rFonts w:hint="eastAsia" w:eastAsia="宋体"/>
                <w:sz w:val="21"/>
                <w:szCs w:val="21"/>
                <w:vertAlign w:val="baseline"/>
                <w:lang w:val="en-US" w:eastAsia="zh-CN"/>
              </w:rPr>
            </w:pPr>
            <w:r>
              <w:rPr>
                <w:rFonts w:hint="eastAsia"/>
                <w:sz w:val="21"/>
                <w:szCs w:val="21"/>
                <w:vertAlign w:val="baseline"/>
                <w:lang w:val="en-US" w:eastAsia="zh-CN"/>
              </w:rPr>
              <w:t>1</w:t>
            </w:r>
          </w:p>
        </w:tc>
        <w:tc>
          <w:tcPr>
            <w:tcW w:w="139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企业业绩</w:t>
            </w:r>
          </w:p>
        </w:tc>
        <w:tc>
          <w:tcPr>
            <w:tcW w:w="5480" w:type="dxa"/>
            <w:vAlign w:val="center"/>
          </w:tcPr>
          <w:p>
            <w:pPr>
              <w:pStyle w:val="2"/>
              <w:numPr>
                <w:ilvl w:val="0"/>
                <w:numId w:val="0"/>
              </w:numPr>
              <w:jc w:val="left"/>
              <w:rPr>
                <w:rFonts w:hint="eastAsia"/>
                <w:sz w:val="21"/>
                <w:szCs w:val="21"/>
                <w:vertAlign w:val="baseline"/>
              </w:rPr>
            </w:pPr>
            <w:r>
              <w:rPr>
                <w:rFonts w:hint="eastAsia"/>
                <w:sz w:val="21"/>
                <w:szCs w:val="21"/>
                <w:vertAlign w:val="baseline"/>
              </w:rPr>
              <w:t>201</w:t>
            </w:r>
            <w:r>
              <w:rPr>
                <w:rFonts w:hint="eastAsia"/>
                <w:sz w:val="21"/>
                <w:szCs w:val="21"/>
                <w:vertAlign w:val="baseline"/>
                <w:lang w:val="en-US" w:eastAsia="zh-CN"/>
              </w:rPr>
              <w:t>8</w:t>
            </w:r>
            <w:r>
              <w:rPr>
                <w:rFonts w:hint="eastAsia"/>
                <w:sz w:val="21"/>
                <w:szCs w:val="21"/>
                <w:vertAlign w:val="baseline"/>
              </w:rPr>
              <w:t>年1月1日以来，企业承建过与本项目类似的工程业绩。每提供一项得2分，本项最多得</w:t>
            </w:r>
            <w:r>
              <w:rPr>
                <w:rFonts w:hint="eastAsia"/>
                <w:sz w:val="21"/>
                <w:szCs w:val="21"/>
                <w:vertAlign w:val="baseline"/>
                <w:lang w:val="en-US" w:eastAsia="zh-CN"/>
              </w:rPr>
              <w:t>6</w:t>
            </w:r>
            <w:r>
              <w:rPr>
                <w:rFonts w:hint="eastAsia"/>
                <w:sz w:val="21"/>
                <w:szCs w:val="21"/>
                <w:vertAlign w:val="baseline"/>
              </w:rPr>
              <w:t>分。（以中标通知书为准）</w:t>
            </w:r>
          </w:p>
        </w:tc>
        <w:tc>
          <w:tcPr>
            <w:tcW w:w="152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pStyle w:val="2"/>
              <w:numPr>
                <w:ilvl w:val="0"/>
                <w:numId w:val="0"/>
              </w:numPr>
              <w:jc w:val="center"/>
              <w:rPr>
                <w:rFonts w:hint="eastAsia" w:eastAsia="宋体"/>
                <w:sz w:val="21"/>
                <w:szCs w:val="21"/>
                <w:vertAlign w:val="baseline"/>
                <w:lang w:val="en-US" w:eastAsia="zh-CN"/>
              </w:rPr>
            </w:pPr>
            <w:r>
              <w:rPr>
                <w:rFonts w:hint="eastAsia"/>
                <w:sz w:val="21"/>
                <w:szCs w:val="21"/>
                <w:vertAlign w:val="baseline"/>
                <w:lang w:val="en-US" w:eastAsia="zh-CN"/>
              </w:rPr>
              <w:t>2</w:t>
            </w:r>
          </w:p>
        </w:tc>
        <w:tc>
          <w:tcPr>
            <w:tcW w:w="1390" w:type="dxa"/>
            <w:vAlign w:val="center"/>
          </w:tcPr>
          <w:p>
            <w:pPr>
              <w:pStyle w:val="2"/>
              <w:numPr>
                <w:ilvl w:val="0"/>
                <w:numId w:val="0"/>
              </w:numPr>
              <w:jc w:val="both"/>
              <w:rPr>
                <w:rFonts w:hint="eastAsia"/>
                <w:sz w:val="21"/>
                <w:szCs w:val="21"/>
                <w:vertAlign w:val="baseline"/>
              </w:rPr>
            </w:pPr>
            <w:r>
              <w:rPr>
                <w:rFonts w:hint="eastAsia"/>
                <w:sz w:val="21"/>
                <w:szCs w:val="21"/>
                <w:vertAlign w:val="baseline"/>
              </w:rPr>
              <w:t>项目经理业绩</w:t>
            </w:r>
          </w:p>
        </w:tc>
        <w:tc>
          <w:tcPr>
            <w:tcW w:w="5480" w:type="dxa"/>
            <w:vAlign w:val="center"/>
          </w:tcPr>
          <w:p>
            <w:pPr>
              <w:pStyle w:val="2"/>
              <w:numPr>
                <w:ilvl w:val="0"/>
                <w:numId w:val="0"/>
              </w:numPr>
              <w:jc w:val="left"/>
              <w:rPr>
                <w:rFonts w:hint="eastAsia"/>
                <w:sz w:val="21"/>
                <w:szCs w:val="21"/>
                <w:vertAlign w:val="baseline"/>
              </w:rPr>
            </w:pPr>
            <w:r>
              <w:rPr>
                <w:rFonts w:hint="eastAsia"/>
                <w:sz w:val="21"/>
                <w:szCs w:val="21"/>
                <w:vertAlign w:val="baseline"/>
              </w:rPr>
              <w:t>201</w:t>
            </w:r>
            <w:r>
              <w:rPr>
                <w:rFonts w:hint="eastAsia"/>
                <w:sz w:val="21"/>
                <w:szCs w:val="21"/>
                <w:vertAlign w:val="baseline"/>
                <w:lang w:val="en-US" w:eastAsia="zh-CN"/>
              </w:rPr>
              <w:t>8</w:t>
            </w:r>
            <w:r>
              <w:rPr>
                <w:rFonts w:hint="eastAsia"/>
                <w:sz w:val="21"/>
                <w:szCs w:val="21"/>
                <w:vertAlign w:val="baseline"/>
              </w:rPr>
              <w:t>年1月1日以来，项目经理承建过与本项目类似的工程业绩。每提供一项得2分，本项最多得</w:t>
            </w:r>
            <w:r>
              <w:rPr>
                <w:rFonts w:hint="eastAsia"/>
                <w:sz w:val="21"/>
                <w:szCs w:val="21"/>
                <w:vertAlign w:val="baseline"/>
                <w:lang w:val="en-US" w:eastAsia="zh-CN"/>
              </w:rPr>
              <w:t>2</w:t>
            </w:r>
            <w:r>
              <w:rPr>
                <w:rFonts w:hint="eastAsia"/>
                <w:sz w:val="21"/>
                <w:szCs w:val="21"/>
                <w:vertAlign w:val="baseline"/>
              </w:rPr>
              <w:t>分。（以中标通知书为准）</w:t>
            </w:r>
          </w:p>
        </w:tc>
        <w:tc>
          <w:tcPr>
            <w:tcW w:w="152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pStyle w:val="2"/>
              <w:numPr>
                <w:ilvl w:val="0"/>
                <w:numId w:val="0"/>
              </w:numPr>
              <w:jc w:val="center"/>
              <w:rPr>
                <w:rFonts w:hint="default" w:eastAsia="宋体"/>
                <w:sz w:val="21"/>
                <w:szCs w:val="21"/>
                <w:vertAlign w:val="baseline"/>
                <w:lang w:val="en-US" w:eastAsia="zh-CN"/>
              </w:rPr>
            </w:pPr>
            <w:r>
              <w:rPr>
                <w:rFonts w:hint="eastAsia"/>
                <w:sz w:val="21"/>
                <w:szCs w:val="21"/>
                <w:vertAlign w:val="baseline"/>
                <w:lang w:val="en-US" w:eastAsia="zh-CN"/>
              </w:rPr>
              <w:t>3</w:t>
            </w:r>
          </w:p>
        </w:tc>
        <w:tc>
          <w:tcPr>
            <w:tcW w:w="1390" w:type="dxa"/>
            <w:vMerge w:val="restart"/>
            <w:vAlign w:val="center"/>
          </w:tcPr>
          <w:p>
            <w:pPr>
              <w:pStyle w:val="2"/>
              <w:numPr>
                <w:ilvl w:val="0"/>
                <w:numId w:val="0"/>
              </w:numPr>
              <w:jc w:val="center"/>
              <w:rPr>
                <w:rFonts w:hint="eastAsia"/>
                <w:sz w:val="21"/>
                <w:szCs w:val="21"/>
                <w:vertAlign w:val="baseline"/>
              </w:rPr>
            </w:pPr>
            <w:r>
              <w:rPr>
                <w:rFonts w:hint="eastAsia"/>
                <w:sz w:val="21"/>
                <w:szCs w:val="21"/>
                <w:vertAlign w:val="baseline"/>
              </w:rPr>
              <w:t>优惠承诺</w:t>
            </w:r>
          </w:p>
        </w:tc>
        <w:tc>
          <w:tcPr>
            <w:tcW w:w="5480" w:type="dxa"/>
            <w:vAlign w:val="center"/>
          </w:tcPr>
          <w:p>
            <w:pPr>
              <w:pStyle w:val="2"/>
              <w:numPr>
                <w:ilvl w:val="0"/>
                <w:numId w:val="0"/>
              </w:numPr>
              <w:jc w:val="both"/>
              <w:rPr>
                <w:rFonts w:hint="eastAsia"/>
                <w:sz w:val="21"/>
                <w:szCs w:val="21"/>
                <w:vertAlign w:val="baseline"/>
              </w:rPr>
            </w:pPr>
            <w:r>
              <w:rPr>
                <w:rFonts w:hint="eastAsia"/>
                <w:sz w:val="21"/>
                <w:szCs w:val="21"/>
                <w:vertAlign w:val="baseline"/>
              </w:rPr>
              <w:t>优惠承诺应是书面的符合工程实际情况，确保依法依规，优惠合理，详实可行。</w:t>
            </w:r>
          </w:p>
        </w:tc>
        <w:tc>
          <w:tcPr>
            <w:tcW w:w="152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vAlign w:val="center"/>
          </w:tcPr>
          <w:p>
            <w:pPr>
              <w:pStyle w:val="2"/>
              <w:numPr>
                <w:ilvl w:val="0"/>
                <w:numId w:val="0"/>
              </w:numPr>
              <w:jc w:val="center"/>
              <w:rPr>
                <w:rFonts w:hint="eastAsia" w:eastAsia="宋体"/>
                <w:sz w:val="21"/>
                <w:szCs w:val="21"/>
                <w:vertAlign w:val="baseline"/>
                <w:lang w:val="en-US" w:eastAsia="zh-CN"/>
              </w:rPr>
            </w:pPr>
          </w:p>
        </w:tc>
        <w:tc>
          <w:tcPr>
            <w:tcW w:w="1390" w:type="dxa"/>
            <w:vMerge w:val="continue"/>
            <w:vAlign w:val="center"/>
          </w:tcPr>
          <w:p>
            <w:pPr>
              <w:pStyle w:val="2"/>
              <w:numPr>
                <w:ilvl w:val="0"/>
                <w:numId w:val="0"/>
              </w:numPr>
              <w:jc w:val="center"/>
              <w:rPr>
                <w:rFonts w:hint="eastAsia"/>
                <w:sz w:val="21"/>
                <w:szCs w:val="21"/>
                <w:vertAlign w:val="baseline"/>
              </w:rPr>
            </w:pPr>
          </w:p>
        </w:tc>
        <w:tc>
          <w:tcPr>
            <w:tcW w:w="5480" w:type="dxa"/>
            <w:vAlign w:val="center"/>
          </w:tcPr>
          <w:p>
            <w:pPr>
              <w:pStyle w:val="2"/>
              <w:numPr>
                <w:ilvl w:val="0"/>
                <w:numId w:val="0"/>
              </w:numPr>
              <w:jc w:val="both"/>
              <w:rPr>
                <w:rFonts w:hint="eastAsia"/>
                <w:sz w:val="21"/>
                <w:szCs w:val="21"/>
                <w:vertAlign w:val="baseline"/>
              </w:rPr>
            </w:pPr>
            <w:r>
              <w:rPr>
                <w:rFonts w:hint="eastAsia"/>
                <w:sz w:val="21"/>
                <w:szCs w:val="21"/>
                <w:vertAlign w:val="baseline"/>
              </w:rPr>
              <w:t>优惠承诺符合工程实际情况，确保依法依规，优惠基本合理，基本详实可行</w:t>
            </w:r>
          </w:p>
        </w:tc>
        <w:tc>
          <w:tcPr>
            <w:tcW w:w="152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pStyle w:val="2"/>
              <w:numPr>
                <w:ilvl w:val="0"/>
                <w:numId w:val="0"/>
              </w:numPr>
              <w:jc w:val="center"/>
              <w:rPr>
                <w:rFonts w:hint="eastAsia" w:eastAsia="宋体"/>
                <w:sz w:val="21"/>
                <w:szCs w:val="21"/>
                <w:vertAlign w:val="baseline"/>
                <w:lang w:val="en-US" w:eastAsia="zh-CN"/>
              </w:rPr>
            </w:pPr>
            <w:r>
              <w:rPr>
                <w:rFonts w:hint="eastAsia"/>
                <w:sz w:val="21"/>
                <w:szCs w:val="21"/>
                <w:vertAlign w:val="baseline"/>
                <w:lang w:val="en-US" w:eastAsia="zh-CN"/>
              </w:rPr>
              <w:t>4</w:t>
            </w:r>
          </w:p>
        </w:tc>
        <w:tc>
          <w:tcPr>
            <w:tcW w:w="1390" w:type="dxa"/>
            <w:vMerge w:val="restart"/>
            <w:vAlign w:val="center"/>
          </w:tcPr>
          <w:p>
            <w:pPr>
              <w:pStyle w:val="2"/>
              <w:numPr>
                <w:ilvl w:val="0"/>
                <w:numId w:val="0"/>
              </w:numPr>
              <w:jc w:val="center"/>
              <w:rPr>
                <w:rFonts w:hint="eastAsia"/>
                <w:sz w:val="21"/>
                <w:szCs w:val="21"/>
                <w:vertAlign w:val="baseline"/>
              </w:rPr>
            </w:pPr>
            <w:r>
              <w:rPr>
                <w:rFonts w:hint="eastAsia"/>
                <w:sz w:val="21"/>
                <w:szCs w:val="21"/>
                <w:vertAlign w:val="baseline"/>
              </w:rPr>
              <w:t>履职尽责承</w:t>
            </w:r>
          </w:p>
          <w:p>
            <w:pPr>
              <w:pStyle w:val="2"/>
              <w:numPr>
                <w:ilvl w:val="0"/>
                <w:numId w:val="0"/>
              </w:numPr>
              <w:jc w:val="center"/>
              <w:rPr>
                <w:rFonts w:hint="eastAsia"/>
                <w:sz w:val="21"/>
                <w:szCs w:val="21"/>
                <w:vertAlign w:val="baseline"/>
              </w:rPr>
            </w:pPr>
            <w:r>
              <w:rPr>
                <w:rFonts w:hint="eastAsia"/>
                <w:sz w:val="21"/>
                <w:szCs w:val="21"/>
                <w:vertAlign w:val="baseline"/>
              </w:rPr>
              <w:t>诺</w:t>
            </w:r>
          </w:p>
        </w:tc>
        <w:tc>
          <w:tcPr>
            <w:tcW w:w="5480" w:type="dxa"/>
            <w:vAlign w:val="center"/>
          </w:tcPr>
          <w:p>
            <w:pPr>
              <w:pStyle w:val="2"/>
              <w:numPr>
                <w:ilvl w:val="0"/>
                <w:numId w:val="0"/>
              </w:numPr>
              <w:jc w:val="both"/>
              <w:rPr>
                <w:rFonts w:hint="eastAsia"/>
                <w:sz w:val="21"/>
                <w:szCs w:val="21"/>
                <w:vertAlign w:val="baseline"/>
              </w:rPr>
            </w:pPr>
            <w:r>
              <w:rPr>
                <w:rFonts w:hint="eastAsia"/>
                <w:sz w:val="21"/>
                <w:szCs w:val="21"/>
                <w:vertAlign w:val="baseline"/>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2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vAlign w:val="center"/>
          </w:tcPr>
          <w:p>
            <w:pPr>
              <w:pStyle w:val="2"/>
              <w:numPr>
                <w:ilvl w:val="0"/>
                <w:numId w:val="0"/>
              </w:numPr>
              <w:jc w:val="center"/>
              <w:rPr>
                <w:rFonts w:hint="eastAsia"/>
                <w:sz w:val="21"/>
                <w:szCs w:val="21"/>
                <w:vertAlign w:val="baseline"/>
                <w:lang w:val="en-US" w:eastAsia="zh-CN"/>
              </w:rPr>
            </w:pPr>
          </w:p>
        </w:tc>
        <w:tc>
          <w:tcPr>
            <w:tcW w:w="1390" w:type="dxa"/>
            <w:vMerge w:val="continue"/>
            <w:vAlign w:val="center"/>
          </w:tcPr>
          <w:p>
            <w:pPr>
              <w:pStyle w:val="2"/>
              <w:numPr>
                <w:ilvl w:val="0"/>
                <w:numId w:val="0"/>
              </w:numPr>
              <w:jc w:val="center"/>
              <w:rPr>
                <w:rFonts w:hint="eastAsia"/>
                <w:sz w:val="21"/>
                <w:szCs w:val="21"/>
                <w:vertAlign w:val="baseline"/>
              </w:rPr>
            </w:pPr>
          </w:p>
        </w:tc>
        <w:tc>
          <w:tcPr>
            <w:tcW w:w="5480" w:type="dxa"/>
            <w:vAlign w:val="center"/>
          </w:tcPr>
          <w:p>
            <w:pPr>
              <w:pStyle w:val="2"/>
              <w:numPr>
                <w:ilvl w:val="0"/>
                <w:numId w:val="0"/>
              </w:numPr>
              <w:jc w:val="both"/>
              <w:rPr>
                <w:rFonts w:hint="eastAsia"/>
                <w:sz w:val="21"/>
                <w:szCs w:val="21"/>
                <w:vertAlign w:val="baseline"/>
              </w:rPr>
            </w:pPr>
            <w:r>
              <w:rPr>
                <w:rFonts w:hint="eastAsia"/>
                <w:sz w:val="21"/>
                <w:szCs w:val="21"/>
                <w:vertAlign w:val="baseline"/>
              </w:rPr>
              <w:t>具有可行、合法有效的书面保证技术措施落实到位的承诺和落实不到位的处理承诺，其中包括各关键岗位人员（项目经理、技术负责人及相关技术人员、质量员、安全员、材料员、检测员等）的在岗、更换等履职尽责承诺，提供</w:t>
            </w:r>
          </w:p>
          <w:p>
            <w:pPr>
              <w:pStyle w:val="2"/>
              <w:numPr>
                <w:ilvl w:val="0"/>
                <w:numId w:val="0"/>
              </w:numPr>
              <w:jc w:val="both"/>
              <w:rPr>
                <w:rFonts w:hint="eastAsia"/>
                <w:sz w:val="21"/>
                <w:szCs w:val="21"/>
                <w:vertAlign w:val="baseline"/>
              </w:rPr>
            </w:pPr>
            <w:r>
              <w:rPr>
                <w:rFonts w:hint="eastAsia"/>
                <w:sz w:val="21"/>
                <w:szCs w:val="21"/>
                <w:vertAlign w:val="baseline"/>
              </w:rPr>
              <w:t>承包商履约保证。</w:t>
            </w:r>
          </w:p>
        </w:tc>
        <w:tc>
          <w:tcPr>
            <w:tcW w:w="152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pStyle w:val="2"/>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w:t>
            </w:r>
          </w:p>
        </w:tc>
        <w:tc>
          <w:tcPr>
            <w:tcW w:w="139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企业信用</w:t>
            </w:r>
          </w:p>
          <w:p>
            <w:pPr>
              <w:pStyle w:val="2"/>
              <w:numPr>
                <w:ilvl w:val="0"/>
                <w:numId w:val="0"/>
              </w:numPr>
              <w:jc w:val="center"/>
              <w:rPr>
                <w:rFonts w:hint="eastAsia"/>
                <w:sz w:val="21"/>
                <w:szCs w:val="21"/>
                <w:vertAlign w:val="baseline"/>
              </w:rPr>
            </w:pPr>
            <w:r>
              <w:rPr>
                <w:rFonts w:hint="eastAsia"/>
                <w:sz w:val="21"/>
                <w:szCs w:val="21"/>
                <w:vertAlign w:val="baseline"/>
              </w:rPr>
              <w:t>（含纳税诚</w:t>
            </w:r>
          </w:p>
          <w:p>
            <w:pPr>
              <w:pStyle w:val="2"/>
              <w:numPr>
                <w:ilvl w:val="0"/>
                <w:numId w:val="0"/>
              </w:numPr>
              <w:jc w:val="center"/>
              <w:rPr>
                <w:rFonts w:hint="eastAsia"/>
                <w:sz w:val="21"/>
                <w:szCs w:val="21"/>
                <w:vertAlign w:val="baseline"/>
              </w:rPr>
            </w:pPr>
            <w:r>
              <w:rPr>
                <w:rFonts w:hint="eastAsia"/>
                <w:sz w:val="21"/>
                <w:szCs w:val="21"/>
                <w:vertAlign w:val="baseline"/>
              </w:rPr>
              <w:t>信）</w:t>
            </w:r>
          </w:p>
        </w:tc>
        <w:tc>
          <w:tcPr>
            <w:tcW w:w="5480" w:type="dxa"/>
            <w:vAlign w:val="center"/>
          </w:tcPr>
          <w:p>
            <w:pPr>
              <w:pStyle w:val="2"/>
              <w:numPr>
                <w:ilvl w:val="0"/>
                <w:numId w:val="0"/>
              </w:numPr>
              <w:jc w:val="both"/>
              <w:rPr>
                <w:rFonts w:hint="eastAsia"/>
                <w:sz w:val="21"/>
                <w:szCs w:val="21"/>
                <w:vertAlign w:val="baseline"/>
              </w:rPr>
            </w:pPr>
            <w:r>
              <w:rPr>
                <w:rFonts w:hint="eastAsia"/>
                <w:sz w:val="21"/>
                <w:szCs w:val="21"/>
                <w:vertAlign w:val="baseline"/>
              </w:rPr>
              <w:t>2019 年1月以来获得县级奖励每项得 1 分，省级及以上奖励每项得 2 分，满分 4 分。投标企业有不良信用信息扣 4 分。</w:t>
            </w:r>
          </w:p>
        </w:tc>
        <w:tc>
          <w:tcPr>
            <w:tcW w:w="152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-4≤得分≤0-4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pStyle w:val="2"/>
              <w:numPr>
                <w:ilvl w:val="0"/>
                <w:numId w:val="0"/>
              </w:numPr>
              <w:jc w:val="center"/>
              <w:rPr>
                <w:rFonts w:hint="eastAsia"/>
                <w:sz w:val="21"/>
                <w:szCs w:val="21"/>
                <w:vertAlign w:val="baseline"/>
                <w:lang w:val="en-US" w:eastAsia="zh-CN"/>
              </w:rPr>
            </w:pPr>
          </w:p>
        </w:tc>
        <w:tc>
          <w:tcPr>
            <w:tcW w:w="139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项目经理信</w:t>
            </w:r>
          </w:p>
          <w:p>
            <w:pPr>
              <w:pStyle w:val="2"/>
              <w:numPr>
                <w:ilvl w:val="0"/>
                <w:numId w:val="0"/>
              </w:numPr>
              <w:jc w:val="center"/>
              <w:rPr>
                <w:rFonts w:hint="eastAsia"/>
                <w:sz w:val="21"/>
                <w:szCs w:val="21"/>
                <w:vertAlign w:val="baseline"/>
              </w:rPr>
            </w:pPr>
            <w:r>
              <w:rPr>
                <w:rFonts w:hint="eastAsia"/>
                <w:sz w:val="21"/>
                <w:szCs w:val="21"/>
                <w:vertAlign w:val="baseline"/>
              </w:rPr>
              <w:t>用</w:t>
            </w:r>
          </w:p>
        </w:tc>
        <w:tc>
          <w:tcPr>
            <w:tcW w:w="5480" w:type="dxa"/>
            <w:vAlign w:val="center"/>
          </w:tcPr>
          <w:p>
            <w:pPr>
              <w:pStyle w:val="2"/>
              <w:numPr>
                <w:ilvl w:val="0"/>
                <w:numId w:val="0"/>
              </w:numPr>
              <w:jc w:val="both"/>
              <w:rPr>
                <w:rFonts w:hint="eastAsia"/>
                <w:sz w:val="21"/>
                <w:szCs w:val="21"/>
                <w:vertAlign w:val="baseline"/>
              </w:rPr>
            </w:pPr>
            <w:r>
              <w:rPr>
                <w:rFonts w:hint="eastAsia"/>
                <w:sz w:val="21"/>
                <w:szCs w:val="21"/>
                <w:vertAlign w:val="baseline"/>
              </w:rPr>
              <w:t>2018年1月以来县级奖励每项得</w:t>
            </w:r>
            <w:r>
              <w:rPr>
                <w:rFonts w:hint="eastAsia"/>
                <w:sz w:val="21"/>
                <w:szCs w:val="21"/>
                <w:vertAlign w:val="baseline"/>
                <w:lang w:val="en-US" w:eastAsia="zh-CN"/>
              </w:rPr>
              <w:t>1</w:t>
            </w:r>
            <w:r>
              <w:rPr>
                <w:rFonts w:hint="eastAsia"/>
                <w:sz w:val="21"/>
                <w:szCs w:val="21"/>
                <w:vertAlign w:val="baseline"/>
              </w:rPr>
              <w:t>分，省级及以上奖励每项得2分，满分2分。项目经理有不良信用信息扣 2 分。</w:t>
            </w:r>
          </w:p>
        </w:tc>
        <w:tc>
          <w:tcPr>
            <w:tcW w:w="152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-2≤得分≤0-2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pStyle w:val="2"/>
              <w:numPr>
                <w:ilvl w:val="0"/>
                <w:numId w:val="0"/>
              </w:numPr>
              <w:jc w:val="center"/>
              <w:rPr>
                <w:rFonts w:hint="eastAsia"/>
                <w:sz w:val="21"/>
                <w:szCs w:val="21"/>
                <w:vertAlign w:val="baseline"/>
              </w:rPr>
            </w:pPr>
          </w:p>
        </w:tc>
        <w:tc>
          <w:tcPr>
            <w:tcW w:w="139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招标人意见</w:t>
            </w:r>
          </w:p>
        </w:tc>
        <w:tc>
          <w:tcPr>
            <w:tcW w:w="5480" w:type="dxa"/>
            <w:vAlign w:val="center"/>
          </w:tcPr>
          <w:p>
            <w:pPr>
              <w:pStyle w:val="2"/>
              <w:numPr>
                <w:ilvl w:val="0"/>
                <w:numId w:val="0"/>
              </w:numPr>
              <w:jc w:val="both"/>
              <w:rPr>
                <w:rFonts w:hint="eastAsia"/>
                <w:sz w:val="21"/>
                <w:szCs w:val="21"/>
                <w:vertAlign w:val="baseline"/>
              </w:rPr>
            </w:pPr>
            <w:r>
              <w:rPr>
                <w:rFonts w:hint="eastAsia"/>
                <w:sz w:val="21"/>
                <w:szCs w:val="21"/>
                <w:vertAlign w:val="baseline"/>
              </w:rPr>
              <w:t>招标单位根据投标人标书制作、企业实力及社会信誉进行评价（0-4 分）。其他评委参照业主方评委进行打分。</w:t>
            </w:r>
          </w:p>
        </w:tc>
        <w:tc>
          <w:tcPr>
            <w:tcW w:w="1520" w:type="dxa"/>
            <w:vAlign w:val="center"/>
          </w:tcPr>
          <w:p>
            <w:pPr>
              <w:pStyle w:val="2"/>
              <w:numPr>
                <w:ilvl w:val="0"/>
                <w:numId w:val="0"/>
              </w:numPr>
              <w:jc w:val="center"/>
              <w:rPr>
                <w:rFonts w:hint="eastAsia"/>
                <w:sz w:val="21"/>
                <w:szCs w:val="21"/>
                <w:vertAlign w:val="baseline"/>
              </w:rPr>
            </w:pPr>
            <w:r>
              <w:rPr>
                <w:rFonts w:hint="eastAsia"/>
                <w:sz w:val="21"/>
                <w:szCs w:val="21"/>
                <w:vertAlign w:val="baseline"/>
              </w:rPr>
              <w:t>0≤得分≤4 分</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企业及项目经理良好信用信息采集项见附表 1 和附表 2，二类及以下工程原则上不采集国家级奖项作为加分项。不良信用信息采集见省级住房城乡建设主管部门以及信用中国、信用河南、国家企业信用信息公示系统和全国法院失信被执行人名单信息公布与查询平台等网站中公示的与建筑活动有关的信息。</w:t>
      </w:r>
    </w:p>
    <w:p>
      <w:pPr>
        <w:rPr>
          <w:rFonts w:hint="eastAsia"/>
          <w:b/>
          <w:bCs/>
          <w:lang w:val="en-US" w:eastAsia="zh-CN"/>
        </w:rPr>
      </w:pPr>
      <w:r>
        <w:rPr>
          <w:rFonts w:hint="eastAsia"/>
          <w:b/>
          <w:bCs/>
          <w:lang w:val="en-US" w:eastAsia="zh-CN"/>
        </w:rPr>
        <w:t>附表1</w:t>
      </w:r>
    </w:p>
    <w:p>
      <w:pPr>
        <w:pStyle w:val="2"/>
        <w:ind w:left="0" w:leftChars="0" w:firstLine="0" w:firstLineChars="0"/>
        <w:jc w:val="center"/>
        <w:rPr>
          <w:rFonts w:hint="default"/>
          <w:b/>
          <w:bCs/>
          <w:lang w:val="en-US" w:eastAsia="zh-CN"/>
        </w:rPr>
      </w:pPr>
      <w:r>
        <w:rPr>
          <w:rFonts w:hint="default"/>
          <w:b/>
          <w:bCs/>
          <w:lang w:val="en-US" w:eastAsia="zh-CN"/>
        </w:rPr>
        <w:t>投标企业良好信用信息采集项</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631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Align w:val="center"/>
          </w:tcPr>
          <w:p>
            <w:pPr>
              <w:jc w:val="center"/>
              <w:rPr>
                <w:rFonts w:hint="default"/>
                <w:vertAlign w:val="baseline"/>
                <w:lang w:val="en-US" w:eastAsia="zh-CN"/>
              </w:rPr>
            </w:pPr>
            <w:r>
              <w:rPr>
                <w:rFonts w:hint="default"/>
                <w:vertAlign w:val="baseline"/>
                <w:lang w:val="en-US" w:eastAsia="zh-CN"/>
              </w:rPr>
              <w:t>信用类别</w:t>
            </w:r>
          </w:p>
        </w:tc>
        <w:tc>
          <w:tcPr>
            <w:tcW w:w="6310" w:type="dxa"/>
            <w:vAlign w:val="center"/>
          </w:tcPr>
          <w:p>
            <w:pPr>
              <w:jc w:val="center"/>
              <w:rPr>
                <w:rFonts w:hint="default"/>
                <w:vertAlign w:val="baseline"/>
                <w:lang w:val="en-US" w:eastAsia="zh-CN"/>
              </w:rPr>
            </w:pPr>
            <w:r>
              <w:rPr>
                <w:rFonts w:hint="default"/>
                <w:vertAlign w:val="baseline"/>
                <w:lang w:val="en-US" w:eastAsia="zh-CN"/>
              </w:rPr>
              <w:t>良好信用</w:t>
            </w:r>
          </w:p>
        </w:tc>
        <w:tc>
          <w:tcPr>
            <w:tcW w:w="671" w:type="dxa"/>
            <w:vAlign w:val="center"/>
          </w:tcPr>
          <w:p>
            <w:pPr>
              <w:jc w:val="center"/>
              <w:rPr>
                <w:rFonts w:hint="default"/>
                <w:vertAlign w:val="baseline"/>
                <w:lang w:val="en-US" w:eastAsia="zh-CN"/>
              </w:rPr>
            </w:pPr>
            <w:r>
              <w:rPr>
                <w:rFonts w:hint="default"/>
                <w:vertAlign w:val="baseline"/>
                <w:lang w:val="en-US" w:eastAsia="zh-CN"/>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restart"/>
            <w:vAlign w:val="center"/>
          </w:tcPr>
          <w:p>
            <w:pPr>
              <w:jc w:val="center"/>
              <w:rPr>
                <w:rFonts w:hint="default"/>
                <w:vertAlign w:val="baseline"/>
                <w:lang w:val="en-US" w:eastAsia="zh-CN"/>
              </w:rPr>
            </w:pPr>
            <w:r>
              <w:rPr>
                <w:rFonts w:hint="default"/>
                <w:vertAlign w:val="baseline"/>
                <w:lang w:val="en-US" w:eastAsia="zh-CN"/>
              </w:rPr>
              <w:t>工程质量获奖</w:t>
            </w:r>
          </w:p>
        </w:tc>
        <w:tc>
          <w:tcPr>
            <w:tcW w:w="6310" w:type="dxa"/>
            <w:vAlign w:val="center"/>
          </w:tcPr>
          <w:p>
            <w:pPr>
              <w:jc w:val="left"/>
              <w:rPr>
                <w:rFonts w:hint="default"/>
                <w:vertAlign w:val="baseline"/>
                <w:lang w:val="en-US" w:eastAsia="zh-CN"/>
              </w:rPr>
            </w:pPr>
            <w:r>
              <w:rPr>
                <w:rFonts w:hint="default"/>
                <w:vertAlign w:val="baseline"/>
                <w:lang w:val="en-US" w:eastAsia="zh-CN"/>
              </w:rPr>
              <w:t>中国建设工程鲁班奖（国家优质工程）、中国钢结构金奖、中国土木工程詹天佑奖</w:t>
            </w:r>
          </w:p>
        </w:tc>
        <w:tc>
          <w:tcPr>
            <w:tcW w:w="671" w:type="dxa"/>
            <w:vAlign w:val="center"/>
          </w:tcPr>
          <w:p>
            <w:pPr>
              <w:jc w:val="center"/>
              <w:rPr>
                <w:rFonts w:hint="default"/>
                <w:vertAlign w:val="baseline"/>
                <w:lang w:val="en-US" w:eastAsia="zh-CN"/>
              </w:rPr>
            </w:pPr>
            <w:r>
              <w:rPr>
                <w:rFonts w:hint="eastAsia"/>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vAlign w:val="center"/>
          </w:tcPr>
          <w:p>
            <w:pPr>
              <w:jc w:val="center"/>
              <w:rPr>
                <w:rFonts w:hint="default"/>
                <w:vertAlign w:val="baseline"/>
                <w:lang w:val="en-US" w:eastAsia="zh-CN"/>
              </w:rPr>
            </w:pPr>
          </w:p>
        </w:tc>
        <w:tc>
          <w:tcPr>
            <w:tcW w:w="6310" w:type="dxa"/>
            <w:vAlign w:val="center"/>
          </w:tcPr>
          <w:p>
            <w:pPr>
              <w:jc w:val="left"/>
              <w:rPr>
                <w:rFonts w:hint="default"/>
                <w:vertAlign w:val="baseline"/>
                <w:lang w:val="en-US" w:eastAsia="zh-CN"/>
              </w:rPr>
            </w:pPr>
            <w:r>
              <w:rPr>
                <w:rFonts w:hint="default"/>
                <w:vertAlign w:val="baseline"/>
                <w:lang w:val="en-US" w:eastAsia="zh-CN"/>
              </w:rPr>
              <w:t>中国建筑工程装饰奖（公共建筑装饰、建筑幕墙、公共建筑装饰设计）</w:t>
            </w:r>
          </w:p>
        </w:tc>
        <w:tc>
          <w:tcPr>
            <w:tcW w:w="671" w:type="dxa"/>
            <w:vAlign w:val="center"/>
          </w:tcPr>
          <w:p>
            <w:pPr>
              <w:jc w:val="center"/>
              <w:rPr>
                <w:rFonts w:hint="default"/>
                <w:vertAlign w:val="baseline"/>
                <w:lang w:val="en-US" w:eastAsia="zh-CN"/>
              </w:rPr>
            </w:pPr>
            <w:r>
              <w:rPr>
                <w:rFonts w:hint="eastAsia"/>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vAlign w:val="center"/>
          </w:tcPr>
          <w:p>
            <w:pPr>
              <w:jc w:val="center"/>
              <w:rPr>
                <w:rFonts w:hint="default"/>
                <w:vertAlign w:val="baseline"/>
                <w:lang w:val="en-US" w:eastAsia="zh-CN"/>
              </w:rPr>
            </w:pPr>
          </w:p>
        </w:tc>
        <w:tc>
          <w:tcPr>
            <w:tcW w:w="6310" w:type="dxa"/>
            <w:vAlign w:val="center"/>
          </w:tcPr>
          <w:p>
            <w:pPr>
              <w:jc w:val="left"/>
              <w:rPr>
                <w:rFonts w:hint="default"/>
                <w:vertAlign w:val="baseline"/>
                <w:lang w:val="en-US" w:eastAsia="zh-CN"/>
              </w:rPr>
            </w:pPr>
            <w:r>
              <w:rPr>
                <w:rFonts w:hint="default"/>
                <w:vertAlign w:val="baseline"/>
                <w:lang w:val="en-US" w:eastAsia="zh-CN"/>
              </w:rPr>
              <w:t>省长质量奖</w:t>
            </w:r>
          </w:p>
        </w:tc>
        <w:tc>
          <w:tcPr>
            <w:tcW w:w="671" w:type="dxa"/>
            <w:vAlign w:val="center"/>
          </w:tcPr>
          <w:p>
            <w:pPr>
              <w:jc w:val="center"/>
              <w:rPr>
                <w:rFonts w:hint="default"/>
                <w:vertAlign w:val="baseline"/>
                <w:lang w:val="en-US" w:eastAsia="zh-CN"/>
              </w:rPr>
            </w:pPr>
            <w:r>
              <w:rPr>
                <w:rFonts w:hint="eastAsia"/>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vAlign w:val="center"/>
          </w:tcPr>
          <w:p>
            <w:pPr>
              <w:jc w:val="center"/>
              <w:rPr>
                <w:rFonts w:hint="default"/>
                <w:vertAlign w:val="baseline"/>
                <w:lang w:val="en-US" w:eastAsia="zh-CN"/>
              </w:rPr>
            </w:pPr>
          </w:p>
        </w:tc>
        <w:tc>
          <w:tcPr>
            <w:tcW w:w="6310" w:type="dxa"/>
            <w:vAlign w:val="center"/>
          </w:tcPr>
          <w:p>
            <w:pPr>
              <w:jc w:val="left"/>
              <w:rPr>
                <w:rFonts w:hint="default"/>
                <w:vertAlign w:val="baseline"/>
                <w:lang w:val="en-US" w:eastAsia="zh-CN"/>
              </w:rPr>
            </w:pPr>
            <w:r>
              <w:rPr>
                <w:rFonts w:hint="default"/>
                <w:vertAlign w:val="baseline"/>
                <w:lang w:val="en-US" w:eastAsia="zh-CN"/>
              </w:rPr>
              <w:t>省级建设主管部门颁发的工程质量奖</w:t>
            </w:r>
          </w:p>
        </w:tc>
        <w:tc>
          <w:tcPr>
            <w:tcW w:w="671" w:type="dxa"/>
            <w:vAlign w:val="center"/>
          </w:tcPr>
          <w:p>
            <w:pPr>
              <w:jc w:val="center"/>
              <w:rPr>
                <w:rFonts w:hint="default"/>
                <w:vertAlign w:val="baseline"/>
                <w:lang w:val="en-US" w:eastAsia="zh-CN"/>
              </w:rPr>
            </w:pPr>
            <w:r>
              <w:rPr>
                <w:rFonts w:hint="eastAsia"/>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restart"/>
            <w:vAlign w:val="center"/>
          </w:tcPr>
          <w:p>
            <w:pPr>
              <w:jc w:val="center"/>
              <w:rPr>
                <w:rFonts w:hint="default"/>
                <w:vertAlign w:val="baseline"/>
                <w:lang w:val="en-US" w:eastAsia="zh-CN"/>
              </w:rPr>
            </w:pPr>
            <w:r>
              <w:rPr>
                <w:rFonts w:hint="default"/>
                <w:vertAlign w:val="baseline"/>
                <w:lang w:val="en-US" w:eastAsia="zh-CN"/>
              </w:rPr>
              <w:t>一般性通报表彰</w:t>
            </w:r>
          </w:p>
        </w:tc>
        <w:tc>
          <w:tcPr>
            <w:tcW w:w="6310" w:type="dxa"/>
            <w:vAlign w:val="center"/>
          </w:tcPr>
          <w:p>
            <w:pPr>
              <w:jc w:val="left"/>
              <w:rPr>
                <w:rFonts w:hint="default"/>
                <w:vertAlign w:val="baseline"/>
                <w:lang w:val="en-US" w:eastAsia="zh-CN"/>
              </w:rPr>
            </w:pPr>
            <w:r>
              <w:rPr>
                <w:rFonts w:hint="default"/>
                <w:vertAlign w:val="baseline"/>
                <w:lang w:val="en-US" w:eastAsia="zh-CN"/>
              </w:rPr>
              <w:t>住房城乡建设部、省人民政府的表彰</w:t>
            </w:r>
          </w:p>
        </w:tc>
        <w:tc>
          <w:tcPr>
            <w:tcW w:w="671" w:type="dxa"/>
            <w:vAlign w:val="center"/>
          </w:tcPr>
          <w:p>
            <w:pPr>
              <w:jc w:val="center"/>
              <w:rPr>
                <w:rFonts w:hint="default"/>
                <w:vertAlign w:val="baseline"/>
                <w:lang w:val="en-US" w:eastAsia="zh-CN"/>
              </w:rPr>
            </w:pPr>
            <w:r>
              <w:rPr>
                <w:rFonts w:hint="eastAsia"/>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vAlign w:val="center"/>
          </w:tcPr>
          <w:p>
            <w:pPr>
              <w:jc w:val="center"/>
              <w:rPr>
                <w:rFonts w:hint="default"/>
                <w:vertAlign w:val="baseline"/>
                <w:lang w:val="en-US" w:eastAsia="zh-CN"/>
              </w:rPr>
            </w:pPr>
          </w:p>
        </w:tc>
        <w:tc>
          <w:tcPr>
            <w:tcW w:w="6310" w:type="dxa"/>
            <w:vAlign w:val="center"/>
          </w:tcPr>
          <w:p>
            <w:pPr>
              <w:jc w:val="left"/>
              <w:rPr>
                <w:rFonts w:hint="default"/>
                <w:vertAlign w:val="baseline"/>
                <w:lang w:val="en-US" w:eastAsia="zh-CN"/>
              </w:rPr>
            </w:pPr>
            <w:r>
              <w:rPr>
                <w:rFonts w:hint="default"/>
                <w:vertAlign w:val="baseline"/>
                <w:lang w:val="en-US" w:eastAsia="zh-CN"/>
              </w:rPr>
              <w:t>县级以上人民政府或住房城乡建设主管部门的表彰</w:t>
            </w:r>
          </w:p>
        </w:tc>
        <w:tc>
          <w:tcPr>
            <w:tcW w:w="671" w:type="dxa"/>
            <w:vAlign w:val="center"/>
          </w:tcPr>
          <w:p>
            <w:pPr>
              <w:jc w:val="center"/>
              <w:rPr>
                <w:rFonts w:hint="default"/>
                <w:vertAlign w:val="baseline"/>
                <w:lang w:val="en-US" w:eastAsia="zh-CN"/>
              </w:rPr>
            </w:pPr>
            <w:r>
              <w:rPr>
                <w:rFonts w:hint="eastAsia"/>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restart"/>
            <w:vAlign w:val="center"/>
          </w:tcPr>
          <w:p>
            <w:pPr>
              <w:jc w:val="center"/>
              <w:rPr>
                <w:rFonts w:hint="default"/>
                <w:vertAlign w:val="baseline"/>
                <w:lang w:val="en-US" w:eastAsia="zh-CN"/>
              </w:rPr>
            </w:pPr>
            <w:r>
              <w:rPr>
                <w:rFonts w:hint="default"/>
                <w:vertAlign w:val="baseline"/>
                <w:lang w:val="en-US" w:eastAsia="zh-CN"/>
              </w:rPr>
              <w:t>科技创新</w:t>
            </w:r>
          </w:p>
          <w:p>
            <w:pPr>
              <w:jc w:val="center"/>
              <w:rPr>
                <w:rFonts w:hint="default"/>
                <w:vertAlign w:val="baseline"/>
                <w:lang w:val="en-US" w:eastAsia="zh-CN"/>
              </w:rPr>
            </w:pPr>
            <w:r>
              <w:rPr>
                <w:rFonts w:hint="default"/>
                <w:vertAlign w:val="baseline"/>
                <w:lang w:val="en-US" w:eastAsia="zh-CN"/>
              </w:rPr>
              <w:t>（建筑类）</w:t>
            </w:r>
          </w:p>
        </w:tc>
        <w:tc>
          <w:tcPr>
            <w:tcW w:w="6310" w:type="dxa"/>
            <w:vAlign w:val="center"/>
          </w:tcPr>
          <w:p>
            <w:pPr>
              <w:jc w:val="left"/>
              <w:rPr>
                <w:rFonts w:hint="default"/>
                <w:vertAlign w:val="baseline"/>
                <w:lang w:val="en-US" w:eastAsia="zh-CN"/>
              </w:rPr>
            </w:pPr>
            <w:r>
              <w:rPr>
                <w:rFonts w:hint="default"/>
                <w:vertAlign w:val="baseline"/>
                <w:lang w:val="en-US" w:eastAsia="zh-CN"/>
              </w:rPr>
              <w:t>企业参与标准、定额、工法编制：（1）国家级；（2）省级。</w:t>
            </w:r>
          </w:p>
        </w:tc>
        <w:tc>
          <w:tcPr>
            <w:tcW w:w="671" w:type="dxa"/>
            <w:vAlign w:val="center"/>
          </w:tcPr>
          <w:p>
            <w:pPr>
              <w:jc w:val="center"/>
              <w:rPr>
                <w:rFonts w:hint="default"/>
                <w:vertAlign w:val="baseline"/>
                <w:lang w:val="en-US" w:eastAsia="zh-CN"/>
              </w:rPr>
            </w:pPr>
            <w:r>
              <w:rPr>
                <w:rFonts w:hint="eastAsia"/>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vAlign w:val="center"/>
          </w:tcPr>
          <w:p>
            <w:pPr>
              <w:jc w:val="center"/>
              <w:rPr>
                <w:rFonts w:hint="default"/>
                <w:vertAlign w:val="baseline"/>
                <w:lang w:val="en-US" w:eastAsia="zh-CN"/>
              </w:rPr>
            </w:pPr>
          </w:p>
        </w:tc>
        <w:tc>
          <w:tcPr>
            <w:tcW w:w="6310" w:type="dxa"/>
            <w:vAlign w:val="center"/>
          </w:tcPr>
          <w:p>
            <w:pPr>
              <w:jc w:val="left"/>
              <w:rPr>
                <w:rFonts w:hint="default"/>
                <w:vertAlign w:val="baseline"/>
                <w:lang w:val="en-US" w:eastAsia="zh-CN"/>
              </w:rPr>
            </w:pPr>
            <w:r>
              <w:rPr>
                <w:rFonts w:hint="default"/>
                <w:vertAlign w:val="baseline"/>
                <w:lang w:val="en-US" w:eastAsia="zh-CN"/>
              </w:rPr>
              <w:t>科技示范工程：（1）住房城乡建设部；（2）省级</w:t>
            </w:r>
          </w:p>
        </w:tc>
        <w:tc>
          <w:tcPr>
            <w:tcW w:w="671" w:type="dxa"/>
            <w:vAlign w:val="center"/>
          </w:tcPr>
          <w:p>
            <w:pPr>
              <w:jc w:val="center"/>
              <w:rPr>
                <w:rFonts w:hint="default"/>
                <w:vertAlign w:val="baseline"/>
                <w:lang w:val="en-US" w:eastAsia="zh-CN"/>
              </w:rPr>
            </w:pPr>
            <w:r>
              <w:rPr>
                <w:rFonts w:hint="eastAsia"/>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vAlign w:val="center"/>
          </w:tcPr>
          <w:p>
            <w:pPr>
              <w:jc w:val="center"/>
              <w:rPr>
                <w:rFonts w:hint="default"/>
                <w:vertAlign w:val="baseline"/>
                <w:lang w:val="en-US" w:eastAsia="zh-CN"/>
              </w:rPr>
            </w:pPr>
          </w:p>
        </w:tc>
        <w:tc>
          <w:tcPr>
            <w:tcW w:w="6310" w:type="dxa"/>
            <w:vAlign w:val="center"/>
          </w:tcPr>
          <w:p>
            <w:pPr>
              <w:jc w:val="left"/>
              <w:rPr>
                <w:rFonts w:hint="default"/>
                <w:vertAlign w:val="baseline"/>
                <w:lang w:val="en-US" w:eastAsia="zh-CN"/>
              </w:rPr>
            </w:pPr>
            <w:r>
              <w:rPr>
                <w:rFonts w:hint="default"/>
                <w:vertAlign w:val="baseline"/>
                <w:lang w:val="en-US" w:eastAsia="zh-CN"/>
              </w:rPr>
              <w:t>企业专利：（1）发明专利；（2）实用新型专利。</w:t>
            </w:r>
          </w:p>
        </w:tc>
        <w:tc>
          <w:tcPr>
            <w:tcW w:w="671" w:type="dxa"/>
            <w:vAlign w:val="center"/>
          </w:tcPr>
          <w:p>
            <w:pPr>
              <w:jc w:val="center"/>
              <w:rPr>
                <w:rFonts w:hint="default"/>
                <w:vertAlign w:val="baseline"/>
                <w:lang w:val="en-US" w:eastAsia="zh-CN"/>
              </w:rPr>
            </w:pPr>
            <w:r>
              <w:rPr>
                <w:rFonts w:hint="eastAsia"/>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vAlign w:val="center"/>
          </w:tcPr>
          <w:p>
            <w:pPr>
              <w:jc w:val="center"/>
              <w:rPr>
                <w:rFonts w:hint="default"/>
                <w:vertAlign w:val="baseline"/>
                <w:lang w:val="en-US" w:eastAsia="zh-CN"/>
              </w:rPr>
            </w:pPr>
          </w:p>
        </w:tc>
        <w:tc>
          <w:tcPr>
            <w:tcW w:w="6310" w:type="dxa"/>
            <w:vAlign w:val="center"/>
          </w:tcPr>
          <w:p>
            <w:pPr>
              <w:jc w:val="left"/>
              <w:rPr>
                <w:rFonts w:hint="default"/>
                <w:vertAlign w:val="baseline"/>
                <w:lang w:val="en-US" w:eastAsia="zh-CN"/>
              </w:rPr>
            </w:pPr>
            <w:r>
              <w:rPr>
                <w:rFonts w:hint="default"/>
                <w:vertAlign w:val="baseline"/>
                <w:lang w:val="en-US" w:eastAsia="zh-CN"/>
              </w:rPr>
              <w:t>企业科技开发或科技进步奖：（1）国家级；（2）省级科技成果或科技进步奖</w:t>
            </w:r>
          </w:p>
        </w:tc>
        <w:tc>
          <w:tcPr>
            <w:tcW w:w="671" w:type="dxa"/>
            <w:vAlign w:val="center"/>
          </w:tcPr>
          <w:p>
            <w:pPr>
              <w:jc w:val="center"/>
              <w:rPr>
                <w:rFonts w:hint="default"/>
                <w:vertAlign w:val="baseline"/>
                <w:lang w:val="en-US" w:eastAsia="zh-CN"/>
              </w:rPr>
            </w:pPr>
            <w:r>
              <w:rPr>
                <w:rFonts w:hint="eastAsia"/>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vAlign w:val="center"/>
          </w:tcPr>
          <w:p>
            <w:pPr>
              <w:jc w:val="center"/>
              <w:rPr>
                <w:rFonts w:hint="default"/>
                <w:vertAlign w:val="baseline"/>
                <w:lang w:val="en-US" w:eastAsia="zh-CN"/>
              </w:rPr>
            </w:pPr>
          </w:p>
        </w:tc>
        <w:tc>
          <w:tcPr>
            <w:tcW w:w="6310" w:type="dxa"/>
            <w:vAlign w:val="center"/>
          </w:tcPr>
          <w:p>
            <w:pPr>
              <w:jc w:val="left"/>
              <w:rPr>
                <w:rFonts w:hint="default"/>
                <w:vertAlign w:val="baseline"/>
                <w:lang w:val="en-US" w:eastAsia="zh-CN"/>
              </w:rPr>
            </w:pPr>
            <w:r>
              <w:rPr>
                <w:rFonts w:hint="default"/>
                <w:vertAlign w:val="baseline"/>
                <w:lang w:val="en-US" w:eastAsia="zh-CN"/>
              </w:rPr>
              <w:t>企业科技项目：（1）国家级；（2）省级。</w:t>
            </w:r>
          </w:p>
        </w:tc>
        <w:tc>
          <w:tcPr>
            <w:tcW w:w="671" w:type="dxa"/>
            <w:vAlign w:val="center"/>
          </w:tcPr>
          <w:p>
            <w:pPr>
              <w:jc w:val="center"/>
              <w:rPr>
                <w:rFonts w:hint="default"/>
                <w:vertAlign w:val="baseline"/>
                <w:lang w:val="en-US" w:eastAsia="zh-CN"/>
              </w:rPr>
            </w:pPr>
            <w:r>
              <w:rPr>
                <w:rFonts w:hint="eastAsia"/>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vAlign w:val="center"/>
          </w:tcPr>
          <w:p>
            <w:pPr>
              <w:jc w:val="center"/>
              <w:rPr>
                <w:rFonts w:hint="default"/>
                <w:vertAlign w:val="baseline"/>
                <w:lang w:val="en-US" w:eastAsia="zh-CN"/>
              </w:rPr>
            </w:pPr>
          </w:p>
        </w:tc>
        <w:tc>
          <w:tcPr>
            <w:tcW w:w="6310" w:type="dxa"/>
            <w:vAlign w:val="center"/>
          </w:tcPr>
          <w:p>
            <w:pPr>
              <w:jc w:val="left"/>
              <w:rPr>
                <w:rFonts w:hint="default"/>
                <w:vertAlign w:val="baseline"/>
                <w:lang w:val="en-US" w:eastAsia="zh-CN"/>
              </w:rPr>
            </w:pPr>
            <w:r>
              <w:rPr>
                <w:rFonts w:hint="default"/>
                <w:vertAlign w:val="baseline"/>
                <w:lang w:val="en-US" w:eastAsia="zh-CN"/>
              </w:rPr>
              <w:t>科研平台或企业技术中心：（1）国家级；（2）省级</w:t>
            </w:r>
          </w:p>
        </w:tc>
        <w:tc>
          <w:tcPr>
            <w:tcW w:w="671" w:type="dxa"/>
            <w:vAlign w:val="center"/>
          </w:tcPr>
          <w:p>
            <w:pPr>
              <w:jc w:val="center"/>
              <w:rPr>
                <w:rFonts w:hint="default"/>
                <w:vertAlign w:val="baseline"/>
                <w:lang w:val="en-US" w:eastAsia="zh-CN"/>
              </w:rPr>
            </w:pPr>
            <w:r>
              <w:rPr>
                <w:rFonts w:hint="eastAsia"/>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Align w:val="center"/>
          </w:tcPr>
          <w:p>
            <w:pPr>
              <w:jc w:val="center"/>
              <w:rPr>
                <w:rFonts w:hint="default"/>
                <w:vertAlign w:val="baseline"/>
                <w:lang w:val="en-US" w:eastAsia="zh-CN"/>
              </w:rPr>
            </w:pPr>
            <w:r>
              <w:rPr>
                <w:rFonts w:hint="default"/>
                <w:vertAlign w:val="baseline"/>
                <w:lang w:val="en-US" w:eastAsia="zh-CN"/>
              </w:rPr>
              <w:t>安全文明工地</w:t>
            </w:r>
          </w:p>
        </w:tc>
        <w:tc>
          <w:tcPr>
            <w:tcW w:w="6310" w:type="dxa"/>
            <w:vAlign w:val="center"/>
          </w:tcPr>
          <w:p>
            <w:pPr>
              <w:jc w:val="both"/>
              <w:rPr>
                <w:rFonts w:hint="default"/>
                <w:vertAlign w:val="baseline"/>
                <w:lang w:val="en-US" w:eastAsia="zh-CN"/>
              </w:rPr>
            </w:pPr>
            <w:r>
              <w:rPr>
                <w:rFonts w:hint="default"/>
                <w:vertAlign w:val="baseline"/>
                <w:lang w:val="en-US" w:eastAsia="zh-CN"/>
              </w:rPr>
              <w:t>（1）国家 AAA 级安全文明标准化工地；（2）省级安全文明工地；（3）市级安全文明工地</w:t>
            </w:r>
          </w:p>
        </w:tc>
        <w:tc>
          <w:tcPr>
            <w:tcW w:w="671" w:type="dxa"/>
            <w:vAlign w:val="center"/>
          </w:tcPr>
          <w:p>
            <w:pPr>
              <w:jc w:val="center"/>
              <w:rPr>
                <w:rFonts w:hint="default"/>
                <w:vertAlign w:val="baseline"/>
                <w:lang w:val="en-US" w:eastAsia="zh-CN"/>
              </w:rPr>
            </w:pPr>
            <w:r>
              <w:rPr>
                <w:rFonts w:hint="eastAsia"/>
                <w:vertAlign w:val="baseline"/>
                <w:lang w:val="en-US" w:eastAsia="zh-CN"/>
              </w:rPr>
              <w:t>3年</w:t>
            </w:r>
          </w:p>
        </w:tc>
      </w:tr>
    </w:tbl>
    <w:p>
      <w:pPr>
        <w:rPr>
          <w:rFonts w:hint="default"/>
          <w:lang w:val="en-US" w:eastAsia="zh-CN"/>
        </w:rPr>
      </w:pPr>
      <w:r>
        <w:rPr>
          <w:rFonts w:hint="default"/>
          <w:lang w:val="en-US" w:eastAsia="zh-CN"/>
        </w:rPr>
        <w:br w:type="page"/>
      </w:r>
    </w:p>
    <w:p>
      <w:pPr>
        <w:pStyle w:val="2"/>
        <w:rPr>
          <w:rFonts w:hint="default"/>
          <w:lang w:val="en-US" w:eastAsia="zh-CN"/>
        </w:rPr>
      </w:pPr>
      <w:r>
        <w:rPr>
          <w:rFonts w:hint="default"/>
          <w:lang w:val="en-US" w:eastAsia="zh-CN"/>
        </w:rPr>
        <w:t>附表 2</w:t>
      </w:r>
    </w:p>
    <w:p>
      <w:pPr>
        <w:jc w:val="center"/>
        <w:rPr>
          <w:rFonts w:hint="default"/>
          <w:b/>
          <w:bCs/>
          <w:lang w:val="en-US" w:eastAsia="zh-CN"/>
        </w:rPr>
      </w:pPr>
      <w:r>
        <w:rPr>
          <w:rFonts w:hint="default"/>
          <w:b/>
          <w:bCs/>
          <w:lang w:val="en-US" w:eastAsia="zh-CN"/>
        </w:rPr>
        <w:t>项目经理良好信用信息采集项</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612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Align w:val="center"/>
          </w:tcPr>
          <w:p>
            <w:pPr>
              <w:pStyle w:val="2"/>
              <w:ind w:left="0" w:leftChars="0" w:firstLine="0" w:firstLineChars="0"/>
              <w:jc w:val="center"/>
              <w:rPr>
                <w:rFonts w:hint="default"/>
                <w:sz w:val="21"/>
                <w:szCs w:val="21"/>
                <w:vertAlign w:val="baseline"/>
                <w:lang w:val="en-US" w:eastAsia="zh-CN"/>
              </w:rPr>
            </w:pPr>
            <w:r>
              <w:rPr>
                <w:rFonts w:hint="default"/>
                <w:sz w:val="21"/>
                <w:szCs w:val="21"/>
                <w:vertAlign w:val="baseline"/>
                <w:lang w:val="en-US" w:eastAsia="zh-CN"/>
              </w:rPr>
              <w:t>信用类别</w:t>
            </w:r>
          </w:p>
        </w:tc>
        <w:tc>
          <w:tcPr>
            <w:tcW w:w="6120" w:type="dxa"/>
            <w:vAlign w:val="center"/>
          </w:tcPr>
          <w:p>
            <w:pPr>
              <w:pStyle w:val="2"/>
              <w:ind w:left="0" w:leftChars="0" w:firstLine="0" w:firstLineChars="0"/>
              <w:jc w:val="center"/>
              <w:rPr>
                <w:rFonts w:hint="default"/>
                <w:sz w:val="21"/>
                <w:szCs w:val="21"/>
                <w:vertAlign w:val="baseline"/>
                <w:lang w:val="en-US" w:eastAsia="zh-CN"/>
              </w:rPr>
            </w:pPr>
            <w:r>
              <w:rPr>
                <w:rFonts w:hint="default"/>
                <w:sz w:val="21"/>
                <w:szCs w:val="21"/>
                <w:vertAlign w:val="baseline"/>
                <w:lang w:val="en-US" w:eastAsia="zh-CN"/>
              </w:rPr>
              <w:t>良好信用</w:t>
            </w:r>
          </w:p>
        </w:tc>
        <w:tc>
          <w:tcPr>
            <w:tcW w:w="1041" w:type="dxa"/>
            <w:vAlign w:val="center"/>
          </w:tcPr>
          <w:p>
            <w:pPr>
              <w:pStyle w:val="2"/>
              <w:ind w:left="0" w:leftChars="0" w:firstLine="0" w:firstLineChars="0"/>
              <w:jc w:val="center"/>
              <w:rPr>
                <w:rFonts w:hint="default"/>
                <w:sz w:val="21"/>
                <w:szCs w:val="21"/>
                <w:vertAlign w:val="baseline"/>
                <w:lang w:val="en-US" w:eastAsia="zh-CN"/>
              </w:rPr>
            </w:pPr>
            <w:r>
              <w:rPr>
                <w:rFonts w:hint="default"/>
                <w:sz w:val="21"/>
                <w:szCs w:val="21"/>
                <w:vertAlign w:val="baseline"/>
                <w:lang w:val="en-US" w:eastAsia="zh-CN"/>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vAlign w:val="center"/>
          </w:tcPr>
          <w:p>
            <w:pPr>
              <w:pStyle w:val="2"/>
              <w:ind w:left="0" w:leftChars="0" w:firstLine="0" w:firstLineChars="0"/>
              <w:jc w:val="both"/>
              <w:rPr>
                <w:rFonts w:hint="default"/>
                <w:sz w:val="21"/>
                <w:szCs w:val="21"/>
                <w:vertAlign w:val="baseline"/>
                <w:lang w:val="en-US" w:eastAsia="zh-CN"/>
              </w:rPr>
            </w:pPr>
            <w:r>
              <w:rPr>
                <w:rFonts w:hint="default"/>
                <w:sz w:val="21"/>
                <w:szCs w:val="21"/>
                <w:vertAlign w:val="baseline"/>
                <w:lang w:val="en-US" w:eastAsia="zh-CN"/>
              </w:rPr>
              <w:t>奖励荣誉</w:t>
            </w:r>
          </w:p>
        </w:tc>
        <w:tc>
          <w:tcPr>
            <w:tcW w:w="6120" w:type="dxa"/>
            <w:vAlign w:val="center"/>
          </w:tcPr>
          <w:p>
            <w:pPr>
              <w:pStyle w:val="2"/>
              <w:ind w:left="0" w:leftChars="0" w:firstLine="0" w:firstLineChars="0"/>
              <w:jc w:val="both"/>
              <w:rPr>
                <w:rFonts w:hint="default"/>
                <w:sz w:val="21"/>
                <w:szCs w:val="21"/>
                <w:vertAlign w:val="baseline"/>
                <w:lang w:val="en-US" w:eastAsia="zh-CN"/>
              </w:rPr>
            </w:pPr>
            <w:r>
              <w:rPr>
                <w:rFonts w:hint="default"/>
                <w:sz w:val="21"/>
                <w:szCs w:val="21"/>
                <w:vertAlign w:val="baseline"/>
                <w:lang w:val="en-US" w:eastAsia="zh-CN"/>
              </w:rPr>
              <w:t>国家级奖项/荣誉（包括鲁班奖、詹天佑奖、梁思成奖、华夏建设科学技术奖、绿色建筑创新奖、全国建筑工程装饰奖、中国建筑工程“钢结构金奖”、工程项目管理优秀奖、工程总承包奖等）、国家 AAA 级安全文明工地奖。</w:t>
            </w:r>
          </w:p>
        </w:tc>
        <w:tc>
          <w:tcPr>
            <w:tcW w:w="1041" w:type="dxa"/>
            <w:vAlign w:val="center"/>
          </w:tcPr>
          <w:p>
            <w:pPr>
              <w:jc w:val="center"/>
              <w:rPr>
                <w:rFonts w:hint="default"/>
                <w:sz w:val="21"/>
                <w:szCs w:val="21"/>
                <w:vertAlign w:val="baseline"/>
                <w:lang w:val="en-US" w:eastAsia="zh-CN"/>
              </w:rPr>
            </w:pPr>
            <w:r>
              <w:rPr>
                <w:rFonts w:hint="eastAsia"/>
                <w:sz w:val="21"/>
                <w:szCs w:val="21"/>
              </w:rPr>
              <w:t>3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vAlign w:val="center"/>
          </w:tcPr>
          <w:p>
            <w:pPr>
              <w:pStyle w:val="2"/>
              <w:jc w:val="center"/>
              <w:rPr>
                <w:rFonts w:hint="default"/>
                <w:sz w:val="21"/>
                <w:szCs w:val="21"/>
                <w:vertAlign w:val="baseline"/>
                <w:lang w:val="en-US" w:eastAsia="zh-CN"/>
              </w:rPr>
            </w:pPr>
          </w:p>
        </w:tc>
        <w:tc>
          <w:tcPr>
            <w:tcW w:w="6120" w:type="dxa"/>
            <w:vAlign w:val="center"/>
          </w:tcPr>
          <w:p>
            <w:pPr>
              <w:pStyle w:val="2"/>
              <w:ind w:left="0" w:leftChars="0" w:firstLine="0" w:firstLineChars="0"/>
              <w:jc w:val="both"/>
              <w:rPr>
                <w:rFonts w:hint="default"/>
                <w:sz w:val="21"/>
                <w:szCs w:val="21"/>
                <w:vertAlign w:val="baseline"/>
                <w:lang w:val="en-US" w:eastAsia="zh-CN"/>
              </w:rPr>
            </w:pPr>
            <w:r>
              <w:rPr>
                <w:rFonts w:hint="default"/>
                <w:sz w:val="21"/>
                <w:szCs w:val="21"/>
                <w:vertAlign w:val="baseline"/>
                <w:lang w:val="en-US" w:eastAsia="zh-CN"/>
              </w:rPr>
              <w:t>省部级奖项/荣誉（中州杯等）、省安全文明标准化工地奖</w:t>
            </w:r>
          </w:p>
        </w:tc>
        <w:tc>
          <w:tcPr>
            <w:tcW w:w="1041" w:type="dxa"/>
            <w:vAlign w:val="center"/>
          </w:tcPr>
          <w:p>
            <w:pPr>
              <w:jc w:val="center"/>
              <w:rPr>
                <w:rFonts w:hint="default"/>
                <w:sz w:val="21"/>
                <w:szCs w:val="21"/>
                <w:vertAlign w:val="baseline"/>
                <w:lang w:val="en-US" w:eastAsia="zh-CN"/>
              </w:rPr>
            </w:pPr>
            <w:r>
              <w:rPr>
                <w:rFonts w:hint="eastAsia"/>
                <w:sz w:val="21"/>
                <w:szCs w:val="21"/>
              </w:rPr>
              <w:t>3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vAlign w:val="center"/>
          </w:tcPr>
          <w:p>
            <w:pPr>
              <w:pStyle w:val="2"/>
              <w:jc w:val="center"/>
              <w:rPr>
                <w:rFonts w:hint="default"/>
                <w:sz w:val="21"/>
                <w:szCs w:val="21"/>
                <w:vertAlign w:val="baseline"/>
                <w:lang w:val="en-US" w:eastAsia="zh-CN"/>
              </w:rPr>
            </w:pPr>
          </w:p>
        </w:tc>
        <w:tc>
          <w:tcPr>
            <w:tcW w:w="6120" w:type="dxa"/>
            <w:vAlign w:val="center"/>
          </w:tcPr>
          <w:p>
            <w:pPr>
              <w:pStyle w:val="2"/>
              <w:ind w:left="0" w:leftChars="0" w:firstLine="0" w:firstLineChars="0"/>
              <w:jc w:val="both"/>
              <w:rPr>
                <w:rFonts w:hint="default"/>
                <w:sz w:val="21"/>
                <w:szCs w:val="21"/>
                <w:vertAlign w:val="baseline"/>
                <w:lang w:val="en-US" w:eastAsia="zh-CN"/>
              </w:rPr>
            </w:pPr>
            <w:r>
              <w:rPr>
                <w:rFonts w:hint="default"/>
                <w:sz w:val="21"/>
                <w:szCs w:val="21"/>
                <w:vertAlign w:val="baseline"/>
                <w:lang w:val="en-US" w:eastAsia="zh-CN"/>
              </w:rPr>
              <w:t>市级奖项/荣誉（商鼎杯等）、安全文明标准化工地奖</w:t>
            </w:r>
          </w:p>
        </w:tc>
        <w:tc>
          <w:tcPr>
            <w:tcW w:w="1041" w:type="dxa"/>
            <w:vAlign w:val="center"/>
          </w:tcPr>
          <w:p>
            <w:pPr>
              <w:jc w:val="center"/>
              <w:rPr>
                <w:rFonts w:hint="default"/>
                <w:sz w:val="21"/>
                <w:szCs w:val="21"/>
                <w:vertAlign w:val="baseline"/>
                <w:lang w:val="en-US" w:eastAsia="zh-CN"/>
              </w:rPr>
            </w:pPr>
            <w:r>
              <w:rPr>
                <w:rFonts w:hint="eastAsia"/>
                <w:sz w:val="21"/>
                <w:szCs w:val="21"/>
              </w:rPr>
              <w:t>3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vAlign w:val="center"/>
          </w:tcPr>
          <w:p>
            <w:pPr>
              <w:pStyle w:val="2"/>
              <w:ind w:left="0" w:leftChars="0" w:firstLine="0" w:firstLineChars="0"/>
              <w:jc w:val="both"/>
              <w:rPr>
                <w:rFonts w:hint="default"/>
                <w:sz w:val="21"/>
                <w:szCs w:val="21"/>
                <w:vertAlign w:val="baseline"/>
                <w:lang w:val="en-US" w:eastAsia="zh-CN"/>
              </w:rPr>
            </w:pPr>
            <w:r>
              <w:rPr>
                <w:rFonts w:hint="default"/>
                <w:sz w:val="21"/>
                <w:szCs w:val="21"/>
                <w:vertAlign w:val="baseline"/>
                <w:lang w:val="en-US" w:eastAsia="zh-CN"/>
              </w:rPr>
              <w:t>科技创新（建筑类）</w:t>
            </w:r>
          </w:p>
        </w:tc>
        <w:tc>
          <w:tcPr>
            <w:tcW w:w="6120" w:type="dxa"/>
            <w:vAlign w:val="center"/>
          </w:tcPr>
          <w:p>
            <w:pPr>
              <w:pStyle w:val="2"/>
              <w:ind w:left="0" w:leftChars="0" w:firstLine="0" w:firstLineChars="0"/>
              <w:jc w:val="both"/>
              <w:rPr>
                <w:rFonts w:hint="default"/>
                <w:sz w:val="21"/>
                <w:szCs w:val="21"/>
                <w:vertAlign w:val="baseline"/>
                <w:lang w:val="en-US" w:eastAsia="zh-CN"/>
              </w:rPr>
            </w:pPr>
            <w:r>
              <w:rPr>
                <w:rFonts w:hint="default"/>
                <w:sz w:val="21"/>
                <w:szCs w:val="21"/>
                <w:vertAlign w:val="baseline"/>
                <w:lang w:val="en-US" w:eastAsia="zh-CN"/>
              </w:rPr>
              <w:t>发明专利，包括发明型专利、实用新型专利</w:t>
            </w:r>
          </w:p>
        </w:tc>
        <w:tc>
          <w:tcPr>
            <w:tcW w:w="1041" w:type="dxa"/>
            <w:vAlign w:val="center"/>
          </w:tcPr>
          <w:p>
            <w:pPr>
              <w:jc w:val="center"/>
              <w:rPr>
                <w:rFonts w:hint="default"/>
                <w:sz w:val="21"/>
                <w:szCs w:val="21"/>
                <w:vertAlign w:val="baseline"/>
                <w:lang w:val="en-US" w:eastAsia="zh-CN"/>
              </w:rPr>
            </w:pPr>
            <w:r>
              <w:rPr>
                <w:rFonts w:hint="eastAsia"/>
                <w:sz w:val="21"/>
                <w:szCs w:val="21"/>
              </w:rPr>
              <w:t>3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vAlign w:val="center"/>
          </w:tcPr>
          <w:p>
            <w:pPr>
              <w:pStyle w:val="2"/>
              <w:jc w:val="center"/>
              <w:rPr>
                <w:rFonts w:hint="default"/>
                <w:sz w:val="21"/>
                <w:szCs w:val="21"/>
                <w:vertAlign w:val="baseline"/>
                <w:lang w:val="en-US" w:eastAsia="zh-CN"/>
              </w:rPr>
            </w:pPr>
          </w:p>
        </w:tc>
        <w:tc>
          <w:tcPr>
            <w:tcW w:w="6120" w:type="dxa"/>
            <w:vAlign w:val="center"/>
          </w:tcPr>
          <w:p>
            <w:pPr>
              <w:pStyle w:val="2"/>
              <w:ind w:left="0" w:leftChars="0" w:firstLine="0" w:firstLineChars="0"/>
              <w:jc w:val="both"/>
              <w:rPr>
                <w:rFonts w:hint="default"/>
                <w:sz w:val="21"/>
                <w:szCs w:val="21"/>
                <w:vertAlign w:val="baseline"/>
                <w:lang w:val="en-US" w:eastAsia="zh-CN"/>
              </w:rPr>
            </w:pPr>
            <w:r>
              <w:rPr>
                <w:rFonts w:hint="default"/>
                <w:sz w:val="21"/>
                <w:szCs w:val="21"/>
                <w:vertAlign w:val="baseline"/>
                <w:lang w:val="en-US" w:eastAsia="zh-CN"/>
              </w:rPr>
              <w:t>参与工法编制，包括国家级和省部级</w:t>
            </w:r>
          </w:p>
        </w:tc>
        <w:tc>
          <w:tcPr>
            <w:tcW w:w="1041" w:type="dxa"/>
            <w:vAlign w:val="center"/>
          </w:tcPr>
          <w:p>
            <w:pPr>
              <w:jc w:val="center"/>
              <w:rPr>
                <w:rFonts w:hint="default"/>
                <w:sz w:val="21"/>
                <w:szCs w:val="21"/>
                <w:vertAlign w:val="baseline"/>
                <w:lang w:val="en-US" w:eastAsia="zh-CN"/>
              </w:rPr>
            </w:pPr>
            <w:r>
              <w:rPr>
                <w:rFonts w:hint="eastAsia"/>
                <w:sz w:val="21"/>
                <w:szCs w:val="21"/>
              </w:rPr>
              <w:t>3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vAlign w:val="center"/>
          </w:tcPr>
          <w:p>
            <w:pPr>
              <w:pStyle w:val="2"/>
              <w:jc w:val="center"/>
              <w:rPr>
                <w:rFonts w:hint="default"/>
                <w:sz w:val="21"/>
                <w:szCs w:val="21"/>
                <w:vertAlign w:val="baseline"/>
                <w:lang w:val="en-US" w:eastAsia="zh-CN"/>
              </w:rPr>
            </w:pPr>
          </w:p>
        </w:tc>
        <w:tc>
          <w:tcPr>
            <w:tcW w:w="6120" w:type="dxa"/>
            <w:vAlign w:val="center"/>
          </w:tcPr>
          <w:p>
            <w:pPr>
              <w:pStyle w:val="2"/>
              <w:ind w:left="0" w:leftChars="0" w:firstLine="0" w:firstLineChars="0"/>
              <w:jc w:val="both"/>
              <w:rPr>
                <w:rFonts w:hint="default"/>
                <w:sz w:val="21"/>
                <w:szCs w:val="21"/>
                <w:vertAlign w:val="baseline"/>
                <w:lang w:val="en-US" w:eastAsia="zh-CN"/>
              </w:rPr>
            </w:pPr>
            <w:r>
              <w:rPr>
                <w:rFonts w:hint="default"/>
                <w:sz w:val="21"/>
                <w:szCs w:val="21"/>
                <w:vertAlign w:val="baseline"/>
                <w:lang w:val="en-US" w:eastAsia="zh-CN"/>
              </w:rPr>
              <w:t>参与工程建设标准、定额制定，包括国家或行业标准、定额、地方（省级）标准、定额。</w:t>
            </w:r>
          </w:p>
        </w:tc>
        <w:tc>
          <w:tcPr>
            <w:tcW w:w="1041" w:type="dxa"/>
            <w:vAlign w:val="center"/>
          </w:tcPr>
          <w:p>
            <w:pPr>
              <w:jc w:val="center"/>
              <w:rPr>
                <w:rFonts w:hint="default"/>
                <w:sz w:val="21"/>
                <w:szCs w:val="21"/>
                <w:vertAlign w:val="baseline"/>
                <w:lang w:val="en-US" w:eastAsia="zh-CN"/>
              </w:rPr>
            </w:pPr>
            <w:r>
              <w:rPr>
                <w:rFonts w:hint="eastAsia"/>
                <w:sz w:val="21"/>
                <w:szCs w:val="21"/>
              </w:rPr>
              <w:t>3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vAlign w:val="center"/>
          </w:tcPr>
          <w:p>
            <w:pPr>
              <w:pStyle w:val="2"/>
              <w:jc w:val="center"/>
              <w:rPr>
                <w:rFonts w:hint="default"/>
                <w:sz w:val="21"/>
                <w:szCs w:val="21"/>
                <w:vertAlign w:val="baseline"/>
                <w:lang w:val="en-US" w:eastAsia="zh-CN"/>
              </w:rPr>
            </w:pPr>
          </w:p>
        </w:tc>
        <w:tc>
          <w:tcPr>
            <w:tcW w:w="6120" w:type="dxa"/>
            <w:vAlign w:val="center"/>
          </w:tcPr>
          <w:p>
            <w:pPr>
              <w:pStyle w:val="2"/>
              <w:ind w:left="0" w:leftChars="0" w:firstLine="0" w:firstLineChars="0"/>
              <w:jc w:val="both"/>
              <w:rPr>
                <w:rFonts w:hint="default"/>
                <w:sz w:val="21"/>
                <w:szCs w:val="21"/>
                <w:vertAlign w:val="baseline"/>
                <w:lang w:val="en-US" w:eastAsia="zh-CN"/>
              </w:rPr>
            </w:pPr>
            <w:r>
              <w:rPr>
                <w:rFonts w:hint="default"/>
                <w:sz w:val="21"/>
                <w:szCs w:val="21"/>
                <w:vertAlign w:val="baseline"/>
                <w:lang w:val="en-US" w:eastAsia="zh-CN"/>
              </w:rPr>
              <w:t>个人获得科技进步奖，包括国家级科技进步奖一等奖、二等奖，省级科技进步奖一等奖、二等奖、厅级科技进步奖等。</w:t>
            </w:r>
          </w:p>
        </w:tc>
        <w:tc>
          <w:tcPr>
            <w:tcW w:w="1041" w:type="dxa"/>
            <w:vAlign w:val="center"/>
          </w:tcPr>
          <w:p>
            <w:pPr>
              <w:jc w:val="center"/>
              <w:rPr>
                <w:rFonts w:hint="default"/>
                <w:sz w:val="21"/>
                <w:szCs w:val="21"/>
                <w:vertAlign w:val="baseline"/>
                <w:lang w:val="en-US" w:eastAsia="zh-CN"/>
              </w:rPr>
            </w:pPr>
            <w:r>
              <w:rPr>
                <w:rFonts w:hint="eastAsia"/>
                <w:sz w:val="21"/>
                <w:szCs w:val="21"/>
              </w:rPr>
              <w:t>3 年</w:t>
            </w:r>
          </w:p>
        </w:tc>
      </w:tr>
    </w:tbl>
    <w:p>
      <w:pPr>
        <w:pStyle w:val="2"/>
        <w:rPr>
          <w:rFonts w:hint="default"/>
          <w:lang w:val="en-US" w:eastAsia="zh-CN"/>
        </w:rPr>
      </w:pPr>
    </w:p>
    <w:p>
      <w:pPr>
        <w:rPr>
          <w:rFonts w:hint="default"/>
          <w:sz w:val="24"/>
          <w:szCs w:val="24"/>
          <w:lang w:val="en-US" w:eastAsia="zh-CN"/>
        </w:rPr>
      </w:pPr>
      <w:r>
        <w:rPr>
          <w:rFonts w:hint="default"/>
          <w:sz w:val="24"/>
          <w:szCs w:val="24"/>
          <w:lang w:val="en-US" w:eastAsia="zh-CN"/>
        </w:rPr>
        <w:t>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1．评标委员会完成对技术标、商务标和综合标的汇总后，取平均值作为该投标人的最终得分。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2．综合评分相等时，以技术标得分由高到低顺序推荐；若技术标得分也相等的，由招标人自行确定。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3. 计算分值均保留两位小数。如出现两家投标人并列最高分，则取消四舍五入，比较两家第三位小数。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sz w:val="24"/>
          <w:szCs w:val="24"/>
          <w:lang w:val="en-US" w:eastAsia="zh-CN"/>
        </w:rPr>
        <w:t>4. 评标委员会完成评标后，应向招标单位提出书面评标报告，推荐中标候选人，招标人应当从评标委员会推荐的中标候选人中确定中标人。原则上应当确定排名第一的中标候选人为中标人。排名第一的中标候选人放弃中标、未能在招标文件规定期限内提交履约保证金、因不可抗力提出不能履行合同或者出现其他无法签订合同的情形，招标人可以确定排名第二的中标候选人为中标人，也可重新招标；未尽事宜执行相关法律法规的规定。</w:t>
      </w:r>
    </w:p>
    <w:p>
      <w:pPr>
        <w:numPr>
          <w:ilvl w:val="0"/>
          <w:numId w:val="1"/>
        </w:numPr>
        <w:spacing w:line="480" w:lineRule="exact"/>
        <w:jc w:val="center"/>
        <w:rPr>
          <w:rFonts w:ascii="宋体" w:hAnsi="宋体" w:cs="宋体"/>
          <w:vanish/>
          <w:sz w:val="28"/>
          <w:szCs w:val="28"/>
          <w:lang w:bidi="zh-CN"/>
        </w:rPr>
      </w:pPr>
    </w:p>
    <w:p>
      <w:pPr>
        <w:spacing w:line="360" w:lineRule="auto"/>
        <w:rPr>
          <w:rFonts w:ascii="宋体" w:hAnsi="宋体" w:cs="宋体"/>
          <w:b/>
          <w:color w:val="000000"/>
          <w:sz w:val="24"/>
        </w:rPr>
      </w:pPr>
      <w:bookmarkStart w:id="317" w:name="_Toc306975707"/>
      <w:bookmarkStart w:id="318" w:name="_Toc232324912"/>
      <w:bookmarkStart w:id="319" w:name="_Toc184635093"/>
      <w:bookmarkStart w:id="320" w:name="_Toc260155447"/>
      <w:r>
        <w:rPr>
          <w:rFonts w:hint="eastAsia" w:ascii="宋体" w:hAnsi="宋体" w:cs="宋体"/>
          <w:sz w:val="24"/>
        </w:rPr>
        <w:t>1、评标方法</w:t>
      </w:r>
      <w:bookmarkEnd w:id="317"/>
      <w:bookmarkEnd w:id="318"/>
      <w:bookmarkEnd w:id="319"/>
      <w:bookmarkEnd w:id="320"/>
    </w:p>
    <w:p>
      <w:pPr>
        <w:spacing w:line="360" w:lineRule="auto"/>
        <w:ind w:firstLine="480" w:firstLineChars="200"/>
        <w:rPr>
          <w:rFonts w:ascii="宋体" w:hAnsi="宋体" w:cs="宋体"/>
          <w:sz w:val="24"/>
        </w:rPr>
      </w:pPr>
      <w:r>
        <w:rPr>
          <w:rFonts w:hint="eastAsia" w:ascii="宋体" w:hAnsi="宋体" w:cs="宋体"/>
          <w:sz w:val="24"/>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7"/>
        <w:spacing w:line="540" w:lineRule="exact"/>
        <w:rPr>
          <w:rFonts w:ascii="宋体" w:hAnsi="宋体" w:cs="宋体"/>
          <w:b w:val="0"/>
          <w:sz w:val="24"/>
          <w:szCs w:val="24"/>
        </w:rPr>
      </w:pPr>
      <w:bookmarkStart w:id="321" w:name="_Toc232324913"/>
      <w:bookmarkStart w:id="322" w:name="_Toc16960"/>
      <w:bookmarkStart w:id="323" w:name="_Toc306975708"/>
      <w:bookmarkStart w:id="324" w:name="_Toc31477"/>
      <w:bookmarkStart w:id="325" w:name="_Toc184635094"/>
      <w:bookmarkStart w:id="326" w:name="_Toc260155448"/>
      <w:bookmarkStart w:id="327" w:name="_Toc25582"/>
      <w:r>
        <w:rPr>
          <w:rFonts w:hint="eastAsia" w:ascii="宋体" w:hAnsi="宋体" w:cs="宋体"/>
          <w:b w:val="0"/>
          <w:sz w:val="24"/>
          <w:szCs w:val="24"/>
        </w:rPr>
        <w:t>2、评审标准</w:t>
      </w:r>
      <w:bookmarkEnd w:id="321"/>
      <w:bookmarkEnd w:id="322"/>
      <w:bookmarkEnd w:id="323"/>
      <w:bookmarkEnd w:id="324"/>
      <w:bookmarkEnd w:id="325"/>
      <w:bookmarkEnd w:id="326"/>
      <w:bookmarkEnd w:id="327"/>
    </w:p>
    <w:p>
      <w:pPr>
        <w:pStyle w:val="8"/>
        <w:spacing w:line="540" w:lineRule="exact"/>
        <w:rPr>
          <w:rFonts w:ascii="宋体" w:hAnsi="宋体" w:eastAsia="宋体" w:cs="宋体"/>
          <w:b w:val="0"/>
          <w:sz w:val="24"/>
          <w:szCs w:val="24"/>
        </w:rPr>
      </w:pPr>
      <w:r>
        <w:rPr>
          <w:rFonts w:hint="eastAsia" w:ascii="宋体" w:hAnsi="宋体" w:eastAsia="宋体" w:cs="宋体"/>
          <w:b w:val="0"/>
          <w:sz w:val="24"/>
          <w:szCs w:val="24"/>
        </w:rPr>
        <w:t>2.1 初步评审标准</w:t>
      </w:r>
    </w:p>
    <w:p>
      <w:pPr>
        <w:spacing w:line="520" w:lineRule="exact"/>
        <w:ind w:firstLine="480" w:firstLineChars="200"/>
        <w:rPr>
          <w:rFonts w:ascii="宋体" w:hAnsi="宋体" w:cs="宋体"/>
          <w:sz w:val="24"/>
        </w:rPr>
      </w:pPr>
      <w:r>
        <w:rPr>
          <w:rFonts w:hint="eastAsia" w:ascii="宋体" w:hAnsi="宋体" w:cs="宋体"/>
          <w:sz w:val="24"/>
        </w:rPr>
        <w:t>2.1.1 形式评审标准：见评标办法前附表。</w:t>
      </w:r>
    </w:p>
    <w:p>
      <w:pPr>
        <w:spacing w:line="520" w:lineRule="exact"/>
        <w:ind w:firstLine="480" w:firstLineChars="200"/>
        <w:rPr>
          <w:rFonts w:ascii="宋体" w:hAnsi="宋体" w:cs="宋体"/>
          <w:sz w:val="24"/>
        </w:rPr>
      </w:pPr>
      <w:r>
        <w:rPr>
          <w:rFonts w:hint="eastAsia" w:ascii="宋体" w:hAnsi="宋体" w:cs="宋体"/>
          <w:sz w:val="24"/>
        </w:rPr>
        <w:t>2.1.2 资格评审标准：见评标办法前附表。</w:t>
      </w:r>
    </w:p>
    <w:p>
      <w:pPr>
        <w:spacing w:line="540" w:lineRule="exact"/>
        <w:ind w:firstLine="480" w:firstLineChars="200"/>
        <w:rPr>
          <w:rFonts w:ascii="宋体" w:hAnsi="宋体" w:cs="宋体"/>
          <w:sz w:val="24"/>
        </w:rPr>
      </w:pPr>
      <w:r>
        <w:rPr>
          <w:rFonts w:hint="eastAsia" w:ascii="宋体" w:hAnsi="宋体" w:cs="宋体"/>
          <w:sz w:val="24"/>
        </w:rPr>
        <w:t>2.1.3 响应性评审标准：见评标办法前附表。</w:t>
      </w:r>
    </w:p>
    <w:p>
      <w:pPr>
        <w:pStyle w:val="8"/>
        <w:spacing w:line="540" w:lineRule="exact"/>
        <w:rPr>
          <w:rFonts w:ascii="宋体" w:hAnsi="宋体" w:eastAsia="宋体" w:cs="宋体"/>
          <w:b w:val="0"/>
          <w:sz w:val="24"/>
          <w:szCs w:val="24"/>
        </w:rPr>
      </w:pPr>
      <w:r>
        <w:rPr>
          <w:rFonts w:hint="eastAsia" w:ascii="宋体" w:hAnsi="宋体" w:eastAsia="宋体" w:cs="宋体"/>
          <w:b w:val="0"/>
          <w:sz w:val="24"/>
          <w:szCs w:val="24"/>
        </w:rPr>
        <w:t>2.2 分值构成与评分标准</w:t>
      </w:r>
    </w:p>
    <w:p>
      <w:pPr>
        <w:spacing w:line="540" w:lineRule="exact"/>
        <w:ind w:firstLine="480" w:firstLineChars="200"/>
        <w:rPr>
          <w:rFonts w:ascii="宋体" w:hAnsi="宋体" w:cs="宋体"/>
          <w:sz w:val="24"/>
        </w:rPr>
      </w:pPr>
      <w:r>
        <w:rPr>
          <w:rFonts w:hint="eastAsia" w:ascii="宋体" w:hAnsi="宋体" w:cs="宋体"/>
          <w:sz w:val="24"/>
        </w:rPr>
        <w:t>2.2.1 分值构成</w:t>
      </w:r>
    </w:p>
    <w:p>
      <w:pPr>
        <w:spacing w:line="520" w:lineRule="exact"/>
        <w:ind w:firstLine="480" w:firstLineChars="200"/>
        <w:rPr>
          <w:rFonts w:ascii="宋体" w:hAnsi="宋体" w:cs="宋体"/>
          <w:sz w:val="24"/>
        </w:rPr>
      </w:pPr>
      <w:r>
        <w:rPr>
          <w:rFonts w:hint="eastAsia" w:ascii="宋体" w:hAnsi="宋体" w:cs="宋体"/>
          <w:sz w:val="24"/>
        </w:rPr>
        <w:t>(l）</w:t>
      </w:r>
      <w:r>
        <w:rPr>
          <w:rFonts w:hint="eastAsia"/>
          <w:sz w:val="24"/>
        </w:rPr>
        <w:t>承包人建议书</w:t>
      </w:r>
      <w:r>
        <w:rPr>
          <w:rFonts w:hint="eastAsia" w:ascii="宋体" w:hAnsi="宋体" w:cs="宋体"/>
          <w:sz w:val="24"/>
        </w:rPr>
        <w:t>：见评标办法前附表；</w:t>
      </w:r>
    </w:p>
    <w:p>
      <w:pPr>
        <w:spacing w:line="520" w:lineRule="exact"/>
        <w:ind w:firstLine="480" w:firstLineChars="200"/>
        <w:rPr>
          <w:rFonts w:ascii="宋体" w:hAnsi="宋体" w:cs="宋体"/>
          <w:sz w:val="24"/>
        </w:rPr>
      </w:pPr>
      <w:r>
        <w:rPr>
          <w:rFonts w:hint="eastAsia" w:ascii="宋体" w:hAnsi="宋体" w:cs="宋体"/>
          <w:sz w:val="24"/>
        </w:rPr>
        <w:t>(2）</w:t>
      </w:r>
      <w:r>
        <w:rPr>
          <w:rFonts w:hint="eastAsia"/>
          <w:sz w:val="24"/>
        </w:rPr>
        <w:t>承包人实施方案</w:t>
      </w:r>
      <w:r>
        <w:rPr>
          <w:rFonts w:hint="eastAsia" w:ascii="宋体" w:hAnsi="宋体" w:cs="宋体"/>
          <w:sz w:val="24"/>
        </w:rPr>
        <w:t>：见评标办法前附表；</w:t>
      </w:r>
    </w:p>
    <w:p>
      <w:pPr>
        <w:spacing w:line="520" w:lineRule="exact"/>
        <w:ind w:firstLine="480" w:firstLineChars="200"/>
        <w:rPr>
          <w:rFonts w:ascii="宋体" w:hAnsi="宋体" w:cs="宋体"/>
          <w:sz w:val="24"/>
        </w:rPr>
      </w:pPr>
      <w:r>
        <w:rPr>
          <w:rFonts w:hint="eastAsia" w:ascii="宋体" w:hAnsi="宋体" w:cs="宋体"/>
          <w:sz w:val="24"/>
        </w:rPr>
        <w:t>(3）投标报价：见评标办法前附表</w:t>
      </w:r>
    </w:p>
    <w:p>
      <w:pPr>
        <w:spacing w:line="520" w:lineRule="exact"/>
        <w:ind w:firstLine="480" w:firstLineChars="200"/>
        <w:rPr>
          <w:rFonts w:ascii="宋体" w:hAnsi="宋体" w:cs="宋体"/>
          <w:sz w:val="24"/>
        </w:rPr>
      </w:pPr>
      <w:r>
        <w:rPr>
          <w:rFonts w:hint="eastAsia" w:ascii="宋体" w:hAnsi="宋体" w:cs="宋体"/>
          <w:sz w:val="24"/>
        </w:rPr>
        <w:t>（4）其他评分因素：见评标办法前附表。</w:t>
      </w:r>
    </w:p>
    <w:p>
      <w:pPr>
        <w:spacing w:line="520" w:lineRule="exact"/>
        <w:ind w:firstLine="480" w:firstLineChars="200"/>
        <w:rPr>
          <w:rFonts w:ascii="宋体" w:hAnsi="宋体" w:cs="宋体"/>
          <w:sz w:val="24"/>
        </w:rPr>
      </w:pPr>
      <w:r>
        <w:rPr>
          <w:rFonts w:hint="eastAsia" w:ascii="宋体" w:hAnsi="宋体" w:cs="宋体"/>
          <w:sz w:val="24"/>
        </w:rPr>
        <w:t>2.2.2 评标基准价计算</w:t>
      </w:r>
    </w:p>
    <w:p>
      <w:pPr>
        <w:spacing w:line="520" w:lineRule="exact"/>
        <w:ind w:firstLine="480" w:firstLineChars="200"/>
        <w:rPr>
          <w:rFonts w:ascii="宋体" w:hAnsi="宋体" w:cs="宋体"/>
          <w:sz w:val="24"/>
        </w:rPr>
      </w:pPr>
      <w:r>
        <w:rPr>
          <w:rFonts w:hint="eastAsia" w:ascii="宋体" w:hAnsi="宋体" w:cs="宋体"/>
          <w:sz w:val="24"/>
        </w:rPr>
        <w:t>评标基准价计算方法：见评标办法前附表。</w:t>
      </w:r>
    </w:p>
    <w:p>
      <w:pPr>
        <w:spacing w:line="520" w:lineRule="exact"/>
        <w:ind w:firstLine="480" w:firstLineChars="200"/>
        <w:rPr>
          <w:rFonts w:ascii="宋体" w:hAnsi="宋体" w:cs="宋体"/>
          <w:sz w:val="24"/>
        </w:rPr>
      </w:pPr>
      <w:r>
        <w:rPr>
          <w:rFonts w:hint="eastAsia" w:ascii="宋体" w:hAnsi="宋体" w:cs="宋体"/>
          <w:sz w:val="24"/>
        </w:rPr>
        <w:t>2.2.3 投标报价的偏差率计算</w:t>
      </w:r>
    </w:p>
    <w:p>
      <w:pPr>
        <w:spacing w:line="520" w:lineRule="exact"/>
        <w:ind w:firstLine="480" w:firstLineChars="200"/>
        <w:rPr>
          <w:rFonts w:ascii="宋体" w:hAnsi="宋体" w:cs="宋体"/>
          <w:sz w:val="24"/>
        </w:rPr>
      </w:pPr>
      <w:r>
        <w:rPr>
          <w:rFonts w:hint="eastAsia" w:ascii="宋体" w:hAnsi="宋体" w:cs="宋体"/>
          <w:sz w:val="24"/>
        </w:rPr>
        <w:t>投标报价的偏差率计算公式：见评标办法前附表。</w:t>
      </w:r>
    </w:p>
    <w:p>
      <w:pPr>
        <w:spacing w:line="520" w:lineRule="exact"/>
        <w:ind w:firstLine="480" w:firstLineChars="200"/>
        <w:rPr>
          <w:rFonts w:ascii="宋体" w:hAnsi="宋体" w:cs="宋体"/>
          <w:sz w:val="24"/>
        </w:rPr>
      </w:pPr>
      <w:r>
        <w:rPr>
          <w:rFonts w:hint="eastAsia" w:ascii="宋体" w:hAnsi="宋体" w:cs="宋体"/>
          <w:sz w:val="24"/>
        </w:rPr>
        <w:t>2.2.4 评分标准</w:t>
      </w:r>
    </w:p>
    <w:p>
      <w:pPr>
        <w:spacing w:line="520" w:lineRule="exact"/>
        <w:ind w:firstLine="480" w:firstLineChars="200"/>
        <w:rPr>
          <w:rFonts w:ascii="宋体" w:hAnsi="宋体" w:cs="宋体"/>
          <w:sz w:val="24"/>
        </w:rPr>
      </w:pPr>
      <w:bookmarkStart w:id="328" w:name="_Toc184635095"/>
      <w:bookmarkStart w:id="329" w:name="_Toc17518"/>
      <w:bookmarkStart w:id="330" w:name="_Toc306975709"/>
      <w:bookmarkStart w:id="331" w:name="_Toc232324914"/>
      <w:bookmarkStart w:id="332" w:name="_Toc260155449"/>
      <w:bookmarkStart w:id="333" w:name="_Toc23909"/>
      <w:r>
        <w:rPr>
          <w:rFonts w:hint="eastAsia" w:ascii="宋体" w:hAnsi="宋体" w:cs="宋体"/>
          <w:sz w:val="24"/>
        </w:rPr>
        <w:t>(l）</w:t>
      </w:r>
      <w:r>
        <w:rPr>
          <w:rFonts w:hint="eastAsia"/>
          <w:sz w:val="24"/>
        </w:rPr>
        <w:t>承包人建议书</w:t>
      </w:r>
      <w:r>
        <w:rPr>
          <w:rFonts w:hint="eastAsia" w:ascii="宋体" w:hAnsi="宋体" w:cs="宋体"/>
          <w:sz w:val="24"/>
        </w:rPr>
        <w:t>：见评标办法前附表；</w:t>
      </w:r>
    </w:p>
    <w:p>
      <w:pPr>
        <w:spacing w:line="520" w:lineRule="exact"/>
        <w:ind w:firstLine="480" w:firstLineChars="200"/>
        <w:rPr>
          <w:rFonts w:ascii="宋体" w:hAnsi="宋体" w:cs="宋体"/>
          <w:sz w:val="24"/>
        </w:rPr>
      </w:pPr>
      <w:r>
        <w:rPr>
          <w:rFonts w:hint="eastAsia" w:ascii="宋体" w:hAnsi="宋体" w:cs="宋体"/>
          <w:sz w:val="24"/>
        </w:rPr>
        <w:t>(2）</w:t>
      </w:r>
      <w:r>
        <w:rPr>
          <w:rFonts w:hint="eastAsia"/>
          <w:sz w:val="24"/>
        </w:rPr>
        <w:t>承包人实施方案</w:t>
      </w:r>
      <w:r>
        <w:rPr>
          <w:rFonts w:hint="eastAsia" w:ascii="宋体" w:hAnsi="宋体" w:cs="宋体"/>
          <w:sz w:val="24"/>
        </w:rPr>
        <w:t>：见评标办法前附表；</w:t>
      </w:r>
    </w:p>
    <w:p>
      <w:pPr>
        <w:spacing w:line="520" w:lineRule="exact"/>
        <w:ind w:firstLine="480" w:firstLineChars="200"/>
        <w:rPr>
          <w:rFonts w:ascii="宋体" w:hAnsi="宋体" w:cs="宋体"/>
          <w:sz w:val="24"/>
        </w:rPr>
      </w:pPr>
      <w:r>
        <w:rPr>
          <w:rFonts w:hint="eastAsia" w:ascii="宋体" w:hAnsi="宋体" w:cs="宋体"/>
          <w:sz w:val="24"/>
        </w:rPr>
        <w:t>(3）投标报价：见评标办法前附表</w:t>
      </w:r>
    </w:p>
    <w:p>
      <w:pPr>
        <w:spacing w:line="520" w:lineRule="exact"/>
        <w:ind w:firstLine="480" w:firstLineChars="200"/>
        <w:rPr>
          <w:rFonts w:ascii="宋体" w:hAnsi="宋体" w:cs="宋体"/>
          <w:sz w:val="24"/>
        </w:rPr>
      </w:pPr>
      <w:r>
        <w:rPr>
          <w:rFonts w:hint="eastAsia" w:ascii="宋体" w:hAnsi="宋体" w:cs="宋体"/>
          <w:sz w:val="24"/>
        </w:rPr>
        <w:t>（4）其他评分因素：见评标办法前附表。</w:t>
      </w:r>
    </w:p>
    <w:p>
      <w:pPr>
        <w:spacing w:line="520" w:lineRule="exact"/>
        <w:ind w:firstLine="482" w:firstLineChars="200"/>
        <w:rPr>
          <w:rFonts w:ascii="宋体" w:hAnsi="宋体" w:cs="宋体"/>
          <w:b/>
          <w:sz w:val="24"/>
        </w:rPr>
      </w:pPr>
      <w:r>
        <w:rPr>
          <w:rFonts w:hint="eastAsia" w:ascii="宋体" w:hAnsi="宋体" w:cs="宋体"/>
          <w:b/>
          <w:sz w:val="24"/>
        </w:rPr>
        <w:t>3、评标程序</w:t>
      </w:r>
      <w:bookmarkEnd w:id="328"/>
      <w:bookmarkEnd w:id="329"/>
      <w:bookmarkEnd w:id="330"/>
      <w:bookmarkEnd w:id="331"/>
      <w:bookmarkEnd w:id="332"/>
      <w:bookmarkEnd w:id="333"/>
    </w:p>
    <w:p>
      <w:pPr>
        <w:spacing w:line="520" w:lineRule="exact"/>
        <w:ind w:firstLine="480" w:firstLineChars="200"/>
        <w:rPr>
          <w:rFonts w:ascii="宋体" w:hAnsi="宋体" w:cs="宋体"/>
          <w:bCs/>
          <w:sz w:val="24"/>
        </w:rPr>
      </w:pPr>
      <w:r>
        <w:rPr>
          <w:rFonts w:hint="eastAsia" w:ascii="宋体" w:hAnsi="宋体" w:cs="宋体"/>
          <w:bCs/>
          <w:sz w:val="24"/>
        </w:rPr>
        <w:t>3.1 初步评审</w:t>
      </w:r>
    </w:p>
    <w:p>
      <w:pPr>
        <w:spacing w:line="520" w:lineRule="exact"/>
        <w:ind w:firstLine="480" w:firstLineChars="200"/>
        <w:rPr>
          <w:rFonts w:ascii="宋体" w:hAnsi="宋体" w:cs="宋体"/>
          <w:sz w:val="24"/>
        </w:rPr>
      </w:pPr>
      <w:r>
        <w:rPr>
          <w:rFonts w:hint="eastAsia" w:ascii="宋体" w:hAnsi="宋体" w:cs="宋体"/>
          <w:sz w:val="24"/>
        </w:rPr>
        <w:t>3.1.1评标委员会可以要求投标人提交第二章“投标人须知”第3.5.1项至第3.5.5项规定的有关证明和证件的原件，以便核验。评标委员会依据本章第2.1 款规定的标准对投标文件进行初步评审。有一项不符合评审标准的，作废标处理。</w:t>
      </w:r>
    </w:p>
    <w:p>
      <w:pPr>
        <w:spacing w:line="520" w:lineRule="exact"/>
        <w:ind w:firstLine="480" w:firstLineChars="200"/>
        <w:rPr>
          <w:rFonts w:ascii="宋体" w:hAnsi="宋体" w:cs="宋体"/>
          <w:sz w:val="24"/>
        </w:rPr>
      </w:pPr>
      <w:r>
        <w:rPr>
          <w:rFonts w:hint="eastAsia" w:ascii="宋体" w:hAnsi="宋体" w:cs="宋体"/>
          <w:sz w:val="24"/>
        </w:rPr>
        <w:t>3.1.2</w:t>
      </w:r>
      <w:r>
        <w:rPr>
          <w:rFonts w:hint="eastAsia" w:ascii="宋体" w:hAnsi="宋体" w:cs="宋体"/>
          <w:b/>
          <w:sz w:val="24"/>
        </w:rPr>
        <w:t xml:space="preserve"> </w:t>
      </w:r>
      <w:r>
        <w:rPr>
          <w:rFonts w:hint="eastAsia" w:ascii="宋体" w:hAnsi="宋体" w:cs="宋体"/>
          <w:sz w:val="24"/>
        </w:rPr>
        <w:t>投标人有以下情形之一的，其投标作废标处理：</w:t>
      </w:r>
    </w:p>
    <w:p>
      <w:pPr>
        <w:spacing w:line="520" w:lineRule="exact"/>
        <w:ind w:firstLine="480" w:firstLineChars="200"/>
        <w:rPr>
          <w:rFonts w:ascii="宋体" w:hAnsi="宋体" w:cs="宋体"/>
          <w:color w:val="000000"/>
          <w:sz w:val="24"/>
        </w:rPr>
      </w:pPr>
      <w:r>
        <w:rPr>
          <w:rFonts w:hint="eastAsia" w:ascii="宋体" w:hAnsi="宋体" w:cs="宋体"/>
          <w:color w:val="000000"/>
          <w:sz w:val="24"/>
        </w:rPr>
        <w:t>（1）第二章“投标人须知”第1.4.3 项规定的任何一种情形的；</w:t>
      </w:r>
    </w:p>
    <w:p>
      <w:pPr>
        <w:spacing w:line="520" w:lineRule="exact"/>
        <w:ind w:firstLine="480" w:firstLineChars="200"/>
        <w:rPr>
          <w:rFonts w:ascii="宋体" w:hAnsi="宋体" w:cs="宋体"/>
          <w:color w:val="000000"/>
          <w:sz w:val="24"/>
        </w:rPr>
      </w:pPr>
      <w:r>
        <w:rPr>
          <w:rFonts w:hint="eastAsia" w:ascii="宋体" w:hAnsi="宋体" w:cs="宋体"/>
          <w:color w:val="000000"/>
          <w:sz w:val="24"/>
        </w:rPr>
        <w:t>（2）串通投标或弄虚作假或有其他违法行为的；</w:t>
      </w:r>
    </w:p>
    <w:p>
      <w:pPr>
        <w:spacing w:line="520" w:lineRule="exact"/>
        <w:ind w:firstLine="480" w:firstLineChars="200"/>
        <w:rPr>
          <w:rFonts w:ascii="宋体" w:hAnsi="宋体" w:cs="宋体"/>
          <w:color w:val="FF0000"/>
          <w:sz w:val="24"/>
        </w:rPr>
      </w:pPr>
      <w:r>
        <w:rPr>
          <w:rFonts w:hint="eastAsia" w:ascii="宋体" w:hAnsi="宋体" w:cs="宋体"/>
          <w:color w:val="000000"/>
          <w:sz w:val="24"/>
        </w:rPr>
        <w:t>（3）不按评标委员会要求澄清、说明或补正；</w:t>
      </w:r>
      <w:r>
        <w:rPr>
          <w:rFonts w:hint="eastAsia" w:ascii="宋体" w:hAnsi="宋体" w:cs="宋体"/>
          <w:color w:val="FF0000"/>
          <w:sz w:val="24"/>
        </w:rPr>
        <w:t xml:space="preserve"> </w:t>
      </w:r>
    </w:p>
    <w:p>
      <w:pPr>
        <w:spacing w:line="520" w:lineRule="exact"/>
        <w:ind w:firstLine="480" w:firstLineChars="200"/>
        <w:rPr>
          <w:rFonts w:ascii="宋体" w:hAnsi="宋体" w:cs="宋体"/>
          <w:sz w:val="24"/>
        </w:rPr>
      </w:pPr>
      <w:r>
        <w:rPr>
          <w:rFonts w:hint="eastAsia" w:ascii="宋体" w:hAnsi="宋体" w:cs="宋体"/>
          <w:sz w:val="24"/>
        </w:rPr>
        <w:t>（4）未响应招标文件实质性要求的。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3.1.3 投标报价有算术错误的，评标委员会按以下原则对投标报价进行修正，修正的价格经投标人书面确认后具有约束力。投标人不接受修正价格的，其投标作废标处理；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3.2 详细评审</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3.2.1 评标委员会按本章第 2.2 款规定的量化因素和分值进行打分，并计算出综合评估得分。评标办法前附表对承包人建议书中的设计文件评审有特殊规定的，从其规定。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（1）按本章第 2.2.4（1）目规定的评审因素和分值对承包人建议书计算出得分 A；</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（2）按本章第 2.2.4（2）目规定的评审因素和分值对承包人实施方案计算出得分 B；</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（3）按本章第 2.2.4（3）目规定的评审因素和分值对投标报价计算出得分 C；</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（4）按本章第 2.2.4（4）目规定的评审因素和分值对其他因素计算出得分 D。</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3.2.2 评分分值计算保留小数点后两位，小数点后第三位“四舍五入”。3.2.3 投标人得分=A+B+C+D。</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b w:val="0"/>
          <w:sz w:val="24"/>
          <w:szCs w:val="24"/>
        </w:rPr>
      </w:pPr>
      <w:r>
        <w:rPr>
          <w:rFonts w:hint="eastAsia" w:ascii="宋体" w:hAnsi="宋体" w:eastAsia="宋体" w:cs="宋体"/>
          <w:b w:val="0"/>
          <w:sz w:val="24"/>
          <w:szCs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投标人以低于成本报价竞标，应当否决其投标。</w:t>
      </w:r>
    </w:p>
    <w:p>
      <w:pPr>
        <w:pStyle w:val="8"/>
        <w:spacing w:line="540" w:lineRule="exact"/>
        <w:rPr>
          <w:rFonts w:ascii="宋体" w:hAnsi="宋体" w:eastAsia="宋体" w:cs="宋体"/>
          <w:b w:val="0"/>
          <w:sz w:val="24"/>
          <w:szCs w:val="24"/>
        </w:rPr>
      </w:pPr>
      <w:r>
        <w:rPr>
          <w:rFonts w:hint="eastAsia" w:ascii="宋体" w:hAnsi="宋体" w:eastAsia="宋体" w:cs="宋体"/>
          <w:b w:val="0"/>
          <w:sz w:val="24"/>
          <w:szCs w:val="24"/>
        </w:rPr>
        <w:t>3.3 投标文件的澄清和补正</w:t>
      </w:r>
    </w:p>
    <w:p>
      <w:pPr>
        <w:spacing w:line="520" w:lineRule="exact"/>
        <w:ind w:firstLine="480" w:firstLineChars="200"/>
        <w:rPr>
          <w:rFonts w:ascii="宋体" w:hAnsi="宋体" w:cs="宋体"/>
          <w:sz w:val="24"/>
        </w:rPr>
      </w:pPr>
      <w:r>
        <w:rPr>
          <w:rFonts w:hint="eastAsia" w:ascii="宋体" w:hAnsi="宋体" w:cs="宋体"/>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520" w:lineRule="exact"/>
        <w:ind w:firstLine="480" w:firstLineChars="200"/>
        <w:rPr>
          <w:rFonts w:ascii="宋体" w:hAnsi="宋体" w:cs="宋体"/>
          <w:sz w:val="24"/>
        </w:rPr>
      </w:pPr>
      <w:r>
        <w:rPr>
          <w:rFonts w:hint="eastAsia" w:ascii="宋体" w:hAnsi="宋体" w:cs="宋体"/>
          <w:sz w:val="24"/>
        </w:rPr>
        <w:t>3.3.2 澄清、说明和补正不得改变投标文件的实质性内容（算术性错误修正的除外）。投标人的书面澄清、说明和补正属于投标文件的组成部分。</w:t>
      </w:r>
    </w:p>
    <w:p>
      <w:pPr>
        <w:spacing w:line="540" w:lineRule="exact"/>
        <w:ind w:firstLine="480" w:firstLineChars="200"/>
        <w:rPr>
          <w:rFonts w:ascii="宋体" w:hAnsi="宋体" w:cs="宋体"/>
          <w:sz w:val="24"/>
        </w:rPr>
      </w:pPr>
      <w:r>
        <w:rPr>
          <w:rFonts w:hint="eastAsia" w:ascii="宋体" w:hAnsi="宋体" w:cs="宋体"/>
          <w:sz w:val="24"/>
        </w:rPr>
        <w:t xml:space="preserve">3.3.3 评标委员会对投标人提交的澄清、说明或补正有疑问的，可以要求投标人进一步澄清、说明或补正，直至满足评标委员会的要求。 </w:t>
      </w:r>
    </w:p>
    <w:p>
      <w:pPr>
        <w:pStyle w:val="8"/>
        <w:spacing w:line="540" w:lineRule="exact"/>
        <w:rPr>
          <w:rFonts w:ascii="宋体" w:hAnsi="宋体" w:eastAsia="宋体" w:cs="宋体"/>
          <w:b w:val="0"/>
          <w:sz w:val="24"/>
          <w:szCs w:val="24"/>
        </w:rPr>
      </w:pPr>
      <w:r>
        <w:rPr>
          <w:rFonts w:hint="eastAsia" w:ascii="宋体" w:hAnsi="宋体" w:eastAsia="宋体" w:cs="宋体"/>
          <w:b w:val="0"/>
          <w:sz w:val="24"/>
          <w:szCs w:val="24"/>
        </w:rPr>
        <w:t>3.4 评标结果</w:t>
      </w:r>
    </w:p>
    <w:p>
      <w:pPr>
        <w:pStyle w:val="8"/>
        <w:spacing w:line="520" w:lineRule="exact"/>
        <w:ind w:firstLine="480" w:firstLineChars="200"/>
        <w:rPr>
          <w:rFonts w:ascii="宋体" w:hAnsi="宋体" w:eastAsia="宋体" w:cs="宋体"/>
          <w:b w:val="0"/>
          <w:sz w:val="24"/>
          <w:szCs w:val="24"/>
        </w:rPr>
      </w:pPr>
      <w:r>
        <w:rPr>
          <w:rFonts w:hint="eastAsia" w:ascii="宋体" w:hAnsi="宋体" w:eastAsia="宋体" w:cs="宋体"/>
          <w:b w:val="0"/>
          <w:sz w:val="24"/>
          <w:szCs w:val="24"/>
        </w:rPr>
        <w:t>3.4.1所有评委打分的分值的算术平均值即为该投标人的最终得分。计分过程取至小数点后三位，最终得分按四舍五入取至小数点后两位。除第二章“投标人须知”前附表授权直接确定中标人外，评标委员会按照得分由高到低的顺序推荐前3名为中标候选人。</w:t>
      </w:r>
    </w:p>
    <w:p>
      <w:pPr>
        <w:spacing w:line="520" w:lineRule="exact"/>
        <w:ind w:firstLine="480" w:firstLineChars="200"/>
        <w:rPr>
          <w:rFonts w:ascii="宋体" w:hAnsi="宋体" w:cs="宋体"/>
          <w:sz w:val="24"/>
        </w:rPr>
      </w:pPr>
      <w:r>
        <w:rPr>
          <w:rFonts w:hint="eastAsia" w:ascii="宋体" w:hAnsi="宋体" w:cs="宋体"/>
          <w:sz w:val="24"/>
        </w:rPr>
        <w:t>3.4.2 评标委员会完成评标后，应当向招标人提交书面评标报告。</w:t>
      </w:r>
    </w:p>
    <w:p>
      <w:pPr>
        <w:pStyle w:val="5"/>
        <w:rPr>
          <w:rStyle w:val="48"/>
          <w:rFonts w:hint="eastAsia" w:ascii="宋体" w:hAnsi="宋体" w:cs="宋体"/>
          <w:b/>
          <w:kern w:val="2"/>
          <w:sz w:val="36"/>
          <w:szCs w:val="36"/>
          <w:lang w:val="en-US" w:eastAsia="zh-CN" w:bidi="ar-SA"/>
        </w:rPr>
      </w:pPr>
      <w:r>
        <w:rPr>
          <w:rFonts w:ascii="宋体" w:hAnsi="宋体" w:cs="宋体"/>
          <w:kern w:val="0"/>
          <w:sz w:val="32"/>
          <w:szCs w:val="32"/>
        </w:rPr>
        <w:br w:type="page"/>
      </w:r>
      <w:bookmarkEnd w:id="308"/>
      <w:bookmarkEnd w:id="309"/>
      <w:bookmarkEnd w:id="310"/>
      <w:bookmarkEnd w:id="311"/>
      <w:bookmarkStart w:id="334" w:name="_Toc28592"/>
      <w:bookmarkStart w:id="335" w:name="_Toc152045785"/>
      <w:bookmarkStart w:id="336" w:name="_Toc152042574"/>
      <w:bookmarkStart w:id="337" w:name="_Toc144974854"/>
      <w:bookmarkStart w:id="338" w:name="_Toc179632804"/>
      <w:r>
        <w:rPr>
          <w:rStyle w:val="48"/>
          <w:rFonts w:hint="eastAsia" w:ascii="宋体" w:hAnsi="宋体" w:cs="宋体"/>
          <w:b/>
          <w:kern w:val="2"/>
          <w:sz w:val="36"/>
          <w:szCs w:val="36"/>
          <w:lang w:val="en-US" w:eastAsia="zh-CN" w:bidi="ar-SA"/>
        </w:rPr>
        <w:t>第四章  合同条款及格式</w:t>
      </w:r>
      <w:bookmarkEnd w:id="334"/>
    </w:p>
    <w:p>
      <w:pPr>
        <w:rPr>
          <w:rFonts w:hint="default"/>
          <w:lang w:val="en-US" w:eastAsia="zh-CN"/>
        </w:rPr>
      </w:pPr>
    </w:p>
    <w:p>
      <w:pPr>
        <w:spacing w:line="360" w:lineRule="auto"/>
        <w:rPr>
          <w:b/>
          <w:bCs/>
          <w:sz w:val="24"/>
          <w:szCs w:val="24"/>
        </w:rPr>
      </w:pPr>
      <w:bookmarkStart w:id="339" w:name="_Toc19130"/>
      <w:bookmarkStart w:id="340" w:name="_Toc31014"/>
      <w:bookmarkStart w:id="341" w:name="_Toc22828"/>
      <w:bookmarkStart w:id="342" w:name="_Toc14734"/>
      <w:r>
        <w:rPr>
          <w:rFonts w:hint="eastAsia"/>
          <w:b/>
          <w:bCs/>
          <w:sz w:val="24"/>
          <w:szCs w:val="24"/>
        </w:rPr>
        <w:t>《合同条款及格式》参见《建设项目工程总承包合同示范文本》《GF-20</w:t>
      </w:r>
      <w:r>
        <w:rPr>
          <w:rFonts w:hint="eastAsia"/>
          <w:b/>
          <w:bCs/>
          <w:sz w:val="24"/>
          <w:szCs w:val="24"/>
          <w:lang w:val="en-US" w:eastAsia="zh-CN"/>
        </w:rPr>
        <w:t>20</w:t>
      </w:r>
      <w:r>
        <w:rPr>
          <w:rFonts w:hint="eastAsia"/>
          <w:b/>
          <w:bCs/>
          <w:sz w:val="24"/>
          <w:szCs w:val="24"/>
        </w:rPr>
        <w:t>-0216 》。</w:t>
      </w:r>
      <w:bookmarkEnd w:id="339"/>
      <w:bookmarkEnd w:id="340"/>
      <w:bookmarkEnd w:id="341"/>
      <w:bookmarkEnd w:id="342"/>
    </w:p>
    <w:p>
      <w:pPr>
        <w:pStyle w:val="6"/>
        <w:numPr>
          <w:ilvl w:val="0"/>
          <w:numId w:val="3"/>
        </w:numPr>
        <w:spacing w:line="360" w:lineRule="auto"/>
        <w:rPr>
          <w:rFonts w:ascii="宋体" w:hAnsi="宋体"/>
          <w:sz w:val="24"/>
          <w:szCs w:val="24"/>
        </w:rPr>
      </w:pPr>
      <w:bookmarkStart w:id="343" w:name="_Toc6491"/>
      <w:r>
        <w:rPr>
          <w:rFonts w:hint="eastAsia" w:ascii="宋体" w:hAnsi="宋体"/>
          <w:sz w:val="24"/>
          <w:szCs w:val="24"/>
        </w:rPr>
        <w:t>通用合同条款</w:t>
      </w:r>
      <w:bookmarkEnd w:id="343"/>
    </w:p>
    <w:p>
      <w:pPr>
        <w:ind w:firstLine="1320" w:firstLineChars="550"/>
        <w:rPr>
          <w:sz w:val="24"/>
          <w:szCs w:val="24"/>
        </w:rPr>
      </w:pPr>
      <w:r>
        <w:rPr>
          <w:rFonts w:hint="eastAsia"/>
          <w:position w:val="-28"/>
          <w:sz w:val="24"/>
          <w:szCs w:val="24"/>
        </w:rPr>
        <w:t>此处略，详见《建设项目工程总承包合同示范文本》《GF-20</w:t>
      </w:r>
      <w:r>
        <w:rPr>
          <w:rFonts w:hint="eastAsia"/>
          <w:position w:val="-28"/>
          <w:sz w:val="24"/>
          <w:szCs w:val="24"/>
          <w:lang w:val="en-US" w:eastAsia="zh-CN"/>
        </w:rPr>
        <w:t>20</w:t>
      </w:r>
      <w:r>
        <w:rPr>
          <w:rFonts w:hint="eastAsia"/>
          <w:position w:val="-28"/>
          <w:sz w:val="24"/>
          <w:szCs w:val="24"/>
        </w:rPr>
        <w:t>-0216 》</w:t>
      </w:r>
    </w:p>
    <w:p>
      <w:pPr>
        <w:pStyle w:val="6"/>
        <w:rPr>
          <w:rFonts w:ascii="宋体" w:hAnsi="宋体"/>
          <w:sz w:val="24"/>
          <w:szCs w:val="24"/>
        </w:rPr>
      </w:pPr>
      <w:bookmarkStart w:id="344" w:name="_Toc5553"/>
      <w:bookmarkStart w:id="345" w:name="_Toc28787"/>
      <w:bookmarkStart w:id="346" w:name="_Toc247085850"/>
      <w:bookmarkStart w:id="347" w:name="_Toc246996335"/>
      <w:bookmarkStart w:id="348" w:name="_Toc246997078"/>
      <w:bookmarkStart w:id="349" w:name="_Toc12168"/>
      <w:r>
        <w:rPr>
          <w:rFonts w:hint="eastAsia" w:ascii="宋体" w:hAnsi="宋体"/>
          <w:sz w:val="24"/>
          <w:szCs w:val="24"/>
        </w:rPr>
        <w:t>第二节 专用合同条款</w:t>
      </w:r>
      <w:bookmarkEnd w:id="344"/>
      <w:bookmarkEnd w:id="345"/>
      <w:bookmarkEnd w:id="346"/>
      <w:bookmarkEnd w:id="347"/>
      <w:bookmarkEnd w:id="348"/>
      <w:bookmarkEnd w:id="349"/>
    </w:p>
    <w:p>
      <w:pPr>
        <w:widowControl/>
        <w:jc w:val="center"/>
        <w:rPr>
          <w:position w:val="-28"/>
          <w:sz w:val="24"/>
          <w:szCs w:val="24"/>
        </w:rPr>
      </w:pPr>
      <w:r>
        <w:rPr>
          <w:rFonts w:hint="eastAsia"/>
          <w:position w:val="-28"/>
          <w:sz w:val="24"/>
          <w:szCs w:val="24"/>
        </w:rPr>
        <w:t>此处略，执行《建设项目工程总承包合同示范文本》《GF-20</w:t>
      </w:r>
      <w:r>
        <w:rPr>
          <w:rFonts w:hint="eastAsia"/>
          <w:position w:val="-28"/>
          <w:sz w:val="24"/>
          <w:szCs w:val="24"/>
          <w:lang w:val="en-US" w:eastAsia="zh-CN"/>
        </w:rPr>
        <w:t>20</w:t>
      </w:r>
      <w:r>
        <w:rPr>
          <w:rFonts w:hint="eastAsia"/>
          <w:position w:val="-28"/>
          <w:sz w:val="24"/>
          <w:szCs w:val="24"/>
        </w:rPr>
        <w:t>-0216 》</w:t>
      </w:r>
    </w:p>
    <w:p>
      <w:pPr>
        <w:widowControl/>
        <w:jc w:val="center"/>
      </w:pPr>
    </w:p>
    <w:p>
      <w:pPr>
        <w:pStyle w:val="11"/>
      </w:pPr>
    </w:p>
    <w:p>
      <w:pPr>
        <w:rPr>
          <w:color w:val="000000"/>
        </w:rPr>
      </w:pPr>
    </w:p>
    <w:p>
      <w:pPr>
        <w:rPr>
          <w:color w:val="000000"/>
        </w:rPr>
      </w:pPr>
    </w:p>
    <w:p>
      <w:pPr>
        <w:rPr>
          <w:color w:val="000000"/>
        </w:rPr>
      </w:pPr>
    </w:p>
    <w:p/>
    <w:p>
      <w:pPr>
        <w:rPr>
          <w:rStyle w:val="55"/>
          <w:sz w:val="44"/>
          <w:szCs w:val="44"/>
        </w:rPr>
      </w:pPr>
      <w:r>
        <w:rPr>
          <w:rStyle w:val="55"/>
          <w:rFonts w:hint="eastAsia"/>
          <w:sz w:val="44"/>
          <w:szCs w:val="44"/>
        </w:rPr>
        <w:br w:type="page"/>
      </w:r>
    </w:p>
    <w:p>
      <w:pPr>
        <w:spacing w:beforeLines="50" w:afterLines="50" w:line="360" w:lineRule="auto"/>
        <w:jc w:val="center"/>
        <w:rPr>
          <w:rStyle w:val="48"/>
          <w:rFonts w:hint="eastAsia" w:ascii="宋体" w:hAnsi="宋体" w:cs="宋体"/>
          <w:kern w:val="2"/>
          <w:sz w:val="36"/>
          <w:szCs w:val="36"/>
          <w:lang w:val="en-US" w:eastAsia="zh-CN" w:bidi="ar-SA"/>
        </w:rPr>
      </w:pPr>
      <w:bookmarkStart w:id="350" w:name="_Toc32269"/>
      <w:r>
        <w:rPr>
          <w:rStyle w:val="48"/>
          <w:rFonts w:hint="eastAsia" w:ascii="宋体" w:hAnsi="宋体" w:cs="宋体"/>
          <w:kern w:val="2"/>
          <w:sz w:val="36"/>
          <w:szCs w:val="36"/>
          <w:lang w:val="en-US" w:eastAsia="zh-CN" w:bidi="ar-SA"/>
        </w:rPr>
        <w:t>第五章  技术标准和要求</w:t>
      </w:r>
      <w:bookmarkEnd w:id="335"/>
      <w:bookmarkEnd w:id="336"/>
      <w:bookmarkEnd w:id="337"/>
      <w:bookmarkEnd w:id="338"/>
    </w:p>
    <w:bookmarkEnd w:id="350"/>
    <w:p>
      <w:pPr>
        <w:spacing w:line="400" w:lineRule="exact"/>
        <w:rPr>
          <w:rFonts w:hint="eastAsia"/>
          <w:sz w:val="28"/>
          <w:szCs w:val="28"/>
        </w:rPr>
      </w:pPr>
      <w:bookmarkStart w:id="351" w:name="_Toc152045786"/>
      <w:bookmarkStart w:id="352" w:name="_Toc144974855"/>
      <w:bookmarkStart w:id="353" w:name="_Toc152042575"/>
      <w:r>
        <w:rPr>
          <w:rFonts w:hint="eastAsia"/>
          <w:sz w:val="28"/>
          <w:szCs w:val="28"/>
        </w:rPr>
        <w:t>1、国家现行的有关法律、法规及行业标准；</w:t>
      </w:r>
    </w:p>
    <w:p>
      <w:pPr>
        <w:spacing w:line="400" w:lineRule="exact"/>
        <w:rPr>
          <w:rFonts w:hint="eastAsia"/>
          <w:sz w:val="28"/>
          <w:szCs w:val="28"/>
        </w:rPr>
      </w:pPr>
      <w:r>
        <w:rPr>
          <w:rFonts w:hint="eastAsia"/>
          <w:sz w:val="28"/>
          <w:szCs w:val="28"/>
        </w:rPr>
        <w:t>2、采用的主要施工、检验、评定标准：</w:t>
      </w:r>
    </w:p>
    <w:p>
      <w:pPr>
        <w:spacing w:line="400" w:lineRule="exact"/>
        <w:rPr>
          <w:rFonts w:hint="eastAsia"/>
          <w:sz w:val="28"/>
          <w:szCs w:val="28"/>
        </w:rPr>
      </w:pPr>
      <w:r>
        <w:rPr>
          <w:rFonts w:hint="eastAsia"/>
          <w:sz w:val="28"/>
          <w:szCs w:val="28"/>
        </w:rPr>
        <w:t>3、其他施工及验收规范、质量检验评定标准：</w:t>
      </w:r>
    </w:p>
    <w:p>
      <w:pPr>
        <w:spacing w:line="400" w:lineRule="exact"/>
        <w:rPr>
          <w:sz w:val="28"/>
          <w:szCs w:val="28"/>
        </w:rPr>
      </w:pPr>
      <w:r>
        <w:rPr>
          <w:rFonts w:hint="eastAsia"/>
          <w:sz w:val="28"/>
          <w:szCs w:val="28"/>
        </w:rPr>
        <w:t>以及其它与本工程施工内容有关的验收标准及规范，所有技术规范如有更改以最新的为准。</w:t>
      </w: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pPr>
    </w:p>
    <w:p>
      <w:pPr>
        <w:spacing w:line="400" w:lineRule="exact"/>
      </w:pPr>
    </w:p>
    <w:p>
      <w:pPr>
        <w:spacing w:line="400" w:lineRule="exact"/>
      </w:pPr>
    </w:p>
    <w:p>
      <w:pPr>
        <w:spacing w:line="400" w:lineRule="exact"/>
      </w:pPr>
    </w:p>
    <w:p>
      <w:pPr>
        <w:spacing w:line="640" w:lineRule="exact"/>
        <w:ind w:firstLine="420" w:firstLineChars="150"/>
        <w:rPr>
          <w:sz w:val="28"/>
          <w:szCs w:val="28"/>
        </w:rPr>
      </w:pPr>
    </w:p>
    <w:p>
      <w:pPr>
        <w:rPr>
          <w:sz w:val="52"/>
          <w:szCs w:val="52"/>
        </w:rPr>
      </w:pPr>
      <w:bookmarkStart w:id="354" w:name="_Toc179632806"/>
    </w:p>
    <w:p>
      <w:pPr>
        <w:rPr>
          <w:sz w:val="52"/>
          <w:szCs w:val="52"/>
        </w:rPr>
      </w:pPr>
    </w:p>
    <w:p>
      <w:pPr>
        <w:pStyle w:val="24"/>
        <w:ind w:left="63" w:right="63" w:firstLine="520"/>
        <w:rPr>
          <w:sz w:val="52"/>
          <w:szCs w:val="52"/>
        </w:rPr>
      </w:pPr>
    </w:p>
    <w:p>
      <w:pPr>
        <w:pStyle w:val="24"/>
        <w:ind w:left="63" w:right="63" w:firstLine="520"/>
        <w:rPr>
          <w:sz w:val="52"/>
          <w:szCs w:val="52"/>
        </w:rPr>
      </w:pPr>
    </w:p>
    <w:p/>
    <w:p>
      <w:pPr>
        <w:rPr>
          <w:sz w:val="52"/>
          <w:szCs w:val="52"/>
        </w:rPr>
      </w:pPr>
    </w:p>
    <w:bookmarkEnd w:id="351"/>
    <w:bookmarkEnd w:id="352"/>
    <w:bookmarkEnd w:id="353"/>
    <w:bookmarkEnd w:id="354"/>
    <w:p>
      <w:pPr>
        <w:spacing w:beforeLines="50" w:afterLines="50" w:line="360" w:lineRule="auto"/>
        <w:jc w:val="center"/>
        <w:rPr>
          <w:rStyle w:val="48"/>
          <w:rFonts w:hint="default" w:ascii="宋体" w:hAnsi="宋体" w:cs="宋体"/>
          <w:kern w:val="2"/>
          <w:sz w:val="36"/>
          <w:szCs w:val="36"/>
          <w:lang w:val="en-US" w:eastAsia="zh-CN" w:bidi="ar-SA"/>
        </w:rPr>
      </w:pPr>
      <w:bookmarkStart w:id="355" w:name="_Toc2224"/>
      <w:bookmarkStart w:id="356" w:name="_Toc30063"/>
      <w:bookmarkStart w:id="357" w:name="_Toc12043"/>
      <w:r>
        <w:rPr>
          <w:rStyle w:val="48"/>
          <w:rFonts w:hint="eastAsia" w:ascii="宋体" w:hAnsi="宋体" w:cs="宋体"/>
          <w:kern w:val="2"/>
          <w:sz w:val="36"/>
          <w:szCs w:val="36"/>
          <w:lang w:val="en-US" w:eastAsia="zh-CN" w:bidi="ar-SA"/>
        </w:rPr>
        <w:t>第六章  投标文件格式</w:t>
      </w:r>
      <w:bookmarkEnd w:id="355"/>
      <w:bookmarkEnd w:id="356"/>
    </w:p>
    <w:bookmarkEnd w:id="357"/>
    <w:p>
      <w:pPr>
        <w:jc w:val="right"/>
        <w:rPr>
          <w:rFonts w:ascii="宋体"/>
          <w:b/>
          <w:szCs w:val="21"/>
        </w:rPr>
      </w:pPr>
    </w:p>
    <w:p>
      <w:pPr>
        <w:ind w:right="420"/>
        <w:jc w:val="right"/>
        <w:rPr>
          <w:rFonts w:ascii="宋体"/>
          <w:b/>
          <w:szCs w:val="21"/>
        </w:rPr>
      </w:pPr>
      <w:r>
        <w:rPr>
          <w:rFonts w:hint="eastAsia" w:ascii="宋体"/>
          <w:b/>
          <w:szCs w:val="21"/>
        </w:rPr>
        <w:t>（正本或副本）</w:t>
      </w:r>
    </w:p>
    <w:p>
      <w:pPr>
        <w:spacing w:line="360" w:lineRule="auto"/>
        <w:jc w:val="center"/>
        <w:rPr>
          <w:rFonts w:hint="eastAsia" w:ascii="宋体" w:hAnsi="宋体" w:cs="宋体"/>
          <w:sz w:val="28"/>
          <w:szCs w:val="28"/>
        </w:rPr>
      </w:pPr>
      <w:r>
        <w:rPr>
          <w:rFonts w:hint="eastAsia" w:ascii="宋体" w:hAnsi="宋体" w:cs="宋体"/>
          <w:sz w:val="32"/>
          <w:szCs w:val="32"/>
          <w:u w:val="single"/>
        </w:rPr>
        <w:t xml:space="preserve">                  </w:t>
      </w:r>
      <w:r>
        <w:rPr>
          <w:rFonts w:hint="eastAsia" w:ascii="宋体" w:hAnsi="宋体" w:cs="宋体"/>
          <w:sz w:val="28"/>
          <w:szCs w:val="28"/>
        </w:rPr>
        <w:t>（项目名称）</w:t>
      </w:r>
    </w:p>
    <w:p>
      <w:pPr>
        <w:spacing w:line="360" w:lineRule="auto"/>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（项目编号）</w:t>
      </w:r>
    </w:p>
    <w:p>
      <w:pPr>
        <w:spacing w:beforeLines="100" w:line="360" w:lineRule="auto"/>
        <w:jc w:val="center"/>
        <w:rPr>
          <w:rFonts w:ascii="宋体" w:hAnsi="宋体" w:cs="宋体"/>
          <w:sz w:val="44"/>
          <w:szCs w:val="44"/>
        </w:rPr>
      </w:pPr>
    </w:p>
    <w:p>
      <w:pPr>
        <w:spacing w:beforeLines="100" w:line="360" w:lineRule="auto"/>
        <w:jc w:val="center"/>
        <w:rPr>
          <w:rFonts w:ascii="宋体" w:hAnsi="宋体" w:cs="宋体"/>
          <w:sz w:val="44"/>
          <w:szCs w:val="44"/>
        </w:rPr>
      </w:pPr>
    </w:p>
    <w:p>
      <w:pPr>
        <w:spacing w:beforeLines="100" w:line="360" w:lineRule="auto"/>
        <w:jc w:val="center"/>
        <w:rPr>
          <w:rFonts w:ascii="宋体" w:hAnsi="宋体" w:cs="宋体"/>
          <w:sz w:val="44"/>
          <w:szCs w:val="44"/>
        </w:rPr>
      </w:pPr>
    </w:p>
    <w:p>
      <w:pPr>
        <w:spacing w:line="360" w:lineRule="auto"/>
        <w:jc w:val="center"/>
        <w:rPr>
          <w:rFonts w:ascii="宋体" w:hAnsi="宋体" w:cs="宋体"/>
          <w:b/>
          <w:bCs/>
          <w:sz w:val="72"/>
          <w:szCs w:val="72"/>
        </w:rPr>
      </w:pPr>
      <w:r>
        <w:rPr>
          <w:rFonts w:hint="eastAsia" w:ascii="宋体" w:hAnsi="宋体" w:cs="宋体"/>
          <w:b/>
          <w:bCs/>
          <w:sz w:val="72"/>
          <w:szCs w:val="72"/>
        </w:rPr>
        <w:t>投 标 文 件</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（电子签章）</w:t>
      </w:r>
    </w:p>
    <w:p>
      <w:pPr>
        <w:spacing w:line="360" w:lineRule="auto"/>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（电子签名）</w:t>
      </w:r>
    </w:p>
    <w:p>
      <w:pPr>
        <w:spacing w:line="360" w:lineRule="auto"/>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tabs>
          <w:tab w:val="left" w:pos="360"/>
        </w:tabs>
        <w:spacing w:line="360" w:lineRule="auto"/>
        <w:rPr>
          <w:rFonts w:ascii="宋体" w:hAnsi="宋体" w:cs="宋体"/>
          <w:b/>
          <w:bCs/>
        </w:rPr>
      </w:pPr>
    </w:p>
    <w:p>
      <w:pPr>
        <w:spacing w:beforeLines="100" w:afterLines="100"/>
        <w:rPr>
          <w:rFonts w:ascii="宋体" w:cs="宋体"/>
          <w:b/>
          <w:sz w:val="28"/>
          <w:szCs w:val="28"/>
        </w:rPr>
      </w:pPr>
    </w:p>
    <w:p>
      <w:pPr>
        <w:spacing w:beforeLines="100" w:afterLines="100"/>
        <w:rPr>
          <w:rFonts w:ascii="宋体" w:cs="宋体"/>
          <w:b/>
          <w:sz w:val="28"/>
          <w:szCs w:val="28"/>
        </w:rPr>
      </w:pPr>
      <w:r>
        <w:rPr>
          <w:rFonts w:ascii="宋体" w:cs="宋体"/>
          <w:b/>
          <w:sz w:val="28"/>
          <w:szCs w:val="28"/>
        </w:rPr>
        <w:br w:type="textWrapping"/>
      </w:r>
    </w:p>
    <w:p>
      <w:pPr>
        <w:spacing w:beforeLines="100" w:afterLines="100"/>
        <w:jc w:val="center"/>
        <w:rPr>
          <w:rFonts w:ascii="黑体" w:eastAsia="黑体"/>
          <w:sz w:val="32"/>
          <w:szCs w:val="32"/>
        </w:rPr>
      </w:pPr>
      <w:bookmarkStart w:id="358" w:name="_Toc5984"/>
      <w:r>
        <w:rPr>
          <w:rStyle w:val="56"/>
          <w:rFonts w:hint="eastAsia"/>
          <w:sz w:val="30"/>
        </w:rPr>
        <w:t>目   录</w:t>
      </w:r>
      <w:bookmarkEnd w:id="358"/>
    </w:p>
    <w:p>
      <w:pPr>
        <w:spacing w:line="600" w:lineRule="exact"/>
        <w:jc w:val="center"/>
        <w:rPr>
          <w:rFonts w:ascii="宋体"/>
          <w:sz w:val="24"/>
        </w:rPr>
      </w:pPr>
      <w:r>
        <w:rPr>
          <w:rFonts w:hint="eastAsia" w:ascii="宋体"/>
          <w:sz w:val="24"/>
        </w:rPr>
        <w:t>（投标人自行编制）</w:t>
      </w:r>
    </w:p>
    <w:p>
      <w:pPr>
        <w:rPr>
          <w:sz w:val="24"/>
          <w:szCs w:val="32"/>
        </w:rPr>
      </w:pPr>
    </w:p>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r>
        <w:rPr>
          <w:rFonts w:ascii="宋体" w:cs="宋体"/>
        </w:rPr>
        <w:br w:type="page"/>
      </w:r>
    </w:p>
    <w:p/>
    <w:p>
      <w:pPr>
        <w:pStyle w:val="7"/>
        <w:jc w:val="center"/>
      </w:pPr>
      <w:bookmarkStart w:id="359" w:name="_Toc4704"/>
      <w:r>
        <w:rPr>
          <w:rFonts w:hint="eastAsia"/>
        </w:rPr>
        <w:t>一、投标函及投标函附录</w:t>
      </w:r>
      <w:bookmarkEnd w:id="359"/>
    </w:p>
    <w:p>
      <w:pPr>
        <w:jc w:val="center"/>
        <w:rPr>
          <w:rFonts w:ascii="宋体" w:cs="宋体"/>
          <w:b/>
          <w:bCs/>
          <w:sz w:val="28"/>
          <w:szCs w:val="28"/>
        </w:rPr>
      </w:pPr>
      <w:r>
        <w:rPr>
          <w:rFonts w:hint="eastAsia"/>
          <w:b/>
          <w:bCs/>
          <w:sz w:val="28"/>
          <w:szCs w:val="28"/>
        </w:rPr>
        <w:t>（一）投标函</w:t>
      </w:r>
    </w:p>
    <w:p>
      <w:pPr>
        <w:pStyle w:val="14"/>
        <w:spacing w:line="360" w:lineRule="exact"/>
        <w:ind w:left="63" w:right="63"/>
        <w:jc w:val="left"/>
        <w:rPr>
          <w:rFonts w:ascii="宋体" w:hAnsi="宋体"/>
        </w:rPr>
      </w:pPr>
      <w:r>
        <w:rPr>
          <w:rFonts w:ascii="宋体" w:hAnsi="宋体"/>
          <w:w w:val="223"/>
          <w:u w:val="single"/>
        </w:rPr>
        <w:t xml:space="preserve">            </w:t>
      </w:r>
      <w:r>
        <w:rPr>
          <w:rFonts w:ascii="宋体" w:hAnsi="宋体"/>
        </w:rPr>
        <w:t>（招标人名称）：</w:t>
      </w:r>
    </w:p>
    <w:p>
      <w:pPr>
        <w:pStyle w:val="14"/>
        <w:numPr>
          <w:ilvl w:val="0"/>
          <w:numId w:val="4"/>
        </w:numPr>
        <w:spacing w:after="0" w:line="360" w:lineRule="auto"/>
        <w:ind w:left="63" w:right="63" w:firstLine="400" w:firstLineChars="200"/>
        <w:jc w:val="left"/>
        <w:rPr>
          <w:rFonts w:ascii="宋体" w:hAnsi="宋体"/>
        </w:rPr>
      </w:pPr>
      <w:r>
        <w:rPr>
          <w:rFonts w:hint="eastAsia" w:ascii="宋体" w:hAnsi="宋体"/>
        </w:rPr>
        <w:t>我方已仔细研究了</w:t>
      </w:r>
      <w:r>
        <w:rPr>
          <w:rFonts w:hint="eastAsia" w:ascii="宋体" w:hAnsi="宋体"/>
          <w:u w:val="single"/>
        </w:rPr>
        <w:t xml:space="preserve">        </w:t>
      </w:r>
      <w:r>
        <w:rPr>
          <w:rFonts w:hint="eastAsia" w:ascii="宋体" w:hAnsi="宋体"/>
        </w:rPr>
        <w:t>（项目名称）招标文件的全部内容，愿意以投标总报价</w:t>
      </w:r>
      <w:r>
        <w:rPr>
          <w:rFonts w:ascii="宋体" w:hAnsi="宋体"/>
        </w:rPr>
        <w:t>（大写）</w:t>
      </w:r>
      <w:r>
        <w:rPr>
          <w:rFonts w:ascii="宋体" w:hAnsi="宋体"/>
          <w:u w:val="single"/>
        </w:rPr>
        <w:t xml:space="preserve">           </w:t>
      </w:r>
      <w:r>
        <w:rPr>
          <w:rFonts w:ascii="宋体" w:hAnsi="宋体"/>
        </w:rPr>
        <w:t>（</w:t>
      </w:r>
      <w:r>
        <w:rPr>
          <w:rFonts w:hint="eastAsia" w:ascii="宋体" w:hAnsi="宋体"/>
          <w:lang w:val="en-US" w:eastAsia="zh-CN"/>
        </w:rPr>
        <w:t>小</w:t>
      </w:r>
      <w:r>
        <w:rPr>
          <w:rFonts w:ascii="宋体" w:hAnsi="宋体"/>
        </w:rPr>
        <w:t>写）</w:t>
      </w:r>
      <w:r>
        <w:rPr>
          <w:rFonts w:ascii="宋体" w:hAnsi="宋体"/>
          <w:u w:val="single"/>
        </w:rPr>
        <w:t xml:space="preserve">      </w:t>
      </w:r>
      <w:r>
        <w:rPr>
          <w:rFonts w:hint="eastAsia" w:ascii="宋体" w:hAnsi="宋体"/>
          <w:u w:val="single"/>
          <w:lang w:val="en-US" w:eastAsia="zh-CN"/>
        </w:rPr>
        <w:t xml:space="preserve">   </w:t>
      </w:r>
      <w:r>
        <w:rPr>
          <w:rFonts w:hint="eastAsia" w:ascii="宋体" w:hAnsi="宋体"/>
        </w:rPr>
        <w:t>，工期</w:t>
      </w:r>
      <w:r>
        <w:rPr>
          <w:rFonts w:hint="eastAsia" w:ascii="宋体" w:hAnsi="宋体"/>
          <w:u w:val="single"/>
        </w:rPr>
        <w:t xml:space="preserve">         </w:t>
      </w:r>
      <w:r>
        <w:rPr>
          <w:rFonts w:hint="eastAsia" w:ascii="宋体" w:hAnsi="宋体"/>
        </w:rPr>
        <w:t>日历天；质量标准</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rPr>
        <w:t>；按合同约定完成设计、采购、施工、竣工验收、协助业主单位办理相关手续、移交前维护、缺陷责任期修复等内容，实现工程目的。</w:t>
      </w:r>
    </w:p>
    <w:p>
      <w:pPr>
        <w:pStyle w:val="14"/>
        <w:spacing w:after="0" w:line="360" w:lineRule="auto"/>
        <w:ind w:left="63" w:right="63" w:firstLine="460" w:firstLineChars="200"/>
        <w:jc w:val="left"/>
        <w:rPr>
          <w:rFonts w:ascii="宋体" w:hAnsi="宋体"/>
        </w:rPr>
      </w:pPr>
      <w:r>
        <w:rPr>
          <w:rFonts w:ascii="宋体" w:hAnsi="宋体"/>
          <w:w w:val="115"/>
        </w:rPr>
        <w:t>2.</w:t>
      </w:r>
      <w:r>
        <w:rPr>
          <w:rFonts w:ascii="宋体" w:hAnsi="宋体"/>
        </w:rPr>
        <w:t>我方承诺在投标有效期内不修改、撤销投标文件。</w:t>
      </w:r>
    </w:p>
    <w:p>
      <w:pPr>
        <w:pStyle w:val="14"/>
        <w:spacing w:after="0" w:line="360" w:lineRule="auto"/>
        <w:ind w:left="63" w:right="63" w:firstLine="460" w:firstLineChars="200"/>
        <w:jc w:val="left"/>
        <w:rPr>
          <w:rFonts w:ascii="宋体" w:hAnsi="宋体"/>
        </w:rPr>
      </w:pPr>
      <w:r>
        <w:rPr>
          <w:rFonts w:ascii="宋体" w:hAnsi="宋体"/>
          <w:w w:val="115"/>
        </w:rPr>
        <w:t>3.</w:t>
      </w:r>
      <w:r>
        <w:rPr>
          <w:rFonts w:ascii="宋体" w:hAnsi="宋体"/>
        </w:rPr>
        <w:t>随同本投标函提交投标保证金一份，金额为人民币（大写）</w:t>
      </w:r>
      <w:r>
        <w:rPr>
          <w:rFonts w:hint="eastAsia" w:ascii="宋体" w:hAnsi="宋体"/>
          <w:u w:val="single"/>
        </w:rPr>
        <w:t xml:space="preserve">             </w:t>
      </w:r>
      <w:r>
        <w:rPr>
          <w:rFonts w:ascii="宋体" w:hAnsi="宋体"/>
        </w:rPr>
        <w:t>（</w:t>
      </w:r>
      <w:r>
        <w:rPr>
          <w:rFonts w:hint="eastAsia" w:ascii="宋体" w:hAnsi="宋体"/>
          <w:lang w:val="en-US" w:eastAsia="zh-CN"/>
        </w:rPr>
        <w:t>小写</w:t>
      </w:r>
      <w:r>
        <w:rPr>
          <w:rFonts w:ascii="宋体" w:hAnsi="宋体"/>
        </w:rPr>
        <w:t>）</w:t>
      </w:r>
      <w:r>
        <w:rPr>
          <w:rFonts w:hint="eastAsia" w:ascii="宋体" w:hAnsi="宋体"/>
          <w:u w:val="single"/>
        </w:rPr>
        <w:t xml:space="preserve">        </w:t>
      </w:r>
      <w:r>
        <w:rPr>
          <w:rFonts w:ascii="宋体" w:hAnsi="宋体"/>
        </w:rPr>
        <w:t>。</w:t>
      </w:r>
    </w:p>
    <w:p>
      <w:pPr>
        <w:pStyle w:val="14"/>
        <w:spacing w:after="0" w:line="360" w:lineRule="auto"/>
        <w:ind w:left="63" w:right="63" w:firstLine="400" w:firstLineChars="200"/>
        <w:jc w:val="left"/>
        <w:rPr>
          <w:rFonts w:ascii="宋体" w:hAnsi="宋体"/>
        </w:rPr>
      </w:pPr>
      <w:r>
        <w:rPr>
          <w:rFonts w:ascii="宋体" w:hAnsi="宋体"/>
        </w:rPr>
        <w:t xml:space="preserve">4.如我方中标： </w:t>
      </w:r>
    </w:p>
    <w:p>
      <w:pPr>
        <w:pStyle w:val="14"/>
        <w:spacing w:after="0" w:line="360" w:lineRule="auto"/>
        <w:ind w:left="63" w:right="63" w:firstLine="400" w:firstLineChars="200"/>
        <w:jc w:val="left"/>
        <w:rPr>
          <w:rFonts w:ascii="宋体" w:hAnsi="宋体"/>
        </w:rPr>
      </w:pPr>
      <w:r>
        <w:rPr>
          <w:rFonts w:ascii="宋体" w:hAnsi="宋体"/>
        </w:rPr>
        <w:t xml:space="preserve">（1）我方承诺在收到中标通知书后，在中标通知书规定的期限内与你方签订合同。 </w:t>
      </w:r>
    </w:p>
    <w:p>
      <w:pPr>
        <w:pStyle w:val="14"/>
        <w:spacing w:after="0" w:line="360" w:lineRule="auto"/>
        <w:ind w:left="63" w:right="63" w:firstLine="400" w:firstLineChars="200"/>
        <w:jc w:val="left"/>
        <w:rPr>
          <w:rFonts w:ascii="宋体" w:hAnsi="宋体"/>
        </w:rPr>
      </w:pPr>
      <w:r>
        <w:rPr>
          <w:rFonts w:ascii="宋体" w:hAnsi="宋体"/>
        </w:rPr>
        <w:t xml:space="preserve">（2）随同本投标函递交的投标函附录属于合同文件的组成部分。 </w:t>
      </w:r>
    </w:p>
    <w:p>
      <w:pPr>
        <w:pStyle w:val="14"/>
        <w:spacing w:after="0" w:line="360" w:lineRule="auto"/>
        <w:ind w:left="63" w:right="63" w:firstLine="400" w:firstLineChars="200"/>
        <w:jc w:val="left"/>
        <w:rPr>
          <w:rFonts w:ascii="宋体" w:hAnsi="宋体"/>
        </w:rPr>
      </w:pPr>
      <w:r>
        <w:rPr>
          <w:rFonts w:ascii="宋体" w:hAnsi="宋体"/>
        </w:rPr>
        <w:t>（</w:t>
      </w:r>
      <w:r>
        <w:rPr>
          <w:rFonts w:hint="eastAsia" w:ascii="宋体" w:hAnsi="宋体"/>
        </w:rPr>
        <w:t>3</w:t>
      </w:r>
      <w:r>
        <w:rPr>
          <w:rFonts w:ascii="宋体" w:hAnsi="宋体"/>
        </w:rPr>
        <w:t xml:space="preserve">）我方承诺在合同约定的期限内完成并移交全部合同工程。 </w:t>
      </w:r>
    </w:p>
    <w:p>
      <w:pPr>
        <w:pStyle w:val="14"/>
        <w:spacing w:after="0" w:line="360" w:lineRule="auto"/>
        <w:ind w:left="63" w:right="63" w:firstLine="400" w:firstLineChars="200"/>
        <w:jc w:val="left"/>
        <w:rPr>
          <w:rFonts w:ascii="宋体" w:hAnsi="宋体"/>
        </w:rPr>
      </w:pPr>
      <w:r>
        <w:rPr>
          <w:rFonts w:ascii="宋体" w:hAnsi="宋体"/>
        </w:rPr>
        <w:t xml:space="preserve">5.我方在此声明，所递交的投标文件及有关资料内容完整、真实和准确，且不存在第二章“投标人须知”第 1.4.3 项规定的任何一种情形。 </w:t>
      </w:r>
    </w:p>
    <w:p>
      <w:pPr>
        <w:pStyle w:val="14"/>
        <w:spacing w:after="0" w:line="360" w:lineRule="auto"/>
        <w:ind w:left="63" w:right="63" w:firstLine="400" w:firstLineChars="200"/>
        <w:jc w:val="left"/>
        <w:rPr>
          <w:rFonts w:ascii="宋体" w:hAnsi="宋体"/>
        </w:rPr>
      </w:pPr>
      <w:r>
        <w:rPr>
          <w:rFonts w:ascii="宋体" w:hAnsi="宋体"/>
        </w:rPr>
        <w:t xml:space="preserve">6.在合同协议书正式签署生效之前，本投标函连同你方的中标通知书将构成我们双方之间共同遵守的文件，对双方具有约束力。 </w:t>
      </w:r>
    </w:p>
    <w:p>
      <w:pPr>
        <w:pStyle w:val="14"/>
        <w:spacing w:after="0" w:line="360" w:lineRule="auto"/>
        <w:ind w:left="63" w:right="63" w:firstLine="400" w:firstLineChars="200"/>
        <w:jc w:val="left"/>
        <w:rPr>
          <w:rFonts w:ascii="宋体" w:hAnsi="宋体"/>
        </w:rPr>
      </w:pPr>
      <w:r>
        <w:rPr>
          <w:rFonts w:ascii="宋体" w:hAnsi="宋体"/>
        </w:rPr>
        <mc:AlternateContent>
          <mc:Choice Requires="wps">
            <w:drawing>
              <wp:anchor distT="0" distB="0" distL="114300" distR="114300" simplePos="0" relativeHeight="251660288" behindDoc="1" locked="0" layoutInCell="1" allowOverlap="1">
                <wp:simplePos x="0" y="0"/>
                <wp:positionH relativeFrom="page">
                  <wp:posOffset>1325245</wp:posOffset>
                </wp:positionH>
                <wp:positionV relativeFrom="paragraph">
                  <wp:posOffset>182880</wp:posOffset>
                </wp:positionV>
                <wp:extent cx="22891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2891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4.35pt;margin-top:14.4pt;height:0pt;width:180.25pt;mso-position-horizontal-relative:page;z-index:-251656192;mso-width-relative:page;mso-height-relative:page;" filled="f" stroked="t" coordsize="21600,21600" o:gfxdata="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z7vD1gAAAAkBAAAPAAAAAAAAAAEAIAAAACIAAABkcnMvZG93bnJldi54bWxQ&#10;SwECFAAUAAAACACHTuJAdX9TF/kBAADyAwAADgAAAAAAAAABACAAAAAlAQAAZHJzL2Uyb0RvYy54&#10;bWxQSwUGAAAAAAYABgBZAQAAkAUAAAAA&#10;">
                <v:fill on="f" focussize="0,0"/>
                <v:stroke color="#000000" joinstyle="round"/>
                <v:imagedata o:title=""/>
                <o:lock v:ext="edit" aspectratio="f"/>
              </v:line>
            </w:pict>
          </mc:Fallback>
        </mc:AlternateContent>
      </w:r>
      <w:r>
        <w:rPr>
          <w:rFonts w:ascii="宋体" w:hAnsi="宋体"/>
        </w:rPr>
        <w:t>7. （ 其 他 补 充 说 明 ） 。</w:t>
      </w:r>
      <w:r>
        <w:rPr>
          <w:rFonts w:ascii="宋体" w:hAnsi="宋体"/>
          <w:w w:val="223"/>
        </w:rPr>
        <w:t xml:space="preserve"> </w:t>
      </w:r>
    </w:p>
    <w:p>
      <w:pPr>
        <w:spacing w:line="360" w:lineRule="auto"/>
        <w:ind w:firstLine="802" w:firstLineChars="200"/>
        <w:jc w:val="left"/>
        <w:rPr>
          <w:rFonts w:ascii="宋体" w:hAnsi="宋体"/>
          <w:sz w:val="18"/>
        </w:rPr>
      </w:pPr>
      <w:r>
        <w:rPr>
          <w:rFonts w:ascii="宋体" w:hAnsi="宋体"/>
          <w:w w:val="223"/>
          <w:sz w:val="18"/>
        </w:rPr>
        <w:t xml:space="preserve"> </w:t>
      </w:r>
    </w:p>
    <w:p>
      <w:pPr>
        <w:spacing w:line="360" w:lineRule="auto"/>
        <w:ind w:firstLine="802" w:firstLineChars="200"/>
        <w:rPr>
          <w:rFonts w:ascii="宋体" w:hAnsi="宋体"/>
          <w:sz w:val="18"/>
        </w:rPr>
      </w:pPr>
      <w:r>
        <w:rPr>
          <w:rFonts w:ascii="宋体" w:hAnsi="宋体"/>
          <w:w w:val="223"/>
          <w:sz w:val="18"/>
        </w:rPr>
        <w:t xml:space="preserve"> </w:t>
      </w:r>
    </w:p>
    <w:p>
      <w:pPr>
        <w:pStyle w:val="14"/>
        <w:spacing w:after="0" w:line="360" w:lineRule="auto"/>
        <w:ind w:left="63" w:right="63" w:firstLine="400" w:firstLineChars="200"/>
        <w:rPr>
          <w:rFonts w:ascii="宋体" w:hAnsi="宋体"/>
        </w:rPr>
      </w:pPr>
      <w:r>
        <w:rPr>
          <w:rFonts w:ascii="宋体" w:hAnsi="宋体"/>
        </w:rPr>
        <mc:AlternateContent>
          <mc:Choice Requires="wps">
            <w:drawing>
              <wp:anchor distT="0" distB="0" distL="114300" distR="114300" simplePos="0" relativeHeight="251661312" behindDoc="1" locked="0" layoutInCell="1" allowOverlap="1">
                <wp:simplePos x="0" y="0"/>
                <wp:positionH relativeFrom="page">
                  <wp:posOffset>3595370</wp:posOffset>
                </wp:positionH>
                <wp:positionV relativeFrom="paragraph">
                  <wp:posOffset>214630</wp:posOffset>
                </wp:positionV>
                <wp:extent cx="175450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75450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3.1pt;margin-top:16.9pt;height:0pt;width:138.15pt;mso-position-horizontal-relative:page;z-index:-251655168;mso-width-relative:page;mso-height-relative:page;" filled="f" stroked="t" coordsize="21600,21600" o:gfxdata="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3OQHTWAAAACQEAAA8AAAAAAAAAAQAgAAAAIgAAAGRycy9kb3ducmV2LnhtbFBL&#10;AQIUABQAAAAIAIdO4kDSHgBO+AEAAPIDAAAOAAAAAAAAAAEAIAAAACUBAABkcnMvZTJvRG9jLnht&#10;bFBLBQYAAAAABgAGAFkBAACPBQAAAAA=&#10;">
                <v:fill on="f" focussize="0,0"/>
                <v:stroke color="#000000" joinstyle="round"/>
                <v:imagedata o:title=""/>
                <o:lock v:ext="edit" aspectratio="f"/>
              </v:line>
            </w:pict>
          </mc:Fallback>
        </mc:AlternateContent>
      </w:r>
      <w:r>
        <w:rPr>
          <w:rFonts w:ascii="宋体" w:hAnsi="宋体"/>
          <w:w w:val="223"/>
          <w:sz w:val="18"/>
        </w:rPr>
        <w:t xml:space="preserve"> </w:t>
      </w:r>
      <w:r>
        <w:rPr>
          <w:rFonts w:ascii="宋体" w:hAnsi="宋体"/>
          <w:w w:val="223"/>
        </w:rPr>
        <w:t xml:space="preserve">           </w:t>
      </w:r>
      <w:r>
        <w:rPr>
          <w:rFonts w:ascii="宋体" w:hAnsi="宋体"/>
        </w:rPr>
        <w:t>投 标 人 ：</w:t>
      </w:r>
      <w:r>
        <w:rPr>
          <w:rFonts w:hint="eastAsia" w:ascii="宋体" w:hAnsi="宋体"/>
        </w:rPr>
        <w:t xml:space="preserve">            </w:t>
      </w:r>
      <w:r>
        <w:rPr>
          <w:rFonts w:ascii="宋体" w:hAnsi="宋体"/>
        </w:rPr>
        <w:t>（ 电 子 签 章 ）</w:t>
      </w:r>
      <w:r>
        <w:rPr>
          <w:rFonts w:ascii="宋体" w:hAnsi="宋体"/>
          <w:w w:val="223"/>
        </w:rPr>
        <w:t xml:space="preserve"> </w:t>
      </w:r>
    </w:p>
    <w:p>
      <w:pPr>
        <w:pStyle w:val="14"/>
        <w:spacing w:after="0" w:line="360" w:lineRule="auto"/>
        <w:ind w:left="63" w:right="63" w:firstLine="892" w:firstLineChars="200"/>
        <w:jc w:val="left"/>
        <w:rPr>
          <w:rFonts w:ascii="宋体" w:hAnsi="宋体"/>
        </w:rPr>
      </w:pPr>
      <w:r>
        <w:rPr>
          <w:rFonts w:ascii="宋体" w:hAnsi="宋体"/>
          <w:w w:val="223"/>
        </w:rPr>
        <w:t xml:space="preserve">    </w:t>
      </w:r>
      <w:r>
        <w:rPr>
          <w:rFonts w:hint="eastAsia" w:ascii="宋体" w:hAnsi="宋体"/>
          <w:w w:val="223"/>
        </w:rPr>
        <w:t xml:space="preserve">     </w:t>
      </w:r>
      <w:r>
        <w:rPr>
          <w:rFonts w:ascii="宋体" w:hAnsi="宋体"/>
          <w:w w:val="223"/>
        </w:rPr>
        <w:t xml:space="preserve"> </w:t>
      </w:r>
      <w:r>
        <w:rPr>
          <w:rFonts w:ascii="宋体" w:hAnsi="宋体"/>
        </w:rPr>
        <w:t>法 定 代 表 人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电 子 签 名 ）</w:t>
      </w:r>
      <w:r>
        <w:rPr>
          <w:rFonts w:ascii="宋体" w:hAnsi="宋体"/>
          <w:w w:val="223"/>
        </w:rPr>
        <w:t xml:space="preserve"> </w:t>
      </w:r>
    </w:p>
    <w:p>
      <w:pPr>
        <w:pStyle w:val="14"/>
        <w:spacing w:after="0" w:line="360" w:lineRule="auto"/>
        <w:ind w:left="63" w:right="63" w:firstLine="892" w:firstLineChars="200"/>
        <w:rPr>
          <w:rFonts w:ascii="宋体" w:hAnsi="宋体"/>
        </w:rPr>
      </w:pPr>
      <w:r>
        <w:rPr>
          <w:rFonts w:ascii="宋体" w:hAnsi="宋体"/>
          <w:w w:val="223"/>
        </w:rPr>
        <w:t xml:space="preserve">           </w:t>
      </w:r>
      <w:r>
        <w:rPr>
          <w:rFonts w:ascii="宋体" w:hAnsi="宋体"/>
        </w:rPr>
        <w:t>地址：</w:t>
      </w:r>
      <w:r>
        <w:rPr>
          <w:rFonts w:ascii="宋体" w:hAnsi="宋体"/>
          <w:w w:val="223"/>
        </w:rPr>
        <w:t xml:space="preserve">                                     </w:t>
      </w:r>
      <w:r>
        <w:rPr>
          <w:rFonts w:ascii="宋体" w:hAnsi="宋体"/>
          <w:spacing w:val="6"/>
          <w:w w:val="223"/>
        </w:rPr>
        <w:t xml:space="preserve"> </w:t>
      </w:r>
      <w:r>
        <w:rPr>
          <w:rFonts w:ascii="宋体" w:hAnsi="宋体"/>
          <w:w w:val="223"/>
        </w:rPr>
        <w:t xml:space="preserve"> </w:t>
      </w:r>
    </w:p>
    <w:p>
      <w:pPr>
        <w:pStyle w:val="14"/>
        <w:spacing w:after="0" w:line="360" w:lineRule="auto"/>
        <w:ind w:left="63" w:right="63" w:firstLine="892" w:firstLineChars="200"/>
        <w:rPr>
          <w:rFonts w:ascii="宋体" w:hAnsi="宋体"/>
        </w:rPr>
      </w:pPr>
      <w:r>
        <w:rPr>
          <w:rFonts w:ascii="宋体" w:hAnsi="宋体"/>
          <w:w w:val="223"/>
        </w:rPr>
        <w:t xml:space="preserve">           </w:t>
      </w:r>
      <w:r>
        <w:rPr>
          <w:rFonts w:ascii="宋体" w:hAnsi="宋体"/>
        </w:rPr>
        <w:t>网址：</w:t>
      </w:r>
      <w:r>
        <w:rPr>
          <w:rFonts w:ascii="宋体" w:hAnsi="宋体"/>
          <w:w w:val="223"/>
        </w:rPr>
        <w:t xml:space="preserve">                                     </w:t>
      </w:r>
      <w:r>
        <w:rPr>
          <w:rFonts w:ascii="宋体" w:hAnsi="宋体"/>
          <w:spacing w:val="6"/>
          <w:w w:val="223"/>
        </w:rPr>
        <w:t xml:space="preserve"> </w:t>
      </w:r>
      <w:r>
        <w:rPr>
          <w:rFonts w:ascii="宋体" w:hAnsi="宋体"/>
          <w:w w:val="223"/>
        </w:rPr>
        <w:t xml:space="preserve"> </w:t>
      </w:r>
    </w:p>
    <w:p>
      <w:pPr>
        <w:pStyle w:val="14"/>
        <w:spacing w:after="0" w:line="360" w:lineRule="auto"/>
        <w:ind w:left="63" w:right="63" w:firstLine="892" w:firstLineChars="200"/>
        <w:rPr>
          <w:rFonts w:ascii="宋体" w:hAnsi="宋体"/>
        </w:rPr>
      </w:pPr>
      <w:r>
        <w:rPr>
          <w:rFonts w:ascii="宋体" w:hAnsi="宋体"/>
          <w:w w:val="223"/>
        </w:rPr>
        <w:t xml:space="preserve">           </w:t>
      </w:r>
      <w:r>
        <w:rPr>
          <w:rFonts w:ascii="宋体" w:hAnsi="宋体"/>
        </w:rPr>
        <w:t>电话：</w:t>
      </w:r>
      <w:r>
        <w:rPr>
          <w:rFonts w:ascii="宋体" w:hAnsi="宋体"/>
          <w:w w:val="223"/>
        </w:rPr>
        <w:t xml:space="preserve">                                     </w:t>
      </w:r>
      <w:r>
        <w:rPr>
          <w:rFonts w:ascii="宋体" w:hAnsi="宋体"/>
          <w:spacing w:val="6"/>
          <w:w w:val="223"/>
        </w:rPr>
        <w:t xml:space="preserve"> </w:t>
      </w:r>
      <w:r>
        <w:rPr>
          <w:rFonts w:ascii="宋体" w:hAnsi="宋体"/>
          <w:w w:val="223"/>
        </w:rPr>
        <w:t xml:space="preserve"> </w:t>
      </w:r>
    </w:p>
    <w:p>
      <w:pPr>
        <w:pStyle w:val="14"/>
        <w:spacing w:after="0" w:line="360" w:lineRule="auto"/>
        <w:ind w:left="63" w:right="63" w:firstLine="892" w:firstLineChars="200"/>
        <w:rPr>
          <w:rFonts w:ascii="宋体" w:hAnsi="宋体"/>
        </w:rPr>
      </w:pPr>
      <w:r>
        <w:rPr>
          <w:rFonts w:ascii="宋体" w:hAnsi="宋体"/>
          <w:w w:val="223"/>
        </w:rPr>
        <w:t xml:space="preserve">        </w:t>
      </w:r>
      <w:r>
        <w:rPr>
          <w:rFonts w:hint="eastAsia" w:ascii="宋体" w:hAnsi="宋体"/>
          <w:w w:val="223"/>
        </w:rPr>
        <w:t xml:space="preserve">   </w:t>
      </w:r>
      <w:r>
        <w:rPr>
          <w:rFonts w:ascii="宋体" w:hAnsi="宋体"/>
        </w:rPr>
        <w:t>传真：</w:t>
      </w:r>
      <w:r>
        <w:rPr>
          <w:rFonts w:ascii="宋体" w:hAnsi="宋体"/>
          <w:w w:val="223"/>
        </w:rPr>
        <w:t xml:space="preserve">                                     </w:t>
      </w:r>
      <w:r>
        <w:rPr>
          <w:rFonts w:ascii="宋体" w:hAnsi="宋体"/>
          <w:spacing w:val="6"/>
          <w:w w:val="223"/>
        </w:rPr>
        <w:t xml:space="preserve"> </w:t>
      </w:r>
      <w:r>
        <w:rPr>
          <w:rFonts w:ascii="宋体" w:hAnsi="宋体"/>
          <w:w w:val="223"/>
        </w:rPr>
        <w:t xml:space="preserve"> </w:t>
      </w:r>
    </w:p>
    <w:p>
      <w:pPr>
        <w:pStyle w:val="14"/>
        <w:spacing w:after="0" w:line="360" w:lineRule="auto"/>
        <w:ind w:left="63" w:right="63" w:firstLine="892" w:firstLineChars="200"/>
        <w:rPr>
          <w:rFonts w:ascii="宋体" w:hAnsi="宋体"/>
        </w:rPr>
      </w:pPr>
      <w:r>
        <w:rPr>
          <w:rFonts w:ascii="宋体" w:hAnsi="宋体"/>
          <w:w w:val="223"/>
        </w:rPr>
        <w:t xml:space="preserve">           </w:t>
      </w:r>
      <w:r>
        <w:rPr>
          <w:rFonts w:ascii="宋体" w:hAnsi="宋体"/>
        </w:rPr>
        <w:t>邮政编码：</w:t>
      </w:r>
      <w:r>
        <w:rPr>
          <w:rFonts w:ascii="宋体" w:hAnsi="宋体"/>
          <w:w w:val="223"/>
        </w:rPr>
        <w:t xml:space="preserve">                                   </w:t>
      </w:r>
    </w:p>
    <w:p>
      <w:pPr>
        <w:pStyle w:val="14"/>
        <w:spacing w:line="360" w:lineRule="exact"/>
        <w:ind w:left="63" w:right="63"/>
        <w:jc w:val="right"/>
      </w:pPr>
      <w:r>
        <w:rPr>
          <w:rFonts w:ascii="宋体" w:hAnsi="宋体"/>
          <w:w w:val="223"/>
        </w:rPr>
        <w:t xml:space="preserve">                                    </w:t>
      </w:r>
      <w:r>
        <w:rPr>
          <w:rFonts w:ascii="宋体" w:hAnsi="宋体"/>
          <w:w w:val="223"/>
          <w:u w:val="single"/>
        </w:rPr>
        <w:t xml:space="preserve">      </w:t>
      </w:r>
      <w:r>
        <w:rPr>
          <w:rFonts w:hint="eastAsia" w:ascii="宋体" w:hAnsi="宋体"/>
          <w:w w:val="223"/>
          <w:u w:val="single"/>
        </w:rPr>
        <w:t xml:space="preserve">   </w:t>
      </w:r>
      <w:r>
        <w:rPr>
          <w:rFonts w:hint="eastAsia" w:ascii="宋体" w:hAnsi="宋体"/>
          <w:w w:val="223"/>
        </w:rPr>
        <w:t xml:space="preserve">             </w:t>
      </w:r>
      <w:r>
        <w:rPr>
          <w:rFonts w:hint="eastAsia" w:ascii="宋体" w:hAnsi="宋体"/>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rPr>
          <w:b/>
          <w:bCs/>
          <w:sz w:val="28"/>
          <w:szCs w:val="28"/>
        </w:rPr>
      </w:pPr>
      <w:bookmarkStart w:id="360" w:name="（二）投标函附录"/>
      <w:bookmarkEnd w:id="360"/>
      <w:r>
        <w:rPr>
          <w:b/>
          <w:bCs/>
          <w:sz w:val="28"/>
          <w:szCs w:val="28"/>
        </w:rPr>
        <w:br w:type="page"/>
      </w:r>
    </w:p>
    <w:p>
      <w:pPr>
        <w:jc w:val="center"/>
        <w:rPr>
          <w:b/>
          <w:bCs/>
          <w:sz w:val="24"/>
        </w:rPr>
      </w:pPr>
      <w:r>
        <w:rPr>
          <w:b/>
          <w:bCs/>
          <w:sz w:val="24"/>
        </w:rPr>
        <w:t>（二）投标函附录</w:t>
      </w:r>
    </w:p>
    <w:p>
      <w:pPr>
        <w:pStyle w:val="14"/>
        <w:spacing w:before="9"/>
        <w:ind w:left="63" w:right="63"/>
        <w:rPr>
          <w:rFonts w:ascii="宋体" w:hAnsi="宋体" w:cs="宋体"/>
          <w:sz w:val="24"/>
          <w:szCs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1250"/>
        <w:gridCol w:w="939"/>
        <w:gridCol w:w="1066"/>
        <w:gridCol w:w="354"/>
        <w:gridCol w:w="711"/>
        <w:gridCol w:w="709"/>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pStyle w:val="14"/>
              <w:ind w:right="63"/>
              <w:rPr>
                <w:rFonts w:ascii="宋体" w:hAnsi="宋体" w:cs="宋体"/>
                <w:sz w:val="24"/>
                <w:szCs w:val="24"/>
                <w:vertAlign w:val="baseline"/>
              </w:rPr>
            </w:pPr>
            <w:r>
              <w:rPr>
                <w:rFonts w:hint="eastAsia" w:ascii="宋体" w:hAnsi="宋体" w:cs="宋体"/>
                <w:sz w:val="24"/>
                <w:szCs w:val="24"/>
                <w:vertAlign w:val="baseline"/>
              </w:rPr>
              <w:t>项目名称及标段</w:t>
            </w:r>
          </w:p>
        </w:tc>
        <w:tc>
          <w:tcPr>
            <w:tcW w:w="6451" w:type="dxa"/>
            <w:gridSpan w:val="7"/>
          </w:tcPr>
          <w:p>
            <w:pPr>
              <w:pStyle w:val="14"/>
              <w:ind w:right="63"/>
              <w:rPr>
                <w:rFonts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pStyle w:val="14"/>
              <w:ind w:right="63"/>
              <w:rPr>
                <w:rFonts w:ascii="宋体" w:hAnsi="宋体" w:cs="宋体"/>
                <w:sz w:val="24"/>
                <w:szCs w:val="24"/>
                <w:vertAlign w:val="baseline"/>
              </w:rPr>
            </w:pPr>
            <w:r>
              <w:rPr>
                <w:rFonts w:hint="eastAsia" w:ascii="宋体" w:hAnsi="宋体" w:cs="宋体"/>
                <w:sz w:val="24"/>
                <w:szCs w:val="24"/>
                <w:vertAlign w:val="baseline"/>
              </w:rPr>
              <w:t>投标单位</w:t>
            </w:r>
          </w:p>
        </w:tc>
        <w:tc>
          <w:tcPr>
            <w:tcW w:w="6451" w:type="dxa"/>
            <w:gridSpan w:val="7"/>
          </w:tcPr>
          <w:p>
            <w:pPr>
              <w:pStyle w:val="14"/>
              <w:ind w:right="63"/>
              <w:rPr>
                <w:rFonts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pStyle w:val="14"/>
              <w:ind w:right="63"/>
              <w:rPr>
                <w:rFonts w:ascii="宋体" w:hAnsi="宋体" w:cs="宋体"/>
                <w:sz w:val="24"/>
                <w:szCs w:val="24"/>
                <w:vertAlign w:val="baseline"/>
              </w:rPr>
            </w:pPr>
            <w:r>
              <w:rPr>
                <w:rFonts w:hint="eastAsia" w:ascii="宋体" w:hAnsi="宋体" w:cs="宋体"/>
                <w:sz w:val="24"/>
                <w:szCs w:val="24"/>
                <w:vertAlign w:val="baseline"/>
              </w:rPr>
              <w:t>投标范围</w:t>
            </w:r>
          </w:p>
        </w:tc>
        <w:tc>
          <w:tcPr>
            <w:tcW w:w="6451" w:type="dxa"/>
            <w:gridSpan w:val="7"/>
          </w:tcPr>
          <w:p>
            <w:pPr>
              <w:pStyle w:val="14"/>
              <w:ind w:right="63"/>
              <w:rPr>
                <w:rFonts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pStyle w:val="14"/>
              <w:ind w:right="63"/>
              <w:rPr>
                <w:rFonts w:ascii="宋体" w:hAnsi="宋体" w:cs="宋体"/>
                <w:sz w:val="24"/>
                <w:szCs w:val="24"/>
                <w:vertAlign w:val="baseline"/>
              </w:rPr>
            </w:pPr>
            <w:r>
              <w:rPr>
                <w:rFonts w:hint="eastAsia" w:ascii="宋体" w:hAnsi="宋体" w:cs="宋体"/>
                <w:sz w:val="24"/>
                <w:szCs w:val="24"/>
                <w:vertAlign w:val="baseline"/>
              </w:rPr>
              <w:t>投标总报价（元）</w:t>
            </w:r>
          </w:p>
        </w:tc>
        <w:tc>
          <w:tcPr>
            <w:tcW w:w="3255" w:type="dxa"/>
            <w:gridSpan w:val="3"/>
          </w:tcPr>
          <w:p>
            <w:pPr>
              <w:pStyle w:val="14"/>
              <w:ind w:right="63"/>
              <w:jc w:val="both"/>
              <w:rPr>
                <w:rFonts w:ascii="宋体" w:hAnsi="宋体" w:cs="宋体"/>
                <w:sz w:val="24"/>
                <w:szCs w:val="24"/>
                <w:vertAlign w:val="baseline"/>
              </w:rPr>
            </w:pPr>
            <w:r>
              <w:rPr>
                <w:rFonts w:hint="eastAsia" w:ascii="宋体" w:hAnsi="宋体" w:cs="宋体"/>
                <w:sz w:val="24"/>
                <w:szCs w:val="24"/>
                <w:vertAlign w:val="baseline"/>
              </w:rPr>
              <w:t>大写：</w:t>
            </w:r>
          </w:p>
        </w:tc>
        <w:tc>
          <w:tcPr>
            <w:tcW w:w="3196" w:type="dxa"/>
            <w:gridSpan w:val="4"/>
          </w:tcPr>
          <w:p>
            <w:pPr>
              <w:pStyle w:val="14"/>
              <w:ind w:right="63"/>
              <w:jc w:val="both"/>
              <w:rPr>
                <w:rFonts w:ascii="宋体" w:hAnsi="宋体" w:cs="宋体"/>
                <w:sz w:val="24"/>
                <w:szCs w:val="24"/>
                <w:vertAlign w:val="baseline"/>
              </w:rPr>
            </w:pPr>
            <w:r>
              <w:rPr>
                <w:rFonts w:hint="eastAsia" w:ascii="宋体" w:hAnsi="宋体" w:cs="宋体"/>
                <w:sz w:val="24"/>
                <w:szCs w:val="24"/>
                <w:vertAlign w:val="baseli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pStyle w:val="14"/>
              <w:ind w:right="63"/>
              <w:rPr>
                <w:rFonts w:hint="eastAsia" w:ascii="宋体" w:hAnsi="宋体" w:cs="宋体"/>
                <w:sz w:val="24"/>
                <w:szCs w:val="24"/>
                <w:vertAlign w:val="baseline"/>
              </w:rPr>
            </w:pPr>
            <w:r>
              <w:rPr>
                <w:rFonts w:hint="eastAsia" w:ascii="宋体" w:hAnsi="宋体" w:cs="宋体"/>
                <w:sz w:val="24"/>
                <w:szCs w:val="24"/>
                <w:vertAlign w:val="baseline"/>
              </w:rPr>
              <w:t>投标报价（元）（投标总报价减</w:t>
            </w:r>
          </w:p>
          <w:p>
            <w:pPr>
              <w:pStyle w:val="14"/>
              <w:ind w:right="63"/>
              <w:rPr>
                <w:rFonts w:hint="eastAsia" w:ascii="宋体" w:hAnsi="宋体" w:cs="宋体"/>
                <w:sz w:val="24"/>
                <w:szCs w:val="24"/>
                <w:vertAlign w:val="baseline"/>
              </w:rPr>
            </w:pPr>
            <w:r>
              <w:rPr>
                <w:rFonts w:hint="eastAsia" w:ascii="宋体" w:hAnsi="宋体" w:cs="宋体"/>
                <w:sz w:val="24"/>
                <w:szCs w:val="24"/>
                <w:vertAlign w:val="baseline"/>
              </w:rPr>
              <w:t>去不可竞争费、暂列金额、专业</w:t>
            </w:r>
          </w:p>
          <w:p>
            <w:pPr>
              <w:pStyle w:val="14"/>
              <w:ind w:right="63"/>
              <w:rPr>
                <w:rFonts w:ascii="宋体" w:hAnsi="宋体" w:cs="宋体"/>
                <w:sz w:val="24"/>
                <w:szCs w:val="24"/>
                <w:vertAlign w:val="baseline"/>
              </w:rPr>
            </w:pPr>
            <w:r>
              <w:rPr>
                <w:rFonts w:hint="eastAsia" w:ascii="宋体" w:hAnsi="宋体" w:cs="宋体"/>
                <w:sz w:val="24"/>
                <w:szCs w:val="24"/>
                <w:vertAlign w:val="baseline"/>
              </w:rPr>
              <w:t>工程暂估价）</w:t>
            </w:r>
          </w:p>
        </w:tc>
        <w:tc>
          <w:tcPr>
            <w:tcW w:w="3255" w:type="dxa"/>
            <w:gridSpan w:val="3"/>
            <w:vAlign w:val="top"/>
          </w:tcPr>
          <w:p>
            <w:pPr>
              <w:pStyle w:val="14"/>
              <w:ind w:left="63" w:leftChars="30" w:right="63" w:rightChars="30"/>
              <w:jc w:val="both"/>
              <w:rPr>
                <w:rFonts w:ascii="宋体" w:hAnsi="宋体" w:eastAsia="宋体" w:cs="宋体"/>
                <w:kern w:val="0"/>
                <w:sz w:val="24"/>
                <w:szCs w:val="24"/>
                <w:vertAlign w:val="baseline"/>
                <w:lang w:val="en-US" w:eastAsia="zh-CN" w:bidi="ar-SA"/>
              </w:rPr>
            </w:pPr>
            <w:r>
              <w:rPr>
                <w:rFonts w:hint="eastAsia" w:ascii="宋体" w:hAnsi="宋体" w:cs="宋体"/>
                <w:sz w:val="24"/>
                <w:szCs w:val="24"/>
                <w:vertAlign w:val="baseline"/>
              </w:rPr>
              <w:t>大写：</w:t>
            </w:r>
          </w:p>
        </w:tc>
        <w:tc>
          <w:tcPr>
            <w:tcW w:w="3196" w:type="dxa"/>
            <w:gridSpan w:val="4"/>
            <w:vAlign w:val="top"/>
          </w:tcPr>
          <w:p>
            <w:pPr>
              <w:pStyle w:val="14"/>
              <w:ind w:left="63" w:leftChars="30" w:right="63" w:rightChars="30"/>
              <w:jc w:val="both"/>
              <w:rPr>
                <w:rFonts w:ascii="宋体" w:hAnsi="宋体" w:eastAsia="宋体" w:cs="宋体"/>
                <w:kern w:val="0"/>
                <w:sz w:val="24"/>
                <w:szCs w:val="24"/>
                <w:vertAlign w:val="baseline"/>
                <w:lang w:val="en-US" w:eastAsia="zh-CN" w:bidi="ar-SA"/>
              </w:rPr>
            </w:pPr>
            <w:r>
              <w:rPr>
                <w:rFonts w:hint="eastAsia" w:ascii="宋体" w:hAnsi="宋体" w:cs="宋体"/>
                <w:sz w:val="24"/>
                <w:szCs w:val="24"/>
                <w:vertAlign w:val="baseli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vMerge w:val="restart"/>
          </w:tcPr>
          <w:p>
            <w:pPr>
              <w:bidi w:val="0"/>
              <w:jc w:val="both"/>
              <w:rPr>
                <w:rFonts w:hint="eastAsia" w:ascii="宋体" w:hAnsi="宋体" w:eastAsia="宋体" w:cs="宋体"/>
                <w:kern w:val="0"/>
                <w:sz w:val="24"/>
                <w:szCs w:val="24"/>
                <w:vertAlign w:val="baseline"/>
                <w:lang w:val="en-US" w:eastAsia="zh-CN" w:bidi="ar-SA"/>
              </w:rPr>
            </w:pPr>
          </w:p>
          <w:p>
            <w:pPr>
              <w:bidi w:val="0"/>
              <w:jc w:val="both"/>
              <w:rPr>
                <w:rFonts w:hint="eastAsia" w:ascii="宋体" w:hAnsi="宋体" w:eastAsia="宋体" w:cs="宋体"/>
                <w:kern w:val="0"/>
                <w:sz w:val="24"/>
                <w:szCs w:val="24"/>
                <w:vertAlign w:val="baseline"/>
                <w:lang w:val="en-US" w:eastAsia="zh-CN" w:bidi="ar-SA"/>
              </w:rPr>
            </w:pPr>
          </w:p>
          <w:p>
            <w:pPr>
              <w:bidi w:val="0"/>
              <w:jc w:val="both"/>
            </w:pPr>
            <w:r>
              <w:rPr>
                <w:rFonts w:hint="eastAsia" w:ascii="宋体" w:hAnsi="宋体" w:eastAsia="宋体" w:cs="宋体"/>
                <w:kern w:val="0"/>
                <w:sz w:val="24"/>
                <w:szCs w:val="24"/>
                <w:vertAlign w:val="baseline"/>
                <w:lang w:val="en-US" w:eastAsia="zh-CN" w:bidi="ar-SA"/>
              </w:rPr>
              <w:t>其中不可竞争费包括</w:t>
            </w:r>
          </w:p>
        </w:tc>
        <w:tc>
          <w:tcPr>
            <w:tcW w:w="2189" w:type="dxa"/>
            <w:gridSpan w:val="2"/>
          </w:tcPr>
          <w:p>
            <w:pPr>
              <w:pStyle w:val="14"/>
              <w:ind w:right="63"/>
              <w:jc w:val="both"/>
              <w:rPr>
                <w:rFonts w:ascii="宋体" w:hAnsi="宋体" w:cs="宋体"/>
                <w:sz w:val="24"/>
                <w:szCs w:val="24"/>
                <w:vertAlign w:val="baseline"/>
              </w:rPr>
            </w:pPr>
            <w:r>
              <w:rPr>
                <w:rFonts w:hint="eastAsia" w:ascii="宋体" w:hAnsi="宋体" w:cs="宋体"/>
                <w:sz w:val="24"/>
                <w:szCs w:val="24"/>
                <w:vertAlign w:val="baseline"/>
              </w:rPr>
              <w:t>规费（元）</w:t>
            </w:r>
          </w:p>
        </w:tc>
        <w:tc>
          <w:tcPr>
            <w:tcW w:w="2131" w:type="dxa"/>
            <w:gridSpan w:val="3"/>
            <w:vAlign w:val="top"/>
          </w:tcPr>
          <w:p>
            <w:pPr>
              <w:pStyle w:val="14"/>
              <w:ind w:left="63" w:leftChars="30" w:right="63" w:rightChars="30"/>
              <w:jc w:val="both"/>
              <w:rPr>
                <w:rFonts w:ascii="宋体" w:hAnsi="宋体" w:cs="宋体"/>
                <w:sz w:val="24"/>
                <w:szCs w:val="24"/>
                <w:vertAlign w:val="baseline"/>
              </w:rPr>
            </w:pPr>
            <w:r>
              <w:rPr>
                <w:rFonts w:hint="eastAsia" w:ascii="宋体" w:hAnsi="宋体" w:cs="宋体"/>
                <w:sz w:val="24"/>
                <w:szCs w:val="24"/>
                <w:vertAlign w:val="baseline"/>
              </w:rPr>
              <w:t>大写：</w:t>
            </w:r>
          </w:p>
        </w:tc>
        <w:tc>
          <w:tcPr>
            <w:tcW w:w="2131" w:type="dxa"/>
            <w:gridSpan w:val="2"/>
            <w:vAlign w:val="top"/>
          </w:tcPr>
          <w:p>
            <w:pPr>
              <w:pStyle w:val="14"/>
              <w:ind w:left="63" w:leftChars="30" w:right="63" w:rightChars="30"/>
              <w:jc w:val="both"/>
              <w:rPr>
                <w:rFonts w:ascii="宋体" w:hAnsi="宋体" w:cs="宋体"/>
                <w:sz w:val="24"/>
                <w:szCs w:val="24"/>
                <w:vertAlign w:val="baseline"/>
              </w:rPr>
            </w:pPr>
            <w:r>
              <w:rPr>
                <w:rFonts w:hint="eastAsia" w:ascii="宋体" w:hAnsi="宋体" w:cs="宋体"/>
                <w:sz w:val="24"/>
                <w:szCs w:val="24"/>
                <w:vertAlign w:val="baseli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vMerge w:val="continue"/>
          </w:tcPr>
          <w:p>
            <w:pPr>
              <w:pStyle w:val="14"/>
              <w:ind w:right="63"/>
              <w:rPr>
                <w:rFonts w:ascii="宋体" w:hAnsi="宋体" w:cs="宋体"/>
                <w:sz w:val="24"/>
                <w:szCs w:val="24"/>
                <w:vertAlign w:val="baseline"/>
              </w:rPr>
            </w:pPr>
          </w:p>
        </w:tc>
        <w:tc>
          <w:tcPr>
            <w:tcW w:w="2189" w:type="dxa"/>
            <w:gridSpan w:val="2"/>
          </w:tcPr>
          <w:p>
            <w:pPr>
              <w:pStyle w:val="14"/>
              <w:ind w:right="63"/>
              <w:jc w:val="both"/>
              <w:rPr>
                <w:rFonts w:ascii="宋体" w:hAnsi="宋体" w:cs="宋体"/>
                <w:sz w:val="24"/>
                <w:szCs w:val="24"/>
                <w:vertAlign w:val="baseline"/>
              </w:rPr>
            </w:pPr>
            <w:r>
              <w:rPr>
                <w:rFonts w:hint="eastAsia" w:ascii="宋体" w:hAnsi="宋体" w:cs="宋体"/>
                <w:sz w:val="24"/>
                <w:szCs w:val="24"/>
                <w:vertAlign w:val="baseline"/>
              </w:rPr>
              <w:t>增值税（元）</w:t>
            </w:r>
          </w:p>
        </w:tc>
        <w:tc>
          <w:tcPr>
            <w:tcW w:w="2131" w:type="dxa"/>
            <w:gridSpan w:val="3"/>
            <w:vAlign w:val="top"/>
          </w:tcPr>
          <w:p>
            <w:pPr>
              <w:pStyle w:val="14"/>
              <w:ind w:left="63" w:leftChars="30" w:right="63" w:rightChars="30"/>
              <w:jc w:val="both"/>
              <w:rPr>
                <w:rFonts w:ascii="宋体" w:hAnsi="宋体" w:cs="宋体"/>
                <w:sz w:val="24"/>
                <w:szCs w:val="24"/>
                <w:vertAlign w:val="baseline"/>
              </w:rPr>
            </w:pPr>
            <w:r>
              <w:rPr>
                <w:rFonts w:hint="eastAsia" w:ascii="宋体" w:hAnsi="宋体" w:cs="宋体"/>
                <w:sz w:val="24"/>
                <w:szCs w:val="24"/>
                <w:vertAlign w:val="baseline"/>
              </w:rPr>
              <w:t>大写：</w:t>
            </w:r>
          </w:p>
        </w:tc>
        <w:tc>
          <w:tcPr>
            <w:tcW w:w="2131" w:type="dxa"/>
            <w:gridSpan w:val="2"/>
            <w:vAlign w:val="top"/>
          </w:tcPr>
          <w:p>
            <w:pPr>
              <w:pStyle w:val="14"/>
              <w:ind w:left="63" w:leftChars="30" w:right="63" w:rightChars="30"/>
              <w:jc w:val="both"/>
              <w:rPr>
                <w:rFonts w:ascii="宋体" w:hAnsi="宋体" w:cs="宋体"/>
                <w:sz w:val="24"/>
                <w:szCs w:val="24"/>
                <w:vertAlign w:val="baseline"/>
              </w:rPr>
            </w:pPr>
            <w:r>
              <w:rPr>
                <w:rFonts w:hint="eastAsia" w:ascii="宋体" w:hAnsi="宋体" w:cs="宋体"/>
                <w:sz w:val="24"/>
                <w:szCs w:val="24"/>
                <w:vertAlign w:val="baseli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071" w:type="dxa"/>
            <w:vMerge w:val="continue"/>
          </w:tcPr>
          <w:p>
            <w:pPr>
              <w:pStyle w:val="14"/>
              <w:ind w:right="63"/>
              <w:rPr>
                <w:rFonts w:ascii="宋体" w:hAnsi="宋体" w:cs="宋体"/>
                <w:sz w:val="24"/>
                <w:szCs w:val="24"/>
                <w:vertAlign w:val="baseline"/>
              </w:rPr>
            </w:pPr>
          </w:p>
        </w:tc>
        <w:tc>
          <w:tcPr>
            <w:tcW w:w="2189" w:type="dxa"/>
            <w:gridSpan w:val="2"/>
          </w:tcPr>
          <w:p>
            <w:pPr>
              <w:pStyle w:val="14"/>
              <w:ind w:right="63"/>
              <w:jc w:val="both"/>
              <w:rPr>
                <w:rFonts w:ascii="宋体" w:hAnsi="宋体" w:cs="宋体"/>
                <w:sz w:val="24"/>
                <w:szCs w:val="24"/>
                <w:vertAlign w:val="baseline"/>
              </w:rPr>
            </w:pPr>
            <w:r>
              <w:rPr>
                <w:rFonts w:hint="eastAsia" w:ascii="宋体" w:hAnsi="宋体" w:cs="宋体"/>
                <w:sz w:val="24"/>
                <w:szCs w:val="24"/>
                <w:vertAlign w:val="baseline"/>
              </w:rPr>
              <w:t>安全文明施工措施费（元）</w:t>
            </w:r>
          </w:p>
        </w:tc>
        <w:tc>
          <w:tcPr>
            <w:tcW w:w="2131" w:type="dxa"/>
            <w:gridSpan w:val="3"/>
            <w:vAlign w:val="top"/>
          </w:tcPr>
          <w:p>
            <w:pPr>
              <w:pStyle w:val="14"/>
              <w:ind w:left="63" w:leftChars="30" w:right="63" w:rightChars="30"/>
              <w:jc w:val="both"/>
              <w:rPr>
                <w:rFonts w:ascii="宋体" w:hAnsi="宋体" w:cs="宋体"/>
                <w:sz w:val="24"/>
                <w:szCs w:val="24"/>
                <w:vertAlign w:val="baseline"/>
              </w:rPr>
            </w:pPr>
            <w:r>
              <w:rPr>
                <w:rFonts w:hint="eastAsia" w:ascii="宋体" w:hAnsi="宋体" w:cs="宋体"/>
                <w:sz w:val="24"/>
                <w:szCs w:val="24"/>
                <w:vertAlign w:val="baseline"/>
              </w:rPr>
              <w:t>大写：</w:t>
            </w:r>
          </w:p>
        </w:tc>
        <w:tc>
          <w:tcPr>
            <w:tcW w:w="2131" w:type="dxa"/>
            <w:gridSpan w:val="2"/>
            <w:vAlign w:val="top"/>
          </w:tcPr>
          <w:p>
            <w:pPr>
              <w:pStyle w:val="14"/>
              <w:ind w:left="63" w:leftChars="30" w:right="63" w:rightChars="30"/>
              <w:jc w:val="both"/>
              <w:rPr>
                <w:rFonts w:ascii="宋体" w:hAnsi="宋体" w:cs="宋体"/>
                <w:sz w:val="24"/>
                <w:szCs w:val="24"/>
                <w:vertAlign w:val="baseline"/>
              </w:rPr>
            </w:pPr>
            <w:r>
              <w:rPr>
                <w:rFonts w:hint="eastAsia" w:ascii="宋体" w:hAnsi="宋体" w:cs="宋体"/>
                <w:sz w:val="24"/>
                <w:szCs w:val="24"/>
                <w:vertAlign w:val="baseli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pPr>
              <w:pStyle w:val="14"/>
              <w:ind w:right="63"/>
              <w:rPr>
                <w:rFonts w:ascii="宋体" w:hAnsi="宋体" w:cs="宋体"/>
                <w:sz w:val="24"/>
                <w:szCs w:val="24"/>
                <w:vertAlign w:val="baseline"/>
              </w:rPr>
            </w:pPr>
            <w:r>
              <w:rPr>
                <w:rFonts w:hint="eastAsia" w:ascii="宋体" w:hAnsi="宋体" w:cs="宋体"/>
                <w:sz w:val="24"/>
                <w:szCs w:val="24"/>
                <w:vertAlign w:val="baseline"/>
              </w:rPr>
              <w:t>暂列金额（元）</w:t>
            </w:r>
          </w:p>
        </w:tc>
        <w:tc>
          <w:tcPr>
            <w:tcW w:w="2131" w:type="dxa"/>
            <w:gridSpan w:val="3"/>
            <w:vAlign w:val="top"/>
          </w:tcPr>
          <w:p>
            <w:pPr>
              <w:pStyle w:val="14"/>
              <w:ind w:left="63" w:leftChars="30" w:right="63" w:rightChars="30"/>
              <w:jc w:val="both"/>
              <w:rPr>
                <w:rFonts w:ascii="宋体" w:hAnsi="宋体" w:eastAsia="宋体" w:cs="宋体"/>
                <w:kern w:val="0"/>
                <w:sz w:val="24"/>
                <w:szCs w:val="24"/>
                <w:vertAlign w:val="baseline"/>
                <w:lang w:val="en-US" w:eastAsia="zh-CN" w:bidi="ar-SA"/>
              </w:rPr>
            </w:pPr>
            <w:r>
              <w:rPr>
                <w:rFonts w:hint="eastAsia" w:ascii="宋体" w:hAnsi="宋体" w:cs="宋体"/>
                <w:sz w:val="24"/>
                <w:szCs w:val="24"/>
                <w:vertAlign w:val="baseline"/>
              </w:rPr>
              <w:t>大写：</w:t>
            </w:r>
          </w:p>
        </w:tc>
        <w:tc>
          <w:tcPr>
            <w:tcW w:w="2131" w:type="dxa"/>
            <w:gridSpan w:val="2"/>
            <w:vAlign w:val="top"/>
          </w:tcPr>
          <w:p>
            <w:pPr>
              <w:pStyle w:val="14"/>
              <w:ind w:left="63" w:leftChars="30" w:right="63" w:rightChars="30"/>
              <w:jc w:val="both"/>
              <w:rPr>
                <w:rFonts w:ascii="宋体" w:hAnsi="宋体" w:eastAsia="宋体" w:cs="宋体"/>
                <w:kern w:val="0"/>
                <w:sz w:val="24"/>
                <w:szCs w:val="24"/>
                <w:vertAlign w:val="baseline"/>
                <w:lang w:val="en-US" w:eastAsia="zh-CN" w:bidi="ar-SA"/>
              </w:rPr>
            </w:pPr>
            <w:r>
              <w:rPr>
                <w:rFonts w:hint="eastAsia" w:ascii="宋体" w:hAnsi="宋体" w:cs="宋体"/>
                <w:sz w:val="24"/>
                <w:szCs w:val="24"/>
                <w:vertAlign w:val="baseli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pPr>
              <w:pStyle w:val="14"/>
              <w:ind w:left="0" w:leftChars="0" w:right="63" w:firstLine="0" w:firstLineChars="0"/>
              <w:jc w:val="both"/>
              <w:rPr>
                <w:rFonts w:ascii="宋体" w:hAnsi="宋体" w:cs="宋体"/>
                <w:sz w:val="24"/>
                <w:szCs w:val="24"/>
                <w:vertAlign w:val="baseline"/>
              </w:rPr>
            </w:pPr>
            <w:r>
              <w:rPr>
                <w:rFonts w:hint="eastAsia" w:ascii="宋体" w:hAnsi="宋体" w:cs="宋体"/>
                <w:sz w:val="24"/>
                <w:szCs w:val="24"/>
                <w:vertAlign w:val="baseline"/>
              </w:rPr>
              <w:t>措施费合计（元）（不含安全文明施工措施费）（评标用）</w:t>
            </w:r>
          </w:p>
        </w:tc>
        <w:tc>
          <w:tcPr>
            <w:tcW w:w="2131" w:type="dxa"/>
            <w:gridSpan w:val="3"/>
            <w:vAlign w:val="top"/>
          </w:tcPr>
          <w:p>
            <w:pPr>
              <w:pStyle w:val="14"/>
              <w:ind w:left="63" w:leftChars="30" w:right="63" w:rightChars="30"/>
              <w:jc w:val="both"/>
              <w:rPr>
                <w:rFonts w:ascii="宋体" w:hAnsi="宋体" w:eastAsia="宋体" w:cs="宋体"/>
                <w:kern w:val="0"/>
                <w:sz w:val="24"/>
                <w:szCs w:val="24"/>
                <w:vertAlign w:val="baseline"/>
                <w:lang w:val="en-US" w:eastAsia="zh-CN" w:bidi="ar-SA"/>
              </w:rPr>
            </w:pPr>
            <w:r>
              <w:rPr>
                <w:rFonts w:hint="eastAsia" w:ascii="宋体" w:hAnsi="宋体" w:cs="宋体"/>
                <w:sz w:val="24"/>
                <w:szCs w:val="24"/>
                <w:vertAlign w:val="baseline"/>
              </w:rPr>
              <w:t>大写：</w:t>
            </w:r>
          </w:p>
        </w:tc>
        <w:tc>
          <w:tcPr>
            <w:tcW w:w="2131" w:type="dxa"/>
            <w:gridSpan w:val="2"/>
            <w:vAlign w:val="top"/>
          </w:tcPr>
          <w:p>
            <w:pPr>
              <w:pStyle w:val="14"/>
              <w:ind w:left="63" w:leftChars="30" w:right="63" w:rightChars="30"/>
              <w:jc w:val="both"/>
              <w:rPr>
                <w:rFonts w:ascii="宋体" w:hAnsi="宋体" w:eastAsia="宋体" w:cs="宋体"/>
                <w:kern w:val="0"/>
                <w:sz w:val="24"/>
                <w:szCs w:val="24"/>
                <w:vertAlign w:val="baseline"/>
                <w:lang w:val="en-US" w:eastAsia="zh-CN" w:bidi="ar-SA"/>
              </w:rPr>
            </w:pPr>
            <w:r>
              <w:rPr>
                <w:rFonts w:hint="eastAsia" w:ascii="宋体" w:hAnsi="宋体" w:cs="宋体"/>
                <w:sz w:val="24"/>
                <w:szCs w:val="24"/>
                <w:vertAlign w:val="baseli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pStyle w:val="14"/>
              <w:ind w:right="63"/>
              <w:rPr>
                <w:rFonts w:ascii="宋体" w:hAnsi="宋体" w:cs="宋体"/>
                <w:sz w:val="24"/>
                <w:szCs w:val="24"/>
                <w:vertAlign w:val="baseline"/>
              </w:rPr>
            </w:pPr>
            <w:r>
              <w:rPr>
                <w:rFonts w:hint="eastAsia" w:ascii="宋体" w:hAnsi="宋体" w:cs="宋体"/>
                <w:sz w:val="24"/>
                <w:szCs w:val="24"/>
                <w:vertAlign w:val="baseline"/>
              </w:rPr>
              <w:t>投标质量</w:t>
            </w:r>
          </w:p>
        </w:tc>
        <w:tc>
          <w:tcPr>
            <w:tcW w:w="2189" w:type="dxa"/>
            <w:gridSpan w:val="2"/>
          </w:tcPr>
          <w:p>
            <w:pPr>
              <w:pStyle w:val="14"/>
              <w:ind w:right="63"/>
              <w:rPr>
                <w:rFonts w:ascii="宋体" w:hAnsi="宋体" w:cs="宋体"/>
                <w:sz w:val="24"/>
                <w:szCs w:val="24"/>
                <w:vertAlign w:val="baseline"/>
              </w:rPr>
            </w:pPr>
          </w:p>
        </w:tc>
        <w:tc>
          <w:tcPr>
            <w:tcW w:w="2131" w:type="dxa"/>
            <w:gridSpan w:val="3"/>
          </w:tcPr>
          <w:p>
            <w:pPr>
              <w:pStyle w:val="14"/>
              <w:ind w:right="63"/>
              <w:rPr>
                <w:rFonts w:ascii="宋体" w:hAnsi="宋体" w:cs="宋体"/>
                <w:sz w:val="24"/>
                <w:szCs w:val="24"/>
                <w:vertAlign w:val="baseline"/>
              </w:rPr>
            </w:pPr>
            <w:r>
              <w:rPr>
                <w:rFonts w:hint="eastAsia" w:ascii="宋体" w:hAnsi="宋体" w:cs="宋体"/>
                <w:sz w:val="24"/>
                <w:szCs w:val="24"/>
                <w:vertAlign w:val="baseline"/>
              </w:rPr>
              <w:t xml:space="preserve"> 投标工期</w:t>
            </w:r>
          </w:p>
        </w:tc>
        <w:tc>
          <w:tcPr>
            <w:tcW w:w="2131" w:type="dxa"/>
            <w:gridSpan w:val="2"/>
          </w:tcPr>
          <w:p>
            <w:pPr>
              <w:pStyle w:val="14"/>
              <w:ind w:right="63"/>
              <w:rPr>
                <w:rFonts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pStyle w:val="14"/>
              <w:ind w:right="63"/>
              <w:rPr>
                <w:rFonts w:ascii="宋体" w:hAnsi="宋体" w:cs="宋体"/>
                <w:sz w:val="24"/>
                <w:szCs w:val="24"/>
                <w:vertAlign w:val="baseline"/>
              </w:rPr>
            </w:pPr>
            <w:r>
              <w:rPr>
                <w:rFonts w:hint="eastAsia" w:ascii="宋体" w:hAnsi="宋体" w:cs="宋体"/>
                <w:sz w:val="24"/>
                <w:szCs w:val="24"/>
                <w:vertAlign w:val="baseline"/>
              </w:rPr>
              <w:t>保修期限</w:t>
            </w:r>
          </w:p>
        </w:tc>
        <w:tc>
          <w:tcPr>
            <w:tcW w:w="6451" w:type="dxa"/>
            <w:gridSpan w:val="7"/>
          </w:tcPr>
          <w:p>
            <w:pPr>
              <w:pStyle w:val="14"/>
              <w:ind w:right="63"/>
              <w:rPr>
                <w:rFonts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71" w:type="dxa"/>
          </w:tcPr>
          <w:p>
            <w:pPr>
              <w:pStyle w:val="14"/>
              <w:ind w:right="63"/>
              <w:rPr>
                <w:rFonts w:ascii="宋体" w:hAnsi="宋体" w:cs="宋体"/>
                <w:sz w:val="24"/>
                <w:szCs w:val="24"/>
                <w:vertAlign w:val="baseline"/>
              </w:rPr>
            </w:pPr>
            <w:r>
              <w:rPr>
                <w:rFonts w:hint="eastAsia" w:ascii="宋体" w:hAnsi="宋体" w:cs="宋体"/>
                <w:sz w:val="24"/>
                <w:szCs w:val="24"/>
                <w:vertAlign w:val="baseline"/>
              </w:rPr>
              <w:t>项目经理</w:t>
            </w:r>
          </w:p>
        </w:tc>
        <w:tc>
          <w:tcPr>
            <w:tcW w:w="1250" w:type="dxa"/>
          </w:tcPr>
          <w:p>
            <w:pPr>
              <w:pStyle w:val="14"/>
              <w:ind w:right="63"/>
              <w:rPr>
                <w:rFonts w:ascii="宋体" w:hAnsi="宋体" w:cs="宋体"/>
                <w:sz w:val="24"/>
                <w:szCs w:val="24"/>
                <w:vertAlign w:val="baseline"/>
              </w:rPr>
            </w:pPr>
          </w:p>
        </w:tc>
        <w:tc>
          <w:tcPr>
            <w:tcW w:w="939" w:type="dxa"/>
          </w:tcPr>
          <w:p>
            <w:pPr>
              <w:pStyle w:val="14"/>
              <w:ind w:right="63"/>
              <w:rPr>
                <w:rFonts w:ascii="宋体" w:hAnsi="宋体" w:cs="宋体"/>
                <w:sz w:val="24"/>
                <w:szCs w:val="24"/>
                <w:vertAlign w:val="baseline"/>
              </w:rPr>
            </w:pPr>
            <w:r>
              <w:rPr>
                <w:rFonts w:hint="eastAsia" w:ascii="宋体" w:hAnsi="宋体" w:cs="宋体"/>
                <w:sz w:val="24"/>
                <w:szCs w:val="24"/>
                <w:vertAlign w:val="baseline"/>
              </w:rPr>
              <w:t>级别</w:t>
            </w:r>
          </w:p>
        </w:tc>
        <w:tc>
          <w:tcPr>
            <w:tcW w:w="1420" w:type="dxa"/>
            <w:gridSpan w:val="2"/>
          </w:tcPr>
          <w:p>
            <w:pPr>
              <w:pStyle w:val="14"/>
              <w:ind w:right="63"/>
              <w:rPr>
                <w:rFonts w:ascii="宋体" w:hAnsi="宋体" w:cs="宋体"/>
                <w:sz w:val="24"/>
                <w:szCs w:val="24"/>
                <w:vertAlign w:val="baseline"/>
              </w:rPr>
            </w:pPr>
          </w:p>
        </w:tc>
        <w:tc>
          <w:tcPr>
            <w:tcW w:w="1420" w:type="dxa"/>
            <w:gridSpan w:val="2"/>
          </w:tcPr>
          <w:p>
            <w:pPr>
              <w:pStyle w:val="14"/>
              <w:ind w:right="63"/>
              <w:rPr>
                <w:rFonts w:ascii="宋体" w:hAnsi="宋体" w:cs="宋体"/>
                <w:sz w:val="24"/>
                <w:szCs w:val="24"/>
                <w:vertAlign w:val="baseline"/>
              </w:rPr>
            </w:pPr>
            <w:r>
              <w:rPr>
                <w:rFonts w:hint="eastAsia" w:ascii="宋体" w:hAnsi="宋体" w:cs="宋体"/>
                <w:sz w:val="24"/>
                <w:szCs w:val="24"/>
                <w:vertAlign w:val="baseline"/>
              </w:rPr>
              <w:t>编号</w:t>
            </w:r>
          </w:p>
        </w:tc>
        <w:tc>
          <w:tcPr>
            <w:tcW w:w="1422" w:type="dxa"/>
          </w:tcPr>
          <w:p>
            <w:pPr>
              <w:pStyle w:val="14"/>
              <w:ind w:right="63"/>
              <w:rPr>
                <w:rFonts w:ascii="宋体" w:hAnsi="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pStyle w:val="14"/>
              <w:ind w:right="63"/>
              <w:rPr>
                <w:rFonts w:hint="eastAsia" w:ascii="宋体" w:hAnsi="宋体" w:cs="宋体"/>
                <w:sz w:val="24"/>
                <w:szCs w:val="24"/>
                <w:vertAlign w:val="baseline"/>
              </w:rPr>
            </w:pPr>
            <w:r>
              <w:rPr>
                <w:rFonts w:hint="eastAsia" w:ascii="宋体" w:hAnsi="宋体" w:cs="宋体"/>
                <w:sz w:val="24"/>
                <w:szCs w:val="24"/>
                <w:vertAlign w:val="baseline"/>
              </w:rPr>
              <w:t>服务承诺</w:t>
            </w:r>
          </w:p>
        </w:tc>
        <w:tc>
          <w:tcPr>
            <w:tcW w:w="6451" w:type="dxa"/>
            <w:gridSpan w:val="7"/>
          </w:tcPr>
          <w:p>
            <w:pPr>
              <w:pStyle w:val="14"/>
              <w:ind w:right="63"/>
              <w:rPr>
                <w:rFonts w:ascii="宋体" w:hAnsi="宋体" w:cs="宋体"/>
                <w:sz w:val="24"/>
                <w:szCs w:val="24"/>
                <w:vertAlign w:val="baseline"/>
              </w:rPr>
            </w:pPr>
          </w:p>
        </w:tc>
      </w:tr>
    </w:tbl>
    <w:p>
      <w:pPr>
        <w:pStyle w:val="14"/>
        <w:ind w:left="63" w:right="63"/>
        <w:rPr>
          <w:rFonts w:ascii="宋体" w:hAnsi="宋体" w:cs="宋体"/>
          <w:sz w:val="24"/>
          <w:szCs w:val="24"/>
        </w:rPr>
      </w:pPr>
    </w:p>
    <w:p>
      <w:pPr>
        <w:pStyle w:val="14"/>
        <w:spacing w:before="17"/>
        <w:ind w:left="63" w:right="63"/>
        <w:rPr>
          <w:rFonts w:ascii="宋体" w:hAnsi="宋体" w:cs="宋体"/>
          <w:sz w:val="24"/>
          <w:szCs w:val="24"/>
        </w:rPr>
      </w:pPr>
    </w:p>
    <w:p>
      <w:pPr>
        <w:spacing w:line="416" w:lineRule="exact"/>
        <w:rPr>
          <w:rFonts w:ascii="宋体" w:hAnsi="宋体" w:cs="宋体"/>
          <w:sz w:val="24"/>
        </w:rPr>
      </w:pPr>
      <w:r>
        <w:rPr>
          <w:rFonts w:hint="eastAsia" w:ascii="宋体" w:hAnsi="宋体" w:cs="宋体"/>
          <w:sz w:val="24"/>
        </w:rPr>
        <w:t>投 标 人 ：</w:t>
      </w:r>
      <w:r>
        <w:rPr>
          <w:rFonts w:hint="eastAsia" w:ascii="宋体" w:hAnsi="宋体" w:cs="宋体"/>
          <w:sz w:val="24"/>
          <w:u w:val="single"/>
        </w:rPr>
        <w:t xml:space="preserve">                </w:t>
      </w:r>
      <w:r>
        <w:rPr>
          <w:rFonts w:hint="eastAsia" w:ascii="宋体" w:hAnsi="宋体" w:cs="宋体"/>
          <w:sz w:val="24"/>
        </w:rPr>
        <w:t>（ 电 子 签 章 ）</w:t>
      </w:r>
      <w:r>
        <w:rPr>
          <w:rFonts w:hint="eastAsia" w:ascii="宋体" w:hAnsi="宋体" w:cs="宋体"/>
          <w:w w:val="223"/>
          <w:sz w:val="24"/>
        </w:rPr>
        <w:t xml:space="preserve"> </w:t>
      </w:r>
    </w:p>
    <w:p>
      <w:pPr>
        <w:spacing w:before="5"/>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（电子签名）</w:t>
      </w:r>
      <w:r>
        <w:rPr>
          <w:rFonts w:hint="eastAsia" w:ascii="宋体" w:hAnsi="宋体" w:cs="宋体"/>
          <w:w w:val="223"/>
          <w:sz w:val="24"/>
        </w:rPr>
        <w:t xml:space="preserve"> </w:t>
      </w:r>
    </w:p>
    <w:p>
      <w:pPr>
        <w:spacing w:line="436" w:lineRule="exact"/>
        <w:rPr>
          <w:rFonts w:ascii="宋体" w:hAnsi="宋体" w:cs="宋体"/>
          <w:sz w:val="24"/>
        </w:rPr>
      </w:pPr>
      <w:r>
        <w:rPr>
          <w:rFonts w:hint="eastAsia" w:ascii="宋体" w:hAnsi="宋体" w:cs="宋体"/>
          <w:w w:val="223"/>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w w:val="223"/>
          <w:sz w:val="24"/>
        </w:rPr>
        <w:t xml:space="preserve"> </w:t>
      </w:r>
    </w:p>
    <w:p>
      <w:pPr>
        <w:pStyle w:val="7"/>
        <w:spacing w:line="600" w:lineRule="exact"/>
        <w:jc w:val="center"/>
        <w:rPr>
          <w:rFonts w:hint="eastAsia" w:hAnsi="宋体" w:cs="黑体"/>
          <w:sz w:val="28"/>
          <w:szCs w:val="28"/>
        </w:rPr>
      </w:pPr>
      <w:bookmarkStart w:id="361" w:name="_Toc8632"/>
      <w:bookmarkStart w:id="362" w:name="_Toc21397"/>
      <w:bookmarkStart w:id="363" w:name="_Toc24186"/>
      <w:bookmarkStart w:id="364" w:name="_Toc291081541"/>
      <w:bookmarkStart w:id="365" w:name="_Toc12219"/>
    </w:p>
    <w:p>
      <w:pPr>
        <w:rPr>
          <w:rFonts w:hint="eastAsia" w:hAnsi="宋体" w:cs="黑体"/>
          <w:sz w:val="28"/>
          <w:szCs w:val="28"/>
        </w:rPr>
      </w:pPr>
      <w:r>
        <w:rPr>
          <w:rFonts w:hint="eastAsia" w:hAnsi="宋体" w:cs="黑体"/>
          <w:sz w:val="28"/>
          <w:szCs w:val="28"/>
        </w:rPr>
        <w:br w:type="page"/>
      </w:r>
    </w:p>
    <w:p>
      <w:pPr>
        <w:pStyle w:val="7"/>
        <w:spacing w:line="600" w:lineRule="exact"/>
        <w:jc w:val="center"/>
        <w:rPr>
          <w:rFonts w:hAnsi="宋体" w:cs="黑体"/>
          <w:sz w:val="28"/>
          <w:szCs w:val="28"/>
        </w:rPr>
      </w:pPr>
      <w:r>
        <w:rPr>
          <w:rFonts w:hint="eastAsia" w:hAnsi="宋体" w:cs="黑体"/>
          <w:sz w:val="28"/>
          <w:szCs w:val="28"/>
        </w:rPr>
        <w:t>二、法定代表人身份证明</w:t>
      </w:r>
      <w:bookmarkEnd w:id="361"/>
      <w:bookmarkEnd w:id="362"/>
      <w:bookmarkEnd w:id="363"/>
      <w:bookmarkEnd w:id="364"/>
      <w:bookmarkEnd w:id="365"/>
    </w:p>
    <w:p>
      <w:pPr>
        <w:spacing w:beforeLines="100" w:afterLines="50"/>
        <w:jc w:val="center"/>
        <w:rPr>
          <w:rFonts w:ascii="黑体" w:hAnsi="宋体" w:eastAsia="黑体"/>
          <w:szCs w:val="21"/>
        </w:rPr>
      </w:pPr>
    </w:p>
    <w:p>
      <w:pPr>
        <w:spacing w:line="500" w:lineRule="exact"/>
        <w:rPr>
          <w:rFonts w:ascii="宋体"/>
          <w:sz w:val="24"/>
        </w:rPr>
      </w:pPr>
      <w:r>
        <w:rPr>
          <w:rFonts w:hint="eastAsia" w:ascii="宋体" w:hAnsi="宋体"/>
          <w:sz w:val="24"/>
        </w:rPr>
        <w:t>投标人：</w:t>
      </w:r>
      <w:r>
        <w:rPr>
          <w:rFonts w:ascii="宋体" w:hAnsi="宋体"/>
          <w:sz w:val="24"/>
        </w:rPr>
        <w:t>___________________________________________________</w:t>
      </w:r>
    </w:p>
    <w:p>
      <w:pPr>
        <w:spacing w:line="500" w:lineRule="exact"/>
        <w:rPr>
          <w:rFonts w:ascii="宋体"/>
          <w:sz w:val="24"/>
          <w:u w:val="single"/>
        </w:rPr>
      </w:pPr>
      <w:r>
        <w:rPr>
          <w:rFonts w:hint="eastAsia" w:ascii="宋体" w:hAnsi="宋体"/>
          <w:sz w:val="24"/>
        </w:rPr>
        <w:t>单位性质：</w:t>
      </w:r>
      <w:r>
        <w:rPr>
          <w:rFonts w:ascii="宋体" w:hAnsi="宋体"/>
          <w:sz w:val="24"/>
        </w:rPr>
        <w:t>___________________________________________________</w:t>
      </w:r>
    </w:p>
    <w:p>
      <w:pPr>
        <w:spacing w:line="500" w:lineRule="exact"/>
        <w:rPr>
          <w:rFonts w:ascii="宋体"/>
          <w:sz w:val="24"/>
          <w:u w:val="single"/>
        </w:rPr>
      </w:pPr>
      <w:r>
        <w:rPr>
          <w:rFonts w:hint="eastAsia" w:ascii="宋体" w:hAnsi="宋体"/>
          <w:sz w:val="24"/>
        </w:rPr>
        <w:t>地址：</w:t>
      </w:r>
      <w:r>
        <w:rPr>
          <w:rFonts w:ascii="宋体" w:hAnsi="宋体"/>
          <w:sz w:val="24"/>
        </w:rPr>
        <w:t>___________________________________________________</w:t>
      </w:r>
    </w:p>
    <w:p>
      <w:pPr>
        <w:spacing w:line="500" w:lineRule="exact"/>
        <w:rPr>
          <w:rFonts w:asci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rPr>
          <w:rFonts w:ascii="宋体"/>
          <w:sz w:val="24"/>
        </w:rPr>
      </w:pPr>
      <w:r>
        <w:rPr>
          <w:rFonts w:hint="eastAsia" w:ascii="宋体" w:hAnsi="宋体"/>
          <w:sz w:val="24"/>
        </w:rPr>
        <w:t>经营期限：</w:t>
      </w:r>
      <w:r>
        <w:rPr>
          <w:rFonts w:ascii="宋体" w:hAnsi="宋体"/>
          <w:sz w:val="24"/>
        </w:rPr>
        <w:t>______________________________</w:t>
      </w:r>
      <w:r>
        <w:rPr>
          <w:rFonts w:hint="eastAsia" w:ascii="宋体" w:hAnsi="宋体"/>
          <w:sz w:val="24"/>
        </w:rPr>
        <w:t xml:space="preserve">         </w:t>
      </w:r>
    </w:p>
    <w:p>
      <w:pPr>
        <w:spacing w:line="500" w:lineRule="exact"/>
        <w:rPr>
          <w:rFonts w:ascii="宋体"/>
          <w:sz w:val="24"/>
        </w:rPr>
      </w:pPr>
      <w:r>
        <w:rPr>
          <w:rFonts w:hint="eastAsia" w:ascii="宋体" w:hAnsi="宋体"/>
          <w:sz w:val="24"/>
        </w:rPr>
        <w:t>姓名：性别：</w:t>
      </w:r>
      <w:r>
        <w:rPr>
          <w:rFonts w:ascii="宋体" w:hAnsi="宋体"/>
          <w:sz w:val="24"/>
        </w:rPr>
        <w:t>_______________</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年龄：职务：</w:t>
      </w:r>
      <w:r>
        <w:rPr>
          <w:rFonts w:ascii="宋体" w:hAnsi="宋体"/>
          <w:sz w:val="24"/>
        </w:rPr>
        <w:t>_______________</w:t>
      </w:r>
    </w:p>
    <w:p>
      <w:pPr>
        <w:spacing w:line="500" w:lineRule="exact"/>
        <w:rPr>
          <w:rFonts w:asci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00" w:lineRule="exact"/>
        <w:rPr>
          <w:rFonts w:ascii="宋体"/>
          <w:sz w:val="24"/>
        </w:rPr>
      </w:pPr>
      <w:r>
        <w:rPr>
          <w:rFonts w:hint="eastAsia" w:ascii="宋体" w:hAnsi="宋体"/>
          <w:sz w:val="24"/>
        </w:rPr>
        <w:t>特此证明。</w:t>
      </w:r>
    </w:p>
    <w:p>
      <w:pPr>
        <w:spacing w:line="500" w:lineRule="exact"/>
        <w:rPr>
          <w:rFonts w:ascii="宋体"/>
          <w:sz w:val="24"/>
        </w:rPr>
      </w:pPr>
    </w:p>
    <w:p>
      <w:pPr>
        <w:spacing w:line="500" w:lineRule="exact"/>
        <w:rPr>
          <w:rFonts w:ascii="宋体"/>
          <w:sz w:val="24"/>
        </w:rPr>
      </w:pPr>
    </w:p>
    <w:p>
      <w:pPr>
        <w:spacing w:line="416" w:lineRule="exact"/>
        <w:jc w:val="right"/>
        <w:rPr>
          <w:sz w:val="24"/>
        </w:rPr>
      </w:pPr>
      <w:r>
        <w:rPr>
          <w:sz w:val="24"/>
        </w:rPr>
        <w:t>投 标 人 ：</w:t>
      </w:r>
      <w:r>
        <w:rPr>
          <w:rFonts w:hint="eastAsia"/>
          <w:sz w:val="24"/>
          <w:u w:val="single"/>
        </w:rPr>
        <w:t xml:space="preserve">           </w:t>
      </w:r>
      <w:r>
        <w:rPr>
          <w:sz w:val="24"/>
          <w:u w:val="single"/>
        </w:rPr>
        <w:t xml:space="preserve"> </w:t>
      </w:r>
      <w:r>
        <w:rPr>
          <w:sz w:val="24"/>
        </w:rPr>
        <w:t>（ 电 子 签 章 ）</w:t>
      </w:r>
      <w:r>
        <w:rPr>
          <w:w w:val="223"/>
          <w:sz w:val="24"/>
        </w:rPr>
        <w:t xml:space="preserve"> </w:t>
      </w:r>
    </w:p>
    <w:p>
      <w:pPr>
        <w:wordWrap w:val="0"/>
        <w:spacing w:line="500" w:lineRule="exact"/>
        <w:jc w:val="right"/>
        <w:rPr>
          <w:rFonts w:ascii="宋体"/>
          <w:sz w:val="24"/>
        </w:rPr>
      </w:pPr>
      <w:r>
        <w:rPr>
          <w:w w:val="223"/>
          <w:sz w:val="24"/>
          <w:u w:val="single"/>
        </w:rPr>
        <w:t xml:space="preserve">   </w:t>
      </w:r>
      <w:r>
        <w:rPr>
          <w:sz w:val="24"/>
        </w:rPr>
        <w:t>年</w:t>
      </w:r>
      <w:r>
        <w:rPr>
          <w:rFonts w:hint="eastAsia"/>
          <w:sz w:val="24"/>
          <w:u w:val="single"/>
        </w:rPr>
        <w:t xml:space="preserve">   </w:t>
      </w:r>
      <w:r>
        <w:rPr>
          <w:sz w:val="24"/>
          <w:u w:val="single"/>
        </w:rPr>
        <w:t xml:space="preserve"> </w:t>
      </w:r>
      <w:r>
        <w:rPr>
          <w:sz w:val="24"/>
        </w:rPr>
        <w:t>月</w:t>
      </w:r>
      <w:r>
        <w:rPr>
          <w:rFonts w:hint="eastAsia"/>
          <w:sz w:val="24"/>
          <w:u w:val="single"/>
        </w:rPr>
        <w:t xml:space="preserve">   </w:t>
      </w:r>
      <w:r>
        <w:rPr>
          <w:sz w:val="24"/>
          <w:u w:val="single"/>
        </w:rPr>
        <w:t xml:space="preserve"> </w:t>
      </w:r>
      <w:r>
        <w:rPr>
          <w:sz w:val="24"/>
        </w:rPr>
        <w:t>日</w:t>
      </w:r>
    </w:p>
    <w:p>
      <w:pPr>
        <w:rPr>
          <w:rFonts w:hint="eastAsia" w:hAnsi="宋体" w:cs="黑体"/>
          <w:sz w:val="28"/>
          <w:szCs w:val="28"/>
          <w:lang w:val="en-US" w:eastAsia="zh-CN"/>
        </w:rPr>
      </w:pPr>
      <w:bookmarkStart w:id="366" w:name="_Toc14586"/>
      <w:bookmarkStart w:id="367" w:name="_Toc291081542"/>
      <w:bookmarkStart w:id="368" w:name="_Toc17259"/>
      <w:bookmarkStart w:id="369" w:name="_Toc9023"/>
      <w:bookmarkStart w:id="370" w:name="_Toc24711"/>
      <w:r>
        <w:rPr>
          <w:rFonts w:hint="eastAsia" w:hAnsi="宋体" w:cs="黑体"/>
          <w:sz w:val="28"/>
          <w:szCs w:val="28"/>
          <w:lang w:val="en-US" w:eastAsia="zh-CN"/>
        </w:rPr>
        <w:br w:type="page"/>
      </w:r>
    </w:p>
    <w:p>
      <w:pPr>
        <w:pStyle w:val="7"/>
        <w:spacing w:line="600" w:lineRule="exact"/>
        <w:jc w:val="center"/>
        <w:rPr>
          <w:rFonts w:hAnsi="宋体" w:cs="黑体"/>
          <w:sz w:val="28"/>
          <w:szCs w:val="28"/>
        </w:rPr>
      </w:pPr>
      <w:r>
        <w:rPr>
          <w:rFonts w:hint="eastAsia" w:hAnsi="宋体" w:cs="黑体"/>
          <w:sz w:val="28"/>
          <w:szCs w:val="28"/>
          <w:lang w:val="en-US" w:eastAsia="zh-CN"/>
        </w:rPr>
        <w:t>三</w:t>
      </w:r>
      <w:r>
        <w:rPr>
          <w:rFonts w:hint="eastAsia" w:hAnsi="宋体" w:cs="黑体"/>
          <w:sz w:val="28"/>
          <w:szCs w:val="28"/>
        </w:rPr>
        <w:t>、授权委托书</w:t>
      </w:r>
      <w:bookmarkEnd w:id="366"/>
      <w:bookmarkEnd w:id="367"/>
      <w:bookmarkEnd w:id="368"/>
      <w:bookmarkEnd w:id="369"/>
      <w:bookmarkEnd w:id="370"/>
    </w:p>
    <w:p>
      <w:pPr>
        <w:spacing w:line="500" w:lineRule="exact"/>
        <w:ind w:firstLine="480" w:firstLineChars="200"/>
        <w:rPr>
          <w:rFonts w:ascii="宋体"/>
          <w:sz w:val="24"/>
        </w:rPr>
      </w:pPr>
    </w:p>
    <w:p>
      <w:pPr>
        <w:spacing w:line="500" w:lineRule="exact"/>
        <w:ind w:firstLine="600" w:firstLineChars="250"/>
        <w:rPr>
          <w:rFonts w:ascii="宋体"/>
          <w:sz w:val="24"/>
          <w:u w:val="single"/>
        </w:rPr>
      </w:pPr>
      <w:r>
        <w:rPr>
          <w:rFonts w:hint="eastAsia" w:ascii="宋体" w:hAnsi="宋体"/>
          <w:sz w:val="24"/>
        </w:rPr>
        <w:t>本人</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姓名）系</w:t>
      </w:r>
      <w:r>
        <w:rPr>
          <w:rFonts w:hint="eastAsia" w:ascii="宋体" w:hAnsi="宋体"/>
          <w:sz w:val="24"/>
          <w:u w:val="single"/>
          <w:lang w:val="en-US" w:eastAsia="zh-CN"/>
        </w:rPr>
        <w:t xml:space="preserve">               </w:t>
      </w:r>
      <w:r>
        <w:rPr>
          <w:rFonts w:hint="eastAsia" w:ascii="宋体" w:hAnsi="宋体"/>
          <w:sz w:val="24"/>
        </w:rPr>
        <w:t>（投标人名称）的法定代表人，现委托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u w:val="none"/>
        </w:rPr>
        <w:t>（项目名称）</w:t>
      </w:r>
      <w:r>
        <w:rPr>
          <w:rFonts w:hint="eastAsia" w:ascii="宋体" w:hAnsi="宋体"/>
          <w:sz w:val="24"/>
        </w:rPr>
        <w:t>的投标文件、签订合同和处理有关事宜，其法律后果由我方承担。</w:t>
      </w:r>
    </w:p>
    <w:p>
      <w:pPr>
        <w:spacing w:beforeLines="50" w:line="500" w:lineRule="exact"/>
        <w:ind w:firstLine="480" w:firstLineChars="200"/>
        <w:rPr>
          <w:rFonts w:ascii="宋体"/>
          <w:sz w:val="24"/>
        </w:rPr>
      </w:pPr>
      <w:r>
        <w:rPr>
          <w:rFonts w:hint="eastAsia" w:ascii="宋体" w:hAnsi="宋体"/>
          <w:sz w:val="24"/>
        </w:rPr>
        <w:t>委托期限：。</w:t>
      </w:r>
    </w:p>
    <w:p>
      <w:pPr>
        <w:spacing w:beforeLines="100" w:afterLines="100" w:line="500" w:lineRule="exact"/>
        <w:ind w:firstLine="480" w:firstLineChars="200"/>
        <w:rPr>
          <w:rFonts w:ascii="宋体"/>
          <w:sz w:val="24"/>
        </w:rPr>
      </w:pPr>
      <w:r>
        <w:rPr>
          <w:rFonts w:hint="eastAsia" w:ascii="宋体" w:hAnsi="宋体"/>
          <w:sz w:val="24"/>
        </w:rPr>
        <w:t>代理人无转委托权。</w:t>
      </w:r>
    </w:p>
    <w:p>
      <w:pPr>
        <w:spacing w:afterLines="100" w:line="500" w:lineRule="exact"/>
        <w:ind w:firstLine="480" w:firstLineChars="200"/>
        <w:rPr>
          <w:rFonts w:ascii="宋体"/>
          <w:sz w:val="24"/>
        </w:rPr>
      </w:pPr>
      <w:r>
        <w:rPr>
          <w:rFonts w:hint="eastAsia" w:ascii="宋体" w:hAnsi="宋体"/>
          <w:sz w:val="24"/>
        </w:rPr>
        <w:t>附：法定代表人和委托代理人身份证明</w:t>
      </w:r>
    </w:p>
    <w:p>
      <w:pPr>
        <w:spacing w:line="500" w:lineRule="exact"/>
        <w:rPr>
          <w:rFonts w:ascii="宋体"/>
          <w:sz w:val="24"/>
        </w:rPr>
      </w:pPr>
    </w:p>
    <w:p>
      <w:pPr>
        <w:spacing w:line="400" w:lineRule="exact"/>
        <w:jc w:val="right"/>
        <w:rPr>
          <w:rFonts w:ascii="宋体" w:hAnsi="宋体"/>
          <w:sz w:val="24"/>
        </w:rPr>
      </w:pPr>
      <w:r>
        <w:rPr>
          <w:rFonts w:ascii="宋体" w:hAnsi="宋体"/>
          <w:sz w:val="24"/>
        </w:rPr>
        <w:t>投 标 人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电 子 签 章 ） </w:t>
      </w:r>
    </w:p>
    <w:p>
      <w:pPr>
        <w:spacing w:line="400" w:lineRule="exact"/>
        <w:ind w:firstLine="3420" w:firstLineChars="1425"/>
        <w:rPr>
          <w:rFonts w:ascii="宋体" w:hAnsi="宋体"/>
          <w:sz w:val="24"/>
        </w:rPr>
      </w:pPr>
      <w:r>
        <w:rPr>
          <w:rFonts w:ascii="宋体" w:hAnsi="宋体"/>
          <w:sz w:val="24"/>
        </w:rPr>
        <w:t>法定代表人：</w:t>
      </w:r>
      <w:r>
        <w:rPr>
          <w:rFonts w:hint="eastAsia" w:ascii="宋体" w:hAnsi="宋体"/>
          <w:sz w:val="24"/>
          <w:u w:val="single"/>
        </w:rPr>
        <w:t xml:space="preserve">                   </w:t>
      </w:r>
      <w:r>
        <w:rPr>
          <w:rFonts w:ascii="宋体" w:hAnsi="宋体"/>
          <w:sz w:val="24"/>
        </w:rPr>
        <w:t xml:space="preserve">（电子签名） </w:t>
      </w:r>
    </w:p>
    <w:p>
      <w:pPr>
        <w:spacing w:line="400" w:lineRule="exact"/>
        <w:ind w:firstLine="3420" w:firstLineChars="1425"/>
        <w:rPr>
          <w:rFonts w:ascii="宋体"/>
          <w:sz w:val="24"/>
          <w:u w:val="single"/>
        </w:rPr>
      </w:pPr>
      <w:r>
        <w:rPr>
          <w:rFonts w:hint="eastAsia" w:ascii="宋体" w:hAnsi="宋体"/>
          <w:sz w:val="24"/>
        </w:rPr>
        <w:t>身份证号码：</w:t>
      </w:r>
      <w:r>
        <w:rPr>
          <w:rFonts w:ascii="宋体" w:hAnsi="宋体"/>
          <w:sz w:val="24"/>
        </w:rPr>
        <w:t xml:space="preserve">_________________________ </w:t>
      </w:r>
    </w:p>
    <w:p>
      <w:pPr>
        <w:spacing w:line="400" w:lineRule="exact"/>
        <w:ind w:firstLine="3420" w:firstLineChars="1425"/>
        <w:jc w:val="left"/>
        <w:rPr>
          <w:rFonts w:ascii="宋体"/>
          <w:sz w:val="24"/>
        </w:rPr>
      </w:pPr>
      <w:r>
        <w:rPr>
          <w:rFonts w:hint="eastAsia" w:ascii="宋体" w:hAnsi="宋体"/>
          <w:sz w:val="24"/>
        </w:rPr>
        <w:t>委托代理人：</w:t>
      </w:r>
      <w:r>
        <w:rPr>
          <w:rFonts w:ascii="宋体" w:hAnsi="宋体"/>
          <w:sz w:val="24"/>
        </w:rPr>
        <w:t>_______________________</w:t>
      </w:r>
    </w:p>
    <w:p>
      <w:pPr>
        <w:spacing w:line="400" w:lineRule="exact"/>
        <w:ind w:firstLine="3420" w:firstLineChars="1425"/>
        <w:rPr>
          <w:rFonts w:ascii="宋体"/>
          <w:sz w:val="24"/>
          <w:u w:val="single"/>
        </w:rPr>
      </w:pPr>
      <w:r>
        <w:rPr>
          <w:rFonts w:hint="eastAsia" w:ascii="宋体" w:hAnsi="宋体"/>
          <w:sz w:val="24"/>
        </w:rPr>
        <w:t>身份证号码：</w:t>
      </w:r>
      <w:r>
        <w:rPr>
          <w:rFonts w:ascii="宋体" w:hAnsi="宋体"/>
          <w:sz w:val="24"/>
        </w:rPr>
        <w:t xml:space="preserve">_________________________ </w:t>
      </w:r>
    </w:p>
    <w:p>
      <w:pPr>
        <w:wordWrap w:val="0"/>
        <w:spacing w:line="500" w:lineRule="exact"/>
        <w:jc w:val="right"/>
        <w:rPr>
          <w:rFonts w:ascii="宋体"/>
          <w:sz w:val="24"/>
        </w:rPr>
      </w:pPr>
      <w:r>
        <w:rPr>
          <w:w w:val="223"/>
          <w:sz w:val="24"/>
          <w:u w:val="single"/>
        </w:rPr>
        <w:t xml:space="preserve">   </w:t>
      </w:r>
      <w:r>
        <w:rPr>
          <w:sz w:val="24"/>
        </w:rPr>
        <w:t>年</w:t>
      </w:r>
      <w:r>
        <w:rPr>
          <w:rFonts w:hint="eastAsia"/>
          <w:sz w:val="24"/>
          <w:u w:val="single"/>
        </w:rPr>
        <w:t xml:space="preserve">   </w:t>
      </w:r>
      <w:r>
        <w:rPr>
          <w:sz w:val="24"/>
          <w:u w:val="single"/>
        </w:rPr>
        <w:t xml:space="preserve"> </w:t>
      </w:r>
      <w:r>
        <w:rPr>
          <w:sz w:val="24"/>
        </w:rPr>
        <w:t>月</w:t>
      </w:r>
      <w:r>
        <w:rPr>
          <w:rFonts w:hint="eastAsia"/>
          <w:sz w:val="24"/>
          <w:u w:val="single"/>
        </w:rPr>
        <w:t xml:space="preserve">   </w:t>
      </w:r>
      <w:r>
        <w:rPr>
          <w:sz w:val="24"/>
          <w:u w:val="single"/>
        </w:rPr>
        <w:t xml:space="preserve"> </w:t>
      </w:r>
      <w:r>
        <w:rPr>
          <w:sz w:val="24"/>
        </w:rPr>
        <w:t>日</w:t>
      </w:r>
    </w:p>
    <w:p>
      <w:pPr>
        <w:spacing w:line="400" w:lineRule="exact"/>
        <w:ind w:firstLine="3420" w:firstLineChars="1425"/>
        <w:rPr>
          <w:rFonts w:ascii="宋体"/>
          <w:sz w:val="24"/>
        </w:rPr>
      </w:pPr>
    </w:p>
    <w:p>
      <w:pPr>
        <w:pStyle w:val="7"/>
        <w:spacing w:line="600" w:lineRule="exact"/>
        <w:jc w:val="center"/>
        <w:rPr>
          <w:rFonts w:hAnsi="宋体" w:cs="黑体"/>
        </w:rPr>
      </w:pPr>
      <w:r>
        <w:rPr>
          <w:rFonts w:ascii="宋体"/>
        </w:rPr>
        <w:br w:type="page"/>
      </w:r>
      <w:bookmarkStart w:id="371" w:name="_Toc291081543"/>
      <w:bookmarkStart w:id="372" w:name="_Toc24277"/>
      <w:bookmarkStart w:id="373" w:name="_Toc8775"/>
      <w:bookmarkStart w:id="374" w:name="_Toc28593"/>
      <w:bookmarkStart w:id="375" w:name="_Toc30522"/>
      <w:r>
        <w:rPr>
          <w:rFonts w:hint="eastAsia" w:ascii="宋体"/>
          <w:lang w:val="en-US" w:eastAsia="zh-CN"/>
        </w:rPr>
        <w:t>四</w:t>
      </w:r>
      <w:r>
        <w:rPr>
          <w:rFonts w:hint="eastAsia" w:hAnsi="宋体" w:cs="黑体"/>
        </w:rPr>
        <w:t>、投标保证金</w:t>
      </w:r>
      <w:bookmarkEnd w:id="371"/>
      <w:bookmarkEnd w:id="372"/>
      <w:bookmarkEnd w:id="373"/>
      <w:bookmarkEnd w:id="374"/>
      <w:bookmarkEnd w:id="375"/>
    </w:p>
    <w:p/>
    <w:p/>
    <w:tbl>
      <w:tblPr>
        <w:tblStyle w:val="25"/>
        <w:tblpPr w:leftFromText="180" w:rightFromText="180" w:vertAnchor="page" w:horzAnchor="margin" w:tblpXSpec="center" w:tblpY="3136"/>
        <w:tblW w:w="5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5504" w:type="dxa"/>
          </w:tcPr>
          <w:p>
            <w:pPr>
              <w:spacing w:beforeLines="100" w:afterLines="50"/>
              <w:jc w:val="center"/>
              <w:rPr>
                <w:rFonts w:ascii="宋体"/>
                <w:szCs w:val="21"/>
              </w:rPr>
            </w:pPr>
          </w:p>
          <w:p>
            <w:pPr>
              <w:spacing w:beforeLines="100" w:afterLines="50"/>
              <w:jc w:val="center"/>
              <w:rPr>
                <w:rFonts w:ascii="宋体"/>
                <w:sz w:val="30"/>
                <w:szCs w:val="30"/>
              </w:rPr>
            </w:pPr>
            <w:r>
              <w:rPr>
                <w:rFonts w:hint="eastAsia" w:ascii="宋体" w:hAnsi="宋体" w:cs="宋体"/>
                <w:b/>
                <w:sz w:val="24"/>
                <w:lang w:val="en-GB"/>
              </w:rPr>
              <w:t>（</w:t>
            </w:r>
            <w:r>
              <w:t>说明：投标人提交的投标保证金应采用招标文件中规定的形式，并在此提供相应凭证的复印件</w:t>
            </w:r>
            <w:r>
              <w:rPr>
                <w:rFonts w:hint="eastAsia"/>
              </w:rPr>
              <w:t>）</w:t>
            </w:r>
          </w:p>
        </w:tc>
      </w:tr>
    </w:tbl>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20" w:firstLineChars="200"/>
        <w:rPr>
          <w:rFonts w:ascii="宋体"/>
          <w:szCs w:val="21"/>
        </w:rPr>
      </w:pPr>
    </w:p>
    <w:p>
      <w:pPr>
        <w:spacing w:line="480" w:lineRule="exact"/>
        <w:ind w:firstLine="420" w:firstLineChars="200"/>
        <w:rPr>
          <w:rFonts w:ascii="宋体"/>
          <w:szCs w:val="21"/>
        </w:rPr>
      </w:pPr>
    </w:p>
    <w:p>
      <w:pPr>
        <w:spacing w:line="480" w:lineRule="exact"/>
        <w:ind w:firstLine="420" w:firstLineChars="200"/>
        <w:rPr>
          <w:rFonts w:ascii="宋体"/>
          <w:szCs w:val="21"/>
        </w:rPr>
      </w:pPr>
    </w:p>
    <w:p>
      <w:pPr>
        <w:spacing w:line="480" w:lineRule="exact"/>
        <w:ind w:firstLine="420" w:firstLineChars="200"/>
        <w:rPr>
          <w:rFonts w:ascii="宋体"/>
          <w:szCs w:val="21"/>
        </w:rPr>
      </w:pPr>
    </w:p>
    <w:p>
      <w:pPr>
        <w:spacing w:line="416" w:lineRule="exact"/>
        <w:jc w:val="right"/>
      </w:pPr>
      <w:r>
        <w:t>投 标 人 ：</w:t>
      </w:r>
      <w:r>
        <w:rPr>
          <w:rFonts w:hint="eastAsia"/>
          <w:u w:val="single"/>
        </w:rPr>
        <w:t xml:space="preserve">              </w:t>
      </w:r>
      <w:r>
        <w:rPr>
          <w:u w:val="single"/>
        </w:rPr>
        <w:t xml:space="preserve"> </w:t>
      </w:r>
      <w:r>
        <w:t>（ 电 子 签 章 ）</w:t>
      </w:r>
    </w:p>
    <w:p>
      <w:pPr>
        <w:spacing w:before="5"/>
        <w:ind w:left="4246"/>
      </w:pPr>
      <w:r>
        <w:t>法定代表人：</w:t>
      </w:r>
      <w:r>
        <w:rPr>
          <w:rFonts w:hint="eastAsia" w:ascii="宋体" w:hAnsi="宋体"/>
          <w:sz w:val="24"/>
          <w:u w:val="single"/>
        </w:rPr>
        <w:t xml:space="preserve">             </w:t>
      </w:r>
      <w:r>
        <w:t>（电子签名）</w:t>
      </w:r>
      <w:r>
        <w:rPr>
          <w:w w:val="223"/>
        </w:rPr>
        <w:t xml:space="preserve"> </w:t>
      </w:r>
    </w:p>
    <w:p>
      <w:pPr>
        <w:spacing w:line="480" w:lineRule="exact"/>
        <w:ind w:firstLine="1800" w:firstLineChars="750"/>
        <w:jc w:val="right"/>
        <w:rPr>
          <w:rFonts w:ascii="宋体"/>
          <w:sz w:val="24"/>
        </w:rPr>
      </w:pPr>
      <w:r>
        <w:rPr>
          <w:rFonts w:hint="eastAsia" w:ascii="宋体" w:hAnsi="宋体"/>
          <w:sz w:val="24"/>
        </w:rPr>
        <w:t>日期：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bookmarkStart w:id="376" w:name="_Toc27611"/>
    </w:p>
    <w:p/>
    <w:p/>
    <w:p/>
    <w:p/>
    <w:p/>
    <w:p/>
    <w:p>
      <w:r>
        <w:br w:type="page"/>
      </w:r>
    </w:p>
    <w:p>
      <w:pPr>
        <w:pStyle w:val="7"/>
        <w:jc w:val="center"/>
        <w:rPr>
          <w:rFonts w:hAnsi="宋体" w:cs="黑体"/>
        </w:rPr>
      </w:pPr>
      <w:bookmarkStart w:id="377" w:name="_Toc13582"/>
      <w:r>
        <w:rPr>
          <w:rFonts w:hint="eastAsia" w:hAnsi="宋体" w:cs="黑体"/>
          <w:lang w:val="en-US" w:eastAsia="zh-CN"/>
        </w:rPr>
        <w:t>五</w:t>
      </w:r>
      <w:r>
        <w:rPr>
          <w:rFonts w:hint="eastAsia" w:hAnsi="宋体" w:cs="黑体"/>
        </w:rPr>
        <w:t>、</w:t>
      </w:r>
      <w:bookmarkEnd w:id="376"/>
      <w:bookmarkEnd w:id="377"/>
      <w:bookmarkStart w:id="378" w:name="_Toc291081546"/>
      <w:bookmarkStart w:id="379" w:name="_Toc20369"/>
      <w:bookmarkStart w:id="380" w:name="_Toc27265"/>
      <w:r>
        <w:rPr>
          <w:rFonts w:hint="eastAsia" w:hAnsi="宋体" w:cs="黑体"/>
        </w:rPr>
        <w:t>已标价工程量清单</w:t>
      </w:r>
    </w:p>
    <w:p>
      <w:pPr>
        <w:pStyle w:val="7"/>
        <w:jc w:val="center"/>
        <w:rPr>
          <w:rFonts w:hint="eastAsia" w:hAnsi="宋体" w:cs="黑体"/>
        </w:rPr>
      </w:pPr>
      <w:bookmarkStart w:id="381" w:name="_Toc32020"/>
      <w:r>
        <w:rPr>
          <w:rFonts w:hint="eastAsia" w:ascii="宋体" w:hAnsi="宋体" w:cs="宋体"/>
          <w:sz w:val="24"/>
        </w:rPr>
        <w:t>说明：已标价工程量清单按“工程量清单”中的相关清单表格格式填写。构成合同文件的已标价工程量清单包括第五章“工程量清单”有关工程量清单、投标报价以及其他说明的内容。</w:t>
      </w:r>
    </w:p>
    <w:p>
      <w:pPr>
        <w:pStyle w:val="7"/>
        <w:jc w:val="center"/>
        <w:rPr>
          <w:rFonts w:hint="eastAsia" w:hAnsi="宋体" w:cs="黑体"/>
        </w:rPr>
      </w:pPr>
    </w:p>
    <w:p>
      <w:pPr>
        <w:pStyle w:val="7"/>
        <w:jc w:val="center"/>
      </w:pPr>
      <w:r>
        <w:rPr>
          <w:rFonts w:hint="eastAsia" w:hAnsi="宋体" w:cs="黑体"/>
          <w:lang w:val="en-US" w:eastAsia="zh-CN"/>
        </w:rPr>
        <w:t>六</w:t>
      </w:r>
      <w:r>
        <w:rPr>
          <w:rFonts w:hint="eastAsia" w:hAnsi="宋体" w:cs="黑体"/>
        </w:rPr>
        <w:t>、</w:t>
      </w:r>
      <w:r>
        <w:rPr>
          <w:rFonts w:hint="eastAsia"/>
        </w:rPr>
        <w:t>施工组织设计（技术标）</w:t>
      </w:r>
      <w:bookmarkEnd w:id="381"/>
    </w:p>
    <w:p>
      <w:pPr>
        <w:widowControl/>
        <w:jc w:val="left"/>
        <w:rPr>
          <w:sz w:val="24"/>
        </w:rPr>
      </w:pPr>
      <w:r>
        <w:rPr>
          <w:rFonts w:hint="eastAsia" w:ascii="宋体" w:hAnsi="宋体" w:cs="宋体"/>
          <w:color w:val="000000"/>
          <w:kern w:val="0"/>
          <w:sz w:val="24"/>
        </w:rPr>
        <w:t xml:space="preserve">（格式自拟，根据评标办法技术标要求制作） </w:t>
      </w:r>
    </w:p>
    <w:p>
      <w:pPr>
        <w:rPr>
          <w:rStyle w:val="58"/>
          <w:rFonts w:ascii="宋体" w:hAnsi="宋体" w:eastAsia="宋体" w:cs="宋体"/>
        </w:rPr>
      </w:pPr>
      <w:r>
        <w:rPr>
          <w:rFonts w:hint="eastAsia" w:ascii="宋体" w:hAnsi="宋体" w:cs="宋体"/>
          <w:color w:val="000000"/>
          <w:sz w:val="24"/>
        </w:rPr>
        <w:br w:type="page"/>
      </w:r>
    </w:p>
    <w:p>
      <w:pPr>
        <w:pStyle w:val="7"/>
        <w:jc w:val="center"/>
      </w:pPr>
      <w:bookmarkStart w:id="382" w:name="_Toc19108"/>
      <w:r>
        <w:rPr>
          <w:rFonts w:hint="eastAsia"/>
          <w:lang w:val="en-US" w:eastAsia="zh-CN"/>
        </w:rPr>
        <w:t>七</w:t>
      </w:r>
      <w:r>
        <w:rPr>
          <w:rFonts w:hint="eastAsia"/>
        </w:rPr>
        <w:t>、项目管理机构</w:t>
      </w:r>
      <w:bookmarkEnd w:id="378"/>
      <w:bookmarkEnd w:id="379"/>
      <w:bookmarkEnd w:id="380"/>
      <w:bookmarkEnd w:id="382"/>
    </w:p>
    <w:p>
      <w:pPr>
        <w:spacing w:beforeLines="100" w:afterLines="50"/>
        <w:jc w:val="center"/>
        <w:rPr>
          <w:rFonts w:ascii="宋体"/>
          <w:b/>
          <w:sz w:val="24"/>
        </w:rPr>
      </w:pPr>
      <w:r>
        <w:rPr>
          <w:rFonts w:hint="eastAsia" w:ascii="宋体" w:hAnsi="宋体"/>
          <w:b/>
          <w:sz w:val="24"/>
        </w:rPr>
        <w:t>（一）项目管理机构组成表</w:t>
      </w:r>
    </w:p>
    <w:tbl>
      <w:tblPr>
        <w:tblStyle w:val="2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00"/>
        <w:gridCol w:w="900"/>
        <w:gridCol w:w="1260"/>
        <w:gridCol w:w="1080"/>
        <w:gridCol w:w="900"/>
        <w:gridCol w:w="126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Merge w:val="restart"/>
            <w:vAlign w:val="center"/>
          </w:tcPr>
          <w:p>
            <w:pPr>
              <w:jc w:val="center"/>
              <w:rPr>
                <w:rFonts w:ascii="宋体"/>
                <w:sz w:val="24"/>
              </w:rPr>
            </w:pPr>
            <w:r>
              <w:rPr>
                <w:rFonts w:hint="eastAsia" w:ascii="宋体" w:hAnsi="宋体"/>
                <w:sz w:val="24"/>
              </w:rPr>
              <w:t>职务</w:t>
            </w:r>
          </w:p>
        </w:tc>
        <w:tc>
          <w:tcPr>
            <w:tcW w:w="900" w:type="dxa"/>
            <w:vMerge w:val="restart"/>
            <w:vAlign w:val="center"/>
          </w:tcPr>
          <w:p>
            <w:pPr>
              <w:jc w:val="center"/>
              <w:rPr>
                <w:rFonts w:ascii="宋体"/>
                <w:sz w:val="24"/>
              </w:rPr>
            </w:pPr>
            <w:r>
              <w:rPr>
                <w:rFonts w:hint="eastAsia" w:ascii="宋体" w:hAnsi="宋体"/>
                <w:sz w:val="24"/>
              </w:rPr>
              <w:t>姓名</w:t>
            </w:r>
          </w:p>
        </w:tc>
        <w:tc>
          <w:tcPr>
            <w:tcW w:w="900" w:type="dxa"/>
            <w:vMerge w:val="restart"/>
            <w:vAlign w:val="center"/>
          </w:tcPr>
          <w:p>
            <w:pPr>
              <w:jc w:val="center"/>
              <w:rPr>
                <w:rFonts w:ascii="宋体"/>
                <w:sz w:val="24"/>
              </w:rPr>
            </w:pPr>
            <w:r>
              <w:rPr>
                <w:rFonts w:hint="eastAsia" w:ascii="宋体" w:hAnsi="宋体"/>
                <w:sz w:val="24"/>
              </w:rPr>
              <w:t>职称</w:t>
            </w:r>
          </w:p>
        </w:tc>
        <w:tc>
          <w:tcPr>
            <w:tcW w:w="5580" w:type="dxa"/>
            <w:gridSpan w:val="5"/>
            <w:vAlign w:val="center"/>
          </w:tcPr>
          <w:p>
            <w:pPr>
              <w:jc w:val="center"/>
              <w:rPr>
                <w:rFonts w:ascii="宋体"/>
                <w:sz w:val="24"/>
              </w:rPr>
            </w:pPr>
            <w:r>
              <w:rPr>
                <w:rFonts w:hint="eastAsia" w:ascii="宋体" w:hAnsi="宋体"/>
                <w:sz w:val="24"/>
              </w:rPr>
              <w:t>执业或职业资格证明</w:t>
            </w:r>
          </w:p>
        </w:tc>
        <w:tc>
          <w:tcPr>
            <w:tcW w:w="900" w:type="dxa"/>
            <w:vMerge w:val="restart"/>
            <w:vAlign w:val="center"/>
          </w:tcPr>
          <w:p>
            <w:pPr>
              <w:jc w:val="cente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Merge w:val="continue"/>
            <w:vAlign w:val="center"/>
          </w:tcPr>
          <w:p>
            <w:pPr>
              <w:jc w:val="center"/>
              <w:rPr>
                <w:rFonts w:ascii="宋体"/>
                <w:sz w:val="24"/>
              </w:rPr>
            </w:pPr>
          </w:p>
        </w:tc>
        <w:tc>
          <w:tcPr>
            <w:tcW w:w="900" w:type="dxa"/>
            <w:vMerge w:val="continue"/>
            <w:vAlign w:val="center"/>
          </w:tcPr>
          <w:p>
            <w:pPr>
              <w:jc w:val="center"/>
              <w:rPr>
                <w:rFonts w:ascii="宋体"/>
                <w:sz w:val="24"/>
              </w:rPr>
            </w:pPr>
          </w:p>
        </w:tc>
        <w:tc>
          <w:tcPr>
            <w:tcW w:w="900" w:type="dxa"/>
            <w:vMerge w:val="continue"/>
            <w:vAlign w:val="center"/>
          </w:tcPr>
          <w:p>
            <w:pPr>
              <w:jc w:val="center"/>
              <w:rPr>
                <w:rFonts w:ascii="宋体"/>
                <w:sz w:val="24"/>
              </w:rPr>
            </w:pPr>
          </w:p>
        </w:tc>
        <w:tc>
          <w:tcPr>
            <w:tcW w:w="1260" w:type="dxa"/>
            <w:vAlign w:val="center"/>
          </w:tcPr>
          <w:p>
            <w:pPr>
              <w:jc w:val="center"/>
              <w:rPr>
                <w:rFonts w:ascii="宋体"/>
                <w:sz w:val="24"/>
              </w:rPr>
            </w:pPr>
            <w:r>
              <w:rPr>
                <w:rFonts w:hint="eastAsia" w:ascii="宋体" w:hAnsi="宋体"/>
                <w:sz w:val="24"/>
              </w:rPr>
              <w:t>证书名称</w:t>
            </w:r>
          </w:p>
        </w:tc>
        <w:tc>
          <w:tcPr>
            <w:tcW w:w="1080" w:type="dxa"/>
            <w:vAlign w:val="center"/>
          </w:tcPr>
          <w:p>
            <w:pPr>
              <w:jc w:val="center"/>
              <w:rPr>
                <w:rFonts w:ascii="宋体"/>
                <w:sz w:val="24"/>
              </w:rPr>
            </w:pPr>
            <w:r>
              <w:rPr>
                <w:rFonts w:hint="eastAsia" w:ascii="宋体" w:hAnsi="宋体"/>
                <w:sz w:val="24"/>
              </w:rPr>
              <w:t>级别</w:t>
            </w:r>
          </w:p>
        </w:tc>
        <w:tc>
          <w:tcPr>
            <w:tcW w:w="900" w:type="dxa"/>
            <w:vAlign w:val="center"/>
          </w:tcPr>
          <w:p>
            <w:pPr>
              <w:jc w:val="center"/>
              <w:rPr>
                <w:rFonts w:ascii="宋体"/>
                <w:sz w:val="24"/>
              </w:rPr>
            </w:pPr>
            <w:r>
              <w:rPr>
                <w:rFonts w:hint="eastAsia" w:ascii="宋体" w:hAnsi="宋体"/>
                <w:sz w:val="24"/>
              </w:rPr>
              <w:t>证号</w:t>
            </w:r>
          </w:p>
        </w:tc>
        <w:tc>
          <w:tcPr>
            <w:tcW w:w="1260" w:type="dxa"/>
            <w:vAlign w:val="center"/>
          </w:tcPr>
          <w:p>
            <w:pPr>
              <w:jc w:val="center"/>
              <w:rPr>
                <w:rFonts w:ascii="宋体"/>
                <w:sz w:val="24"/>
              </w:rPr>
            </w:pPr>
            <w:r>
              <w:rPr>
                <w:rFonts w:hint="eastAsia" w:ascii="宋体" w:hAnsi="宋体"/>
                <w:sz w:val="24"/>
              </w:rPr>
              <w:t>专业</w:t>
            </w:r>
          </w:p>
        </w:tc>
        <w:tc>
          <w:tcPr>
            <w:tcW w:w="1080" w:type="dxa"/>
            <w:vAlign w:val="center"/>
          </w:tcPr>
          <w:p>
            <w:pPr>
              <w:jc w:val="center"/>
              <w:rPr>
                <w:rFonts w:ascii="宋体"/>
                <w:sz w:val="24"/>
              </w:rPr>
            </w:pPr>
            <w:r>
              <w:rPr>
                <w:rFonts w:hint="eastAsia" w:ascii="宋体"/>
                <w:sz w:val="24"/>
              </w:rPr>
              <w:t>社保</w:t>
            </w:r>
          </w:p>
        </w:tc>
        <w:tc>
          <w:tcPr>
            <w:tcW w:w="900" w:type="dxa"/>
            <w:vMerge w:val="continue"/>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vAlign w:val="center"/>
          </w:tcPr>
          <w:p>
            <w:pPr>
              <w:jc w:val="center"/>
              <w:rPr>
                <w:rFonts w:ascii="宋体"/>
                <w:sz w:val="24"/>
              </w:rPr>
            </w:pPr>
          </w:p>
        </w:tc>
        <w:tc>
          <w:tcPr>
            <w:tcW w:w="90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c>
          <w:tcPr>
            <w:tcW w:w="1260" w:type="dxa"/>
            <w:vAlign w:val="center"/>
          </w:tcPr>
          <w:p>
            <w:pPr>
              <w:jc w:val="center"/>
              <w:rPr>
                <w:rFonts w:ascii="宋体"/>
                <w:sz w:val="24"/>
              </w:rPr>
            </w:pPr>
          </w:p>
        </w:tc>
        <w:tc>
          <w:tcPr>
            <w:tcW w:w="1080" w:type="dxa"/>
            <w:vAlign w:val="center"/>
          </w:tcPr>
          <w:p>
            <w:pPr>
              <w:jc w:val="center"/>
              <w:rPr>
                <w:rFonts w:ascii="宋体"/>
                <w:sz w:val="24"/>
              </w:rPr>
            </w:pPr>
          </w:p>
        </w:tc>
        <w:tc>
          <w:tcPr>
            <w:tcW w:w="900" w:type="dxa"/>
            <w:vAlign w:val="center"/>
          </w:tcPr>
          <w:p>
            <w:pPr>
              <w:jc w:val="center"/>
              <w:rPr>
                <w:rFonts w:ascii="宋体"/>
                <w:sz w:val="24"/>
              </w:rPr>
            </w:pPr>
          </w:p>
        </w:tc>
      </w:tr>
    </w:tbl>
    <w:p>
      <w:pPr>
        <w:spacing w:line="420" w:lineRule="exact"/>
        <w:rPr>
          <w:rFonts w:ascii="宋体"/>
          <w:szCs w:val="21"/>
        </w:rPr>
      </w:pPr>
    </w:p>
    <w:p>
      <w:pPr>
        <w:spacing w:beforeLines="100" w:afterLines="50"/>
        <w:jc w:val="center"/>
        <w:rPr>
          <w:rFonts w:ascii="宋体"/>
          <w:b/>
          <w:sz w:val="24"/>
        </w:rPr>
      </w:pPr>
      <w:r>
        <w:rPr>
          <w:rFonts w:ascii="宋体"/>
          <w:szCs w:val="21"/>
        </w:rPr>
        <w:br w:type="page"/>
      </w:r>
      <w:r>
        <w:rPr>
          <w:rFonts w:hint="eastAsia" w:ascii="宋体" w:hAnsi="宋体"/>
          <w:b/>
          <w:sz w:val="24"/>
        </w:rPr>
        <w:t>（二）主要人员简历表</w:t>
      </w:r>
    </w:p>
    <w:p>
      <w:pPr>
        <w:spacing w:beforeLines="100" w:afterLines="50"/>
        <w:rPr>
          <w:rFonts w:ascii="宋体"/>
          <w:b/>
          <w:sz w:val="24"/>
        </w:rPr>
      </w:pPr>
      <w:r>
        <w:rPr>
          <w:rFonts w:hint="eastAsia" w:ascii="宋体" w:hAnsi="宋体"/>
          <w:b/>
          <w:sz w:val="24"/>
        </w:rPr>
        <w:t>附</w:t>
      </w:r>
      <w:r>
        <w:rPr>
          <w:rFonts w:hint="eastAsia" w:ascii="宋体" w:hAnsi="宋体"/>
          <w:b/>
          <w:sz w:val="24"/>
          <w:lang w:val="en-US" w:eastAsia="zh-CN"/>
        </w:rPr>
        <w:t>1</w:t>
      </w:r>
      <w:r>
        <w:rPr>
          <w:rFonts w:hint="eastAsia" w:ascii="宋体" w:hAnsi="宋体"/>
          <w:b/>
          <w:sz w:val="24"/>
        </w:rPr>
        <w:t>：项目施工经理简历表</w:t>
      </w:r>
    </w:p>
    <w:tbl>
      <w:tblPr>
        <w:tblStyle w:val="2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12"/>
        <w:gridCol w:w="1073"/>
        <w:gridCol w:w="1175"/>
        <w:gridCol w:w="995"/>
        <w:gridCol w:w="328"/>
        <w:gridCol w:w="1510"/>
        <w:gridCol w:w="402"/>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12" w:type="dxa"/>
            <w:gridSpan w:val="2"/>
            <w:vAlign w:val="center"/>
          </w:tcPr>
          <w:p>
            <w:pPr>
              <w:jc w:val="center"/>
              <w:rPr>
                <w:rFonts w:ascii="宋体"/>
                <w:sz w:val="24"/>
              </w:rPr>
            </w:pPr>
            <w:r>
              <w:rPr>
                <w:rFonts w:hint="eastAsia" w:ascii="宋体" w:hAnsi="宋体"/>
                <w:sz w:val="24"/>
              </w:rPr>
              <w:t>姓名</w:t>
            </w:r>
          </w:p>
        </w:tc>
        <w:tc>
          <w:tcPr>
            <w:tcW w:w="1073" w:type="dxa"/>
            <w:vAlign w:val="center"/>
          </w:tcPr>
          <w:p>
            <w:pPr>
              <w:jc w:val="center"/>
              <w:rPr>
                <w:rFonts w:ascii="宋体"/>
                <w:sz w:val="24"/>
              </w:rPr>
            </w:pPr>
          </w:p>
        </w:tc>
        <w:tc>
          <w:tcPr>
            <w:tcW w:w="1175" w:type="dxa"/>
            <w:vAlign w:val="center"/>
          </w:tcPr>
          <w:p>
            <w:pPr>
              <w:jc w:val="center"/>
              <w:rPr>
                <w:rFonts w:ascii="宋体"/>
                <w:sz w:val="24"/>
              </w:rPr>
            </w:pPr>
            <w:r>
              <w:rPr>
                <w:rFonts w:hint="eastAsia" w:ascii="宋体" w:hAnsi="宋体"/>
                <w:sz w:val="24"/>
              </w:rPr>
              <w:t>年龄</w:t>
            </w:r>
          </w:p>
        </w:tc>
        <w:tc>
          <w:tcPr>
            <w:tcW w:w="1323" w:type="dxa"/>
            <w:gridSpan w:val="2"/>
            <w:vAlign w:val="center"/>
          </w:tcPr>
          <w:p>
            <w:pPr>
              <w:jc w:val="center"/>
              <w:rPr>
                <w:rFonts w:ascii="宋体"/>
                <w:sz w:val="24"/>
              </w:rPr>
            </w:pPr>
          </w:p>
        </w:tc>
        <w:tc>
          <w:tcPr>
            <w:tcW w:w="1912" w:type="dxa"/>
            <w:gridSpan w:val="2"/>
            <w:vAlign w:val="center"/>
          </w:tcPr>
          <w:p>
            <w:pPr>
              <w:jc w:val="center"/>
              <w:rPr>
                <w:rFonts w:ascii="宋体"/>
                <w:sz w:val="24"/>
              </w:rPr>
            </w:pPr>
            <w:r>
              <w:rPr>
                <w:rFonts w:hint="eastAsia" w:ascii="宋体" w:hAnsi="宋体"/>
                <w:sz w:val="24"/>
              </w:rPr>
              <w:t>学历</w:t>
            </w:r>
          </w:p>
        </w:tc>
        <w:tc>
          <w:tcPr>
            <w:tcW w:w="2205"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12" w:type="dxa"/>
            <w:gridSpan w:val="2"/>
            <w:vAlign w:val="center"/>
          </w:tcPr>
          <w:p>
            <w:pPr>
              <w:jc w:val="center"/>
              <w:rPr>
                <w:rFonts w:ascii="宋体"/>
                <w:sz w:val="24"/>
              </w:rPr>
            </w:pPr>
            <w:r>
              <w:rPr>
                <w:rFonts w:hint="eastAsia" w:ascii="宋体" w:hAnsi="宋体"/>
                <w:sz w:val="24"/>
              </w:rPr>
              <w:t>职称</w:t>
            </w:r>
          </w:p>
        </w:tc>
        <w:tc>
          <w:tcPr>
            <w:tcW w:w="1073" w:type="dxa"/>
            <w:vAlign w:val="center"/>
          </w:tcPr>
          <w:p>
            <w:pPr>
              <w:jc w:val="center"/>
              <w:rPr>
                <w:rFonts w:ascii="宋体"/>
                <w:sz w:val="24"/>
              </w:rPr>
            </w:pPr>
          </w:p>
        </w:tc>
        <w:tc>
          <w:tcPr>
            <w:tcW w:w="1175" w:type="dxa"/>
            <w:vAlign w:val="center"/>
          </w:tcPr>
          <w:p>
            <w:pPr>
              <w:jc w:val="center"/>
              <w:rPr>
                <w:rFonts w:ascii="宋体"/>
                <w:sz w:val="24"/>
              </w:rPr>
            </w:pPr>
            <w:r>
              <w:rPr>
                <w:rFonts w:hint="eastAsia" w:ascii="宋体" w:hAnsi="宋体"/>
                <w:sz w:val="24"/>
              </w:rPr>
              <w:t>职务</w:t>
            </w:r>
          </w:p>
        </w:tc>
        <w:tc>
          <w:tcPr>
            <w:tcW w:w="1323" w:type="dxa"/>
            <w:gridSpan w:val="2"/>
            <w:vAlign w:val="center"/>
          </w:tcPr>
          <w:p>
            <w:pPr>
              <w:jc w:val="center"/>
              <w:rPr>
                <w:rFonts w:ascii="宋体"/>
                <w:sz w:val="24"/>
              </w:rPr>
            </w:pPr>
          </w:p>
        </w:tc>
        <w:tc>
          <w:tcPr>
            <w:tcW w:w="1912" w:type="dxa"/>
            <w:gridSpan w:val="2"/>
            <w:vAlign w:val="center"/>
          </w:tcPr>
          <w:p>
            <w:pPr>
              <w:jc w:val="center"/>
              <w:rPr>
                <w:rFonts w:ascii="宋体"/>
                <w:sz w:val="24"/>
              </w:rPr>
            </w:pPr>
            <w:r>
              <w:rPr>
                <w:rFonts w:hint="eastAsia" w:ascii="宋体" w:hAnsi="宋体"/>
                <w:sz w:val="24"/>
              </w:rPr>
              <w:t>拟在本工程任职</w:t>
            </w:r>
          </w:p>
        </w:tc>
        <w:tc>
          <w:tcPr>
            <w:tcW w:w="2205"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560" w:type="dxa"/>
            <w:gridSpan w:val="4"/>
            <w:vAlign w:val="center"/>
          </w:tcPr>
          <w:p>
            <w:pPr>
              <w:jc w:val="center"/>
              <w:rPr>
                <w:rFonts w:ascii="宋体"/>
                <w:sz w:val="24"/>
              </w:rPr>
            </w:pPr>
            <w:r>
              <w:rPr>
                <w:rFonts w:hint="eastAsia" w:ascii="宋体"/>
                <w:sz w:val="24"/>
              </w:rPr>
              <w:t>证书编号</w:t>
            </w:r>
          </w:p>
        </w:tc>
        <w:tc>
          <w:tcPr>
            <w:tcW w:w="1323" w:type="dxa"/>
            <w:gridSpan w:val="2"/>
            <w:vAlign w:val="center"/>
          </w:tcPr>
          <w:p>
            <w:pPr>
              <w:jc w:val="center"/>
              <w:rPr>
                <w:rFonts w:ascii="宋体"/>
                <w:sz w:val="24"/>
              </w:rPr>
            </w:pPr>
          </w:p>
        </w:tc>
        <w:tc>
          <w:tcPr>
            <w:tcW w:w="1912" w:type="dxa"/>
            <w:gridSpan w:val="2"/>
            <w:vAlign w:val="center"/>
          </w:tcPr>
          <w:p>
            <w:pPr>
              <w:jc w:val="center"/>
              <w:rPr>
                <w:rFonts w:ascii="宋体"/>
                <w:sz w:val="24"/>
              </w:rPr>
            </w:pPr>
            <w:r>
              <w:rPr>
                <w:rFonts w:hint="eastAsia" w:ascii="宋体" w:hAnsi="宋体"/>
                <w:sz w:val="24"/>
              </w:rPr>
              <w:t>专业</w:t>
            </w:r>
          </w:p>
        </w:tc>
        <w:tc>
          <w:tcPr>
            <w:tcW w:w="2205"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560" w:type="dxa"/>
            <w:gridSpan w:val="4"/>
            <w:vAlign w:val="center"/>
          </w:tcPr>
          <w:p>
            <w:pPr>
              <w:jc w:val="center"/>
              <w:rPr>
                <w:rFonts w:ascii="宋体" w:hAnsi="Calibri"/>
                <w:sz w:val="24"/>
              </w:rPr>
            </w:pPr>
            <w:r>
              <w:rPr>
                <w:rFonts w:hint="eastAsia" w:ascii="宋体" w:hAnsi="宋体"/>
                <w:sz w:val="24"/>
              </w:rPr>
              <w:t>执业资格等级</w:t>
            </w:r>
          </w:p>
        </w:tc>
        <w:tc>
          <w:tcPr>
            <w:tcW w:w="5440" w:type="dxa"/>
            <w:gridSpan w:val="5"/>
            <w:vAlign w:val="center"/>
          </w:tcPr>
          <w:p>
            <w:pPr>
              <w:jc w:val="center"/>
              <w:rPr>
                <w:rFonts w:ascii="宋体" w:hAnsi="Calibri"/>
                <w:sz w:val="24"/>
              </w:rPr>
            </w:pPr>
            <w:r>
              <w:rPr>
                <w:rFonts w:hint="eastAsia" w:ascii="宋体" w:hAnsi="宋体"/>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12" w:type="dxa"/>
            <w:gridSpan w:val="2"/>
            <w:vAlign w:val="center"/>
          </w:tcPr>
          <w:p>
            <w:pPr>
              <w:jc w:val="center"/>
              <w:rPr>
                <w:rFonts w:ascii="宋体"/>
                <w:sz w:val="24"/>
              </w:rPr>
            </w:pPr>
            <w:r>
              <w:rPr>
                <w:rFonts w:hint="eastAsia" w:ascii="宋体" w:hAnsi="宋体"/>
                <w:sz w:val="24"/>
              </w:rPr>
              <w:t>毕业学校</w:t>
            </w:r>
          </w:p>
        </w:tc>
        <w:tc>
          <w:tcPr>
            <w:tcW w:w="7688" w:type="dxa"/>
            <w:gridSpan w:val="7"/>
            <w:vAlign w:val="center"/>
          </w:tcPr>
          <w:p>
            <w:pPr>
              <w:ind w:firstLine="960" w:firstLineChars="400"/>
              <w:rPr>
                <w:rFonts w:ascii="宋体"/>
                <w:sz w:val="24"/>
              </w:rPr>
            </w:pPr>
            <w:r>
              <w:rPr>
                <w:rFonts w:hint="eastAsia" w:ascii="宋体" w:hAnsi="宋体"/>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00" w:type="dxa"/>
            <w:gridSpan w:val="9"/>
            <w:vAlign w:val="center"/>
          </w:tcPr>
          <w:p>
            <w:pPr>
              <w:jc w:val="center"/>
              <w:rPr>
                <w:rFonts w:ascii="宋体"/>
                <w:sz w:val="24"/>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00" w:type="dxa"/>
            <w:vAlign w:val="center"/>
          </w:tcPr>
          <w:p>
            <w:pPr>
              <w:jc w:val="center"/>
              <w:rPr>
                <w:rFonts w:ascii="宋体"/>
                <w:sz w:val="24"/>
                <w:highlight w:val="green"/>
              </w:rPr>
            </w:pPr>
            <w:r>
              <w:rPr>
                <w:rFonts w:hint="eastAsia" w:ascii="宋体" w:hAnsi="宋体"/>
                <w:szCs w:val="21"/>
              </w:rPr>
              <w:t>时  间</w:t>
            </w:r>
          </w:p>
        </w:tc>
        <w:tc>
          <w:tcPr>
            <w:tcW w:w="3455" w:type="dxa"/>
            <w:gridSpan w:val="4"/>
            <w:vAlign w:val="center"/>
          </w:tcPr>
          <w:p>
            <w:pPr>
              <w:jc w:val="center"/>
              <w:rPr>
                <w:rFonts w:ascii="宋体"/>
                <w:sz w:val="24"/>
              </w:rPr>
            </w:pPr>
            <w:r>
              <w:rPr>
                <w:rFonts w:hint="eastAsia" w:ascii="宋体" w:hAnsi="宋体"/>
                <w:szCs w:val="21"/>
              </w:rPr>
              <w:t>参加过的类似项目名称</w:t>
            </w:r>
          </w:p>
        </w:tc>
        <w:tc>
          <w:tcPr>
            <w:tcW w:w="1838" w:type="dxa"/>
            <w:gridSpan w:val="2"/>
            <w:vAlign w:val="center"/>
          </w:tcPr>
          <w:p>
            <w:pPr>
              <w:jc w:val="center"/>
              <w:rPr>
                <w:rFonts w:ascii="宋体"/>
                <w:sz w:val="24"/>
              </w:rPr>
            </w:pPr>
            <w:r>
              <w:rPr>
                <w:rFonts w:hint="eastAsia" w:ascii="宋体" w:hAnsi="宋体"/>
                <w:szCs w:val="21"/>
              </w:rPr>
              <w:t>工程概况说明</w:t>
            </w:r>
          </w:p>
        </w:tc>
        <w:tc>
          <w:tcPr>
            <w:tcW w:w="2607" w:type="dxa"/>
            <w:gridSpan w:val="2"/>
            <w:vAlign w:val="center"/>
          </w:tcPr>
          <w:p>
            <w:pPr>
              <w:jc w:val="cente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00" w:type="dxa"/>
            <w:vAlign w:val="center"/>
          </w:tcPr>
          <w:p>
            <w:pPr>
              <w:jc w:val="center"/>
              <w:rPr>
                <w:rFonts w:ascii="宋体"/>
                <w:sz w:val="24"/>
              </w:rPr>
            </w:pPr>
          </w:p>
        </w:tc>
        <w:tc>
          <w:tcPr>
            <w:tcW w:w="3455" w:type="dxa"/>
            <w:gridSpan w:val="4"/>
            <w:vAlign w:val="center"/>
          </w:tcPr>
          <w:p>
            <w:pPr>
              <w:jc w:val="center"/>
            </w:pPr>
          </w:p>
        </w:tc>
        <w:tc>
          <w:tcPr>
            <w:tcW w:w="1838" w:type="dxa"/>
            <w:gridSpan w:val="2"/>
            <w:vAlign w:val="center"/>
          </w:tcPr>
          <w:p>
            <w:pPr>
              <w:jc w:val="center"/>
            </w:pPr>
          </w:p>
        </w:tc>
        <w:tc>
          <w:tcPr>
            <w:tcW w:w="260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00" w:type="dxa"/>
            <w:vAlign w:val="center"/>
          </w:tcPr>
          <w:p>
            <w:pPr>
              <w:jc w:val="center"/>
              <w:rPr>
                <w:rFonts w:ascii="宋体"/>
                <w:sz w:val="24"/>
              </w:rPr>
            </w:pPr>
          </w:p>
        </w:tc>
        <w:tc>
          <w:tcPr>
            <w:tcW w:w="3455" w:type="dxa"/>
            <w:gridSpan w:val="4"/>
            <w:vAlign w:val="center"/>
          </w:tcPr>
          <w:p>
            <w:pPr>
              <w:jc w:val="center"/>
            </w:pPr>
          </w:p>
        </w:tc>
        <w:tc>
          <w:tcPr>
            <w:tcW w:w="1838" w:type="dxa"/>
            <w:gridSpan w:val="2"/>
            <w:vAlign w:val="center"/>
          </w:tcPr>
          <w:p>
            <w:pPr>
              <w:jc w:val="center"/>
            </w:pPr>
          </w:p>
        </w:tc>
        <w:tc>
          <w:tcPr>
            <w:tcW w:w="260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00" w:type="dxa"/>
            <w:vAlign w:val="center"/>
          </w:tcPr>
          <w:p>
            <w:pPr>
              <w:jc w:val="center"/>
              <w:rPr>
                <w:rFonts w:ascii="宋体"/>
                <w:sz w:val="24"/>
              </w:rPr>
            </w:pPr>
          </w:p>
        </w:tc>
        <w:tc>
          <w:tcPr>
            <w:tcW w:w="3455" w:type="dxa"/>
            <w:gridSpan w:val="4"/>
            <w:vAlign w:val="center"/>
          </w:tcPr>
          <w:p>
            <w:pPr>
              <w:jc w:val="center"/>
            </w:pPr>
          </w:p>
        </w:tc>
        <w:tc>
          <w:tcPr>
            <w:tcW w:w="1838" w:type="dxa"/>
            <w:gridSpan w:val="2"/>
            <w:vAlign w:val="center"/>
          </w:tcPr>
          <w:p>
            <w:pPr>
              <w:jc w:val="center"/>
            </w:pPr>
          </w:p>
        </w:tc>
        <w:tc>
          <w:tcPr>
            <w:tcW w:w="260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00" w:type="dxa"/>
            <w:vAlign w:val="center"/>
          </w:tcPr>
          <w:p>
            <w:pPr>
              <w:jc w:val="center"/>
              <w:rPr>
                <w:rFonts w:ascii="宋体"/>
                <w:sz w:val="24"/>
              </w:rPr>
            </w:pPr>
          </w:p>
        </w:tc>
        <w:tc>
          <w:tcPr>
            <w:tcW w:w="3455" w:type="dxa"/>
            <w:gridSpan w:val="4"/>
            <w:vAlign w:val="center"/>
          </w:tcPr>
          <w:p>
            <w:pPr>
              <w:jc w:val="center"/>
            </w:pPr>
          </w:p>
        </w:tc>
        <w:tc>
          <w:tcPr>
            <w:tcW w:w="1838" w:type="dxa"/>
            <w:gridSpan w:val="2"/>
            <w:vAlign w:val="center"/>
          </w:tcPr>
          <w:p>
            <w:pPr>
              <w:jc w:val="center"/>
            </w:pPr>
          </w:p>
        </w:tc>
        <w:tc>
          <w:tcPr>
            <w:tcW w:w="260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00" w:type="dxa"/>
            <w:vAlign w:val="center"/>
          </w:tcPr>
          <w:p>
            <w:pPr>
              <w:jc w:val="center"/>
              <w:rPr>
                <w:rFonts w:ascii="宋体"/>
                <w:sz w:val="24"/>
              </w:rPr>
            </w:pPr>
          </w:p>
        </w:tc>
        <w:tc>
          <w:tcPr>
            <w:tcW w:w="3455" w:type="dxa"/>
            <w:gridSpan w:val="4"/>
            <w:vAlign w:val="center"/>
          </w:tcPr>
          <w:p>
            <w:pPr>
              <w:jc w:val="center"/>
            </w:pPr>
          </w:p>
        </w:tc>
        <w:tc>
          <w:tcPr>
            <w:tcW w:w="1838" w:type="dxa"/>
            <w:gridSpan w:val="2"/>
            <w:vAlign w:val="center"/>
          </w:tcPr>
          <w:p>
            <w:pPr>
              <w:jc w:val="center"/>
            </w:pPr>
          </w:p>
        </w:tc>
        <w:tc>
          <w:tcPr>
            <w:tcW w:w="260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00" w:type="dxa"/>
            <w:vAlign w:val="center"/>
          </w:tcPr>
          <w:p>
            <w:pPr>
              <w:jc w:val="center"/>
              <w:rPr>
                <w:rFonts w:ascii="宋体"/>
                <w:sz w:val="24"/>
              </w:rPr>
            </w:pPr>
          </w:p>
        </w:tc>
        <w:tc>
          <w:tcPr>
            <w:tcW w:w="3455" w:type="dxa"/>
            <w:gridSpan w:val="4"/>
            <w:vAlign w:val="center"/>
          </w:tcPr>
          <w:p>
            <w:pPr>
              <w:jc w:val="center"/>
            </w:pPr>
          </w:p>
        </w:tc>
        <w:tc>
          <w:tcPr>
            <w:tcW w:w="1838" w:type="dxa"/>
            <w:gridSpan w:val="2"/>
            <w:vAlign w:val="center"/>
          </w:tcPr>
          <w:p>
            <w:pPr>
              <w:jc w:val="center"/>
            </w:pPr>
          </w:p>
        </w:tc>
        <w:tc>
          <w:tcPr>
            <w:tcW w:w="260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00" w:type="dxa"/>
            <w:vAlign w:val="center"/>
          </w:tcPr>
          <w:p>
            <w:pPr>
              <w:jc w:val="center"/>
              <w:rPr>
                <w:rFonts w:ascii="宋体"/>
                <w:sz w:val="24"/>
              </w:rPr>
            </w:pPr>
          </w:p>
        </w:tc>
        <w:tc>
          <w:tcPr>
            <w:tcW w:w="3455" w:type="dxa"/>
            <w:gridSpan w:val="4"/>
            <w:vAlign w:val="center"/>
          </w:tcPr>
          <w:p>
            <w:pPr>
              <w:jc w:val="center"/>
            </w:pPr>
          </w:p>
        </w:tc>
        <w:tc>
          <w:tcPr>
            <w:tcW w:w="1838" w:type="dxa"/>
            <w:gridSpan w:val="2"/>
            <w:vAlign w:val="center"/>
          </w:tcPr>
          <w:p>
            <w:pPr>
              <w:jc w:val="center"/>
            </w:pPr>
          </w:p>
        </w:tc>
        <w:tc>
          <w:tcPr>
            <w:tcW w:w="260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00" w:type="dxa"/>
            <w:vAlign w:val="center"/>
          </w:tcPr>
          <w:p>
            <w:pPr>
              <w:jc w:val="center"/>
              <w:rPr>
                <w:rFonts w:ascii="宋体"/>
                <w:sz w:val="24"/>
              </w:rPr>
            </w:pPr>
          </w:p>
        </w:tc>
        <w:tc>
          <w:tcPr>
            <w:tcW w:w="3455" w:type="dxa"/>
            <w:gridSpan w:val="4"/>
            <w:vAlign w:val="center"/>
          </w:tcPr>
          <w:p>
            <w:pPr>
              <w:jc w:val="center"/>
            </w:pPr>
          </w:p>
        </w:tc>
        <w:tc>
          <w:tcPr>
            <w:tcW w:w="1838" w:type="dxa"/>
            <w:gridSpan w:val="2"/>
            <w:vAlign w:val="center"/>
          </w:tcPr>
          <w:p>
            <w:pPr>
              <w:jc w:val="center"/>
            </w:pPr>
          </w:p>
        </w:tc>
        <w:tc>
          <w:tcPr>
            <w:tcW w:w="260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00" w:type="dxa"/>
            <w:vAlign w:val="center"/>
          </w:tcPr>
          <w:p>
            <w:pPr>
              <w:jc w:val="center"/>
              <w:rPr>
                <w:rFonts w:ascii="宋体"/>
                <w:sz w:val="24"/>
              </w:rPr>
            </w:pPr>
          </w:p>
        </w:tc>
        <w:tc>
          <w:tcPr>
            <w:tcW w:w="3455" w:type="dxa"/>
            <w:gridSpan w:val="4"/>
            <w:vAlign w:val="center"/>
          </w:tcPr>
          <w:p>
            <w:pPr>
              <w:jc w:val="center"/>
            </w:pPr>
          </w:p>
        </w:tc>
        <w:tc>
          <w:tcPr>
            <w:tcW w:w="1838" w:type="dxa"/>
            <w:gridSpan w:val="2"/>
            <w:vAlign w:val="center"/>
          </w:tcPr>
          <w:p>
            <w:pPr>
              <w:jc w:val="center"/>
            </w:pPr>
          </w:p>
        </w:tc>
        <w:tc>
          <w:tcPr>
            <w:tcW w:w="260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00" w:type="dxa"/>
            <w:vAlign w:val="center"/>
          </w:tcPr>
          <w:p>
            <w:pPr>
              <w:jc w:val="center"/>
              <w:rPr>
                <w:rFonts w:ascii="宋体"/>
                <w:sz w:val="24"/>
              </w:rPr>
            </w:pPr>
          </w:p>
        </w:tc>
        <w:tc>
          <w:tcPr>
            <w:tcW w:w="3455" w:type="dxa"/>
            <w:gridSpan w:val="4"/>
            <w:vAlign w:val="center"/>
          </w:tcPr>
          <w:p>
            <w:pPr>
              <w:jc w:val="center"/>
            </w:pPr>
          </w:p>
        </w:tc>
        <w:tc>
          <w:tcPr>
            <w:tcW w:w="1838" w:type="dxa"/>
            <w:gridSpan w:val="2"/>
            <w:vAlign w:val="center"/>
          </w:tcPr>
          <w:p>
            <w:pPr>
              <w:jc w:val="center"/>
            </w:pPr>
          </w:p>
        </w:tc>
        <w:tc>
          <w:tcPr>
            <w:tcW w:w="2607" w:type="dxa"/>
            <w:gridSpan w:val="2"/>
            <w:vAlign w:val="center"/>
          </w:tcPr>
          <w:p>
            <w:pPr>
              <w:jc w:val="center"/>
            </w:pPr>
          </w:p>
        </w:tc>
      </w:tr>
    </w:tbl>
    <w:p>
      <w:pPr>
        <w:spacing w:line="420" w:lineRule="exact"/>
        <w:rPr>
          <w:rFonts w:ascii="宋体" w:cs="仿宋_GB2312"/>
          <w:b/>
          <w:kern w:val="0"/>
          <w:sz w:val="24"/>
        </w:rPr>
      </w:pPr>
    </w:p>
    <w:p>
      <w:pPr>
        <w:spacing w:line="420" w:lineRule="exact"/>
        <w:rPr>
          <w:rFonts w:ascii="宋体" w:cs="仿宋_GB2312"/>
          <w:b/>
          <w:kern w:val="0"/>
          <w:sz w:val="24"/>
        </w:rPr>
      </w:pPr>
    </w:p>
    <w:p>
      <w:pPr>
        <w:spacing w:line="420" w:lineRule="exact"/>
        <w:rPr>
          <w:rFonts w:ascii="宋体" w:cs="仿宋_GB2312"/>
          <w:b/>
          <w:kern w:val="0"/>
          <w:sz w:val="24"/>
        </w:rPr>
      </w:pPr>
    </w:p>
    <w:p>
      <w:pPr>
        <w:spacing w:line="420" w:lineRule="exact"/>
        <w:rPr>
          <w:rFonts w:ascii="宋体" w:cs="仿宋_GB2312"/>
          <w:b/>
          <w:kern w:val="0"/>
          <w:sz w:val="24"/>
        </w:rPr>
      </w:pPr>
    </w:p>
    <w:p>
      <w:pPr>
        <w:rPr>
          <w:rFonts w:ascii="宋体" w:hAnsi="宋体"/>
          <w:b/>
          <w:sz w:val="24"/>
        </w:rPr>
      </w:pPr>
      <w:r>
        <w:rPr>
          <w:rFonts w:hint="eastAsia" w:ascii="宋体" w:hAnsi="宋体"/>
          <w:b/>
          <w:sz w:val="24"/>
        </w:rPr>
        <w:br w:type="page"/>
      </w:r>
    </w:p>
    <w:p>
      <w:pPr>
        <w:spacing w:line="420" w:lineRule="exact"/>
        <w:rPr>
          <w:rFonts w:ascii="宋体"/>
          <w:b/>
          <w:sz w:val="24"/>
        </w:rPr>
      </w:pPr>
      <w:r>
        <w:rPr>
          <w:rFonts w:hint="eastAsia" w:ascii="宋体" w:hAnsi="宋体"/>
          <w:b/>
          <w:sz w:val="24"/>
        </w:rPr>
        <w:t>附</w:t>
      </w:r>
      <w:r>
        <w:rPr>
          <w:rFonts w:hint="eastAsia" w:ascii="宋体" w:hAnsi="宋体"/>
          <w:b/>
          <w:sz w:val="24"/>
          <w:lang w:val="en-US" w:eastAsia="zh-CN"/>
        </w:rPr>
        <w:t>2</w:t>
      </w:r>
      <w:r>
        <w:rPr>
          <w:rFonts w:hint="eastAsia" w:ascii="宋体" w:hAnsi="宋体"/>
          <w:b/>
          <w:sz w:val="24"/>
        </w:rPr>
        <w:t>：主要项目其他管理人员简历表</w:t>
      </w:r>
    </w:p>
    <w:p>
      <w:pPr>
        <w:autoSpaceDE w:val="0"/>
        <w:autoSpaceDN w:val="0"/>
        <w:adjustRightInd w:val="0"/>
        <w:spacing w:line="420" w:lineRule="exact"/>
        <w:jc w:val="left"/>
        <w:rPr>
          <w:rFonts w:ascii="宋体" w:cs="仿宋_GB2312"/>
          <w:kern w:val="0"/>
          <w:sz w:val="24"/>
        </w:rPr>
      </w:pPr>
    </w:p>
    <w:tbl>
      <w:tblPr>
        <w:tblStyle w:val="25"/>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27"/>
        <w:gridCol w:w="1543"/>
        <w:gridCol w:w="1546"/>
        <w:gridCol w:w="216"/>
        <w:gridCol w:w="1242"/>
        <w:gridCol w:w="583"/>
        <w:gridCol w:w="133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940" w:type="dxa"/>
            <w:gridSpan w:val="9"/>
            <w:vAlign w:val="center"/>
          </w:tcPr>
          <w:p>
            <w:pPr>
              <w:autoSpaceDE w:val="0"/>
              <w:autoSpaceDN w:val="0"/>
              <w:adjustRightInd w:val="0"/>
              <w:spacing w:line="420" w:lineRule="exact"/>
              <w:jc w:val="left"/>
              <w:rPr>
                <w:rFonts w:ascii="宋体" w:cs="仿宋_GB2312"/>
                <w:kern w:val="0"/>
                <w:sz w:val="24"/>
              </w:rPr>
            </w:pPr>
            <w:r>
              <w:rPr>
                <w:rFonts w:hint="eastAsia" w:ascii="宋体" w:hAnsi="宋体" w:cs="仿宋_GB2312"/>
                <w:kern w:val="0"/>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19" w:type="dxa"/>
            <w:gridSpan w:val="2"/>
            <w:vAlign w:val="center"/>
          </w:tcPr>
          <w:p>
            <w:pPr>
              <w:autoSpaceDE w:val="0"/>
              <w:autoSpaceDN w:val="0"/>
              <w:adjustRightInd w:val="0"/>
              <w:spacing w:line="420" w:lineRule="exact"/>
              <w:jc w:val="center"/>
              <w:rPr>
                <w:rFonts w:ascii="宋体" w:cs="仿宋_GB2312"/>
                <w:kern w:val="0"/>
                <w:sz w:val="24"/>
              </w:rPr>
            </w:pPr>
            <w:r>
              <w:rPr>
                <w:rFonts w:hint="eastAsia" w:ascii="宋体" w:hAnsi="宋体" w:cs="仿宋_GB2312"/>
                <w:kern w:val="0"/>
                <w:sz w:val="24"/>
              </w:rPr>
              <w:t>姓名</w:t>
            </w:r>
          </w:p>
        </w:tc>
        <w:tc>
          <w:tcPr>
            <w:tcW w:w="1543" w:type="dxa"/>
            <w:vAlign w:val="center"/>
          </w:tcPr>
          <w:p>
            <w:pPr>
              <w:autoSpaceDE w:val="0"/>
              <w:autoSpaceDN w:val="0"/>
              <w:adjustRightInd w:val="0"/>
              <w:spacing w:line="420" w:lineRule="exact"/>
              <w:jc w:val="center"/>
              <w:rPr>
                <w:rFonts w:ascii="宋体" w:cs="仿宋_GB2312"/>
                <w:kern w:val="0"/>
                <w:sz w:val="24"/>
              </w:rPr>
            </w:pPr>
          </w:p>
        </w:tc>
        <w:tc>
          <w:tcPr>
            <w:tcW w:w="1546" w:type="dxa"/>
            <w:vAlign w:val="center"/>
          </w:tcPr>
          <w:p>
            <w:pPr>
              <w:autoSpaceDE w:val="0"/>
              <w:autoSpaceDN w:val="0"/>
              <w:adjustRightInd w:val="0"/>
              <w:spacing w:line="420" w:lineRule="exact"/>
              <w:jc w:val="center"/>
              <w:rPr>
                <w:rFonts w:ascii="宋体" w:cs="仿宋_GB2312"/>
                <w:kern w:val="0"/>
                <w:sz w:val="24"/>
              </w:rPr>
            </w:pPr>
            <w:r>
              <w:rPr>
                <w:rFonts w:hint="eastAsia" w:ascii="宋体" w:hAnsi="宋体" w:cs="仿宋_GB2312"/>
                <w:kern w:val="0"/>
                <w:sz w:val="24"/>
              </w:rPr>
              <w:t>年龄</w:t>
            </w:r>
          </w:p>
        </w:tc>
        <w:tc>
          <w:tcPr>
            <w:tcW w:w="1458" w:type="dxa"/>
            <w:gridSpan w:val="2"/>
            <w:vAlign w:val="center"/>
          </w:tcPr>
          <w:p>
            <w:pPr>
              <w:autoSpaceDE w:val="0"/>
              <w:autoSpaceDN w:val="0"/>
              <w:adjustRightInd w:val="0"/>
              <w:spacing w:line="420" w:lineRule="exact"/>
              <w:jc w:val="center"/>
              <w:rPr>
                <w:rFonts w:ascii="宋体" w:cs="仿宋_GB2312"/>
                <w:kern w:val="0"/>
                <w:sz w:val="24"/>
              </w:rPr>
            </w:pPr>
          </w:p>
        </w:tc>
        <w:tc>
          <w:tcPr>
            <w:tcW w:w="1918" w:type="dxa"/>
            <w:gridSpan w:val="2"/>
            <w:vAlign w:val="center"/>
          </w:tcPr>
          <w:p>
            <w:pPr>
              <w:autoSpaceDE w:val="0"/>
              <w:autoSpaceDN w:val="0"/>
              <w:adjustRightInd w:val="0"/>
              <w:spacing w:line="420" w:lineRule="exact"/>
              <w:jc w:val="center"/>
              <w:rPr>
                <w:rFonts w:ascii="宋体" w:cs="仿宋_GB2312"/>
                <w:kern w:val="0"/>
                <w:sz w:val="24"/>
              </w:rPr>
            </w:pPr>
            <w:r>
              <w:rPr>
                <w:rFonts w:hint="eastAsia" w:ascii="宋体" w:hAnsi="宋体" w:cs="仿宋_GB2312"/>
                <w:kern w:val="0"/>
                <w:sz w:val="24"/>
              </w:rPr>
              <w:t>学历</w:t>
            </w:r>
          </w:p>
        </w:tc>
        <w:tc>
          <w:tcPr>
            <w:tcW w:w="1256" w:type="dxa"/>
            <w:vAlign w:val="center"/>
          </w:tcPr>
          <w:p>
            <w:pPr>
              <w:autoSpaceDE w:val="0"/>
              <w:autoSpaceDN w:val="0"/>
              <w:adjustRightInd w:val="0"/>
              <w:spacing w:line="420" w:lineRule="exact"/>
              <w:jc w:val="center"/>
              <w:rPr>
                <w:rFonts w:asci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19" w:type="dxa"/>
            <w:gridSpan w:val="2"/>
            <w:vAlign w:val="center"/>
          </w:tcPr>
          <w:p>
            <w:pPr>
              <w:autoSpaceDE w:val="0"/>
              <w:autoSpaceDN w:val="0"/>
              <w:adjustRightInd w:val="0"/>
              <w:spacing w:line="420" w:lineRule="exact"/>
              <w:jc w:val="center"/>
              <w:rPr>
                <w:rFonts w:ascii="宋体" w:cs="仿宋_GB2312"/>
                <w:kern w:val="0"/>
                <w:sz w:val="24"/>
              </w:rPr>
            </w:pPr>
            <w:r>
              <w:rPr>
                <w:rFonts w:hint="eastAsia" w:ascii="宋体" w:hAnsi="宋体" w:cs="仿宋_GB2312"/>
                <w:kern w:val="0"/>
                <w:sz w:val="24"/>
              </w:rPr>
              <w:t>职称</w:t>
            </w:r>
          </w:p>
        </w:tc>
        <w:tc>
          <w:tcPr>
            <w:tcW w:w="1543" w:type="dxa"/>
            <w:vAlign w:val="center"/>
          </w:tcPr>
          <w:p>
            <w:pPr>
              <w:autoSpaceDE w:val="0"/>
              <w:autoSpaceDN w:val="0"/>
              <w:adjustRightInd w:val="0"/>
              <w:spacing w:line="420" w:lineRule="exact"/>
              <w:jc w:val="center"/>
              <w:rPr>
                <w:rFonts w:ascii="宋体" w:cs="仿宋_GB2312"/>
                <w:kern w:val="0"/>
                <w:sz w:val="24"/>
              </w:rPr>
            </w:pPr>
          </w:p>
        </w:tc>
        <w:tc>
          <w:tcPr>
            <w:tcW w:w="1546" w:type="dxa"/>
            <w:vAlign w:val="center"/>
          </w:tcPr>
          <w:p>
            <w:pPr>
              <w:autoSpaceDE w:val="0"/>
              <w:autoSpaceDN w:val="0"/>
              <w:adjustRightInd w:val="0"/>
              <w:spacing w:line="420" w:lineRule="exact"/>
              <w:jc w:val="center"/>
              <w:rPr>
                <w:rFonts w:ascii="宋体" w:cs="仿宋_GB2312"/>
                <w:kern w:val="0"/>
                <w:sz w:val="24"/>
              </w:rPr>
            </w:pPr>
            <w:r>
              <w:rPr>
                <w:rFonts w:hint="eastAsia" w:ascii="宋体" w:hAnsi="宋体" w:cs="仿宋_GB2312"/>
                <w:kern w:val="0"/>
                <w:sz w:val="24"/>
              </w:rPr>
              <w:t>职务</w:t>
            </w:r>
          </w:p>
        </w:tc>
        <w:tc>
          <w:tcPr>
            <w:tcW w:w="1458" w:type="dxa"/>
            <w:gridSpan w:val="2"/>
            <w:vAlign w:val="center"/>
          </w:tcPr>
          <w:p>
            <w:pPr>
              <w:autoSpaceDE w:val="0"/>
              <w:autoSpaceDN w:val="0"/>
              <w:adjustRightInd w:val="0"/>
              <w:spacing w:line="420" w:lineRule="exact"/>
              <w:jc w:val="center"/>
              <w:rPr>
                <w:rFonts w:ascii="宋体" w:cs="仿宋_GB2312"/>
                <w:kern w:val="0"/>
                <w:sz w:val="24"/>
              </w:rPr>
            </w:pPr>
          </w:p>
        </w:tc>
        <w:tc>
          <w:tcPr>
            <w:tcW w:w="1918" w:type="dxa"/>
            <w:gridSpan w:val="2"/>
            <w:vAlign w:val="center"/>
          </w:tcPr>
          <w:p>
            <w:pPr>
              <w:autoSpaceDE w:val="0"/>
              <w:autoSpaceDN w:val="0"/>
              <w:adjustRightInd w:val="0"/>
              <w:spacing w:line="420" w:lineRule="exact"/>
              <w:jc w:val="center"/>
              <w:rPr>
                <w:rFonts w:ascii="宋体" w:cs="仿宋_GB2312"/>
                <w:kern w:val="0"/>
                <w:sz w:val="24"/>
              </w:rPr>
            </w:pPr>
            <w:r>
              <w:rPr>
                <w:rFonts w:hint="eastAsia" w:ascii="宋体" w:hAnsi="宋体" w:cs="仿宋_GB2312"/>
                <w:kern w:val="0"/>
                <w:sz w:val="24"/>
              </w:rPr>
              <w:t>拟在本合同任职</w:t>
            </w:r>
          </w:p>
        </w:tc>
        <w:tc>
          <w:tcPr>
            <w:tcW w:w="1256" w:type="dxa"/>
            <w:vAlign w:val="center"/>
          </w:tcPr>
          <w:p>
            <w:pPr>
              <w:autoSpaceDE w:val="0"/>
              <w:autoSpaceDN w:val="0"/>
              <w:adjustRightInd w:val="0"/>
              <w:spacing w:line="420" w:lineRule="exact"/>
              <w:jc w:val="center"/>
              <w:rPr>
                <w:rFonts w:asci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19" w:type="dxa"/>
            <w:gridSpan w:val="2"/>
            <w:vAlign w:val="center"/>
          </w:tcPr>
          <w:p>
            <w:pPr>
              <w:autoSpaceDE w:val="0"/>
              <w:autoSpaceDN w:val="0"/>
              <w:adjustRightInd w:val="0"/>
              <w:spacing w:line="420" w:lineRule="exact"/>
              <w:jc w:val="center"/>
              <w:rPr>
                <w:rFonts w:ascii="宋体" w:cs="仿宋_GB2312"/>
                <w:kern w:val="0"/>
                <w:sz w:val="24"/>
              </w:rPr>
            </w:pPr>
            <w:r>
              <w:rPr>
                <w:rFonts w:hint="eastAsia" w:ascii="宋体" w:hAnsi="宋体" w:cs="仿宋_GB2312"/>
                <w:kern w:val="0"/>
                <w:sz w:val="24"/>
              </w:rPr>
              <w:t>毕业学校</w:t>
            </w:r>
          </w:p>
        </w:tc>
        <w:tc>
          <w:tcPr>
            <w:tcW w:w="7721" w:type="dxa"/>
            <w:gridSpan w:val="7"/>
            <w:vAlign w:val="center"/>
          </w:tcPr>
          <w:p>
            <w:pPr>
              <w:autoSpaceDE w:val="0"/>
              <w:autoSpaceDN w:val="0"/>
              <w:adjustRightInd w:val="0"/>
              <w:spacing w:line="420" w:lineRule="exact"/>
              <w:jc w:val="center"/>
              <w:rPr>
                <w:rFonts w:ascii="宋体" w:cs="仿宋_GB2312"/>
                <w:kern w:val="0"/>
                <w:sz w:val="24"/>
              </w:rPr>
            </w:pPr>
            <w:r>
              <w:rPr>
                <w:rFonts w:hint="eastAsia" w:ascii="宋体" w:hAnsi="宋体" w:cs="仿宋_GB2312"/>
                <w:kern w:val="0"/>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940" w:type="dxa"/>
            <w:gridSpan w:val="9"/>
            <w:vAlign w:val="center"/>
          </w:tcPr>
          <w:p>
            <w:pPr>
              <w:jc w:val="center"/>
              <w:rPr>
                <w:rFonts w:ascii="宋体" w:cs="仿宋_GB2312"/>
                <w:kern w:val="0"/>
                <w:sz w:val="24"/>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pPr>
              <w:jc w:val="center"/>
              <w:rPr>
                <w:rFonts w:ascii="宋体" w:cs="仿宋_GB2312"/>
                <w:kern w:val="0"/>
                <w:sz w:val="24"/>
              </w:rPr>
            </w:pPr>
            <w:r>
              <w:rPr>
                <w:rFonts w:hint="eastAsia" w:ascii="宋体" w:hAnsi="宋体"/>
                <w:szCs w:val="21"/>
              </w:rPr>
              <w:t>时  间</w:t>
            </w:r>
          </w:p>
        </w:tc>
        <w:tc>
          <w:tcPr>
            <w:tcW w:w="3432" w:type="dxa"/>
            <w:gridSpan w:val="4"/>
            <w:vAlign w:val="center"/>
          </w:tcPr>
          <w:p>
            <w:pPr>
              <w:jc w:val="center"/>
              <w:rPr>
                <w:rFonts w:ascii="宋体" w:cs="仿宋_GB2312"/>
                <w:kern w:val="0"/>
                <w:sz w:val="24"/>
              </w:rPr>
            </w:pPr>
            <w:r>
              <w:rPr>
                <w:rFonts w:hint="eastAsia" w:ascii="宋体" w:hAnsi="宋体"/>
                <w:szCs w:val="21"/>
              </w:rPr>
              <w:t>参加过的类似项目名称</w:t>
            </w:r>
          </w:p>
        </w:tc>
        <w:tc>
          <w:tcPr>
            <w:tcW w:w="1825" w:type="dxa"/>
            <w:gridSpan w:val="2"/>
            <w:vAlign w:val="center"/>
          </w:tcPr>
          <w:p>
            <w:pPr>
              <w:jc w:val="center"/>
              <w:rPr>
                <w:rFonts w:ascii="宋体" w:cs="仿宋_GB2312"/>
                <w:kern w:val="0"/>
                <w:sz w:val="24"/>
              </w:rPr>
            </w:pPr>
            <w:r>
              <w:rPr>
                <w:rFonts w:hint="eastAsia" w:ascii="宋体" w:hAnsi="宋体"/>
                <w:szCs w:val="21"/>
              </w:rPr>
              <w:t>工程概况说明</w:t>
            </w:r>
          </w:p>
        </w:tc>
        <w:tc>
          <w:tcPr>
            <w:tcW w:w="2591" w:type="dxa"/>
            <w:gridSpan w:val="2"/>
            <w:vAlign w:val="center"/>
          </w:tcPr>
          <w:p>
            <w:pPr>
              <w:jc w:val="cente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92" w:type="dxa"/>
            <w:vAlign w:val="center"/>
          </w:tcPr>
          <w:p>
            <w:pPr>
              <w:jc w:val="center"/>
              <w:rPr>
                <w:rFonts w:ascii="宋体" w:cs="仿宋_GB2312"/>
                <w:kern w:val="0"/>
                <w:sz w:val="24"/>
              </w:rPr>
            </w:pPr>
          </w:p>
        </w:tc>
        <w:tc>
          <w:tcPr>
            <w:tcW w:w="3432" w:type="dxa"/>
            <w:gridSpan w:val="4"/>
            <w:vAlign w:val="center"/>
          </w:tcPr>
          <w:p>
            <w:pPr>
              <w:jc w:val="center"/>
            </w:pPr>
          </w:p>
        </w:tc>
        <w:tc>
          <w:tcPr>
            <w:tcW w:w="1825" w:type="dxa"/>
            <w:gridSpan w:val="2"/>
            <w:vAlign w:val="center"/>
          </w:tcPr>
          <w:p>
            <w:pPr>
              <w:jc w:val="center"/>
            </w:pPr>
          </w:p>
        </w:tc>
        <w:tc>
          <w:tcPr>
            <w:tcW w:w="259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92" w:type="dxa"/>
            <w:vAlign w:val="center"/>
          </w:tcPr>
          <w:p>
            <w:pPr>
              <w:jc w:val="center"/>
              <w:rPr>
                <w:rFonts w:ascii="宋体" w:cs="仿宋_GB2312"/>
                <w:kern w:val="0"/>
                <w:sz w:val="24"/>
              </w:rPr>
            </w:pPr>
          </w:p>
        </w:tc>
        <w:tc>
          <w:tcPr>
            <w:tcW w:w="3432" w:type="dxa"/>
            <w:gridSpan w:val="4"/>
            <w:vAlign w:val="center"/>
          </w:tcPr>
          <w:p>
            <w:pPr>
              <w:jc w:val="center"/>
            </w:pPr>
          </w:p>
        </w:tc>
        <w:tc>
          <w:tcPr>
            <w:tcW w:w="1825" w:type="dxa"/>
            <w:gridSpan w:val="2"/>
            <w:vAlign w:val="center"/>
          </w:tcPr>
          <w:p>
            <w:pPr>
              <w:jc w:val="center"/>
            </w:pPr>
          </w:p>
        </w:tc>
        <w:tc>
          <w:tcPr>
            <w:tcW w:w="259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92" w:type="dxa"/>
            <w:vAlign w:val="center"/>
          </w:tcPr>
          <w:p>
            <w:pPr>
              <w:jc w:val="center"/>
              <w:rPr>
                <w:rFonts w:ascii="宋体" w:cs="仿宋_GB2312"/>
                <w:kern w:val="0"/>
                <w:sz w:val="24"/>
              </w:rPr>
            </w:pPr>
          </w:p>
        </w:tc>
        <w:tc>
          <w:tcPr>
            <w:tcW w:w="3432" w:type="dxa"/>
            <w:gridSpan w:val="4"/>
            <w:vAlign w:val="center"/>
          </w:tcPr>
          <w:p>
            <w:pPr>
              <w:jc w:val="center"/>
            </w:pPr>
          </w:p>
        </w:tc>
        <w:tc>
          <w:tcPr>
            <w:tcW w:w="1825" w:type="dxa"/>
            <w:gridSpan w:val="2"/>
            <w:vAlign w:val="center"/>
          </w:tcPr>
          <w:p>
            <w:pPr>
              <w:jc w:val="center"/>
            </w:pPr>
          </w:p>
        </w:tc>
        <w:tc>
          <w:tcPr>
            <w:tcW w:w="259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92" w:type="dxa"/>
            <w:vAlign w:val="center"/>
          </w:tcPr>
          <w:p>
            <w:pPr>
              <w:jc w:val="center"/>
              <w:rPr>
                <w:rFonts w:ascii="宋体" w:cs="仿宋_GB2312"/>
                <w:kern w:val="0"/>
                <w:sz w:val="24"/>
              </w:rPr>
            </w:pPr>
          </w:p>
        </w:tc>
        <w:tc>
          <w:tcPr>
            <w:tcW w:w="3432" w:type="dxa"/>
            <w:gridSpan w:val="4"/>
            <w:vAlign w:val="center"/>
          </w:tcPr>
          <w:p>
            <w:pPr>
              <w:jc w:val="center"/>
            </w:pPr>
          </w:p>
        </w:tc>
        <w:tc>
          <w:tcPr>
            <w:tcW w:w="1825" w:type="dxa"/>
            <w:gridSpan w:val="2"/>
            <w:vAlign w:val="center"/>
          </w:tcPr>
          <w:p>
            <w:pPr>
              <w:jc w:val="center"/>
            </w:pPr>
          </w:p>
        </w:tc>
        <w:tc>
          <w:tcPr>
            <w:tcW w:w="259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92" w:type="dxa"/>
            <w:vAlign w:val="center"/>
          </w:tcPr>
          <w:p>
            <w:pPr>
              <w:jc w:val="center"/>
              <w:rPr>
                <w:rFonts w:ascii="宋体" w:cs="仿宋_GB2312"/>
                <w:kern w:val="0"/>
                <w:sz w:val="24"/>
              </w:rPr>
            </w:pPr>
          </w:p>
        </w:tc>
        <w:tc>
          <w:tcPr>
            <w:tcW w:w="3432" w:type="dxa"/>
            <w:gridSpan w:val="4"/>
            <w:vAlign w:val="center"/>
          </w:tcPr>
          <w:p>
            <w:pPr>
              <w:jc w:val="center"/>
            </w:pPr>
          </w:p>
        </w:tc>
        <w:tc>
          <w:tcPr>
            <w:tcW w:w="1825" w:type="dxa"/>
            <w:gridSpan w:val="2"/>
            <w:vAlign w:val="center"/>
          </w:tcPr>
          <w:p>
            <w:pPr>
              <w:jc w:val="center"/>
            </w:pPr>
          </w:p>
        </w:tc>
        <w:tc>
          <w:tcPr>
            <w:tcW w:w="259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92" w:type="dxa"/>
            <w:vAlign w:val="center"/>
          </w:tcPr>
          <w:p>
            <w:pPr>
              <w:jc w:val="center"/>
              <w:rPr>
                <w:rFonts w:ascii="宋体" w:cs="仿宋_GB2312"/>
                <w:kern w:val="0"/>
                <w:sz w:val="24"/>
              </w:rPr>
            </w:pPr>
          </w:p>
        </w:tc>
        <w:tc>
          <w:tcPr>
            <w:tcW w:w="3432" w:type="dxa"/>
            <w:gridSpan w:val="4"/>
            <w:vAlign w:val="center"/>
          </w:tcPr>
          <w:p>
            <w:pPr>
              <w:jc w:val="center"/>
            </w:pPr>
          </w:p>
        </w:tc>
        <w:tc>
          <w:tcPr>
            <w:tcW w:w="1825" w:type="dxa"/>
            <w:gridSpan w:val="2"/>
            <w:vAlign w:val="center"/>
          </w:tcPr>
          <w:p>
            <w:pPr>
              <w:jc w:val="center"/>
            </w:pPr>
          </w:p>
        </w:tc>
        <w:tc>
          <w:tcPr>
            <w:tcW w:w="259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92" w:type="dxa"/>
            <w:vAlign w:val="center"/>
          </w:tcPr>
          <w:p>
            <w:pPr>
              <w:jc w:val="center"/>
              <w:rPr>
                <w:rFonts w:ascii="宋体" w:cs="仿宋_GB2312"/>
                <w:kern w:val="0"/>
                <w:sz w:val="24"/>
              </w:rPr>
            </w:pPr>
          </w:p>
        </w:tc>
        <w:tc>
          <w:tcPr>
            <w:tcW w:w="3432" w:type="dxa"/>
            <w:gridSpan w:val="4"/>
            <w:vAlign w:val="center"/>
          </w:tcPr>
          <w:p>
            <w:pPr>
              <w:jc w:val="center"/>
            </w:pPr>
          </w:p>
        </w:tc>
        <w:tc>
          <w:tcPr>
            <w:tcW w:w="1825" w:type="dxa"/>
            <w:gridSpan w:val="2"/>
            <w:vAlign w:val="center"/>
          </w:tcPr>
          <w:p>
            <w:pPr>
              <w:jc w:val="center"/>
            </w:pPr>
          </w:p>
        </w:tc>
        <w:tc>
          <w:tcPr>
            <w:tcW w:w="259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92" w:type="dxa"/>
            <w:vAlign w:val="center"/>
          </w:tcPr>
          <w:p>
            <w:pPr>
              <w:jc w:val="center"/>
              <w:rPr>
                <w:rFonts w:ascii="宋体" w:cs="仿宋_GB2312"/>
                <w:kern w:val="0"/>
                <w:sz w:val="24"/>
              </w:rPr>
            </w:pPr>
          </w:p>
        </w:tc>
        <w:tc>
          <w:tcPr>
            <w:tcW w:w="3432" w:type="dxa"/>
            <w:gridSpan w:val="4"/>
            <w:vAlign w:val="center"/>
          </w:tcPr>
          <w:p>
            <w:pPr>
              <w:jc w:val="center"/>
            </w:pPr>
          </w:p>
        </w:tc>
        <w:tc>
          <w:tcPr>
            <w:tcW w:w="1825" w:type="dxa"/>
            <w:gridSpan w:val="2"/>
            <w:vAlign w:val="center"/>
          </w:tcPr>
          <w:p>
            <w:pPr>
              <w:jc w:val="center"/>
            </w:pPr>
          </w:p>
        </w:tc>
        <w:tc>
          <w:tcPr>
            <w:tcW w:w="259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92" w:type="dxa"/>
            <w:vAlign w:val="center"/>
          </w:tcPr>
          <w:p>
            <w:pPr>
              <w:jc w:val="center"/>
              <w:rPr>
                <w:rFonts w:ascii="宋体" w:cs="仿宋_GB2312"/>
                <w:kern w:val="0"/>
                <w:sz w:val="24"/>
              </w:rPr>
            </w:pPr>
          </w:p>
        </w:tc>
        <w:tc>
          <w:tcPr>
            <w:tcW w:w="3432" w:type="dxa"/>
            <w:gridSpan w:val="4"/>
            <w:vAlign w:val="center"/>
          </w:tcPr>
          <w:p>
            <w:pPr>
              <w:jc w:val="center"/>
            </w:pPr>
          </w:p>
        </w:tc>
        <w:tc>
          <w:tcPr>
            <w:tcW w:w="1825" w:type="dxa"/>
            <w:gridSpan w:val="2"/>
            <w:vAlign w:val="center"/>
          </w:tcPr>
          <w:p>
            <w:pPr>
              <w:jc w:val="center"/>
            </w:pPr>
          </w:p>
        </w:tc>
        <w:tc>
          <w:tcPr>
            <w:tcW w:w="259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92" w:type="dxa"/>
            <w:vAlign w:val="center"/>
          </w:tcPr>
          <w:p>
            <w:pPr>
              <w:jc w:val="center"/>
              <w:rPr>
                <w:rFonts w:ascii="宋体" w:cs="仿宋_GB2312"/>
                <w:kern w:val="0"/>
                <w:sz w:val="24"/>
              </w:rPr>
            </w:pPr>
          </w:p>
        </w:tc>
        <w:tc>
          <w:tcPr>
            <w:tcW w:w="3432" w:type="dxa"/>
            <w:gridSpan w:val="4"/>
            <w:vAlign w:val="center"/>
          </w:tcPr>
          <w:p>
            <w:pPr>
              <w:jc w:val="center"/>
            </w:pPr>
          </w:p>
        </w:tc>
        <w:tc>
          <w:tcPr>
            <w:tcW w:w="1825" w:type="dxa"/>
            <w:gridSpan w:val="2"/>
            <w:vAlign w:val="center"/>
          </w:tcPr>
          <w:p>
            <w:pPr>
              <w:jc w:val="center"/>
            </w:pPr>
          </w:p>
        </w:tc>
        <w:tc>
          <w:tcPr>
            <w:tcW w:w="2591" w:type="dxa"/>
            <w:gridSpan w:val="2"/>
            <w:vAlign w:val="center"/>
          </w:tcPr>
          <w:p>
            <w:pPr>
              <w:jc w:val="center"/>
            </w:pPr>
          </w:p>
        </w:tc>
      </w:tr>
    </w:tbl>
    <w:p>
      <w:pPr>
        <w:autoSpaceDE w:val="0"/>
        <w:autoSpaceDN w:val="0"/>
        <w:adjustRightInd w:val="0"/>
        <w:spacing w:line="420" w:lineRule="exact"/>
        <w:jc w:val="left"/>
        <w:rPr>
          <w:rFonts w:ascii="宋体" w:cs="黑体"/>
          <w:kern w:val="0"/>
          <w:sz w:val="24"/>
        </w:rPr>
      </w:pPr>
      <w:r>
        <w:rPr>
          <w:rFonts w:hint="eastAsia" w:ascii="宋体" w:hAnsi="宋体" w:cs="仿宋_GB2312"/>
          <w:b/>
          <w:kern w:val="0"/>
          <w:sz w:val="24"/>
        </w:rPr>
        <w:t>注：应附执业证或上岗证书、身份证复印件等。</w:t>
      </w:r>
    </w:p>
    <w:p>
      <w:pPr>
        <w:autoSpaceDE w:val="0"/>
        <w:autoSpaceDN w:val="0"/>
        <w:adjustRightInd w:val="0"/>
        <w:spacing w:line="420" w:lineRule="exact"/>
        <w:jc w:val="left"/>
        <w:rPr>
          <w:rFonts w:ascii="宋体" w:cs="黑体"/>
          <w:kern w:val="0"/>
          <w:szCs w:val="21"/>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r>
        <w:rPr>
          <w:rFonts w:ascii="宋体" w:cs="黑体"/>
          <w:kern w:val="0"/>
          <w:sz w:val="28"/>
          <w:szCs w:val="28"/>
        </w:rPr>
        <w:br w:type="page"/>
      </w:r>
    </w:p>
    <w:p>
      <w:pPr>
        <w:autoSpaceDE w:val="0"/>
        <w:autoSpaceDN w:val="0"/>
        <w:adjustRightInd w:val="0"/>
        <w:spacing w:line="420" w:lineRule="exact"/>
        <w:jc w:val="left"/>
        <w:rPr>
          <w:rFonts w:ascii="宋体" w:cs="黑体"/>
          <w:b/>
          <w:bCs/>
          <w:kern w:val="0"/>
          <w:sz w:val="24"/>
        </w:rPr>
      </w:pPr>
      <w:r>
        <w:rPr>
          <w:rFonts w:hint="eastAsia" w:ascii="宋体" w:hAnsi="宋体" w:cs="黑体"/>
          <w:b/>
          <w:bCs/>
          <w:kern w:val="0"/>
          <w:sz w:val="24"/>
        </w:rPr>
        <w:t>附</w:t>
      </w:r>
      <w:r>
        <w:rPr>
          <w:rFonts w:hint="eastAsia" w:ascii="宋体" w:hAnsi="宋体" w:cs="黑体"/>
          <w:b/>
          <w:bCs/>
          <w:kern w:val="0"/>
          <w:sz w:val="24"/>
          <w:lang w:val="en-US" w:eastAsia="zh-CN"/>
        </w:rPr>
        <w:t>3</w:t>
      </w:r>
      <w:r>
        <w:rPr>
          <w:rFonts w:hint="eastAsia" w:ascii="宋体" w:hAnsi="宋体" w:cs="黑体"/>
          <w:b/>
          <w:bCs/>
          <w:kern w:val="0"/>
          <w:sz w:val="24"/>
        </w:rPr>
        <w:t>：</w:t>
      </w:r>
    </w:p>
    <w:p>
      <w:pPr>
        <w:autoSpaceDE w:val="0"/>
        <w:autoSpaceDN w:val="0"/>
        <w:adjustRightInd w:val="0"/>
        <w:spacing w:line="420" w:lineRule="exact"/>
        <w:jc w:val="center"/>
        <w:rPr>
          <w:rFonts w:ascii="宋体" w:cs="黑体"/>
          <w:b/>
          <w:bCs/>
          <w:kern w:val="0"/>
          <w:sz w:val="24"/>
        </w:rPr>
      </w:pPr>
      <w:r>
        <w:rPr>
          <w:rFonts w:hint="eastAsia" w:ascii="宋体" w:hAnsi="宋体" w:cs="黑体"/>
          <w:b/>
          <w:bCs/>
          <w:kern w:val="0"/>
          <w:sz w:val="24"/>
        </w:rPr>
        <w:t>承诺书</w:t>
      </w:r>
    </w:p>
    <w:p>
      <w:pPr>
        <w:autoSpaceDE w:val="0"/>
        <w:autoSpaceDN w:val="0"/>
        <w:adjustRightInd w:val="0"/>
        <w:spacing w:line="420" w:lineRule="exact"/>
        <w:ind w:firstLine="240" w:firstLineChars="100"/>
        <w:rPr>
          <w:rFonts w:ascii="宋体" w:cs="黑体"/>
          <w:kern w:val="0"/>
          <w:sz w:val="24"/>
        </w:rPr>
      </w:pPr>
      <w:r>
        <w:rPr>
          <w:rFonts w:hint="eastAsia" w:ascii="宋体" w:hAnsi="宋体" w:cs="黑体"/>
          <w:kern w:val="0"/>
          <w:sz w:val="24"/>
          <w:u w:val="single"/>
        </w:rPr>
        <w:t xml:space="preserve">              </w:t>
      </w:r>
      <w:r>
        <w:rPr>
          <w:rFonts w:hint="eastAsia" w:ascii="宋体" w:hAnsi="宋体" w:cs="黑体"/>
          <w:kern w:val="0"/>
          <w:sz w:val="24"/>
        </w:rPr>
        <w:t>（招标人名称）：</w:t>
      </w:r>
    </w:p>
    <w:p>
      <w:pPr>
        <w:autoSpaceDE w:val="0"/>
        <w:autoSpaceDN w:val="0"/>
        <w:adjustRightInd w:val="0"/>
        <w:spacing w:line="420" w:lineRule="exact"/>
        <w:ind w:firstLine="480" w:firstLineChars="200"/>
        <w:rPr>
          <w:rFonts w:ascii="宋体" w:hAnsi="宋体" w:cs="黑体"/>
          <w:kern w:val="0"/>
          <w:sz w:val="24"/>
        </w:rPr>
      </w:pPr>
      <w:r>
        <w:rPr>
          <w:rFonts w:hint="eastAsia" w:ascii="宋体" w:hAnsi="宋体" w:cs="黑体"/>
          <w:kern w:val="0"/>
          <w:sz w:val="24"/>
        </w:rPr>
        <w:t>我方在此声明，我方拟派往</w:t>
      </w:r>
      <w:r>
        <w:rPr>
          <w:rFonts w:hint="eastAsia" w:ascii="宋体" w:hAnsi="宋体" w:cs="黑体"/>
          <w:kern w:val="0"/>
          <w:sz w:val="24"/>
          <w:u w:val="single"/>
        </w:rPr>
        <w:t xml:space="preserve">                           </w:t>
      </w:r>
      <w:r>
        <w:rPr>
          <w:rFonts w:hint="eastAsia" w:ascii="宋体" w:hAnsi="宋体" w:cs="黑体"/>
          <w:kern w:val="0"/>
          <w:sz w:val="24"/>
        </w:rPr>
        <w:t>（项目名称）的</w:t>
      </w:r>
    </w:p>
    <w:p>
      <w:pPr>
        <w:autoSpaceDE w:val="0"/>
        <w:autoSpaceDN w:val="0"/>
        <w:adjustRightInd w:val="0"/>
        <w:spacing w:line="420" w:lineRule="exact"/>
        <w:rPr>
          <w:rFonts w:ascii="宋体" w:cs="黑体"/>
          <w:kern w:val="0"/>
          <w:sz w:val="24"/>
        </w:rPr>
      </w:pPr>
      <w:r>
        <w:rPr>
          <w:rFonts w:hint="eastAsia" w:ascii="宋体" w:hAnsi="宋体" w:cs="黑体"/>
          <w:kern w:val="0"/>
          <w:sz w:val="24"/>
          <w:u w:val="single"/>
        </w:rPr>
        <w:t xml:space="preserve">             </w:t>
      </w:r>
      <w:r>
        <w:rPr>
          <w:rFonts w:hint="eastAsia" w:ascii="宋体" w:hAnsi="宋体" w:cs="黑体"/>
          <w:kern w:val="0"/>
          <w:sz w:val="24"/>
        </w:rPr>
        <w:t>（项目经理）现阶段没有担任任何在施建设工程项目的任职。我方保证上述信息的真实和准确，并愿意承担因我方就此弄虚作假所引起的一切法律后果。</w:t>
      </w:r>
    </w:p>
    <w:p>
      <w:pPr>
        <w:autoSpaceDE w:val="0"/>
        <w:autoSpaceDN w:val="0"/>
        <w:adjustRightInd w:val="0"/>
        <w:spacing w:line="420" w:lineRule="exact"/>
        <w:ind w:firstLine="200"/>
        <w:rPr>
          <w:rFonts w:ascii="宋体" w:cs="黑体"/>
          <w:kern w:val="0"/>
          <w:sz w:val="24"/>
        </w:rPr>
      </w:pPr>
    </w:p>
    <w:p>
      <w:pPr>
        <w:autoSpaceDE w:val="0"/>
        <w:autoSpaceDN w:val="0"/>
        <w:adjustRightInd w:val="0"/>
        <w:spacing w:line="420" w:lineRule="exact"/>
        <w:ind w:firstLine="200"/>
        <w:rPr>
          <w:rFonts w:ascii="宋体" w:cs="黑体"/>
          <w:kern w:val="0"/>
          <w:sz w:val="24"/>
        </w:rPr>
      </w:pPr>
      <w:r>
        <w:rPr>
          <w:rFonts w:hint="eastAsia" w:ascii="宋体" w:hAnsi="宋体" w:cs="黑体"/>
          <w:kern w:val="0"/>
          <w:sz w:val="24"/>
        </w:rPr>
        <w:t>特此承诺。</w:t>
      </w:r>
    </w:p>
    <w:p>
      <w:pPr>
        <w:autoSpaceDE w:val="0"/>
        <w:autoSpaceDN w:val="0"/>
        <w:adjustRightInd w:val="0"/>
        <w:spacing w:line="420" w:lineRule="exact"/>
        <w:ind w:firstLine="200"/>
        <w:rPr>
          <w:rFonts w:ascii="宋体" w:cs="黑体"/>
          <w:kern w:val="0"/>
          <w:sz w:val="24"/>
        </w:rPr>
      </w:pPr>
    </w:p>
    <w:p>
      <w:pPr>
        <w:autoSpaceDE w:val="0"/>
        <w:autoSpaceDN w:val="0"/>
        <w:adjustRightInd w:val="0"/>
        <w:spacing w:line="420" w:lineRule="exact"/>
        <w:rPr>
          <w:rFonts w:ascii="宋体" w:cs="黑体"/>
          <w:kern w:val="0"/>
          <w:sz w:val="24"/>
        </w:rPr>
      </w:pPr>
    </w:p>
    <w:p>
      <w:pPr>
        <w:autoSpaceDE w:val="0"/>
        <w:autoSpaceDN w:val="0"/>
        <w:adjustRightInd w:val="0"/>
        <w:spacing w:line="420" w:lineRule="exact"/>
        <w:rPr>
          <w:rFonts w:ascii="宋体" w:cs="黑体"/>
          <w:kern w:val="0"/>
          <w:sz w:val="24"/>
        </w:rPr>
      </w:pPr>
    </w:p>
    <w:p>
      <w:pPr>
        <w:spacing w:line="480" w:lineRule="exact"/>
        <w:ind w:firstLine="480" w:firstLineChars="200"/>
        <w:rPr>
          <w:rFonts w:ascii="宋体" w:hAnsi="宋体"/>
          <w:sz w:val="24"/>
        </w:rPr>
      </w:pPr>
      <w:r>
        <w:rPr>
          <w:rFonts w:ascii="宋体" w:hAnsi="宋体"/>
          <w:sz w:val="24"/>
        </w:rPr>
        <w:t>投 标 人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电 子 签 章 ） </w:t>
      </w:r>
    </w:p>
    <w:p>
      <w:pPr>
        <w:spacing w:line="480" w:lineRule="exact"/>
        <w:ind w:firstLine="480" w:firstLineChars="200"/>
        <w:rPr>
          <w:rFonts w:ascii="宋体" w:hAnsi="宋体"/>
          <w:sz w:val="24"/>
        </w:rPr>
      </w:pPr>
      <w:r>
        <w:rPr>
          <w:rFonts w:ascii="宋体" w:hAnsi="宋体"/>
          <w:sz w:val="24"/>
        </w:rPr>
        <w:t>法定代表人：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（电子签名） </w:t>
      </w:r>
    </w:p>
    <w:p>
      <w:pPr>
        <w:autoSpaceDE w:val="0"/>
        <w:autoSpaceDN w:val="0"/>
        <w:adjustRightInd w:val="0"/>
        <w:spacing w:line="420" w:lineRule="exact"/>
        <w:ind w:firstLine="480" w:firstLineChars="200"/>
        <w:rPr>
          <w:rFonts w:ascii="宋体" w:cs="黑体"/>
          <w:kern w:val="0"/>
          <w:sz w:val="24"/>
        </w:rPr>
      </w:pPr>
      <w:r>
        <w:rPr>
          <w:rFonts w:hint="eastAsia" w:ascii="宋体" w:hAnsi="宋体"/>
          <w:sz w:val="24"/>
        </w:rPr>
        <w:t>日期：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pPr>
        <w:autoSpaceDE w:val="0"/>
        <w:autoSpaceDN w:val="0"/>
        <w:adjustRightInd w:val="0"/>
        <w:spacing w:line="420" w:lineRule="exact"/>
        <w:rPr>
          <w:rFonts w:ascii="宋体" w:cs="黑体"/>
          <w:kern w:val="0"/>
          <w:sz w:val="24"/>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p>
    <w:p>
      <w:pPr>
        <w:autoSpaceDE w:val="0"/>
        <w:autoSpaceDN w:val="0"/>
        <w:adjustRightInd w:val="0"/>
        <w:spacing w:line="420" w:lineRule="exact"/>
        <w:jc w:val="left"/>
        <w:rPr>
          <w:rFonts w:ascii="宋体" w:cs="黑体"/>
          <w:kern w:val="0"/>
          <w:sz w:val="28"/>
          <w:szCs w:val="28"/>
        </w:rPr>
      </w:pPr>
      <w:r>
        <w:rPr>
          <w:rFonts w:ascii="宋体" w:cs="黑体"/>
          <w:kern w:val="0"/>
          <w:sz w:val="28"/>
          <w:szCs w:val="28"/>
        </w:rPr>
        <w:br w:type="page"/>
      </w:r>
    </w:p>
    <w:p>
      <w:pPr>
        <w:pStyle w:val="7"/>
        <w:spacing w:line="600" w:lineRule="exact"/>
        <w:jc w:val="center"/>
        <w:rPr>
          <w:rFonts w:hAnsi="宋体" w:cs="黑体"/>
        </w:rPr>
      </w:pPr>
      <w:bookmarkStart w:id="383" w:name="_Toc18115"/>
      <w:bookmarkStart w:id="384" w:name="_Toc22424"/>
      <w:bookmarkStart w:id="385" w:name="_Toc15614"/>
      <w:bookmarkStart w:id="386" w:name="_Toc291081547"/>
      <w:r>
        <w:rPr>
          <w:rFonts w:hint="eastAsia" w:hAnsi="宋体" w:cs="黑体"/>
          <w:lang w:val="en-US" w:eastAsia="zh-CN"/>
        </w:rPr>
        <w:t>八</w:t>
      </w:r>
      <w:r>
        <w:rPr>
          <w:rFonts w:hint="eastAsia" w:hAnsi="宋体" w:cs="黑体"/>
        </w:rPr>
        <w:t>、资格证明资料</w:t>
      </w:r>
      <w:bookmarkEnd w:id="383"/>
      <w:bookmarkEnd w:id="384"/>
      <w:bookmarkEnd w:id="385"/>
      <w:bookmarkEnd w:id="386"/>
    </w:p>
    <w:p>
      <w:pPr>
        <w:pStyle w:val="8"/>
        <w:rPr>
          <w:rFonts w:ascii="宋体" w:hAnsi="宋体" w:eastAsia="宋体" w:cs="宋体"/>
          <w:sz w:val="24"/>
          <w:szCs w:val="24"/>
        </w:rPr>
      </w:pPr>
      <w:r>
        <w:rPr>
          <w:rFonts w:hint="eastAsia" w:ascii="宋体" w:hAnsi="宋体" w:eastAsia="宋体" w:cs="宋体"/>
          <w:sz w:val="24"/>
          <w:szCs w:val="24"/>
        </w:rPr>
        <w:t>（一）投标人基本情况表</w:t>
      </w:r>
    </w:p>
    <w:tbl>
      <w:tblPr>
        <w:tblStyle w:val="2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042"/>
        <w:gridCol w:w="1719"/>
        <w:gridCol w:w="699"/>
        <w:gridCol w:w="224"/>
        <w:gridCol w:w="285"/>
        <w:gridCol w:w="1054"/>
        <w:gridCol w:w="167"/>
        <w:gridCol w:w="70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ascii="宋体" w:hAnsi="宋体" w:cs="宋体"/>
                <w:sz w:val="24"/>
              </w:rPr>
            </w:pPr>
            <w:r>
              <w:rPr>
                <w:rFonts w:hint="eastAsia" w:ascii="宋体" w:hAnsi="宋体" w:cs="宋体"/>
                <w:sz w:val="24"/>
              </w:rPr>
              <w:t>投标人名称</w:t>
            </w:r>
          </w:p>
        </w:tc>
        <w:tc>
          <w:tcPr>
            <w:tcW w:w="7263" w:type="dxa"/>
            <w:gridSpan w:val="9"/>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ascii="宋体" w:hAnsi="宋体" w:cs="宋体"/>
                <w:sz w:val="24"/>
              </w:rPr>
            </w:pPr>
            <w:r>
              <w:rPr>
                <w:rFonts w:hint="eastAsia" w:ascii="宋体" w:hAnsi="宋体" w:cs="宋体"/>
                <w:sz w:val="24"/>
              </w:rPr>
              <w:t>注册地址</w:t>
            </w:r>
          </w:p>
        </w:tc>
        <w:tc>
          <w:tcPr>
            <w:tcW w:w="3684" w:type="dxa"/>
            <w:gridSpan w:val="4"/>
            <w:vAlign w:val="center"/>
          </w:tcPr>
          <w:p>
            <w:pPr>
              <w:spacing w:line="360" w:lineRule="auto"/>
              <w:jc w:val="center"/>
              <w:rPr>
                <w:rFonts w:ascii="宋体" w:hAnsi="宋体" w:cs="宋体"/>
                <w:sz w:val="24"/>
              </w:rPr>
            </w:pPr>
          </w:p>
        </w:tc>
        <w:tc>
          <w:tcPr>
            <w:tcW w:w="1339" w:type="dxa"/>
            <w:gridSpan w:val="2"/>
            <w:vAlign w:val="center"/>
          </w:tcPr>
          <w:p>
            <w:pPr>
              <w:spacing w:line="360" w:lineRule="auto"/>
              <w:jc w:val="center"/>
              <w:rPr>
                <w:rFonts w:ascii="宋体" w:hAnsi="宋体" w:cs="宋体"/>
                <w:sz w:val="24"/>
              </w:rPr>
            </w:pPr>
            <w:r>
              <w:rPr>
                <w:rFonts w:hint="eastAsia" w:ascii="宋体" w:hAnsi="宋体" w:cs="宋体"/>
                <w:sz w:val="24"/>
              </w:rPr>
              <w:t>邮政编码</w:t>
            </w:r>
          </w:p>
        </w:tc>
        <w:tc>
          <w:tcPr>
            <w:tcW w:w="2240"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Merge w:val="restart"/>
            <w:vAlign w:val="center"/>
          </w:tcPr>
          <w:p>
            <w:pPr>
              <w:spacing w:line="360" w:lineRule="auto"/>
              <w:jc w:val="center"/>
              <w:rPr>
                <w:rFonts w:ascii="宋体" w:hAnsi="宋体" w:cs="宋体"/>
                <w:sz w:val="24"/>
              </w:rPr>
            </w:pPr>
            <w:r>
              <w:rPr>
                <w:rFonts w:hint="eastAsia" w:ascii="宋体" w:hAnsi="宋体" w:cs="宋体"/>
                <w:sz w:val="24"/>
              </w:rPr>
              <w:t>联系方式</w:t>
            </w:r>
          </w:p>
        </w:tc>
        <w:tc>
          <w:tcPr>
            <w:tcW w:w="1042" w:type="dxa"/>
            <w:vAlign w:val="center"/>
          </w:tcPr>
          <w:p>
            <w:pPr>
              <w:spacing w:line="360" w:lineRule="auto"/>
              <w:jc w:val="center"/>
              <w:rPr>
                <w:rFonts w:ascii="宋体" w:hAnsi="宋体" w:cs="宋体"/>
                <w:sz w:val="24"/>
              </w:rPr>
            </w:pPr>
            <w:r>
              <w:rPr>
                <w:rFonts w:hint="eastAsia" w:ascii="宋体" w:hAnsi="宋体" w:cs="宋体"/>
                <w:sz w:val="24"/>
              </w:rPr>
              <w:t>联系人</w:t>
            </w:r>
          </w:p>
        </w:tc>
        <w:tc>
          <w:tcPr>
            <w:tcW w:w="2642" w:type="dxa"/>
            <w:gridSpan w:val="3"/>
            <w:vAlign w:val="center"/>
          </w:tcPr>
          <w:p>
            <w:pPr>
              <w:spacing w:line="360" w:lineRule="auto"/>
              <w:jc w:val="center"/>
              <w:rPr>
                <w:rFonts w:ascii="宋体" w:hAnsi="宋体" w:cs="宋体"/>
                <w:sz w:val="24"/>
              </w:rPr>
            </w:pPr>
          </w:p>
        </w:tc>
        <w:tc>
          <w:tcPr>
            <w:tcW w:w="1339" w:type="dxa"/>
            <w:gridSpan w:val="2"/>
            <w:vAlign w:val="center"/>
          </w:tcPr>
          <w:p>
            <w:pPr>
              <w:spacing w:line="360" w:lineRule="auto"/>
              <w:jc w:val="center"/>
              <w:rPr>
                <w:rFonts w:ascii="宋体" w:hAnsi="宋体" w:cs="宋体"/>
                <w:sz w:val="24"/>
              </w:rPr>
            </w:pPr>
            <w:r>
              <w:rPr>
                <w:rFonts w:hint="eastAsia" w:ascii="宋体" w:hAnsi="宋体" w:cs="宋体"/>
                <w:sz w:val="24"/>
              </w:rPr>
              <w:t>电话</w:t>
            </w:r>
          </w:p>
        </w:tc>
        <w:tc>
          <w:tcPr>
            <w:tcW w:w="2240"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Merge w:val="continue"/>
            <w:vAlign w:val="center"/>
          </w:tcPr>
          <w:p>
            <w:pPr>
              <w:widowControl/>
              <w:jc w:val="center"/>
              <w:rPr>
                <w:rFonts w:ascii="宋体" w:hAnsi="宋体" w:cs="宋体"/>
                <w:sz w:val="24"/>
              </w:rPr>
            </w:pPr>
          </w:p>
        </w:tc>
        <w:tc>
          <w:tcPr>
            <w:tcW w:w="1042" w:type="dxa"/>
            <w:vAlign w:val="center"/>
          </w:tcPr>
          <w:p>
            <w:pPr>
              <w:spacing w:line="360" w:lineRule="auto"/>
              <w:jc w:val="center"/>
              <w:rPr>
                <w:rFonts w:ascii="宋体" w:hAnsi="宋体" w:cs="宋体"/>
                <w:sz w:val="24"/>
              </w:rPr>
            </w:pPr>
            <w:r>
              <w:rPr>
                <w:rFonts w:hint="eastAsia" w:ascii="宋体" w:hAnsi="宋体" w:cs="宋体"/>
                <w:sz w:val="24"/>
              </w:rPr>
              <w:t>传真</w:t>
            </w:r>
          </w:p>
        </w:tc>
        <w:tc>
          <w:tcPr>
            <w:tcW w:w="2642" w:type="dxa"/>
            <w:gridSpan w:val="3"/>
            <w:vAlign w:val="center"/>
          </w:tcPr>
          <w:p>
            <w:pPr>
              <w:spacing w:line="360" w:lineRule="auto"/>
              <w:jc w:val="center"/>
              <w:rPr>
                <w:rFonts w:ascii="宋体" w:hAnsi="宋体" w:cs="宋体"/>
                <w:sz w:val="24"/>
              </w:rPr>
            </w:pPr>
          </w:p>
        </w:tc>
        <w:tc>
          <w:tcPr>
            <w:tcW w:w="1339" w:type="dxa"/>
            <w:gridSpan w:val="2"/>
            <w:vAlign w:val="center"/>
          </w:tcPr>
          <w:p>
            <w:pPr>
              <w:spacing w:line="360" w:lineRule="auto"/>
              <w:jc w:val="center"/>
              <w:rPr>
                <w:rFonts w:ascii="宋体" w:hAnsi="宋体" w:cs="宋体"/>
                <w:sz w:val="24"/>
              </w:rPr>
            </w:pPr>
            <w:r>
              <w:rPr>
                <w:rFonts w:hint="eastAsia" w:ascii="宋体" w:hAnsi="宋体" w:cs="宋体"/>
                <w:sz w:val="24"/>
              </w:rPr>
              <w:t>网址</w:t>
            </w:r>
          </w:p>
        </w:tc>
        <w:tc>
          <w:tcPr>
            <w:tcW w:w="2240"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77" w:type="dxa"/>
            <w:vAlign w:val="center"/>
          </w:tcPr>
          <w:p>
            <w:pPr>
              <w:spacing w:line="360" w:lineRule="auto"/>
              <w:jc w:val="center"/>
              <w:rPr>
                <w:rFonts w:ascii="宋体" w:hAnsi="宋体" w:cs="宋体"/>
                <w:sz w:val="24"/>
              </w:rPr>
            </w:pPr>
            <w:r>
              <w:rPr>
                <w:rFonts w:hint="eastAsia" w:ascii="宋体" w:hAnsi="宋体" w:cs="宋体"/>
                <w:sz w:val="24"/>
              </w:rPr>
              <w:t>组织结构</w:t>
            </w:r>
          </w:p>
        </w:tc>
        <w:tc>
          <w:tcPr>
            <w:tcW w:w="7263" w:type="dxa"/>
            <w:gridSpan w:val="9"/>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ascii="宋体" w:hAnsi="宋体" w:cs="宋体"/>
                <w:sz w:val="24"/>
              </w:rPr>
            </w:pPr>
            <w:r>
              <w:rPr>
                <w:rFonts w:hint="eastAsia" w:ascii="宋体" w:hAnsi="宋体" w:cs="宋体"/>
                <w:sz w:val="24"/>
              </w:rPr>
              <w:t>法定代表人</w:t>
            </w:r>
          </w:p>
        </w:tc>
        <w:tc>
          <w:tcPr>
            <w:tcW w:w="1042"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1719" w:type="dxa"/>
            <w:vAlign w:val="center"/>
          </w:tcPr>
          <w:p>
            <w:pPr>
              <w:spacing w:line="360" w:lineRule="auto"/>
              <w:jc w:val="center"/>
              <w:rPr>
                <w:rFonts w:ascii="宋体" w:hAnsi="宋体" w:cs="宋体"/>
                <w:sz w:val="24"/>
              </w:rPr>
            </w:pPr>
          </w:p>
        </w:tc>
        <w:tc>
          <w:tcPr>
            <w:tcW w:w="1208" w:type="dxa"/>
            <w:gridSpan w:val="3"/>
            <w:vAlign w:val="center"/>
          </w:tcPr>
          <w:p>
            <w:pPr>
              <w:spacing w:line="360" w:lineRule="auto"/>
              <w:jc w:val="center"/>
              <w:rPr>
                <w:rFonts w:ascii="宋体" w:hAnsi="宋体" w:cs="宋体"/>
                <w:sz w:val="24"/>
              </w:rPr>
            </w:pPr>
            <w:r>
              <w:rPr>
                <w:rFonts w:hint="eastAsia" w:ascii="宋体" w:hAnsi="宋体" w:cs="宋体"/>
                <w:sz w:val="24"/>
              </w:rPr>
              <w:t>技术职称</w:t>
            </w:r>
          </w:p>
        </w:tc>
        <w:tc>
          <w:tcPr>
            <w:tcW w:w="1221" w:type="dxa"/>
            <w:gridSpan w:val="2"/>
            <w:vAlign w:val="center"/>
          </w:tcPr>
          <w:p>
            <w:pPr>
              <w:spacing w:line="360" w:lineRule="auto"/>
              <w:jc w:val="center"/>
              <w:rPr>
                <w:rFonts w:ascii="宋体" w:hAnsi="宋体" w:cs="宋体"/>
                <w:sz w:val="24"/>
              </w:rPr>
            </w:pPr>
          </w:p>
        </w:tc>
        <w:tc>
          <w:tcPr>
            <w:tcW w:w="707" w:type="dxa"/>
            <w:vAlign w:val="center"/>
          </w:tcPr>
          <w:p>
            <w:pPr>
              <w:spacing w:line="360" w:lineRule="auto"/>
              <w:jc w:val="center"/>
              <w:rPr>
                <w:rFonts w:ascii="宋体" w:hAnsi="宋体" w:cs="宋体"/>
                <w:sz w:val="24"/>
              </w:rPr>
            </w:pPr>
            <w:r>
              <w:rPr>
                <w:rFonts w:hint="eastAsia" w:ascii="宋体" w:hAnsi="宋体" w:cs="宋体"/>
                <w:sz w:val="24"/>
              </w:rPr>
              <w:t>电话</w:t>
            </w:r>
          </w:p>
        </w:tc>
        <w:tc>
          <w:tcPr>
            <w:tcW w:w="136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ascii="宋体" w:hAnsi="宋体" w:cs="宋体"/>
                <w:sz w:val="24"/>
              </w:rPr>
            </w:pPr>
            <w:r>
              <w:rPr>
                <w:rFonts w:hint="eastAsia" w:ascii="宋体" w:hAnsi="宋体" w:cs="宋体"/>
                <w:sz w:val="24"/>
              </w:rPr>
              <w:t>技术负责人</w:t>
            </w:r>
          </w:p>
        </w:tc>
        <w:tc>
          <w:tcPr>
            <w:tcW w:w="1042"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1719" w:type="dxa"/>
            <w:vAlign w:val="center"/>
          </w:tcPr>
          <w:p>
            <w:pPr>
              <w:spacing w:line="360" w:lineRule="auto"/>
              <w:jc w:val="center"/>
              <w:rPr>
                <w:rFonts w:ascii="宋体" w:hAnsi="宋体" w:cs="宋体"/>
                <w:sz w:val="24"/>
              </w:rPr>
            </w:pPr>
          </w:p>
        </w:tc>
        <w:tc>
          <w:tcPr>
            <w:tcW w:w="1208" w:type="dxa"/>
            <w:gridSpan w:val="3"/>
            <w:vAlign w:val="center"/>
          </w:tcPr>
          <w:p>
            <w:pPr>
              <w:spacing w:line="360" w:lineRule="auto"/>
              <w:jc w:val="center"/>
              <w:rPr>
                <w:rFonts w:ascii="宋体" w:hAnsi="宋体" w:cs="宋体"/>
                <w:sz w:val="24"/>
              </w:rPr>
            </w:pPr>
            <w:r>
              <w:rPr>
                <w:rFonts w:hint="eastAsia" w:ascii="宋体" w:hAnsi="宋体" w:cs="宋体"/>
                <w:sz w:val="24"/>
              </w:rPr>
              <w:t>技术职称</w:t>
            </w:r>
          </w:p>
        </w:tc>
        <w:tc>
          <w:tcPr>
            <w:tcW w:w="1221" w:type="dxa"/>
            <w:gridSpan w:val="2"/>
            <w:vAlign w:val="center"/>
          </w:tcPr>
          <w:p>
            <w:pPr>
              <w:spacing w:line="360" w:lineRule="auto"/>
              <w:jc w:val="center"/>
              <w:rPr>
                <w:rFonts w:ascii="宋体" w:hAnsi="宋体" w:cs="宋体"/>
                <w:sz w:val="24"/>
              </w:rPr>
            </w:pPr>
          </w:p>
        </w:tc>
        <w:tc>
          <w:tcPr>
            <w:tcW w:w="707" w:type="dxa"/>
            <w:vAlign w:val="center"/>
          </w:tcPr>
          <w:p>
            <w:pPr>
              <w:spacing w:line="360" w:lineRule="auto"/>
              <w:jc w:val="center"/>
              <w:rPr>
                <w:rFonts w:ascii="宋体" w:hAnsi="宋体" w:cs="宋体"/>
                <w:sz w:val="24"/>
              </w:rPr>
            </w:pPr>
            <w:r>
              <w:rPr>
                <w:rFonts w:hint="eastAsia" w:ascii="宋体" w:hAnsi="宋体" w:cs="宋体"/>
                <w:sz w:val="24"/>
              </w:rPr>
              <w:t>电话</w:t>
            </w:r>
          </w:p>
        </w:tc>
        <w:tc>
          <w:tcPr>
            <w:tcW w:w="136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ascii="宋体" w:hAnsi="宋体" w:cs="宋体"/>
                <w:sz w:val="24"/>
              </w:rPr>
            </w:pPr>
            <w:r>
              <w:rPr>
                <w:rFonts w:hint="eastAsia" w:ascii="宋体" w:hAnsi="宋体" w:cs="宋体"/>
                <w:sz w:val="24"/>
              </w:rPr>
              <w:t>成立时间</w:t>
            </w:r>
          </w:p>
        </w:tc>
        <w:tc>
          <w:tcPr>
            <w:tcW w:w="2761" w:type="dxa"/>
            <w:gridSpan w:val="2"/>
            <w:vAlign w:val="center"/>
          </w:tcPr>
          <w:p>
            <w:pPr>
              <w:spacing w:line="360" w:lineRule="auto"/>
              <w:jc w:val="center"/>
              <w:rPr>
                <w:rFonts w:ascii="宋体" w:hAnsi="宋体" w:cs="宋体"/>
                <w:sz w:val="24"/>
              </w:rPr>
            </w:pPr>
          </w:p>
        </w:tc>
        <w:tc>
          <w:tcPr>
            <w:tcW w:w="4502" w:type="dxa"/>
            <w:gridSpan w:val="7"/>
            <w:vAlign w:val="center"/>
          </w:tcPr>
          <w:p>
            <w:pPr>
              <w:spacing w:line="360" w:lineRule="auto"/>
              <w:jc w:val="center"/>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rPr>
                <w:rFonts w:ascii="宋体" w:hAnsi="宋体" w:cs="宋体"/>
                <w:sz w:val="24"/>
              </w:rPr>
            </w:pPr>
            <w:r>
              <w:rPr>
                <w:rFonts w:hint="eastAsia" w:ascii="宋体" w:hAnsi="宋体" w:cs="宋体"/>
                <w:sz w:val="24"/>
              </w:rPr>
              <w:t>企业资质等级</w:t>
            </w:r>
          </w:p>
        </w:tc>
        <w:tc>
          <w:tcPr>
            <w:tcW w:w="2761" w:type="dxa"/>
            <w:gridSpan w:val="2"/>
            <w:vAlign w:val="center"/>
          </w:tcPr>
          <w:p>
            <w:pPr>
              <w:spacing w:line="360" w:lineRule="auto"/>
              <w:jc w:val="center"/>
              <w:rPr>
                <w:rFonts w:ascii="宋体" w:hAnsi="宋体" w:cs="宋体"/>
                <w:sz w:val="24"/>
              </w:rPr>
            </w:pPr>
          </w:p>
        </w:tc>
        <w:tc>
          <w:tcPr>
            <w:tcW w:w="699" w:type="dxa"/>
            <w:vMerge w:val="restart"/>
            <w:vAlign w:val="center"/>
          </w:tcPr>
          <w:p>
            <w:pPr>
              <w:spacing w:line="360" w:lineRule="auto"/>
              <w:jc w:val="center"/>
              <w:rPr>
                <w:rFonts w:ascii="宋体" w:hAnsi="宋体" w:cs="宋体"/>
                <w:sz w:val="24"/>
              </w:rPr>
            </w:pPr>
            <w:r>
              <w:rPr>
                <w:rFonts w:hint="eastAsia" w:ascii="宋体" w:hAnsi="宋体" w:cs="宋体"/>
                <w:sz w:val="24"/>
              </w:rPr>
              <w:t>其中</w:t>
            </w:r>
          </w:p>
        </w:tc>
        <w:tc>
          <w:tcPr>
            <w:tcW w:w="1730" w:type="dxa"/>
            <w:gridSpan w:val="4"/>
            <w:vAlign w:val="center"/>
          </w:tcPr>
          <w:p>
            <w:pPr>
              <w:spacing w:line="360" w:lineRule="auto"/>
              <w:jc w:val="center"/>
              <w:rPr>
                <w:rFonts w:ascii="宋体" w:hAnsi="宋体" w:cs="宋体"/>
                <w:sz w:val="24"/>
              </w:rPr>
            </w:pPr>
            <w:r>
              <w:rPr>
                <w:rFonts w:hint="eastAsia" w:ascii="宋体" w:hAnsi="宋体" w:cs="宋体"/>
                <w:sz w:val="24"/>
              </w:rPr>
              <w:t>项目经理</w:t>
            </w:r>
          </w:p>
        </w:tc>
        <w:tc>
          <w:tcPr>
            <w:tcW w:w="2073"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ascii="宋体" w:hAnsi="宋体" w:cs="宋体"/>
                <w:sz w:val="24"/>
              </w:rPr>
            </w:pPr>
            <w:r>
              <w:rPr>
                <w:rFonts w:hint="eastAsia" w:ascii="宋体" w:hAnsi="宋体" w:cs="宋体"/>
                <w:sz w:val="24"/>
              </w:rPr>
              <w:t>营业执照号</w:t>
            </w:r>
          </w:p>
        </w:tc>
        <w:tc>
          <w:tcPr>
            <w:tcW w:w="2761" w:type="dxa"/>
            <w:gridSpan w:val="2"/>
            <w:vAlign w:val="center"/>
          </w:tcPr>
          <w:p>
            <w:pPr>
              <w:spacing w:line="360" w:lineRule="auto"/>
              <w:jc w:val="center"/>
              <w:rPr>
                <w:rFonts w:ascii="宋体" w:hAnsi="宋体" w:cs="宋体"/>
                <w:sz w:val="24"/>
              </w:rPr>
            </w:pPr>
          </w:p>
        </w:tc>
        <w:tc>
          <w:tcPr>
            <w:tcW w:w="699" w:type="dxa"/>
            <w:vMerge w:val="continue"/>
            <w:vAlign w:val="center"/>
          </w:tcPr>
          <w:p>
            <w:pPr>
              <w:widowControl/>
              <w:jc w:val="center"/>
              <w:rPr>
                <w:rFonts w:ascii="宋体" w:hAnsi="宋体" w:cs="宋体"/>
                <w:sz w:val="24"/>
              </w:rPr>
            </w:pPr>
          </w:p>
        </w:tc>
        <w:tc>
          <w:tcPr>
            <w:tcW w:w="1730" w:type="dxa"/>
            <w:gridSpan w:val="4"/>
            <w:vAlign w:val="center"/>
          </w:tcPr>
          <w:p>
            <w:pPr>
              <w:spacing w:line="360" w:lineRule="auto"/>
              <w:jc w:val="center"/>
              <w:rPr>
                <w:rFonts w:ascii="宋体" w:hAnsi="宋体" w:cs="宋体"/>
                <w:sz w:val="24"/>
              </w:rPr>
            </w:pPr>
            <w:r>
              <w:rPr>
                <w:rFonts w:hint="eastAsia" w:ascii="宋体" w:hAnsi="宋体" w:cs="宋体"/>
                <w:sz w:val="24"/>
              </w:rPr>
              <w:t>高级职称人员</w:t>
            </w:r>
          </w:p>
        </w:tc>
        <w:tc>
          <w:tcPr>
            <w:tcW w:w="2073"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ascii="宋体" w:hAnsi="宋体" w:cs="宋体"/>
                <w:sz w:val="24"/>
              </w:rPr>
            </w:pPr>
            <w:r>
              <w:rPr>
                <w:rFonts w:hint="eastAsia" w:ascii="宋体" w:hAnsi="宋体" w:cs="宋体"/>
                <w:sz w:val="24"/>
              </w:rPr>
              <w:t>注册资金</w:t>
            </w:r>
          </w:p>
        </w:tc>
        <w:tc>
          <w:tcPr>
            <w:tcW w:w="2761" w:type="dxa"/>
            <w:gridSpan w:val="2"/>
            <w:vAlign w:val="center"/>
          </w:tcPr>
          <w:p>
            <w:pPr>
              <w:spacing w:line="360" w:lineRule="auto"/>
              <w:jc w:val="center"/>
              <w:rPr>
                <w:rFonts w:ascii="宋体" w:hAnsi="宋体" w:cs="宋体"/>
                <w:sz w:val="24"/>
              </w:rPr>
            </w:pPr>
          </w:p>
        </w:tc>
        <w:tc>
          <w:tcPr>
            <w:tcW w:w="699" w:type="dxa"/>
            <w:vMerge w:val="continue"/>
            <w:vAlign w:val="center"/>
          </w:tcPr>
          <w:p>
            <w:pPr>
              <w:widowControl/>
              <w:jc w:val="center"/>
              <w:rPr>
                <w:rFonts w:ascii="宋体" w:hAnsi="宋体" w:cs="宋体"/>
                <w:sz w:val="24"/>
              </w:rPr>
            </w:pPr>
          </w:p>
        </w:tc>
        <w:tc>
          <w:tcPr>
            <w:tcW w:w="1730" w:type="dxa"/>
            <w:gridSpan w:val="4"/>
            <w:vAlign w:val="center"/>
          </w:tcPr>
          <w:p>
            <w:pPr>
              <w:spacing w:line="360" w:lineRule="auto"/>
              <w:jc w:val="center"/>
              <w:rPr>
                <w:rFonts w:ascii="宋体" w:hAnsi="宋体" w:cs="宋体"/>
                <w:sz w:val="24"/>
              </w:rPr>
            </w:pPr>
            <w:r>
              <w:rPr>
                <w:rFonts w:hint="eastAsia" w:ascii="宋体" w:hAnsi="宋体" w:cs="宋体"/>
                <w:sz w:val="24"/>
              </w:rPr>
              <w:t>中级职称人员</w:t>
            </w:r>
          </w:p>
        </w:tc>
        <w:tc>
          <w:tcPr>
            <w:tcW w:w="2073"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ascii="宋体" w:hAnsi="宋体" w:cs="宋体"/>
                <w:sz w:val="24"/>
              </w:rPr>
            </w:pPr>
            <w:r>
              <w:rPr>
                <w:rFonts w:hint="eastAsia" w:ascii="宋体" w:hAnsi="宋体" w:cs="宋体"/>
                <w:sz w:val="24"/>
              </w:rPr>
              <w:t>开户银行</w:t>
            </w:r>
          </w:p>
        </w:tc>
        <w:tc>
          <w:tcPr>
            <w:tcW w:w="2761" w:type="dxa"/>
            <w:gridSpan w:val="2"/>
            <w:vAlign w:val="center"/>
          </w:tcPr>
          <w:p>
            <w:pPr>
              <w:spacing w:line="360" w:lineRule="auto"/>
              <w:jc w:val="center"/>
              <w:rPr>
                <w:rFonts w:ascii="宋体" w:hAnsi="宋体" w:cs="宋体"/>
                <w:sz w:val="24"/>
              </w:rPr>
            </w:pPr>
          </w:p>
        </w:tc>
        <w:tc>
          <w:tcPr>
            <w:tcW w:w="699" w:type="dxa"/>
            <w:vMerge w:val="continue"/>
            <w:vAlign w:val="center"/>
          </w:tcPr>
          <w:p>
            <w:pPr>
              <w:widowControl/>
              <w:jc w:val="center"/>
              <w:rPr>
                <w:rFonts w:ascii="宋体" w:hAnsi="宋体" w:cs="宋体"/>
                <w:sz w:val="24"/>
              </w:rPr>
            </w:pPr>
          </w:p>
        </w:tc>
        <w:tc>
          <w:tcPr>
            <w:tcW w:w="1730" w:type="dxa"/>
            <w:gridSpan w:val="4"/>
            <w:vAlign w:val="center"/>
          </w:tcPr>
          <w:p>
            <w:pPr>
              <w:spacing w:line="360" w:lineRule="auto"/>
              <w:jc w:val="center"/>
              <w:rPr>
                <w:rFonts w:ascii="宋体" w:hAnsi="宋体" w:cs="宋体"/>
                <w:sz w:val="24"/>
              </w:rPr>
            </w:pPr>
            <w:r>
              <w:rPr>
                <w:rFonts w:hint="eastAsia" w:ascii="宋体" w:hAnsi="宋体" w:cs="宋体"/>
                <w:sz w:val="24"/>
              </w:rPr>
              <w:t>初级职称人员</w:t>
            </w:r>
          </w:p>
        </w:tc>
        <w:tc>
          <w:tcPr>
            <w:tcW w:w="2073"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vAlign w:val="center"/>
          </w:tcPr>
          <w:p>
            <w:pPr>
              <w:spacing w:line="360" w:lineRule="auto"/>
              <w:jc w:val="center"/>
              <w:rPr>
                <w:rFonts w:ascii="宋体" w:hAnsi="宋体" w:cs="宋体"/>
                <w:sz w:val="24"/>
              </w:rPr>
            </w:pPr>
            <w:r>
              <w:rPr>
                <w:rFonts w:hint="eastAsia" w:ascii="宋体" w:hAnsi="宋体" w:cs="宋体"/>
                <w:sz w:val="24"/>
              </w:rPr>
              <w:t>账号</w:t>
            </w:r>
          </w:p>
        </w:tc>
        <w:tc>
          <w:tcPr>
            <w:tcW w:w="2761" w:type="dxa"/>
            <w:gridSpan w:val="2"/>
            <w:vAlign w:val="center"/>
          </w:tcPr>
          <w:p>
            <w:pPr>
              <w:spacing w:line="360" w:lineRule="auto"/>
              <w:jc w:val="center"/>
              <w:rPr>
                <w:rFonts w:ascii="宋体" w:hAnsi="宋体" w:cs="宋体"/>
                <w:sz w:val="24"/>
              </w:rPr>
            </w:pPr>
          </w:p>
        </w:tc>
        <w:tc>
          <w:tcPr>
            <w:tcW w:w="699" w:type="dxa"/>
            <w:vMerge w:val="continue"/>
            <w:vAlign w:val="center"/>
          </w:tcPr>
          <w:p>
            <w:pPr>
              <w:widowControl/>
              <w:jc w:val="center"/>
              <w:rPr>
                <w:rFonts w:ascii="宋体" w:hAnsi="宋体" w:cs="宋体"/>
                <w:sz w:val="24"/>
              </w:rPr>
            </w:pPr>
          </w:p>
        </w:tc>
        <w:tc>
          <w:tcPr>
            <w:tcW w:w="1730" w:type="dxa"/>
            <w:gridSpan w:val="4"/>
            <w:vAlign w:val="center"/>
          </w:tcPr>
          <w:p>
            <w:pPr>
              <w:spacing w:line="360" w:lineRule="auto"/>
              <w:jc w:val="center"/>
              <w:rPr>
                <w:rFonts w:ascii="宋体" w:hAnsi="宋体" w:cs="宋体"/>
                <w:sz w:val="24"/>
              </w:rPr>
            </w:pPr>
            <w:r>
              <w:rPr>
                <w:rFonts w:hint="eastAsia" w:ascii="宋体" w:hAnsi="宋体" w:cs="宋体"/>
                <w:sz w:val="24"/>
              </w:rPr>
              <w:t>技工</w:t>
            </w:r>
          </w:p>
        </w:tc>
        <w:tc>
          <w:tcPr>
            <w:tcW w:w="2073"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877" w:type="dxa"/>
            <w:vAlign w:val="center"/>
          </w:tcPr>
          <w:p>
            <w:pPr>
              <w:spacing w:line="360" w:lineRule="auto"/>
              <w:jc w:val="center"/>
              <w:rPr>
                <w:rFonts w:ascii="宋体" w:hAnsi="宋体" w:cs="宋体"/>
                <w:sz w:val="24"/>
              </w:rPr>
            </w:pPr>
            <w:r>
              <w:rPr>
                <w:rFonts w:hint="eastAsia" w:ascii="宋体" w:hAnsi="宋体" w:cs="宋体"/>
                <w:sz w:val="24"/>
              </w:rPr>
              <w:t>经营范围</w:t>
            </w:r>
          </w:p>
        </w:tc>
        <w:tc>
          <w:tcPr>
            <w:tcW w:w="7263" w:type="dxa"/>
            <w:gridSpan w:val="9"/>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877" w:type="dxa"/>
            <w:vAlign w:val="center"/>
          </w:tcPr>
          <w:p>
            <w:pPr>
              <w:spacing w:line="360" w:lineRule="auto"/>
              <w:jc w:val="center"/>
              <w:rPr>
                <w:rFonts w:ascii="宋体" w:hAnsi="宋体" w:cs="宋体"/>
                <w:sz w:val="24"/>
              </w:rPr>
            </w:pPr>
            <w:r>
              <w:rPr>
                <w:rFonts w:hint="eastAsia" w:ascii="宋体" w:hAnsi="宋体" w:cs="宋体"/>
                <w:sz w:val="24"/>
              </w:rPr>
              <w:t>备注</w:t>
            </w:r>
          </w:p>
        </w:tc>
        <w:tc>
          <w:tcPr>
            <w:tcW w:w="7263" w:type="dxa"/>
            <w:gridSpan w:val="9"/>
            <w:vAlign w:val="center"/>
          </w:tcPr>
          <w:p>
            <w:pPr>
              <w:spacing w:line="360" w:lineRule="auto"/>
              <w:rPr>
                <w:rFonts w:ascii="宋体" w:hAnsi="宋体" w:cs="宋体"/>
                <w:sz w:val="24"/>
              </w:rPr>
            </w:pPr>
          </w:p>
        </w:tc>
      </w:tr>
    </w:tbl>
    <w:p>
      <w:pPr>
        <w:widowControl/>
        <w:spacing w:line="360" w:lineRule="auto"/>
        <w:jc w:val="left"/>
        <w:rPr>
          <w:rFonts w:ascii="宋体" w:hAnsi="宋体" w:cs="宋体"/>
          <w:sz w:val="24"/>
        </w:rPr>
      </w:pPr>
    </w:p>
    <w:p>
      <w:pPr>
        <w:widowControl/>
        <w:spacing w:line="360" w:lineRule="auto"/>
        <w:jc w:val="left"/>
        <w:rPr>
          <w:rFonts w:ascii="宋体" w:hAnsi="宋体" w:cs="宋体"/>
          <w:b/>
          <w:bCs/>
          <w:sz w:val="24"/>
        </w:rPr>
      </w:pPr>
      <w:r>
        <w:rPr>
          <w:rFonts w:hint="eastAsia" w:ascii="宋体" w:hAnsi="宋体" w:cs="宋体"/>
          <w:b/>
          <w:bCs/>
          <w:sz w:val="24"/>
        </w:rPr>
        <w:t>注：本表后附营业执照、资质证书等资质材料（施工单位及设计单位）、安全生产许可证（施工单位）及年检合格的证明材料等材料的复印件。</w:t>
      </w:r>
    </w:p>
    <w:p>
      <w:pPr>
        <w:rPr>
          <w:rFonts w:ascii="宋体" w:cs="宋体"/>
          <w:b/>
          <w:bCs/>
          <w:szCs w:val="21"/>
        </w:rPr>
      </w:pPr>
    </w:p>
    <w:p>
      <w:pPr>
        <w:rPr>
          <w:rFonts w:ascii="宋体" w:cs="宋体"/>
          <w:b/>
          <w:bCs/>
          <w:szCs w:val="21"/>
        </w:rPr>
      </w:pPr>
    </w:p>
    <w:p>
      <w:pPr>
        <w:rPr>
          <w:rFonts w:ascii="宋体" w:cs="宋体"/>
          <w:b/>
          <w:bCs/>
          <w:szCs w:val="21"/>
        </w:rPr>
      </w:pPr>
      <w:r>
        <w:rPr>
          <w:rFonts w:ascii="宋体" w:cs="宋体"/>
          <w:b/>
          <w:bCs/>
          <w:szCs w:val="21"/>
        </w:rPr>
        <w:br w:type="page"/>
      </w:r>
    </w:p>
    <w:p>
      <w:pPr>
        <w:pStyle w:val="8"/>
        <w:jc w:val="center"/>
        <w:rPr>
          <w:rFonts w:ascii="宋体" w:hAnsi="宋体" w:eastAsia="宋体" w:cs="宋体"/>
          <w:sz w:val="24"/>
          <w:szCs w:val="24"/>
        </w:rPr>
      </w:pPr>
      <w:r>
        <w:rPr>
          <w:rFonts w:hint="eastAsia" w:ascii="宋体" w:hAnsi="宋体" w:eastAsia="宋体" w:cs="宋体"/>
          <w:sz w:val="24"/>
          <w:szCs w:val="24"/>
        </w:rPr>
        <w:t>（二）近年类似项目情况表</w:t>
      </w:r>
    </w:p>
    <w:p>
      <w:pPr>
        <w:jc w:val="center"/>
        <w:rPr>
          <w:rFonts w:ascii="宋体" w:hAnsi="宋体" w:cs="宋体"/>
          <w:b/>
          <w:bCs/>
          <w:sz w:val="24"/>
        </w:rPr>
      </w:pPr>
      <w:r>
        <w:rPr>
          <w:rFonts w:hint="eastAsia" w:ascii="宋体" w:hAnsi="宋体" w:cs="宋体"/>
          <w:b/>
          <w:bCs/>
          <w:sz w:val="24"/>
        </w:rPr>
        <w:t>（201</w:t>
      </w:r>
      <w:r>
        <w:rPr>
          <w:rFonts w:hint="eastAsia" w:ascii="宋体" w:hAnsi="宋体" w:cs="宋体"/>
          <w:b/>
          <w:bCs/>
          <w:sz w:val="24"/>
          <w:lang w:val="en-US" w:eastAsia="zh-CN"/>
        </w:rPr>
        <w:t>8</w:t>
      </w:r>
      <w:r>
        <w:rPr>
          <w:rFonts w:hint="eastAsia" w:ascii="宋体" w:hAnsi="宋体" w:cs="宋体"/>
          <w:b/>
          <w:bCs/>
          <w:sz w:val="24"/>
        </w:rPr>
        <w:t>年1月1日以来）</w:t>
      </w:r>
    </w:p>
    <w:tbl>
      <w:tblPr>
        <w:tblStyle w:val="25"/>
        <w:tblW w:w="84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20" w:type="dxa"/>
            <w:vAlign w:val="center"/>
          </w:tcPr>
          <w:p>
            <w:pPr>
              <w:spacing w:line="520" w:lineRule="exact"/>
              <w:ind w:firstLine="480" w:firstLineChars="200"/>
              <w:rPr>
                <w:rFonts w:ascii="宋体" w:hAnsi="宋体" w:cs="宋体"/>
                <w:sz w:val="24"/>
              </w:rPr>
            </w:pPr>
            <w:r>
              <w:rPr>
                <w:rFonts w:hint="eastAsia" w:ascii="宋体" w:hAnsi="宋体" w:cs="宋体"/>
                <w:sz w:val="24"/>
              </w:rPr>
              <w:t>项目名称</w:t>
            </w:r>
          </w:p>
        </w:tc>
        <w:tc>
          <w:tcPr>
            <w:tcW w:w="5920" w:type="dxa"/>
            <w:vAlign w:val="center"/>
          </w:tcPr>
          <w:p>
            <w:pPr>
              <w:spacing w:line="520" w:lineRule="exact"/>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20" w:type="dxa"/>
            <w:vAlign w:val="center"/>
          </w:tcPr>
          <w:p>
            <w:pPr>
              <w:spacing w:line="520" w:lineRule="exact"/>
              <w:ind w:firstLine="480" w:firstLineChars="200"/>
              <w:rPr>
                <w:rFonts w:ascii="宋体" w:hAnsi="宋体" w:cs="宋体"/>
                <w:sz w:val="24"/>
              </w:rPr>
            </w:pPr>
            <w:r>
              <w:rPr>
                <w:rFonts w:hint="eastAsia" w:ascii="宋体" w:hAnsi="宋体" w:cs="宋体"/>
                <w:sz w:val="24"/>
              </w:rPr>
              <w:t>项目所在地</w:t>
            </w:r>
          </w:p>
        </w:tc>
        <w:tc>
          <w:tcPr>
            <w:tcW w:w="5920" w:type="dxa"/>
            <w:vAlign w:val="center"/>
          </w:tcPr>
          <w:p>
            <w:pPr>
              <w:spacing w:line="520" w:lineRule="exact"/>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20" w:type="dxa"/>
            <w:vAlign w:val="center"/>
          </w:tcPr>
          <w:p>
            <w:pPr>
              <w:spacing w:line="520" w:lineRule="exact"/>
              <w:ind w:firstLine="480" w:firstLineChars="200"/>
              <w:rPr>
                <w:rFonts w:ascii="宋体" w:hAnsi="宋体" w:cs="宋体"/>
                <w:sz w:val="24"/>
              </w:rPr>
            </w:pPr>
            <w:r>
              <w:rPr>
                <w:rFonts w:hint="eastAsia" w:ascii="宋体" w:hAnsi="宋体" w:cs="宋体"/>
                <w:sz w:val="24"/>
              </w:rPr>
              <w:t>发包人名称</w:t>
            </w:r>
          </w:p>
        </w:tc>
        <w:tc>
          <w:tcPr>
            <w:tcW w:w="5920" w:type="dxa"/>
            <w:vAlign w:val="center"/>
          </w:tcPr>
          <w:p>
            <w:pPr>
              <w:spacing w:line="520" w:lineRule="exact"/>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20" w:type="dxa"/>
            <w:vAlign w:val="center"/>
          </w:tcPr>
          <w:p>
            <w:pPr>
              <w:spacing w:line="520" w:lineRule="exact"/>
              <w:ind w:firstLine="480" w:firstLineChars="200"/>
              <w:rPr>
                <w:rFonts w:ascii="宋体" w:hAnsi="宋体" w:cs="宋体"/>
                <w:sz w:val="24"/>
              </w:rPr>
            </w:pPr>
            <w:r>
              <w:rPr>
                <w:rFonts w:hint="eastAsia" w:ascii="宋体" w:hAnsi="宋体" w:cs="宋体"/>
                <w:sz w:val="24"/>
              </w:rPr>
              <w:t>发包人地址</w:t>
            </w:r>
          </w:p>
        </w:tc>
        <w:tc>
          <w:tcPr>
            <w:tcW w:w="5920" w:type="dxa"/>
            <w:vAlign w:val="center"/>
          </w:tcPr>
          <w:p>
            <w:pPr>
              <w:spacing w:line="520" w:lineRule="exact"/>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20" w:type="dxa"/>
            <w:vAlign w:val="center"/>
          </w:tcPr>
          <w:p>
            <w:pPr>
              <w:spacing w:line="520" w:lineRule="exact"/>
              <w:jc w:val="center"/>
              <w:rPr>
                <w:rFonts w:ascii="宋体" w:hAnsi="宋体" w:cs="宋体"/>
                <w:sz w:val="24"/>
              </w:rPr>
            </w:pPr>
            <w:r>
              <w:rPr>
                <w:rFonts w:hint="eastAsia" w:ascii="宋体" w:hAnsi="宋体" w:cs="宋体"/>
                <w:sz w:val="24"/>
              </w:rPr>
              <w:t>发包人电话</w:t>
            </w:r>
          </w:p>
        </w:tc>
        <w:tc>
          <w:tcPr>
            <w:tcW w:w="5920" w:type="dxa"/>
            <w:vAlign w:val="center"/>
          </w:tcPr>
          <w:p>
            <w:pPr>
              <w:spacing w:line="520" w:lineRule="exact"/>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20" w:type="dxa"/>
            <w:vAlign w:val="center"/>
          </w:tcPr>
          <w:p>
            <w:pPr>
              <w:spacing w:line="520" w:lineRule="exact"/>
              <w:ind w:firstLine="480" w:firstLineChars="200"/>
              <w:rPr>
                <w:rFonts w:ascii="宋体" w:hAnsi="宋体" w:cs="宋体"/>
                <w:sz w:val="24"/>
              </w:rPr>
            </w:pPr>
            <w:r>
              <w:rPr>
                <w:rFonts w:hint="eastAsia" w:ascii="宋体" w:hAnsi="宋体" w:cs="宋体"/>
                <w:sz w:val="24"/>
              </w:rPr>
              <w:t>合同价格</w:t>
            </w:r>
          </w:p>
        </w:tc>
        <w:tc>
          <w:tcPr>
            <w:tcW w:w="5920" w:type="dxa"/>
            <w:vAlign w:val="center"/>
          </w:tcPr>
          <w:p>
            <w:pPr>
              <w:spacing w:line="520" w:lineRule="exact"/>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20" w:type="dxa"/>
            <w:vAlign w:val="center"/>
          </w:tcPr>
          <w:p>
            <w:pPr>
              <w:spacing w:line="520" w:lineRule="exact"/>
              <w:ind w:firstLine="480" w:firstLineChars="200"/>
              <w:rPr>
                <w:rFonts w:ascii="宋体" w:hAnsi="宋体" w:cs="宋体"/>
                <w:sz w:val="24"/>
              </w:rPr>
            </w:pPr>
            <w:r>
              <w:rPr>
                <w:rFonts w:hint="eastAsia" w:ascii="宋体" w:hAnsi="宋体" w:cs="宋体"/>
                <w:sz w:val="24"/>
              </w:rPr>
              <w:t>承担的工作</w:t>
            </w:r>
          </w:p>
        </w:tc>
        <w:tc>
          <w:tcPr>
            <w:tcW w:w="5920" w:type="dxa"/>
            <w:vAlign w:val="center"/>
          </w:tcPr>
          <w:p>
            <w:pPr>
              <w:spacing w:line="520" w:lineRule="exact"/>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20" w:type="dxa"/>
            <w:vAlign w:val="center"/>
          </w:tcPr>
          <w:p>
            <w:pPr>
              <w:spacing w:line="520" w:lineRule="exact"/>
              <w:ind w:firstLine="480" w:firstLineChars="200"/>
              <w:rPr>
                <w:rFonts w:ascii="宋体" w:hAnsi="宋体" w:cs="宋体"/>
                <w:sz w:val="24"/>
              </w:rPr>
            </w:pPr>
            <w:r>
              <w:rPr>
                <w:rFonts w:hint="eastAsia" w:ascii="宋体" w:hAnsi="宋体" w:cs="宋体"/>
                <w:sz w:val="24"/>
              </w:rPr>
              <w:t>工程质量</w:t>
            </w:r>
          </w:p>
        </w:tc>
        <w:tc>
          <w:tcPr>
            <w:tcW w:w="5920" w:type="dxa"/>
            <w:vAlign w:val="center"/>
          </w:tcPr>
          <w:p>
            <w:pPr>
              <w:spacing w:line="520" w:lineRule="exact"/>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20" w:type="dxa"/>
            <w:vAlign w:val="center"/>
          </w:tcPr>
          <w:p>
            <w:pPr>
              <w:spacing w:line="520" w:lineRule="exact"/>
              <w:ind w:firstLine="480" w:firstLineChars="200"/>
              <w:rPr>
                <w:rFonts w:ascii="宋体" w:hAnsi="宋体" w:cs="宋体"/>
                <w:sz w:val="24"/>
              </w:rPr>
            </w:pPr>
            <w:r>
              <w:rPr>
                <w:rFonts w:hint="eastAsia" w:ascii="宋体" w:hAnsi="宋体" w:cs="宋体"/>
                <w:sz w:val="24"/>
              </w:rPr>
              <w:t>项目经理</w:t>
            </w:r>
          </w:p>
        </w:tc>
        <w:tc>
          <w:tcPr>
            <w:tcW w:w="5920" w:type="dxa"/>
            <w:vAlign w:val="center"/>
          </w:tcPr>
          <w:p>
            <w:pPr>
              <w:spacing w:line="520" w:lineRule="exact"/>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20" w:type="dxa"/>
            <w:vAlign w:val="center"/>
          </w:tcPr>
          <w:p>
            <w:pPr>
              <w:spacing w:line="520" w:lineRule="exact"/>
              <w:ind w:firstLine="480" w:firstLineChars="200"/>
              <w:rPr>
                <w:rFonts w:ascii="宋体" w:hAnsi="宋体" w:cs="宋体"/>
                <w:sz w:val="24"/>
              </w:rPr>
            </w:pPr>
            <w:r>
              <w:rPr>
                <w:rFonts w:hint="eastAsia" w:ascii="宋体" w:hAnsi="宋体" w:cs="宋体"/>
                <w:sz w:val="24"/>
              </w:rPr>
              <w:t>技术负责人</w:t>
            </w:r>
          </w:p>
        </w:tc>
        <w:tc>
          <w:tcPr>
            <w:tcW w:w="5920" w:type="dxa"/>
            <w:vAlign w:val="center"/>
          </w:tcPr>
          <w:p>
            <w:pPr>
              <w:spacing w:line="520" w:lineRule="exact"/>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20" w:type="dxa"/>
            <w:vAlign w:val="center"/>
          </w:tcPr>
          <w:p>
            <w:pPr>
              <w:spacing w:line="520" w:lineRule="exact"/>
              <w:rPr>
                <w:rFonts w:ascii="宋体" w:hAnsi="宋体" w:cs="宋体"/>
                <w:sz w:val="24"/>
              </w:rPr>
            </w:pPr>
            <w:r>
              <w:rPr>
                <w:rFonts w:hint="eastAsia" w:ascii="宋体" w:hAnsi="宋体" w:cs="宋体"/>
                <w:sz w:val="24"/>
              </w:rPr>
              <w:t>总监理工程师及电话</w:t>
            </w:r>
          </w:p>
        </w:tc>
        <w:tc>
          <w:tcPr>
            <w:tcW w:w="5920" w:type="dxa"/>
            <w:vAlign w:val="center"/>
          </w:tcPr>
          <w:p>
            <w:pPr>
              <w:spacing w:line="520" w:lineRule="exact"/>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20" w:type="dxa"/>
            <w:vAlign w:val="center"/>
          </w:tcPr>
          <w:p>
            <w:pPr>
              <w:spacing w:line="520" w:lineRule="exact"/>
              <w:ind w:firstLine="480" w:firstLineChars="200"/>
              <w:rPr>
                <w:rFonts w:ascii="宋体" w:hAnsi="宋体" w:cs="宋体"/>
                <w:sz w:val="24"/>
              </w:rPr>
            </w:pPr>
            <w:r>
              <w:rPr>
                <w:rFonts w:hint="eastAsia" w:ascii="宋体" w:hAnsi="宋体" w:cs="宋体"/>
                <w:sz w:val="24"/>
              </w:rPr>
              <w:t>项目描述</w:t>
            </w:r>
          </w:p>
        </w:tc>
        <w:tc>
          <w:tcPr>
            <w:tcW w:w="5920" w:type="dxa"/>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20" w:type="dxa"/>
            <w:vAlign w:val="center"/>
          </w:tcPr>
          <w:p>
            <w:pPr>
              <w:spacing w:line="520" w:lineRule="exact"/>
              <w:ind w:firstLine="480" w:firstLineChars="200"/>
              <w:rPr>
                <w:rFonts w:ascii="宋体" w:hAnsi="宋体" w:cs="宋体"/>
                <w:sz w:val="24"/>
              </w:rPr>
            </w:pPr>
            <w:r>
              <w:rPr>
                <w:rFonts w:hint="eastAsia" w:ascii="宋体" w:hAnsi="宋体" w:cs="宋体"/>
                <w:sz w:val="24"/>
              </w:rPr>
              <w:t>备注</w:t>
            </w:r>
          </w:p>
        </w:tc>
        <w:tc>
          <w:tcPr>
            <w:tcW w:w="5920" w:type="dxa"/>
            <w:vAlign w:val="center"/>
          </w:tcPr>
          <w:p>
            <w:pPr>
              <w:spacing w:line="520" w:lineRule="exact"/>
              <w:rPr>
                <w:rFonts w:ascii="宋体" w:hAnsi="宋体" w:cs="宋体"/>
                <w:sz w:val="24"/>
              </w:rPr>
            </w:pPr>
          </w:p>
        </w:tc>
      </w:tr>
    </w:tbl>
    <w:p>
      <w:pPr>
        <w:rPr>
          <w:rFonts w:ascii="宋体" w:hAnsi="宋体" w:cs="宋体"/>
          <w:sz w:val="24"/>
        </w:rPr>
      </w:pPr>
    </w:p>
    <w:p>
      <w:pPr>
        <w:rPr>
          <w:rFonts w:ascii="宋体" w:hAnsi="宋体" w:cs="宋体"/>
          <w:sz w:val="24"/>
        </w:rPr>
      </w:pPr>
    </w:p>
    <w:p>
      <w:pPr>
        <w:rPr>
          <w:sz w:val="24"/>
        </w:rPr>
      </w:pPr>
      <w:r>
        <w:rPr>
          <w:rFonts w:hint="eastAsia" w:ascii="宋体" w:hAnsi="宋体" w:cs="宋体"/>
          <w:sz w:val="24"/>
        </w:rPr>
        <w:t>注：本表后附中标通知书、合同协议书等的复印件。类似业绩要求详见投标须知前附表。每张表格只填写一个项目，并标明序号</w:t>
      </w:r>
      <w:r>
        <w:rPr>
          <w:rFonts w:hint="eastAsia"/>
          <w:sz w:val="24"/>
        </w:rPr>
        <w:t>。</w:t>
      </w:r>
    </w:p>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r>
        <w:br w:type="page"/>
      </w:r>
    </w:p>
    <w:p>
      <w:pPr>
        <w:pStyle w:val="8"/>
        <w:jc w:val="center"/>
        <w:rPr>
          <w:rFonts w:ascii="宋体"/>
          <w:b w:val="0"/>
          <w:bCs w:val="0"/>
          <w:szCs w:val="24"/>
        </w:rPr>
      </w:pPr>
      <w:r>
        <w:rPr>
          <w:rFonts w:hint="eastAsia" w:ascii="宋体" w:hAnsi="宋体"/>
          <w:szCs w:val="24"/>
        </w:rPr>
        <w:t>（三）正在施工的和新承接的项目情况表</w:t>
      </w:r>
    </w:p>
    <w:tbl>
      <w:tblPr>
        <w:tblStyle w:val="25"/>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80" w:type="dxa"/>
          </w:tcPr>
          <w:p>
            <w:pPr>
              <w:spacing w:line="520" w:lineRule="exact"/>
              <w:jc w:val="center"/>
              <w:rPr>
                <w:sz w:val="24"/>
              </w:rPr>
            </w:pPr>
            <w:r>
              <w:rPr>
                <w:rFonts w:hint="eastAsia"/>
                <w:sz w:val="24"/>
              </w:rPr>
              <w:t>项目名称</w:t>
            </w:r>
          </w:p>
        </w:tc>
        <w:tc>
          <w:tcPr>
            <w:tcW w:w="5980"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280" w:type="dxa"/>
          </w:tcPr>
          <w:p>
            <w:pPr>
              <w:spacing w:line="520" w:lineRule="exact"/>
              <w:jc w:val="center"/>
              <w:rPr>
                <w:sz w:val="24"/>
              </w:rPr>
            </w:pPr>
            <w:r>
              <w:rPr>
                <w:rFonts w:hint="eastAsia"/>
                <w:sz w:val="24"/>
              </w:rPr>
              <w:t>项目所在地</w:t>
            </w:r>
          </w:p>
        </w:tc>
        <w:tc>
          <w:tcPr>
            <w:tcW w:w="5980"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80" w:type="dxa"/>
          </w:tcPr>
          <w:p>
            <w:pPr>
              <w:spacing w:line="520" w:lineRule="exact"/>
              <w:jc w:val="center"/>
              <w:rPr>
                <w:sz w:val="24"/>
              </w:rPr>
            </w:pPr>
            <w:r>
              <w:rPr>
                <w:rFonts w:hint="eastAsia"/>
                <w:sz w:val="24"/>
              </w:rPr>
              <w:t>发包人名称</w:t>
            </w:r>
          </w:p>
        </w:tc>
        <w:tc>
          <w:tcPr>
            <w:tcW w:w="5980"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280" w:type="dxa"/>
          </w:tcPr>
          <w:p>
            <w:pPr>
              <w:spacing w:line="520" w:lineRule="exact"/>
              <w:jc w:val="center"/>
              <w:rPr>
                <w:sz w:val="24"/>
              </w:rPr>
            </w:pPr>
            <w:r>
              <w:rPr>
                <w:rFonts w:hint="eastAsia"/>
                <w:sz w:val="24"/>
              </w:rPr>
              <w:t>发包人地址</w:t>
            </w:r>
          </w:p>
        </w:tc>
        <w:tc>
          <w:tcPr>
            <w:tcW w:w="5980"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280" w:type="dxa"/>
          </w:tcPr>
          <w:p>
            <w:pPr>
              <w:spacing w:line="520" w:lineRule="exact"/>
              <w:jc w:val="center"/>
              <w:rPr>
                <w:sz w:val="24"/>
              </w:rPr>
            </w:pPr>
            <w:r>
              <w:rPr>
                <w:rFonts w:hint="eastAsia"/>
                <w:sz w:val="24"/>
              </w:rPr>
              <w:t>发包人电话</w:t>
            </w:r>
          </w:p>
        </w:tc>
        <w:tc>
          <w:tcPr>
            <w:tcW w:w="5980"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80" w:type="dxa"/>
          </w:tcPr>
          <w:p>
            <w:pPr>
              <w:spacing w:line="520" w:lineRule="exact"/>
              <w:jc w:val="center"/>
              <w:rPr>
                <w:sz w:val="24"/>
              </w:rPr>
            </w:pPr>
            <w:r>
              <w:rPr>
                <w:rFonts w:hint="eastAsia"/>
                <w:sz w:val="24"/>
              </w:rPr>
              <w:t>签约合同价</w:t>
            </w:r>
          </w:p>
        </w:tc>
        <w:tc>
          <w:tcPr>
            <w:tcW w:w="5980"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280" w:type="dxa"/>
          </w:tcPr>
          <w:p>
            <w:pPr>
              <w:spacing w:line="520" w:lineRule="exact"/>
              <w:jc w:val="center"/>
              <w:rPr>
                <w:sz w:val="24"/>
              </w:rPr>
            </w:pPr>
            <w:r>
              <w:rPr>
                <w:rFonts w:hint="eastAsia"/>
                <w:sz w:val="24"/>
              </w:rPr>
              <w:t>开工日期</w:t>
            </w:r>
          </w:p>
        </w:tc>
        <w:tc>
          <w:tcPr>
            <w:tcW w:w="5980"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80" w:type="dxa"/>
          </w:tcPr>
          <w:p>
            <w:pPr>
              <w:spacing w:line="520" w:lineRule="exact"/>
              <w:jc w:val="center"/>
              <w:rPr>
                <w:sz w:val="24"/>
              </w:rPr>
            </w:pPr>
            <w:r>
              <w:rPr>
                <w:rFonts w:hint="eastAsia"/>
                <w:sz w:val="24"/>
              </w:rPr>
              <w:t>计划竣工日期</w:t>
            </w:r>
          </w:p>
        </w:tc>
        <w:tc>
          <w:tcPr>
            <w:tcW w:w="5980"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280" w:type="dxa"/>
          </w:tcPr>
          <w:p>
            <w:pPr>
              <w:spacing w:line="520" w:lineRule="exact"/>
              <w:jc w:val="center"/>
              <w:rPr>
                <w:sz w:val="24"/>
              </w:rPr>
            </w:pPr>
            <w:r>
              <w:rPr>
                <w:rFonts w:hint="eastAsia"/>
                <w:sz w:val="24"/>
              </w:rPr>
              <w:t>承担的工作</w:t>
            </w:r>
          </w:p>
        </w:tc>
        <w:tc>
          <w:tcPr>
            <w:tcW w:w="5980"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280" w:type="dxa"/>
          </w:tcPr>
          <w:p>
            <w:pPr>
              <w:spacing w:line="520" w:lineRule="exact"/>
              <w:jc w:val="center"/>
              <w:rPr>
                <w:sz w:val="24"/>
              </w:rPr>
            </w:pPr>
            <w:r>
              <w:rPr>
                <w:rFonts w:hint="eastAsia"/>
                <w:sz w:val="24"/>
              </w:rPr>
              <w:t>工程质量</w:t>
            </w:r>
          </w:p>
        </w:tc>
        <w:tc>
          <w:tcPr>
            <w:tcW w:w="5980"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80" w:type="dxa"/>
          </w:tcPr>
          <w:p>
            <w:pPr>
              <w:spacing w:line="520" w:lineRule="exact"/>
              <w:jc w:val="center"/>
              <w:rPr>
                <w:sz w:val="24"/>
              </w:rPr>
            </w:pPr>
            <w:r>
              <w:rPr>
                <w:rFonts w:hint="eastAsia"/>
                <w:sz w:val="24"/>
              </w:rPr>
              <w:t>项目经理</w:t>
            </w:r>
          </w:p>
        </w:tc>
        <w:tc>
          <w:tcPr>
            <w:tcW w:w="5980"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280" w:type="dxa"/>
          </w:tcPr>
          <w:p>
            <w:pPr>
              <w:spacing w:line="520" w:lineRule="exact"/>
              <w:jc w:val="center"/>
              <w:rPr>
                <w:sz w:val="24"/>
              </w:rPr>
            </w:pPr>
            <w:r>
              <w:rPr>
                <w:rFonts w:hint="eastAsia"/>
                <w:sz w:val="24"/>
              </w:rPr>
              <w:t>技术负责人</w:t>
            </w:r>
          </w:p>
        </w:tc>
        <w:tc>
          <w:tcPr>
            <w:tcW w:w="5980"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2280" w:type="dxa"/>
            <w:vAlign w:val="center"/>
          </w:tcPr>
          <w:p>
            <w:pPr>
              <w:spacing w:line="520" w:lineRule="exact"/>
              <w:jc w:val="center"/>
              <w:rPr>
                <w:sz w:val="24"/>
              </w:rPr>
            </w:pPr>
            <w:r>
              <w:rPr>
                <w:rFonts w:hint="eastAsia"/>
                <w:sz w:val="24"/>
              </w:rPr>
              <w:t>项目描述</w:t>
            </w:r>
          </w:p>
        </w:tc>
        <w:tc>
          <w:tcPr>
            <w:tcW w:w="5980" w:type="dxa"/>
          </w:tcPr>
          <w:p>
            <w:pPr>
              <w:spacing w:line="52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80" w:type="dxa"/>
          </w:tcPr>
          <w:p>
            <w:pPr>
              <w:spacing w:line="520" w:lineRule="exact"/>
              <w:jc w:val="center"/>
              <w:rPr>
                <w:sz w:val="24"/>
              </w:rPr>
            </w:pPr>
            <w:r>
              <w:rPr>
                <w:rFonts w:hint="eastAsia"/>
                <w:sz w:val="24"/>
              </w:rPr>
              <w:t>备注</w:t>
            </w:r>
          </w:p>
        </w:tc>
        <w:tc>
          <w:tcPr>
            <w:tcW w:w="5980" w:type="dxa"/>
          </w:tcPr>
          <w:p>
            <w:pPr>
              <w:spacing w:line="520" w:lineRule="exact"/>
              <w:rPr>
                <w:sz w:val="24"/>
              </w:rPr>
            </w:pPr>
          </w:p>
        </w:tc>
      </w:tr>
    </w:tbl>
    <w:p>
      <w:pPr>
        <w:spacing w:line="520" w:lineRule="exact"/>
        <w:ind w:firstLine="480" w:firstLineChars="200"/>
        <w:rPr>
          <w:sz w:val="24"/>
        </w:rPr>
      </w:pPr>
      <w:r>
        <w:rPr>
          <w:rFonts w:hint="eastAsia"/>
          <w:sz w:val="24"/>
        </w:rPr>
        <w:t>备注：本表后附中标通知书或合同协议书复印件。每张表格只填写一个项目，并标明序号。</w:t>
      </w:r>
    </w:p>
    <w:p>
      <w:pPr>
        <w:spacing w:line="520" w:lineRule="exact"/>
        <w:ind w:firstLine="420" w:firstLineChars="200"/>
        <w:jc w:val="center"/>
        <w:rPr>
          <w:szCs w:val="21"/>
        </w:rPr>
      </w:pPr>
      <w:r>
        <w:rPr>
          <w:szCs w:val="21"/>
        </w:rPr>
        <w:br w:type="page"/>
      </w:r>
    </w:p>
    <w:p>
      <w:pPr>
        <w:pStyle w:val="8"/>
        <w:jc w:val="center"/>
        <w:rPr>
          <w:rFonts w:ascii="宋体" w:hAnsi="宋体" w:eastAsia="宋体" w:cs="宋体"/>
          <w:sz w:val="24"/>
          <w:szCs w:val="24"/>
        </w:rPr>
      </w:pPr>
      <w:r>
        <w:rPr>
          <w:rFonts w:hint="eastAsia" w:ascii="宋体" w:hAnsi="宋体" w:eastAsia="宋体" w:cs="宋体"/>
          <w:sz w:val="24"/>
          <w:szCs w:val="24"/>
        </w:rPr>
        <w:t>（四）近年财务状况表</w:t>
      </w:r>
    </w:p>
    <w:p>
      <w:pPr>
        <w:jc w:val="center"/>
        <w:rPr>
          <w:rFonts w:ascii="宋体" w:hAnsi="宋体" w:cs="宋体"/>
          <w:b/>
          <w:bCs/>
          <w:sz w:val="24"/>
        </w:rPr>
      </w:pPr>
    </w:p>
    <w:p>
      <w:pPr>
        <w:spacing w:line="360" w:lineRule="auto"/>
        <w:rPr>
          <w:rFonts w:ascii="宋体" w:hAnsi="宋体" w:cs="宋体"/>
          <w:b/>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pStyle w:val="8"/>
        <w:jc w:val="center"/>
        <w:rPr>
          <w:rFonts w:ascii="宋体" w:hAnsi="宋体" w:eastAsia="宋体" w:cs="宋体"/>
          <w:sz w:val="24"/>
          <w:szCs w:val="24"/>
        </w:rPr>
      </w:pPr>
      <w:r>
        <w:rPr>
          <w:rFonts w:hint="eastAsia" w:ascii="宋体" w:hAnsi="宋体" w:eastAsia="宋体" w:cs="宋体"/>
          <w:sz w:val="24"/>
          <w:szCs w:val="24"/>
        </w:rPr>
        <w:t>（五）近年发生的诉讼及仲裁情况</w:t>
      </w:r>
    </w:p>
    <w:p>
      <w:pPr>
        <w:rPr>
          <w:rFonts w:ascii="宋体" w:hAnsi="宋体" w:cs="宋体"/>
          <w:sz w:val="24"/>
        </w:rPr>
      </w:pPr>
    </w:p>
    <w:p>
      <w:pPr>
        <w:ind w:firstLine="2638" w:firstLineChars="1095"/>
        <w:rPr>
          <w:rFonts w:ascii="宋体" w:hAnsi="宋体" w:cs="宋体"/>
          <w:b/>
          <w:bCs/>
          <w:sz w:val="24"/>
        </w:rPr>
      </w:pPr>
      <w:r>
        <w:rPr>
          <w:rFonts w:hint="eastAsia" w:ascii="宋体" w:hAnsi="宋体" w:cs="宋体"/>
          <w:b/>
          <w:bCs/>
          <w:sz w:val="24"/>
        </w:rPr>
        <w:t>（近年指</w:t>
      </w:r>
      <w:r>
        <w:rPr>
          <w:rFonts w:hint="eastAsia" w:ascii="宋体" w:hAnsi="宋体" w:cs="宋体"/>
          <w:b/>
          <w:bCs/>
          <w:sz w:val="24"/>
          <w:u w:val="single"/>
        </w:rPr>
        <w:t>201</w:t>
      </w:r>
      <w:r>
        <w:rPr>
          <w:rFonts w:hint="eastAsia" w:ascii="宋体" w:hAnsi="宋体" w:cs="宋体"/>
          <w:b/>
          <w:bCs/>
          <w:sz w:val="24"/>
          <w:u w:val="single"/>
          <w:lang w:val="en-US" w:eastAsia="zh-CN"/>
        </w:rPr>
        <w:t>8</w:t>
      </w:r>
      <w:r>
        <w:rPr>
          <w:rFonts w:hint="eastAsia" w:ascii="宋体" w:hAnsi="宋体" w:cs="宋体"/>
          <w:b/>
          <w:bCs/>
          <w:sz w:val="24"/>
        </w:rPr>
        <w:t>年</w:t>
      </w:r>
      <w:r>
        <w:rPr>
          <w:rFonts w:hint="eastAsia" w:ascii="宋体" w:hAnsi="宋体" w:cs="宋体"/>
          <w:b/>
          <w:bCs/>
          <w:sz w:val="24"/>
          <w:u w:val="single"/>
        </w:rPr>
        <w:t>1</w:t>
      </w:r>
      <w:r>
        <w:rPr>
          <w:rFonts w:hint="eastAsia" w:ascii="宋体" w:hAnsi="宋体" w:cs="宋体"/>
          <w:b/>
          <w:bCs/>
          <w:sz w:val="24"/>
        </w:rPr>
        <w:t>月</w:t>
      </w:r>
      <w:r>
        <w:rPr>
          <w:rFonts w:hint="eastAsia" w:ascii="宋体" w:hAnsi="宋体" w:cs="宋体"/>
          <w:b/>
          <w:bCs/>
          <w:sz w:val="24"/>
          <w:u w:val="single"/>
        </w:rPr>
        <w:t>1</w:t>
      </w:r>
      <w:r>
        <w:rPr>
          <w:rFonts w:hint="eastAsia" w:ascii="宋体" w:hAnsi="宋体" w:cs="宋体"/>
          <w:b/>
          <w:bCs/>
          <w:sz w:val="24"/>
        </w:rPr>
        <w:t>日以来）</w:t>
      </w:r>
    </w:p>
    <w:p>
      <w:pPr>
        <w:jc w:val="center"/>
        <w:rPr>
          <w:rFonts w:ascii="宋体" w:hAnsi="宋体" w:cs="宋体"/>
          <w:b/>
          <w:sz w:val="24"/>
        </w:rPr>
      </w:pPr>
    </w:p>
    <w:p>
      <w:pPr>
        <w:rPr>
          <w:rFonts w:ascii="宋体" w:hAnsi="宋体" w:cs="宋体"/>
          <w:sz w:val="24"/>
        </w:rPr>
      </w:pPr>
    </w:p>
    <w:p>
      <w:pPr>
        <w:spacing w:line="600" w:lineRule="exact"/>
        <w:jc w:val="right"/>
        <w:rPr>
          <w:rFonts w:ascii="宋体"/>
          <w:sz w:val="24"/>
        </w:rPr>
      </w:pPr>
    </w:p>
    <w:p>
      <w:pPr>
        <w:spacing w:line="600" w:lineRule="exact"/>
        <w:jc w:val="right"/>
        <w:rPr>
          <w:rFonts w:ascii="宋体"/>
          <w:sz w:val="24"/>
        </w:rPr>
      </w:pPr>
    </w:p>
    <w:p>
      <w:pPr>
        <w:spacing w:line="600" w:lineRule="exact"/>
        <w:jc w:val="right"/>
        <w:rPr>
          <w:rFonts w:ascii="宋体"/>
          <w:sz w:val="24"/>
        </w:rPr>
      </w:pPr>
    </w:p>
    <w:p>
      <w:pPr>
        <w:spacing w:line="600" w:lineRule="exact"/>
        <w:jc w:val="right"/>
        <w:rPr>
          <w:rFonts w:ascii="宋体"/>
          <w:sz w:val="24"/>
        </w:rPr>
      </w:pPr>
    </w:p>
    <w:p>
      <w:pPr>
        <w:spacing w:line="600" w:lineRule="exact"/>
        <w:jc w:val="right"/>
        <w:rPr>
          <w:rFonts w:ascii="宋体"/>
          <w:sz w:val="24"/>
        </w:rPr>
      </w:pPr>
    </w:p>
    <w:p>
      <w:pPr>
        <w:spacing w:line="600" w:lineRule="exact"/>
        <w:jc w:val="right"/>
        <w:rPr>
          <w:rFonts w:ascii="宋体"/>
          <w:sz w:val="24"/>
        </w:rPr>
      </w:pPr>
    </w:p>
    <w:p>
      <w:pPr>
        <w:spacing w:line="600" w:lineRule="exact"/>
        <w:jc w:val="right"/>
        <w:rPr>
          <w:rFonts w:ascii="宋体"/>
          <w:sz w:val="24"/>
        </w:rPr>
      </w:pPr>
    </w:p>
    <w:p>
      <w:pPr>
        <w:spacing w:line="600" w:lineRule="exact"/>
        <w:jc w:val="right"/>
        <w:rPr>
          <w:rFonts w:ascii="宋体"/>
          <w:sz w:val="24"/>
        </w:rPr>
      </w:pPr>
    </w:p>
    <w:p>
      <w:pPr>
        <w:spacing w:line="600" w:lineRule="exact"/>
        <w:jc w:val="right"/>
        <w:rPr>
          <w:rFonts w:ascii="宋体"/>
          <w:sz w:val="24"/>
        </w:rPr>
      </w:pPr>
    </w:p>
    <w:p>
      <w:pPr>
        <w:spacing w:line="600" w:lineRule="exact"/>
        <w:jc w:val="right"/>
        <w:rPr>
          <w:rFonts w:ascii="宋体"/>
          <w:sz w:val="24"/>
        </w:rPr>
      </w:pPr>
    </w:p>
    <w:p>
      <w:pPr>
        <w:spacing w:line="600" w:lineRule="exact"/>
        <w:jc w:val="right"/>
        <w:rPr>
          <w:rFonts w:ascii="宋体"/>
          <w:sz w:val="24"/>
        </w:rPr>
      </w:pPr>
    </w:p>
    <w:p>
      <w:pPr>
        <w:spacing w:line="600" w:lineRule="exact"/>
        <w:rPr>
          <w:rFonts w:ascii="宋体"/>
          <w:sz w:val="24"/>
        </w:rPr>
      </w:pPr>
    </w:p>
    <w:p>
      <w:pPr>
        <w:rPr>
          <w:rFonts w:ascii="宋体" w:cs="宋体"/>
        </w:rPr>
      </w:pPr>
      <w:r>
        <w:rPr>
          <w:rFonts w:hint="eastAsia" w:ascii="宋体" w:hAnsi="宋体" w:cs="宋体"/>
        </w:rPr>
        <w:br w:type="page"/>
      </w:r>
    </w:p>
    <w:p>
      <w:pPr>
        <w:pStyle w:val="8"/>
        <w:numPr>
          <w:ilvl w:val="0"/>
          <w:numId w:val="5"/>
        </w:numPr>
        <w:jc w:val="center"/>
        <w:rPr>
          <w:rFonts w:ascii="宋体" w:hAnsi="宋体" w:eastAsia="宋体" w:cs="宋体"/>
          <w:sz w:val="24"/>
          <w:szCs w:val="24"/>
        </w:rPr>
      </w:pPr>
      <w:r>
        <w:rPr>
          <w:rFonts w:hint="eastAsia" w:ascii="宋体" w:hAnsi="宋体" w:eastAsia="宋体" w:cs="宋体"/>
          <w:sz w:val="24"/>
          <w:szCs w:val="24"/>
        </w:rPr>
        <w:t>投标人诚信承诺书</w:t>
      </w:r>
    </w:p>
    <w:p>
      <w:pPr>
        <w:autoSpaceDE w:val="0"/>
        <w:autoSpaceDN w:val="0"/>
        <w:adjustRightInd w:val="0"/>
        <w:spacing w:line="420" w:lineRule="exact"/>
        <w:rPr>
          <w:rFonts w:ascii="宋体" w:hAnsi="宋体" w:cs="宋体"/>
          <w:kern w:val="0"/>
          <w:sz w:val="24"/>
        </w:rPr>
      </w:pPr>
      <w:r>
        <w:rPr>
          <w:rFonts w:hint="eastAsia" w:ascii="宋体" w:hAnsi="宋体" w:cs="宋体"/>
          <w:sz w:val="24"/>
          <w:u w:val="single"/>
        </w:rPr>
        <w:t xml:space="preserve">          </w:t>
      </w:r>
      <w:r>
        <w:rPr>
          <w:rFonts w:hint="eastAsia" w:ascii="宋体" w:hAnsi="宋体" w:cs="宋体"/>
          <w:kern w:val="0"/>
          <w:sz w:val="24"/>
        </w:rPr>
        <w:t>（招标人名称）：</w:t>
      </w:r>
    </w:p>
    <w:p>
      <w:pPr>
        <w:rPr>
          <w:rFonts w:ascii="宋体" w:hAnsi="宋体" w:cs="宋体"/>
          <w:sz w:val="24"/>
        </w:rPr>
      </w:pPr>
    </w:p>
    <w:p>
      <w:pPr>
        <w:spacing w:line="520" w:lineRule="exact"/>
        <w:rPr>
          <w:rFonts w:ascii="宋体" w:hAnsi="宋体" w:cs="宋体"/>
          <w:sz w:val="24"/>
        </w:rPr>
      </w:pPr>
      <w:r>
        <w:rPr>
          <w:rFonts w:hint="eastAsia" w:ascii="宋体" w:hAnsi="宋体" w:cs="宋体"/>
          <w:sz w:val="24"/>
        </w:rPr>
        <w:t>我单位在参加</w:t>
      </w:r>
      <w:r>
        <w:rPr>
          <w:rFonts w:hint="eastAsia" w:ascii="宋体" w:hAnsi="宋体" w:cs="宋体"/>
          <w:sz w:val="24"/>
          <w:u w:val="single"/>
        </w:rPr>
        <w:t xml:space="preserve">     </w:t>
      </w:r>
      <w:r>
        <w:rPr>
          <w:rFonts w:hint="eastAsia" w:ascii="宋体" w:hAnsi="宋体" w:cs="宋体"/>
          <w:sz w:val="24"/>
        </w:rPr>
        <w:t>（项目名称）的投标活动中，郑重承诺如下：</w:t>
      </w:r>
    </w:p>
    <w:p>
      <w:pPr>
        <w:numPr>
          <w:ilvl w:val="0"/>
          <w:numId w:val="6"/>
        </w:numPr>
        <w:spacing w:line="520" w:lineRule="exact"/>
        <w:rPr>
          <w:rFonts w:ascii="宋体" w:hAnsi="宋体" w:cs="宋体"/>
          <w:sz w:val="24"/>
        </w:rPr>
      </w:pPr>
      <w:r>
        <w:rPr>
          <w:rFonts w:hint="eastAsia" w:ascii="宋体" w:hAnsi="宋体" w:cs="宋体"/>
          <w:sz w:val="24"/>
        </w:rPr>
        <w:t>我方在此声明，本次招标投标活动中申报的所有资料都是真实、准确完整的，如发现提供虚假资料，或与事实不符而导致投标无效，甚至造成任何法律和经济责任，完全有我方负责。</w:t>
      </w:r>
    </w:p>
    <w:p>
      <w:pPr>
        <w:numPr>
          <w:ilvl w:val="0"/>
          <w:numId w:val="6"/>
        </w:numPr>
        <w:spacing w:line="520" w:lineRule="exact"/>
        <w:rPr>
          <w:rFonts w:ascii="宋体" w:hAnsi="宋体" w:cs="宋体"/>
          <w:sz w:val="24"/>
        </w:rPr>
      </w:pPr>
      <w:r>
        <w:rPr>
          <w:rFonts w:hint="eastAsia" w:ascii="宋体" w:hAnsi="宋体" w:cs="宋体"/>
          <w:sz w:val="24"/>
        </w:rPr>
        <w:t>我方在本次投标活动中绝无资质挂靠、串标、围标情形，若经贵方查出，立即取消我方投标资格并自行承担相应的法律在责任。</w:t>
      </w:r>
    </w:p>
    <w:p>
      <w:pPr>
        <w:numPr>
          <w:ilvl w:val="0"/>
          <w:numId w:val="6"/>
        </w:numPr>
        <w:spacing w:line="520" w:lineRule="exact"/>
        <w:rPr>
          <w:rFonts w:ascii="宋体" w:hAnsi="宋体" w:cs="宋体"/>
          <w:sz w:val="24"/>
        </w:rPr>
      </w:pPr>
      <w:r>
        <w:rPr>
          <w:rFonts w:hint="eastAsia" w:ascii="宋体" w:hAnsi="宋体" w:cs="宋体"/>
          <w:sz w:val="24"/>
        </w:rPr>
        <w:t>我方在以往的招标投标活动中，无重大违法、违规的不良记录（或虽有不良记录，但已超过处理期限）。</w:t>
      </w:r>
    </w:p>
    <w:p>
      <w:pPr>
        <w:numPr>
          <w:ilvl w:val="0"/>
          <w:numId w:val="6"/>
        </w:numPr>
        <w:spacing w:line="520" w:lineRule="exact"/>
        <w:rPr>
          <w:rFonts w:ascii="宋体" w:hAnsi="宋体" w:cs="宋体"/>
          <w:sz w:val="24"/>
        </w:rPr>
      </w:pPr>
      <w:r>
        <w:rPr>
          <w:rFonts w:hint="eastAsia" w:ascii="宋体" w:hAnsi="宋体" w:cs="宋体"/>
          <w:sz w:val="24"/>
        </w:rPr>
        <w:t>我方未被地市级及其以上行政主管部门做出取消投标资格的处罚且该处罚在有效期内的。</w:t>
      </w:r>
    </w:p>
    <w:p>
      <w:pPr>
        <w:numPr>
          <w:ilvl w:val="0"/>
          <w:numId w:val="6"/>
        </w:numPr>
        <w:spacing w:line="520" w:lineRule="exact"/>
        <w:rPr>
          <w:rFonts w:ascii="宋体" w:hAnsi="宋体" w:cs="宋体"/>
          <w:sz w:val="24"/>
        </w:rPr>
      </w:pPr>
      <w:r>
        <w:rPr>
          <w:rFonts w:hint="eastAsia" w:ascii="宋体" w:hAnsi="宋体" w:cs="宋体"/>
          <w:sz w:val="24"/>
        </w:rPr>
        <w:t>我方一旦中标，将严格按照投标文件中所承诺的报价、质量、工期、投标方案、项目管理机构等内容组织实施。</w:t>
      </w:r>
    </w:p>
    <w:p>
      <w:pPr>
        <w:numPr>
          <w:ilvl w:val="0"/>
          <w:numId w:val="6"/>
        </w:numPr>
        <w:spacing w:line="520" w:lineRule="exact"/>
        <w:rPr>
          <w:rFonts w:ascii="宋体" w:hAnsi="宋体" w:cs="宋体"/>
          <w:sz w:val="24"/>
        </w:rPr>
      </w:pPr>
      <w:r>
        <w:rPr>
          <w:rFonts w:hint="eastAsia" w:ascii="宋体" w:hAnsi="宋体" w:cs="宋体"/>
          <w:sz w:val="24"/>
        </w:rPr>
        <w:t>我方一旦中标，将按规定及时与建设单位签订合同。</w:t>
      </w:r>
    </w:p>
    <w:p>
      <w:pPr>
        <w:spacing w:line="520" w:lineRule="exact"/>
        <w:rPr>
          <w:rFonts w:ascii="宋体" w:hAnsi="宋体" w:cs="宋体"/>
          <w:sz w:val="24"/>
        </w:rPr>
      </w:pPr>
    </w:p>
    <w:p>
      <w:pPr>
        <w:spacing w:line="520" w:lineRule="exact"/>
        <w:rPr>
          <w:rFonts w:ascii="宋体" w:hAnsi="宋体" w:cs="宋体"/>
          <w:sz w:val="24"/>
        </w:rPr>
      </w:pPr>
    </w:p>
    <w:p>
      <w:pPr>
        <w:spacing w:line="480" w:lineRule="exact"/>
        <w:ind w:firstLine="480" w:firstLineChars="200"/>
        <w:rPr>
          <w:rFonts w:ascii="宋体" w:hAnsi="宋体" w:cs="宋体"/>
          <w:sz w:val="24"/>
        </w:rPr>
      </w:pPr>
      <w:r>
        <w:rPr>
          <w:rFonts w:hint="eastAsia" w:ascii="宋体" w:hAnsi="宋体" w:cs="宋体"/>
          <w:sz w:val="24"/>
        </w:rPr>
        <w:t>投 标 人 ：</w:t>
      </w:r>
      <w:r>
        <w:rPr>
          <w:rFonts w:hint="eastAsia" w:ascii="宋体" w:hAnsi="宋体" w:cs="宋体"/>
          <w:sz w:val="24"/>
          <w:u w:val="single"/>
        </w:rPr>
        <w:t xml:space="preserve">         </w:t>
      </w:r>
      <w:r>
        <w:rPr>
          <w:rFonts w:hint="eastAsia" w:ascii="宋体" w:hAnsi="宋体" w:cs="宋体"/>
          <w:sz w:val="24"/>
        </w:rPr>
        <w:t xml:space="preserve">（ 电 子 签 章 ） </w:t>
      </w:r>
    </w:p>
    <w:p>
      <w:pPr>
        <w:spacing w:line="480" w:lineRule="exact"/>
        <w:ind w:firstLine="480" w:firstLineChars="2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（电子签名） </w:t>
      </w:r>
    </w:p>
    <w:p>
      <w:pPr>
        <w:spacing w:line="480" w:lineRule="exact"/>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sz w:val="24"/>
        </w:rPr>
      </w:pPr>
    </w:p>
    <w:p>
      <w:pPr>
        <w:rPr>
          <w:rFonts w:ascii="宋体" w:hAnsi="宋体" w:cs="宋体"/>
          <w:sz w:val="24"/>
        </w:rPr>
      </w:pPr>
    </w:p>
    <w:p>
      <w:pPr>
        <w:pStyle w:val="8"/>
        <w:jc w:val="center"/>
        <w:rPr>
          <w:rFonts w:ascii="宋体" w:hAnsi="宋体" w:eastAsia="宋体" w:cs="宋体"/>
          <w:sz w:val="24"/>
          <w:szCs w:val="24"/>
        </w:rPr>
      </w:pPr>
      <w:r>
        <w:br w:type="page"/>
      </w:r>
      <w:r>
        <w:rPr>
          <w:rFonts w:hint="eastAsia" w:ascii="宋体" w:hAnsi="宋体" w:eastAsia="宋体" w:cs="宋体"/>
          <w:sz w:val="24"/>
          <w:szCs w:val="24"/>
        </w:rPr>
        <w:t>（七）招标文件内容确认书</w:t>
      </w:r>
    </w:p>
    <w:p>
      <w:pPr>
        <w:rPr>
          <w:rFonts w:hint="eastAsia" w:ascii="宋体" w:hAnsi="宋体" w:cs="宋体"/>
          <w:sz w:val="24"/>
          <w:u w:val="single"/>
        </w:rPr>
      </w:pPr>
    </w:p>
    <w:p>
      <w:pPr>
        <w:rPr>
          <w:rFonts w:ascii="宋体" w:hAnsi="宋体" w:cs="宋体"/>
          <w:sz w:val="24"/>
        </w:rPr>
      </w:pPr>
      <w:r>
        <w:rPr>
          <w:rFonts w:hint="eastAsia" w:ascii="宋体" w:hAnsi="宋体" w:cs="宋体"/>
          <w:sz w:val="24"/>
          <w:u w:val="single"/>
        </w:rPr>
        <w:t xml:space="preserve">         </w:t>
      </w:r>
      <w:r>
        <w:rPr>
          <w:rFonts w:hint="eastAsia" w:ascii="宋体" w:hAnsi="宋体" w:cs="宋体"/>
          <w:sz w:val="24"/>
        </w:rPr>
        <w:t>（招标人名称）：</w:t>
      </w:r>
    </w:p>
    <w:p>
      <w:pPr>
        <w:pStyle w:val="11"/>
      </w:pPr>
    </w:p>
    <w:p>
      <w:pPr>
        <w:spacing w:line="360" w:lineRule="auto"/>
        <w:ind w:firstLine="480" w:firstLineChars="200"/>
        <w:rPr>
          <w:rFonts w:ascii="宋体" w:hAnsi="宋体" w:cs="宋体"/>
          <w:sz w:val="24"/>
        </w:rPr>
      </w:pPr>
      <w:r>
        <w:rPr>
          <w:rFonts w:hint="eastAsia" w:ascii="宋体" w:hAnsi="宋体" w:cs="宋体"/>
          <w:sz w:val="24"/>
        </w:rPr>
        <w:t>我方已经详细阅读整个招标文件的内容，对本招标文件的内容没有任何异议，全部同意并接受且我方保证在开评标活动结束后不对本招标文件的任何内容提出异议。</w:t>
      </w:r>
    </w:p>
    <w:p>
      <w:pPr>
        <w:spacing w:beforeLines="100" w:afterLines="50" w:line="360" w:lineRule="auto"/>
        <w:jc w:val="center"/>
        <w:rPr>
          <w:rFonts w:ascii="宋体" w:hAnsi="宋体" w:cs="宋体"/>
          <w:b/>
          <w:sz w:val="24"/>
        </w:rPr>
      </w:pPr>
    </w:p>
    <w:p>
      <w:pPr>
        <w:spacing w:beforeLines="100" w:afterLines="50" w:line="360" w:lineRule="auto"/>
        <w:jc w:val="center"/>
        <w:rPr>
          <w:rFonts w:ascii="宋体" w:hAnsi="宋体" w:cs="宋体"/>
          <w:b/>
          <w:sz w:val="24"/>
        </w:rPr>
      </w:pPr>
    </w:p>
    <w:p>
      <w:pPr>
        <w:spacing w:beforeLines="100" w:afterLines="50" w:line="360" w:lineRule="auto"/>
        <w:jc w:val="center"/>
        <w:rPr>
          <w:rFonts w:ascii="宋体" w:hAnsi="宋体" w:cs="宋体"/>
          <w:b/>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r>
        <w:rPr>
          <w:rFonts w:hint="eastAsia" w:ascii="宋体" w:hAnsi="宋体" w:cs="宋体"/>
          <w:sz w:val="24"/>
        </w:rPr>
        <w:t xml:space="preserve">（ 电 子 签 章 ） </w:t>
      </w:r>
    </w:p>
    <w:p>
      <w:pPr>
        <w:spacing w:line="360" w:lineRule="auto"/>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（电子签名）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sz w:val="24"/>
        </w:rPr>
      </w:pPr>
    </w:p>
    <w:p>
      <w:pPr>
        <w:rPr>
          <w:rFonts w:ascii="宋体" w:cs="宋体"/>
        </w:rPr>
      </w:pPr>
    </w:p>
    <w:p>
      <w:pPr>
        <w:rPr>
          <w:rFonts w:ascii="宋体" w:cs="宋体"/>
        </w:rPr>
      </w:pPr>
    </w:p>
    <w:p>
      <w:r>
        <w:br w:type="page"/>
      </w:r>
    </w:p>
    <w:p>
      <w:pPr>
        <w:pStyle w:val="8"/>
        <w:jc w:val="center"/>
        <w:rPr>
          <w:rFonts w:ascii="宋体" w:hAnsi="宋体" w:eastAsia="宋体" w:cs="宋体"/>
          <w:sz w:val="24"/>
          <w:szCs w:val="24"/>
        </w:rPr>
      </w:pPr>
      <w:r>
        <w:rPr>
          <w:rFonts w:hint="eastAsia" w:ascii="宋体" w:hAnsi="宋体" w:eastAsia="宋体" w:cs="宋体"/>
          <w:sz w:val="24"/>
          <w:szCs w:val="24"/>
        </w:rPr>
        <w:t>（八）无行贿承诺书</w:t>
      </w:r>
    </w:p>
    <w:p>
      <w:pPr>
        <w:ind w:firstLine="2310" w:firstLineChars="1100"/>
        <w:rPr>
          <w:rFonts w:hint="eastAsia"/>
        </w:rPr>
      </w:pPr>
      <w:r>
        <w:rPr>
          <w:rFonts w:hint="eastAsia"/>
          <w:lang w:val="en-US" w:eastAsia="zh-CN"/>
        </w:rPr>
        <w:t>九</w:t>
      </w:r>
      <w:r>
        <w:rPr>
          <w:rFonts w:hint="eastAsia"/>
        </w:rPr>
        <w:t>、反商业贿赂承诺书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我方承诺：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 （项目名称）（项目编号：）招标活动中，我方保证做到：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一、公平竞争参加本次招标活动。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杜绝任何形式的商业贿赂行为。不向国家工作人员、相关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三、若出现上述行为，我方及参与投标的工作人员愿意接受按照国家法律法规等有关规定给予的处罚。</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投标人（电子签章)：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法定代表人（电子签名）：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日 期： 年 月 日</w:t>
      </w:r>
    </w:p>
    <w:p>
      <w:pPr>
        <w:rPr>
          <w:sz w:val="24"/>
          <w:szCs w:val="24"/>
        </w:rPr>
      </w:pPr>
      <w:r>
        <w:rPr>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r>
        <w:rPr>
          <w:rFonts w:hint="eastAsia"/>
          <w:b/>
          <w:bCs/>
          <w:sz w:val="24"/>
          <w:szCs w:val="24"/>
          <w:lang w:val="en-US" w:eastAsia="zh-CN"/>
        </w:rPr>
        <w:t>十</w:t>
      </w:r>
      <w:r>
        <w:rPr>
          <w:rFonts w:hint="eastAsia"/>
          <w:b/>
          <w:bCs/>
          <w:sz w:val="24"/>
          <w:szCs w:val="24"/>
        </w:rPr>
        <w:t>、无重大违法记录声明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（招标人）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投标人名称）郑重声明，我方参加本项目招标活动前三年内无重大违法活动记录，符合《中华人民共和国招投标法》及《中华人民共和国政府采购法》等相关法律、法规规定的投标人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投标人（电子签章）：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法定代表人：（电子签名）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r>
        <w:rPr>
          <w:rFonts w:hint="eastAsia"/>
          <w:b/>
          <w:bCs/>
          <w:sz w:val="24"/>
          <w:szCs w:val="24"/>
        </w:rPr>
        <w:t>十</w:t>
      </w:r>
      <w:r>
        <w:rPr>
          <w:rFonts w:hint="eastAsia"/>
          <w:b/>
          <w:bCs/>
          <w:sz w:val="24"/>
          <w:szCs w:val="24"/>
          <w:lang w:val="en-US" w:eastAsia="zh-CN"/>
        </w:rPr>
        <w:t>一</w:t>
      </w:r>
      <w:r>
        <w:rPr>
          <w:rFonts w:hint="eastAsia"/>
          <w:b/>
          <w:bCs/>
          <w:sz w:val="24"/>
          <w:szCs w:val="24"/>
        </w:rPr>
        <w:t>、综合服务承诺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优惠承诺、履职尽责承诺及其他承诺等填写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r>
        <w:rPr>
          <w:rFonts w:hint="eastAsia"/>
          <w:b/>
          <w:bCs/>
          <w:sz w:val="24"/>
          <w:szCs w:val="24"/>
        </w:rPr>
        <w:t>十</w:t>
      </w:r>
      <w:r>
        <w:rPr>
          <w:rFonts w:hint="eastAsia"/>
          <w:b/>
          <w:bCs/>
          <w:sz w:val="24"/>
          <w:szCs w:val="24"/>
          <w:lang w:val="en-US" w:eastAsia="zh-CN"/>
        </w:rPr>
        <w:t>二</w:t>
      </w:r>
      <w:r>
        <w:rPr>
          <w:rFonts w:hint="eastAsia"/>
          <w:b/>
          <w:bCs/>
          <w:sz w:val="24"/>
          <w:szCs w:val="24"/>
        </w:rPr>
        <w:t>、无拖欠农民工工资承诺书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（招标人）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1、我公司承诺，近三年来未有拖欠农民工工资现象。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2、如我公司中标，我公司按工程总造价的 2%缴纳农民工工资保证金。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3、如我公司中标后有拖欠农民工工资的行为和投诉，由我公司全权负责，如造成不良影响的，我公司愿意接受法律法规的处罚。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投标单位：（电子签章）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法定代表人：（电子签名）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黑体"/>
        </w:rPr>
      </w:pPr>
      <w:r>
        <w:rPr>
          <w:rFonts w:hint="eastAsia"/>
          <w:sz w:val="24"/>
          <w:szCs w:val="24"/>
        </w:rPr>
        <w:t>日期：年 月 日</w:t>
      </w:r>
      <w:r>
        <w:rPr>
          <w:sz w:val="24"/>
          <w:szCs w:val="24"/>
        </w:rPr>
        <w:br w:type="page"/>
      </w:r>
      <w:bookmarkStart w:id="387" w:name="_Toc12548"/>
      <w:bookmarkStart w:id="388" w:name="_Toc19244"/>
      <w:bookmarkStart w:id="389" w:name="_Toc291081548"/>
      <w:bookmarkStart w:id="390" w:name="_Toc15046"/>
      <w:r>
        <w:rPr>
          <w:rFonts w:hint="eastAsia" w:hAnsi="宋体" w:cs="黑体"/>
        </w:rPr>
        <w:t>十、投标人认为需要的其他材料</w:t>
      </w:r>
      <w:bookmarkEnd w:id="387"/>
      <w:bookmarkEnd w:id="388"/>
      <w:bookmarkEnd w:id="389"/>
      <w:bookmarkEnd w:id="390"/>
    </w:p>
    <w:p>
      <w:pPr>
        <w:rPr>
          <w:sz w:val="24"/>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b/>
          <w:bCs/>
          <w:i w:val="0"/>
          <w:iCs w:val="0"/>
          <w:color w:val="000000"/>
          <w:kern w:val="0"/>
          <w:sz w:val="24"/>
          <w:szCs w:val="24"/>
          <w:lang w:val="en-US" w:eastAsia="zh-CN" w:bidi="ar"/>
        </w:rPr>
        <w:t>中小企业声明函（工程、服务）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color w:val="000000"/>
          <w:kern w:val="0"/>
          <w:sz w:val="24"/>
          <w:szCs w:val="24"/>
          <w:lang w:val="en-US" w:eastAsia="zh-CN" w:bidi="ar"/>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lang w:val="en-US" w:eastAsia="zh-CN" w:bidi="ar"/>
        </w:rPr>
        <w:t>（单位名称）的</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lang w:val="en-US" w:eastAsia="zh-CN" w:bidi="ar"/>
        </w:rPr>
        <w:t>（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color w:val="000000"/>
          <w:kern w:val="0"/>
          <w:sz w:val="24"/>
          <w:szCs w:val="24"/>
          <w:lang w:val="en-US" w:eastAsia="zh-CN" w:bidi="ar"/>
        </w:rPr>
        <w:t>1.</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（标的名称） </w:t>
      </w:r>
      <w:r>
        <w:rPr>
          <w:rFonts w:hint="eastAsia" w:asciiTheme="minorEastAsia" w:hAnsiTheme="minorEastAsia" w:eastAsiaTheme="minorEastAsia" w:cstheme="minorEastAsia"/>
          <w:i w:val="0"/>
          <w:iCs w:val="0"/>
          <w:color w:val="000000"/>
          <w:kern w:val="0"/>
          <w:sz w:val="24"/>
          <w:szCs w:val="24"/>
          <w:lang w:val="en-US" w:eastAsia="zh-CN" w:bidi="ar"/>
        </w:rPr>
        <w:t>，属于</w:t>
      </w:r>
      <w:r>
        <w:rPr>
          <w:rFonts w:hint="eastAsia" w:asciiTheme="minorEastAsia" w:hAnsiTheme="minorEastAsia" w:eastAsiaTheme="minorEastAsia" w:cstheme="minorEastAsia"/>
          <w:i w:val="0"/>
          <w:iCs w:val="0"/>
          <w:color w:val="000000"/>
          <w:kern w:val="0"/>
          <w:sz w:val="24"/>
          <w:szCs w:val="24"/>
          <w:u w:val="single"/>
          <w:lang w:val="en-US" w:eastAsia="zh-CN" w:bidi="ar"/>
        </w:rPr>
        <w:t>（采购文件中明确的所属行业）</w:t>
      </w:r>
      <w:r>
        <w:rPr>
          <w:rFonts w:hint="eastAsia" w:asciiTheme="minorEastAsia" w:hAnsiTheme="minorEastAsia" w:eastAsiaTheme="minorEastAsia" w:cstheme="minorEastAsia"/>
          <w:i w:val="0"/>
          <w:iCs w:val="0"/>
          <w:color w:val="000000"/>
          <w:kern w:val="0"/>
          <w:sz w:val="24"/>
          <w:szCs w:val="24"/>
          <w:lang w:val="en-US" w:eastAsia="zh-CN" w:bidi="ar"/>
        </w:rPr>
        <w:t>；承建（承接）企业为</w:t>
      </w:r>
      <w:r>
        <w:rPr>
          <w:rFonts w:hint="eastAsia" w:asciiTheme="minorEastAsia" w:hAnsiTheme="minorEastAsia" w:eastAsiaTheme="minorEastAsia" w:cstheme="minorEastAsia"/>
          <w:i w:val="0"/>
          <w:iCs w:val="0"/>
          <w:color w:val="000000"/>
          <w:kern w:val="0"/>
          <w:sz w:val="24"/>
          <w:szCs w:val="24"/>
          <w:u w:val="single"/>
          <w:lang w:val="en-US" w:eastAsia="zh-CN" w:bidi="ar"/>
        </w:rPr>
        <w:t>（企业名称）</w:t>
      </w:r>
      <w:r>
        <w:rPr>
          <w:rFonts w:hint="eastAsia" w:asciiTheme="minorEastAsia" w:hAnsiTheme="minorEastAsia" w:eastAsiaTheme="minorEastAsia" w:cstheme="minorEastAsia"/>
          <w:i w:val="0"/>
          <w:iCs w:val="0"/>
          <w:color w:val="000000"/>
          <w:kern w:val="0"/>
          <w:sz w:val="24"/>
          <w:szCs w:val="24"/>
          <w:lang w:val="en-US" w:eastAsia="zh-CN" w:bidi="ar"/>
        </w:rPr>
        <w:t>，从业人员</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lang w:val="en-US" w:eastAsia="zh-CN" w:bidi="ar"/>
        </w:rPr>
        <w:t>人，营业收入为</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lang w:val="en-US" w:eastAsia="zh-CN" w:bidi="ar"/>
        </w:rPr>
        <w:t>万元，资产总额为</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lang w:val="en-US" w:eastAsia="zh-CN" w:bidi="ar"/>
        </w:rPr>
        <w:t xml:space="preserve">万元1，属于（中型企业、 小型企业、微型企业）；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color w:val="000000"/>
          <w:kern w:val="0"/>
          <w:sz w:val="24"/>
          <w:szCs w:val="24"/>
          <w:lang w:val="en-US" w:eastAsia="zh-CN" w:bidi="ar"/>
        </w:rPr>
        <w:t xml:space="preserve">2. </w:t>
      </w:r>
      <w:r>
        <w:rPr>
          <w:rFonts w:hint="eastAsia" w:asciiTheme="minorEastAsia" w:hAnsiTheme="minorEastAsia" w:eastAsiaTheme="minorEastAsia" w:cstheme="minorEastAsia"/>
          <w:i w:val="0"/>
          <w:iCs w:val="0"/>
          <w:color w:val="000000"/>
          <w:kern w:val="0"/>
          <w:sz w:val="24"/>
          <w:szCs w:val="24"/>
          <w:u w:val="single"/>
          <w:lang w:val="en-US" w:eastAsia="zh-CN" w:bidi="ar"/>
        </w:rPr>
        <w:t>（标的名称）</w:t>
      </w:r>
      <w:r>
        <w:rPr>
          <w:rFonts w:hint="eastAsia" w:asciiTheme="minorEastAsia" w:hAnsiTheme="minorEastAsia" w:eastAsiaTheme="minorEastAsia" w:cstheme="minorEastAsia"/>
          <w:i w:val="0"/>
          <w:iCs w:val="0"/>
          <w:color w:val="000000"/>
          <w:kern w:val="0"/>
          <w:sz w:val="24"/>
          <w:szCs w:val="24"/>
          <w:lang w:val="en-US" w:eastAsia="zh-CN" w:bidi="ar"/>
        </w:rPr>
        <w:t xml:space="preserve"> ，属于</w:t>
      </w:r>
      <w:r>
        <w:rPr>
          <w:rFonts w:hint="eastAsia" w:asciiTheme="minorEastAsia" w:hAnsiTheme="minorEastAsia" w:eastAsiaTheme="minorEastAsia" w:cstheme="minorEastAsia"/>
          <w:i w:val="0"/>
          <w:iCs w:val="0"/>
          <w:color w:val="000000"/>
          <w:kern w:val="0"/>
          <w:sz w:val="24"/>
          <w:szCs w:val="24"/>
          <w:u w:val="single"/>
          <w:lang w:val="en-US" w:eastAsia="zh-CN" w:bidi="ar"/>
        </w:rPr>
        <w:t>（采购文件中明确的所属行业）</w:t>
      </w:r>
      <w:r>
        <w:rPr>
          <w:rFonts w:hint="eastAsia" w:asciiTheme="minorEastAsia" w:hAnsiTheme="minorEastAsia" w:eastAsiaTheme="minorEastAsia" w:cstheme="minorEastAsia"/>
          <w:i w:val="0"/>
          <w:iCs w:val="0"/>
          <w:color w:val="000000"/>
          <w:kern w:val="0"/>
          <w:sz w:val="24"/>
          <w:szCs w:val="24"/>
          <w:lang w:val="en-US" w:eastAsia="zh-CN" w:bidi="ar"/>
        </w:rPr>
        <w:t>；承建（承接）企业为</w:t>
      </w:r>
      <w:r>
        <w:rPr>
          <w:rFonts w:hint="eastAsia" w:asciiTheme="minorEastAsia" w:hAnsiTheme="minorEastAsia" w:eastAsiaTheme="minorEastAsia" w:cstheme="minorEastAsia"/>
          <w:i w:val="0"/>
          <w:iCs w:val="0"/>
          <w:color w:val="000000"/>
          <w:kern w:val="0"/>
          <w:sz w:val="24"/>
          <w:szCs w:val="24"/>
          <w:u w:val="single"/>
          <w:lang w:val="en-US" w:eastAsia="zh-CN" w:bidi="ar"/>
        </w:rPr>
        <w:t>（企业名称）</w:t>
      </w:r>
      <w:r>
        <w:rPr>
          <w:rFonts w:hint="eastAsia" w:asciiTheme="minorEastAsia" w:hAnsiTheme="minorEastAsia" w:eastAsiaTheme="minorEastAsia" w:cstheme="minorEastAsia"/>
          <w:i w:val="0"/>
          <w:iCs w:val="0"/>
          <w:color w:val="000000"/>
          <w:kern w:val="0"/>
          <w:sz w:val="24"/>
          <w:szCs w:val="24"/>
          <w:lang w:val="en-US" w:eastAsia="zh-CN" w:bidi="ar"/>
        </w:rPr>
        <w:t>，从业人员</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lang w:val="en-US" w:eastAsia="zh-CN" w:bidi="ar"/>
        </w:rPr>
        <w:t>人，营业收入为</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lang w:val="en-US" w:eastAsia="zh-CN" w:bidi="ar"/>
        </w:rPr>
        <w:t>万元，资产总额为</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lang w:val="en-US" w:eastAsia="zh-CN" w:bidi="ar"/>
        </w:rPr>
        <w:t>万元，属于</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lang w:val="en-US" w:eastAsia="zh-CN" w:bidi="ar"/>
        </w:rPr>
        <w:t xml:space="preserve">（中型企业、小型企业、微型企业）；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color w:val="000000"/>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color w:val="000000"/>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i w:val="0"/>
          <w:iCs w:val="0"/>
          <w:color w:val="000000"/>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lang w:val="en-US" w:eastAsia="zh-CN" w:bidi="ar"/>
        </w:rPr>
        <w:t>日 期：</w:t>
      </w:r>
    </w:p>
    <w:p>
      <w:pPr>
        <w:jc w:val="center"/>
        <w:rPr>
          <w:b/>
          <w:sz w:val="30"/>
          <w:szCs w:val="30"/>
        </w:rPr>
      </w:pPr>
    </w:p>
    <w:p>
      <w:pPr>
        <w:jc w:val="center"/>
        <w:rPr>
          <w:b/>
          <w:sz w:val="30"/>
          <w:szCs w:val="30"/>
        </w:rPr>
      </w:pPr>
      <w:r>
        <w:rPr>
          <w:rFonts w:hint="eastAsia" w:asciiTheme="minorEastAsia" w:hAnsiTheme="minorEastAsia" w:eastAsiaTheme="minorEastAsia" w:cstheme="minorEastAsia"/>
          <w:i w:val="0"/>
          <w:iCs w:val="0"/>
          <w:color w:val="000000"/>
          <w:kern w:val="0"/>
          <w:sz w:val="24"/>
          <w:szCs w:val="24"/>
          <w:lang w:val="en-US" w:eastAsia="zh-CN" w:bidi="ar"/>
        </w:rPr>
        <w:t>从业人员、营业收入、资产总额填报上一年度数据，无上一年度数据的新成立企业可不填报。</w:t>
      </w: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sectPr>
      <w:footerReference r:id="rId6" w:type="default"/>
      <w:pgSz w:w="11906" w:h="16838"/>
      <w:pgMar w:top="1246" w:right="1800" w:bottom="1091" w:left="1800" w:header="964" w:footer="794" w:gutter="0"/>
      <w:pgBorders>
        <w:top w:val="thinThickSmallGap" w:color="auto" w:sz="12" w:space="1"/>
        <w:left w:val="none" w:sz="0" w:space="0"/>
        <w:bottom w:val="thinThickSmallGap" w:color="auto" w:sz="12" w:space="1"/>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870" w:firstLineChars="215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870" w:firstLineChars="21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1"/>
        <w:right w:val="none" w:color="auto" w:sz="0" w:space="0"/>
        <w:between w:val="none" w:color="auto" w:sz="0" w:space="0"/>
      </w:pBdr>
      <w:jc w:val="righ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126C2"/>
    <w:multiLevelType w:val="singleLevel"/>
    <w:tmpl w:val="9AE126C2"/>
    <w:lvl w:ilvl="0" w:tentative="0">
      <w:start w:val="1"/>
      <w:numFmt w:val="chineseCounting"/>
      <w:suff w:val="nothing"/>
      <w:lvlText w:val="（%1）"/>
      <w:lvlJc w:val="left"/>
      <w:rPr>
        <w:rFonts w:hint="eastAsia"/>
      </w:rPr>
    </w:lvl>
  </w:abstractNum>
  <w:abstractNum w:abstractNumId="1">
    <w:nsid w:val="F689AAE6"/>
    <w:multiLevelType w:val="singleLevel"/>
    <w:tmpl w:val="F689AAE6"/>
    <w:lvl w:ilvl="0" w:tentative="0">
      <w:start w:val="1"/>
      <w:numFmt w:val="decimal"/>
      <w:lvlText w:val="%1."/>
      <w:lvlJc w:val="left"/>
      <w:pPr>
        <w:tabs>
          <w:tab w:val="left" w:pos="312"/>
        </w:tabs>
      </w:pPr>
    </w:lvl>
  </w:abstractNum>
  <w:abstractNum w:abstractNumId="2">
    <w:nsid w:val="FCD4DAA3"/>
    <w:multiLevelType w:val="singleLevel"/>
    <w:tmpl w:val="FCD4DAA3"/>
    <w:lvl w:ilvl="0" w:tentative="0">
      <w:start w:val="1"/>
      <w:numFmt w:val="decimal"/>
      <w:suff w:val="nothing"/>
      <w:lvlText w:val="（%1）"/>
      <w:lvlJc w:val="left"/>
    </w:lvl>
  </w:abstractNum>
  <w:abstractNum w:abstractNumId="3">
    <w:nsid w:val="00000001"/>
    <w:multiLevelType w:val="singleLevel"/>
    <w:tmpl w:val="00000001"/>
    <w:lvl w:ilvl="0" w:tentative="0">
      <w:start w:val="6"/>
      <w:numFmt w:val="chineseCounting"/>
      <w:suff w:val="nothing"/>
      <w:lvlText w:val="(%1)"/>
      <w:lvlJc w:val="left"/>
      <w:rPr>
        <w:rFonts w:cs="Times New Roman"/>
      </w:rPr>
    </w:lvl>
  </w:abstractNum>
  <w:abstractNum w:abstractNumId="4">
    <w:nsid w:val="00000008"/>
    <w:multiLevelType w:val="singleLevel"/>
    <w:tmpl w:val="00000008"/>
    <w:lvl w:ilvl="0" w:tentative="0">
      <w:start w:val="1"/>
      <w:numFmt w:val="decimal"/>
      <w:suff w:val="nothing"/>
      <w:lvlText w:val="%1、"/>
      <w:lvlJc w:val="left"/>
      <w:rPr>
        <w:rFonts w:cs="Times New Roman"/>
      </w:rPr>
    </w:lvl>
  </w:abstractNum>
  <w:abstractNum w:abstractNumId="5">
    <w:nsid w:val="00000010"/>
    <w:multiLevelType w:val="multilevel"/>
    <w:tmpl w:val="00000010"/>
    <w:lvl w:ilvl="0" w:tentative="0">
      <w:start w:val="1"/>
      <w:numFmt w:val="japaneseCounting"/>
      <w:lvlText w:val="第%1节"/>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U4NjE2ZThjZWFmNTIyNjY1N2Y2MGM4NGU0YzgifQ=="/>
  </w:docVars>
  <w:rsids>
    <w:rsidRoot w:val="142A2A72"/>
    <w:rsid w:val="00061A19"/>
    <w:rsid w:val="0009533A"/>
    <w:rsid w:val="001E211B"/>
    <w:rsid w:val="00230352"/>
    <w:rsid w:val="002B6ECA"/>
    <w:rsid w:val="002D172C"/>
    <w:rsid w:val="002E7B8D"/>
    <w:rsid w:val="003061E6"/>
    <w:rsid w:val="003A0366"/>
    <w:rsid w:val="003D4975"/>
    <w:rsid w:val="004359F5"/>
    <w:rsid w:val="0049035F"/>
    <w:rsid w:val="00507F8E"/>
    <w:rsid w:val="00597D22"/>
    <w:rsid w:val="005B11E4"/>
    <w:rsid w:val="005D64FB"/>
    <w:rsid w:val="00621C3C"/>
    <w:rsid w:val="00657DF6"/>
    <w:rsid w:val="00684DE0"/>
    <w:rsid w:val="0075268B"/>
    <w:rsid w:val="00756D23"/>
    <w:rsid w:val="0099385C"/>
    <w:rsid w:val="009D495D"/>
    <w:rsid w:val="00A837D2"/>
    <w:rsid w:val="00B56E5E"/>
    <w:rsid w:val="00B76BF6"/>
    <w:rsid w:val="00B87D52"/>
    <w:rsid w:val="00BA7C24"/>
    <w:rsid w:val="00BF174A"/>
    <w:rsid w:val="00C313FB"/>
    <w:rsid w:val="00C42D10"/>
    <w:rsid w:val="00C53EF7"/>
    <w:rsid w:val="00CC4A06"/>
    <w:rsid w:val="00D14476"/>
    <w:rsid w:val="00D41662"/>
    <w:rsid w:val="00E34EC3"/>
    <w:rsid w:val="00E67347"/>
    <w:rsid w:val="00E84E72"/>
    <w:rsid w:val="00F5799B"/>
    <w:rsid w:val="00FA6C93"/>
    <w:rsid w:val="01B164A0"/>
    <w:rsid w:val="02071DD7"/>
    <w:rsid w:val="02811A55"/>
    <w:rsid w:val="072F63A4"/>
    <w:rsid w:val="07657ADD"/>
    <w:rsid w:val="076704FD"/>
    <w:rsid w:val="07A60081"/>
    <w:rsid w:val="07D77C1E"/>
    <w:rsid w:val="083E3C3C"/>
    <w:rsid w:val="0A0A57FB"/>
    <w:rsid w:val="0B6A2010"/>
    <w:rsid w:val="0C2030B4"/>
    <w:rsid w:val="0C405478"/>
    <w:rsid w:val="0E3B7858"/>
    <w:rsid w:val="0E5D77A0"/>
    <w:rsid w:val="0EC408AC"/>
    <w:rsid w:val="0F5A27DB"/>
    <w:rsid w:val="11CE23C8"/>
    <w:rsid w:val="121B38A5"/>
    <w:rsid w:val="123D52DE"/>
    <w:rsid w:val="127959F2"/>
    <w:rsid w:val="135639BC"/>
    <w:rsid w:val="142A2A72"/>
    <w:rsid w:val="147246C9"/>
    <w:rsid w:val="14BA702B"/>
    <w:rsid w:val="170B1920"/>
    <w:rsid w:val="176D55F3"/>
    <w:rsid w:val="17E56F60"/>
    <w:rsid w:val="186C7681"/>
    <w:rsid w:val="1B443878"/>
    <w:rsid w:val="1B7E0810"/>
    <w:rsid w:val="1BA873A9"/>
    <w:rsid w:val="1CA70899"/>
    <w:rsid w:val="1D2A448D"/>
    <w:rsid w:val="1EC82CF7"/>
    <w:rsid w:val="20176A9A"/>
    <w:rsid w:val="23AE7FDE"/>
    <w:rsid w:val="23B82314"/>
    <w:rsid w:val="25241B68"/>
    <w:rsid w:val="2568174F"/>
    <w:rsid w:val="25C44534"/>
    <w:rsid w:val="25F65424"/>
    <w:rsid w:val="267E48DC"/>
    <w:rsid w:val="26ED308E"/>
    <w:rsid w:val="28052A10"/>
    <w:rsid w:val="28100029"/>
    <w:rsid w:val="28196A35"/>
    <w:rsid w:val="291967BE"/>
    <w:rsid w:val="29F776A3"/>
    <w:rsid w:val="2A1A75CE"/>
    <w:rsid w:val="2A220E95"/>
    <w:rsid w:val="2A712784"/>
    <w:rsid w:val="2ACB3B4E"/>
    <w:rsid w:val="2B117300"/>
    <w:rsid w:val="2D101188"/>
    <w:rsid w:val="2D2276E9"/>
    <w:rsid w:val="2D933910"/>
    <w:rsid w:val="2DA66931"/>
    <w:rsid w:val="2F283BF9"/>
    <w:rsid w:val="2F647813"/>
    <w:rsid w:val="304A036A"/>
    <w:rsid w:val="319D3425"/>
    <w:rsid w:val="3316226B"/>
    <w:rsid w:val="331C78C8"/>
    <w:rsid w:val="33314D33"/>
    <w:rsid w:val="33316C94"/>
    <w:rsid w:val="33433199"/>
    <w:rsid w:val="33713745"/>
    <w:rsid w:val="340E181E"/>
    <w:rsid w:val="34743443"/>
    <w:rsid w:val="34D2441F"/>
    <w:rsid w:val="368137BF"/>
    <w:rsid w:val="375C470D"/>
    <w:rsid w:val="38DC1FD8"/>
    <w:rsid w:val="39265B7B"/>
    <w:rsid w:val="39887E8C"/>
    <w:rsid w:val="3C4B2313"/>
    <w:rsid w:val="3D316FB3"/>
    <w:rsid w:val="3D804EB1"/>
    <w:rsid w:val="3E3F3206"/>
    <w:rsid w:val="3F17020E"/>
    <w:rsid w:val="3F920985"/>
    <w:rsid w:val="445E1B70"/>
    <w:rsid w:val="45B1654F"/>
    <w:rsid w:val="468527CA"/>
    <w:rsid w:val="4A9B332A"/>
    <w:rsid w:val="4AA204ED"/>
    <w:rsid w:val="4C506A7C"/>
    <w:rsid w:val="4D1E7EB0"/>
    <w:rsid w:val="4E0B6A19"/>
    <w:rsid w:val="5108440D"/>
    <w:rsid w:val="517241AB"/>
    <w:rsid w:val="523E5B0D"/>
    <w:rsid w:val="529807EE"/>
    <w:rsid w:val="5311313A"/>
    <w:rsid w:val="53330EE2"/>
    <w:rsid w:val="53975064"/>
    <w:rsid w:val="53F10AF0"/>
    <w:rsid w:val="545D784B"/>
    <w:rsid w:val="579C0315"/>
    <w:rsid w:val="57D726D4"/>
    <w:rsid w:val="57EA7E42"/>
    <w:rsid w:val="58327A87"/>
    <w:rsid w:val="592117E6"/>
    <w:rsid w:val="59531654"/>
    <w:rsid w:val="5A065443"/>
    <w:rsid w:val="5B4D6056"/>
    <w:rsid w:val="5C81135A"/>
    <w:rsid w:val="5D343C05"/>
    <w:rsid w:val="5E9A207E"/>
    <w:rsid w:val="5F355D97"/>
    <w:rsid w:val="60072DF7"/>
    <w:rsid w:val="604D2EC1"/>
    <w:rsid w:val="60A778DC"/>
    <w:rsid w:val="612B74CE"/>
    <w:rsid w:val="613D2910"/>
    <w:rsid w:val="61647000"/>
    <w:rsid w:val="616D20F2"/>
    <w:rsid w:val="61827009"/>
    <w:rsid w:val="62D0090A"/>
    <w:rsid w:val="64080709"/>
    <w:rsid w:val="642E0910"/>
    <w:rsid w:val="644B084F"/>
    <w:rsid w:val="64964E36"/>
    <w:rsid w:val="6497596A"/>
    <w:rsid w:val="6A8C54E9"/>
    <w:rsid w:val="6B8818E2"/>
    <w:rsid w:val="6BF66C48"/>
    <w:rsid w:val="6C157502"/>
    <w:rsid w:val="6CC13C8C"/>
    <w:rsid w:val="72C7710B"/>
    <w:rsid w:val="755F49B3"/>
    <w:rsid w:val="75994786"/>
    <w:rsid w:val="762A76CA"/>
    <w:rsid w:val="77354902"/>
    <w:rsid w:val="775B04B3"/>
    <w:rsid w:val="77AF12BC"/>
    <w:rsid w:val="79F523B0"/>
    <w:rsid w:val="7A10413A"/>
    <w:rsid w:val="7CD77395"/>
    <w:rsid w:val="7D1943FF"/>
    <w:rsid w:val="7D40512B"/>
    <w:rsid w:val="7D906AF3"/>
    <w:rsid w:val="7DC9372F"/>
    <w:rsid w:val="7E2C5B28"/>
    <w:rsid w:val="7F5160D2"/>
    <w:rsid w:val="7F5F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360" w:lineRule="auto"/>
      <w:jc w:val="center"/>
      <w:outlineLvl w:val="0"/>
    </w:pPr>
    <w:rPr>
      <w:rFonts w:hint="eastAsia"/>
      <w:b/>
      <w:kern w:val="44"/>
      <w:sz w:val="36"/>
    </w:rPr>
  </w:style>
  <w:style w:type="paragraph" w:styleId="6">
    <w:name w:val="heading 2"/>
    <w:basedOn w:val="1"/>
    <w:next w:val="1"/>
    <w:link w:val="55"/>
    <w:semiHidden/>
    <w:unhideWhenUsed/>
    <w:qFormat/>
    <w:uiPriority w:val="0"/>
    <w:pPr>
      <w:keepNext/>
      <w:keepLines/>
      <w:spacing w:line="415" w:lineRule="auto"/>
      <w:outlineLvl w:val="1"/>
    </w:pPr>
    <w:rPr>
      <w:rFonts w:ascii="Arial" w:hAnsi="Arial" w:cs="Arial"/>
      <w:b/>
      <w:bCs/>
      <w:sz w:val="24"/>
      <w:szCs w:val="32"/>
    </w:rPr>
  </w:style>
  <w:style w:type="paragraph" w:styleId="7">
    <w:name w:val="heading 3"/>
    <w:basedOn w:val="1"/>
    <w:next w:val="1"/>
    <w:link w:val="56"/>
    <w:qFormat/>
    <w:uiPriority w:val="0"/>
    <w:pPr>
      <w:keepNext/>
      <w:keepLines/>
      <w:spacing w:line="413" w:lineRule="auto"/>
      <w:outlineLvl w:val="2"/>
    </w:pPr>
    <w:rPr>
      <w:b/>
      <w:bCs/>
      <w:sz w:val="32"/>
      <w:szCs w:val="32"/>
    </w:rPr>
  </w:style>
  <w:style w:type="paragraph" w:styleId="8">
    <w:name w:val="heading 4"/>
    <w:basedOn w:val="1"/>
    <w:next w:val="1"/>
    <w:link w:val="58"/>
    <w:qFormat/>
    <w:uiPriority w:val="0"/>
    <w:pPr>
      <w:keepNext/>
      <w:keepLines/>
      <w:spacing w:line="372"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2" w:lineRule="auto"/>
      <w:outlineLvl w:val="4"/>
    </w:pPr>
    <w:rPr>
      <w:rFonts w:ascii="Calibri" w:hAnsi="Calibri"/>
      <w:b/>
      <w:bCs/>
      <w:sz w:val="28"/>
      <w:szCs w:val="28"/>
    </w:rPr>
  </w:style>
  <w:style w:type="paragraph" w:styleId="10">
    <w:name w:val="heading 8"/>
    <w:basedOn w:val="1"/>
    <w:next w:val="1"/>
    <w:qFormat/>
    <w:uiPriority w:val="0"/>
    <w:pPr>
      <w:keepNext/>
      <w:keepLines/>
      <w:spacing w:before="240" w:after="64" w:line="317" w:lineRule="auto"/>
      <w:outlineLvl w:val="7"/>
    </w:pPr>
    <w:rPr>
      <w:rFonts w:ascii="Cambria" w:hAnsi="Cambria"/>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99"/>
    <w:pPr>
      <w:spacing w:after="120"/>
      <w:ind w:left="420" w:leftChars="200"/>
    </w:pPr>
    <w:rPr>
      <w:kern w:val="0"/>
      <w:sz w:val="24"/>
      <w:szCs w:val="24"/>
    </w:rPr>
  </w:style>
  <w:style w:type="paragraph" w:styleId="4">
    <w:name w:val="envelope return"/>
    <w:basedOn w:val="1"/>
    <w:qFormat/>
    <w:uiPriority w:val="0"/>
    <w:pPr>
      <w:adjustRightInd w:val="0"/>
      <w:snapToGrid w:val="0"/>
      <w:spacing w:after="20" w:line="360" w:lineRule="auto"/>
      <w:ind w:firstLine="480" w:firstLineChars="200"/>
      <w:textAlignment w:val="baseline"/>
    </w:pPr>
    <w:rPr>
      <w:rFonts w:ascii="Arial" w:hAnsi="Arial" w:eastAsia="宋体" w:cs="Arial"/>
      <w:kern w:val="0"/>
      <w:sz w:val="24"/>
    </w:rPr>
  </w:style>
  <w:style w:type="paragraph" w:styleId="11">
    <w:name w:val="Normal Indent"/>
    <w:basedOn w:val="1"/>
    <w:qFormat/>
    <w:uiPriority w:val="0"/>
    <w:pPr>
      <w:widowControl/>
      <w:spacing w:line="425" w:lineRule="atLeast"/>
      <w:ind w:firstLine="420" w:firstLineChars="200"/>
    </w:pPr>
    <w:rPr>
      <w:color w:val="000000"/>
      <w:kern w:val="0"/>
      <w:szCs w:val="20"/>
      <w:u w:color="000000"/>
    </w:rPr>
  </w:style>
  <w:style w:type="paragraph" w:styleId="12">
    <w:name w:val="toa heading"/>
    <w:basedOn w:val="1"/>
    <w:next w:val="1"/>
    <w:semiHidden/>
    <w:unhideWhenUsed/>
    <w:qFormat/>
    <w:uiPriority w:val="99"/>
    <w:pPr>
      <w:spacing w:before="120"/>
    </w:pPr>
    <w:rPr>
      <w:rFonts w:ascii="Cambria" w:hAnsi="Cambria"/>
      <w:sz w:val="24"/>
    </w:rPr>
  </w:style>
  <w:style w:type="paragraph" w:styleId="13">
    <w:name w:val="Body Text 3"/>
    <w:basedOn w:val="1"/>
    <w:qFormat/>
    <w:uiPriority w:val="0"/>
    <w:rPr>
      <w:rFonts w:ascii="宋体"/>
      <w:sz w:val="24"/>
      <w:szCs w:val="20"/>
    </w:rPr>
  </w:style>
  <w:style w:type="paragraph" w:styleId="14">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5">
    <w:name w:val="toc 3"/>
    <w:basedOn w:val="1"/>
    <w:next w:val="1"/>
    <w:qFormat/>
    <w:uiPriority w:val="0"/>
    <w:pPr>
      <w:tabs>
        <w:tab w:val="right" w:leader="dot" w:pos="8296"/>
      </w:tabs>
      <w:spacing w:line="380" w:lineRule="exact"/>
      <w:ind w:left="840" w:leftChars="400"/>
    </w:pPr>
    <w:rPr>
      <w:sz w:val="24"/>
    </w:rPr>
  </w:style>
  <w:style w:type="paragraph" w:styleId="16">
    <w:name w:val="Plain Text"/>
    <w:basedOn w:val="1"/>
    <w:qFormat/>
    <w:uiPriority w:val="0"/>
    <w:rPr>
      <w:rFonts w:ascii="宋体" w:hAnsi="Courier New" w:cs="Courier New"/>
      <w:szCs w:val="21"/>
    </w:rPr>
  </w:style>
  <w:style w:type="paragraph" w:styleId="17">
    <w:name w:val="Body Text Indent 2"/>
    <w:basedOn w:val="1"/>
    <w:next w:val="1"/>
    <w:qFormat/>
    <w:uiPriority w:val="0"/>
    <w:pPr>
      <w:spacing w:after="120" w:afterLines="0" w:line="480" w:lineRule="auto"/>
      <w:ind w:left="420" w:leftChars="200"/>
    </w:pPr>
  </w:style>
  <w:style w:type="paragraph" w:styleId="18">
    <w:name w:val="footer"/>
    <w:basedOn w:val="1"/>
    <w:link w:val="59"/>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8296"/>
      </w:tabs>
      <w:spacing w:line="380" w:lineRule="exact"/>
      <w:jc w:val="center"/>
    </w:pPr>
    <w:rPr>
      <w:rFonts w:ascii="宋体" w:hAnsi="宋体"/>
      <w:sz w:val="24"/>
    </w:rPr>
  </w:style>
  <w:style w:type="paragraph" w:styleId="21">
    <w:name w:val="toc 2"/>
    <w:basedOn w:val="1"/>
    <w:next w:val="1"/>
    <w:qFormat/>
    <w:uiPriority w:val="0"/>
    <w:pPr>
      <w:tabs>
        <w:tab w:val="right" w:leader="dot" w:pos="8296"/>
      </w:tabs>
      <w:spacing w:line="380" w:lineRule="exact"/>
      <w:ind w:left="420" w:leftChars="200"/>
    </w:pPr>
    <w:rPr>
      <w:rFonts w:ascii="黑体" w:eastAsia="黑体"/>
      <w:sz w:val="24"/>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24">
    <w:name w:val="Body Text First Indent"/>
    <w:basedOn w:val="14"/>
    <w:next w:val="1"/>
    <w:unhideWhenUsed/>
    <w:qFormat/>
    <w:uiPriority w:val="99"/>
    <w:pPr>
      <w:spacing w:line="240" w:lineRule="auto"/>
      <w:ind w:firstLine="420" w:firstLineChars="100"/>
    </w:pPr>
    <w:rPr>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444444"/>
      <w:sz w:val="21"/>
      <w:szCs w:val="21"/>
      <w:u w:val="none"/>
    </w:rPr>
  </w:style>
  <w:style w:type="character" w:styleId="31">
    <w:name w:val="Emphasis"/>
    <w:basedOn w:val="27"/>
    <w:qFormat/>
    <w:uiPriority w:val="0"/>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basedOn w:val="27"/>
    <w:qFormat/>
    <w:uiPriority w:val="0"/>
    <w:rPr>
      <w:color w:val="444444"/>
      <w:sz w:val="21"/>
      <w:szCs w:val="21"/>
      <w:u w:val="none"/>
    </w:rPr>
  </w:style>
  <w:style w:type="character" w:styleId="37">
    <w:name w:val="HTML Code"/>
    <w:basedOn w:val="27"/>
    <w:qFormat/>
    <w:uiPriority w:val="0"/>
    <w:rPr>
      <w:rFonts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hint="default" w:ascii="monospace" w:hAnsi="monospace" w:eastAsia="monospace" w:cs="monospace"/>
    </w:rPr>
  </w:style>
  <w:style w:type="paragraph" w:customStyle="1" w:styleId="41">
    <w:name w:val="style4"/>
    <w:basedOn w:val="1"/>
    <w:next w:val="42"/>
    <w:qFormat/>
    <w:uiPriority w:val="0"/>
    <w:pPr>
      <w:spacing w:before="280" w:after="280"/>
    </w:pPr>
    <w:rPr>
      <w:rFonts w:ascii="宋体"/>
      <w:sz w:val="18"/>
    </w:rPr>
  </w:style>
  <w:style w:type="paragraph" w:customStyle="1" w:styleId="4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3">
    <w:name w:val="Char Char1 Char Char Char Char Char Char1 Char Char Char Char Char Char Char Char Char Char Char Char Char Char Char Char Char"/>
    <w:basedOn w:val="1"/>
    <w:qFormat/>
    <w:uiPriority w:val="0"/>
    <w:pPr>
      <w:widowControl/>
      <w:spacing w:line="240" w:lineRule="exact"/>
      <w:jc w:val="left"/>
    </w:pPr>
  </w:style>
  <w:style w:type="paragraph" w:customStyle="1" w:styleId="44">
    <w:name w:val="样式 标题 2 + Times New Roman 四号 非加粗 段前: 5 磅 段后: 0 磅 行距: 固定值 20..."/>
    <w:basedOn w:val="6"/>
    <w:qFormat/>
    <w:uiPriority w:val="0"/>
    <w:pPr>
      <w:spacing w:line="400" w:lineRule="exact"/>
    </w:pPr>
    <w:rPr>
      <w:rFonts w:ascii="Times New Roman" w:hAnsi="Times New Roman" w:cs="宋体"/>
      <w:b w:val="0"/>
      <w:bCs w:val="0"/>
      <w:sz w:val="28"/>
      <w:szCs w:val="20"/>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Paragraph"/>
    <w:basedOn w:val="1"/>
    <w:qFormat/>
    <w:uiPriority w:val="1"/>
    <w:rPr>
      <w:rFonts w:ascii="宋体" w:hAnsi="宋体" w:cs="宋体"/>
      <w:lang w:val="zh-CN" w:bidi="zh-CN"/>
    </w:rPr>
  </w:style>
  <w:style w:type="paragraph" w:customStyle="1" w:styleId="47">
    <w:name w:val="样式 标题 3 + (中文) 黑体 小四 非加粗 段前: 7.8 磅 段后: 0 磅 行距: 固定值 20 磅"/>
    <w:basedOn w:val="7"/>
    <w:qFormat/>
    <w:uiPriority w:val="0"/>
    <w:pPr>
      <w:spacing w:line="400" w:lineRule="exact"/>
    </w:pPr>
    <w:rPr>
      <w:rFonts w:eastAsia="黑体" w:cs="宋体"/>
      <w:b w:val="0"/>
      <w:bCs w:val="0"/>
      <w:sz w:val="24"/>
      <w:szCs w:val="20"/>
    </w:rPr>
  </w:style>
  <w:style w:type="character" w:customStyle="1" w:styleId="48">
    <w:name w:val="Char Char22"/>
    <w:link w:val="6"/>
    <w:qFormat/>
    <w:uiPriority w:val="0"/>
    <w:rPr>
      <w:rFonts w:ascii="Arial" w:hAnsi="Arial" w:eastAsia="宋体" w:cs="Arial"/>
      <w:b/>
      <w:bCs/>
      <w:sz w:val="24"/>
      <w:szCs w:val="32"/>
    </w:rPr>
  </w:style>
  <w:style w:type="paragraph" w:customStyle="1" w:styleId="4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50">
    <w:name w:val="List Paragraph"/>
    <w:basedOn w:val="1"/>
    <w:qFormat/>
    <w:uiPriority w:val="1"/>
    <w:pPr>
      <w:ind w:left="212" w:firstLine="420"/>
    </w:pPr>
    <w:rPr>
      <w:rFonts w:ascii="宋体" w:hAnsi="宋体" w:cs="宋体"/>
      <w:lang w:val="zh-CN" w:bidi="zh-CN"/>
    </w:rPr>
  </w:style>
  <w:style w:type="character" w:customStyle="1" w:styleId="51">
    <w:name w:val="hover16"/>
    <w:basedOn w:val="27"/>
    <w:qFormat/>
    <w:uiPriority w:val="0"/>
  </w:style>
  <w:style w:type="character" w:customStyle="1" w:styleId="52">
    <w:name w:val="hover17"/>
    <w:basedOn w:val="27"/>
    <w:qFormat/>
    <w:uiPriority w:val="0"/>
  </w:style>
  <w:style w:type="character" w:customStyle="1" w:styleId="53">
    <w:name w:val="current-btn"/>
    <w:basedOn w:val="27"/>
    <w:qFormat/>
    <w:uiPriority w:val="0"/>
    <w:rPr>
      <w:b/>
      <w:color w:val="FFFFFF"/>
      <w:sz w:val="19"/>
      <w:szCs w:val="19"/>
      <w:bdr w:val="single" w:color="A00100" w:sz="6" w:space="0"/>
      <w:shd w:val="clear" w:color="auto" w:fill="C00100"/>
    </w:rPr>
  </w:style>
  <w:style w:type="character" w:customStyle="1" w:styleId="54">
    <w:name w:val="layui-laypage-curr"/>
    <w:basedOn w:val="27"/>
    <w:qFormat/>
    <w:uiPriority w:val="0"/>
  </w:style>
  <w:style w:type="character" w:customStyle="1" w:styleId="55">
    <w:name w:val="标题 2 Char"/>
    <w:basedOn w:val="27"/>
    <w:link w:val="6"/>
    <w:qFormat/>
    <w:uiPriority w:val="99"/>
    <w:rPr>
      <w:rFonts w:ascii="Arial" w:hAnsi="Arial"/>
      <w:b/>
      <w:bCs/>
      <w:kern w:val="0"/>
      <w:sz w:val="32"/>
      <w:szCs w:val="32"/>
    </w:rPr>
  </w:style>
  <w:style w:type="character" w:customStyle="1" w:styleId="56">
    <w:name w:val="标题 3 Char"/>
    <w:basedOn w:val="27"/>
    <w:link w:val="7"/>
    <w:qFormat/>
    <w:uiPriority w:val="99"/>
    <w:rPr>
      <w:b/>
      <w:bCs/>
      <w:sz w:val="32"/>
      <w:szCs w:val="32"/>
    </w:rPr>
  </w:style>
  <w:style w:type="table" w:customStyle="1" w:styleId="5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8">
    <w:name w:val="标题 4 Char"/>
    <w:basedOn w:val="27"/>
    <w:link w:val="8"/>
    <w:qFormat/>
    <w:uiPriority w:val="99"/>
    <w:rPr>
      <w:rFonts w:ascii="Arial" w:hAnsi="Arial" w:eastAsia="黑体"/>
      <w:b/>
      <w:bCs/>
      <w:sz w:val="28"/>
      <w:szCs w:val="28"/>
    </w:rPr>
  </w:style>
  <w:style w:type="character" w:customStyle="1" w:styleId="59">
    <w:name w:val="页脚 Char"/>
    <w:basedOn w:val="27"/>
    <w:link w:val="18"/>
    <w:qFormat/>
    <w:uiPriority w:val="99"/>
    <w:rPr>
      <w:kern w:val="2"/>
      <w:sz w:val="18"/>
      <w:szCs w:val="18"/>
    </w:rPr>
  </w:style>
  <w:style w:type="character" w:customStyle="1" w:styleId="60">
    <w:name w:val="layui-this4"/>
    <w:basedOn w:val="27"/>
    <w:qFormat/>
    <w:uiPriority w:val="0"/>
    <w:rPr>
      <w:bdr w:val="single" w:color="EEEEEE" w:sz="4" w:space="0"/>
      <w:shd w:val="clear" w:fill="FFFFFF"/>
    </w:rPr>
  </w:style>
  <w:style w:type="character" w:customStyle="1" w:styleId="61">
    <w:name w:val="first-child"/>
    <w:basedOn w:val="27"/>
    <w:qFormat/>
    <w:uiPriority w:val="0"/>
  </w:style>
  <w:style w:type="character" w:customStyle="1" w:styleId="62">
    <w:name w:val="first-child1"/>
    <w:basedOn w:val="27"/>
    <w:qFormat/>
    <w:uiPriority w:val="0"/>
  </w:style>
  <w:style w:type="character" w:customStyle="1" w:styleId="63">
    <w:name w:val="first"/>
    <w:basedOn w:val="27"/>
    <w:qFormat/>
    <w:uiPriority w:val="0"/>
    <w:rPr>
      <w:color w:val="FF5722"/>
    </w:rPr>
  </w:style>
  <w:style w:type="character" w:customStyle="1" w:styleId="64">
    <w:name w:val="second"/>
    <w:basedOn w:val="27"/>
    <w:qFormat/>
    <w:uiPriority w:val="0"/>
    <w:rPr>
      <w:color w:val="FFB800"/>
    </w:rPr>
  </w:style>
  <w:style w:type="character" w:customStyle="1" w:styleId="65">
    <w:name w:val="third"/>
    <w:basedOn w:val="27"/>
    <w:qFormat/>
    <w:uiPriority w:val="0"/>
    <w:rPr>
      <w:color w:val="5FB87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18870</Words>
  <Characters>20560</Characters>
  <Lines>62</Lines>
  <Paragraphs>59</Paragraphs>
  <TotalTime>0</TotalTime>
  <ScaleCrop>false</ScaleCrop>
  <LinksUpToDate>false</LinksUpToDate>
  <CharactersWithSpaces>22623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2020-12-12T12:04:00Z</dcterms:created>
  <dc:creator>NTKO</dc:creator>
  <cp:lastModifiedBy>cherry</cp:lastModifiedBy>
  <cp:lastPrinted>2022-09-12T12:38:00Z</cp:lastPrinted>
  <dcterms:modified xsi:type="dcterms:W3CDTF">2022-10-24T08:22:24Z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79DA010ED3474F9284BBCB439010F230</vt:lpwstr>
  </property>
</Properties>
</file>