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29509">
      <w:pPr>
        <w:autoSpaceDE w:val="0"/>
        <w:autoSpaceDN w:val="0"/>
        <w:adjustRightInd w:val="0"/>
        <w:spacing w:before="12" w:line="280" w:lineRule="exact"/>
        <w:jc w:val="left"/>
        <w:rPr>
          <w:rFonts w:ascii="宋体" w:hAnsi="宋体" w:cs="微软雅黑"/>
          <w:kern w:val="0"/>
          <w:sz w:val="28"/>
          <w:szCs w:val="28"/>
        </w:rPr>
      </w:pPr>
    </w:p>
    <w:p w14:paraId="504270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b/>
          <w:bCs/>
          <w:i w:val="0"/>
          <w:color w:val="000000"/>
          <w:sz w:val="24"/>
          <w:szCs w:val="24"/>
          <w:highlight w:val="none"/>
        </w:rPr>
      </w:pPr>
      <w:r>
        <w:rPr>
          <w:rFonts w:hint="eastAsia" w:ascii="宋体" w:hAnsi="宋体" w:eastAsia="宋体" w:cs="宋体"/>
          <w:b/>
          <w:bCs/>
          <w:i w:val="0"/>
          <w:color w:val="000000"/>
          <w:kern w:val="0"/>
          <w:sz w:val="24"/>
          <w:szCs w:val="24"/>
          <w:highlight w:val="none"/>
          <w:lang w:val="en-US" w:eastAsia="zh-CN" w:bidi="ar"/>
        </w:rPr>
        <w:t>郑州市二七区退役军人事务局2025年“春节”双拥慰问物品采购项目公开招标公告</w:t>
      </w:r>
    </w:p>
    <w:p w14:paraId="2381094B">
      <w:pPr>
        <w:tabs>
          <w:tab w:val="left" w:pos="4380"/>
          <w:tab w:val="left" w:pos="5980"/>
        </w:tabs>
        <w:autoSpaceDE w:val="0"/>
        <w:autoSpaceDN w:val="0"/>
        <w:adjustRightInd w:val="0"/>
        <w:spacing w:line="360" w:lineRule="auto"/>
        <w:ind w:right="41"/>
        <w:jc w:val="left"/>
        <w:rPr>
          <w:rFonts w:hint="eastAsia" w:ascii="宋体" w:hAnsi="宋体" w:cs="宋体"/>
          <w:kern w:val="0"/>
          <w:sz w:val="21"/>
          <w:szCs w:val="21"/>
          <w:highlight w:val="none"/>
        </w:rPr>
      </w:pPr>
      <w:r>
        <w:rPr>
          <w:rFonts w:hint="eastAsia" w:ascii="宋体" w:hAnsi="宋体" w:cs="宋体"/>
          <w:kern w:val="0"/>
          <w:sz w:val="21"/>
          <w:szCs w:val="21"/>
          <w:highlight w:val="none"/>
        </w:rPr>
        <w:t>项目概况</w:t>
      </w:r>
    </w:p>
    <w:p w14:paraId="1506B3AB">
      <w:pPr>
        <w:tabs>
          <w:tab w:val="left" w:pos="4380"/>
          <w:tab w:val="left" w:pos="5980"/>
        </w:tabs>
        <w:autoSpaceDE w:val="0"/>
        <w:autoSpaceDN w:val="0"/>
        <w:adjustRightInd w:val="0"/>
        <w:spacing w:line="360" w:lineRule="auto"/>
        <w:ind w:right="41"/>
        <w:jc w:val="left"/>
        <w:rPr>
          <w:rFonts w:hint="eastAsia" w:ascii="宋体" w:hAnsi="宋体" w:eastAsia="宋体" w:cs="宋体"/>
          <w:kern w:val="0"/>
          <w:sz w:val="21"/>
          <w:szCs w:val="21"/>
          <w:highlight w:val="none"/>
          <w:lang w:val="en-US" w:eastAsia="zh-CN"/>
        </w:rPr>
      </w:pPr>
      <w:bookmarkStart w:id="0" w:name="_Toc28359079"/>
      <w:bookmarkStart w:id="1" w:name="_Toc28359002"/>
      <w:bookmarkStart w:id="2" w:name="_Toc35393790"/>
      <w:bookmarkStart w:id="3" w:name="_Toc35393621"/>
      <w:r>
        <w:rPr>
          <w:rFonts w:hint="eastAsia" w:ascii="宋体" w:hAnsi="宋体" w:eastAsia="宋体" w:cs="宋体"/>
          <w:b/>
          <w:bCs/>
          <w:i w:val="0"/>
          <w:color w:val="000000"/>
          <w:kern w:val="0"/>
          <w:sz w:val="21"/>
          <w:szCs w:val="21"/>
          <w:highlight w:val="none"/>
          <w:lang w:val="en-US" w:eastAsia="zh-CN" w:bidi="ar"/>
        </w:rPr>
        <w:t xml:space="preserve">  </w:t>
      </w:r>
      <w:r>
        <w:rPr>
          <w:rFonts w:hint="eastAsia" w:ascii="宋体" w:hAnsi="宋体" w:eastAsia="宋体" w:cs="宋体"/>
          <w:kern w:val="0"/>
          <w:sz w:val="21"/>
          <w:szCs w:val="21"/>
          <w:highlight w:val="none"/>
          <w:lang w:val="en-US" w:eastAsia="zh-CN"/>
        </w:rPr>
        <w:t xml:space="preserve"> 郑州市二七区退役军人事务局2025年“春节”双拥慰问物品采购项目招标项目的潜在投标人应在郑州市公共资源交易中心网（https://zzggzy.zhengzhou.gov.cn）”，凭企业CA数字证书获取招标文件，并于2025年01月13日09时30分前递交投标文件。</w:t>
      </w:r>
    </w:p>
    <w:p w14:paraId="513E1C94">
      <w:pPr>
        <w:tabs>
          <w:tab w:val="left" w:pos="4380"/>
          <w:tab w:val="left" w:pos="5980"/>
        </w:tabs>
        <w:autoSpaceDE w:val="0"/>
        <w:autoSpaceDN w:val="0"/>
        <w:adjustRightInd w:val="0"/>
        <w:spacing w:line="360" w:lineRule="auto"/>
        <w:ind w:right="41"/>
        <w:jc w:val="left"/>
        <w:rPr>
          <w:rFonts w:hint="eastAsia" w:ascii="宋体" w:hAnsi="宋体" w:cs="宋体"/>
          <w:b/>
          <w:bCs/>
          <w:kern w:val="0"/>
          <w:sz w:val="21"/>
          <w:szCs w:val="21"/>
          <w:highlight w:val="none"/>
        </w:rPr>
      </w:pPr>
      <w:r>
        <w:rPr>
          <w:rFonts w:hint="eastAsia" w:ascii="宋体" w:hAnsi="宋体" w:cs="宋体"/>
          <w:b/>
          <w:bCs/>
          <w:kern w:val="0"/>
          <w:sz w:val="21"/>
          <w:szCs w:val="21"/>
          <w:highlight w:val="none"/>
        </w:rPr>
        <w:t>一、项目基本情况</w:t>
      </w:r>
      <w:bookmarkEnd w:id="0"/>
      <w:bookmarkEnd w:id="1"/>
      <w:bookmarkEnd w:id="2"/>
      <w:bookmarkEnd w:id="3"/>
    </w:p>
    <w:p w14:paraId="2856F881">
      <w:pPr>
        <w:tabs>
          <w:tab w:val="left" w:pos="4380"/>
          <w:tab w:val="left" w:pos="5980"/>
        </w:tabs>
        <w:autoSpaceDE w:val="0"/>
        <w:autoSpaceDN w:val="0"/>
        <w:adjustRightInd w:val="0"/>
        <w:spacing w:line="360" w:lineRule="auto"/>
        <w:ind w:right="41" w:firstLine="420" w:firstLineChars="200"/>
        <w:jc w:val="left"/>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1、项目编号：</w:t>
      </w:r>
      <w:r>
        <w:rPr>
          <w:rFonts w:hint="eastAsia" w:ascii="宋体" w:hAnsi="宋体" w:eastAsia="宋体" w:cs="宋体"/>
          <w:kern w:val="0"/>
          <w:sz w:val="21"/>
          <w:szCs w:val="21"/>
          <w:highlight w:val="none"/>
          <w:lang w:val="en-US" w:eastAsia="zh-CN"/>
        </w:rPr>
        <w:t>二七政采公开-2024-27</w:t>
      </w:r>
    </w:p>
    <w:p w14:paraId="6DD7C468">
      <w:pPr>
        <w:tabs>
          <w:tab w:val="left" w:pos="4380"/>
          <w:tab w:val="left" w:pos="5980"/>
        </w:tabs>
        <w:autoSpaceDE w:val="0"/>
        <w:autoSpaceDN w:val="0"/>
        <w:adjustRightInd w:val="0"/>
        <w:spacing w:line="360" w:lineRule="auto"/>
        <w:ind w:right="41" w:firstLine="420" w:firstLineChars="200"/>
        <w:jc w:val="left"/>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2、项目名称：</w:t>
      </w:r>
      <w:r>
        <w:rPr>
          <w:rFonts w:hint="eastAsia" w:ascii="宋体" w:hAnsi="宋体" w:eastAsia="宋体" w:cs="宋体"/>
          <w:kern w:val="0"/>
          <w:sz w:val="21"/>
          <w:szCs w:val="21"/>
          <w:highlight w:val="none"/>
          <w:lang w:val="en-US" w:eastAsia="zh-CN"/>
        </w:rPr>
        <w:t>郑州市二七区退役军人事务局2025年“春节”双拥慰问物品采购项目</w:t>
      </w:r>
      <w:r>
        <w:rPr>
          <w:rFonts w:hint="eastAsia" w:ascii="宋体" w:hAnsi="宋体" w:cs="宋体"/>
          <w:kern w:val="0"/>
          <w:sz w:val="21"/>
          <w:szCs w:val="21"/>
          <w:highlight w:val="none"/>
          <w:lang w:val="en-US" w:eastAsia="zh-CN"/>
        </w:rPr>
        <w:t xml:space="preserve">  </w:t>
      </w:r>
    </w:p>
    <w:p w14:paraId="07E660E1">
      <w:pPr>
        <w:tabs>
          <w:tab w:val="left" w:pos="4380"/>
          <w:tab w:val="left" w:pos="5980"/>
        </w:tabs>
        <w:autoSpaceDE w:val="0"/>
        <w:autoSpaceDN w:val="0"/>
        <w:adjustRightInd w:val="0"/>
        <w:spacing w:line="360" w:lineRule="auto"/>
        <w:ind w:right="41" w:firstLine="420" w:firstLineChars="200"/>
        <w:jc w:val="left"/>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3、采购方式：公开招标</w:t>
      </w:r>
    </w:p>
    <w:p w14:paraId="2327BE80">
      <w:pPr>
        <w:tabs>
          <w:tab w:val="left" w:pos="4380"/>
          <w:tab w:val="left" w:pos="5980"/>
        </w:tabs>
        <w:autoSpaceDE w:val="0"/>
        <w:autoSpaceDN w:val="0"/>
        <w:adjustRightInd w:val="0"/>
        <w:spacing w:line="360" w:lineRule="auto"/>
        <w:ind w:right="41" w:firstLine="420" w:firstLineChars="200"/>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 xml:space="preserve">4、预算金额：1067632.00元      </w:t>
      </w:r>
    </w:p>
    <w:p w14:paraId="08F0F32D">
      <w:pPr>
        <w:tabs>
          <w:tab w:val="left" w:pos="4380"/>
          <w:tab w:val="left" w:pos="5980"/>
        </w:tabs>
        <w:autoSpaceDE w:val="0"/>
        <w:autoSpaceDN w:val="0"/>
        <w:adjustRightInd w:val="0"/>
        <w:spacing w:line="360" w:lineRule="auto"/>
        <w:ind w:right="41" w:firstLine="630" w:firstLineChars="300"/>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 xml:space="preserve">最高限价：1067632.00元     </w:t>
      </w:r>
    </w:p>
    <w:tbl>
      <w:tblPr>
        <w:tblStyle w:val="4"/>
        <w:tblW w:w="9775" w:type="dxa"/>
        <w:tblCellSpacing w:w="0" w:type="dxa"/>
        <w:tblInd w:w="4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20"/>
        <w:gridCol w:w="884"/>
        <w:gridCol w:w="1374"/>
        <w:gridCol w:w="1733"/>
        <w:gridCol w:w="1884"/>
        <w:gridCol w:w="1466"/>
        <w:gridCol w:w="1714"/>
      </w:tblGrid>
      <w:tr w14:paraId="15F4E8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59" w:hRule="atLeast"/>
          <w:tblCellSpacing w:w="0" w:type="dxa"/>
        </w:trPr>
        <w:tc>
          <w:tcPr>
            <w:tcW w:w="720" w:type="dxa"/>
            <w:tcBorders>
              <w:right w:val="outset" w:color="auto" w:sz="6" w:space="0"/>
            </w:tcBorders>
            <w:shd w:val="clear" w:color="auto" w:fill="FFFFFF"/>
            <w:noWrap w:val="0"/>
            <w:vAlign w:val="center"/>
          </w:tcPr>
          <w:p w14:paraId="096B268F">
            <w:pPr>
              <w:tabs>
                <w:tab w:val="left" w:pos="4380"/>
                <w:tab w:val="left" w:pos="5980"/>
              </w:tabs>
              <w:autoSpaceDE w:val="0"/>
              <w:autoSpaceDN w:val="0"/>
              <w:adjustRightInd w:val="0"/>
              <w:spacing w:line="240" w:lineRule="auto"/>
              <w:ind w:right="41"/>
              <w:jc w:val="center"/>
              <w:rPr>
                <w:rFonts w:hint="eastAsia" w:ascii="宋体" w:hAnsi="宋体" w:cs="宋体"/>
                <w:kern w:val="0"/>
                <w:sz w:val="21"/>
                <w:szCs w:val="21"/>
                <w:highlight w:val="none"/>
              </w:rPr>
            </w:pPr>
            <w:r>
              <w:rPr>
                <w:rFonts w:hint="eastAsia" w:ascii="宋体" w:hAnsi="宋体" w:cs="宋体"/>
                <w:kern w:val="0"/>
                <w:sz w:val="21"/>
                <w:szCs w:val="21"/>
                <w:highlight w:val="none"/>
                <w:lang w:val="en-US" w:eastAsia="zh-CN"/>
              </w:rPr>
              <w:t>序号</w:t>
            </w:r>
          </w:p>
        </w:tc>
        <w:tc>
          <w:tcPr>
            <w:tcW w:w="884" w:type="dxa"/>
            <w:tcBorders>
              <w:left w:val="outset" w:color="auto" w:sz="6" w:space="0"/>
              <w:right w:val="outset" w:color="auto" w:sz="6" w:space="0"/>
            </w:tcBorders>
            <w:shd w:val="clear" w:color="auto" w:fill="FFFFFF"/>
            <w:noWrap w:val="0"/>
            <w:vAlign w:val="center"/>
          </w:tcPr>
          <w:p w14:paraId="39C3DEF4">
            <w:pPr>
              <w:tabs>
                <w:tab w:val="left" w:pos="4380"/>
                <w:tab w:val="left" w:pos="5980"/>
              </w:tabs>
              <w:autoSpaceDE w:val="0"/>
              <w:autoSpaceDN w:val="0"/>
              <w:adjustRightInd w:val="0"/>
              <w:spacing w:line="240" w:lineRule="auto"/>
              <w:ind w:right="41" w:firstLine="210" w:firstLineChars="100"/>
              <w:jc w:val="both"/>
              <w:rPr>
                <w:rFonts w:hint="eastAsia" w:ascii="宋体" w:hAnsi="宋体" w:cs="宋体"/>
                <w:kern w:val="0"/>
                <w:sz w:val="21"/>
                <w:szCs w:val="21"/>
                <w:highlight w:val="none"/>
              </w:rPr>
            </w:pPr>
            <w:r>
              <w:rPr>
                <w:rFonts w:hint="eastAsia" w:ascii="宋体" w:hAnsi="宋体" w:cs="宋体"/>
                <w:kern w:val="0"/>
                <w:sz w:val="21"/>
                <w:szCs w:val="21"/>
                <w:highlight w:val="none"/>
                <w:lang w:val="en-US" w:eastAsia="zh-CN"/>
              </w:rPr>
              <w:t>包号</w:t>
            </w:r>
          </w:p>
        </w:tc>
        <w:tc>
          <w:tcPr>
            <w:tcW w:w="1374" w:type="dxa"/>
            <w:tcBorders>
              <w:left w:val="outset" w:color="auto" w:sz="6" w:space="0"/>
              <w:right w:val="outset" w:color="auto" w:sz="6" w:space="0"/>
            </w:tcBorders>
            <w:shd w:val="clear" w:color="auto" w:fill="FFFFFF"/>
            <w:noWrap w:val="0"/>
            <w:vAlign w:val="center"/>
          </w:tcPr>
          <w:p w14:paraId="157B17E7">
            <w:pPr>
              <w:tabs>
                <w:tab w:val="left" w:pos="4380"/>
                <w:tab w:val="left" w:pos="5980"/>
              </w:tabs>
              <w:autoSpaceDE w:val="0"/>
              <w:autoSpaceDN w:val="0"/>
              <w:adjustRightInd w:val="0"/>
              <w:spacing w:line="240" w:lineRule="auto"/>
              <w:ind w:right="41" w:firstLine="630" w:firstLineChars="300"/>
              <w:jc w:val="both"/>
              <w:rPr>
                <w:rFonts w:hint="eastAsia" w:ascii="宋体" w:hAnsi="宋体" w:cs="宋体"/>
                <w:kern w:val="0"/>
                <w:sz w:val="21"/>
                <w:szCs w:val="21"/>
                <w:highlight w:val="none"/>
              </w:rPr>
            </w:pPr>
            <w:r>
              <w:rPr>
                <w:rFonts w:hint="eastAsia" w:ascii="宋体" w:hAnsi="宋体" w:cs="宋体"/>
                <w:kern w:val="0"/>
                <w:sz w:val="21"/>
                <w:szCs w:val="21"/>
                <w:highlight w:val="none"/>
                <w:lang w:val="en-US" w:eastAsia="zh-CN"/>
              </w:rPr>
              <w:t>包名称</w:t>
            </w:r>
          </w:p>
        </w:tc>
        <w:tc>
          <w:tcPr>
            <w:tcW w:w="1733" w:type="dxa"/>
            <w:tcBorders>
              <w:left w:val="outset" w:color="auto" w:sz="6" w:space="0"/>
              <w:right w:val="outset" w:color="auto" w:sz="6" w:space="0"/>
            </w:tcBorders>
            <w:shd w:val="clear" w:color="auto" w:fill="FFFFFF"/>
            <w:noWrap w:val="0"/>
            <w:vAlign w:val="center"/>
          </w:tcPr>
          <w:p w14:paraId="59453821">
            <w:pPr>
              <w:tabs>
                <w:tab w:val="left" w:pos="4380"/>
                <w:tab w:val="left" w:pos="5980"/>
              </w:tabs>
              <w:autoSpaceDE w:val="0"/>
              <w:autoSpaceDN w:val="0"/>
              <w:adjustRightInd w:val="0"/>
              <w:spacing w:line="240" w:lineRule="auto"/>
              <w:ind w:right="41"/>
              <w:jc w:val="center"/>
              <w:rPr>
                <w:rFonts w:hint="eastAsia" w:ascii="宋体" w:hAnsi="宋体" w:cs="宋体"/>
                <w:kern w:val="0"/>
                <w:sz w:val="21"/>
                <w:szCs w:val="21"/>
                <w:highlight w:val="none"/>
              </w:rPr>
            </w:pPr>
            <w:r>
              <w:rPr>
                <w:rFonts w:hint="eastAsia" w:ascii="宋体" w:hAnsi="宋体" w:cs="宋体"/>
                <w:kern w:val="0"/>
                <w:sz w:val="21"/>
                <w:szCs w:val="21"/>
                <w:highlight w:val="none"/>
                <w:lang w:val="en-US" w:eastAsia="zh-CN"/>
              </w:rPr>
              <w:t>包预算（元）</w:t>
            </w:r>
          </w:p>
        </w:tc>
        <w:tc>
          <w:tcPr>
            <w:tcW w:w="1884" w:type="dxa"/>
            <w:tcBorders>
              <w:left w:val="outset" w:color="auto" w:sz="6" w:space="0"/>
              <w:right w:val="outset" w:color="auto" w:sz="6" w:space="0"/>
            </w:tcBorders>
            <w:shd w:val="clear" w:color="auto" w:fill="FFFFFF"/>
            <w:noWrap w:val="0"/>
            <w:vAlign w:val="center"/>
          </w:tcPr>
          <w:p w14:paraId="3971F16D">
            <w:pPr>
              <w:tabs>
                <w:tab w:val="left" w:pos="4380"/>
                <w:tab w:val="left" w:pos="5980"/>
              </w:tabs>
              <w:autoSpaceDE w:val="0"/>
              <w:autoSpaceDN w:val="0"/>
              <w:adjustRightInd w:val="0"/>
              <w:spacing w:line="240" w:lineRule="auto"/>
              <w:ind w:right="41"/>
              <w:jc w:val="center"/>
              <w:rPr>
                <w:rFonts w:hint="eastAsia" w:ascii="宋体" w:hAnsi="宋体" w:cs="宋体"/>
                <w:kern w:val="0"/>
                <w:sz w:val="21"/>
                <w:szCs w:val="21"/>
                <w:highlight w:val="none"/>
              </w:rPr>
            </w:pPr>
            <w:r>
              <w:rPr>
                <w:rFonts w:hint="eastAsia" w:ascii="宋体" w:hAnsi="宋体" w:cs="宋体"/>
                <w:kern w:val="0"/>
                <w:sz w:val="21"/>
                <w:szCs w:val="21"/>
                <w:highlight w:val="none"/>
                <w:lang w:val="en-US" w:eastAsia="zh-CN"/>
              </w:rPr>
              <w:t>包最高限价（元）</w:t>
            </w:r>
          </w:p>
        </w:tc>
        <w:tc>
          <w:tcPr>
            <w:tcW w:w="1466" w:type="dxa"/>
            <w:tcBorders>
              <w:left w:val="outset" w:color="auto" w:sz="6" w:space="0"/>
              <w:right w:val="outset" w:color="auto" w:sz="6" w:space="0"/>
            </w:tcBorders>
            <w:shd w:val="clear" w:color="auto" w:fill="FFFFFF"/>
            <w:noWrap w:val="0"/>
            <w:vAlign w:val="center"/>
          </w:tcPr>
          <w:p w14:paraId="2CC30FB0">
            <w:pPr>
              <w:tabs>
                <w:tab w:val="left" w:pos="4380"/>
                <w:tab w:val="left" w:pos="5980"/>
              </w:tabs>
              <w:autoSpaceDE w:val="0"/>
              <w:autoSpaceDN w:val="0"/>
              <w:adjustRightInd w:val="0"/>
              <w:spacing w:line="240" w:lineRule="auto"/>
              <w:ind w:right="41"/>
              <w:jc w:val="center"/>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是否专门面向中小企业</w:t>
            </w:r>
          </w:p>
        </w:tc>
        <w:tc>
          <w:tcPr>
            <w:tcW w:w="1714" w:type="dxa"/>
            <w:tcBorders>
              <w:left w:val="outset" w:color="auto" w:sz="6" w:space="0"/>
            </w:tcBorders>
            <w:shd w:val="clear" w:color="auto" w:fill="FFFFFF"/>
            <w:noWrap w:val="0"/>
            <w:vAlign w:val="center"/>
          </w:tcPr>
          <w:p w14:paraId="410AFA68">
            <w:pPr>
              <w:tabs>
                <w:tab w:val="left" w:pos="4380"/>
                <w:tab w:val="left" w:pos="5980"/>
              </w:tabs>
              <w:autoSpaceDE w:val="0"/>
              <w:autoSpaceDN w:val="0"/>
              <w:adjustRightInd w:val="0"/>
              <w:spacing w:line="240" w:lineRule="auto"/>
              <w:ind w:right="41"/>
              <w:jc w:val="center"/>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采购预留金额（元）</w:t>
            </w:r>
          </w:p>
        </w:tc>
      </w:tr>
      <w:tr w14:paraId="13BA76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2" w:hRule="atLeast"/>
          <w:tblCellSpacing w:w="0" w:type="dxa"/>
        </w:trPr>
        <w:tc>
          <w:tcPr>
            <w:tcW w:w="720" w:type="dxa"/>
            <w:tcBorders>
              <w:right w:val="outset" w:color="auto" w:sz="6" w:space="0"/>
            </w:tcBorders>
            <w:shd w:val="clear" w:color="auto" w:fill="FFFFFF"/>
            <w:noWrap w:val="0"/>
            <w:vAlign w:val="center"/>
          </w:tcPr>
          <w:p w14:paraId="06012DE9">
            <w:pPr>
              <w:tabs>
                <w:tab w:val="left" w:pos="4380"/>
                <w:tab w:val="left" w:pos="5980"/>
              </w:tabs>
              <w:autoSpaceDE w:val="0"/>
              <w:autoSpaceDN w:val="0"/>
              <w:adjustRightInd w:val="0"/>
              <w:spacing w:line="240" w:lineRule="auto"/>
              <w:ind w:right="41" w:firstLine="210" w:firstLineChars="100"/>
              <w:jc w:val="both"/>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1</w:t>
            </w:r>
          </w:p>
        </w:tc>
        <w:tc>
          <w:tcPr>
            <w:tcW w:w="884" w:type="dxa"/>
            <w:tcBorders>
              <w:left w:val="outset" w:color="auto" w:sz="6" w:space="0"/>
              <w:right w:val="outset" w:color="auto" w:sz="6" w:space="0"/>
            </w:tcBorders>
            <w:shd w:val="clear" w:color="auto" w:fill="FFFFFF"/>
            <w:noWrap w:val="0"/>
            <w:vAlign w:val="center"/>
          </w:tcPr>
          <w:p w14:paraId="5A70A680">
            <w:pPr>
              <w:tabs>
                <w:tab w:val="left" w:pos="4380"/>
                <w:tab w:val="left" w:pos="5980"/>
              </w:tabs>
              <w:autoSpaceDE w:val="0"/>
              <w:autoSpaceDN w:val="0"/>
              <w:adjustRightInd w:val="0"/>
              <w:spacing w:line="240" w:lineRule="auto"/>
              <w:ind w:right="41"/>
              <w:jc w:val="center"/>
              <w:rPr>
                <w:rFonts w:hint="default" w:ascii="宋体" w:hAnsi="宋体" w:cs="宋体"/>
                <w:kern w:val="0"/>
                <w:sz w:val="21"/>
                <w:szCs w:val="21"/>
                <w:highlight w:val="none"/>
                <w:lang w:val="en-US" w:eastAsia="zh-CN"/>
              </w:rPr>
            </w:pPr>
            <w:r>
              <w:rPr>
                <w:rFonts w:hint="default" w:ascii="宋体" w:hAnsi="宋体" w:cs="宋体"/>
                <w:kern w:val="0"/>
                <w:sz w:val="21"/>
                <w:szCs w:val="21"/>
                <w:highlight w:val="none"/>
                <w:lang w:val="en-US" w:eastAsia="zh-CN"/>
              </w:rPr>
              <w:t>A包</w:t>
            </w:r>
          </w:p>
        </w:tc>
        <w:tc>
          <w:tcPr>
            <w:tcW w:w="1374" w:type="dxa"/>
            <w:tcBorders>
              <w:left w:val="outset" w:color="auto" w:sz="6" w:space="0"/>
              <w:right w:val="outset" w:color="auto" w:sz="6" w:space="0"/>
            </w:tcBorders>
            <w:shd w:val="clear" w:color="auto" w:fill="FFFFFF"/>
            <w:noWrap w:val="0"/>
            <w:vAlign w:val="center"/>
          </w:tcPr>
          <w:p w14:paraId="1647DD49">
            <w:pPr>
              <w:tabs>
                <w:tab w:val="left" w:pos="4380"/>
                <w:tab w:val="left" w:pos="5980"/>
              </w:tabs>
              <w:autoSpaceDE w:val="0"/>
              <w:autoSpaceDN w:val="0"/>
              <w:adjustRightInd w:val="0"/>
              <w:spacing w:line="240" w:lineRule="auto"/>
              <w:ind w:right="40"/>
              <w:jc w:val="center"/>
              <w:rPr>
                <w:rFonts w:hint="default" w:ascii="宋体" w:hAnsi="宋体" w:eastAsia="宋体" w:cs="宋体"/>
                <w:b w:val="0"/>
                <w:bCs w:val="0"/>
                <w:kern w:val="0"/>
                <w:szCs w:val="21"/>
                <w:highlight w:val="none"/>
                <w:lang w:val="en-US" w:eastAsia="zh-CN"/>
              </w:rPr>
            </w:pPr>
            <w:r>
              <w:rPr>
                <w:rFonts w:hint="eastAsia" w:ascii="宋体" w:hAnsi="宋体" w:eastAsia="宋体" w:cs="宋体"/>
                <w:kern w:val="0"/>
                <w:sz w:val="21"/>
                <w:szCs w:val="21"/>
                <w:highlight w:val="none"/>
                <w:lang w:val="en-US" w:eastAsia="zh-CN"/>
              </w:rPr>
              <w:t>郑州市二七区退役军人事务局2025年“春节”双拥慰问物品采购项目A包</w:t>
            </w:r>
            <w:r>
              <w:rPr>
                <w:rFonts w:hint="eastAsia" w:ascii="宋体" w:hAnsi="宋体" w:cs="宋体"/>
                <w:kern w:val="0"/>
                <w:sz w:val="21"/>
                <w:szCs w:val="21"/>
                <w:highlight w:val="none"/>
                <w:lang w:val="en-US" w:eastAsia="zh-CN"/>
              </w:rPr>
              <w:t xml:space="preserve"> </w:t>
            </w:r>
          </w:p>
        </w:tc>
        <w:tc>
          <w:tcPr>
            <w:tcW w:w="1733" w:type="dxa"/>
            <w:tcBorders>
              <w:left w:val="outset" w:color="auto" w:sz="6" w:space="0"/>
              <w:right w:val="outset" w:color="auto" w:sz="6" w:space="0"/>
            </w:tcBorders>
            <w:shd w:val="clear" w:color="auto" w:fill="FFFFFF"/>
            <w:noWrap w:val="0"/>
            <w:vAlign w:val="center"/>
          </w:tcPr>
          <w:p w14:paraId="3B078DF7">
            <w:pPr>
              <w:tabs>
                <w:tab w:val="left" w:pos="4380"/>
                <w:tab w:val="left" w:pos="5980"/>
              </w:tabs>
              <w:autoSpaceDE w:val="0"/>
              <w:autoSpaceDN w:val="0"/>
              <w:adjustRightInd w:val="0"/>
              <w:spacing w:line="240" w:lineRule="auto"/>
              <w:ind w:right="40"/>
              <w:jc w:val="center"/>
              <w:rPr>
                <w:rFonts w:hint="default" w:ascii="宋体" w:hAnsi="宋体" w:eastAsia="宋体" w:cs="宋体"/>
                <w:color w:val="auto"/>
                <w:sz w:val="21"/>
                <w:szCs w:val="21"/>
                <w:highlight w:val="none"/>
                <w:lang w:val="en-US" w:eastAsia="zh-CN"/>
              </w:rPr>
            </w:pPr>
            <w:r>
              <w:rPr>
                <w:rFonts w:hint="eastAsia" w:ascii="宋体" w:hAnsi="宋体" w:eastAsia="宋体" w:cs="宋体"/>
                <w:kern w:val="0"/>
                <w:sz w:val="21"/>
                <w:szCs w:val="21"/>
                <w:highlight w:val="none"/>
                <w:lang w:val="en-US" w:eastAsia="zh-CN"/>
              </w:rPr>
              <w:t>651372.00</w:t>
            </w:r>
          </w:p>
        </w:tc>
        <w:tc>
          <w:tcPr>
            <w:tcW w:w="1884" w:type="dxa"/>
            <w:tcBorders>
              <w:left w:val="outset" w:color="auto" w:sz="6" w:space="0"/>
              <w:right w:val="outset" w:color="auto" w:sz="6" w:space="0"/>
            </w:tcBorders>
            <w:shd w:val="clear" w:color="auto" w:fill="FFFFFF"/>
            <w:noWrap w:val="0"/>
            <w:vAlign w:val="center"/>
          </w:tcPr>
          <w:p w14:paraId="3E7B6082">
            <w:pPr>
              <w:tabs>
                <w:tab w:val="left" w:pos="4380"/>
                <w:tab w:val="left" w:pos="5980"/>
              </w:tabs>
              <w:autoSpaceDE w:val="0"/>
              <w:autoSpaceDN w:val="0"/>
              <w:adjustRightInd w:val="0"/>
              <w:spacing w:line="240" w:lineRule="auto"/>
              <w:ind w:right="40"/>
              <w:jc w:val="center"/>
              <w:rPr>
                <w:rFonts w:hint="default" w:ascii="宋体" w:hAnsi="宋体" w:eastAsia="宋体" w:cs="宋体"/>
                <w:color w:val="auto"/>
                <w:sz w:val="21"/>
                <w:szCs w:val="21"/>
                <w:highlight w:val="none"/>
                <w:lang w:val="en-US" w:eastAsia="zh-CN"/>
              </w:rPr>
            </w:pPr>
            <w:r>
              <w:rPr>
                <w:rFonts w:hint="eastAsia" w:ascii="宋体" w:hAnsi="宋体" w:eastAsia="宋体" w:cs="宋体"/>
                <w:kern w:val="0"/>
                <w:sz w:val="21"/>
                <w:szCs w:val="21"/>
                <w:highlight w:val="none"/>
                <w:lang w:val="en-US" w:eastAsia="zh-CN"/>
              </w:rPr>
              <w:t>651372.00</w:t>
            </w:r>
          </w:p>
        </w:tc>
        <w:tc>
          <w:tcPr>
            <w:tcW w:w="1466" w:type="dxa"/>
            <w:tcBorders>
              <w:left w:val="outset" w:color="auto" w:sz="6" w:space="0"/>
              <w:right w:val="outset" w:color="auto" w:sz="6" w:space="0"/>
            </w:tcBorders>
            <w:shd w:val="clear" w:color="auto" w:fill="FFFFFF"/>
            <w:noWrap w:val="0"/>
            <w:vAlign w:val="center"/>
          </w:tcPr>
          <w:p w14:paraId="0E885C95">
            <w:pPr>
              <w:tabs>
                <w:tab w:val="left" w:pos="4380"/>
                <w:tab w:val="left" w:pos="5980"/>
              </w:tabs>
              <w:autoSpaceDE w:val="0"/>
              <w:autoSpaceDN w:val="0"/>
              <w:adjustRightInd w:val="0"/>
              <w:spacing w:line="240" w:lineRule="auto"/>
              <w:ind w:right="40" w:rightChars="0" w:firstLine="630" w:firstLineChars="300"/>
              <w:jc w:val="both"/>
              <w:rPr>
                <w:rFonts w:hint="default" w:ascii="宋体" w:hAnsi="宋体" w:eastAsia="宋体" w:cs="宋体"/>
                <w:b w:val="0"/>
                <w:bCs w:val="0"/>
                <w:kern w:val="0"/>
                <w:szCs w:val="21"/>
                <w:highlight w:val="none"/>
                <w:lang w:val="en-US" w:eastAsia="zh-CN"/>
              </w:rPr>
            </w:pPr>
            <w:r>
              <w:rPr>
                <w:rFonts w:hint="default" w:ascii="宋体" w:hAnsi="宋体" w:eastAsia="宋体" w:cs="宋体"/>
                <w:b w:val="0"/>
                <w:bCs w:val="0"/>
                <w:kern w:val="0"/>
                <w:szCs w:val="21"/>
                <w:highlight w:val="none"/>
                <w:lang w:val="en-US" w:eastAsia="zh-CN"/>
              </w:rPr>
              <w:t>是</w:t>
            </w:r>
          </w:p>
        </w:tc>
        <w:tc>
          <w:tcPr>
            <w:tcW w:w="1714" w:type="dxa"/>
            <w:tcBorders>
              <w:left w:val="outset" w:color="auto" w:sz="6" w:space="0"/>
            </w:tcBorders>
            <w:shd w:val="clear" w:color="auto" w:fill="FFFFFF"/>
            <w:noWrap w:val="0"/>
            <w:vAlign w:val="center"/>
          </w:tcPr>
          <w:p w14:paraId="29177299">
            <w:pPr>
              <w:tabs>
                <w:tab w:val="left" w:pos="4380"/>
                <w:tab w:val="left" w:pos="5980"/>
              </w:tabs>
              <w:autoSpaceDE w:val="0"/>
              <w:autoSpaceDN w:val="0"/>
              <w:adjustRightInd w:val="0"/>
              <w:spacing w:line="240" w:lineRule="auto"/>
              <w:ind w:right="40"/>
              <w:jc w:val="center"/>
              <w:rPr>
                <w:rFonts w:hint="default" w:ascii="宋体" w:hAnsi="宋体" w:eastAsia="宋体" w:cs="宋体"/>
                <w:color w:val="auto"/>
                <w:sz w:val="21"/>
                <w:szCs w:val="21"/>
                <w:highlight w:val="none"/>
                <w:lang w:val="en-US" w:eastAsia="zh-CN"/>
              </w:rPr>
            </w:pPr>
            <w:r>
              <w:rPr>
                <w:rFonts w:hint="eastAsia" w:ascii="宋体" w:hAnsi="宋体" w:eastAsia="宋体" w:cs="宋体"/>
                <w:kern w:val="0"/>
                <w:sz w:val="21"/>
                <w:szCs w:val="21"/>
                <w:highlight w:val="none"/>
                <w:lang w:val="en-US" w:eastAsia="zh-CN"/>
              </w:rPr>
              <w:t>651372.00</w:t>
            </w:r>
          </w:p>
        </w:tc>
      </w:tr>
      <w:tr w14:paraId="6F3620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33" w:hRule="atLeast"/>
          <w:tblCellSpacing w:w="0" w:type="dxa"/>
        </w:trPr>
        <w:tc>
          <w:tcPr>
            <w:tcW w:w="720" w:type="dxa"/>
            <w:tcBorders>
              <w:right w:val="outset" w:color="auto" w:sz="6" w:space="0"/>
            </w:tcBorders>
            <w:shd w:val="clear" w:color="auto" w:fill="FFFFFF"/>
            <w:noWrap w:val="0"/>
            <w:vAlign w:val="center"/>
          </w:tcPr>
          <w:p w14:paraId="7D558B06">
            <w:pPr>
              <w:tabs>
                <w:tab w:val="left" w:pos="4380"/>
                <w:tab w:val="left" w:pos="5980"/>
              </w:tabs>
              <w:autoSpaceDE w:val="0"/>
              <w:autoSpaceDN w:val="0"/>
              <w:adjustRightInd w:val="0"/>
              <w:spacing w:line="240" w:lineRule="auto"/>
              <w:ind w:right="41" w:firstLine="210" w:firstLineChars="100"/>
              <w:jc w:val="both"/>
              <w:rPr>
                <w:rFonts w:hint="default"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2</w:t>
            </w:r>
          </w:p>
        </w:tc>
        <w:tc>
          <w:tcPr>
            <w:tcW w:w="884" w:type="dxa"/>
            <w:tcBorders>
              <w:left w:val="outset" w:color="auto" w:sz="6" w:space="0"/>
              <w:right w:val="outset" w:color="auto" w:sz="6" w:space="0"/>
            </w:tcBorders>
            <w:shd w:val="clear" w:color="auto" w:fill="FFFFFF"/>
            <w:noWrap w:val="0"/>
            <w:vAlign w:val="center"/>
          </w:tcPr>
          <w:p w14:paraId="463A88D8">
            <w:pPr>
              <w:tabs>
                <w:tab w:val="left" w:pos="4380"/>
                <w:tab w:val="left" w:pos="5980"/>
              </w:tabs>
              <w:autoSpaceDE w:val="0"/>
              <w:autoSpaceDN w:val="0"/>
              <w:adjustRightInd w:val="0"/>
              <w:spacing w:line="240" w:lineRule="auto"/>
              <w:ind w:right="41"/>
              <w:jc w:val="center"/>
              <w:rPr>
                <w:rFonts w:hint="eastAsia" w:ascii="宋体" w:hAnsi="宋体" w:eastAsia="宋体" w:cs="宋体"/>
                <w:b w:val="0"/>
                <w:bCs w:val="0"/>
                <w:kern w:val="0"/>
                <w:szCs w:val="21"/>
                <w:highlight w:val="none"/>
                <w:lang w:val="en-US" w:eastAsia="zh-CN"/>
              </w:rPr>
            </w:pPr>
            <w:r>
              <w:rPr>
                <w:rFonts w:hint="eastAsia" w:ascii="宋体" w:hAnsi="宋体" w:cs="宋体"/>
                <w:kern w:val="0"/>
                <w:sz w:val="21"/>
                <w:szCs w:val="21"/>
                <w:highlight w:val="none"/>
                <w:lang w:val="en-US" w:eastAsia="zh-CN"/>
              </w:rPr>
              <w:t>B</w:t>
            </w:r>
            <w:r>
              <w:rPr>
                <w:rFonts w:hint="default" w:ascii="宋体" w:hAnsi="宋体" w:cs="宋体"/>
                <w:kern w:val="0"/>
                <w:sz w:val="21"/>
                <w:szCs w:val="21"/>
                <w:highlight w:val="none"/>
                <w:lang w:val="en-US" w:eastAsia="zh-CN"/>
              </w:rPr>
              <w:t>包</w:t>
            </w:r>
          </w:p>
        </w:tc>
        <w:tc>
          <w:tcPr>
            <w:tcW w:w="1374" w:type="dxa"/>
            <w:tcBorders>
              <w:left w:val="outset" w:color="auto" w:sz="6" w:space="0"/>
              <w:right w:val="outset" w:color="auto" w:sz="6" w:space="0"/>
            </w:tcBorders>
            <w:shd w:val="clear" w:color="auto" w:fill="FFFFFF"/>
            <w:noWrap w:val="0"/>
            <w:vAlign w:val="center"/>
          </w:tcPr>
          <w:p w14:paraId="2EACA798">
            <w:pPr>
              <w:tabs>
                <w:tab w:val="left" w:pos="4380"/>
                <w:tab w:val="left" w:pos="5980"/>
              </w:tabs>
              <w:autoSpaceDE w:val="0"/>
              <w:autoSpaceDN w:val="0"/>
              <w:adjustRightInd w:val="0"/>
              <w:spacing w:line="240" w:lineRule="auto"/>
              <w:ind w:right="40"/>
              <w:jc w:val="center"/>
              <w:rPr>
                <w:rFonts w:hint="default" w:ascii="宋体" w:hAnsi="宋体" w:eastAsia="宋体" w:cs="宋体"/>
                <w:color w:val="auto"/>
                <w:sz w:val="21"/>
                <w:szCs w:val="21"/>
                <w:highlight w:val="none"/>
                <w:lang w:val="en-US" w:eastAsia="zh-CN"/>
              </w:rPr>
            </w:pPr>
            <w:r>
              <w:rPr>
                <w:rFonts w:hint="eastAsia" w:ascii="宋体" w:hAnsi="宋体" w:eastAsia="宋体" w:cs="宋体"/>
                <w:kern w:val="0"/>
                <w:sz w:val="21"/>
                <w:szCs w:val="21"/>
                <w:highlight w:val="none"/>
                <w:lang w:val="en-US" w:eastAsia="zh-CN"/>
              </w:rPr>
              <w:t>郑州市二七区退役军人事务局2025年“春节”双拥慰问物品采购项目B包</w:t>
            </w:r>
            <w:r>
              <w:rPr>
                <w:rFonts w:hint="eastAsia" w:ascii="宋体" w:hAnsi="宋体" w:cs="宋体"/>
                <w:kern w:val="0"/>
                <w:sz w:val="21"/>
                <w:szCs w:val="21"/>
                <w:highlight w:val="none"/>
                <w:lang w:val="en-US" w:eastAsia="zh-CN"/>
              </w:rPr>
              <w:t xml:space="preserve"> </w:t>
            </w:r>
          </w:p>
        </w:tc>
        <w:tc>
          <w:tcPr>
            <w:tcW w:w="1733" w:type="dxa"/>
            <w:tcBorders>
              <w:left w:val="outset" w:color="auto" w:sz="6" w:space="0"/>
              <w:right w:val="outset" w:color="auto" w:sz="6" w:space="0"/>
            </w:tcBorders>
            <w:shd w:val="clear" w:color="auto" w:fill="FFFFFF"/>
            <w:noWrap w:val="0"/>
            <w:vAlign w:val="center"/>
          </w:tcPr>
          <w:p w14:paraId="3493E004">
            <w:pPr>
              <w:tabs>
                <w:tab w:val="left" w:pos="4380"/>
                <w:tab w:val="left" w:pos="5980"/>
              </w:tabs>
              <w:autoSpaceDE w:val="0"/>
              <w:autoSpaceDN w:val="0"/>
              <w:adjustRightInd w:val="0"/>
              <w:spacing w:line="240" w:lineRule="auto"/>
              <w:ind w:right="40"/>
              <w:jc w:val="center"/>
              <w:rPr>
                <w:rFonts w:hint="default" w:ascii="宋体" w:hAnsi="宋体" w:eastAsia="宋体" w:cs="宋体"/>
                <w:color w:val="auto"/>
                <w:sz w:val="21"/>
                <w:szCs w:val="21"/>
                <w:highlight w:val="none"/>
                <w:lang w:val="en-US" w:eastAsia="zh-CN"/>
              </w:rPr>
            </w:pPr>
            <w:r>
              <w:rPr>
                <w:rFonts w:hint="eastAsia" w:ascii="宋体" w:hAnsi="宋体" w:eastAsia="宋体" w:cs="宋体"/>
                <w:kern w:val="0"/>
                <w:sz w:val="21"/>
                <w:szCs w:val="21"/>
                <w:highlight w:val="none"/>
                <w:lang w:val="en-US" w:eastAsia="zh-CN"/>
              </w:rPr>
              <w:t>416260.00</w:t>
            </w:r>
          </w:p>
        </w:tc>
        <w:tc>
          <w:tcPr>
            <w:tcW w:w="1884" w:type="dxa"/>
            <w:tcBorders>
              <w:left w:val="outset" w:color="auto" w:sz="6" w:space="0"/>
              <w:right w:val="outset" w:color="auto" w:sz="6" w:space="0"/>
            </w:tcBorders>
            <w:shd w:val="clear" w:color="auto" w:fill="FFFFFF"/>
            <w:noWrap w:val="0"/>
            <w:vAlign w:val="center"/>
          </w:tcPr>
          <w:p w14:paraId="345D9192">
            <w:pPr>
              <w:tabs>
                <w:tab w:val="left" w:pos="4380"/>
                <w:tab w:val="left" w:pos="5980"/>
              </w:tabs>
              <w:autoSpaceDE w:val="0"/>
              <w:autoSpaceDN w:val="0"/>
              <w:adjustRightInd w:val="0"/>
              <w:spacing w:line="240" w:lineRule="auto"/>
              <w:ind w:right="40"/>
              <w:jc w:val="center"/>
              <w:rPr>
                <w:rFonts w:hint="default" w:ascii="宋体" w:hAnsi="宋体" w:eastAsia="宋体" w:cs="宋体"/>
                <w:color w:val="auto"/>
                <w:sz w:val="21"/>
                <w:szCs w:val="21"/>
                <w:highlight w:val="none"/>
                <w:lang w:val="en-US" w:eastAsia="zh-CN"/>
              </w:rPr>
            </w:pPr>
            <w:r>
              <w:rPr>
                <w:rFonts w:hint="eastAsia" w:ascii="宋体" w:hAnsi="宋体" w:eastAsia="宋体" w:cs="宋体"/>
                <w:kern w:val="0"/>
                <w:sz w:val="21"/>
                <w:szCs w:val="21"/>
                <w:highlight w:val="none"/>
                <w:lang w:val="en-US" w:eastAsia="zh-CN"/>
              </w:rPr>
              <w:t>416260.00</w:t>
            </w:r>
          </w:p>
        </w:tc>
        <w:tc>
          <w:tcPr>
            <w:tcW w:w="1466" w:type="dxa"/>
            <w:tcBorders>
              <w:left w:val="outset" w:color="auto" w:sz="6" w:space="0"/>
              <w:right w:val="outset" w:color="auto" w:sz="6" w:space="0"/>
            </w:tcBorders>
            <w:shd w:val="clear" w:color="auto" w:fill="FFFFFF"/>
            <w:noWrap w:val="0"/>
            <w:vAlign w:val="center"/>
          </w:tcPr>
          <w:p w14:paraId="104A0320">
            <w:pPr>
              <w:tabs>
                <w:tab w:val="left" w:pos="4380"/>
                <w:tab w:val="left" w:pos="5980"/>
              </w:tabs>
              <w:autoSpaceDE w:val="0"/>
              <w:autoSpaceDN w:val="0"/>
              <w:adjustRightInd w:val="0"/>
              <w:spacing w:line="240" w:lineRule="auto"/>
              <w:ind w:right="40" w:rightChars="0" w:firstLine="630" w:firstLineChars="300"/>
              <w:jc w:val="both"/>
              <w:rPr>
                <w:rFonts w:hint="default" w:ascii="宋体" w:hAnsi="宋体" w:eastAsia="宋体" w:cs="宋体"/>
                <w:b w:val="0"/>
                <w:bCs w:val="0"/>
                <w:kern w:val="0"/>
                <w:szCs w:val="21"/>
                <w:highlight w:val="none"/>
                <w:lang w:val="en-US" w:eastAsia="zh-CN"/>
              </w:rPr>
            </w:pPr>
            <w:r>
              <w:rPr>
                <w:rFonts w:hint="default" w:ascii="宋体" w:hAnsi="宋体" w:eastAsia="宋体" w:cs="宋体"/>
                <w:b w:val="0"/>
                <w:bCs w:val="0"/>
                <w:kern w:val="0"/>
                <w:szCs w:val="21"/>
                <w:highlight w:val="none"/>
                <w:lang w:val="en-US" w:eastAsia="zh-CN"/>
              </w:rPr>
              <w:t>是</w:t>
            </w:r>
          </w:p>
        </w:tc>
        <w:tc>
          <w:tcPr>
            <w:tcW w:w="1714" w:type="dxa"/>
            <w:tcBorders>
              <w:left w:val="outset" w:color="auto" w:sz="6" w:space="0"/>
            </w:tcBorders>
            <w:shd w:val="clear" w:color="auto" w:fill="FFFFFF"/>
            <w:noWrap w:val="0"/>
            <w:vAlign w:val="center"/>
          </w:tcPr>
          <w:p w14:paraId="6F68F768">
            <w:pPr>
              <w:tabs>
                <w:tab w:val="left" w:pos="4380"/>
                <w:tab w:val="left" w:pos="5980"/>
              </w:tabs>
              <w:autoSpaceDE w:val="0"/>
              <w:autoSpaceDN w:val="0"/>
              <w:adjustRightInd w:val="0"/>
              <w:spacing w:line="240" w:lineRule="auto"/>
              <w:ind w:right="40"/>
              <w:jc w:val="center"/>
              <w:rPr>
                <w:rFonts w:hint="default" w:ascii="宋体" w:hAnsi="宋体" w:eastAsia="宋体" w:cs="宋体"/>
                <w:color w:val="auto"/>
                <w:sz w:val="21"/>
                <w:szCs w:val="21"/>
                <w:highlight w:val="none"/>
                <w:lang w:val="en-US" w:eastAsia="zh-CN"/>
              </w:rPr>
            </w:pPr>
            <w:r>
              <w:rPr>
                <w:rFonts w:hint="eastAsia" w:ascii="宋体" w:hAnsi="宋体" w:eastAsia="宋体" w:cs="宋体"/>
                <w:kern w:val="0"/>
                <w:sz w:val="21"/>
                <w:szCs w:val="21"/>
                <w:highlight w:val="none"/>
                <w:lang w:val="en-US" w:eastAsia="zh-CN"/>
              </w:rPr>
              <w:t>416260.00</w:t>
            </w:r>
          </w:p>
        </w:tc>
      </w:tr>
    </w:tbl>
    <w:p w14:paraId="6BFE8134">
      <w:pPr>
        <w:tabs>
          <w:tab w:val="left" w:pos="4380"/>
          <w:tab w:val="left" w:pos="5980"/>
        </w:tabs>
        <w:autoSpaceDE w:val="0"/>
        <w:autoSpaceDN w:val="0"/>
        <w:adjustRightInd w:val="0"/>
        <w:spacing w:line="360" w:lineRule="auto"/>
        <w:ind w:right="40" w:firstLine="420" w:firstLineChars="200"/>
        <w:jc w:val="left"/>
        <w:rPr>
          <w:rFonts w:hint="eastAsia" w:ascii="宋体" w:hAnsi="宋体" w:cs="宋体"/>
          <w:b w:val="0"/>
          <w:bCs w:val="0"/>
          <w:kern w:val="0"/>
          <w:szCs w:val="21"/>
          <w:highlight w:val="none"/>
          <w:lang w:val="en-US" w:eastAsia="zh-CN"/>
        </w:rPr>
      </w:pPr>
      <w:r>
        <w:rPr>
          <w:rFonts w:hint="eastAsia" w:ascii="宋体" w:hAnsi="宋体" w:cs="宋体"/>
          <w:b w:val="0"/>
          <w:bCs w:val="0"/>
          <w:kern w:val="0"/>
          <w:szCs w:val="21"/>
          <w:highlight w:val="none"/>
          <w:lang w:val="en-US" w:eastAsia="zh-CN"/>
        </w:rPr>
        <w:t>5、采购需求（包括但不限于标的的名称、数量、简要技术需求或服务要求等）</w:t>
      </w:r>
    </w:p>
    <w:p w14:paraId="3996945F">
      <w:pPr>
        <w:spacing w:line="360" w:lineRule="auto"/>
        <w:ind w:firstLine="630" w:firstLineChars="3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5.1采购货物名称及数量：大米7004袋、面粉7004袋、花生油</w:t>
      </w:r>
      <w:r>
        <w:rPr>
          <w:rFonts w:hint="eastAsia"/>
          <w:spacing w:val="-3"/>
          <w:lang w:val="en-US" w:eastAsia="zh-CN"/>
        </w:rPr>
        <w:t>3202桶</w:t>
      </w:r>
      <w:r>
        <w:rPr>
          <w:rFonts w:hint="eastAsia" w:ascii="宋体" w:hAnsi="宋体" w:eastAsia="宋体" w:cs="宋体"/>
          <w:color w:val="auto"/>
          <w:sz w:val="21"/>
          <w:szCs w:val="21"/>
          <w:highlight w:val="none"/>
          <w:lang w:val="en-US" w:eastAsia="zh-CN"/>
        </w:rPr>
        <w:t>；</w:t>
      </w:r>
    </w:p>
    <w:p w14:paraId="76401DDC">
      <w:pPr>
        <w:spacing w:line="360" w:lineRule="auto"/>
        <w:ind w:firstLine="630" w:firstLineChars="300"/>
        <w:rPr>
          <w:rFonts w:hint="eastAsia" w:ascii="宋体" w:hAnsi="宋体" w:eastAsia="宋体" w:cs="宋体"/>
          <w:color w:val="000000"/>
          <w:kern w:val="0"/>
          <w:szCs w:val="21"/>
          <w:shd w:val="clear" w:color="auto" w:fill="FFFFFF"/>
          <w:lang w:val="en-US" w:eastAsia="zh-CN"/>
        </w:rPr>
      </w:pPr>
      <w:r>
        <w:rPr>
          <w:rFonts w:hint="eastAsia" w:ascii="宋体" w:hAnsi="宋体" w:eastAsia="宋体" w:cs="宋体"/>
          <w:color w:val="000000"/>
          <w:kern w:val="0"/>
          <w:szCs w:val="21"/>
          <w:shd w:val="clear" w:color="auto" w:fill="FFFFFF"/>
          <w:lang w:val="en-US" w:eastAsia="zh-CN"/>
        </w:rPr>
        <w:t>5.2标包划分：本项目共划分2个标包；</w:t>
      </w:r>
    </w:p>
    <w:p w14:paraId="532A7B51">
      <w:pPr>
        <w:spacing w:line="360" w:lineRule="auto"/>
        <w:ind w:left="630" w:leftChars="300" w:firstLine="0" w:firstLineChars="0"/>
        <w:rPr>
          <w:rFonts w:hint="eastAsia" w:ascii="宋体" w:hAnsi="宋体" w:eastAsia="宋体" w:cs="宋体"/>
          <w:color w:val="000000"/>
          <w:kern w:val="0"/>
          <w:szCs w:val="21"/>
          <w:shd w:val="clear" w:color="auto" w:fill="FFFFFF"/>
          <w:lang w:val="en-US" w:eastAsia="zh-CN"/>
        </w:rPr>
      </w:pPr>
      <w:r>
        <w:rPr>
          <w:rFonts w:hint="eastAsia" w:ascii="宋体" w:hAnsi="宋体" w:eastAsia="宋体" w:cs="宋体"/>
          <w:color w:val="000000"/>
          <w:kern w:val="0"/>
          <w:szCs w:val="21"/>
          <w:shd w:val="clear" w:color="auto" w:fill="FFFFFF"/>
          <w:lang w:val="en-US" w:eastAsia="zh-CN"/>
        </w:rPr>
        <w:t>A包:大米、面粉</w:t>
      </w:r>
    </w:p>
    <w:p w14:paraId="02710395">
      <w:pPr>
        <w:spacing w:line="360" w:lineRule="auto"/>
        <w:ind w:left="630" w:leftChars="300" w:firstLine="0" w:firstLineChars="0"/>
        <w:rPr>
          <w:rFonts w:hint="eastAsia" w:ascii="宋体" w:hAnsi="宋体" w:eastAsia="宋体" w:cs="宋体"/>
          <w:color w:val="000000"/>
          <w:kern w:val="0"/>
          <w:szCs w:val="21"/>
          <w:shd w:val="clear" w:color="auto" w:fill="FFFFFF"/>
          <w:lang w:val="en-US" w:eastAsia="zh-CN"/>
        </w:rPr>
      </w:pPr>
      <w:r>
        <w:rPr>
          <w:rFonts w:hint="eastAsia" w:ascii="宋体" w:hAnsi="宋体" w:eastAsia="宋体" w:cs="宋体"/>
          <w:color w:val="000000"/>
          <w:kern w:val="0"/>
          <w:szCs w:val="21"/>
          <w:shd w:val="clear" w:color="auto" w:fill="FFFFFF"/>
          <w:lang w:val="en-US" w:eastAsia="zh-CN"/>
        </w:rPr>
        <w:t>B包：花生油</w:t>
      </w:r>
    </w:p>
    <w:p w14:paraId="13F1C138">
      <w:pPr>
        <w:spacing w:line="360" w:lineRule="auto"/>
        <w:ind w:left="630" w:leftChars="300" w:firstLine="0" w:firstLineChars="0"/>
        <w:rPr>
          <w:rFonts w:hint="eastAsia" w:ascii="宋体" w:hAnsi="宋体" w:eastAsia="宋体" w:cs="宋体"/>
          <w:color w:val="000000"/>
          <w:kern w:val="0"/>
          <w:szCs w:val="21"/>
          <w:shd w:val="clear" w:color="auto" w:fill="FFFFFF"/>
          <w:lang w:eastAsia="zh-CN"/>
        </w:rPr>
      </w:pPr>
      <w:r>
        <w:rPr>
          <w:rFonts w:hint="eastAsia" w:ascii="宋体" w:hAnsi="宋体" w:eastAsia="宋体" w:cs="宋体"/>
          <w:color w:val="000000"/>
          <w:kern w:val="0"/>
          <w:szCs w:val="21"/>
          <w:shd w:val="clear" w:color="auto" w:fill="FFFFFF"/>
        </w:rPr>
        <w:t>5.</w:t>
      </w:r>
      <w:r>
        <w:rPr>
          <w:rFonts w:hint="eastAsia" w:ascii="宋体" w:hAnsi="宋体" w:eastAsia="宋体" w:cs="宋体"/>
          <w:color w:val="000000"/>
          <w:kern w:val="0"/>
          <w:szCs w:val="21"/>
          <w:shd w:val="clear" w:color="auto" w:fill="FFFFFF"/>
          <w:lang w:val="en-US" w:eastAsia="zh-CN"/>
        </w:rPr>
        <w:t>3</w:t>
      </w:r>
      <w:r>
        <w:rPr>
          <w:rFonts w:hint="eastAsia" w:ascii="宋体" w:hAnsi="宋体" w:eastAsia="宋体" w:cs="宋体"/>
          <w:color w:val="000000"/>
          <w:kern w:val="0"/>
          <w:szCs w:val="21"/>
          <w:shd w:val="clear" w:color="auto" w:fill="FFFFFF"/>
        </w:rPr>
        <w:t>采购范围</w:t>
      </w:r>
      <w:r>
        <w:rPr>
          <w:rFonts w:hint="eastAsia" w:ascii="宋体" w:hAnsi="宋体" w:eastAsia="宋体" w:cs="宋体"/>
          <w:color w:val="000000"/>
          <w:kern w:val="0"/>
          <w:szCs w:val="21"/>
          <w:shd w:val="clear" w:color="auto" w:fill="FFFFFF"/>
          <w:lang w:eastAsia="zh-CN"/>
        </w:rPr>
        <w:t>：</w:t>
      </w:r>
    </w:p>
    <w:p w14:paraId="1476C8BD">
      <w:pPr>
        <w:spacing w:line="360" w:lineRule="auto"/>
        <w:ind w:left="630" w:leftChars="300" w:firstLine="0" w:firstLineChars="0"/>
        <w:rPr>
          <w:rFonts w:hint="eastAsia" w:ascii="宋体" w:hAnsi="宋体" w:eastAsia="宋体" w:cs="宋体"/>
          <w:color w:val="000000"/>
          <w:kern w:val="0"/>
          <w:szCs w:val="21"/>
          <w:shd w:val="clear" w:color="auto" w:fill="FFFFFF"/>
          <w:lang w:val="en-US" w:eastAsia="zh-CN"/>
        </w:rPr>
      </w:pPr>
      <w:r>
        <w:rPr>
          <w:rFonts w:hint="default" w:ascii="宋体" w:hAnsi="宋体" w:cs="宋体"/>
          <w:kern w:val="0"/>
          <w:sz w:val="21"/>
          <w:szCs w:val="21"/>
          <w:highlight w:val="none"/>
          <w:lang w:val="en-US" w:eastAsia="zh-CN"/>
        </w:rPr>
        <w:t>A包</w:t>
      </w:r>
      <w:r>
        <w:rPr>
          <w:rFonts w:hint="eastAsia" w:ascii="宋体" w:hAnsi="宋体" w:eastAsia="宋体" w:cs="宋体"/>
          <w:color w:val="000000"/>
          <w:kern w:val="0"/>
          <w:szCs w:val="21"/>
          <w:shd w:val="clear" w:color="auto" w:fill="FFFFFF"/>
          <w:lang w:val="en-US" w:eastAsia="zh-CN"/>
        </w:rPr>
        <w:t>：大米、面粉的供货、运输、保险、装卸、验收交付、售后及相关伴随服务</w:t>
      </w:r>
    </w:p>
    <w:p w14:paraId="09CFF45D">
      <w:pPr>
        <w:spacing w:line="360" w:lineRule="auto"/>
        <w:ind w:left="630" w:leftChars="300" w:firstLine="0" w:firstLineChars="0"/>
        <w:rPr>
          <w:rFonts w:hint="eastAsia" w:ascii="宋体" w:hAnsi="宋体" w:eastAsia="宋体" w:cs="宋体"/>
          <w:color w:val="000000"/>
          <w:kern w:val="0"/>
          <w:szCs w:val="21"/>
          <w:shd w:val="clear" w:color="auto" w:fill="FFFFFF"/>
          <w:lang w:val="en-US" w:eastAsia="zh-CN"/>
        </w:rPr>
      </w:pPr>
      <w:r>
        <w:rPr>
          <w:rFonts w:hint="eastAsia" w:ascii="宋体" w:hAnsi="宋体" w:cs="宋体"/>
          <w:kern w:val="0"/>
          <w:sz w:val="21"/>
          <w:szCs w:val="21"/>
          <w:highlight w:val="none"/>
          <w:lang w:val="en-US" w:eastAsia="zh-CN"/>
        </w:rPr>
        <w:t>B</w:t>
      </w:r>
      <w:r>
        <w:rPr>
          <w:rFonts w:hint="default" w:ascii="宋体" w:hAnsi="宋体" w:cs="宋体"/>
          <w:kern w:val="0"/>
          <w:sz w:val="21"/>
          <w:szCs w:val="21"/>
          <w:highlight w:val="none"/>
          <w:lang w:val="en-US" w:eastAsia="zh-CN"/>
        </w:rPr>
        <w:t>包</w:t>
      </w:r>
      <w:r>
        <w:rPr>
          <w:rFonts w:hint="eastAsia" w:ascii="宋体" w:hAnsi="宋体" w:eastAsia="宋体" w:cs="宋体"/>
          <w:color w:val="000000"/>
          <w:kern w:val="0"/>
          <w:szCs w:val="21"/>
          <w:shd w:val="clear" w:color="auto" w:fill="FFFFFF"/>
          <w:lang w:val="en-US" w:eastAsia="zh-CN"/>
        </w:rPr>
        <w:t>：花生油的供货、运输、保险、装卸、验收交付、售后及相关伴随服务</w:t>
      </w:r>
    </w:p>
    <w:p w14:paraId="4549A08D">
      <w:pPr>
        <w:spacing w:line="360" w:lineRule="auto"/>
        <w:ind w:left="630" w:leftChars="300" w:firstLine="0" w:firstLineChars="0"/>
        <w:rPr>
          <w:rFonts w:hint="eastAsia"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5.</w:t>
      </w:r>
      <w:r>
        <w:rPr>
          <w:rFonts w:hint="eastAsia" w:ascii="宋体" w:hAnsi="宋体" w:eastAsia="宋体" w:cs="宋体"/>
          <w:color w:val="000000"/>
          <w:kern w:val="0"/>
          <w:szCs w:val="21"/>
          <w:shd w:val="clear" w:color="auto" w:fill="FFFFFF"/>
          <w:lang w:val="en-US" w:eastAsia="zh-CN"/>
        </w:rPr>
        <w:t>4</w:t>
      </w:r>
      <w:r>
        <w:rPr>
          <w:rFonts w:hint="eastAsia" w:ascii="宋体" w:hAnsi="宋体" w:eastAsia="宋体" w:cs="宋体"/>
          <w:color w:val="000000"/>
          <w:kern w:val="0"/>
          <w:szCs w:val="21"/>
          <w:shd w:val="clear" w:color="auto" w:fill="FFFFFF"/>
        </w:rPr>
        <w:t>资金来源：财政资金，已落实；</w:t>
      </w:r>
    </w:p>
    <w:p w14:paraId="4DF4C24B">
      <w:pPr>
        <w:spacing w:line="360" w:lineRule="auto"/>
        <w:ind w:firstLine="630" w:firstLineChars="300"/>
        <w:rPr>
          <w:rFonts w:hint="eastAsia"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5.</w:t>
      </w:r>
      <w:r>
        <w:rPr>
          <w:rFonts w:hint="eastAsia" w:ascii="宋体" w:hAnsi="宋体" w:eastAsia="宋体" w:cs="宋体"/>
          <w:color w:val="000000"/>
          <w:kern w:val="0"/>
          <w:szCs w:val="21"/>
          <w:shd w:val="clear" w:color="auto" w:fill="FFFFFF"/>
          <w:lang w:val="en-US" w:eastAsia="zh-CN"/>
        </w:rPr>
        <w:t>5</w:t>
      </w:r>
      <w:r>
        <w:rPr>
          <w:rFonts w:hint="eastAsia" w:ascii="宋体" w:hAnsi="宋体" w:eastAsia="宋体" w:cs="宋体"/>
          <w:color w:val="000000"/>
          <w:kern w:val="0"/>
          <w:szCs w:val="21"/>
          <w:shd w:val="clear" w:color="auto" w:fill="FFFFFF"/>
        </w:rPr>
        <w:t>交货期：</w:t>
      </w:r>
      <w:r>
        <w:rPr>
          <w:rFonts w:hint="eastAsia" w:ascii="宋体" w:hAnsi="宋体" w:eastAsia="宋体" w:cs="宋体"/>
          <w:color w:val="000000"/>
          <w:kern w:val="0"/>
          <w:szCs w:val="21"/>
          <w:shd w:val="clear" w:color="auto" w:fill="FFFFFF"/>
          <w:lang w:val="en-US" w:eastAsia="zh-CN"/>
        </w:rPr>
        <w:t>合同生效后15日历天内完成供货、并验收合格</w:t>
      </w:r>
      <w:r>
        <w:rPr>
          <w:rFonts w:hint="eastAsia" w:ascii="宋体" w:hAnsi="宋体" w:eastAsia="宋体" w:cs="宋体"/>
          <w:color w:val="000000"/>
          <w:kern w:val="0"/>
          <w:szCs w:val="21"/>
          <w:shd w:val="clear" w:color="auto" w:fill="FFFFFF"/>
        </w:rPr>
        <w:t>；</w:t>
      </w:r>
    </w:p>
    <w:p w14:paraId="286F1FD7">
      <w:pPr>
        <w:spacing w:line="360" w:lineRule="auto"/>
        <w:ind w:firstLine="630" w:firstLineChars="300"/>
        <w:rPr>
          <w:rFonts w:hint="eastAsia" w:ascii="宋体" w:hAnsi="宋体" w:eastAsia="宋体" w:cs="宋体"/>
          <w:color w:val="000000"/>
          <w:kern w:val="0"/>
          <w:szCs w:val="21"/>
          <w:shd w:val="clear" w:color="auto" w:fill="FFFFFF"/>
          <w:lang w:eastAsia="zh-CN"/>
        </w:rPr>
      </w:pPr>
      <w:r>
        <w:rPr>
          <w:rFonts w:hint="eastAsia" w:ascii="宋体" w:hAnsi="宋体" w:eastAsia="宋体" w:cs="宋体"/>
          <w:color w:val="000000"/>
          <w:kern w:val="0"/>
          <w:szCs w:val="21"/>
          <w:shd w:val="clear" w:color="auto" w:fill="FFFFFF"/>
        </w:rPr>
        <w:t>5.</w:t>
      </w:r>
      <w:r>
        <w:rPr>
          <w:rFonts w:hint="eastAsia" w:ascii="宋体" w:hAnsi="宋体" w:eastAsia="宋体" w:cs="宋体"/>
          <w:color w:val="000000"/>
          <w:kern w:val="0"/>
          <w:szCs w:val="21"/>
          <w:shd w:val="clear" w:color="auto" w:fill="FFFFFF"/>
          <w:lang w:val="en-US" w:eastAsia="zh-CN"/>
        </w:rPr>
        <w:t>6</w:t>
      </w:r>
      <w:r>
        <w:rPr>
          <w:rFonts w:hint="eastAsia" w:ascii="宋体" w:hAnsi="宋体" w:eastAsia="宋体" w:cs="宋体"/>
          <w:color w:val="000000"/>
          <w:kern w:val="0"/>
          <w:szCs w:val="21"/>
          <w:shd w:val="clear" w:color="auto" w:fill="FFFFFF"/>
        </w:rPr>
        <w:t>交货地点：采购人指定地点</w:t>
      </w:r>
      <w:r>
        <w:rPr>
          <w:rFonts w:hint="eastAsia" w:ascii="宋体" w:hAnsi="宋体" w:eastAsia="宋体" w:cs="宋体"/>
          <w:color w:val="000000"/>
          <w:kern w:val="0"/>
          <w:szCs w:val="21"/>
          <w:shd w:val="clear" w:color="auto" w:fill="FFFFFF"/>
          <w:lang w:eastAsia="zh-CN"/>
        </w:rPr>
        <w:t>；</w:t>
      </w:r>
    </w:p>
    <w:p w14:paraId="2BEB24F4">
      <w:pPr>
        <w:spacing w:line="360" w:lineRule="auto"/>
        <w:ind w:firstLine="630" w:firstLineChars="300"/>
        <w:rPr>
          <w:rFonts w:hint="eastAsia" w:ascii="宋体" w:hAnsi="宋体" w:eastAsia="宋体" w:cs="宋体"/>
          <w:color w:val="000000"/>
          <w:kern w:val="0"/>
          <w:szCs w:val="21"/>
          <w:shd w:val="clear" w:color="auto" w:fill="FFFFFF"/>
          <w:lang w:val="en-US" w:eastAsia="zh-CN"/>
        </w:rPr>
      </w:pPr>
      <w:r>
        <w:rPr>
          <w:rFonts w:hint="eastAsia" w:ascii="宋体" w:hAnsi="宋体" w:eastAsia="宋体" w:cs="宋体"/>
          <w:color w:val="000000"/>
          <w:kern w:val="0"/>
          <w:szCs w:val="21"/>
          <w:shd w:val="clear" w:color="auto" w:fill="FFFFFF"/>
          <w:lang w:val="en-US" w:eastAsia="zh-CN"/>
        </w:rPr>
        <w:t>5.7质量：合格</w:t>
      </w:r>
      <w:r>
        <w:rPr>
          <w:rFonts w:hint="eastAsia" w:ascii="宋体" w:hAnsi="宋体" w:eastAsia="宋体" w:cs="宋体"/>
          <w:color w:val="000000"/>
          <w:kern w:val="0"/>
          <w:szCs w:val="21"/>
          <w:shd w:val="clear" w:color="auto" w:fill="FFFFFF"/>
        </w:rPr>
        <w:t>。</w:t>
      </w:r>
    </w:p>
    <w:p w14:paraId="07A1861E">
      <w:pPr>
        <w:numPr>
          <w:ilvl w:val="0"/>
          <w:numId w:val="1"/>
        </w:numPr>
        <w:tabs>
          <w:tab w:val="left" w:pos="4380"/>
          <w:tab w:val="left" w:pos="5980"/>
        </w:tabs>
        <w:autoSpaceDE w:val="0"/>
        <w:autoSpaceDN w:val="0"/>
        <w:adjustRightInd w:val="0"/>
        <w:spacing w:line="360" w:lineRule="auto"/>
        <w:ind w:right="41" w:firstLine="420" w:firstLineChars="200"/>
        <w:jc w:val="left"/>
        <w:rPr>
          <w:rFonts w:hint="eastAsia" w:ascii="宋体" w:hAnsi="宋体" w:cs="宋体"/>
          <w:kern w:val="0"/>
          <w:sz w:val="21"/>
          <w:szCs w:val="21"/>
          <w:highlight w:val="none"/>
          <w:u w:val="none"/>
          <w:lang w:val="en-US" w:eastAsia="zh-CN"/>
        </w:rPr>
      </w:pPr>
      <w:r>
        <w:rPr>
          <w:rFonts w:hint="eastAsia" w:ascii="宋体" w:hAnsi="宋体" w:cs="宋体"/>
          <w:kern w:val="0"/>
          <w:sz w:val="21"/>
          <w:szCs w:val="21"/>
          <w:highlight w:val="none"/>
          <w:lang w:val="en-US" w:eastAsia="zh-CN"/>
        </w:rPr>
        <w:t>合同履行期限：</w:t>
      </w:r>
      <w:r>
        <w:rPr>
          <w:rFonts w:hint="eastAsia" w:ascii="宋体" w:hAnsi="宋体" w:cs="宋体"/>
          <w:kern w:val="0"/>
          <w:sz w:val="21"/>
          <w:szCs w:val="21"/>
          <w:highlight w:val="none"/>
          <w:u w:val="none"/>
          <w:lang w:val="en-US" w:eastAsia="zh-CN"/>
        </w:rPr>
        <w:t>同交货期。</w:t>
      </w:r>
    </w:p>
    <w:p w14:paraId="574F45FF">
      <w:pPr>
        <w:tabs>
          <w:tab w:val="left" w:pos="4380"/>
          <w:tab w:val="left" w:pos="5980"/>
        </w:tabs>
        <w:autoSpaceDE w:val="0"/>
        <w:autoSpaceDN w:val="0"/>
        <w:adjustRightInd w:val="0"/>
        <w:spacing w:line="360" w:lineRule="auto"/>
        <w:ind w:right="41" w:firstLine="420" w:firstLineChars="200"/>
        <w:jc w:val="left"/>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7、本项目是否接受联合体投标：否</w:t>
      </w:r>
    </w:p>
    <w:p w14:paraId="3178FDFF">
      <w:pPr>
        <w:tabs>
          <w:tab w:val="left" w:pos="4380"/>
          <w:tab w:val="left" w:pos="5980"/>
        </w:tabs>
        <w:autoSpaceDE w:val="0"/>
        <w:autoSpaceDN w:val="0"/>
        <w:adjustRightInd w:val="0"/>
        <w:spacing w:line="360" w:lineRule="auto"/>
        <w:ind w:right="41" w:firstLine="420" w:firstLineChars="200"/>
        <w:jc w:val="left"/>
        <w:rPr>
          <w:rFonts w:hint="eastAsia" w:ascii="宋体" w:hAnsi="宋体" w:cs="宋体"/>
          <w:kern w:val="0"/>
          <w:sz w:val="21"/>
          <w:szCs w:val="21"/>
          <w:highlight w:val="none"/>
          <w:lang w:val="en-US" w:eastAsia="zh-CN"/>
        </w:rPr>
      </w:pPr>
      <w:bookmarkStart w:id="4" w:name="_Toc35393791"/>
      <w:bookmarkStart w:id="5" w:name="_Toc28359003"/>
      <w:bookmarkStart w:id="6" w:name="_Toc35393622"/>
      <w:bookmarkStart w:id="7" w:name="_Toc28359080"/>
      <w:r>
        <w:rPr>
          <w:rFonts w:hint="eastAsia" w:ascii="宋体" w:hAnsi="宋体" w:cs="宋体"/>
          <w:kern w:val="0"/>
          <w:sz w:val="21"/>
          <w:szCs w:val="21"/>
          <w:highlight w:val="none"/>
          <w:lang w:val="en-US" w:eastAsia="zh-CN"/>
        </w:rPr>
        <w:t>8、是否接受进口产品：否</w:t>
      </w:r>
    </w:p>
    <w:bookmarkEnd w:id="4"/>
    <w:bookmarkEnd w:id="5"/>
    <w:bookmarkEnd w:id="6"/>
    <w:bookmarkEnd w:id="7"/>
    <w:p w14:paraId="29723EE9">
      <w:pPr>
        <w:tabs>
          <w:tab w:val="left" w:pos="4380"/>
          <w:tab w:val="left" w:pos="5980"/>
        </w:tabs>
        <w:autoSpaceDE w:val="0"/>
        <w:autoSpaceDN w:val="0"/>
        <w:adjustRightInd w:val="0"/>
        <w:spacing w:line="360" w:lineRule="auto"/>
        <w:ind w:right="41" w:firstLine="420" w:firstLineChars="200"/>
        <w:jc w:val="left"/>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9、是否专门面向中小企业：是</w:t>
      </w:r>
    </w:p>
    <w:p w14:paraId="172437DB">
      <w:pPr>
        <w:tabs>
          <w:tab w:val="left" w:pos="4380"/>
          <w:tab w:val="left" w:pos="5980"/>
        </w:tabs>
        <w:autoSpaceDE w:val="0"/>
        <w:autoSpaceDN w:val="0"/>
        <w:adjustRightInd w:val="0"/>
        <w:spacing w:line="360" w:lineRule="auto"/>
        <w:ind w:right="41"/>
        <w:jc w:val="left"/>
        <w:rPr>
          <w:rFonts w:hint="eastAsia" w:ascii="宋体" w:hAnsi="宋体" w:cs="宋体"/>
          <w:b/>
          <w:bCs/>
          <w:kern w:val="0"/>
          <w:sz w:val="21"/>
          <w:szCs w:val="21"/>
          <w:highlight w:val="none"/>
          <w:lang w:val="en-US" w:eastAsia="zh-CN"/>
        </w:rPr>
      </w:pPr>
      <w:r>
        <w:rPr>
          <w:rFonts w:hint="eastAsia" w:ascii="宋体" w:hAnsi="宋体" w:cs="宋体"/>
          <w:b/>
          <w:bCs/>
          <w:kern w:val="0"/>
          <w:sz w:val="21"/>
          <w:szCs w:val="21"/>
          <w:highlight w:val="none"/>
          <w:lang w:val="en-US" w:eastAsia="zh-CN"/>
        </w:rPr>
        <w:t>二、申请人资格要求：</w:t>
      </w:r>
    </w:p>
    <w:p w14:paraId="65821EA6">
      <w:pPr>
        <w:tabs>
          <w:tab w:val="left" w:pos="4380"/>
          <w:tab w:val="left" w:pos="5980"/>
        </w:tabs>
        <w:autoSpaceDE w:val="0"/>
        <w:autoSpaceDN w:val="0"/>
        <w:adjustRightInd w:val="0"/>
        <w:spacing w:line="360" w:lineRule="auto"/>
        <w:ind w:right="41" w:firstLine="420" w:firstLineChars="200"/>
        <w:jc w:val="left"/>
        <w:rPr>
          <w:rFonts w:hint="eastAsia" w:ascii="宋体" w:hAnsi="宋体" w:cs="宋体"/>
          <w:kern w:val="0"/>
          <w:sz w:val="21"/>
          <w:szCs w:val="21"/>
          <w:highlight w:val="none"/>
        </w:rPr>
      </w:pPr>
      <w:r>
        <w:rPr>
          <w:rFonts w:hint="eastAsia" w:ascii="宋体" w:hAnsi="宋体" w:cs="宋体"/>
          <w:kern w:val="0"/>
          <w:sz w:val="21"/>
          <w:szCs w:val="21"/>
          <w:highlight w:val="none"/>
          <w:lang w:val="en-US" w:eastAsia="zh-CN"/>
        </w:rPr>
        <w:t>1、满足《中华人民共和国政府采购法》第二十二条规定。</w:t>
      </w:r>
    </w:p>
    <w:p w14:paraId="293A10C2">
      <w:pPr>
        <w:tabs>
          <w:tab w:val="left" w:pos="4380"/>
          <w:tab w:val="left" w:pos="5980"/>
        </w:tabs>
        <w:autoSpaceDE w:val="0"/>
        <w:autoSpaceDN w:val="0"/>
        <w:adjustRightInd w:val="0"/>
        <w:spacing w:line="360" w:lineRule="auto"/>
        <w:ind w:right="41" w:firstLine="420" w:firstLineChars="200"/>
        <w:jc w:val="left"/>
        <w:rPr>
          <w:rFonts w:hint="eastAsia" w:ascii="宋体" w:hAnsi="宋体" w:eastAsia="宋体" w:cs="宋体"/>
          <w:kern w:val="0"/>
          <w:sz w:val="21"/>
          <w:szCs w:val="21"/>
          <w:highlight w:val="none"/>
          <w:lang w:val="en-US" w:eastAsia="zh-CN"/>
        </w:rPr>
      </w:pPr>
      <w:bookmarkStart w:id="8" w:name="_Toc35393792"/>
      <w:bookmarkStart w:id="9" w:name="_Toc35393623"/>
      <w:r>
        <w:rPr>
          <w:rFonts w:hint="eastAsia" w:ascii="宋体" w:hAnsi="宋体" w:eastAsia="宋体" w:cs="宋体"/>
          <w:kern w:val="0"/>
          <w:sz w:val="21"/>
          <w:szCs w:val="21"/>
          <w:highlight w:val="none"/>
          <w:lang w:val="en-US" w:eastAsia="zh-CN"/>
        </w:rPr>
        <w:t>2、落实政府采购政策满足的资格要求：本项目专门面向中小企业采购，执行《政府采购促进中小企业发展管理办法》（财库〔2020〕46号）政策，货物应由符合政策要求的中小型企业制造（监狱企业、残疾人福利性单位视同小微企业）</w:t>
      </w:r>
    </w:p>
    <w:p w14:paraId="22309DBC">
      <w:pPr>
        <w:tabs>
          <w:tab w:val="left" w:pos="4380"/>
          <w:tab w:val="left" w:pos="5980"/>
        </w:tabs>
        <w:autoSpaceDE w:val="0"/>
        <w:autoSpaceDN w:val="0"/>
        <w:adjustRightInd w:val="0"/>
        <w:spacing w:line="360" w:lineRule="auto"/>
        <w:ind w:right="41"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3、本项目的特定资格要求</w:t>
      </w:r>
    </w:p>
    <w:p w14:paraId="1F6FE33A">
      <w:pPr>
        <w:pStyle w:val="3"/>
        <w:keepNext/>
        <w:keepLines/>
        <w:pageBreakBefore w:val="0"/>
        <w:widowControl w:val="0"/>
        <w:numPr>
          <w:ilvl w:val="1"/>
          <w:numId w:val="0"/>
        </w:numPr>
        <w:kinsoku/>
        <w:wordWrap w:val="0"/>
        <w:overflowPunct/>
        <w:topLinePunct/>
        <w:autoSpaceDE w:val="0"/>
        <w:autoSpaceDN w:val="0"/>
        <w:bidi w:val="0"/>
        <w:adjustRightInd/>
        <w:snapToGrid/>
        <w:spacing w:line="360" w:lineRule="auto"/>
        <w:ind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3.1根据《关于在政府采购活动中查询及使用信用记录有关问题的通知》(财库[2016]125号)、《河南省财政厅关于转发财政部关于在政府采购活动中查询及使用信用记录有关问题的通知》（豫财购〔2016〕15号）的规定，采购人及采购代理机构将在资格审查时通过“信用中国”网站（www.creditchina.gov.cn）、“中国政府采购网”（www.ccgp.gov.cn）查询投标人信用记录，被列入失信被执行人、重大税收违法失信主体、政府采购严重违法失信行为记录名单的单位将被拒绝参与本项目政府采购活动。</w:t>
      </w:r>
    </w:p>
    <w:p w14:paraId="7BC51944">
      <w:pPr>
        <w:tabs>
          <w:tab w:val="left" w:pos="4380"/>
          <w:tab w:val="left" w:pos="5980"/>
        </w:tabs>
        <w:autoSpaceDE w:val="0"/>
        <w:autoSpaceDN w:val="0"/>
        <w:adjustRightInd w:val="0"/>
        <w:spacing w:line="360" w:lineRule="auto"/>
        <w:ind w:right="41"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3.2单位负责人为同一人或者存在直接控股、管理关系的不同投标人，不得参加同一合同项下的政府采购活动；</w:t>
      </w:r>
    </w:p>
    <w:p w14:paraId="72067C08">
      <w:pPr>
        <w:tabs>
          <w:tab w:val="left" w:pos="4380"/>
          <w:tab w:val="left" w:pos="5980"/>
        </w:tabs>
        <w:autoSpaceDE w:val="0"/>
        <w:autoSpaceDN w:val="0"/>
        <w:adjustRightInd w:val="0"/>
        <w:spacing w:line="360" w:lineRule="auto"/>
        <w:ind w:right="41" w:firstLine="420" w:firstLineChars="200"/>
        <w:jc w:val="left"/>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注：投标人可以对本项目多个标段进行投标，但只能按照标包顺序中一个标包。</w:t>
      </w:r>
    </w:p>
    <w:p w14:paraId="38037FD8">
      <w:pPr>
        <w:tabs>
          <w:tab w:val="left" w:pos="4380"/>
          <w:tab w:val="left" w:pos="5980"/>
        </w:tabs>
        <w:autoSpaceDE w:val="0"/>
        <w:autoSpaceDN w:val="0"/>
        <w:adjustRightInd w:val="0"/>
        <w:spacing w:line="360" w:lineRule="auto"/>
        <w:ind w:right="41"/>
        <w:jc w:val="left"/>
        <w:rPr>
          <w:rFonts w:hint="eastAsia" w:ascii="宋体" w:hAnsi="宋体" w:cs="宋体"/>
          <w:b/>
          <w:bCs/>
          <w:kern w:val="0"/>
          <w:sz w:val="21"/>
          <w:szCs w:val="21"/>
          <w:highlight w:val="none"/>
        </w:rPr>
      </w:pPr>
      <w:r>
        <w:rPr>
          <w:rFonts w:hint="eastAsia" w:ascii="宋体" w:hAnsi="宋体" w:cs="宋体"/>
          <w:b/>
          <w:bCs/>
          <w:kern w:val="0"/>
          <w:sz w:val="21"/>
          <w:szCs w:val="21"/>
          <w:highlight w:val="none"/>
        </w:rPr>
        <w:t>三、获取招标文件</w:t>
      </w:r>
      <w:bookmarkEnd w:id="8"/>
      <w:bookmarkEnd w:id="9"/>
    </w:p>
    <w:p w14:paraId="686E0A53">
      <w:pPr>
        <w:pStyle w:val="6"/>
        <w:spacing w:line="360" w:lineRule="auto"/>
        <w:ind w:firstLine="420" w:firstLineChars="200"/>
        <w:rPr>
          <w:rFonts w:hint="eastAsia"/>
          <w:kern w:val="2"/>
          <w:sz w:val="21"/>
          <w:szCs w:val="21"/>
          <w:highlight w:val="none"/>
        </w:rPr>
      </w:pPr>
      <w:r>
        <w:rPr>
          <w:rFonts w:hint="eastAsia"/>
          <w:kern w:val="2"/>
          <w:sz w:val="21"/>
          <w:szCs w:val="21"/>
          <w:highlight w:val="none"/>
        </w:rPr>
        <w:t>1.时间：</w:t>
      </w:r>
      <w:r>
        <w:rPr>
          <w:rFonts w:hint="eastAsia" w:ascii="宋体" w:hAnsi="宋体" w:eastAsia="宋体" w:cs="宋体"/>
          <w:color w:val="auto"/>
          <w:kern w:val="0"/>
          <w:sz w:val="21"/>
          <w:szCs w:val="21"/>
          <w:highlight w:val="none"/>
          <w:lang w:val="en-US" w:eastAsia="zh-CN" w:bidi="ar-SA"/>
        </w:rPr>
        <w:t>2024年12月 23日至2024年12月27 日，</w:t>
      </w:r>
      <w:r>
        <w:rPr>
          <w:rFonts w:hint="eastAsia"/>
          <w:kern w:val="2"/>
          <w:sz w:val="21"/>
          <w:szCs w:val="21"/>
          <w:highlight w:val="none"/>
        </w:rPr>
        <w:t>每天上午00:00至12:00，下午12:00至23:59（北京时间，法定节假日除外。）</w:t>
      </w:r>
    </w:p>
    <w:p w14:paraId="641E7316">
      <w:pPr>
        <w:pStyle w:val="6"/>
        <w:spacing w:line="360" w:lineRule="auto"/>
        <w:ind w:firstLine="420" w:firstLineChars="200"/>
        <w:rPr>
          <w:rFonts w:hint="eastAsia"/>
          <w:kern w:val="2"/>
          <w:sz w:val="21"/>
          <w:szCs w:val="21"/>
          <w:highlight w:val="none"/>
          <w:lang w:eastAsia="zh-CN"/>
        </w:rPr>
      </w:pPr>
      <w:r>
        <w:rPr>
          <w:rFonts w:hint="eastAsia"/>
          <w:kern w:val="2"/>
          <w:sz w:val="21"/>
          <w:szCs w:val="21"/>
          <w:highlight w:val="none"/>
        </w:rPr>
        <w:t>2.地点</w:t>
      </w:r>
      <w:r>
        <w:rPr>
          <w:rFonts w:hint="eastAsia"/>
          <w:kern w:val="2"/>
          <w:sz w:val="21"/>
          <w:szCs w:val="21"/>
          <w:highlight w:val="none"/>
          <w:lang w:eastAsia="zh-CN"/>
        </w:rPr>
        <w:t>：郑州市公共资源交易中心网（https://zzggzy.zhengzhou.gov.cn）</w:t>
      </w:r>
    </w:p>
    <w:p w14:paraId="02DABA68">
      <w:pPr>
        <w:pStyle w:val="6"/>
        <w:spacing w:line="360" w:lineRule="auto"/>
        <w:ind w:firstLine="420" w:firstLineChars="200"/>
        <w:rPr>
          <w:rFonts w:hint="eastAsia"/>
          <w:kern w:val="2"/>
          <w:sz w:val="21"/>
          <w:szCs w:val="21"/>
          <w:highlight w:val="none"/>
        </w:rPr>
      </w:pPr>
      <w:bookmarkStart w:id="10" w:name="_GoBack"/>
      <w:bookmarkEnd w:id="10"/>
      <w:r>
        <w:rPr>
          <w:rFonts w:hint="eastAsia"/>
          <w:kern w:val="2"/>
          <w:sz w:val="21"/>
          <w:szCs w:val="21"/>
          <w:highlight w:val="none"/>
        </w:rPr>
        <w:t>3.方式：投标人凭CA数字证书登录“郑州市公共资源交易中心网”点击“交易主体登录”下载所含格式（*.ZZZF）的采购文件及资料</w:t>
      </w:r>
    </w:p>
    <w:p w14:paraId="66E533CE">
      <w:pPr>
        <w:pStyle w:val="6"/>
        <w:spacing w:line="360" w:lineRule="auto"/>
        <w:ind w:firstLine="420" w:firstLineChars="200"/>
        <w:rPr>
          <w:rFonts w:hint="eastAsia"/>
          <w:kern w:val="2"/>
          <w:sz w:val="21"/>
          <w:szCs w:val="21"/>
          <w:highlight w:val="none"/>
        </w:rPr>
      </w:pPr>
      <w:r>
        <w:rPr>
          <w:rFonts w:hint="eastAsia"/>
          <w:kern w:val="2"/>
          <w:sz w:val="21"/>
          <w:szCs w:val="21"/>
          <w:highlight w:val="none"/>
        </w:rPr>
        <w:t>4.售价：0元</w:t>
      </w:r>
    </w:p>
    <w:p w14:paraId="5EE1766A">
      <w:pPr>
        <w:tabs>
          <w:tab w:val="left" w:pos="4380"/>
          <w:tab w:val="left" w:pos="5980"/>
        </w:tabs>
        <w:autoSpaceDE w:val="0"/>
        <w:autoSpaceDN w:val="0"/>
        <w:adjustRightInd w:val="0"/>
        <w:spacing w:line="360" w:lineRule="auto"/>
        <w:ind w:right="41"/>
        <w:jc w:val="left"/>
        <w:rPr>
          <w:rFonts w:hint="eastAsia" w:ascii="宋体" w:hAnsi="宋体" w:cs="宋体"/>
          <w:b/>
          <w:bCs/>
          <w:kern w:val="0"/>
          <w:sz w:val="21"/>
          <w:szCs w:val="21"/>
          <w:highlight w:val="none"/>
          <w:lang w:val="en-US" w:eastAsia="zh-CN"/>
        </w:rPr>
      </w:pPr>
      <w:r>
        <w:rPr>
          <w:rFonts w:hint="eastAsia" w:ascii="宋体" w:hAnsi="宋体" w:cs="宋体"/>
          <w:b/>
          <w:bCs/>
          <w:kern w:val="0"/>
          <w:sz w:val="21"/>
          <w:szCs w:val="21"/>
          <w:highlight w:val="none"/>
          <w:lang w:val="en-US" w:eastAsia="zh-CN"/>
        </w:rPr>
        <w:t>四、投标截止时间及地点</w:t>
      </w:r>
    </w:p>
    <w:p w14:paraId="6F10FD20">
      <w:pPr>
        <w:pStyle w:val="6"/>
        <w:widowControl w:val="0"/>
        <w:spacing w:line="360" w:lineRule="auto"/>
        <w:ind w:firstLine="420" w:firstLineChars="200"/>
        <w:rPr>
          <w:rFonts w:hint="eastAsia"/>
          <w:kern w:val="2"/>
          <w:sz w:val="21"/>
          <w:szCs w:val="21"/>
          <w:highlight w:val="none"/>
          <w:u w:val="none"/>
        </w:rPr>
      </w:pPr>
      <w:r>
        <w:rPr>
          <w:rFonts w:hint="eastAsia"/>
          <w:kern w:val="2"/>
          <w:sz w:val="21"/>
          <w:szCs w:val="21"/>
          <w:highlight w:val="none"/>
        </w:rPr>
        <w:t>1.时间：</w:t>
      </w:r>
      <w:r>
        <w:rPr>
          <w:rFonts w:hint="eastAsia" w:ascii="宋体" w:hAnsi="宋体" w:eastAsia="宋体" w:cs="宋体"/>
          <w:kern w:val="2"/>
          <w:sz w:val="21"/>
          <w:szCs w:val="21"/>
          <w:highlight w:val="none"/>
          <w:lang w:eastAsia="zh-CN"/>
        </w:rPr>
        <w:t>202</w:t>
      </w:r>
      <w:r>
        <w:rPr>
          <w:rFonts w:hint="eastAsia" w:ascii="宋体" w:hAnsi="宋体" w:eastAsia="宋体" w:cs="宋体"/>
          <w:kern w:val="2"/>
          <w:sz w:val="21"/>
          <w:szCs w:val="21"/>
          <w:highlight w:val="none"/>
          <w:lang w:val="en-US" w:eastAsia="zh-CN"/>
        </w:rPr>
        <w:t>5</w:t>
      </w:r>
      <w:r>
        <w:rPr>
          <w:rFonts w:hint="eastAsia" w:ascii="宋体" w:hAnsi="宋体" w:eastAsia="宋体" w:cs="宋体"/>
          <w:kern w:val="2"/>
          <w:sz w:val="21"/>
          <w:szCs w:val="21"/>
          <w:highlight w:val="none"/>
          <w:lang w:eastAsia="zh-CN"/>
        </w:rPr>
        <w:t>年</w:t>
      </w:r>
      <w:r>
        <w:rPr>
          <w:rFonts w:hint="eastAsia" w:ascii="宋体" w:hAnsi="宋体" w:eastAsia="宋体" w:cs="宋体"/>
          <w:kern w:val="2"/>
          <w:sz w:val="21"/>
          <w:szCs w:val="21"/>
          <w:highlight w:val="none"/>
          <w:lang w:val="en-US" w:eastAsia="zh-CN"/>
        </w:rPr>
        <w:t>01</w:t>
      </w:r>
      <w:r>
        <w:rPr>
          <w:rFonts w:hint="eastAsia" w:ascii="宋体" w:hAnsi="宋体" w:eastAsia="宋体" w:cs="宋体"/>
          <w:kern w:val="2"/>
          <w:sz w:val="21"/>
          <w:szCs w:val="21"/>
          <w:highlight w:val="none"/>
          <w:lang w:eastAsia="zh-CN"/>
        </w:rPr>
        <w:t>月</w:t>
      </w:r>
      <w:r>
        <w:rPr>
          <w:rFonts w:hint="eastAsia" w:ascii="宋体" w:hAnsi="宋体" w:eastAsia="宋体" w:cs="宋体"/>
          <w:kern w:val="2"/>
          <w:sz w:val="21"/>
          <w:szCs w:val="21"/>
          <w:highlight w:val="none"/>
          <w:lang w:val="en-US" w:eastAsia="zh-CN"/>
        </w:rPr>
        <w:t>13</w:t>
      </w:r>
      <w:r>
        <w:rPr>
          <w:rFonts w:hint="eastAsia" w:ascii="宋体" w:hAnsi="宋体" w:eastAsia="宋体" w:cs="宋体"/>
          <w:kern w:val="2"/>
          <w:sz w:val="21"/>
          <w:szCs w:val="21"/>
          <w:highlight w:val="none"/>
          <w:lang w:eastAsia="zh-CN"/>
        </w:rPr>
        <w:t xml:space="preserve"> </w:t>
      </w:r>
      <w:r>
        <w:rPr>
          <w:rFonts w:hint="eastAsia" w:ascii="宋体" w:hAnsi="宋体" w:eastAsia="宋体" w:cs="宋体"/>
          <w:kern w:val="2"/>
          <w:sz w:val="21"/>
          <w:szCs w:val="21"/>
          <w:highlight w:val="none"/>
        </w:rPr>
        <w:t>日</w:t>
      </w:r>
      <w:r>
        <w:rPr>
          <w:rFonts w:hint="eastAsia" w:ascii="宋体" w:hAnsi="宋体" w:eastAsia="宋体" w:cs="宋体"/>
          <w:kern w:val="2"/>
          <w:sz w:val="21"/>
          <w:szCs w:val="21"/>
          <w:highlight w:val="none"/>
          <w:lang w:val="en-US" w:eastAsia="zh-CN"/>
        </w:rPr>
        <w:t>0</w:t>
      </w:r>
      <w:r>
        <w:rPr>
          <w:rFonts w:hint="eastAsia"/>
          <w:kern w:val="2"/>
          <w:sz w:val="21"/>
          <w:szCs w:val="21"/>
          <w:highlight w:val="none"/>
          <w:lang w:val="en-US" w:eastAsia="zh-CN"/>
        </w:rPr>
        <w:t>9</w:t>
      </w:r>
      <w:r>
        <w:rPr>
          <w:rFonts w:hint="eastAsia"/>
          <w:kern w:val="2"/>
          <w:sz w:val="21"/>
          <w:szCs w:val="21"/>
          <w:highlight w:val="none"/>
        </w:rPr>
        <w:t>时</w:t>
      </w:r>
      <w:r>
        <w:rPr>
          <w:rFonts w:hint="eastAsia"/>
          <w:kern w:val="2"/>
          <w:sz w:val="21"/>
          <w:szCs w:val="21"/>
          <w:highlight w:val="none"/>
          <w:lang w:val="en-US" w:eastAsia="zh-CN"/>
        </w:rPr>
        <w:t>30</w:t>
      </w:r>
      <w:r>
        <w:rPr>
          <w:rFonts w:hint="eastAsia"/>
          <w:kern w:val="2"/>
          <w:sz w:val="21"/>
          <w:szCs w:val="21"/>
          <w:highlight w:val="none"/>
        </w:rPr>
        <w:t>分（北京时间）</w:t>
      </w:r>
      <w:r>
        <w:rPr>
          <w:rFonts w:hint="eastAsia"/>
          <w:kern w:val="2"/>
          <w:sz w:val="21"/>
          <w:szCs w:val="21"/>
          <w:highlight w:val="none"/>
          <w:u w:val="none"/>
        </w:rPr>
        <w:t xml:space="preserve"> </w:t>
      </w:r>
    </w:p>
    <w:p w14:paraId="0E759042">
      <w:pPr>
        <w:spacing w:line="360" w:lineRule="auto"/>
        <w:ind w:firstLine="420" w:firstLineChars="200"/>
        <w:rPr>
          <w:rFonts w:hint="eastAsia" w:eastAsia="宋体" w:cs="宋体"/>
          <w:szCs w:val="21"/>
          <w:highlight w:val="none"/>
          <w:u w:val="none"/>
          <w:lang w:eastAsia="zh-CN"/>
        </w:rPr>
      </w:pPr>
      <w:r>
        <w:rPr>
          <w:rFonts w:hint="eastAsia" w:ascii="宋体" w:hAnsi="宋体" w:cs="宋体"/>
          <w:szCs w:val="21"/>
          <w:highlight w:val="none"/>
          <w:u w:val="none"/>
        </w:rPr>
        <w:t>2.地点：郑州市公共资源交易中心（https://zzggzy.zhengzhou.gov.cn）电子交易平台</w:t>
      </w:r>
      <w:r>
        <w:rPr>
          <w:rFonts w:hint="eastAsia" w:ascii="宋体" w:hAnsi="宋体" w:cs="宋体"/>
          <w:szCs w:val="21"/>
          <w:highlight w:val="none"/>
          <w:u w:val="none"/>
          <w:lang w:eastAsia="zh-CN"/>
        </w:rPr>
        <w:t>。</w:t>
      </w:r>
    </w:p>
    <w:p w14:paraId="20B7BD60">
      <w:pPr>
        <w:tabs>
          <w:tab w:val="left" w:pos="4380"/>
          <w:tab w:val="left" w:pos="5980"/>
        </w:tabs>
        <w:autoSpaceDE w:val="0"/>
        <w:autoSpaceDN w:val="0"/>
        <w:adjustRightInd w:val="0"/>
        <w:spacing w:line="360" w:lineRule="auto"/>
        <w:ind w:right="41"/>
        <w:jc w:val="left"/>
        <w:rPr>
          <w:rFonts w:hint="eastAsia" w:ascii="宋体" w:hAnsi="宋体" w:cs="宋体"/>
          <w:b/>
          <w:bCs/>
          <w:kern w:val="0"/>
          <w:sz w:val="21"/>
          <w:szCs w:val="21"/>
          <w:highlight w:val="none"/>
          <w:u w:val="none"/>
        </w:rPr>
      </w:pPr>
      <w:r>
        <w:rPr>
          <w:rFonts w:hint="eastAsia" w:ascii="宋体" w:hAnsi="宋体" w:cs="宋体"/>
          <w:b/>
          <w:bCs/>
          <w:kern w:val="0"/>
          <w:sz w:val="21"/>
          <w:szCs w:val="21"/>
          <w:highlight w:val="none"/>
          <w:u w:val="none"/>
        </w:rPr>
        <w:t>五、开标时间及地点</w:t>
      </w:r>
    </w:p>
    <w:p w14:paraId="35D073BC">
      <w:pPr>
        <w:pStyle w:val="6"/>
        <w:spacing w:line="360" w:lineRule="auto"/>
        <w:ind w:firstLine="420" w:firstLineChars="200"/>
        <w:rPr>
          <w:rFonts w:hint="eastAsia"/>
          <w:kern w:val="2"/>
          <w:sz w:val="21"/>
          <w:szCs w:val="21"/>
          <w:highlight w:val="none"/>
          <w:u w:val="none"/>
        </w:rPr>
      </w:pPr>
      <w:r>
        <w:rPr>
          <w:rFonts w:hint="eastAsia"/>
          <w:kern w:val="2"/>
          <w:sz w:val="21"/>
          <w:szCs w:val="21"/>
          <w:highlight w:val="none"/>
          <w:u w:val="none"/>
        </w:rPr>
        <w:t>1.时间：</w:t>
      </w:r>
      <w:r>
        <w:rPr>
          <w:rFonts w:hint="eastAsia" w:ascii="宋体" w:hAnsi="宋体" w:eastAsia="宋体" w:cs="宋体"/>
          <w:kern w:val="2"/>
          <w:sz w:val="21"/>
          <w:szCs w:val="21"/>
          <w:highlight w:val="none"/>
          <w:lang w:eastAsia="zh-CN"/>
        </w:rPr>
        <w:t>202</w:t>
      </w:r>
      <w:r>
        <w:rPr>
          <w:rFonts w:hint="eastAsia" w:ascii="宋体" w:hAnsi="宋体" w:eastAsia="宋体" w:cs="宋体"/>
          <w:kern w:val="2"/>
          <w:sz w:val="21"/>
          <w:szCs w:val="21"/>
          <w:highlight w:val="none"/>
          <w:lang w:val="en-US" w:eastAsia="zh-CN"/>
        </w:rPr>
        <w:t>5</w:t>
      </w:r>
      <w:r>
        <w:rPr>
          <w:rFonts w:hint="eastAsia" w:ascii="宋体" w:hAnsi="宋体" w:eastAsia="宋体" w:cs="宋体"/>
          <w:kern w:val="2"/>
          <w:sz w:val="21"/>
          <w:szCs w:val="21"/>
          <w:highlight w:val="none"/>
          <w:lang w:eastAsia="zh-CN"/>
        </w:rPr>
        <w:t>年</w:t>
      </w:r>
      <w:r>
        <w:rPr>
          <w:rFonts w:hint="eastAsia" w:ascii="宋体" w:hAnsi="宋体" w:eastAsia="宋体" w:cs="宋体"/>
          <w:kern w:val="2"/>
          <w:sz w:val="21"/>
          <w:szCs w:val="21"/>
          <w:highlight w:val="none"/>
          <w:lang w:val="en-US" w:eastAsia="zh-CN"/>
        </w:rPr>
        <w:t>01</w:t>
      </w:r>
      <w:r>
        <w:rPr>
          <w:rFonts w:hint="eastAsia" w:ascii="宋体" w:hAnsi="宋体" w:eastAsia="宋体" w:cs="宋体"/>
          <w:kern w:val="2"/>
          <w:sz w:val="21"/>
          <w:szCs w:val="21"/>
          <w:highlight w:val="none"/>
          <w:lang w:eastAsia="zh-CN"/>
        </w:rPr>
        <w:t>月</w:t>
      </w:r>
      <w:r>
        <w:rPr>
          <w:rFonts w:hint="eastAsia" w:ascii="宋体" w:hAnsi="宋体" w:eastAsia="宋体" w:cs="宋体"/>
          <w:kern w:val="2"/>
          <w:sz w:val="21"/>
          <w:szCs w:val="21"/>
          <w:highlight w:val="none"/>
          <w:lang w:val="en-US" w:eastAsia="zh-CN"/>
        </w:rPr>
        <w:t>13</w:t>
      </w:r>
      <w:r>
        <w:rPr>
          <w:rFonts w:hint="eastAsia" w:ascii="宋体" w:hAnsi="宋体" w:eastAsia="宋体" w:cs="宋体"/>
          <w:kern w:val="2"/>
          <w:sz w:val="21"/>
          <w:szCs w:val="21"/>
          <w:highlight w:val="none"/>
          <w:lang w:eastAsia="zh-CN"/>
        </w:rPr>
        <w:t xml:space="preserve"> </w:t>
      </w:r>
      <w:r>
        <w:rPr>
          <w:rFonts w:hint="eastAsia" w:ascii="宋体" w:hAnsi="宋体" w:eastAsia="宋体" w:cs="宋体"/>
          <w:kern w:val="2"/>
          <w:sz w:val="21"/>
          <w:szCs w:val="21"/>
          <w:highlight w:val="none"/>
        </w:rPr>
        <w:t>日</w:t>
      </w:r>
      <w:r>
        <w:rPr>
          <w:rFonts w:hint="eastAsia" w:ascii="宋体" w:hAnsi="宋体" w:eastAsia="宋体" w:cs="宋体"/>
          <w:kern w:val="2"/>
          <w:sz w:val="21"/>
          <w:szCs w:val="21"/>
          <w:highlight w:val="none"/>
          <w:lang w:val="en-US" w:eastAsia="zh-CN"/>
        </w:rPr>
        <w:t>09</w:t>
      </w:r>
      <w:r>
        <w:rPr>
          <w:rFonts w:hint="eastAsia"/>
          <w:kern w:val="2"/>
          <w:sz w:val="21"/>
          <w:szCs w:val="21"/>
          <w:highlight w:val="none"/>
        </w:rPr>
        <w:t>时</w:t>
      </w:r>
      <w:r>
        <w:rPr>
          <w:rFonts w:hint="eastAsia"/>
          <w:kern w:val="2"/>
          <w:sz w:val="21"/>
          <w:szCs w:val="21"/>
          <w:highlight w:val="none"/>
          <w:lang w:val="en-US" w:eastAsia="zh-CN"/>
        </w:rPr>
        <w:t>30</w:t>
      </w:r>
      <w:r>
        <w:rPr>
          <w:rFonts w:hint="eastAsia"/>
          <w:kern w:val="2"/>
          <w:sz w:val="21"/>
          <w:szCs w:val="21"/>
          <w:highlight w:val="none"/>
        </w:rPr>
        <w:t>分</w:t>
      </w:r>
      <w:r>
        <w:rPr>
          <w:rFonts w:hint="eastAsia"/>
          <w:kern w:val="2"/>
          <w:sz w:val="21"/>
          <w:szCs w:val="21"/>
          <w:highlight w:val="none"/>
          <w:u w:val="none"/>
        </w:rPr>
        <w:t xml:space="preserve">（北京时间） </w:t>
      </w:r>
    </w:p>
    <w:p w14:paraId="2CB819D9">
      <w:pPr>
        <w:pStyle w:val="6"/>
        <w:spacing w:line="360" w:lineRule="auto"/>
        <w:ind w:firstLine="420" w:firstLineChars="200"/>
        <w:rPr>
          <w:rFonts w:hint="eastAsia" w:ascii="宋体" w:hAnsi="宋体" w:cs="宋体"/>
          <w:kern w:val="0"/>
          <w:sz w:val="21"/>
          <w:szCs w:val="21"/>
          <w:highlight w:val="none"/>
          <w:lang w:val="en-US" w:eastAsia="zh-CN"/>
        </w:rPr>
      </w:pPr>
      <w:r>
        <w:rPr>
          <w:rFonts w:hint="eastAsia"/>
          <w:kern w:val="2"/>
          <w:sz w:val="21"/>
          <w:szCs w:val="21"/>
          <w:highlight w:val="none"/>
        </w:rPr>
        <w:t>2.地点：郑州市公共资源交易中心门户网站远程开标大厅（https://zzggzy.zhengzhou.gov.cn/BidOpening/）备注：（1）所有投标人应提前30分钟，登录“郑州市公共资源交易中心门户网站远程开标大厅”进行远程开标准备工作。登录后，须先进行签到，其后应一直保持在线状态，保证能准时参加开标大会、投标文件的解密、现场答疑澄清等活动。（2）不见面开标操作说明详见郑州市公共资源交易中心网站办事指南栏目下政府采购专区中的《郑州市公共资源交易中心不见面开标大厅操作手册（投标人）V1.0》。</w:t>
      </w:r>
    </w:p>
    <w:p w14:paraId="39695670">
      <w:pPr>
        <w:tabs>
          <w:tab w:val="left" w:pos="4380"/>
          <w:tab w:val="left" w:pos="5980"/>
        </w:tabs>
        <w:autoSpaceDE w:val="0"/>
        <w:autoSpaceDN w:val="0"/>
        <w:adjustRightInd w:val="0"/>
        <w:spacing w:line="360" w:lineRule="auto"/>
        <w:ind w:right="41"/>
        <w:jc w:val="left"/>
        <w:rPr>
          <w:rFonts w:hint="eastAsia" w:ascii="宋体" w:hAnsi="宋体" w:cs="宋体"/>
          <w:b/>
          <w:bCs/>
          <w:kern w:val="0"/>
          <w:sz w:val="21"/>
          <w:szCs w:val="21"/>
          <w:highlight w:val="none"/>
        </w:rPr>
      </w:pPr>
      <w:r>
        <w:rPr>
          <w:rFonts w:hint="eastAsia" w:ascii="宋体" w:hAnsi="宋体" w:cs="宋体"/>
          <w:b/>
          <w:bCs/>
          <w:kern w:val="0"/>
          <w:sz w:val="21"/>
          <w:szCs w:val="21"/>
          <w:highlight w:val="none"/>
          <w:lang w:val="en-US" w:eastAsia="zh-CN"/>
        </w:rPr>
        <w:t>六、发布公</w:t>
      </w:r>
      <w:r>
        <w:rPr>
          <w:rFonts w:hint="eastAsia" w:ascii="宋体" w:hAnsi="宋体" w:cs="宋体"/>
          <w:b/>
          <w:bCs/>
          <w:kern w:val="0"/>
          <w:sz w:val="21"/>
          <w:szCs w:val="21"/>
          <w:highlight w:val="none"/>
        </w:rPr>
        <w:t>告的媒介及招标公告期限</w:t>
      </w:r>
    </w:p>
    <w:p w14:paraId="7D4A5C9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本次招标公告在《河南省政府采购网》、《二七区政府采购网》、《郑州市公共资源交易中心网》上发布，招标公告期限为五个工作日。 </w:t>
      </w:r>
    </w:p>
    <w:p w14:paraId="51FB6728">
      <w:pPr>
        <w:numPr>
          <w:ilvl w:val="0"/>
          <w:numId w:val="2"/>
        </w:numPr>
        <w:tabs>
          <w:tab w:val="left" w:pos="4380"/>
          <w:tab w:val="left" w:pos="5980"/>
        </w:tabs>
        <w:autoSpaceDE w:val="0"/>
        <w:autoSpaceDN w:val="0"/>
        <w:adjustRightInd w:val="0"/>
        <w:spacing w:line="360" w:lineRule="auto"/>
        <w:ind w:right="41"/>
        <w:jc w:val="left"/>
        <w:rPr>
          <w:rFonts w:hint="default" w:eastAsia="宋体"/>
          <w:lang w:val="en-US" w:eastAsia="zh-CN"/>
        </w:rPr>
      </w:pPr>
      <w:r>
        <w:rPr>
          <w:rFonts w:hint="eastAsia" w:ascii="宋体" w:hAnsi="宋体" w:cs="宋体"/>
          <w:b/>
          <w:bCs/>
          <w:kern w:val="0"/>
          <w:sz w:val="21"/>
          <w:szCs w:val="21"/>
          <w:highlight w:val="none"/>
        </w:rPr>
        <w:t>其他补充事宜</w:t>
      </w:r>
      <w:r>
        <w:rPr>
          <w:rFonts w:hint="eastAsia" w:ascii="宋体" w:hAnsi="宋体" w:cs="宋体"/>
          <w:b/>
          <w:bCs/>
          <w:kern w:val="0"/>
          <w:sz w:val="21"/>
          <w:szCs w:val="21"/>
          <w:highlight w:val="none"/>
          <w:lang w:eastAsia="zh-CN"/>
        </w:rPr>
        <w:t>：</w:t>
      </w:r>
    </w:p>
    <w:p w14:paraId="49CAC089">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1.本项目执行强制采购、优先采购节能产品、优先采购环境标志产品、促进中小企业发展、促进残疾人就业、支持监狱企业发展等相关政府采购政策。</w:t>
      </w:r>
    </w:p>
    <w:p w14:paraId="256DA0A0">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2.本项目采购标的对应的中小企业划分标准所属行业：</w:t>
      </w:r>
      <w:r>
        <w:rPr>
          <w:rFonts w:hint="eastAsia" w:ascii="宋体" w:hAnsi="宋体" w:eastAsia="宋体" w:cs="宋体"/>
          <w:sz w:val="21"/>
          <w:szCs w:val="21"/>
          <w:highlight w:val="none"/>
          <w:u w:val="single"/>
          <w:lang w:val="en-US" w:eastAsia="zh-CN"/>
        </w:rPr>
        <w:t>工业</w:t>
      </w:r>
      <w:r>
        <w:rPr>
          <w:rFonts w:hint="eastAsia" w:ascii="宋体" w:hAnsi="宋体" w:eastAsia="宋体" w:cs="宋体"/>
          <w:sz w:val="21"/>
          <w:szCs w:val="21"/>
          <w:highlight w:val="none"/>
          <w:lang w:val="en-US" w:eastAsia="zh-CN"/>
        </w:rPr>
        <w:t>，中小微企业划分按照《国家统计局关于印发&lt;统计上大中小微型企业划分办法（2017）&gt;的通知》国统字〔2017〕213号文件及《工业和信息化部、国家统计局、国家发展和改革委员会、财政部关于印发&lt;中小企业划型标准规定&gt;的通知》（工信部联企业〔2011〕300 号）规定的划分标准为依据（符合中小企业划分标准的个体工商户，在政府采购活动中视同中小企业）</w:t>
      </w:r>
    </w:p>
    <w:p w14:paraId="1C4678B6">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3.本项目支持河南省政府采购合同融资政策，详见第二章投标人须知前附表中《河南省政府采购合同融资政策告知函》。</w:t>
      </w:r>
    </w:p>
    <w:p w14:paraId="3B5DB894">
      <w:pPr>
        <w:spacing w:line="360" w:lineRule="auto"/>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4.本项目招标代理服务费，依据“河南省招标投标协会关于印发《河南省招标代理服务收费标准》的通知（豫招协[2023]002号）中相关收费规定，代理服务费不足壹万元时按照壹万元收取，由中标单位</w:t>
      </w:r>
      <w:r>
        <w:rPr>
          <w:rFonts w:ascii="宋体" w:hAnsi="宋体"/>
          <w:kern w:val="0"/>
          <w:szCs w:val="21"/>
        </w:rPr>
        <w:t>领取《中标通知书》时交纳。</w:t>
      </w:r>
    </w:p>
    <w:p w14:paraId="73564A85">
      <w:pPr>
        <w:numPr>
          <w:ilvl w:val="0"/>
          <w:numId w:val="2"/>
        </w:numPr>
        <w:tabs>
          <w:tab w:val="left" w:pos="4380"/>
          <w:tab w:val="left" w:pos="5980"/>
        </w:tabs>
        <w:autoSpaceDE w:val="0"/>
        <w:autoSpaceDN w:val="0"/>
        <w:adjustRightInd w:val="0"/>
        <w:spacing w:line="360" w:lineRule="auto"/>
        <w:ind w:right="41"/>
        <w:jc w:val="left"/>
        <w:rPr>
          <w:rFonts w:hint="eastAsia" w:ascii="宋体" w:hAnsi="宋体" w:cs="宋体"/>
          <w:b/>
          <w:bCs/>
          <w:kern w:val="0"/>
          <w:sz w:val="21"/>
          <w:szCs w:val="21"/>
          <w:highlight w:val="none"/>
        </w:rPr>
      </w:pPr>
      <w:r>
        <w:rPr>
          <w:rFonts w:hint="eastAsia" w:ascii="宋体" w:hAnsi="宋体" w:cs="宋体"/>
          <w:b/>
          <w:bCs/>
          <w:kern w:val="0"/>
          <w:sz w:val="21"/>
          <w:szCs w:val="21"/>
          <w:highlight w:val="none"/>
          <w:lang w:val="en-US" w:eastAsia="zh-CN"/>
        </w:rPr>
        <w:t>凡对本次招标提出询问，请按照以下方式联系</w:t>
      </w:r>
    </w:p>
    <w:p w14:paraId="32312E19">
      <w:pPr>
        <w:numPr>
          <w:ilvl w:val="0"/>
          <w:numId w:val="0"/>
        </w:num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采购人信息</w:t>
      </w:r>
    </w:p>
    <w:p w14:paraId="02A6C0F0">
      <w:pPr>
        <w:numPr>
          <w:ilvl w:val="0"/>
          <w:numId w:val="0"/>
        </w:numPr>
        <w:spacing w:line="360" w:lineRule="auto"/>
        <w:ind w:firstLine="630" w:firstLineChars="3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名称：</w:t>
      </w:r>
      <w:r>
        <w:rPr>
          <w:rFonts w:hint="eastAsia" w:ascii="宋体" w:hAnsi="宋体" w:eastAsia="宋体" w:cs="宋体"/>
          <w:sz w:val="21"/>
          <w:szCs w:val="21"/>
          <w:highlight w:val="none"/>
          <w:lang w:val="en-US" w:eastAsia="zh-CN"/>
        </w:rPr>
        <w:t>郑州市二七区退役军人事务局</w:t>
      </w:r>
    </w:p>
    <w:p w14:paraId="7030E9A3">
      <w:pPr>
        <w:numPr>
          <w:ilvl w:val="0"/>
          <w:numId w:val="0"/>
        </w:numPr>
        <w:spacing w:line="360" w:lineRule="auto"/>
        <w:ind w:firstLine="630" w:firstLineChars="3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地址：郑州市二七区郑航街与淮南街交叉口西南角</w:t>
      </w:r>
    </w:p>
    <w:p w14:paraId="290BA14C">
      <w:pPr>
        <w:numPr>
          <w:ilvl w:val="0"/>
          <w:numId w:val="0"/>
        </w:numPr>
        <w:spacing w:line="360" w:lineRule="auto"/>
        <w:ind w:firstLine="630" w:firstLineChars="3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联系人：韩先生</w:t>
      </w:r>
    </w:p>
    <w:p w14:paraId="5A745970">
      <w:pPr>
        <w:numPr>
          <w:ilvl w:val="0"/>
          <w:numId w:val="0"/>
        </w:numPr>
        <w:spacing w:line="360" w:lineRule="auto"/>
        <w:ind w:firstLine="630" w:firstLineChars="3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联系方式：0371-61622790</w:t>
      </w:r>
    </w:p>
    <w:p w14:paraId="10228E67">
      <w:pPr>
        <w:numPr>
          <w:ilvl w:val="0"/>
          <w:numId w:val="0"/>
        </w:numPr>
        <w:spacing w:line="360" w:lineRule="auto"/>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default" w:ascii="宋体" w:hAnsi="宋体" w:eastAsia="宋体" w:cs="宋体"/>
          <w:sz w:val="21"/>
          <w:szCs w:val="21"/>
          <w:highlight w:val="none"/>
          <w:lang w:val="en-US" w:eastAsia="zh-CN"/>
        </w:rPr>
        <w:t>采购代理机构信息</w:t>
      </w:r>
    </w:p>
    <w:p w14:paraId="41F52073">
      <w:pPr>
        <w:numPr>
          <w:ilvl w:val="0"/>
          <w:numId w:val="0"/>
        </w:numPr>
        <w:spacing w:line="360" w:lineRule="auto"/>
        <w:ind w:firstLine="630" w:firstLineChars="300"/>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名称：明锦工程咨询有限公司</w:t>
      </w:r>
    </w:p>
    <w:p w14:paraId="1D110CDB">
      <w:pPr>
        <w:numPr>
          <w:ilvl w:val="0"/>
          <w:numId w:val="0"/>
        </w:numPr>
        <w:spacing w:line="360" w:lineRule="auto"/>
        <w:ind w:firstLine="630" w:firstLineChars="300"/>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地址：郑州市金水区瀚海晴宇6号楼3002室</w:t>
      </w:r>
    </w:p>
    <w:p w14:paraId="5F022799">
      <w:pPr>
        <w:numPr>
          <w:ilvl w:val="0"/>
          <w:numId w:val="0"/>
        </w:numPr>
        <w:spacing w:line="360" w:lineRule="auto"/>
        <w:ind w:firstLine="630" w:firstLineChars="300"/>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联系人：</w:t>
      </w:r>
      <w:r>
        <w:rPr>
          <w:rFonts w:hint="eastAsia" w:ascii="宋体" w:hAnsi="宋体" w:eastAsia="宋体" w:cs="宋体"/>
          <w:sz w:val="21"/>
          <w:szCs w:val="21"/>
          <w:highlight w:val="none"/>
          <w:lang w:val="en-US" w:eastAsia="zh-CN"/>
        </w:rPr>
        <w:t>陈飞</w:t>
      </w:r>
    </w:p>
    <w:p w14:paraId="36768C53">
      <w:pPr>
        <w:numPr>
          <w:ilvl w:val="0"/>
          <w:numId w:val="0"/>
        </w:numPr>
        <w:spacing w:line="360" w:lineRule="auto"/>
        <w:ind w:firstLine="630" w:firstLineChars="300"/>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联系方式：18538316393</w:t>
      </w:r>
    </w:p>
    <w:p w14:paraId="3CD9204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8CF356"/>
    <w:multiLevelType w:val="singleLevel"/>
    <w:tmpl w:val="C48CF356"/>
    <w:lvl w:ilvl="0" w:tentative="0">
      <w:start w:val="6"/>
      <w:numFmt w:val="decimal"/>
      <w:suff w:val="nothing"/>
      <w:lvlText w:val="%1、"/>
      <w:lvlJc w:val="left"/>
    </w:lvl>
  </w:abstractNum>
  <w:abstractNum w:abstractNumId="1">
    <w:nsid w:val="EAE21D25"/>
    <w:multiLevelType w:val="singleLevel"/>
    <w:tmpl w:val="EAE21D25"/>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40F81"/>
    <w:rsid w:val="3A9602DA"/>
    <w:rsid w:val="58B40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99"/>
    <w:pPr>
      <w:keepNext/>
      <w:keepLines/>
      <w:spacing w:line="360" w:lineRule="auto"/>
      <w:outlineLvl w:val="1"/>
    </w:pPr>
    <w:rPr>
      <w:rFonts w:ascii="Arial" w:hAnsi="Arial"/>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style>
  <w:style w:type="paragraph" w:customStyle="1" w:styleId="6">
    <w:name w:val="cjk"/>
    <w:basedOn w:val="1"/>
    <w:qFormat/>
    <w:uiPriority w:val="99"/>
    <w:pPr>
      <w:widowControl/>
      <w:spacing w:line="480" w:lineRule="auto"/>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2104</Words>
  <Characters>2522</Characters>
  <Lines>0</Lines>
  <Paragraphs>0</Paragraphs>
  <TotalTime>0</TotalTime>
  <ScaleCrop>false</ScaleCrop>
  <LinksUpToDate>false</LinksUpToDate>
  <CharactersWithSpaces>2548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2024-12-20T06:18:00Z</dcterms:created>
  <dc:creator>静儿.不期而遇</dc:creator>
  <cp:lastModifiedBy>静儿.不期而遇</cp:lastModifiedBy>
  <dcterms:modified xsi:type="dcterms:W3CDTF">2024-12-20T06:45:02Z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0CC0092E7BD04AFF9777D1646D883F06_11</vt:lpwstr>
  </property>
</Properties>
</file>