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71205">
      <w:pPr>
        <w:wordWrap w:val="0"/>
        <w:topLinePunct/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巩义市民政局凤凰山山体植被恢复建设项目</w:t>
      </w:r>
    </w:p>
    <w:p w14:paraId="4E37BAD9">
      <w:pPr>
        <w:wordWrap w:val="0"/>
        <w:topLinePunct/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排序表</w:t>
      </w:r>
    </w:p>
    <w:p w14:paraId="29A642ED">
      <w:pPr>
        <w:tabs>
          <w:tab w:val="left" w:pos="1800"/>
        </w:tabs>
        <w:spacing w:line="440" w:lineRule="exact"/>
        <w:rPr>
          <w:rFonts w:hint="eastAsia" w:ascii="宋体" w:hAnsi="宋体"/>
          <w:b/>
          <w:bCs/>
          <w:color w:val="auto"/>
          <w:sz w:val="24"/>
          <w:lang w:val="en-US" w:eastAsia="zh-CN"/>
        </w:rPr>
      </w:pPr>
    </w:p>
    <w:p w14:paraId="2765733B">
      <w:pPr>
        <w:tabs>
          <w:tab w:val="left" w:pos="1800"/>
        </w:tabs>
        <w:spacing w:line="440" w:lineRule="exact"/>
        <w:ind w:firstLine="482" w:firstLineChars="200"/>
        <w:rPr>
          <w:rFonts w:hint="eastAsia" w:ascii="宋体" w:hAnsi="宋体"/>
          <w:b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一标段：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谈判小组对所有响应文件进行了初步评审。经审核，河南伟之祥建筑工程有限公司缺少项目经理劳动合同、河南畅春园林绿化有限公司项目配备人员证件未继续教育，不符合第三章评审办法二、2.2 符合性审查标准响应文件格式的要求，不通过初步评审，剩余 5 家供应商均满足要求，</w:t>
      </w:r>
      <w:r>
        <w:rPr>
          <w:rFonts w:hint="eastAsia" w:ascii="宋体" w:hAnsi="宋体"/>
          <w:color w:val="000000"/>
          <w:sz w:val="24"/>
          <w:lang w:eastAsia="zh-CN"/>
        </w:rPr>
        <w:t>最终通过审查的供应商报价及排名情况如下：</w:t>
      </w:r>
    </w:p>
    <w:tbl>
      <w:tblPr>
        <w:tblStyle w:val="9"/>
        <w:tblpPr w:leftFromText="180" w:rightFromText="180" w:vertAnchor="text" w:tblpXSpec="center" w:tblpY="94"/>
        <w:tblOverlap w:val="never"/>
        <w:tblW w:w="6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83"/>
        <w:gridCol w:w="1675"/>
        <w:gridCol w:w="815"/>
      </w:tblGrid>
      <w:tr w14:paraId="3C24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2EAADC1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83" w:type="dxa"/>
            <w:vAlign w:val="center"/>
          </w:tcPr>
          <w:p w14:paraId="4AB47A8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675" w:type="dxa"/>
            <w:vAlign w:val="center"/>
          </w:tcPr>
          <w:p w14:paraId="098BBEF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最终投标报价（元）</w:t>
            </w:r>
          </w:p>
        </w:tc>
        <w:tc>
          <w:tcPr>
            <w:tcW w:w="815" w:type="dxa"/>
            <w:vAlign w:val="center"/>
          </w:tcPr>
          <w:p w14:paraId="0CC9643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排序</w:t>
            </w:r>
          </w:p>
        </w:tc>
      </w:tr>
      <w:tr w14:paraId="0F8D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60244B4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3" w:type="dxa"/>
            <w:vAlign w:val="center"/>
          </w:tcPr>
          <w:p w14:paraId="300AE862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河南吉恒园林工程有限公司 </w:t>
            </w:r>
          </w:p>
        </w:tc>
        <w:tc>
          <w:tcPr>
            <w:tcW w:w="1675" w:type="dxa"/>
            <w:vAlign w:val="center"/>
          </w:tcPr>
          <w:p w14:paraId="6052AE1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475000.00  </w:t>
            </w:r>
          </w:p>
        </w:tc>
        <w:tc>
          <w:tcPr>
            <w:tcW w:w="815" w:type="dxa"/>
            <w:vAlign w:val="center"/>
          </w:tcPr>
          <w:p w14:paraId="1B46C19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</w:tr>
      <w:tr w14:paraId="1724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6081136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3" w:type="dxa"/>
            <w:vAlign w:val="center"/>
          </w:tcPr>
          <w:p w14:paraId="482A76F3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河南煌坤建设工程有限公司 </w:t>
            </w:r>
          </w:p>
        </w:tc>
        <w:tc>
          <w:tcPr>
            <w:tcW w:w="1675" w:type="dxa"/>
            <w:vAlign w:val="center"/>
          </w:tcPr>
          <w:p w14:paraId="60ACE14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516000.00 </w:t>
            </w:r>
          </w:p>
        </w:tc>
        <w:tc>
          <w:tcPr>
            <w:tcW w:w="815" w:type="dxa"/>
            <w:vAlign w:val="center"/>
          </w:tcPr>
          <w:p w14:paraId="6A639D6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64F4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30633C8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3" w:type="dxa"/>
            <w:vAlign w:val="center"/>
          </w:tcPr>
          <w:p w14:paraId="1B850659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京誉生态建设有限公司 </w:t>
            </w:r>
          </w:p>
        </w:tc>
        <w:tc>
          <w:tcPr>
            <w:tcW w:w="1675" w:type="dxa"/>
            <w:vAlign w:val="center"/>
          </w:tcPr>
          <w:p w14:paraId="4EA4D04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540000.00 </w:t>
            </w:r>
          </w:p>
        </w:tc>
        <w:tc>
          <w:tcPr>
            <w:tcW w:w="815" w:type="dxa"/>
            <w:vAlign w:val="center"/>
          </w:tcPr>
          <w:p w14:paraId="20DA061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</w:tr>
      <w:tr w14:paraId="4772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038B53E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83" w:type="dxa"/>
            <w:vAlign w:val="center"/>
          </w:tcPr>
          <w:p w14:paraId="6B337888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河南锐达诚建设工程有限公司</w:t>
            </w:r>
          </w:p>
        </w:tc>
        <w:tc>
          <w:tcPr>
            <w:tcW w:w="1675" w:type="dxa"/>
            <w:vAlign w:val="center"/>
          </w:tcPr>
          <w:p w14:paraId="5567F62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556723.12 </w:t>
            </w:r>
          </w:p>
        </w:tc>
        <w:tc>
          <w:tcPr>
            <w:tcW w:w="815" w:type="dxa"/>
            <w:vAlign w:val="center"/>
          </w:tcPr>
          <w:p w14:paraId="57FCA9D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</w:tr>
      <w:tr w14:paraId="5401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6483386E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83" w:type="dxa"/>
            <w:vAlign w:val="center"/>
          </w:tcPr>
          <w:p w14:paraId="511B2087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河南科本市政工程有限公司 </w:t>
            </w:r>
          </w:p>
        </w:tc>
        <w:tc>
          <w:tcPr>
            <w:tcW w:w="1675" w:type="dxa"/>
            <w:vAlign w:val="center"/>
          </w:tcPr>
          <w:p w14:paraId="2DAA138F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557937.01 </w:t>
            </w:r>
          </w:p>
        </w:tc>
        <w:tc>
          <w:tcPr>
            <w:tcW w:w="815" w:type="dxa"/>
            <w:vAlign w:val="center"/>
          </w:tcPr>
          <w:p w14:paraId="202D6B81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5</w:t>
            </w:r>
          </w:p>
        </w:tc>
      </w:tr>
    </w:tbl>
    <w:p w14:paraId="159FB221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ascii="宋体" w:hAnsi="宋体" w:eastAsia="宋体"/>
          <w:b/>
          <w:color w:val="auto"/>
          <w:spacing w:val="-8"/>
          <w:sz w:val="24"/>
          <w:lang w:eastAsia="zh-CN"/>
        </w:rPr>
      </w:pPr>
      <w:r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  <w:t>2.</w:t>
      </w:r>
      <w:r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  <w:t>中标</w:t>
      </w:r>
      <w:r>
        <w:rPr>
          <w:rFonts w:hint="eastAsia" w:ascii="宋体" w:hAnsi="宋体"/>
          <w:b w:val="0"/>
          <w:bCs/>
          <w:color w:val="auto"/>
          <w:spacing w:val="-8"/>
          <w:sz w:val="24"/>
        </w:rPr>
        <w:t>候选人</w:t>
      </w:r>
    </w:p>
    <w:p w14:paraId="44D98F87"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第一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 xml:space="preserve">河南吉恒园林工程有限公司  </w:t>
      </w:r>
    </w:p>
    <w:p w14:paraId="27794E12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第二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河南煌坤建设工程有限公司</w:t>
      </w:r>
    </w:p>
    <w:p w14:paraId="3EBC1196">
      <w:pPr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第三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 xml:space="preserve">京誉生态建设有限公司 </w:t>
      </w:r>
    </w:p>
    <w:p w14:paraId="33146973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 w14:paraId="61B917E0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6E7EF49B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691C6925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B3CFD95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1AEEE36D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0C8A3EC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353DAE6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1036487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D63C9C0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/>
          <w:b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二标段：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谈判小组对所有响应文件进行了初步评审。经审核，河南畅春园林绿化有限公司项目配备人员证件未继续教育，不符合第三章评审办法二、2.2 符合性审查标准响应文件格式的要求，不通过初步评审，剩余 5 家供应商均满足要求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，</w:t>
      </w:r>
      <w:r>
        <w:rPr>
          <w:rFonts w:hint="eastAsia" w:ascii="宋体" w:hAnsi="宋体"/>
          <w:color w:val="000000"/>
          <w:sz w:val="24"/>
          <w:lang w:eastAsia="zh-CN"/>
        </w:rPr>
        <w:t>最终通过审查的供应商报价及排名情况如下：</w:t>
      </w:r>
    </w:p>
    <w:tbl>
      <w:tblPr>
        <w:tblStyle w:val="9"/>
        <w:tblpPr w:leftFromText="180" w:rightFromText="180" w:vertAnchor="text" w:tblpXSpec="center" w:tblpY="94"/>
        <w:tblOverlap w:val="never"/>
        <w:tblW w:w="6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83"/>
        <w:gridCol w:w="1675"/>
        <w:gridCol w:w="815"/>
      </w:tblGrid>
      <w:tr w14:paraId="6BE5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5FA37510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83" w:type="dxa"/>
            <w:vAlign w:val="center"/>
          </w:tcPr>
          <w:p w14:paraId="24C5F611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675" w:type="dxa"/>
            <w:vAlign w:val="center"/>
          </w:tcPr>
          <w:p w14:paraId="0AFC6F9E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最终投标报价（元）</w:t>
            </w:r>
          </w:p>
        </w:tc>
        <w:tc>
          <w:tcPr>
            <w:tcW w:w="815" w:type="dxa"/>
            <w:vAlign w:val="center"/>
          </w:tcPr>
          <w:p w14:paraId="561F17A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排序</w:t>
            </w:r>
          </w:p>
        </w:tc>
      </w:tr>
      <w:tr w14:paraId="1D21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4D3F2F2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3" w:type="dxa"/>
            <w:vAlign w:val="center"/>
          </w:tcPr>
          <w:p w14:paraId="3A60D31B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河南吉恒园林工程有限公司 </w:t>
            </w:r>
          </w:p>
        </w:tc>
        <w:tc>
          <w:tcPr>
            <w:tcW w:w="1675" w:type="dxa"/>
            <w:vAlign w:val="center"/>
          </w:tcPr>
          <w:p w14:paraId="0BF1F52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635700.00  </w:t>
            </w:r>
          </w:p>
        </w:tc>
        <w:tc>
          <w:tcPr>
            <w:tcW w:w="815" w:type="dxa"/>
            <w:vAlign w:val="center"/>
          </w:tcPr>
          <w:p w14:paraId="5DA320E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</w:tr>
      <w:tr w14:paraId="23659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7525ABB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3" w:type="dxa"/>
            <w:vAlign w:val="center"/>
          </w:tcPr>
          <w:p w14:paraId="5657051D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河南筑方建设工程有限公司</w:t>
            </w:r>
          </w:p>
        </w:tc>
        <w:tc>
          <w:tcPr>
            <w:tcW w:w="1675" w:type="dxa"/>
            <w:vAlign w:val="center"/>
          </w:tcPr>
          <w:p w14:paraId="07D5582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776000.00 </w:t>
            </w:r>
          </w:p>
        </w:tc>
        <w:tc>
          <w:tcPr>
            <w:tcW w:w="815" w:type="dxa"/>
            <w:vAlign w:val="center"/>
          </w:tcPr>
          <w:p w14:paraId="689BD34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120B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3CD621C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3" w:type="dxa"/>
            <w:vAlign w:val="center"/>
          </w:tcPr>
          <w:p w14:paraId="5E1BE488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河南中朔建设有限公司</w:t>
            </w:r>
          </w:p>
        </w:tc>
        <w:tc>
          <w:tcPr>
            <w:tcW w:w="1675" w:type="dxa"/>
            <w:vAlign w:val="center"/>
          </w:tcPr>
          <w:p w14:paraId="0F9D6A6E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817350.99  </w:t>
            </w:r>
          </w:p>
        </w:tc>
        <w:tc>
          <w:tcPr>
            <w:tcW w:w="815" w:type="dxa"/>
            <w:vAlign w:val="center"/>
          </w:tcPr>
          <w:p w14:paraId="0EB92B5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</w:tr>
      <w:tr w14:paraId="7DCE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03C62E1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83" w:type="dxa"/>
            <w:vAlign w:val="center"/>
          </w:tcPr>
          <w:p w14:paraId="327B60D4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河南新岳建设工程有限公司</w:t>
            </w:r>
          </w:p>
        </w:tc>
        <w:tc>
          <w:tcPr>
            <w:tcW w:w="1675" w:type="dxa"/>
            <w:vAlign w:val="center"/>
          </w:tcPr>
          <w:p w14:paraId="16F5BE9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819600.00 </w:t>
            </w:r>
          </w:p>
        </w:tc>
        <w:tc>
          <w:tcPr>
            <w:tcW w:w="815" w:type="dxa"/>
            <w:vAlign w:val="center"/>
          </w:tcPr>
          <w:p w14:paraId="1E1C548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</w:tr>
      <w:tr w14:paraId="2AC77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519EA81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83" w:type="dxa"/>
            <w:vAlign w:val="center"/>
          </w:tcPr>
          <w:p w14:paraId="793E1883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河南科本市政工程有限公司 </w:t>
            </w:r>
          </w:p>
        </w:tc>
        <w:tc>
          <w:tcPr>
            <w:tcW w:w="1675" w:type="dxa"/>
            <w:vAlign w:val="center"/>
          </w:tcPr>
          <w:p w14:paraId="2AE11730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835008.94</w:t>
            </w:r>
          </w:p>
        </w:tc>
        <w:tc>
          <w:tcPr>
            <w:tcW w:w="815" w:type="dxa"/>
            <w:vAlign w:val="center"/>
          </w:tcPr>
          <w:p w14:paraId="004D18B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5</w:t>
            </w:r>
          </w:p>
        </w:tc>
      </w:tr>
    </w:tbl>
    <w:p w14:paraId="44205B27">
      <w:pPr>
        <w:numPr>
          <w:numId w:val="0"/>
        </w:numPr>
        <w:tabs>
          <w:tab w:val="left" w:pos="366"/>
          <w:tab w:val="left" w:pos="1800"/>
        </w:tabs>
        <w:spacing w:line="480" w:lineRule="exact"/>
        <w:outlineLvl w:val="0"/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</w:pPr>
    </w:p>
    <w:p w14:paraId="22528C83">
      <w:pPr>
        <w:numPr>
          <w:numId w:val="0"/>
        </w:numPr>
        <w:tabs>
          <w:tab w:val="left" w:pos="366"/>
          <w:tab w:val="left" w:pos="1800"/>
        </w:tabs>
        <w:spacing w:line="480" w:lineRule="exact"/>
        <w:outlineLvl w:val="0"/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</w:pPr>
    </w:p>
    <w:p w14:paraId="05A51938">
      <w:pPr>
        <w:numPr>
          <w:numId w:val="0"/>
        </w:numPr>
        <w:tabs>
          <w:tab w:val="left" w:pos="366"/>
          <w:tab w:val="left" w:pos="1800"/>
        </w:tabs>
        <w:spacing w:line="480" w:lineRule="exact"/>
        <w:outlineLvl w:val="0"/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</w:pPr>
    </w:p>
    <w:p w14:paraId="340FB0D5">
      <w:pPr>
        <w:numPr>
          <w:numId w:val="0"/>
        </w:numPr>
        <w:tabs>
          <w:tab w:val="left" w:pos="366"/>
          <w:tab w:val="left" w:pos="1800"/>
        </w:tabs>
        <w:spacing w:line="480" w:lineRule="exact"/>
        <w:outlineLvl w:val="0"/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</w:pPr>
    </w:p>
    <w:p w14:paraId="7D69C84E">
      <w:pPr>
        <w:numPr>
          <w:numId w:val="0"/>
        </w:numPr>
        <w:tabs>
          <w:tab w:val="left" w:pos="366"/>
          <w:tab w:val="left" w:pos="1800"/>
        </w:tabs>
        <w:spacing w:line="480" w:lineRule="exact"/>
        <w:outlineLvl w:val="0"/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</w:pPr>
    </w:p>
    <w:p w14:paraId="71F325A9">
      <w:pPr>
        <w:numPr>
          <w:numId w:val="0"/>
        </w:numPr>
        <w:tabs>
          <w:tab w:val="left" w:pos="366"/>
          <w:tab w:val="left" w:pos="1800"/>
        </w:tabs>
        <w:spacing w:line="480" w:lineRule="exact"/>
        <w:outlineLvl w:val="0"/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</w:pPr>
    </w:p>
    <w:p w14:paraId="387D3980">
      <w:pPr>
        <w:numPr>
          <w:numId w:val="0"/>
        </w:numPr>
        <w:tabs>
          <w:tab w:val="left" w:pos="366"/>
          <w:tab w:val="left" w:pos="1800"/>
        </w:tabs>
        <w:spacing w:line="480" w:lineRule="exact"/>
        <w:outlineLvl w:val="0"/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</w:pPr>
    </w:p>
    <w:p w14:paraId="6A02977F">
      <w:pPr>
        <w:numPr>
          <w:numId w:val="0"/>
        </w:numPr>
        <w:tabs>
          <w:tab w:val="left" w:pos="366"/>
          <w:tab w:val="left" w:pos="1800"/>
        </w:tabs>
        <w:spacing w:line="480" w:lineRule="exact"/>
        <w:outlineLvl w:val="0"/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</w:pPr>
    </w:p>
    <w:p w14:paraId="2F866E3A">
      <w:pPr>
        <w:numPr>
          <w:numId w:val="0"/>
        </w:num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eastAsia="宋体"/>
          <w:lang w:eastAsia="zh-CN"/>
        </w:rPr>
      </w:pPr>
      <w:r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  <w:t>中标</w:t>
      </w:r>
      <w:r>
        <w:rPr>
          <w:rFonts w:hint="eastAsia" w:ascii="宋体" w:hAnsi="宋体"/>
          <w:b w:val="0"/>
          <w:bCs/>
          <w:color w:val="auto"/>
          <w:spacing w:val="-8"/>
          <w:sz w:val="24"/>
        </w:rPr>
        <w:t>候选人</w:t>
      </w:r>
      <w:r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  <w:t>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  <w:t>因河南吉恒园林工程有限公司为第一标段第一中标候选人，根据招标文件第二章供应商须知前附表第 1.2.3 项要求，投标人只能中一个标段，如同一公司在两个标段排名第一，按照从第一到第二标段的顺序确定第一名，所以本标段推荐中标人顺序如下：</w:t>
      </w:r>
      <w:bookmarkStart w:id="0" w:name="_GoBack"/>
      <w:bookmarkEnd w:id="0"/>
    </w:p>
    <w:p w14:paraId="1DDDDC92"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第一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 xml:space="preserve">河南筑方建设工程有限公司  </w:t>
      </w:r>
    </w:p>
    <w:p w14:paraId="3AC79172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第二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河南中朔建设有限公司</w:t>
      </w:r>
    </w:p>
    <w:p w14:paraId="1B4AFB54">
      <w:pPr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第三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 xml:space="preserve">河南新岳建设工程有限公司 </w:t>
      </w:r>
    </w:p>
    <w:p w14:paraId="3069781D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DZiMGExNDZjODZjOGMwNTkxZjc4Mzk3NTNjNDUifQ=="/>
  </w:docVars>
  <w:rsids>
    <w:rsidRoot w:val="102B5C60"/>
    <w:rsid w:val="010A0E64"/>
    <w:rsid w:val="02076F1C"/>
    <w:rsid w:val="025D250C"/>
    <w:rsid w:val="0B6C5E87"/>
    <w:rsid w:val="0B725406"/>
    <w:rsid w:val="0C7071E4"/>
    <w:rsid w:val="102B5C60"/>
    <w:rsid w:val="13950B66"/>
    <w:rsid w:val="14B04F20"/>
    <w:rsid w:val="15EE3555"/>
    <w:rsid w:val="1D0D1432"/>
    <w:rsid w:val="1F3225AD"/>
    <w:rsid w:val="2DE2434A"/>
    <w:rsid w:val="2E913546"/>
    <w:rsid w:val="30BB0AEF"/>
    <w:rsid w:val="30C54B24"/>
    <w:rsid w:val="3406680D"/>
    <w:rsid w:val="391D4354"/>
    <w:rsid w:val="41FA709D"/>
    <w:rsid w:val="42885319"/>
    <w:rsid w:val="437F4BFE"/>
    <w:rsid w:val="47672D93"/>
    <w:rsid w:val="4A231F5B"/>
    <w:rsid w:val="4C1C2604"/>
    <w:rsid w:val="4DA7500B"/>
    <w:rsid w:val="4E860C0A"/>
    <w:rsid w:val="50EC48E0"/>
    <w:rsid w:val="5B8F417D"/>
    <w:rsid w:val="5BCF0251"/>
    <w:rsid w:val="5BE30367"/>
    <w:rsid w:val="61E575C5"/>
    <w:rsid w:val="653D6B73"/>
    <w:rsid w:val="6A3F1482"/>
    <w:rsid w:val="6D5C528B"/>
    <w:rsid w:val="6F525DFE"/>
    <w:rsid w:val="73915243"/>
    <w:rsid w:val="73D63083"/>
    <w:rsid w:val="79D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3"/>
    <w:qFormat/>
    <w:uiPriority w:val="1"/>
    <w:pPr>
      <w:spacing w:line="400" w:lineRule="exact"/>
    </w:pPr>
    <w:rPr>
      <w:sz w:val="24"/>
    </w:rPr>
  </w:style>
  <w:style w:type="paragraph" w:customStyle="1" w:styleId="3">
    <w:name w:val="正文（首行缩进） Char"/>
    <w:basedOn w:val="1"/>
    <w:next w:val="4"/>
    <w:qFormat/>
    <w:uiPriority w:val="0"/>
    <w:pPr>
      <w:spacing w:line="360" w:lineRule="auto"/>
      <w:ind w:firstLine="480"/>
    </w:pPr>
    <w:rPr>
      <w:rFonts w:ascii="Arial"/>
      <w:color w:val="000000"/>
      <w:sz w:val="24"/>
    </w:rPr>
  </w:style>
  <w:style w:type="paragraph" w:customStyle="1" w:styleId="4">
    <w:name w:val="2号黑体加粗"/>
    <w:basedOn w:val="1"/>
    <w:next w:val="5"/>
    <w:qFormat/>
    <w:uiPriority w:val="0"/>
    <w:pPr>
      <w:jc w:val="center"/>
    </w:pPr>
    <w:rPr>
      <w:rFonts w:eastAsia="黑体"/>
      <w:b/>
      <w:sz w:val="44"/>
    </w:rPr>
  </w:style>
  <w:style w:type="paragraph" w:customStyle="1" w:styleId="5">
    <w:name w:val="表格文字"/>
    <w:basedOn w:val="1"/>
    <w:next w:val="1"/>
    <w:qFormat/>
    <w:uiPriority w:val="0"/>
    <w:pPr>
      <w:spacing w:line="420" w:lineRule="atLeast"/>
    </w:pPr>
  </w:style>
  <w:style w:type="paragraph" w:styleId="6">
    <w:name w:val="toc 1"/>
    <w:basedOn w:val="1"/>
    <w:next w:val="1"/>
    <w:qFormat/>
    <w:uiPriority w:val="39"/>
  </w:style>
  <w:style w:type="paragraph" w:styleId="7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  <w:rPr>
      <w:b/>
      <w:bCs/>
    </w:rPr>
  </w:style>
  <w:style w:type="character" w:styleId="14">
    <w:name w:val="HTML Definition"/>
    <w:basedOn w:val="10"/>
    <w:qFormat/>
    <w:uiPriority w:val="0"/>
    <w:rPr>
      <w:vanish/>
    </w:rPr>
  </w:style>
  <w:style w:type="character" w:styleId="15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qFormat/>
    <w:uiPriority w:val="0"/>
    <w:rPr>
      <w:rFonts w:ascii="ActionIcon ! important" w:hAnsi="ActionIcon ! important" w:eastAsia="ActionIcon ! important" w:cs="ActionIcon ! important"/>
      <w:vanish/>
      <w:color w:val="3D4B62"/>
      <w:sz w:val="24"/>
      <w:szCs w:val="24"/>
      <w:bdr w:val="single" w:color="D6D6D6" w:sz="2" w:space="0"/>
      <w:shd w:val="clear" w:fill="FFFFFF"/>
    </w:rPr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bdr w:val="single" w:color="F1F1F1" w:sz="6" w:space="0"/>
      <w:shd w:val="clear" w:fill="F1F1F1"/>
    </w:rPr>
  </w:style>
  <w:style w:type="character" w:customStyle="1" w:styleId="23">
    <w:name w:val="toolbarlabel2"/>
    <w:basedOn w:val="10"/>
    <w:qFormat/>
    <w:uiPriority w:val="0"/>
  </w:style>
  <w:style w:type="character" w:customStyle="1" w:styleId="24">
    <w:name w:val="toolbarlabel"/>
    <w:basedOn w:val="10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298</Characters>
  <Lines>0</Lines>
  <Paragraphs>0</Paragraphs>
  <TotalTime>8</TotalTime>
  <ScaleCrop>false</ScaleCrop>
  <LinksUpToDate>false</LinksUpToDate>
  <CharactersWithSpaces>306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2021-09-27T06:26:00Z</dcterms:created>
  <dc:creator>NTKO</dc:creator>
  <cp:lastModifiedBy>Administrator</cp:lastModifiedBy>
  <dcterms:modified xsi:type="dcterms:W3CDTF">2025-03-11T08:23:34Z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0CD3D0CE37D940749A730B0E5373820A</vt:lpwstr>
  </property>
</Properties>
</file>