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E3D99">
      <w:pPr>
        <w:jc w:val="both"/>
        <w:rPr>
          <w:rFonts w:hint="eastAsia"/>
          <w:sz w:val="28"/>
          <w:szCs w:val="28"/>
          <w:lang w:val="en-US" w:eastAsia="zh-CN"/>
        </w:rPr>
      </w:pPr>
      <w:r>
        <w:rPr>
          <w:rFonts w:hint="eastAsia" w:ascii="宋体" w:hAnsi="宋体" w:eastAsia="宋体" w:cs="宋体"/>
          <w:color w:val="auto"/>
          <w:sz w:val="32"/>
          <w:szCs w:val="32"/>
        </w:rPr>
        <w:t>合同编号</w:t>
      </w:r>
      <w:r>
        <w:rPr>
          <w:rFonts w:hint="eastAsia" w:ascii="宋体" w:hAnsi="宋体" w:cs="宋体"/>
          <w:color w:val="auto"/>
          <w:sz w:val="32"/>
          <w:szCs w:val="32"/>
          <w:lang w:eastAsia="zh-CN"/>
        </w:rPr>
        <w:t>：</w:t>
      </w:r>
      <w:r>
        <w:rPr>
          <w:rFonts w:hint="eastAsia" w:ascii="宋体" w:hAnsi="宋体" w:eastAsia="宋体" w:cs="宋体"/>
          <w:color w:val="auto"/>
          <w:sz w:val="32"/>
          <w:szCs w:val="32"/>
          <w:lang w:val="en-US" w:eastAsia="zh-CN"/>
        </w:rPr>
        <w:t>豫财磋商采购-2025-17</w:t>
      </w:r>
    </w:p>
    <w:p w14:paraId="05592AE3">
      <w:pPr>
        <w:rPr>
          <w:rFonts w:hint="eastAsia" w:ascii="宋体" w:hAnsi="宋体" w:eastAsia="宋体" w:cs="宋体"/>
          <w:color w:val="auto"/>
          <w:sz w:val="32"/>
          <w:szCs w:val="32"/>
        </w:rPr>
      </w:pPr>
    </w:p>
    <w:p w14:paraId="1C1EBCB1">
      <w:pPr>
        <w:jc w:val="center"/>
        <w:rPr>
          <w:rFonts w:hint="eastAsia" w:ascii="宋体" w:hAnsi="宋体" w:eastAsia="宋体" w:cs="宋体"/>
          <w:color w:val="auto"/>
          <w:sz w:val="32"/>
          <w:szCs w:val="32"/>
        </w:rPr>
      </w:pPr>
    </w:p>
    <w:p w14:paraId="6239A1A6">
      <w:pPr>
        <w:jc w:val="center"/>
        <w:rPr>
          <w:rFonts w:hint="eastAsia" w:ascii="仿宋" w:hAnsi="仿宋" w:eastAsia="仿宋" w:cs="仿宋"/>
          <w:color w:val="auto"/>
          <w:sz w:val="52"/>
          <w:highlight w:val="none"/>
        </w:rPr>
      </w:pPr>
      <w:r>
        <w:rPr>
          <w:rFonts w:hint="eastAsia" w:ascii="仿宋" w:hAnsi="仿宋" w:eastAsia="仿宋" w:cs="仿宋"/>
          <w:color w:val="auto"/>
          <w:sz w:val="52"/>
          <w:highlight w:val="none"/>
        </w:rPr>
        <w:t>货物（设备）采购合同</w:t>
      </w:r>
    </w:p>
    <w:p w14:paraId="57FB44DB">
      <w:pPr>
        <w:jc w:val="center"/>
        <w:rPr>
          <w:rFonts w:hint="eastAsia" w:ascii="仿宋" w:hAnsi="仿宋" w:eastAsia="仿宋" w:cs="仿宋"/>
          <w:color w:val="auto"/>
          <w:sz w:val="36"/>
          <w:highlight w:val="none"/>
        </w:rPr>
      </w:pPr>
    </w:p>
    <w:p w14:paraId="5D8D6072">
      <w:pPr>
        <w:jc w:val="center"/>
        <w:rPr>
          <w:rFonts w:hint="eastAsia" w:ascii="仿宋" w:hAnsi="仿宋" w:eastAsia="仿宋" w:cs="仿宋"/>
          <w:color w:val="auto"/>
          <w:sz w:val="36"/>
          <w:highlight w:val="none"/>
        </w:rPr>
      </w:pPr>
    </w:p>
    <w:p w14:paraId="13B9DBEB">
      <w:pPr>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lang w:val="en-US" w:eastAsia="zh-CN"/>
        </w:rPr>
        <w:t xml:space="preserve">     </w:t>
      </w:r>
      <w:r>
        <w:rPr>
          <w:rFonts w:hint="eastAsia" w:ascii="仿宋" w:hAnsi="仿宋" w:eastAsia="仿宋" w:cs="仿宋"/>
          <w:color w:val="auto"/>
          <w:sz w:val="36"/>
          <w:highlight w:val="none"/>
        </w:rPr>
        <w:t>项目名称：河南大学抗体药物实验室抗体药物靶点筛选技术平台设备补充更新项目</w:t>
      </w:r>
    </w:p>
    <w:p w14:paraId="5C368C6D">
      <w:pPr>
        <w:jc w:val="center"/>
        <w:rPr>
          <w:rFonts w:hint="eastAsia" w:ascii="仿宋" w:hAnsi="仿宋" w:eastAsia="仿宋" w:cs="仿宋"/>
          <w:color w:val="auto"/>
          <w:sz w:val="36"/>
          <w:highlight w:val="none"/>
        </w:rPr>
      </w:pPr>
    </w:p>
    <w:p w14:paraId="33B62B6F">
      <w:pPr>
        <w:ind w:firstLine="720" w:firstLineChars="200"/>
        <w:jc w:val="both"/>
        <w:rPr>
          <w:rFonts w:hint="eastAsia" w:ascii="仿宋" w:hAnsi="仿宋" w:eastAsia="仿宋" w:cs="仿宋"/>
          <w:color w:val="auto"/>
          <w:sz w:val="36"/>
          <w:highlight w:val="none"/>
        </w:rPr>
      </w:pPr>
      <w:r>
        <w:rPr>
          <w:rFonts w:hint="eastAsia" w:ascii="仿宋" w:hAnsi="仿宋" w:eastAsia="仿宋" w:cs="仿宋"/>
          <w:color w:val="auto"/>
          <w:sz w:val="36"/>
          <w:highlight w:val="none"/>
        </w:rPr>
        <w:t>买方（甲方）：</w:t>
      </w:r>
      <w:r>
        <w:rPr>
          <w:rFonts w:hint="eastAsia" w:ascii="仿宋" w:hAnsi="仿宋" w:eastAsia="仿宋" w:cs="仿宋"/>
          <w:color w:val="auto"/>
          <w:sz w:val="36"/>
          <w:highlight w:val="none"/>
          <w:lang w:val="en-US" w:eastAsia="zh-CN"/>
        </w:rPr>
        <w:t>河南大学</w:t>
      </w:r>
    </w:p>
    <w:p w14:paraId="6EAD0222">
      <w:pPr>
        <w:jc w:val="center"/>
        <w:rPr>
          <w:rFonts w:hint="eastAsia" w:ascii="仿宋" w:hAnsi="仿宋" w:eastAsia="仿宋" w:cs="仿宋"/>
          <w:color w:val="auto"/>
          <w:sz w:val="36"/>
          <w:highlight w:val="none"/>
        </w:rPr>
      </w:pPr>
    </w:p>
    <w:p w14:paraId="4F9D7661">
      <w:pPr>
        <w:ind w:firstLine="720" w:firstLineChars="200"/>
        <w:jc w:val="both"/>
        <w:rPr>
          <w:rFonts w:hint="eastAsia" w:ascii="仿宋" w:hAnsi="仿宋" w:eastAsia="仿宋" w:cs="仿宋"/>
          <w:color w:val="auto"/>
          <w:sz w:val="36"/>
          <w:highlight w:val="none"/>
          <w:lang w:val="en-US" w:eastAsia="zh-CN"/>
        </w:rPr>
      </w:pPr>
      <w:r>
        <w:rPr>
          <w:rFonts w:hint="eastAsia" w:ascii="仿宋" w:hAnsi="仿宋" w:eastAsia="仿宋" w:cs="仿宋"/>
          <w:color w:val="auto"/>
          <w:sz w:val="36"/>
          <w:highlight w:val="none"/>
        </w:rPr>
        <w:t>卖方（乙方）：</w:t>
      </w:r>
      <w:r>
        <w:rPr>
          <w:rFonts w:hint="eastAsia" w:ascii="仿宋" w:hAnsi="仿宋" w:eastAsia="仿宋" w:cs="仿宋"/>
          <w:color w:val="auto"/>
          <w:sz w:val="36"/>
          <w:highlight w:val="none"/>
          <w:lang w:val="en-US" w:eastAsia="zh-CN"/>
        </w:rPr>
        <w:t>河南同创实业有限公司</w:t>
      </w:r>
    </w:p>
    <w:p w14:paraId="1333BF25">
      <w:pPr>
        <w:jc w:val="center"/>
        <w:rPr>
          <w:rFonts w:hint="eastAsia" w:ascii="仿宋" w:hAnsi="仿宋" w:eastAsia="仿宋" w:cs="仿宋"/>
          <w:color w:val="auto"/>
          <w:sz w:val="36"/>
          <w:highlight w:val="none"/>
        </w:rPr>
      </w:pPr>
    </w:p>
    <w:p w14:paraId="7BF05126">
      <w:pPr>
        <w:ind w:firstLine="720" w:firstLineChars="200"/>
        <w:jc w:val="both"/>
        <w:rPr>
          <w:rFonts w:hint="eastAsia" w:ascii="仿宋" w:hAnsi="仿宋" w:eastAsia="仿宋" w:cs="仿宋"/>
          <w:color w:val="auto"/>
          <w:sz w:val="36"/>
          <w:highlight w:val="none"/>
          <w:lang w:val="en-US" w:eastAsia="zh-CN"/>
        </w:rPr>
      </w:pPr>
      <w:r>
        <w:rPr>
          <w:rFonts w:hint="eastAsia" w:ascii="仿宋" w:hAnsi="仿宋" w:eastAsia="仿宋" w:cs="仿宋"/>
          <w:color w:val="auto"/>
          <w:sz w:val="36"/>
          <w:highlight w:val="none"/>
        </w:rPr>
        <w:t>签订时间：</w:t>
      </w:r>
      <w:r>
        <w:rPr>
          <w:rFonts w:hint="eastAsia" w:ascii="仿宋" w:hAnsi="仿宋" w:eastAsia="仿宋" w:cs="仿宋"/>
          <w:color w:val="auto"/>
          <w:sz w:val="36"/>
          <w:highlight w:val="none"/>
          <w:lang w:val="en-US" w:eastAsia="zh-CN"/>
        </w:rPr>
        <w:t>2025年3月3日</w:t>
      </w:r>
    </w:p>
    <w:p w14:paraId="005C9E77">
      <w:pPr>
        <w:jc w:val="center"/>
        <w:rPr>
          <w:rFonts w:hint="eastAsia" w:ascii="仿宋" w:hAnsi="仿宋" w:eastAsia="仿宋" w:cs="仿宋"/>
          <w:color w:val="auto"/>
          <w:sz w:val="36"/>
          <w:highlight w:val="none"/>
        </w:rPr>
      </w:pPr>
    </w:p>
    <w:p w14:paraId="0A920370">
      <w:pPr>
        <w:ind w:firstLine="720" w:firstLineChars="200"/>
        <w:jc w:val="both"/>
        <w:rPr>
          <w:rFonts w:hint="eastAsia" w:ascii="仿宋" w:hAnsi="仿宋" w:eastAsia="仿宋" w:cs="仿宋"/>
          <w:color w:val="auto"/>
          <w:sz w:val="36"/>
          <w:highlight w:val="none"/>
          <w:lang w:val="en-US" w:eastAsia="zh-CN"/>
        </w:rPr>
      </w:pPr>
      <w:r>
        <w:rPr>
          <w:rFonts w:hint="eastAsia" w:ascii="仿宋" w:hAnsi="仿宋" w:eastAsia="仿宋" w:cs="仿宋"/>
          <w:color w:val="auto"/>
          <w:sz w:val="36"/>
          <w:highlight w:val="none"/>
        </w:rPr>
        <w:t>签订地点：</w:t>
      </w:r>
      <w:r>
        <w:rPr>
          <w:rFonts w:hint="eastAsia" w:ascii="仿宋" w:hAnsi="仿宋" w:eastAsia="仿宋" w:cs="仿宋"/>
          <w:color w:val="auto"/>
          <w:sz w:val="36"/>
          <w:highlight w:val="none"/>
          <w:lang w:val="en-US" w:eastAsia="zh-CN"/>
        </w:rPr>
        <w:t>河南开封</w:t>
      </w:r>
    </w:p>
    <w:p w14:paraId="429B23C3">
      <w:pPr>
        <w:jc w:val="center"/>
        <w:rPr>
          <w:rFonts w:hint="eastAsia" w:ascii="仿宋" w:hAnsi="仿宋" w:eastAsia="仿宋" w:cs="仿宋"/>
          <w:color w:val="auto"/>
          <w:sz w:val="36"/>
          <w:highlight w:val="none"/>
        </w:rPr>
      </w:pPr>
    </w:p>
    <w:p w14:paraId="40B298E7">
      <w:pPr>
        <w:ind w:firstLine="720" w:firstLineChars="200"/>
        <w:jc w:val="both"/>
        <w:rPr>
          <w:rFonts w:hint="default" w:ascii="仿宋" w:hAnsi="仿宋" w:eastAsia="仿宋" w:cs="仿宋"/>
          <w:color w:val="000000" w:themeColor="text1"/>
          <w:sz w:val="36"/>
          <w:highlight w:val="none"/>
          <w:lang w:val="en-US" w:eastAsia="zh-CN"/>
          <w14:textFill>
            <w14:solidFill>
              <w14:schemeClr w14:val="tx1"/>
            </w14:solidFill>
          </w14:textFill>
        </w:rPr>
      </w:pPr>
      <w:r>
        <w:rPr>
          <w:rFonts w:hint="eastAsia" w:ascii="仿宋" w:hAnsi="仿宋" w:eastAsia="仿宋" w:cs="仿宋"/>
          <w:color w:val="000000" w:themeColor="text1"/>
          <w:sz w:val="36"/>
          <w:highlight w:val="none"/>
          <w14:textFill>
            <w14:solidFill>
              <w14:schemeClr w14:val="tx1"/>
            </w14:solidFill>
          </w14:textFill>
        </w:rPr>
        <w:t>履约期限：</w:t>
      </w:r>
      <w:r>
        <w:rPr>
          <w:rFonts w:hint="eastAsia" w:ascii="仿宋" w:hAnsi="仿宋" w:eastAsia="仿宋" w:cs="仿宋"/>
          <w:color w:val="000000" w:themeColor="text1"/>
          <w:sz w:val="36"/>
          <w:highlight w:val="none"/>
          <w:lang w:val="en-US" w:eastAsia="zh-CN"/>
          <w14:textFill>
            <w14:solidFill>
              <w14:schemeClr w14:val="tx1"/>
            </w14:solidFill>
          </w14:textFill>
        </w:rPr>
        <w:t>3年</w:t>
      </w:r>
    </w:p>
    <w:p w14:paraId="6DFC93FC">
      <w:pPr>
        <w:jc w:val="both"/>
        <w:rPr>
          <w:rFonts w:hint="eastAsia" w:ascii="仿宋" w:hAnsi="仿宋" w:eastAsia="仿宋" w:cs="仿宋"/>
          <w:color w:val="auto"/>
          <w:sz w:val="30"/>
          <w:szCs w:val="30"/>
          <w:highlight w:val="none"/>
        </w:rPr>
      </w:pPr>
    </w:p>
    <w:p w14:paraId="44BF735A">
      <w:pPr>
        <w:ind w:firstLine="2400" w:firstLineChars="800"/>
        <w:jc w:val="both"/>
        <w:rPr>
          <w:rFonts w:hint="eastAsia" w:ascii="仿宋" w:hAnsi="仿宋" w:eastAsia="仿宋" w:cs="仿宋"/>
          <w:color w:val="auto"/>
          <w:sz w:val="30"/>
          <w:szCs w:val="30"/>
          <w:highlight w:val="none"/>
        </w:rPr>
      </w:pPr>
    </w:p>
    <w:p w14:paraId="144E8C41">
      <w:pPr>
        <w:ind w:firstLine="2400" w:firstLineChars="800"/>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河南大学招标办制</w:t>
      </w:r>
    </w:p>
    <w:p w14:paraId="49090A88">
      <w:pPr>
        <w:jc w:val="center"/>
        <w:rPr>
          <w:rFonts w:hint="eastAsia" w:ascii="宋体" w:hAnsi="宋体" w:eastAsia="宋体" w:cs="宋体"/>
          <w:b/>
          <w:bCs/>
          <w:color w:val="auto"/>
          <w:szCs w:val="21"/>
        </w:rPr>
        <w:sectPr>
          <w:headerReference r:id="rId3" w:type="default"/>
          <w:headerReference r:id="rId4" w:type="even"/>
          <w:footerReference r:id="rId5" w:type="even"/>
          <w:pgSz w:w="11906" w:h="16838"/>
          <w:pgMar w:top="1440" w:right="1800" w:bottom="1440" w:left="1800" w:header="851" w:footer="992" w:gutter="0"/>
          <w:cols w:space="720" w:num="1"/>
          <w:docGrid w:type="lines" w:linePitch="312" w:charSpace="0"/>
        </w:sectPr>
      </w:pPr>
    </w:p>
    <w:p w14:paraId="2BC2C8FC">
      <w:pPr>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货物（设备）采购合同</w:t>
      </w:r>
    </w:p>
    <w:p w14:paraId="5B12C5C2">
      <w:pPr>
        <w:ind w:right="90"/>
        <w:rPr>
          <w:rFonts w:hint="eastAsia" w:ascii="宋体" w:hAnsi="宋体" w:eastAsia="宋体" w:cs="宋体"/>
          <w:b/>
          <w:color w:val="auto"/>
          <w:sz w:val="28"/>
          <w:szCs w:val="28"/>
        </w:rPr>
      </w:pPr>
    </w:p>
    <w:p w14:paraId="5D95447A">
      <w:pPr>
        <w:ind w:right="90"/>
        <w:rPr>
          <w:rFonts w:hint="eastAsia" w:ascii="仿宋" w:hAnsi="仿宋" w:eastAsia="仿宋" w:cs="仿宋"/>
          <w:bCs/>
          <w:color w:val="auto"/>
          <w:sz w:val="28"/>
          <w:szCs w:val="28"/>
        </w:rPr>
      </w:pPr>
      <w:r>
        <w:rPr>
          <w:rFonts w:hint="eastAsia" w:ascii="仿宋" w:hAnsi="仿宋" w:eastAsia="仿宋" w:cs="仿宋"/>
          <w:b/>
          <w:color w:val="auto"/>
          <w:sz w:val="28"/>
          <w:szCs w:val="28"/>
        </w:rPr>
        <w:t xml:space="preserve">买方（甲方）：河南大学           </w:t>
      </w: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rPr>
        <w:t xml:space="preserve"> </w:t>
      </w:r>
      <w:r>
        <w:rPr>
          <w:rFonts w:hint="eastAsia" w:ascii="仿宋" w:hAnsi="仿宋" w:eastAsia="仿宋" w:cs="仿宋"/>
          <w:b/>
          <w:color w:val="auto"/>
          <w:sz w:val="28"/>
          <w:szCs w:val="28"/>
          <w:lang w:val="en-US" w:eastAsia="zh-CN"/>
        </w:rPr>
        <w:t xml:space="preserve"> </w:t>
      </w:r>
      <w:r>
        <w:rPr>
          <w:rFonts w:hint="eastAsia" w:ascii="仿宋" w:hAnsi="仿宋" w:eastAsia="仿宋" w:cs="仿宋"/>
          <w:color w:val="auto"/>
          <w:sz w:val="28"/>
          <w:szCs w:val="28"/>
        </w:rPr>
        <w:t>签订地点：</w:t>
      </w:r>
      <w:r>
        <w:rPr>
          <w:rFonts w:hint="eastAsia" w:ascii="仿宋" w:hAnsi="仿宋" w:eastAsia="仿宋" w:cs="仿宋"/>
          <w:color w:val="auto"/>
          <w:sz w:val="28"/>
          <w:szCs w:val="28"/>
          <w:lang w:val="en-US" w:eastAsia="zh-CN"/>
        </w:rPr>
        <w:t>河南开封</w:t>
      </w:r>
      <w:r>
        <w:rPr>
          <w:rFonts w:hint="eastAsia" w:ascii="仿宋" w:hAnsi="仿宋" w:eastAsia="仿宋" w:cs="仿宋"/>
          <w:color w:val="auto"/>
          <w:sz w:val="28"/>
          <w:szCs w:val="28"/>
        </w:rPr>
        <w:t xml:space="preserve">     </w:t>
      </w:r>
    </w:p>
    <w:p w14:paraId="4270E5AB">
      <w:pPr>
        <w:keepNext w:val="0"/>
        <w:keepLines w:val="0"/>
        <w:pageBreakBefore w:val="0"/>
        <w:widowControl w:val="0"/>
        <w:kinsoku/>
        <w:wordWrap/>
        <w:overflowPunct/>
        <w:topLinePunct w:val="0"/>
        <w:autoSpaceDE/>
        <w:autoSpaceDN/>
        <w:bidi w:val="0"/>
        <w:adjustRightInd/>
        <w:snapToGrid/>
        <w:spacing w:line="360" w:lineRule="auto"/>
        <w:ind w:right="-420" w:rightChars="-200"/>
        <w:textAlignment w:val="auto"/>
        <w:rPr>
          <w:rFonts w:hint="eastAsia" w:ascii="仿宋" w:hAnsi="仿宋" w:eastAsia="仿宋" w:cs="仿宋"/>
          <w:color w:val="auto"/>
          <w:sz w:val="28"/>
          <w:szCs w:val="28"/>
        </w:rPr>
      </w:pPr>
      <w:r>
        <w:rPr>
          <w:rFonts w:hint="eastAsia" w:ascii="仿宋" w:hAnsi="仿宋" w:eastAsia="仿宋" w:cs="仿宋"/>
          <w:b/>
          <w:color w:val="auto"/>
          <w:sz w:val="28"/>
          <w:szCs w:val="28"/>
        </w:rPr>
        <w:t xml:space="preserve">卖方（乙方）： </w:t>
      </w:r>
      <w:r>
        <w:rPr>
          <w:rFonts w:hint="eastAsia" w:ascii="仿宋" w:hAnsi="仿宋" w:eastAsia="仿宋" w:cs="仿宋"/>
          <w:b/>
          <w:color w:val="auto"/>
          <w:sz w:val="28"/>
          <w:szCs w:val="28"/>
          <w:lang w:val="en-US" w:eastAsia="zh-CN"/>
        </w:rPr>
        <w:t>河南同创实业有限公司</w:t>
      </w:r>
      <w:r>
        <w:rPr>
          <w:rFonts w:hint="eastAsia" w:ascii="仿宋" w:hAnsi="仿宋" w:eastAsia="仿宋" w:cs="仿宋"/>
          <w:b/>
          <w:color w:val="auto"/>
          <w:sz w:val="28"/>
          <w:szCs w:val="28"/>
        </w:rPr>
        <w:t xml:space="preserve"> </w:t>
      </w:r>
      <w:r>
        <w:rPr>
          <w:rFonts w:hint="eastAsia" w:ascii="仿宋" w:hAnsi="仿宋" w:eastAsia="仿宋" w:cs="仿宋"/>
          <w:b/>
          <w:color w:val="auto"/>
          <w:sz w:val="28"/>
          <w:szCs w:val="28"/>
          <w:lang w:val="en-US" w:eastAsia="zh-CN"/>
        </w:rPr>
        <w:t xml:space="preserve"> </w:t>
      </w:r>
      <w:r>
        <w:rPr>
          <w:rFonts w:hint="eastAsia" w:ascii="仿宋" w:hAnsi="仿宋" w:eastAsia="仿宋" w:cs="仿宋"/>
          <w:color w:val="auto"/>
          <w:sz w:val="28"/>
          <w:szCs w:val="28"/>
        </w:rPr>
        <w:t>签订时间</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u w:val="single"/>
          <w:lang w:val="en-US" w:eastAsia="zh-CN"/>
        </w:rPr>
        <w:t>2025</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lang w:val="en-US" w:eastAsia="zh-CN"/>
        </w:rPr>
        <w:t>3</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lang w:val="en-US" w:eastAsia="zh-CN"/>
        </w:rPr>
        <w:t>3</w:t>
      </w:r>
      <w:r>
        <w:rPr>
          <w:rFonts w:hint="eastAsia" w:ascii="仿宋" w:hAnsi="仿宋" w:eastAsia="仿宋" w:cs="仿宋"/>
          <w:color w:val="auto"/>
          <w:sz w:val="28"/>
          <w:szCs w:val="28"/>
        </w:rPr>
        <w:t>日</w:t>
      </w:r>
    </w:p>
    <w:p w14:paraId="0027B9CD">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根据《中华人民共和国招标标法》、《中华人民共和国政府采购法》、《中华人民共和国民法典》等国家法律法规，就甲方向乙方购买商品（设备）的型号、数量、质量、包装、运输、价款、税金、保险、验收、技术服务、售后服务、违约责任、争议解决方式等合同内容，经双方协商一致，签订合同，以兹共同遵守。</w:t>
      </w:r>
    </w:p>
    <w:p w14:paraId="0F0F9770">
      <w:pPr>
        <w:spacing w:line="360" w:lineRule="auto"/>
        <w:ind w:firstLine="551" w:firstLineChars="196"/>
        <w:rPr>
          <w:rFonts w:hint="eastAsia" w:ascii="仿宋" w:hAnsi="仿宋" w:eastAsia="仿宋" w:cs="仿宋"/>
          <w:b/>
          <w:color w:val="auto"/>
          <w:sz w:val="28"/>
          <w:szCs w:val="28"/>
        </w:rPr>
      </w:pPr>
      <w:r>
        <w:rPr>
          <w:rFonts w:hint="eastAsia" w:ascii="仿宋" w:hAnsi="仿宋" w:eastAsia="仿宋" w:cs="仿宋"/>
          <w:b/>
          <w:color w:val="auto"/>
          <w:sz w:val="28"/>
          <w:szCs w:val="28"/>
        </w:rPr>
        <w:t>一、合同价款</w:t>
      </w:r>
    </w:p>
    <w:p w14:paraId="64314C60">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本合同的总金额为人民币：</w:t>
      </w:r>
      <w:r>
        <w:rPr>
          <w:rFonts w:hint="eastAsia" w:ascii="仿宋" w:hAnsi="仿宋" w:eastAsia="仿宋" w:cs="仿宋"/>
          <w:color w:val="auto"/>
          <w:sz w:val="28"/>
          <w:szCs w:val="28"/>
          <w:lang w:val="en-US" w:eastAsia="zh-CN"/>
        </w:rPr>
        <w:t>贰佰贰拾柒万陆仟元</w:t>
      </w:r>
      <w:r>
        <w:rPr>
          <w:rFonts w:hint="eastAsia" w:ascii="仿宋" w:hAnsi="仿宋" w:eastAsia="仿宋" w:cs="仿宋"/>
          <w:color w:val="auto"/>
          <w:sz w:val="28"/>
          <w:szCs w:val="28"/>
        </w:rPr>
        <w:t>整（¥</w:t>
      </w:r>
      <w:r>
        <w:rPr>
          <w:rFonts w:hint="eastAsia" w:ascii="仿宋" w:hAnsi="仿宋" w:eastAsia="仿宋" w:cs="仿宋"/>
          <w:color w:val="auto"/>
          <w:sz w:val="28"/>
          <w:szCs w:val="28"/>
          <w:lang w:val="en-US" w:eastAsia="zh-CN"/>
        </w:rPr>
        <w:t>2276000.00</w:t>
      </w:r>
      <w:r>
        <w:rPr>
          <w:rFonts w:hint="eastAsia" w:ascii="仿宋" w:hAnsi="仿宋" w:eastAsia="仿宋" w:cs="仿宋"/>
          <w:color w:val="auto"/>
          <w:sz w:val="28"/>
          <w:szCs w:val="28"/>
        </w:rPr>
        <w:t>）；该价格已经包含制造生产、安装、调试、保险、培训、运输、装卸、税金、利润、保修及乙方人员差旅费用等全部费用。</w:t>
      </w:r>
    </w:p>
    <w:p w14:paraId="524BD8EB">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二、货物（设备）的名称、型号、制造单位、单价、数量和合同价数量及质量要求</w:t>
      </w:r>
    </w:p>
    <w:p w14:paraId="42CD9DD1">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1、乙方提供的货物（设备）是未有使用过（包括零部件）的商品（设备）、符合国家相关部门制定的生产（制造）标准和检测标准以及该商品（设备）的出厂标准。</w:t>
      </w:r>
    </w:p>
    <w:p w14:paraId="652C2AB9">
      <w:pPr>
        <w:spacing w:line="360" w:lineRule="auto"/>
        <w:ind w:firstLine="560" w:firstLineChars="200"/>
        <w:rPr>
          <w:rFonts w:hint="eastAsia" w:ascii="仿宋" w:hAnsi="仿宋" w:eastAsia="仿宋" w:cs="仿宋"/>
          <w:b/>
          <w:color w:val="auto"/>
          <w:sz w:val="28"/>
          <w:szCs w:val="28"/>
        </w:rPr>
      </w:pPr>
      <w:r>
        <w:rPr>
          <w:rFonts w:hint="eastAsia" w:ascii="仿宋" w:hAnsi="仿宋" w:eastAsia="仿宋" w:cs="仿宋"/>
          <w:color w:val="auto"/>
          <w:sz w:val="28"/>
          <w:szCs w:val="28"/>
        </w:rPr>
        <w:t>2、购买货物（设备）的名称、型号、制造单位、单价、数量和合同价：</w:t>
      </w:r>
    </w:p>
    <w:tbl>
      <w:tblPr>
        <w:tblStyle w:val="5"/>
        <w:tblW w:w="97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2"/>
        <w:gridCol w:w="1503"/>
        <w:gridCol w:w="1615"/>
        <w:gridCol w:w="1137"/>
        <w:gridCol w:w="840"/>
        <w:gridCol w:w="910"/>
        <w:gridCol w:w="1539"/>
        <w:gridCol w:w="1479"/>
      </w:tblGrid>
      <w:tr w14:paraId="0A6770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0" w:hRule="atLeast"/>
          <w:jc w:val="center"/>
        </w:trPr>
        <w:tc>
          <w:tcPr>
            <w:tcW w:w="722" w:type="dxa"/>
            <w:vAlign w:val="center"/>
          </w:tcPr>
          <w:p w14:paraId="6A6FE634">
            <w:pPr>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1503" w:type="dxa"/>
            <w:vAlign w:val="center"/>
          </w:tcPr>
          <w:p w14:paraId="61DF416A">
            <w:pPr>
              <w:ind w:firstLine="281" w:firstLineChars="100"/>
              <w:rPr>
                <w:rFonts w:hint="eastAsia" w:ascii="仿宋" w:hAnsi="仿宋" w:eastAsia="仿宋" w:cs="仿宋"/>
                <w:b/>
                <w:color w:val="auto"/>
                <w:sz w:val="28"/>
                <w:szCs w:val="28"/>
              </w:rPr>
            </w:pPr>
            <w:r>
              <w:rPr>
                <w:rFonts w:hint="eastAsia" w:ascii="仿宋" w:hAnsi="仿宋" w:eastAsia="仿宋" w:cs="仿宋"/>
                <w:b/>
                <w:color w:val="auto"/>
                <w:sz w:val="28"/>
                <w:szCs w:val="28"/>
              </w:rPr>
              <w:t>名称</w:t>
            </w:r>
          </w:p>
        </w:tc>
        <w:tc>
          <w:tcPr>
            <w:tcW w:w="1615" w:type="dxa"/>
            <w:vAlign w:val="center"/>
          </w:tcPr>
          <w:p w14:paraId="4CDD6842">
            <w:pPr>
              <w:rPr>
                <w:rFonts w:hint="eastAsia" w:ascii="仿宋" w:hAnsi="仿宋" w:eastAsia="仿宋" w:cs="仿宋"/>
                <w:b/>
                <w:color w:val="auto"/>
                <w:sz w:val="28"/>
                <w:szCs w:val="28"/>
              </w:rPr>
            </w:pPr>
            <w:r>
              <w:rPr>
                <w:rFonts w:hint="eastAsia" w:ascii="仿宋" w:hAnsi="仿宋" w:eastAsia="仿宋" w:cs="仿宋"/>
                <w:b/>
                <w:color w:val="auto"/>
                <w:sz w:val="28"/>
                <w:szCs w:val="28"/>
              </w:rPr>
              <w:t>品牌型号</w:t>
            </w:r>
          </w:p>
        </w:tc>
        <w:tc>
          <w:tcPr>
            <w:tcW w:w="1137" w:type="dxa"/>
            <w:vAlign w:val="center"/>
          </w:tcPr>
          <w:p w14:paraId="64F58344">
            <w:pPr>
              <w:ind w:firstLine="121" w:firstLineChars="43"/>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制造商</w:t>
            </w:r>
          </w:p>
        </w:tc>
        <w:tc>
          <w:tcPr>
            <w:tcW w:w="840" w:type="dxa"/>
            <w:vAlign w:val="center"/>
          </w:tcPr>
          <w:p w14:paraId="39B9B8FF">
            <w:pPr>
              <w:rPr>
                <w:rFonts w:hint="eastAsia" w:ascii="仿宋" w:hAnsi="仿宋" w:eastAsia="仿宋" w:cs="仿宋"/>
                <w:b/>
                <w:color w:val="auto"/>
                <w:sz w:val="28"/>
                <w:szCs w:val="28"/>
              </w:rPr>
            </w:pPr>
            <w:r>
              <w:rPr>
                <w:rFonts w:hint="eastAsia" w:ascii="仿宋" w:hAnsi="仿宋" w:eastAsia="仿宋" w:cs="仿宋"/>
                <w:b/>
                <w:color w:val="auto"/>
                <w:sz w:val="28"/>
                <w:szCs w:val="28"/>
              </w:rPr>
              <w:t>单位</w:t>
            </w:r>
          </w:p>
        </w:tc>
        <w:tc>
          <w:tcPr>
            <w:tcW w:w="910" w:type="dxa"/>
            <w:vAlign w:val="center"/>
          </w:tcPr>
          <w:p w14:paraId="24FADAB1">
            <w:pPr>
              <w:rPr>
                <w:rFonts w:hint="eastAsia" w:ascii="仿宋" w:hAnsi="仿宋" w:eastAsia="仿宋" w:cs="仿宋"/>
                <w:b/>
                <w:color w:val="auto"/>
                <w:sz w:val="28"/>
                <w:szCs w:val="28"/>
              </w:rPr>
            </w:pPr>
            <w:r>
              <w:rPr>
                <w:rFonts w:hint="eastAsia" w:ascii="仿宋" w:hAnsi="仿宋" w:eastAsia="仿宋" w:cs="仿宋"/>
                <w:b/>
                <w:color w:val="auto"/>
                <w:sz w:val="28"/>
                <w:szCs w:val="28"/>
              </w:rPr>
              <w:t>数量</w:t>
            </w:r>
          </w:p>
        </w:tc>
        <w:tc>
          <w:tcPr>
            <w:tcW w:w="1539" w:type="dxa"/>
            <w:vAlign w:val="center"/>
          </w:tcPr>
          <w:p w14:paraId="46A479CA">
            <w:pPr>
              <w:rPr>
                <w:rFonts w:hint="eastAsia" w:ascii="仿宋" w:hAnsi="仿宋" w:eastAsia="仿宋" w:cs="仿宋"/>
                <w:b/>
                <w:color w:val="auto"/>
                <w:sz w:val="28"/>
                <w:szCs w:val="28"/>
              </w:rPr>
            </w:pPr>
            <w:r>
              <w:rPr>
                <w:rFonts w:hint="eastAsia" w:ascii="仿宋" w:hAnsi="仿宋" w:eastAsia="仿宋" w:cs="仿宋"/>
                <w:b/>
                <w:color w:val="auto"/>
                <w:sz w:val="28"/>
                <w:szCs w:val="28"/>
              </w:rPr>
              <w:t>单价（元）</w:t>
            </w:r>
          </w:p>
        </w:tc>
        <w:tc>
          <w:tcPr>
            <w:tcW w:w="1479" w:type="dxa"/>
            <w:vAlign w:val="center"/>
          </w:tcPr>
          <w:p w14:paraId="2EE10AC8">
            <w:pPr>
              <w:rPr>
                <w:rFonts w:hint="eastAsia" w:ascii="仿宋" w:hAnsi="仿宋" w:eastAsia="仿宋" w:cs="仿宋"/>
                <w:b/>
                <w:color w:val="auto"/>
                <w:sz w:val="28"/>
                <w:szCs w:val="28"/>
              </w:rPr>
            </w:pPr>
            <w:r>
              <w:rPr>
                <w:rFonts w:hint="eastAsia" w:ascii="仿宋" w:hAnsi="仿宋" w:eastAsia="仿宋" w:cs="仿宋"/>
                <w:b/>
                <w:color w:val="auto"/>
                <w:sz w:val="28"/>
                <w:szCs w:val="28"/>
              </w:rPr>
              <w:t>小计（元）</w:t>
            </w:r>
          </w:p>
        </w:tc>
      </w:tr>
      <w:tr w14:paraId="0F4896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22" w:type="dxa"/>
            <w:vAlign w:val="center"/>
          </w:tcPr>
          <w:p w14:paraId="3D5A6468">
            <w:pPr>
              <w:rPr>
                <w:rFonts w:hint="eastAsia" w:ascii="仿宋" w:hAnsi="仿宋" w:eastAsia="仿宋" w:cs="仿宋"/>
                <w:b/>
                <w:color w:val="auto"/>
                <w:sz w:val="28"/>
                <w:szCs w:val="28"/>
              </w:rPr>
            </w:pPr>
            <w:r>
              <w:rPr>
                <w:rFonts w:hint="eastAsia" w:ascii="仿宋" w:hAnsi="仿宋" w:eastAsia="仿宋" w:cs="仿宋"/>
                <w:b/>
                <w:color w:val="auto"/>
                <w:sz w:val="28"/>
                <w:szCs w:val="28"/>
              </w:rPr>
              <w:t>1</w:t>
            </w:r>
          </w:p>
        </w:tc>
        <w:tc>
          <w:tcPr>
            <w:tcW w:w="1503" w:type="dxa"/>
            <w:vAlign w:val="center"/>
          </w:tcPr>
          <w:p w14:paraId="4FCAAF2A">
            <w:pPr>
              <w:rPr>
                <w:rFonts w:hint="eastAsia" w:ascii="仿宋" w:hAnsi="仿宋" w:eastAsia="仿宋" w:cs="仿宋"/>
                <w:color w:val="auto"/>
                <w:sz w:val="28"/>
                <w:szCs w:val="28"/>
              </w:rPr>
            </w:pPr>
            <w:r>
              <w:rPr>
                <w:rFonts w:hint="eastAsia" w:ascii="仿宋" w:hAnsi="仿宋" w:eastAsia="仿宋" w:cs="仿宋"/>
                <w:color w:val="auto"/>
                <w:sz w:val="24"/>
                <w:szCs w:val="24"/>
              </w:rPr>
              <w:t>荧光定量PCR仪</w:t>
            </w:r>
          </w:p>
        </w:tc>
        <w:tc>
          <w:tcPr>
            <w:tcW w:w="1615" w:type="dxa"/>
            <w:vAlign w:val="center"/>
          </w:tcPr>
          <w:p w14:paraId="2DAEBFBE">
            <w:pP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 Roche </w:t>
            </w:r>
          </w:p>
          <w:p w14:paraId="4B29E616">
            <w:pP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lang w:bidi="ar"/>
              </w:rPr>
              <w:t>LightCycler96</w:t>
            </w:r>
          </w:p>
        </w:tc>
        <w:tc>
          <w:tcPr>
            <w:tcW w:w="1137" w:type="dxa"/>
          </w:tcPr>
          <w:p w14:paraId="23FE9B91">
            <w:pPr>
              <w:rPr>
                <w:rFonts w:hint="eastAsia" w:ascii="仿宋" w:hAnsi="仿宋" w:eastAsia="仿宋" w:cs="仿宋"/>
                <w:color w:val="auto"/>
                <w:sz w:val="28"/>
                <w:szCs w:val="28"/>
              </w:rPr>
            </w:pPr>
            <w:r>
              <w:rPr>
                <w:rFonts w:hint="eastAsia" w:ascii="仿宋" w:hAnsi="仿宋" w:eastAsia="仿宋" w:cs="仿宋"/>
                <w:color w:val="000000"/>
                <w:kern w:val="0"/>
                <w:sz w:val="24"/>
                <w:szCs w:val="24"/>
                <w:highlight w:val="none"/>
                <w:lang w:val="en-US" w:eastAsia="zh-CN" w:bidi="ar"/>
              </w:rPr>
              <w:t>Roche Diagnostics GmbH</w:t>
            </w:r>
          </w:p>
        </w:tc>
        <w:tc>
          <w:tcPr>
            <w:tcW w:w="840" w:type="dxa"/>
            <w:vAlign w:val="center"/>
          </w:tcPr>
          <w:p w14:paraId="79A2BE59">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台</w:t>
            </w:r>
          </w:p>
        </w:tc>
        <w:tc>
          <w:tcPr>
            <w:tcW w:w="910" w:type="dxa"/>
            <w:vAlign w:val="center"/>
          </w:tcPr>
          <w:p w14:paraId="736D50C5">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1539" w:type="dxa"/>
            <w:vAlign w:val="center"/>
          </w:tcPr>
          <w:p w14:paraId="43C079E5">
            <w:pPr>
              <w:rPr>
                <w:rFonts w:hint="eastAsia" w:ascii="仿宋" w:hAnsi="仿宋" w:eastAsia="仿宋" w:cs="仿宋"/>
                <w:color w:val="auto"/>
                <w:sz w:val="28"/>
                <w:szCs w:val="28"/>
              </w:rPr>
            </w:pPr>
            <w:r>
              <w:rPr>
                <w:rFonts w:hint="eastAsia" w:ascii="仿宋" w:hAnsi="仿宋" w:eastAsia="仿宋" w:cs="仿宋"/>
                <w:color w:val="auto"/>
                <w:sz w:val="24"/>
                <w:szCs w:val="24"/>
                <w:lang w:val="en-US" w:eastAsia="zh-CN"/>
              </w:rPr>
              <w:t>350000.00</w:t>
            </w:r>
          </w:p>
        </w:tc>
        <w:tc>
          <w:tcPr>
            <w:tcW w:w="1479" w:type="dxa"/>
            <w:vAlign w:val="center"/>
          </w:tcPr>
          <w:p w14:paraId="4A11286C">
            <w:pPr>
              <w:rPr>
                <w:rFonts w:hint="eastAsia" w:ascii="仿宋" w:hAnsi="仿宋" w:eastAsia="仿宋" w:cs="仿宋"/>
                <w:color w:val="auto"/>
                <w:sz w:val="28"/>
                <w:szCs w:val="28"/>
              </w:rPr>
            </w:pPr>
            <w:r>
              <w:rPr>
                <w:rFonts w:hint="eastAsia" w:ascii="仿宋" w:hAnsi="仿宋" w:eastAsia="仿宋" w:cs="仿宋"/>
                <w:color w:val="auto"/>
                <w:sz w:val="24"/>
                <w:szCs w:val="24"/>
                <w:lang w:val="en-US" w:eastAsia="zh-CN"/>
              </w:rPr>
              <w:t>700000.00</w:t>
            </w:r>
          </w:p>
        </w:tc>
      </w:tr>
      <w:tr w14:paraId="330968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22" w:type="dxa"/>
            <w:shd w:val="clear" w:color="auto" w:fill="auto"/>
            <w:vAlign w:val="center"/>
          </w:tcPr>
          <w:p w14:paraId="3B9DD621">
            <w:pP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sz w:val="28"/>
                <w:szCs w:val="28"/>
                <w:lang w:val="en-US" w:eastAsia="zh-CN"/>
              </w:rPr>
              <w:t>2</w:t>
            </w:r>
          </w:p>
        </w:tc>
        <w:tc>
          <w:tcPr>
            <w:tcW w:w="1503" w:type="dxa"/>
            <w:shd w:val="clear" w:color="auto" w:fill="auto"/>
            <w:vAlign w:val="center"/>
          </w:tcPr>
          <w:p w14:paraId="1D500079">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倒置荧光显微镜</w:t>
            </w:r>
          </w:p>
        </w:tc>
        <w:tc>
          <w:tcPr>
            <w:tcW w:w="1615" w:type="dxa"/>
            <w:shd w:val="clear" w:color="auto" w:fill="auto"/>
            <w:vAlign w:val="center"/>
          </w:tcPr>
          <w:p w14:paraId="4EA1910D">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徕卡</w:t>
            </w:r>
          </w:p>
          <w:p w14:paraId="0774AF62">
            <w:pPr>
              <w:rPr>
                <w:rFonts w:hint="eastAsia" w:ascii="仿宋" w:hAnsi="仿宋" w:eastAsia="仿宋" w:cs="仿宋"/>
                <w:color w:val="auto"/>
                <w:kern w:val="2"/>
                <w:sz w:val="28"/>
                <w:szCs w:val="28"/>
                <w:lang w:val="en-US" w:eastAsia="zh-CN" w:bidi="ar-SA"/>
              </w:rPr>
            </w:pPr>
            <w:r>
              <w:rPr>
                <w:rFonts w:hint="eastAsia" w:ascii="仿宋" w:hAnsi="仿宋" w:eastAsia="仿宋" w:cs="仿宋"/>
                <w:color w:val="000000"/>
                <w:kern w:val="0"/>
                <w:sz w:val="24"/>
                <w:szCs w:val="24"/>
                <w:lang w:bidi="ar"/>
              </w:rPr>
              <w:fldChar w:fldCharType="begin"/>
            </w:r>
            <w:r>
              <w:rPr>
                <w:rFonts w:hint="eastAsia" w:ascii="仿宋" w:hAnsi="仿宋" w:eastAsia="仿宋" w:cs="仿宋"/>
                <w:color w:val="000000"/>
                <w:kern w:val="0"/>
                <w:sz w:val="24"/>
                <w:szCs w:val="24"/>
                <w:lang w:bidi="ar"/>
              </w:rPr>
              <w:instrText xml:space="preserve"> HYPERLINK "https://cn.leica-microsystems.com.cn/product/life-science-microscope/biological/inverted/mateo-fl" \o "https://cn.leica-microsystems.com.cn/product/life-science-microscope/biological/inverted/mateo-fl" </w:instrText>
            </w:r>
            <w:r>
              <w:rPr>
                <w:rFonts w:hint="eastAsia" w:ascii="仿宋" w:hAnsi="仿宋" w:eastAsia="仿宋" w:cs="仿宋"/>
                <w:color w:val="000000"/>
                <w:kern w:val="0"/>
                <w:sz w:val="24"/>
                <w:szCs w:val="24"/>
                <w:lang w:bidi="ar"/>
              </w:rPr>
              <w:fldChar w:fldCharType="separate"/>
            </w:r>
            <w:r>
              <w:rPr>
                <w:rFonts w:hint="eastAsia" w:ascii="仿宋" w:hAnsi="仿宋" w:eastAsia="仿宋" w:cs="仿宋"/>
                <w:color w:val="000000"/>
                <w:kern w:val="0"/>
                <w:sz w:val="24"/>
                <w:szCs w:val="24"/>
                <w:lang w:bidi="ar"/>
              </w:rPr>
              <w:t>Mateo FL</w:t>
            </w:r>
            <w:r>
              <w:rPr>
                <w:rFonts w:hint="eastAsia" w:ascii="仿宋" w:hAnsi="仿宋" w:eastAsia="仿宋" w:cs="仿宋"/>
                <w:color w:val="000000"/>
                <w:kern w:val="0"/>
                <w:sz w:val="24"/>
                <w:szCs w:val="24"/>
                <w:lang w:bidi="ar"/>
              </w:rPr>
              <w:fldChar w:fldCharType="end"/>
            </w:r>
          </w:p>
        </w:tc>
        <w:tc>
          <w:tcPr>
            <w:tcW w:w="1137" w:type="dxa"/>
            <w:shd w:val="clear" w:color="auto" w:fill="auto"/>
            <w:vAlign w:val="top"/>
          </w:tcPr>
          <w:p w14:paraId="2E2517AC">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徕卡显微系统(上海</w:t>
            </w:r>
            <w:r>
              <w:rPr>
                <w:rFonts w:hint="eastAsia" w:ascii="仿宋" w:hAnsi="仿宋" w:eastAsia="仿宋" w:cs="仿宋"/>
                <w:color w:val="auto"/>
                <w:sz w:val="24"/>
                <w:szCs w:val="24"/>
                <w:lang w:eastAsia="zh-CN"/>
              </w:rPr>
              <w:t>）</w:t>
            </w:r>
          </w:p>
          <w:p w14:paraId="6B8B5F88">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有限公司</w:t>
            </w:r>
          </w:p>
        </w:tc>
        <w:tc>
          <w:tcPr>
            <w:tcW w:w="840" w:type="dxa"/>
            <w:shd w:val="clear" w:color="auto" w:fill="auto"/>
            <w:vAlign w:val="center"/>
          </w:tcPr>
          <w:p w14:paraId="7C00A7A4">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台</w:t>
            </w:r>
          </w:p>
        </w:tc>
        <w:tc>
          <w:tcPr>
            <w:tcW w:w="910" w:type="dxa"/>
            <w:shd w:val="clear" w:color="auto" w:fill="auto"/>
            <w:vAlign w:val="center"/>
          </w:tcPr>
          <w:p w14:paraId="335C7AC0">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w:t>
            </w:r>
          </w:p>
        </w:tc>
        <w:tc>
          <w:tcPr>
            <w:tcW w:w="1539" w:type="dxa"/>
            <w:shd w:val="clear" w:color="auto" w:fill="auto"/>
            <w:vAlign w:val="center"/>
          </w:tcPr>
          <w:p w14:paraId="5C5751C1">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44</w:t>
            </w:r>
            <w:r>
              <w:rPr>
                <w:rFonts w:hint="eastAsia" w:ascii="仿宋" w:hAnsi="仿宋" w:eastAsia="仿宋" w:cs="仿宋"/>
                <w:color w:val="auto"/>
                <w:sz w:val="24"/>
                <w:szCs w:val="24"/>
                <w:lang w:val="en-US" w:eastAsia="zh-CN"/>
              </w:rPr>
              <w:t>0000.00</w:t>
            </w:r>
          </w:p>
        </w:tc>
        <w:tc>
          <w:tcPr>
            <w:tcW w:w="1479" w:type="dxa"/>
            <w:shd w:val="clear" w:color="auto" w:fill="auto"/>
            <w:vAlign w:val="center"/>
          </w:tcPr>
          <w:p w14:paraId="7AE5E8EC">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44</w:t>
            </w:r>
            <w:r>
              <w:rPr>
                <w:rFonts w:hint="eastAsia" w:ascii="仿宋" w:hAnsi="仿宋" w:eastAsia="仿宋" w:cs="仿宋"/>
                <w:color w:val="auto"/>
                <w:sz w:val="24"/>
                <w:szCs w:val="24"/>
                <w:lang w:val="en-US" w:eastAsia="zh-CN"/>
              </w:rPr>
              <w:t>0000.00</w:t>
            </w:r>
          </w:p>
        </w:tc>
      </w:tr>
      <w:tr w14:paraId="659447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22" w:type="dxa"/>
            <w:shd w:val="clear" w:color="auto" w:fill="auto"/>
            <w:vAlign w:val="center"/>
          </w:tcPr>
          <w:p w14:paraId="6EB2EEE8">
            <w:pP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sz w:val="28"/>
                <w:szCs w:val="28"/>
                <w:lang w:val="en-US" w:eastAsia="zh-CN"/>
              </w:rPr>
              <w:t>3</w:t>
            </w:r>
          </w:p>
        </w:tc>
        <w:tc>
          <w:tcPr>
            <w:tcW w:w="1503" w:type="dxa"/>
            <w:shd w:val="clear" w:color="auto" w:fill="auto"/>
            <w:vAlign w:val="center"/>
          </w:tcPr>
          <w:p w14:paraId="61843277">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凝胶成像系统</w:t>
            </w:r>
          </w:p>
        </w:tc>
        <w:tc>
          <w:tcPr>
            <w:tcW w:w="1615" w:type="dxa"/>
            <w:shd w:val="clear" w:color="auto" w:fill="auto"/>
            <w:vAlign w:val="center"/>
          </w:tcPr>
          <w:p w14:paraId="44FCE2CD">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Analytikjena</w:t>
            </w:r>
          </w:p>
          <w:p w14:paraId="3A7518E4">
            <w:pPr>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UVP Solo Elite</w:t>
            </w:r>
          </w:p>
        </w:tc>
        <w:tc>
          <w:tcPr>
            <w:tcW w:w="1137" w:type="dxa"/>
            <w:shd w:val="clear" w:color="auto" w:fill="auto"/>
            <w:vAlign w:val="top"/>
          </w:tcPr>
          <w:p w14:paraId="7A0BA4CC">
            <w:pPr>
              <w:rPr>
                <w:rFonts w:hint="eastAsia" w:ascii="仿宋" w:hAnsi="仿宋" w:eastAsia="仿宋" w:cs="仿宋"/>
                <w:color w:val="auto"/>
                <w:kern w:val="2"/>
                <w:sz w:val="28"/>
                <w:szCs w:val="28"/>
                <w:lang w:val="en-US" w:eastAsia="zh-CN" w:bidi="ar-SA"/>
              </w:rPr>
            </w:pPr>
            <w:r>
              <w:rPr>
                <w:rFonts w:hint="eastAsia" w:ascii="仿宋" w:hAnsi="仿宋" w:eastAsia="仿宋" w:cs="仿宋"/>
                <w:color w:val="000000"/>
                <w:kern w:val="0"/>
                <w:sz w:val="24"/>
                <w:szCs w:val="24"/>
                <w:highlight w:val="none"/>
                <w:lang w:val="en-US" w:eastAsia="zh-CN" w:bidi="ar"/>
              </w:rPr>
              <w:t>Analytik Jena GmbH+Co.KG</w:t>
            </w:r>
          </w:p>
        </w:tc>
        <w:tc>
          <w:tcPr>
            <w:tcW w:w="840" w:type="dxa"/>
            <w:shd w:val="clear" w:color="auto" w:fill="auto"/>
            <w:vAlign w:val="center"/>
          </w:tcPr>
          <w:p w14:paraId="2EC1BA54">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台</w:t>
            </w:r>
          </w:p>
        </w:tc>
        <w:tc>
          <w:tcPr>
            <w:tcW w:w="910" w:type="dxa"/>
            <w:shd w:val="clear" w:color="auto" w:fill="auto"/>
            <w:vAlign w:val="center"/>
          </w:tcPr>
          <w:p w14:paraId="5915ED86">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w:t>
            </w:r>
          </w:p>
        </w:tc>
        <w:tc>
          <w:tcPr>
            <w:tcW w:w="1539" w:type="dxa"/>
            <w:shd w:val="clear" w:color="auto" w:fill="auto"/>
            <w:vAlign w:val="center"/>
          </w:tcPr>
          <w:p w14:paraId="394612AF">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lang w:val="en-US" w:eastAsia="zh-CN"/>
              </w:rPr>
              <w:t>160000.00</w:t>
            </w:r>
          </w:p>
        </w:tc>
        <w:tc>
          <w:tcPr>
            <w:tcW w:w="1479" w:type="dxa"/>
            <w:shd w:val="clear" w:color="auto" w:fill="auto"/>
            <w:vAlign w:val="center"/>
          </w:tcPr>
          <w:p w14:paraId="504797B8">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lang w:val="en-US" w:eastAsia="zh-CN"/>
              </w:rPr>
              <w:t>160000.00</w:t>
            </w:r>
          </w:p>
        </w:tc>
      </w:tr>
      <w:tr w14:paraId="5E22EC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22" w:type="dxa"/>
            <w:shd w:val="clear" w:color="auto" w:fill="auto"/>
            <w:vAlign w:val="center"/>
          </w:tcPr>
          <w:p w14:paraId="0474F76A">
            <w:pPr>
              <w:rPr>
                <w:rFonts w:hint="default" w:ascii="仿宋" w:hAnsi="仿宋" w:eastAsia="仿宋" w:cs="仿宋"/>
                <w:b/>
                <w:color w:val="auto"/>
                <w:kern w:val="2"/>
                <w:sz w:val="28"/>
                <w:szCs w:val="28"/>
                <w:lang w:val="en-US" w:eastAsia="zh-CN" w:bidi="ar-SA"/>
              </w:rPr>
            </w:pPr>
            <w:r>
              <w:rPr>
                <w:rFonts w:hint="eastAsia" w:ascii="仿宋" w:hAnsi="仿宋" w:eastAsia="仿宋" w:cs="仿宋"/>
                <w:b/>
                <w:color w:val="auto"/>
                <w:sz w:val="28"/>
                <w:szCs w:val="28"/>
                <w:lang w:val="en-US" w:eastAsia="zh-CN"/>
              </w:rPr>
              <w:t>4</w:t>
            </w:r>
          </w:p>
        </w:tc>
        <w:tc>
          <w:tcPr>
            <w:tcW w:w="1503" w:type="dxa"/>
            <w:shd w:val="clear" w:color="auto" w:fill="auto"/>
            <w:vAlign w:val="center"/>
          </w:tcPr>
          <w:p w14:paraId="16444F43">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小型台式冷冻离心机</w:t>
            </w:r>
          </w:p>
        </w:tc>
        <w:tc>
          <w:tcPr>
            <w:tcW w:w="1615" w:type="dxa"/>
            <w:shd w:val="clear" w:color="auto" w:fill="auto"/>
            <w:vAlign w:val="center"/>
          </w:tcPr>
          <w:p w14:paraId="0B408425">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Eppendorf </w:t>
            </w:r>
          </w:p>
          <w:p w14:paraId="2B702EEA">
            <w:pPr>
              <w:jc w:val="center"/>
              <w:rPr>
                <w:rFonts w:hint="eastAsia" w:ascii="仿宋" w:hAnsi="仿宋" w:eastAsia="仿宋" w:cs="仿宋"/>
                <w:color w:val="000000"/>
                <w:kern w:val="0"/>
                <w:sz w:val="24"/>
                <w:szCs w:val="24"/>
                <w:lang w:val="en-US" w:eastAsia="zh-CN" w:bidi="ar"/>
              </w:rPr>
            </w:pPr>
            <w:r>
              <w:rPr>
                <w:rStyle w:val="10"/>
                <w:rFonts w:hint="eastAsia" w:ascii="仿宋" w:hAnsi="仿宋" w:eastAsia="仿宋" w:cs="仿宋"/>
                <w:lang w:bidi="ar"/>
              </w:rPr>
              <w:t xml:space="preserve"> 5418 R</w:t>
            </w:r>
          </w:p>
        </w:tc>
        <w:tc>
          <w:tcPr>
            <w:tcW w:w="1137" w:type="dxa"/>
            <w:shd w:val="clear" w:color="auto" w:fill="auto"/>
            <w:vAlign w:val="top"/>
          </w:tcPr>
          <w:p w14:paraId="7E54E7F7">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Eppendorf SE</w:t>
            </w:r>
          </w:p>
        </w:tc>
        <w:tc>
          <w:tcPr>
            <w:tcW w:w="840" w:type="dxa"/>
            <w:shd w:val="clear" w:color="auto" w:fill="auto"/>
            <w:vAlign w:val="center"/>
          </w:tcPr>
          <w:p w14:paraId="68A07BDB">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台</w:t>
            </w:r>
          </w:p>
        </w:tc>
        <w:tc>
          <w:tcPr>
            <w:tcW w:w="910" w:type="dxa"/>
            <w:shd w:val="clear" w:color="auto" w:fill="auto"/>
            <w:vAlign w:val="center"/>
          </w:tcPr>
          <w:p w14:paraId="6FBC76F1">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3</w:t>
            </w:r>
          </w:p>
        </w:tc>
        <w:tc>
          <w:tcPr>
            <w:tcW w:w="1539" w:type="dxa"/>
            <w:shd w:val="clear" w:color="auto" w:fill="auto"/>
            <w:vAlign w:val="center"/>
          </w:tcPr>
          <w:p w14:paraId="2C2BFB74">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lang w:val="en-US" w:eastAsia="zh-CN"/>
              </w:rPr>
              <w:t>50000.00</w:t>
            </w:r>
          </w:p>
        </w:tc>
        <w:tc>
          <w:tcPr>
            <w:tcW w:w="1479" w:type="dxa"/>
            <w:shd w:val="clear" w:color="auto" w:fill="auto"/>
            <w:vAlign w:val="center"/>
          </w:tcPr>
          <w:p w14:paraId="2E5A6D61">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lang w:val="en-US" w:eastAsia="zh-CN"/>
              </w:rPr>
              <w:t>150000.00</w:t>
            </w:r>
          </w:p>
        </w:tc>
      </w:tr>
      <w:tr w14:paraId="17DFCC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22" w:type="dxa"/>
            <w:shd w:val="clear" w:color="auto" w:fill="auto"/>
            <w:vAlign w:val="center"/>
          </w:tcPr>
          <w:p w14:paraId="7D9F1FB4">
            <w:pP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sz w:val="28"/>
                <w:szCs w:val="28"/>
                <w:lang w:val="en-US" w:eastAsia="zh-CN"/>
              </w:rPr>
              <w:t>5</w:t>
            </w:r>
          </w:p>
        </w:tc>
        <w:tc>
          <w:tcPr>
            <w:tcW w:w="1503" w:type="dxa"/>
            <w:shd w:val="clear" w:color="auto" w:fill="auto"/>
            <w:vAlign w:val="center"/>
          </w:tcPr>
          <w:p w14:paraId="097BE0A5">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化学发光成像仪</w:t>
            </w:r>
          </w:p>
        </w:tc>
        <w:tc>
          <w:tcPr>
            <w:tcW w:w="1615" w:type="dxa"/>
            <w:shd w:val="clear" w:color="auto" w:fill="auto"/>
            <w:vAlign w:val="center"/>
          </w:tcPr>
          <w:p w14:paraId="358F9C76">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天能</w:t>
            </w:r>
          </w:p>
          <w:p w14:paraId="216CB28F">
            <w:pPr>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Tanon </w:t>
            </w:r>
            <w:r>
              <w:rPr>
                <w:rFonts w:hint="eastAsia" w:ascii="仿宋" w:hAnsi="仿宋" w:eastAsia="仿宋" w:cs="仿宋"/>
                <w:color w:val="000000"/>
                <w:kern w:val="0"/>
                <w:sz w:val="24"/>
                <w:szCs w:val="24"/>
                <w:lang w:bidi="ar"/>
              </w:rPr>
              <w:t>5200</w:t>
            </w:r>
          </w:p>
        </w:tc>
        <w:tc>
          <w:tcPr>
            <w:tcW w:w="1137" w:type="dxa"/>
            <w:shd w:val="clear" w:color="auto" w:fill="auto"/>
            <w:vAlign w:val="top"/>
          </w:tcPr>
          <w:p w14:paraId="27C71A29">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上海天能生命科学有限公司</w:t>
            </w:r>
          </w:p>
        </w:tc>
        <w:tc>
          <w:tcPr>
            <w:tcW w:w="840" w:type="dxa"/>
            <w:shd w:val="clear" w:color="auto" w:fill="auto"/>
            <w:vAlign w:val="center"/>
          </w:tcPr>
          <w:p w14:paraId="16161D6C">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台</w:t>
            </w:r>
          </w:p>
        </w:tc>
        <w:tc>
          <w:tcPr>
            <w:tcW w:w="910" w:type="dxa"/>
            <w:shd w:val="clear" w:color="auto" w:fill="auto"/>
            <w:vAlign w:val="center"/>
          </w:tcPr>
          <w:p w14:paraId="6BDC1DF8">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2</w:t>
            </w:r>
          </w:p>
        </w:tc>
        <w:tc>
          <w:tcPr>
            <w:tcW w:w="1539" w:type="dxa"/>
            <w:shd w:val="clear" w:color="auto" w:fill="auto"/>
            <w:vAlign w:val="center"/>
          </w:tcPr>
          <w:p w14:paraId="6F2C7E0A">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38000.00</w:t>
            </w:r>
          </w:p>
        </w:tc>
        <w:tc>
          <w:tcPr>
            <w:tcW w:w="1479" w:type="dxa"/>
            <w:shd w:val="clear" w:color="auto" w:fill="auto"/>
            <w:vAlign w:val="center"/>
          </w:tcPr>
          <w:p w14:paraId="288CC85F">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lang w:val="en-US" w:eastAsia="zh-CN"/>
              </w:rPr>
              <w:t>276000.00</w:t>
            </w:r>
          </w:p>
        </w:tc>
      </w:tr>
      <w:tr w14:paraId="223E6C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22" w:type="dxa"/>
            <w:shd w:val="clear" w:color="auto" w:fill="auto"/>
            <w:vAlign w:val="center"/>
          </w:tcPr>
          <w:p w14:paraId="343E0827">
            <w:pP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kern w:val="2"/>
                <w:sz w:val="28"/>
                <w:szCs w:val="28"/>
                <w:lang w:val="en-US" w:eastAsia="zh-CN" w:bidi="ar-SA"/>
              </w:rPr>
              <w:t>6</w:t>
            </w:r>
          </w:p>
        </w:tc>
        <w:tc>
          <w:tcPr>
            <w:tcW w:w="1503" w:type="dxa"/>
            <w:shd w:val="clear" w:color="auto" w:fill="auto"/>
            <w:vAlign w:val="center"/>
          </w:tcPr>
          <w:p w14:paraId="4F1A37ED">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研究级正置荧光显微镜</w:t>
            </w:r>
          </w:p>
        </w:tc>
        <w:tc>
          <w:tcPr>
            <w:tcW w:w="1615" w:type="dxa"/>
            <w:shd w:val="clear" w:color="auto" w:fill="auto"/>
            <w:vAlign w:val="center"/>
          </w:tcPr>
          <w:p w14:paraId="37650D29">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徕卡</w:t>
            </w:r>
          </w:p>
          <w:p w14:paraId="705931EB">
            <w:pP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DM3000</w:t>
            </w:r>
          </w:p>
        </w:tc>
        <w:tc>
          <w:tcPr>
            <w:tcW w:w="1137" w:type="dxa"/>
            <w:shd w:val="clear" w:color="auto" w:fill="auto"/>
            <w:vAlign w:val="top"/>
          </w:tcPr>
          <w:p w14:paraId="3D46C3D3">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徕卡显微系统(上海</w:t>
            </w:r>
            <w:r>
              <w:rPr>
                <w:rFonts w:hint="eastAsia" w:ascii="仿宋" w:hAnsi="仿宋" w:eastAsia="仿宋" w:cs="仿宋"/>
                <w:color w:val="auto"/>
                <w:sz w:val="24"/>
                <w:szCs w:val="24"/>
                <w:lang w:eastAsia="zh-CN"/>
              </w:rPr>
              <w:t>）</w:t>
            </w:r>
          </w:p>
          <w:p w14:paraId="6F7140DC">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有限公司</w:t>
            </w:r>
          </w:p>
        </w:tc>
        <w:tc>
          <w:tcPr>
            <w:tcW w:w="840" w:type="dxa"/>
            <w:shd w:val="clear" w:color="auto" w:fill="auto"/>
            <w:vAlign w:val="center"/>
          </w:tcPr>
          <w:p w14:paraId="2AAF5BDA">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台</w:t>
            </w:r>
          </w:p>
        </w:tc>
        <w:tc>
          <w:tcPr>
            <w:tcW w:w="910" w:type="dxa"/>
            <w:shd w:val="clear" w:color="auto" w:fill="auto"/>
            <w:vAlign w:val="center"/>
          </w:tcPr>
          <w:p w14:paraId="4D8D0D03">
            <w:pP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w:t>
            </w:r>
          </w:p>
        </w:tc>
        <w:tc>
          <w:tcPr>
            <w:tcW w:w="1539" w:type="dxa"/>
            <w:shd w:val="clear" w:color="auto" w:fill="auto"/>
            <w:vAlign w:val="center"/>
          </w:tcPr>
          <w:p w14:paraId="577F158A">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37</w:t>
            </w:r>
            <w:r>
              <w:rPr>
                <w:rFonts w:hint="eastAsia" w:ascii="仿宋" w:hAnsi="仿宋" w:eastAsia="仿宋" w:cs="仿宋"/>
                <w:color w:val="auto"/>
                <w:sz w:val="24"/>
                <w:szCs w:val="24"/>
                <w:lang w:val="en-US" w:eastAsia="zh-CN"/>
              </w:rPr>
              <w:t>0000.00</w:t>
            </w:r>
          </w:p>
        </w:tc>
        <w:tc>
          <w:tcPr>
            <w:tcW w:w="1479" w:type="dxa"/>
            <w:shd w:val="clear" w:color="auto" w:fill="auto"/>
            <w:vAlign w:val="center"/>
          </w:tcPr>
          <w:p w14:paraId="3286966A">
            <w:pPr>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4"/>
                <w:szCs w:val="24"/>
              </w:rPr>
              <w:t>37</w:t>
            </w:r>
            <w:r>
              <w:rPr>
                <w:rFonts w:hint="eastAsia" w:ascii="仿宋" w:hAnsi="仿宋" w:eastAsia="仿宋" w:cs="仿宋"/>
                <w:color w:val="auto"/>
                <w:sz w:val="24"/>
                <w:szCs w:val="24"/>
                <w:lang w:val="en-US" w:eastAsia="zh-CN"/>
              </w:rPr>
              <w:t>0000.00</w:t>
            </w:r>
          </w:p>
        </w:tc>
      </w:tr>
      <w:tr w14:paraId="44AD5A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22" w:type="dxa"/>
            <w:vAlign w:val="center"/>
          </w:tcPr>
          <w:p w14:paraId="3F9068CD">
            <w:pPr>
              <w:rPr>
                <w:rFonts w:hint="default" w:ascii="仿宋" w:hAnsi="仿宋" w:eastAsia="仿宋" w:cs="仿宋"/>
                <w:b/>
                <w:color w:val="auto"/>
                <w:sz w:val="28"/>
                <w:szCs w:val="28"/>
                <w:lang w:val="en-US" w:eastAsia="zh-CN"/>
              </w:rPr>
            </w:pPr>
            <w:r>
              <w:rPr>
                <w:rFonts w:hint="eastAsia" w:ascii="仿宋" w:hAnsi="仿宋" w:eastAsia="仿宋" w:cs="仿宋"/>
                <w:b/>
                <w:color w:val="auto"/>
                <w:sz w:val="28"/>
                <w:szCs w:val="28"/>
                <w:lang w:val="en-US" w:eastAsia="zh-CN"/>
              </w:rPr>
              <w:t>7</w:t>
            </w:r>
          </w:p>
        </w:tc>
        <w:tc>
          <w:tcPr>
            <w:tcW w:w="1503" w:type="dxa"/>
            <w:vAlign w:val="center"/>
          </w:tcPr>
          <w:p w14:paraId="01F4009B">
            <w:pPr>
              <w:jc w:val="center"/>
              <w:rPr>
                <w:rFonts w:hint="eastAsia" w:ascii="仿宋" w:hAnsi="仿宋" w:eastAsia="仿宋" w:cs="仿宋"/>
                <w:color w:val="auto"/>
                <w:sz w:val="28"/>
                <w:szCs w:val="28"/>
              </w:rPr>
            </w:pPr>
            <w:r>
              <w:rPr>
                <w:rFonts w:hint="eastAsia" w:ascii="仿宋" w:hAnsi="仿宋" w:eastAsia="仿宋" w:cs="仿宋"/>
                <w:color w:val="auto"/>
                <w:sz w:val="24"/>
                <w:szCs w:val="24"/>
                <w:highlight w:val="none"/>
              </w:rPr>
              <w:t>组织单细胞匀浆仪</w:t>
            </w:r>
          </w:p>
        </w:tc>
        <w:tc>
          <w:tcPr>
            <w:tcW w:w="1615" w:type="dxa"/>
            <w:vAlign w:val="center"/>
          </w:tcPr>
          <w:p w14:paraId="20C93CF0">
            <w:pPr>
              <w:jc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凯杰</w:t>
            </w:r>
          </w:p>
          <w:p w14:paraId="5ACB9CF9">
            <w:pPr>
              <w:jc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Tissuelyser lll</w:t>
            </w:r>
          </w:p>
        </w:tc>
        <w:tc>
          <w:tcPr>
            <w:tcW w:w="1137" w:type="dxa"/>
          </w:tcPr>
          <w:p w14:paraId="3EB126E8">
            <w:pPr>
              <w:rPr>
                <w:rFonts w:hint="eastAsia" w:ascii="仿宋" w:hAnsi="仿宋" w:eastAsia="仿宋" w:cs="仿宋"/>
                <w:color w:val="auto"/>
                <w:sz w:val="28"/>
                <w:szCs w:val="28"/>
              </w:rPr>
            </w:pPr>
            <w:r>
              <w:rPr>
                <w:rFonts w:hint="eastAsia" w:ascii="仿宋" w:hAnsi="仿宋" w:eastAsia="仿宋" w:cs="仿宋"/>
                <w:color w:val="auto"/>
                <w:sz w:val="24"/>
                <w:szCs w:val="24"/>
                <w:highlight w:val="none"/>
              </w:rPr>
              <w:t>凯杰企业管理(上海) 有限公司</w:t>
            </w:r>
          </w:p>
        </w:tc>
        <w:tc>
          <w:tcPr>
            <w:tcW w:w="840" w:type="dxa"/>
            <w:vAlign w:val="center"/>
          </w:tcPr>
          <w:p w14:paraId="76C995E0">
            <w:pP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台</w:t>
            </w:r>
          </w:p>
        </w:tc>
        <w:tc>
          <w:tcPr>
            <w:tcW w:w="910" w:type="dxa"/>
            <w:vAlign w:val="center"/>
          </w:tcPr>
          <w:p w14:paraId="50578CAD">
            <w:pP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p>
        </w:tc>
        <w:tc>
          <w:tcPr>
            <w:tcW w:w="1539" w:type="dxa"/>
            <w:vAlign w:val="center"/>
          </w:tcPr>
          <w:p w14:paraId="3BE3F13E">
            <w:pPr>
              <w:jc w:val="center"/>
              <w:rPr>
                <w:rFonts w:hint="eastAsia" w:ascii="仿宋" w:hAnsi="仿宋" w:eastAsia="仿宋" w:cs="仿宋"/>
                <w:color w:val="auto"/>
                <w:sz w:val="28"/>
                <w:szCs w:val="28"/>
              </w:rPr>
            </w:pPr>
            <w:r>
              <w:rPr>
                <w:rFonts w:hint="eastAsia" w:ascii="仿宋" w:hAnsi="仿宋" w:eastAsia="仿宋" w:cs="仿宋"/>
                <w:color w:val="auto"/>
                <w:sz w:val="24"/>
                <w:szCs w:val="24"/>
              </w:rPr>
              <w:t>18</w:t>
            </w:r>
            <w:r>
              <w:rPr>
                <w:rFonts w:hint="eastAsia" w:ascii="仿宋" w:hAnsi="仿宋" w:eastAsia="仿宋" w:cs="仿宋"/>
                <w:color w:val="auto"/>
                <w:sz w:val="24"/>
                <w:szCs w:val="24"/>
                <w:lang w:val="en-US" w:eastAsia="zh-CN"/>
              </w:rPr>
              <w:t>0000.00</w:t>
            </w:r>
          </w:p>
        </w:tc>
        <w:tc>
          <w:tcPr>
            <w:tcW w:w="1479" w:type="dxa"/>
            <w:vAlign w:val="center"/>
          </w:tcPr>
          <w:p w14:paraId="6DFF3AB1">
            <w:pPr>
              <w:jc w:val="center"/>
              <w:rPr>
                <w:rFonts w:hint="eastAsia" w:ascii="仿宋" w:hAnsi="仿宋" w:eastAsia="仿宋" w:cs="仿宋"/>
                <w:color w:val="auto"/>
                <w:sz w:val="28"/>
                <w:szCs w:val="28"/>
              </w:rPr>
            </w:pPr>
            <w:r>
              <w:rPr>
                <w:rFonts w:hint="eastAsia" w:ascii="仿宋" w:hAnsi="仿宋" w:eastAsia="仿宋" w:cs="仿宋"/>
                <w:color w:val="auto"/>
                <w:sz w:val="24"/>
                <w:szCs w:val="24"/>
              </w:rPr>
              <w:t>18</w:t>
            </w:r>
            <w:r>
              <w:rPr>
                <w:rFonts w:hint="eastAsia" w:ascii="仿宋" w:hAnsi="仿宋" w:eastAsia="仿宋" w:cs="仿宋"/>
                <w:color w:val="auto"/>
                <w:sz w:val="24"/>
                <w:szCs w:val="24"/>
                <w:lang w:val="en-US" w:eastAsia="zh-CN"/>
              </w:rPr>
              <w:t>0000.00</w:t>
            </w:r>
          </w:p>
        </w:tc>
      </w:tr>
      <w:tr w14:paraId="122B8E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722" w:type="dxa"/>
            <w:vAlign w:val="center"/>
          </w:tcPr>
          <w:p w14:paraId="0C09563E">
            <w:pPr>
              <w:rPr>
                <w:rFonts w:hint="eastAsia" w:ascii="仿宋" w:hAnsi="仿宋" w:eastAsia="仿宋" w:cs="仿宋"/>
                <w:color w:val="auto"/>
                <w:sz w:val="28"/>
                <w:szCs w:val="28"/>
              </w:rPr>
            </w:pPr>
          </w:p>
        </w:tc>
        <w:tc>
          <w:tcPr>
            <w:tcW w:w="9023" w:type="dxa"/>
            <w:gridSpan w:val="7"/>
          </w:tcPr>
          <w:p w14:paraId="3BF070FE">
            <w:pPr>
              <w:rPr>
                <w:rFonts w:hint="eastAsia" w:ascii="仿宋" w:hAnsi="仿宋" w:eastAsia="仿宋" w:cs="仿宋"/>
                <w:b/>
                <w:color w:val="auto"/>
                <w:sz w:val="28"/>
                <w:szCs w:val="28"/>
              </w:rPr>
            </w:pPr>
            <w:r>
              <w:rPr>
                <w:rFonts w:hint="eastAsia" w:ascii="仿宋" w:hAnsi="仿宋" w:eastAsia="仿宋" w:cs="仿宋"/>
                <w:b/>
                <w:color w:val="auto"/>
                <w:sz w:val="28"/>
                <w:szCs w:val="28"/>
              </w:rPr>
              <w:t>总价（大写）：</w:t>
            </w:r>
            <w:r>
              <w:rPr>
                <w:rFonts w:hint="eastAsia" w:ascii="仿宋" w:hAnsi="仿宋" w:eastAsia="仿宋" w:cs="仿宋"/>
                <w:b/>
                <w:color w:val="auto"/>
                <w:sz w:val="28"/>
                <w:szCs w:val="28"/>
                <w:lang w:val="en-US" w:eastAsia="zh-CN"/>
              </w:rPr>
              <w:t>贰佰贰拾柒万陆仟</w:t>
            </w:r>
            <w:r>
              <w:rPr>
                <w:rFonts w:hint="eastAsia" w:ascii="仿宋" w:hAnsi="仿宋" w:eastAsia="仿宋" w:cs="仿宋"/>
                <w:b/>
                <w:color w:val="auto"/>
                <w:sz w:val="28"/>
                <w:szCs w:val="28"/>
              </w:rPr>
              <w:t>元整（小写）：¥</w:t>
            </w:r>
            <w:r>
              <w:rPr>
                <w:rFonts w:hint="eastAsia" w:ascii="仿宋" w:hAnsi="仿宋" w:eastAsia="仿宋" w:cs="仿宋"/>
                <w:b/>
                <w:color w:val="auto"/>
                <w:sz w:val="28"/>
                <w:szCs w:val="28"/>
                <w:lang w:val="en-US" w:eastAsia="zh-CN"/>
              </w:rPr>
              <w:t>2276000.00</w:t>
            </w:r>
            <w:r>
              <w:rPr>
                <w:rFonts w:hint="eastAsia" w:ascii="仿宋" w:hAnsi="仿宋" w:eastAsia="仿宋" w:cs="仿宋"/>
                <w:b/>
                <w:color w:val="auto"/>
                <w:sz w:val="28"/>
                <w:szCs w:val="28"/>
              </w:rPr>
              <w:t xml:space="preserve"> </w:t>
            </w:r>
          </w:p>
        </w:tc>
      </w:tr>
    </w:tbl>
    <w:p w14:paraId="2C03B062">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3、详细的技术规格、质保方案及售后服务标准见附件。</w:t>
      </w:r>
    </w:p>
    <w:p w14:paraId="24926FB4">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三、安装调试</w:t>
      </w:r>
    </w:p>
    <w:p w14:paraId="20D4068A">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乙方负责对货物（设备）免费进行安装调试，并使其投入正常运行，并经双方人员签字验收。</w:t>
      </w:r>
    </w:p>
    <w:p w14:paraId="010B8DD0">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四、人员技术培训</w:t>
      </w:r>
    </w:p>
    <w:p w14:paraId="334C2873">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乙方应当安排技术人员免费为甲方人员进行技术培训和现场指导，使购买的货物（设备）国家规定运行标准和使用要求。</w:t>
      </w:r>
    </w:p>
    <w:p w14:paraId="0BB88CFD">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五、交付的时间、地点、运输方式、运输费用及风险承担</w:t>
      </w:r>
    </w:p>
    <w:p w14:paraId="42057048">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1、交货时间、地点：于合同生效之日起</w:t>
      </w:r>
      <w:r>
        <w:rPr>
          <w:rFonts w:hint="eastAsia" w:ascii="仿宋" w:hAnsi="仿宋" w:eastAsia="仿宋" w:cs="仿宋"/>
          <w:color w:val="000000" w:themeColor="text1"/>
          <w:sz w:val="28"/>
          <w:szCs w:val="28"/>
          <w:highlight w:val="none"/>
          <w:u w:val="single"/>
          <w14:textFill>
            <w14:solidFill>
              <w14:schemeClr w14:val="tx1"/>
            </w14:solidFill>
          </w14:textFill>
        </w:rPr>
        <w:t>国产设备 30 日历</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日、</w:t>
      </w:r>
      <w:r>
        <w:rPr>
          <w:rFonts w:hint="eastAsia" w:ascii="仿宋" w:hAnsi="仿宋" w:eastAsia="仿宋" w:cs="仿宋"/>
          <w:color w:val="000000" w:themeColor="text1"/>
          <w:sz w:val="28"/>
          <w:szCs w:val="28"/>
          <w:highlight w:val="none"/>
          <w:u w:val="single"/>
          <w14:textFill>
            <w14:solidFill>
              <w14:schemeClr w14:val="tx1"/>
            </w14:solidFill>
          </w14:textFill>
        </w:rPr>
        <w:t xml:space="preserve">进口设备 90 </w:t>
      </w:r>
      <w:r>
        <w:rPr>
          <w:rFonts w:hint="eastAsia" w:ascii="仿宋" w:hAnsi="仿宋" w:eastAsia="仿宋" w:cs="仿宋"/>
          <w:color w:val="000000" w:themeColor="text1"/>
          <w:sz w:val="28"/>
          <w:szCs w:val="28"/>
          <w:u w:val="single"/>
          <w14:textFill>
            <w14:solidFill>
              <w14:schemeClr w14:val="tx1"/>
            </w14:solidFill>
          </w14:textFill>
        </w:rPr>
        <w:t>日历日内</w:t>
      </w:r>
      <w:r>
        <w:rPr>
          <w:rFonts w:hint="eastAsia" w:ascii="仿宋" w:hAnsi="仿宋" w:eastAsia="仿宋" w:cs="仿宋"/>
          <w:color w:val="auto"/>
          <w:sz w:val="28"/>
          <w:szCs w:val="28"/>
        </w:rPr>
        <w:t>（按投标承诺时间），乙方按甲方指定地点将货物免费送达。甲方或最终用户在乙方收货确认单签字盖章，或者甲方或最终用户在乙方的物流配送单据上予以签字或盖章，作为双方结算的依据。</w:t>
      </w:r>
    </w:p>
    <w:p w14:paraId="65B15C59">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2、产品运输过程中由乙方按国家有关设备供应的规定标准进行包装、供应，产生的相关费用由乙方承担。</w:t>
      </w:r>
    </w:p>
    <w:p w14:paraId="6030B0ED">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3、乙方应在交货时向甲方提供货物（设备）生产制造标准、使用说明书、检验合格证明及相关的随机备品备件、配件、工具、软件等资料。</w:t>
      </w:r>
    </w:p>
    <w:p w14:paraId="470051D5">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4、合同货物（设备）验收前的货物毁损、灭失的风险由乙方承担，验收合格后的货物灭失的风险由甲方承担。如合同商品参加保险，保险赔偿款由风险承担者享有。</w:t>
      </w:r>
    </w:p>
    <w:p w14:paraId="72503B22">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六、货物（设备）验收标准、验收方式</w:t>
      </w:r>
    </w:p>
    <w:p w14:paraId="0AF970A1">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1、按国家现行验收标准、规范等有关规定执行，甲方在收到货物（设备）后可以在合理期限内提出异议。</w:t>
      </w:r>
    </w:p>
    <w:p w14:paraId="1E628BE9">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2、货物（设备）使用单位应在货物（设备）交付后，根据初验结果以及安装、调试、培训等情况正常运行一段时间后向甲方提出货物（设备）验收申请。</w:t>
      </w:r>
    </w:p>
    <w:p w14:paraId="459E1EB2">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3、根据验收申请，甲方组织相关人员进行正式验收，也可以根据实际需要增加出厂检验、安装调试检验等多种验收环节，特殊情况下可以组织第三方共同验收。</w:t>
      </w:r>
    </w:p>
    <w:p w14:paraId="5E0C5D37">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七、货物（设备）付款时间、支付方式和支付条件</w:t>
      </w:r>
    </w:p>
    <w:p w14:paraId="1B60FCEC">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1、货物（设备）到达合同约定的交货地点并经甲、乙双方进行验收合格后，乙方提供本项目合同金额5%对应的银行保函给甲方（保函期限为一年），甲方收到并查验无误后向乙方支付总合同金额的100%</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2276000.00</w:t>
      </w:r>
      <w:r>
        <w:rPr>
          <w:rFonts w:hint="eastAsia" w:ascii="仿宋" w:hAnsi="仿宋" w:eastAsia="仿宋" w:cs="仿宋"/>
          <w:b w:val="0"/>
          <w:bCs w:val="0"/>
          <w:color w:val="auto"/>
          <w:sz w:val="28"/>
          <w:szCs w:val="28"/>
        </w:rPr>
        <w:t xml:space="preserve"> </w:t>
      </w:r>
      <w:r>
        <w:rPr>
          <w:rFonts w:hint="eastAsia" w:ascii="仿宋" w:hAnsi="仿宋" w:eastAsia="仿宋" w:cs="仿宋"/>
          <w:color w:val="auto"/>
          <w:sz w:val="28"/>
          <w:szCs w:val="28"/>
        </w:rPr>
        <w:t>元)，大写：</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贰佰贰拾柒万陆仟</w:t>
      </w:r>
      <w:r>
        <w:rPr>
          <w:rFonts w:hint="eastAsia" w:ascii="仿宋" w:hAnsi="仿宋" w:eastAsia="仿宋" w:cs="仿宋"/>
          <w:color w:val="auto"/>
          <w:sz w:val="28"/>
          <w:szCs w:val="28"/>
          <w:u w:val="single"/>
        </w:rPr>
        <w:t>元整</w:t>
      </w:r>
      <w:r>
        <w:rPr>
          <w:rFonts w:hint="eastAsia" w:ascii="仿宋" w:hAnsi="仿宋" w:eastAsia="仿宋" w:cs="仿宋"/>
          <w:color w:val="auto"/>
          <w:sz w:val="28"/>
          <w:szCs w:val="28"/>
        </w:rPr>
        <w:t>。</w:t>
      </w:r>
    </w:p>
    <w:p w14:paraId="72D39976">
      <w:pPr>
        <w:spacing w:line="360" w:lineRule="auto"/>
        <w:ind w:firstLine="686" w:firstLineChars="245"/>
        <w:rPr>
          <w:rFonts w:hint="eastAsia" w:ascii="仿宋" w:hAnsi="仿宋" w:eastAsia="仿宋" w:cs="仿宋"/>
          <w:color w:val="auto"/>
          <w:sz w:val="28"/>
          <w:szCs w:val="28"/>
        </w:rPr>
      </w:pPr>
      <w:r>
        <w:rPr>
          <w:rFonts w:hint="eastAsia" w:ascii="仿宋" w:hAnsi="仿宋" w:eastAsia="仿宋" w:cs="仿宋"/>
          <w:color w:val="auto"/>
          <w:sz w:val="28"/>
          <w:szCs w:val="28"/>
        </w:rPr>
        <w:t>2、支付方式：</w:t>
      </w:r>
    </w:p>
    <w:p w14:paraId="3AB338C2">
      <w:pPr>
        <w:spacing w:line="360" w:lineRule="auto"/>
        <w:ind w:firstLine="686" w:firstLineChars="245"/>
        <w:rPr>
          <w:rFonts w:hint="eastAsia" w:ascii="仿宋" w:hAnsi="仿宋" w:eastAsia="仿宋" w:cs="仿宋"/>
          <w:color w:val="auto"/>
          <w:sz w:val="28"/>
          <w:szCs w:val="28"/>
        </w:rPr>
      </w:pPr>
      <w:r>
        <w:rPr>
          <w:rFonts w:hint="eastAsia" w:ascii="仿宋" w:hAnsi="仿宋" w:eastAsia="仿宋" w:cs="仿宋"/>
          <w:color w:val="auto"/>
          <w:sz w:val="28"/>
          <w:szCs w:val="28"/>
        </w:rPr>
        <w:t>本合同项下所有结算款全部支付至乙方（中标方）在</w:t>
      </w:r>
      <w:r>
        <w:rPr>
          <w:rFonts w:hint="eastAsia" w:ascii="仿宋" w:hAnsi="仿宋" w:eastAsia="仿宋" w:cs="仿宋"/>
          <w:color w:val="000000" w:themeColor="text1"/>
          <w:sz w:val="28"/>
          <w:szCs w:val="28"/>
          <w:lang w:val="en-US" w:eastAsia="zh-CN"/>
          <w14:textFill>
            <w14:solidFill>
              <w14:schemeClr w14:val="tx1"/>
            </w14:solidFill>
          </w14:textFill>
        </w:rPr>
        <w:t>郑州银行股份有限公司兴华街支行</w:t>
      </w:r>
      <w:r>
        <w:rPr>
          <w:rFonts w:hint="eastAsia" w:ascii="仿宋" w:hAnsi="仿宋" w:eastAsia="仿宋" w:cs="仿宋"/>
          <w:color w:val="000000" w:themeColor="text1"/>
          <w:sz w:val="28"/>
          <w:szCs w:val="28"/>
          <w14:textFill>
            <w14:solidFill>
              <w14:schemeClr w14:val="tx1"/>
            </w14:solidFill>
          </w14:textFill>
        </w:rPr>
        <w:t>开立的监管账户，</w:t>
      </w:r>
      <w:r>
        <w:rPr>
          <w:rFonts w:hint="eastAsia" w:ascii="仿宋" w:hAnsi="仿宋" w:eastAsia="仿宋" w:cs="仿宋"/>
          <w:color w:val="auto"/>
          <w:sz w:val="28"/>
          <w:szCs w:val="28"/>
        </w:rPr>
        <w:t>该回款账户未经</w:t>
      </w:r>
      <w:r>
        <w:rPr>
          <w:rFonts w:hint="eastAsia" w:ascii="仿宋" w:hAnsi="仿宋" w:eastAsia="仿宋" w:cs="仿宋"/>
          <w:color w:val="auto"/>
          <w:sz w:val="28"/>
          <w:szCs w:val="28"/>
          <w:lang w:val="en-US" w:eastAsia="zh-CN"/>
        </w:rPr>
        <w:t>河南同创实业有限</w:t>
      </w:r>
      <w:r>
        <w:rPr>
          <w:rFonts w:hint="eastAsia" w:ascii="仿宋" w:hAnsi="仿宋" w:eastAsia="仿宋" w:cs="仿宋"/>
          <w:color w:val="auto"/>
          <w:sz w:val="28"/>
          <w:szCs w:val="28"/>
        </w:rPr>
        <w:t>公司同意后不得更改，具体账户信息如下：</w:t>
      </w:r>
    </w:p>
    <w:p w14:paraId="4D20E0D4">
      <w:pPr>
        <w:spacing w:line="360" w:lineRule="auto"/>
        <w:ind w:firstLine="691" w:firstLineChars="246"/>
        <w:rPr>
          <w:rFonts w:hint="eastAsia" w:ascii="仿宋" w:hAnsi="仿宋" w:eastAsia="仿宋" w:cs="仿宋"/>
          <w:b/>
          <w:bCs/>
          <w:color w:val="auto"/>
          <w:sz w:val="28"/>
          <w:szCs w:val="28"/>
        </w:rPr>
      </w:pPr>
      <w:r>
        <w:rPr>
          <w:rFonts w:hint="eastAsia" w:ascii="仿宋" w:hAnsi="仿宋" w:eastAsia="仿宋" w:cs="仿宋"/>
          <w:b/>
          <w:bCs/>
          <w:color w:val="auto"/>
          <w:sz w:val="28"/>
          <w:szCs w:val="28"/>
        </w:rPr>
        <w:t>统一社会信用代码：</w:t>
      </w:r>
      <w:r>
        <w:rPr>
          <w:rFonts w:hint="eastAsia" w:ascii="宋体" w:hAnsi="宋体" w:eastAsia="宋体" w:cs="宋体"/>
          <w:b/>
          <w:bCs/>
          <w:sz w:val="28"/>
          <w:szCs w:val="28"/>
          <w:lang w:val="en-US" w:eastAsia="zh-CN"/>
        </w:rPr>
        <w:t>91410105MA9GCB7E2W</w:t>
      </w:r>
      <w:r>
        <w:rPr>
          <w:rFonts w:hint="eastAsia" w:ascii="仿宋" w:hAnsi="仿宋" w:eastAsia="仿宋" w:cs="仿宋"/>
          <w:b/>
          <w:bCs/>
          <w:color w:val="auto"/>
          <w:sz w:val="28"/>
          <w:szCs w:val="28"/>
        </w:rPr>
        <w:t xml:space="preserve">               </w:t>
      </w:r>
    </w:p>
    <w:p w14:paraId="08952BBE">
      <w:pPr>
        <w:spacing w:line="360" w:lineRule="auto"/>
        <w:ind w:firstLine="691" w:firstLineChars="246"/>
        <w:rPr>
          <w:rFonts w:hint="eastAsia" w:ascii="仿宋" w:hAnsi="仿宋" w:eastAsia="仿宋" w:cs="仿宋"/>
          <w:b/>
          <w:bCs/>
          <w:color w:val="auto"/>
          <w:sz w:val="28"/>
          <w:szCs w:val="28"/>
        </w:rPr>
      </w:pPr>
      <w:r>
        <w:rPr>
          <w:rFonts w:hint="eastAsia" w:ascii="仿宋" w:hAnsi="仿宋" w:eastAsia="仿宋" w:cs="仿宋"/>
          <w:b/>
          <w:bCs/>
          <w:color w:val="auto"/>
          <w:sz w:val="28"/>
          <w:szCs w:val="28"/>
        </w:rPr>
        <w:t>账户名称：</w:t>
      </w:r>
      <w:r>
        <w:rPr>
          <w:rFonts w:hint="eastAsia" w:ascii="仿宋" w:hAnsi="仿宋" w:eastAsia="仿宋" w:cs="仿宋"/>
          <w:b/>
          <w:bCs/>
          <w:color w:val="auto"/>
          <w:sz w:val="28"/>
          <w:szCs w:val="28"/>
          <w:lang w:val="en-US" w:eastAsia="zh-CN"/>
        </w:rPr>
        <w:t>河南同创实业有限公司</w:t>
      </w:r>
      <w:r>
        <w:rPr>
          <w:rFonts w:hint="eastAsia" w:ascii="仿宋" w:hAnsi="仿宋" w:eastAsia="仿宋" w:cs="仿宋"/>
          <w:b/>
          <w:bCs/>
          <w:color w:val="auto"/>
          <w:sz w:val="28"/>
          <w:szCs w:val="28"/>
        </w:rPr>
        <w:t xml:space="preserve">     </w:t>
      </w:r>
    </w:p>
    <w:p w14:paraId="5DBBD384">
      <w:pPr>
        <w:spacing w:line="360" w:lineRule="auto"/>
        <w:ind w:firstLine="691" w:firstLineChars="246"/>
        <w:rPr>
          <w:rFonts w:hint="eastAsia" w:ascii="仿宋" w:hAnsi="仿宋" w:eastAsia="仿宋" w:cs="仿宋"/>
          <w:b/>
          <w:bCs/>
          <w:color w:val="auto"/>
          <w:sz w:val="28"/>
          <w:szCs w:val="28"/>
        </w:rPr>
      </w:pPr>
      <w:r>
        <w:rPr>
          <w:rFonts w:hint="eastAsia" w:ascii="仿宋" w:hAnsi="仿宋" w:eastAsia="仿宋" w:cs="仿宋"/>
          <w:b/>
          <w:bCs/>
          <w:color w:val="auto"/>
          <w:sz w:val="28"/>
          <w:szCs w:val="28"/>
        </w:rPr>
        <w:t>账号：</w:t>
      </w:r>
      <w:r>
        <w:rPr>
          <w:rFonts w:hint="eastAsia" w:ascii="宋体" w:hAnsi="宋体" w:eastAsia="宋体" w:cs="宋体"/>
          <w:b/>
          <w:bCs/>
          <w:sz w:val="28"/>
          <w:szCs w:val="28"/>
          <w:lang w:val="en-US" w:eastAsia="zh-CN"/>
        </w:rPr>
        <w:t>999156000290003227000002</w:t>
      </w:r>
    </w:p>
    <w:p w14:paraId="09AE5156">
      <w:pPr>
        <w:spacing w:line="400" w:lineRule="exact"/>
        <w:ind w:firstLine="691" w:firstLineChars="246"/>
        <w:rPr>
          <w:rFonts w:hint="eastAsia" w:ascii="仿宋" w:hAnsi="仿宋" w:eastAsia="仿宋" w:cs="仿宋"/>
          <w:b/>
          <w:bCs/>
          <w:color w:val="auto"/>
          <w:sz w:val="28"/>
          <w:szCs w:val="28"/>
        </w:rPr>
      </w:pPr>
      <w:r>
        <w:rPr>
          <w:rFonts w:hint="eastAsia" w:ascii="仿宋" w:hAnsi="仿宋" w:eastAsia="仿宋" w:cs="仿宋"/>
          <w:b/>
          <w:bCs/>
          <w:color w:val="auto"/>
          <w:sz w:val="28"/>
          <w:szCs w:val="28"/>
        </w:rPr>
        <w:t>开户银行：</w:t>
      </w:r>
      <w:r>
        <w:rPr>
          <w:rFonts w:hint="eastAsia" w:ascii="仿宋" w:hAnsi="仿宋" w:eastAsia="仿宋" w:cs="仿宋"/>
          <w:b/>
          <w:bCs/>
          <w:color w:val="auto"/>
          <w:sz w:val="28"/>
          <w:szCs w:val="28"/>
          <w:lang w:val="en-US" w:eastAsia="zh-CN"/>
        </w:rPr>
        <w:t>郑州银行股份有限公司兴华街支行</w:t>
      </w:r>
    </w:p>
    <w:p w14:paraId="7F7316AC">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3、甲方付款前，乙方需按付款金额开具符合国家规定的发票，甲方收到发票并通过国家税务部门官方网站检验发票真伪后按付款流程支付合同价款。</w:t>
      </w:r>
    </w:p>
    <w:p w14:paraId="7D39BACB">
      <w:pPr>
        <w:spacing w:line="52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4、乙方必须提供真实、合法的发票。若乙方提供虚假发票，自发现之日起三日内乙方应无条件提供正规发票并承担甲方因此所遭受的所有损失。发票上记载的款项甲方有权不再支付，从合同款中扣减。</w:t>
      </w:r>
    </w:p>
    <w:p w14:paraId="2ABFF6C2">
      <w:pPr>
        <w:ind w:firstLine="560" w:firstLineChars="200"/>
        <w:rPr>
          <w:rFonts w:hint="eastAsia" w:ascii="仿宋" w:hAnsi="仿宋" w:eastAsia="仿宋" w:cs="仿宋"/>
          <w:bCs/>
          <w:color w:val="auto"/>
          <w:sz w:val="28"/>
          <w:szCs w:val="28"/>
        </w:rPr>
      </w:pPr>
      <w:r>
        <w:rPr>
          <w:rFonts w:hint="eastAsia" w:ascii="仿宋" w:hAnsi="仿宋" w:eastAsia="仿宋" w:cs="仿宋"/>
          <w:color w:val="auto"/>
          <w:sz w:val="28"/>
          <w:szCs w:val="28"/>
        </w:rPr>
        <w:t>5、甲方在合同履行过程中，根据采购需求需求，需要追加与合同标的相同货物或服务的，可以签订补充协议，追加</w:t>
      </w:r>
      <w:r>
        <w:rPr>
          <w:rFonts w:hint="eastAsia" w:ascii="仿宋" w:hAnsi="仿宋" w:eastAsia="仿宋" w:cs="仿宋"/>
          <w:bCs/>
          <w:color w:val="auto"/>
          <w:sz w:val="28"/>
          <w:szCs w:val="28"/>
        </w:rPr>
        <w:t>部分的价款不应超出合同价款的10%。</w:t>
      </w:r>
    </w:p>
    <w:p w14:paraId="216A3171">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八、违约责任</w:t>
      </w:r>
    </w:p>
    <w:p w14:paraId="01F7820A">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乙方未按期限、地点履行卖方义务，每延迟一日，乙方应当按本合同总金额的0.5％向甲方支付违约金；乙方逾期交货时间超过7日的或违约金累积达到合同总金额的10%时，甲方有权不经通知解除与乙方的合同，要求乙方支付合同金额30%的违约金。同时，乙方应赔偿由于逾期供货给甲方造成的全部损失；如违约金不足以赔偿甲方损失的，乙方还应当赔偿全部损失。</w:t>
      </w:r>
    </w:p>
    <w:p w14:paraId="0F445FC6">
      <w:pPr>
        <w:spacing w:line="360" w:lineRule="auto"/>
        <w:ind w:firstLine="560" w:firstLineChars="200"/>
        <w:rPr>
          <w:rFonts w:hint="eastAsia" w:ascii="仿宋" w:hAnsi="仿宋" w:eastAsia="仿宋" w:cs="仿宋"/>
          <w:bCs/>
          <w:color w:val="auto"/>
          <w:sz w:val="28"/>
          <w:szCs w:val="28"/>
        </w:rPr>
      </w:pPr>
      <w:r>
        <w:rPr>
          <w:rFonts w:hint="eastAsia" w:ascii="仿宋" w:hAnsi="仿宋" w:eastAsia="仿宋" w:cs="仿宋"/>
          <w:color w:val="auto"/>
          <w:sz w:val="28"/>
          <w:szCs w:val="28"/>
        </w:rPr>
        <w:t>2、乙方所提供的设备品种、型号、规格、质量不符合国家规定及本合同规定标准的，甲方有权拒收设备，并有权单方解除合同，乙方应向甲方支付不超过设备款总值30%的违约金。</w:t>
      </w:r>
      <w:r>
        <w:rPr>
          <w:rFonts w:hint="eastAsia" w:ascii="仿宋" w:hAnsi="仿宋" w:eastAsia="仿宋" w:cs="仿宋"/>
          <w:bCs/>
          <w:color w:val="auto"/>
          <w:sz w:val="28"/>
          <w:szCs w:val="28"/>
        </w:rPr>
        <w:t>甲方不解除合同的，除乙方按前述约定支付违约金外，乙方应在本合同约定的期限内换货、补货，超出本合同第五条约定期限的，乙方应按第八条第一款的约定承担违约责任，换货、补货的费用由乙方承担。如果根据合同标的和履行的情况不具备更换条件的，</w:t>
      </w:r>
      <w:r>
        <w:rPr>
          <w:rFonts w:hint="eastAsia" w:ascii="仿宋" w:hAnsi="仿宋" w:eastAsia="仿宋" w:cs="仿宋"/>
          <w:color w:val="auto"/>
          <w:sz w:val="28"/>
          <w:szCs w:val="28"/>
        </w:rPr>
        <w:t>乙方应向甲方支付不超过设备（货物）合同款总值30%的违约金，并按二种商品之间差价的二倍金额赔偿甲方的损失。</w:t>
      </w:r>
    </w:p>
    <w:p w14:paraId="4D1AF3DE">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3、乙方提供的货物（设备）是由于在装卸、运输或包装造成的产品破损，乙方应负责补足合格产品数量并承担相应费用。</w:t>
      </w:r>
    </w:p>
    <w:p w14:paraId="1E0A5A53">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4、乙方应对提供的货物（设备）在使用过程中给甲方或任何第三方造成的人身伤害或财产损失应当承担全部责任</w:t>
      </w:r>
      <w:bookmarkStart w:id="0" w:name="_Hlt503692969"/>
      <w:bookmarkEnd w:id="0"/>
      <w:bookmarkStart w:id="1" w:name="_Hlt503692967"/>
      <w:bookmarkEnd w:id="1"/>
      <w:r>
        <w:rPr>
          <w:rFonts w:hint="eastAsia" w:ascii="仿宋" w:hAnsi="仿宋" w:eastAsia="仿宋" w:cs="仿宋"/>
          <w:color w:val="auto"/>
          <w:sz w:val="28"/>
          <w:szCs w:val="28"/>
        </w:rPr>
        <w:t>。</w:t>
      </w:r>
    </w:p>
    <w:p w14:paraId="0E37F15B">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5、本货物（设备）的质保期</w:t>
      </w:r>
      <w:r>
        <w:rPr>
          <w:rFonts w:hint="eastAsia" w:ascii="仿宋" w:hAnsi="仿宋" w:eastAsia="仿宋" w:cs="仿宋"/>
          <w:color w:val="auto"/>
          <w:sz w:val="28"/>
          <w:szCs w:val="28"/>
          <w:u w:val="single"/>
        </w:rPr>
        <w:t xml:space="preserve"> </w:t>
      </w:r>
      <w:r>
        <w:rPr>
          <w:rFonts w:hint="eastAsia" w:ascii="仿宋" w:hAnsi="仿宋" w:eastAsia="仿宋" w:cs="仿宋"/>
          <w:color w:val="000000" w:themeColor="text1"/>
          <w:sz w:val="28"/>
          <w:szCs w:val="28"/>
          <w:highlight w:val="none"/>
          <w:u w:val="single"/>
          <w14:textFill>
            <w14:solidFill>
              <w14:schemeClr w14:val="tx1"/>
            </w14:solidFill>
          </w14:textFill>
        </w:rPr>
        <w:t>荧光定量PCR仪2年</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研究级正置荧光显微镜</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倒置荧光显微镜</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凝胶成像系统</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组织单细胞匀浆仪</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小型台式冷冻离心机1年</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化学发光成像仪3年</w:t>
      </w:r>
      <w:r>
        <w:rPr>
          <w:rFonts w:hint="eastAsia" w:ascii="仿宋" w:hAnsi="仿宋" w:eastAsia="仿宋" w:cs="仿宋"/>
          <w:color w:val="auto"/>
          <w:sz w:val="28"/>
          <w:szCs w:val="28"/>
        </w:rPr>
        <w:t>，如乙方违反《售后服务计划》约定未及时履行保修义务的，每发生一次，乙方应向甲方支付违约金500元。甲方因乙方违约而委托第三方进行维修所产生的相应维修费用，乙方无条件同意并承担由此产生的所有费用和责任。</w:t>
      </w:r>
    </w:p>
    <w:p w14:paraId="1332E350">
      <w:pPr>
        <w:pStyle w:val="9"/>
        <w:spacing w:line="360" w:lineRule="auto"/>
        <w:ind w:firstLine="548" w:firstLineChars="196"/>
        <w:rPr>
          <w:rFonts w:hint="eastAsia" w:ascii="仿宋" w:hAnsi="仿宋" w:eastAsia="仿宋" w:cs="仿宋"/>
          <w:bCs/>
          <w:color w:val="auto"/>
          <w:sz w:val="28"/>
          <w:szCs w:val="28"/>
        </w:rPr>
      </w:pPr>
      <w:r>
        <w:rPr>
          <w:rFonts w:hint="eastAsia" w:ascii="仿宋" w:hAnsi="仿宋" w:eastAsia="仿宋" w:cs="仿宋"/>
          <w:color w:val="auto"/>
          <w:sz w:val="28"/>
          <w:szCs w:val="28"/>
        </w:rPr>
        <w:t>6.货物（设备）经验收合格、乙方不存在违约责任的情形下，甲方未按照本合同约定付款方式支付货款，每逾期一日，未付货款甲方按照本合同订立时中国人民银行授权全国银行间同业拆借中心公布1年期贷款市场报价利率（LPR）向乙方支付逾期利息。</w:t>
      </w:r>
    </w:p>
    <w:p w14:paraId="224730D5">
      <w:pPr>
        <w:adjustRightInd w:val="0"/>
        <w:snapToGrid w:val="0"/>
        <w:spacing w:line="360" w:lineRule="auto"/>
        <w:ind w:firstLine="562" w:firstLineChars="200"/>
        <w:jc w:val="left"/>
        <w:rPr>
          <w:rFonts w:hint="eastAsia" w:ascii="仿宋" w:hAnsi="仿宋" w:eastAsia="仿宋" w:cs="仿宋"/>
          <w:b/>
          <w:color w:val="auto"/>
          <w:sz w:val="28"/>
          <w:szCs w:val="28"/>
        </w:rPr>
      </w:pPr>
      <w:r>
        <w:rPr>
          <w:rFonts w:hint="eastAsia" w:ascii="仿宋" w:hAnsi="仿宋" w:eastAsia="仿宋" w:cs="仿宋"/>
          <w:b/>
          <w:color w:val="auto"/>
          <w:sz w:val="28"/>
          <w:szCs w:val="28"/>
        </w:rPr>
        <w:t>九、特别约定</w:t>
      </w:r>
    </w:p>
    <w:p w14:paraId="20291AC5">
      <w:pPr>
        <w:adjustRightInd w:val="0"/>
        <w:snapToGrid w:val="0"/>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1、甲、乙双方应严格遵守投标要求和投标人须知，如有违反，按投标要求和投标人须知规定予以处理。因设备的质量问题发生争议，可由法定的技术鉴定单位进行质量鉴定，经鉴定产品设备存在质量问题的，因此发生的鉴定费用及其他合理费用由乙方全部承担。</w:t>
      </w:r>
    </w:p>
    <w:p w14:paraId="63F4C4AA">
      <w:pPr>
        <w:pStyle w:val="4"/>
        <w:adjustRightInd w:val="0"/>
        <w:snapToGrid w:val="0"/>
        <w:spacing w:beforeAutospacing="0" w:afterAutospacing="0" w:line="360" w:lineRule="auto"/>
        <w:ind w:firstLine="560" w:firstLineChars="200"/>
        <w:rPr>
          <w:rFonts w:hint="eastAsia" w:ascii="仿宋" w:hAnsi="仿宋" w:eastAsia="仿宋" w:cs="仿宋"/>
          <w:color w:val="auto"/>
          <w:kern w:val="2"/>
          <w:sz w:val="28"/>
          <w:szCs w:val="28"/>
        </w:rPr>
      </w:pPr>
      <w:r>
        <w:rPr>
          <w:rFonts w:hint="eastAsia" w:ascii="仿宋" w:hAnsi="仿宋" w:eastAsia="仿宋" w:cs="仿宋"/>
          <w:color w:val="auto"/>
          <w:kern w:val="2"/>
          <w:sz w:val="28"/>
          <w:szCs w:val="28"/>
        </w:rPr>
        <w:t>2、本合同采购文件及其修改、投标文件及其修改、澄清、合同附件均为本合同的组成部分，具有同等法律效力；与本合同约定不一致之处，以本合同为准。</w:t>
      </w:r>
    </w:p>
    <w:p w14:paraId="4029AA70">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3、本合同的任何修改、补充应以书面形式进行，并经双方的授权代表签字并加盖公章后方为有效。</w:t>
      </w:r>
    </w:p>
    <w:p w14:paraId="197C6E1F">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十、争议解决方式和管辖</w:t>
      </w:r>
    </w:p>
    <w:p w14:paraId="55995029">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因货物（设备）的质量问题发生争议以及履行本合同发生争议的，以本合同条款为标准协商解决，若协商无果，任何一方均可向合同签</w:t>
      </w:r>
      <w:bookmarkStart w:id="2" w:name="_GoBack"/>
      <w:r>
        <w:rPr>
          <w:rFonts w:hint="eastAsia" w:ascii="仿宋" w:hAnsi="仿宋" w:eastAsia="仿宋" w:cs="仿宋"/>
          <w:b/>
          <w:color w:val="auto"/>
          <w:sz w:val="28"/>
          <w:szCs w:val="28"/>
          <w:lang w:eastAsia="zh-CN"/>
        </w:rPr>
        <w:drawing>
          <wp:anchor distT="0" distB="0" distL="114300" distR="114300" simplePos="0" relativeHeight="251659264" behindDoc="0" locked="0" layoutInCell="1" allowOverlap="1">
            <wp:simplePos x="0" y="0"/>
            <wp:positionH relativeFrom="column">
              <wp:posOffset>-1010920</wp:posOffset>
            </wp:positionH>
            <wp:positionV relativeFrom="paragraph">
              <wp:posOffset>30480</wp:posOffset>
            </wp:positionV>
            <wp:extent cx="7174865" cy="9342755"/>
            <wp:effectExtent l="0" t="0" r="3175" b="14605"/>
            <wp:wrapNone/>
            <wp:docPr id="2" name="图片 2" descr="提取自抗体药物实验室抗体药物靶点筛选技术平台设备补充更新采购合同-扫描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提取自抗体药物实验室抗体药物靶点筛选技术平台设备补充更新采购合同-扫描件"/>
                    <pic:cNvPicPr>
                      <a:picLocks noChangeAspect="1"/>
                    </pic:cNvPicPr>
                  </pic:nvPicPr>
                  <pic:blipFill>
                    <a:blip r:embed="rId8"/>
                    <a:stretch>
                      <a:fillRect/>
                    </a:stretch>
                  </pic:blipFill>
                  <pic:spPr>
                    <a:xfrm>
                      <a:off x="0" y="0"/>
                      <a:ext cx="7174865" cy="9342755"/>
                    </a:xfrm>
                    <a:prstGeom prst="rect">
                      <a:avLst/>
                    </a:prstGeom>
                  </pic:spPr>
                </pic:pic>
              </a:graphicData>
            </a:graphic>
          </wp:anchor>
        </w:drawing>
      </w:r>
      <w:bookmarkEnd w:id="2"/>
      <w:r>
        <w:rPr>
          <w:rFonts w:hint="eastAsia" w:ascii="仿宋" w:hAnsi="仿宋" w:eastAsia="仿宋" w:cs="仿宋"/>
          <w:color w:val="auto"/>
          <w:sz w:val="28"/>
          <w:szCs w:val="28"/>
        </w:rPr>
        <w:t>订地的人民法院提起诉讼。</w:t>
      </w:r>
    </w:p>
    <w:p w14:paraId="75A517DF">
      <w:pPr>
        <w:spacing w:line="360" w:lineRule="auto"/>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十一、生效及其它</w:t>
      </w:r>
    </w:p>
    <w:p w14:paraId="5991C431">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1、本合同自甲、乙双方签字、盖章之日起生效。</w:t>
      </w:r>
    </w:p>
    <w:p w14:paraId="48206125">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2、如有未尽事宜，甲、乙双方可另行协商签订补充协议，补充协议及招、投标文件、质疑答复、附件和本合同具有同等法律效力。</w:t>
      </w:r>
    </w:p>
    <w:p w14:paraId="1D3B9E03">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3、本合同一式七份，甲方</w:t>
      </w:r>
      <w:r>
        <w:rPr>
          <w:rFonts w:hint="eastAsia" w:ascii="仿宋" w:hAnsi="仿宋" w:eastAsia="仿宋" w:cs="仿宋"/>
          <w:color w:val="auto"/>
          <w:sz w:val="28"/>
          <w:szCs w:val="28"/>
          <w:u w:val="single"/>
        </w:rPr>
        <w:t>四</w:t>
      </w:r>
      <w:r>
        <w:rPr>
          <w:rFonts w:hint="eastAsia" w:ascii="仿宋" w:hAnsi="仿宋" w:eastAsia="仿宋" w:cs="仿宋"/>
          <w:color w:val="auto"/>
          <w:sz w:val="28"/>
          <w:szCs w:val="28"/>
        </w:rPr>
        <w:t>份、乙方</w:t>
      </w:r>
      <w:r>
        <w:rPr>
          <w:rFonts w:hint="eastAsia" w:ascii="仿宋" w:hAnsi="仿宋" w:eastAsia="仿宋" w:cs="仿宋"/>
          <w:color w:val="auto"/>
          <w:sz w:val="28"/>
          <w:szCs w:val="28"/>
          <w:u w:val="single"/>
        </w:rPr>
        <w:t>二</w:t>
      </w:r>
      <w:r>
        <w:rPr>
          <w:rFonts w:hint="eastAsia" w:ascii="仿宋" w:hAnsi="仿宋" w:eastAsia="仿宋" w:cs="仿宋"/>
          <w:color w:val="auto"/>
          <w:sz w:val="28"/>
          <w:szCs w:val="28"/>
        </w:rPr>
        <w:t>份、招标公司</w:t>
      </w:r>
      <w:r>
        <w:rPr>
          <w:rFonts w:hint="eastAsia" w:ascii="仿宋" w:hAnsi="仿宋" w:eastAsia="仿宋" w:cs="仿宋"/>
          <w:color w:val="auto"/>
          <w:sz w:val="28"/>
          <w:szCs w:val="28"/>
          <w:u w:val="single"/>
        </w:rPr>
        <w:t>一</w:t>
      </w:r>
      <w:r>
        <w:rPr>
          <w:rFonts w:hint="eastAsia" w:ascii="仿宋" w:hAnsi="仿宋" w:eastAsia="仿宋" w:cs="仿宋"/>
          <w:color w:val="auto"/>
          <w:sz w:val="28"/>
          <w:szCs w:val="28"/>
        </w:rPr>
        <w:t>份，具有同等法律效力。</w:t>
      </w:r>
    </w:p>
    <w:p w14:paraId="13299D34">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（以下无正文，为合同签署页）</w:t>
      </w:r>
    </w:p>
    <w:p w14:paraId="3E808BA3">
      <w:pPr>
        <w:spacing w:line="360" w:lineRule="auto"/>
        <w:rPr>
          <w:rFonts w:hint="eastAsia" w:ascii="仿宋" w:hAnsi="仿宋" w:eastAsia="仿宋" w:cs="仿宋"/>
          <w:b/>
          <w:color w:val="auto"/>
          <w:sz w:val="28"/>
          <w:szCs w:val="28"/>
        </w:rPr>
      </w:pPr>
    </w:p>
    <w:p w14:paraId="7BC4CDF6">
      <w:pPr>
        <w:spacing w:line="480" w:lineRule="auto"/>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 xml:space="preserve">甲方：河南大学            </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乙方：</w:t>
      </w:r>
      <w:r>
        <w:rPr>
          <w:rFonts w:hint="eastAsia" w:ascii="仿宋" w:hAnsi="仿宋" w:eastAsia="仿宋" w:cs="仿宋"/>
          <w:b/>
          <w:color w:val="auto"/>
          <w:sz w:val="28"/>
          <w:szCs w:val="28"/>
          <w:highlight w:val="none"/>
          <w:lang w:val="en-US" w:eastAsia="zh-CN"/>
        </w:rPr>
        <w:t>河南同创实业有限公司</w:t>
      </w:r>
    </w:p>
    <w:p w14:paraId="32147746">
      <w:pPr>
        <w:spacing w:line="480" w:lineRule="auto"/>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 xml:space="preserve">委托代理人： </w:t>
      </w:r>
      <w:r>
        <w:rPr>
          <w:rFonts w:hint="eastAsia" w:ascii="仿宋" w:hAnsi="仿宋" w:eastAsia="仿宋" w:cs="仿宋"/>
          <w:b/>
          <w:color w:val="auto"/>
          <w:sz w:val="28"/>
          <w:szCs w:val="28"/>
          <w:highlight w:val="none"/>
          <w:lang w:val="en-US" w:eastAsia="zh-CN"/>
        </w:rPr>
        <w:t>李声威</w:t>
      </w:r>
      <w:r>
        <w:rPr>
          <w:rFonts w:hint="eastAsia" w:ascii="仿宋" w:hAnsi="仿宋" w:eastAsia="仿宋" w:cs="仿宋"/>
          <w:b/>
          <w:color w:val="auto"/>
          <w:sz w:val="28"/>
          <w:szCs w:val="28"/>
          <w:highlight w:val="none"/>
        </w:rPr>
        <w:t xml:space="preserve">             </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委托代理人：</w:t>
      </w:r>
      <w:r>
        <w:rPr>
          <w:rFonts w:hint="eastAsia" w:ascii="仿宋" w:hAnsi="仿宋" w:eastAsia="仿宋" w:cs="仿宋"/>
          <w:b/>
          <w:color w:val="auto"/>
          <w:sz w:val="28"/>
          <w:szCs w:val="28"/>
          <w:highlight w:val="none"/>
          <w:lang w:val="en-US" w:eastAsia="zh-CN"/>
        </w:rPr>
        <w:t>吴少冲</w:t>
      </w:r>
    </w:p>
    <w:p w14:paraId="132396A4">
      <w:pPr>
        <w:keepNext w:val="0"/>
        <w:keepLines w:val="0"/>
        <w:pageBreakBefore w:val="0"/>
        <w:widowControl w:val="0"/>
        <w:kinsoku/>
        <w:wordWrap/>
        <w:overflowPunct/>
        <w:topLinePunct w:val="0"/>
        <w:autoSpaceDE/>
        <w:autoSpaceDN/>
        <w:bidi w:val="0"/>
        <w:adjustRightInd/>
        <w:snapToGrid/>
        <w:spacing w:line="480" w:lineRule="auto"/>
        <w:ind w:left="0" w:right="-840" w:rightChars="-400" w:hanging="4216" w:hangingChars="1500"/>
        <w:textAlignment w:val="auto"/>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地址： 河南省郑州市</w:t>
      </w:r>
      <w:r>
        <w:rPr>
          <w:rFonts w:hint="eastAsia" w:ascii="仿宋" w:hAnsi="仿宋" w:eastAsia="仿宋" w:cs="仿宋"/>
          <w:b/>
          <w:color w:val="auto"/>
          <w:sz w:val="28"/>
          <w:szCs w:val="28"/>
          <w:highlight w:val="none"/>
          <w:lang w:val="en-US" w:eastAsia="zh-CN"/>
        </w:rPr>
        <w:t xml:space="preserve">郑东新区 </w:t>
      </w:r>
      <w:r>
        <w:rPr>
          <w:rFonts w:hint="eastAsia" w:ascii="仿宋" w:hAnsi="仿宋" w:eastAsia="仿宋" w:cs="仿宋"/>
          <w:b/>
          <w:color w:val="auto"/>
          <w:sz w:val="28"/>
          <w:szCs w:val="28"/>
          <w:highlight w:val="none"/>
        </w:rPr>
        <w:t>地址：河南省郑州市郑东新区聚源路宏</w:t>
      </w:r>
      <w:r>
        <w:rPr>
          <w:rFonts w:hint="eastAsia" w:ascii="仿宋" w:hAnsi="仿宋" w:eastAsia="仿宋" w:cs="仿宋"/>
          <w:b/>
          <w:color w:val="auto"/>
          <w:sz w:val="28"/>
          <w:szCs w:val="28"/>
          <w:highlight w:val="none"/>
          <w:lang w:val="en-US" w:eastAsia="zh-CN"/>
        </w:rPr>
        <w:t>图</w:t>
      </w:r>
      <w:r>
        <w:rPr>
          <w:rFonts w:hint="eastAsia" w:ascii="仿宋" w:hAnsi="仿宋" w:eastAsia="仿宋" w:cs="仿宋"/>
          <w:b/>
          <w:color w:val="auto"/>
          <w:sz w:val="28"/>
          <w:szCs w:val="28"/>
          <w:highlight w:val="none"/>
        </w:rPr>
        <w:t>街</w:t>
      </w:r>
      <w:r>
        <w:rPr>
          <w:rFonts w:hint="eastAsia" w:ascii="仿宋" w:hAnsi="仿宋" w:eastAsia="仿宋" w:cs="仿宋"/>
          <w:b/>
          <w:color w:val="auto"/>
          <w:sz w:val="28"/>
          <w:szCs w:val="28"/>
          <w:highlight w:val="none"/>
          <w:lang w:eastAsia="zh-CN"/>
        </w:rPr>
        <w:t>、</w:t>
      </w:r>
    </w:p>
    <w:p w14:paraId="5B53A7F9">
      <w:pPr>
        <w:keepNext w:val="0"/>
        <w:keepLines w:val="0"/>
        <w:pageBreakBefore w:val="0"/>
        <w:widowControl w:val="0"/>
        <w:kinsoku/>
        <w:wordWrap/>
        <w:overflowPunct/>
        <w:topLinePunct w:val="0"/>
        <w:autoSpaceDE/>
        <w:autoSpaceDN/>
        <w:bidi w:val="0"/>
        <w:adjustRightInd/>
        <w:snapToGrid/>
        <w:spacing w:line="480" w:lineRule="auto"/>
        <w:ind w:left="4216" w:right="-630" w:rightChars="-300" w:hanging="4216" w:hangingChars="15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明理路北段</w:t>
      </w:r>
      <w:r>
        <w:rPr>
          <w:rFonts w:hint="eastAsia" w:ascii="仿宋" w:hAnsi="仿宋" w:eastAsia="仿宋" w:cs="仿宋"/>
          <w:b/>
          <w:color w:val="auto"/>
          <w:sz w:val="28"/>
          <w:szCs w:val="28"/>
          <w:highlight w:val="none"/>
        </w:rPr>
        <w:t xml:space="preserve"> </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聚源国际西塔49号13层1311号</w:t>
      </w:r>
    </w:p>
    <w:p w14:paraId="29D294E4">
      <w:pPr>
        <w:keepNext w:val="0"/>
        <w:keepLines w:val="0"/>
        <w:pageBreakBefore w:val="0"/>
        <w:widowControl w:val="0"/>
        <w:kinsoku/>
        <w:wordWrap/>
        <w:overflowPunct/>
        <w:topLinePunct w:val="0"/>
        <w:autoSpaceDE/>
        <w:autoSpaceDN/>
        <w:bidi w:val="0"/>
        <w:adjustRightInd/>
        <w:snapToGrid/>
        <w:spacing w:line="480" w:lineRule="auto"/>
        <w:ind w:left="4216" w:right="-630" w:rightChars="-300" w:hanging="4216" w:hangingChars="1500"/>
        <w:textAlignment w:val="auto"/>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 xml:space="preserve">                           电话：15617687794</w:t>
      </w:r>
    </w:p>
    <w:p w14:paraId="21C44D18">
      <w:pPr>
        <w:spacing w:line="480" w:lineRule="auto"/>
        <w:rPr>
          <w:rFonts w:hint="eastAsia" w:ascii="仿宋" w:hAnsi="仿宋" w:eastAsia="仿宋" w:cs="仿宋"/>
          <w:b/>
          <w:color w:val="auto"/>
          <w:sz w:val="28"/>
          <w:szCs w:val="28"/>
        </w:rPr>
      </w:pPr>
    </w:p>
    <w:p w14:paraId="42499879">
      <w:pPr>
        <w:spacing w:line="480" w:lineRule="auto"/>
        <w:rPr>
          <w:rFonts w:hint="eastAsia" w:ascii="仿宋" w:hAnsi="仿宋" w:eastAsia="仿宋" w:cs="仿宋"/>
          <w:b/>
          <w:color w:val="auto"/>
          <w:sz w:val="28"/>
          <w:szCs w:val="28"/>
          <w:u w:val="single"/>
        </w:rPr>
      </w:pPr>
    </w:p>
    <w:p w14:paraId="17BECABD">
      <w:pPr>
        <w:spacing w:line="360" w:lineRule="auto"/>
        <w:rPr>
          <w:rFonts w:hint="eastAsia" w:ascii="仿宋" w:hAnsi="仿宋" w:eastAsia="仿宋" w:cs="仿宋"/>
          <w:color w:val="auto"/>
          <w:sz w:val="28"/>
          <w:szCs w:val="28"/>
        </w:rPr>
      </w:pPr>
    </w:p>
    <w:p w14:paraId="0D746105">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附件（1）设备技术规格</w:t>
      </w:r>
    </w:p>
    <w:p w14:paraId="44BAC4AC">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附件（2）售后服务计划</w:t>
      </w:r>
    </w:p>
    <w:p w14:paraId="302D692A">
      <w:pPr>
        <w:spacing w:before="91" w:line="219" w:lineRule="auto"/>
        <w:ind w:firstLine="516" w:firstLineChars="200"/>
        <w:rPr>
          <w:rFonts w:ascii="仿宋" w:hAnsi="仿宋" w:eastAsia="仿宋" w:cs="仿宋"/>
          <w:sz w:val="28"/>
          <w:szCs w:val="28"/>
          <w:lang w:eastAsia="zh-CN"/>
        </w:rPr>
      </w:pPr>
      <w:r>
        <w:rPr>
          <w:rFonts w:ascii="仿宋" w:hAnsi="仿宋" w:eastAsia="仿宋" w:cs="仿宋"/>
          <w:spacing w:val="-11"/>
          <w:sz w:val="28"/>
          <w:szCs w:val="28"/>
          <w:lang w:eastAsia="zh-CN"/>
        </w:rPr>
        <w:t>中标通知书</w:t>
      </w:r>
    </w:p>
    <w:p w14:paraId="4C17DBBE">
      <w:pPr>
        <w:spacing w:line="360" w:lineRule="auto"/>
        <w:ind w:firstLine="556" w:firstLineChars="200"/>
        <w:rPr>
          <w:rFonts w:hint="eastAsia" w:ascii="仿宋" w:hAnsi="仿宋" w:eastAsia="仿宋" w:cs="仿宋"/>
          <w:color w:val="auto"/>
          <w:sz w:val="28"/>
          <w:szCs w:val="28"/>
        </w:rPr>
      </w:pPr>
      <w:r>
        <w:rPr>
          <w:rFonts w:ascii="仿宋" w:hAnsi="仿宋" w:eastAsia="仿宋" w:cs="仿宋"/>
          <w:spacing w:val="-1"/>
          <w:sz w:val="28"/>
          <w:szCs w:val="28"/>
          <w:lang w:eastAsia="zh-CN"/>
        </w:rPr>
        <w:t>扫描中标通知书后单独一页附在最后</w:t>
      </w:r>
    </w:p>
    <w:p w14:paraId="12286A3A">
      <w:pPr>
        <w:spacing w:line="480" w:lineRule="auto"/>
        <w:rPr>
          <w:rFonts w:hint="eastAsia" w:ascii="仿宋" w:hAnsi="仿宋" w:eastAsia="仿宋" w:cs="仿宋"/>
          <w:b/>
          <w:color w:val="auto"/>
          <w:sz w:val="28"/>
          <w:szCs w:val="28"/>
          <w:lang w:eastAsia="zh-CN"/>
        </w:rPr>
        <w:sectPr>
          <w:footerReference r:id="rId6" w:type="default"/>
          <w:pgSz w:w="11906" w:h="16838"/>
          <w:pgMar w:top="1440" w:right="1800" w:bottom="1440" w:left="1800" w:header="851" w:footer="992" w:gutter="0"/>
          <w:cols w:space="720" w:num="1"/>
          <w:docGrid w:type="lines" w:linePitch="312" w:charSpace="0"/>
        </w:sectPr>
      </w:pPr>
    </w:p>
    <w:p w14:paraId="624954FD">
      <w:pPr>
        <w:spacing w:line="320" w:lineRule="exact"/>
        <w:jc w:val="left"/>
        <w:rPr>
          <w:rFonts w:hint="eastAsia" w:ascii="仿宋" w:hAnsi="仿宋" w:eastAsia="仿宋" w:cs="仿宋"/>
          <w:b/>
          <w:color w:val="auto"/>
          <w:sz w:val="28"/>
          <w:szCs w:val="28"/>
        </w:rPr>
      </w:pPr>
      <w:r>
        <w:rPr>
          <w:rFonts w:hint="eastAsia" w:ascii="仿宋" w:hAnsi="仿宋" w:eastAsia="仿宋" w:cs="仿宋"/>
          <w:b/>
          <w:color w:val="auto"/>
          <w:sz w:val="28"/>
          <w:szCs w:val="28"/>
        </w:rPr>
        <w:t>附件（1）：详细技术参数、规格及配置清单</w:t>
      </w:r>
    </w:p>
    <w:p w14:paraId="324E5995">
      <w:pPr>
        <w:spacing w:line="320" w:lineRule="exact"/>
        <w:jc w:val="left"/>
        <w:rPr>
          <w:rFonts w:hint="eastAsia" w:ascii="仿宋" w:hAnsi="仿宋" w:eastAsia="仿宋" w:cs="仿宋"/>
          <w:b/>
          <w:color w:val="auto"/>
          <w:sz w:val="28"/>
          <w:szCs w:val="28"/>
        </w:rPr>
      </w:pPr>
    </w:p>
    <w:tbl>
      <w:tblPr>
        <w:tblStyle w:val="5"/>
        <w:tblW w:w="9844" w:type="dxa"/>
        <w:jc w:val="center"/>
        <w:tblLayout w:type="fixed"/>
        <w:tblCellMar>
          <w:top w:w="0" w:type="dxa"/>
          <w:left w:w="108" w:type="dxa"/>
          <w:bottom w:w="0" w:type="dxa"/>
          <w:right w:w="108" w:type="dxa"/>
        </w:tblCellMar>
      </w:tblPr>
      <w:tblGrid>
        <w:gridCol w:w="698"/>
        <w:gridCol w:w="1137"/>
        <w:gridCol w:w="1391"/>
        <w:gridCol w:w="4629"/>
        <w:gridCol w:w="992"/>
        <w:gridCol w:w="997"/>
      </w:tblGrid>
      <w:tr w14:paraId="4FD709BD">
        <w:tblPrEx>
          <w:tblCellMar>
            <w:top w:w="0" w:type="dxa"/>
            <w:left w:w="108" w:type="dxa"/>
            <w:bottom w:w="0" w:type="dxa"/>
            <w:right w:w="108" w:type="dxa"/>
          </w:tblCellMar>
        </w:tblPrEx>
        <w:trPr>
          <w:trHeight w:val="889" w:hRule="atLeast"/>
          <w:jc w:val="center"/>
        </w:trPr>
        <w:tc>
          <w:tcPr>
            <w:tcW w:w="698" w:type="dxa"/>
            <w:tcBorders>
              <w:top w:val="single" w:color="000000" w:sz="4" w:space="0"/>
              <w:left w:val="single" w:color="000000" w:sz="4" w:space="0"/>
              <w:bottom w:val="single" w:color="000000" w:sz="4" w:space="0"/>
              <w:right w:val="single" w:color="000000" w:sz="4" w:space="0"/>
            </w:tcBorders>
            <w:vAlign w:val="center"/>
          </w:tcPr>
          <w:p w14:paraId="66DD1B1E">
            <w:pPr>
              <w:widowControl/>
              <w:snapToGrid w:val="0"/>
              <w:spacing w:line="460" w:lineRule="atLeast"/>
              <w:jc w:val="center"/>
              <w:rPr>
                <w:rFonts w:hint="eastAsia" w:ascii="仿宋" w:hAnsi="仿宋" w:eastAsia="仿宋" w:cs="仿宋"/>
                <w:b/>
                <w:bCs/>
                <w:color w:val="auto"/>
                <w:spacing w:val="10"/>
                <w:kern w:val="0"/>
                <w:sz w:val="21"/>
                <w:szCs w:val="21"/>
                <w:lang w:val="en-US" w:eastAsia="zh-CN"/>
              </w:rPr>
            </w:pPr>
            <w:r>
              <w:rPr>
                <w:rFonts w:hint="eastAsia" w:ascii="仿宋" w:hAnsi="仿宋" w:eastAsia="仿宋" w:cs="仿宋"/>
                <w:b/>
                <w:bCs/>
                <w:color w:val="auto"/>
                <w:spacing w:val="10"/>
                <w:kern w:val="0"/>
                <w:sz w:val="21"/>
                <w:szCs w:val="21"/>
                <w:lang w:val="en-US" w:eastAsia="zh-CN"/>
              </w:rPr>
              <w:t>序号</w:t>
            </w:r>
          </w:p>
        </w:tc>
        <w:tc>
          <w:tcPr>
            <w:tcW w:w="1137" w:type="dxa"/>
            <w:tcBorders>
              <w:top w:val="single" w:color="000000" w:sz="4" w:space="0"/>
              <w:left w:val="single" w:color="000000" w:sz="4" w:space="0"/>
              <w:bottom w:val="single" w:color="000000" w:sz="4" w:space="0"/>
              <w:right w:val="single" w:color="000000" w:sz="4" w:space="0"/>
            </w:tcBorders>
            <w:vAlign w:val="center"/>
          </w:tcPr>
          <w:p w14:paraId="361BD175">
            <w:pPr>
              <w:widowControl/>
              <w:snapToGrid w:val="0"/>
              <w:spacing w:line="460" w:lineRule="atLeast"/>
              <w:jc w:val="center"/>
              <w:rPr>
                <w:rFonts w:hint="eastAsia" w:ascii="仿宋" w:hAnsi="仿宋" w:eastAsia="仿宋" w:cs="仿宋"/>
                <w:b/>
                <w:bCs/>
                <w:color w:val="auto"/>
                <w:spacing w:val="10"/>
                <w:kern w:val="0"/>
                <w:sz w:val="21"/>
                <w:szCs w:val="21"/>
              </w:rPr>
            </w:pPr>
            <w:r>
              <w:rPr>
                <w:rFonts w:hint="eastAsia" w:ascii="仿宋" w:hAnsi="仿宋" w:eastAsia="仿宋" w:cs="仿宋"/>
                <w:b/>
                <w:bCs/>
                <w:color w:val="auto"/>
                <w:spacing w:val="10"/>
                <w:kern w:val="0"/>
                <w:sz w:val="21"/>
                <w:szCs w:val="21"/>
              </w:rPr>
              <w:t>名称</w:t>
            </w:r>
          </w:p>
        </w:tc>
        <w:tc>
          <w:tcPr>
            <w:tcW w:w="1391" w:type="dxa"/>
            <w:tcBorders>
              <w:top w:val="single" w:color="000000" w:sz="4" w:space="0"/>
              <w:left w:val="nil"/>
              <w:bottom w:val="single" w:color="000000" w:sz="4" w:space="0"/>
              <w:right w:val="single" w:color="000000" w:sz="4" w:space="0"/>
            </w:tcBorders>
            <w:vAlign w:val="center"/>
          </w:tcPr>
          <w:p w14:paraId="6C22796D">
            <w:pPr>
              <w:widowControl/>
              <w:snapToGrid w:val="0"/>
              <w:spacing w:line="460" w:lineRule="atLeast"/>
              <w:jc w:val="center"/>
              <w:rPr>
                <w:rFonts w:hint="eastAsia" w:ascii="仿宋" w:hAnsi="仿宋" w:eastAsia="仿宋" w:cs="仿宋"/>
                <w:b/>
                <w:bCs/>
                <w:color w:val="auto"/>
                <w:spacing w:val="10"/>
                <w:kern w:val="0"/>
                <w:sz w:val="21"/>
                <w:szCs w:val="21"/>
              </w:rPr>
            </w:pPr>
            <w:r>
              <w:rPr>
                <w:rFonts w:hint="eastAsia" w:ascii="仿宋" w:hAnsi="仿宋" w:eastAsia="仿宋" w:cs="仿宋"/>
                <w:b/>
                <w:bCs/>
                <w:color w:val="auto"/>
                <w:spacing w:val="10"/>
                <w:kern w:val="0"/>
                <w:sz w:val="21"/>
                <w:szCs w:val="21"/>
              </w:rPr>
              <w:t>型号</w:t>
            </w:r>
          </w:p>
        </w:tc>
        <w:tc>
          <w:tcPr>
            <w:tcW w:w="4629" w:type="dxa"/>
            <w:tcBorders>
              <w:top w:val="single" w:color="000000" w:sz="4" w:space="0"/>
              <w:left w:val="nil"/>
              <w:bottom w:val="single" w:color="000000" w:sz="4" w:space="0"/>
              <w:right w:val="single" w:color="000000" w:sz="4" w:space="0"/>
            </w:tcBorders>
            <w:vAlign w:val="center"/>
          </w:tcPr>
          <w:p w14:paraId="02935419">
            <w:pPr>
              <w:widowControl/>
              <w:snapToGrid w:val="0"/>
              <w:spacing w:line="460" w:lineRule="atLeast"/>
              <w:jc w:val="center"/>
              <w:rPr>
                <w:rFonts w:hint="eastAsia" w:ascii="仿宋" w:hAnsi="仿宋" w:eastAsia="仿宋" w:cs="仿宋"/>
                <w:b/>
                <w:bCs/>
                <w:color w:val="auto"/>
                <w:spacing w:val="10"/>
                <w:kern w:val="0"/>
                <w:sz w:val="21"/>
                <w:szCs w:val="21"/>
              </w:rPr>
            </w:pPr>
            <w:r>
              <w:rPr>
                <w:rFonts w:hint="eastAsia" w:ascii="仿宋" w:hAnsi="仿宋" w:eastAsia="仿宋" w:cs="仿宋"/>
                <w:b/>
                <w:bCs/>
                <w:color w:val="auto"/>
                <w:spacing w:val="10"/>
                <w:kern w:val="0"/>
                <w:sz w:val="21"/>
                <w:szCs w:val="21"/>
              </w:rPr>
              <w:t>规格、参数</w:t>
            </w:r>
          </w:p>
        </w:tc>
        <w:tc>
          <w:tcPr>
            <w:tcW w:w="992" w:type="dxa"/>
            <w:tcBorders>
              <w:top w:val="single" w:color="000000" w:sz="4" w:space="0"/>
              <w:left w:val="nil"/>
              <w:bottom w:val="single" w:color="000000" w:sz="4" w:space="0"/>
              <w:right w:val="single" w:color="000000" w:sz="4" w:space="0"/>
            </w:tcBorders>
            <w:vAlign w:val="center"/>
          </w:tcPr>
          <w:p w14:paraId="57F769CC">
            <w:pPr>
              <w:widowControl/>
              <w:snapToGrid w:val="0"/>
              <w:spacing w:line="460" w:lineRule="atLeast"/>
              <w:jc w:val="center"/>
              <w:rPr>
                <w:rFonts w:hint="eastAsia" w:ascii="仿宋" w:hAnsi="仿宋" w:eastAsia="仿宋" w:cs="仿宋"/>
                <w:b/>
                <w:bCs/>
                <w:color w:val="auto"/>
                <w:spacing w:val="10"/>
                <w:kern w:val="0"/>
                <w:sz w:val="21"/>
                <w:szCs w:val="21"/>
              </w:rPr>
            </w:pPr>
            <w:r>
              <w:rPr>
                <w:rFonts w:hint="eastAsia" w:ascii="仿宋" w:hAnsi="仿宋" w:eastAsia="仿宋" w:cs="仿宋"/>
                <w:b/>
                <w:bCs/>
                <w:color w:val="auto"/>
                <w:spacing w:val="10"/>
                <w:kern w:val="0"/>
                <w:sz w:val="21"/>
                <w:szCs w:val="21"/>
              </w:rPr>
              <w:t>原产地</w:t>
            </w:r>
          </w:p>
        </w:tc>
        <w:tc>
          <w:tcPr>
            <w:tcW w:w="997" w:type="dxa"/>
            <w:tcBorders>
              <w:top w:val="single" w:color="000000" w:sz="4" w:space="0"/>
              <w:left w:val="nil"/>
              <w:bottom w:val="single" w:color="000000" w:sz="4" w:space="0"/>
              <w:right w:val="single" w:color="000000" w:sz="4" w:space="0"/>
            </w:tcBorders>
            <w:vAlign w:val="center"/>
          </w:tcPr>
          <w:p w14:paraId="31064A74">
            <w:pPr>
              <w:widowControl/>
              <w:snapToGrid w:val="0"/>
              <w:spacing w:line="460" w:lineRule="atLeast"/>
              <w:jc w:val="center"/>
              <w:rPr>
                <w:rFonts w:hint="eastAsia" w:ascii="仿宋" w:hAnsi="仿宋" w:eastAsia="仿宋" w:cs="仿宋"/>
                <w:b/>
                <w:bCs/>
                <w:color w:val="auto"/>
                <w:spacing w:val="10"/>
                <w:kern w:val="0"/>
                <w:sz w:val="21"/>
                <w:szCs w:val="21"/>
              </w:rPr>
            </w:pPr>
            <w:r>
              <w:rPr>
                <w:rFonts w:hint="eastAsia" w:ascii="仿宋" w:hAnsi="仿宋" w:eastAsia="仿宋" w:cs="仿宋"/>
                <w:b/>
                <w:bCs/>
                <w:color w:val="auto"/>
                <w:spacing w:val="10"/>
                <w:kern w:val="0"/>
                <w:sz w:val="21"/>
                <w:szCs w:val="21"/>
              </w:rPr>
              <w:t>生产厂家</w:t>
            </w:r>
          </w:p>
        </w:tc>
      </w:tr>
      <w:tr w14:paraId="07AC537F">
        <w:tblPrEx>
          <w:tblCellMar>
            <w:top w:w="0" w:type="dxa"/>
            <w:left w:w="108" w:type="dxa"/>
            <w:bottom w:w="0" w:type="dxa"/>
            <w:right w:w="108" w:type="dxa"/>
          </w:tblCellMar>
        </w:tblPrEx>
        <w:trPr>
          <w:trHeight w:val="888" w:hRule="atLeast"/>
          <w:jc w:val="center"/>
        </w:trPr>
        <w:tc>
          <w:tcPr>
            <w:tcW w:w="698" w:type="dxa"/>
            <w:tcBorders>
              <w:top w:val="single" w:color="000000" w:sz="4" w:space="0"/>
              <w:left w:val="single" w:color="000000" w:sz="4" w:space="0"/>
              <w:bottom w:val="single" w:color="000000" w:sz="4" w:space="0"/>
              <w:right w:val="single" w:color="000000" w:sz="4" w:space="0"/>
            </w:tcBorders>
            <w:vAlign w:val="center"/>
          </w:tcPr>
          <w:p w14:paraId="2B2E32BA">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w:t>
            </w:r>
          </w:p>
        </w:tc>
        <w:tc>
          <w:tcPr>
            <w:tcW w:w="1137" w:type="dxa"/>
            <w:tcBorders>
              <w:top w:val="single" w:color="000000" w:sz="4" w:space="0"/>
              <w:left w:val="single" w:color="000000" w:sz="4" w:space="0"/>
              <w:bottom w:val="single" w:color="000000" w:sz="4" w:space="0"/>
              <w:right w:val="single" w:color="000000" w:sz="4" w:space="0"/>
            </w:tcBorders>
            <w:vAlign w:val="center"/>
          </w:tcPr>
          <w:p w14:paraId="0850C9CC">
            <w:pPr>
              <w:widowControl/>
              <w:jc w:val="center"/>
              <w:rPr>
                <w:rFonts w:hint="eastAsia" w:ascii="仿宋" w:hAnsi="仿宋" w:eastAsia="仿宋" w:cs="仿宋"/>
                <w:color w:val="auto"/>
                <w:kern w:val="0"/>
                <w:sz w:val="21"/>
                <w:szCs w:val="21"/>
              </w:rPr>
            </w:pPr>
          </w:p>
          <w:p w14:paraId="23A5F0C1">
            <w:pPr>
              <w:widowControl/>
              <w:jc w:val="center"/>
              <w:rPr>
                <w:rFonts w:hint="eastAsia" w:ascii="仿宋" w:hAnsi="仿宋" w:eastAsia="仿宋" w:cs="仿宋"/>
                <w:color w:val="auto"/>
                <w:kern w:val="0"/>
                <w:sz w:val="21"/>
                <w:szCs w:val="21"/>
              </w:rPr>
            </w:pPr>
          </w:p>
          <w:p w14:paraId="7A485041">
            <w:pPr>
              <w:widowControl/>
              <w:jc w:val="center"/>
              <w:rPr>
                <w:rFonts w:hint="eastAsia" w:ascii="仿宋" w:hAnsi="仿宋" w:eastAsia="仿宋" w:cs="仿宋"/>
                <w:sz w:val="21"/>
                <w:szCs w:val="21"/>
                <w:lang w:val="en-US" w:eastAsia="zh-CN"/>
              </w:rPr>
            </w:pPr>
          </w:p>
          <w:p w14:paraId="6961B909">
            <w:pPr>
              <w:widowControl/>
              <w:jc w:val="center"/>
              <w:rPr>
                <w:rFonts w:hint="eastAsia" w:ascii="仿宋" w:hAnsi="仿宋" w:eastAsia="仿宋" w:cs="仿宋"/>
                <w:sz w:val="21"/>
                <w:szCs w:val="21"/>
                <w:lang w:val="en-US" w:eastAsia="zh-CN"/>
              </w:rPr>
            </w:pPr>
          </w:p>
          <w:p w14:paraId="4463281B">
            <w:pPr>
              <w:widowControl/>
              <w:jc w:val="center"/>
              <w:rPr>
                <w:rFonts w:hint="eastAsia" w:ascii="仿宋" w:hAnsi="仿宋" w:eastAsia="仿宋" w:cs="仿宋"/>
                <w:sz w:val="21"/>
                <w:szCs w:val="21"/>
                <w:lang w:val="en-US" w:eastAsia="zh-CN"/>
              </w:rPr>
            </w:pPr>
          </w:p>
          <w:p w14:paraId="4D9913E4">
            <w:pPr>
              <w:widowControl/>
              <w:jc w:val="center"/>
              <w:rPr>
                <w:rFonts w:hint="eastAsia" w:ascii="仿宋" w:hAnsi="仿宋" w:eastAsia="仿宋" w:cs="仿宋"/>
                <w:sz w:val="21"/>
                <w:szCs w:val="21"/>
                <w:lang w:val="en-US" w:eastAsia="zh-CN"/>
              </w:rPr>
            </w:pPr>
          </w:p>
          <w:p w14:paraId="4098281F">
            <w:pPr>
              <w:widowControl/>
              <w:jc w:val="center"/>
              <w:rPr>
                <w:rFonts w:hint="eastAsia" w:ascii="仿宋" w:hAnsi="仿宋" w:eastAsia="仿宋" w:cs="仿宋"/>
                <w:sz w:val="21"/>
                <w:szCs w:val="21"/>
                <w:lang w:val="en-US" w:eastAsia="zh-CN"/>
              </w:rPr>
            </w:pPr>
          </w:p>
          <w:p w14:paraId="4ABEDEC5">
            <w:pPr>
              <w:widowControl/>
              <w:jc w:val="center"/>
              <w:rPr>
                <w:rFonts w:hint="eastAsia" w:ascii="仿宋" w:hAnsi="仿宋" w:eastAsia="仿宋" w:cs="仿宋"/>
                <w:sz w:val="21"/>
                <w:szCs w:val="21"/>
                <w:lang w:val="en-US" w:eastAsia="zh-CN"/>
              </w:rPr>
            </w:pPr>
          </w:p>
          <w:p w14:paraId="087008A7">
            <w:pPr>
              <w:widowControl/>
              <w:jc w:val="center"/>
              <w:rPr>
                <w:rFonts w:hint="eastAsia" w:ascii="仿宋" w:hAnsi="仿宋" w:eastAsia="仿宋" w:cs="仿宋"/>
                <w:sz w:val="21"/>
                <w:szCs w:val="21"/>
                <w:lang w:val="en-US" w:eastAsia="zh-CN"/>
              </w:rPr>
            </w:pPr>
          </w:p>
          <w:p w14:paraId="7DA24839">
            <w:pPr>
              <w:widowControl/>
              <w:jc w:val="center"/>
              <w:rPr>
                <w:rFonts w:hint="eastAsia" w:ascii="仿宋" w:hAnsi="仿宋" w:eastAsia="仿宋" w:cs="仿宋"/>
                <w:sz w:val="21"/>
                <w:szCs w:val="21"/>
                <w:lang w:val="en-US" w:eastAsia="zh-CN"/>
              </w:rPr>
            </w:pPr>
          </w:p>
          <w:p w14:paraId="1F0B1379">
            <w:pPr>
              <w:widowControl/>
              <w:jc w:val="center"/>
              <w:rPr>
                <w:rFonts w:hint="eastAsia" w:ascii="仿宋" w:hAnsi="仿宋" w:eastAsia="仿宋" w:cs="仿宋"/>
                <w:color w:val="auto"/>
                <w:kern w:val="0"/>
                <w:sz w:val="21"/>
                <w:szCs w:val="21"/>
              </w:rPr>
            </w:pPr>
            <w:r>
              <w:rPr>
                <w:rFonts w:hint="eastAsia" w:ascii="仿宋" w:hAnsi="仿宋" w:eastAsia="仿宋" w:cs="仿宋"/>
                <w:sz w:val="21"/>
                <w:szCs w:val="21"/>
                <w:lang w:val="en-US" w:eastAsia="zh-CN"/>
              </w:rPr>
              <w:t>荧光定量PCR仪</w:t>
            </w:r>
          </w:p>
          <w:p w14:paraId="705F35D2">
            <w:pPr>
              <w:widowControl/>
              <w:jc w:val="center"/>
              <w:rPr>
                <w:rFonts w:hint="eastAsia" w:ascii="仿宋" w:hAnsi="仿宋" w:eastAsia="仿宋" w:cs="仿宋"/>
                <w:color w:val="auto"/>
                <w:kern w:val="0"/>
                <w:sz w:val="21"/>
                <w:szCs w:val="21"/>
              </w:rPr>
            </w:pPr>
          </w:p>
          <w:p w14:paraId="628F44C6">
            <w:pPr>
              <w:widowControl/>
              <w:jc w:val="center"/>
              <w:rPr>
                <w:rFonts w:hint="eastAsia" w:ascii="仿宋" w:hAnsi="仿宋" w:eastAsia="仿宋" w:cs="仿宋"/>
                <w:color w:val="auto"/>
                <w:kern w:val="0"/>
                <w:sz w:val="21"/>
                <w:szCs w:val="21"/>
              </w:rPr>
            </w:pPr>
          </w:p>
          <w:p w14:paraId="18478DC1">
            <w:pPr>
              <w:widowControl/>
              <w:jc w:val="center"/>
              <w:rPr>
                <w:rFonts w:hint="eastAsia" w:ascii="仿宋" w:hAnsi="仿宋" w:eastAsia="仿宋" w:cs="仿宋"/>
                <w:color w:val="auto"/>
                <w:kern w:val="0"/>
                <w:sz w:val="21"/>
                <w:szCs w:val="21"/>
              </w:rPr>
            </w:pPr>
          </w:p>
          <w:p w14:paraId="09A235E3">
            <w:pPr>
              <w:widowControl/>
              <w:jc w:val="center"/>
              <w:rPr>
                <w:rFonts w:hint="eastAsia" w:ascii="仿宋" w:hAnsi="仿宋" w:eastAsia="仿宋" w:cs="仿宋"/>
                <w:color w:val="auto"/>
                <w:kern w:val="0"/>
                <w:sz w:val="21"/>
                <w:szCs w:val="21"/>
              </w:rPr>
            </w:pPr>
          </w:p>
          <w:p w14:paraId="7F4E9083">
            <w:pPr>
              <w:widowControl/>
              <w:jc w:val="center"/>
              <w:rPr>
                <w:rFonts w:hint="eastAsia" w:ascii="仿宋" w:hAnsi="仿宋" w:eastAsia="仿宋" w:cs="仿宋"/>
                <w:color w:val="auto"/>
                <w:kern w:val="0"/>
                <w:sz w:val="21"/>
                <w:szCs w:val="21"/>
              </w:rPr>
            </w:pPr>
          </w:p>
          <w:p w14:paraId="54659A0E">
            <w:pPr>
              <w:widowControl/>
              <w:jc w:val="center"/>
              <w:rPr>
                <w:rFonts w:hint="eastAsia" w:ascii="仿宋" w:hAnsi="仿宋" w:eastAsia="仿宋" w:cs="仿宋"/>
                <w:color w:val="auto"/>
                <w:kern w:val="0"/>
                <w:sz w:val="21"/>
                <w:szCs w:val="21"/>
              </w:rPr>
            </w:pPr>
          </w:p>
          <w:p w14:paraId="3929F8F0">
            <w:pPr>
              <w:widowControl/>
              <w:jc w:val="center"/>
              <w:rPr>
                <w:rFonts w:hint="eastAsia" w:ascii="仿宋" w:hAnsi="仿宋" w:eastAsia="仿宋" w:cs="仿宋"/>
                <w:color w:val="auto"/>
                <w:kern w:val="0"/>
                <w:sz w:val="21"/>
                <w:szCs w:val="21"/>
              </w:rPr>
            </w:pPr>
          </w:p>
          <w:p w14:paraId="2695974F">
            <w:pPr>
              <w:widowControl/>
              <w:jc w:val="center"/>
              <w:rPr>
                <w:rFonts w:hint="eastAsia" w:ascii="仿宋" w:hAnsi="仿宋" w:eastAsia="仿宋" w:cs="仿宋"/>
                <w:color w:val="auto"/>
                <w:kern w:val="0"/>
                <w:sz w:val="21"/>
                <w:szCs w:val="21"/>
              </w:rPr>
            </w:pPr>
          </w:p>
          <w:p w14:paraId="61527DB5">
            <w:pPr>
              <w:widowControl/>
              <w:jc w:val="center"/>
              <w:rPr>
                <w:rFonts w:hint="eastAsia" w:ascii="仿宋" w:hAnsi="仿宋" w:eastAsia="仿宋" w:cs="仿宋"/>
                <w:color w:val="auto"/>
                <w:kern w:val="0"/>
                <w:sz w:val="21"/>
                <w:szCs w:val="21"/>
              </w:rPr>
            </w:pPr>
          </w:p>
          <w:p w14:paraId="71FB6B08">
            <w:pPr>
              <w:widowControl/>
              <w:jc w:val="center"/>
              <w:rPr>
                <w:rFonts w:hint="eastAsia" w:ascii="仿宋" w:hAnsi="仿宋" w:eastAsia="仿宋" w:cs="仿宋"/>
                <w:color w:val="auto"/>
                <w:kern w:val="0"/>
                <w:sz w:val="21"/>
                <w:szCs w:val="21"/>
              </w:rPr>
            </w:pPr>
          </w:p>
        </w:tc>
        <w:tc>
          <w:tcPr>
            <w:tcW w:w="1391" w:type="dxa"/>
            <w:tcBorders>
              <w:top w:val="single" w:color="000000" w:sz="4" w:space="0"/>
              <w:left w:val="nil"/>
              <w:bottom w:val="single" w:color="000000" w:sz="4" w:space="0"/>
              <w:right w:val="single" w:color="000000" w:sz="4" w:space="0"/>
            </w:tcBorders>
            <w:vAlign w:val="center"/>
          </w:tcPr>
          <w:p w14:paraId="1E618BF4">
            <w:pPr>
              <w:widowControl/>
              <w:ind w:firstLine="210" w:firstLineChars="100"/>
              <w:jc w:val="both"/>
              <w:rPr>
                <w:rFonts w:hint="eastAsia" w:ascii="仿宋" w:hAnsi="仿宋" w:eastAsia="仿宋" w:cs="仿宋"/>
                <w:color w:val="auto"/>
                <w:kern w:val="0"/>
                <w:sz w:val="21"/>
                <w:szCs w:val="21"/>
              </w:rPr>
            </w:pPr>
            <w:r>
              <w:rPr>
                <w:rFonts w:hint="eastAsia" w:ascii="宋体" w:hAnsi="宋体" w:cs="宋体"/>
                <w:color w:val="000000"/>
                <w:kern w:val="0"/>
                <w:sz w:val="21"/>
                <w:szCs w:val="21"/>
                <w:lang w:bidi="ar"/>
              </w:rPr>
              <w:t>LightCycler96</w:t>
            </w:r>
          </w:p>
        </w:tc>
        <w:tc>
          <w:tcPr>
            <w:tcW w:w="4629" w:type="dxa"/>
            <w:tcBorders>
              <w:top w:val="single" w:color="000000" w:sz="4" w:space="0"/>
              <w:left w:val="nil"/>
              <w:bottom w:val="single" w:color="000000" w:sz="4" w:space="0"/>
              <w:right w:val="single" w:color="000000" w:sz="4" w:space="0"/>
            </w:tcBorders>
            <w:vAlign w:val="center"/>
          </w:tcPr>
          <w:p w14:paraId="1AEA29F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1.功能：通过基因扩增能够完成基因表达的绝对定量、相对定量分析;高分辨熔解曲线分析;蛋白热稳定性分析等。用于生命科学的分子生物学方面的研究与开发。</w:t>
            </w:r>
          </w:p>
          <w:p w14:paraId="4842F22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2.设备配置：功能完整LightCycler96主机：1套。</w:t>
            </w:r>
          </w:p>
          <w:p w14:paraId="0AF9ACC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3.技术性能与参数要求</w:t>
            </w:r>
          </w:p>
          <w:p w14:paraId="6842619F">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 反应时间：40分钟（96孔板，40个循环）</w:t>
            </w:r>
          </w:p>
          <w:p w14:paraId="481127D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 检测模式：染料模式、水解探针、简单探针、分子信标、蝎型探针、高分辨率熔解曲线实验（HRM）等</w:t>
            </w:r>
          </w:p>
          <w:p w14:paraId="7441BAA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 线性范围：10个数量级</w:t>
            </w:r>
          </w:p>
          <w:p w14:paraId="19BDC78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3.4 检测灵敏度：可检测单拷贝基因； 精密度：≤1.5倍拷贝数差异，置信度≥99.8%</w:t>
            </w:r>
          </w:p>
          <w:p w14:paraId="47416F0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3.5反应体系：96孔0.1ml模块：应用于10-50uL体系</w:t>
            </w:r>
          </w:p>
          <w:p w14:paraId="0FCF0E6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3.6 荧光检测通道：4，无需手动颜色补偿；额外内置1个自动参比通道，荧光染料校正：无需ROX等被动染料校正</w:t>
            </w:r>
          </w:p>
          <w:p w14:paraId="17AF9FA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3.7具有基因表达的绝对定量、相对定量分析及高分辨熔解曲线分析等性能。</w:t>
            </w:r>
          </w:p>
          <w:p w14:paraId="421461B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 温控系统</w:t>
            </w:r>
          </w:p>
          <w:p w14:paraId="468A39C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3.8.1温控模块：银质半导体温控模块</w:t>
            </w:r>
          </w:p>
          <w:p w14:paraId="4854303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3.8.2温控模块的平均温控速率：6.8℃/s； 样本的平均温控速率：4.4℃/s；梯度PCR温控范围：37-98℃同时实现12个不同的温度梯度；温度准确性：±0.2℃（37-98℃）；温度均一性（Tm）：±0.2℃（37-98℃）；熔解曲线温度分辨率：0.04 ℃ (每摄氏度采集25个数据点)</w:t>
            </w:r>
          </w:p>
          <w:p w14:paraId="1DC1F4D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3.8.3高分辨熔解曲线反应时间：&lt;10分钟（65-95℃，整板每摄氏度采集25次数据）；熔解曲线反应时间：＜5分钟（65-95℃，整板每摄氏度采集25次数据）</w:t>
            </w:r>
          </w:p>
          <w:p w14:paraId="5EF33E0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 光学系统</w:t>
            </w:r>
          </w:p>
          <w:p w14:paraId="5008737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3.9.1光源：高强度白色固态光源；激发波长：390-710 nm，连续不间断；单个光源寿命：&gt; 10000小时；导光系统：192根等长独立光纤导光，完全消除光路边缘效应</w:t>
            </w:r>
          </w:p>
          <w:p w14:paraId="4F6E208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3.9.2 检测系统：CCD</w:t>
            </w:r>
          </w:p>
          <w:p w14:paraId="1BC9C95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3.9.3光路设计：所有样本同时检测，所有样本同时激发并采集数据，孔间无时间差； 全固定光路设计，无移动机械部件：支持，激发光源与检测系统在工作中无需移动，保证系统稳定性；免维护：支持，无需定期校正光路</w:t>
            </w:r>
          </w:p>
          <w:p w14:paraId="76ECF7A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 控制系统</w:t>
            </w:r>
          </w:p>
          <w:p w14:paraId="6CEE0671">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3.10.1微电脑控制， 控制界面：10.4英寸全彩色触控屏</w:t>
            </w:r>
          </w:p>
          <w:p w14:paraId="5FFE02D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3.10.2支持通过USB控制仪器运行程序和存储数据；可外接条形码扫描仪：是</w:t>
            </w:r>
          </w:p>
          <w:p w14:paraId="08208C6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3.10.3 单机模式：触控屏设定实验运行与主机控制，实时荧光显示； PC连接：实验设计，实时主机监控及分析；</w:t>
            </w:r>
          </w:p>
          <w:p w14:paraId="303012F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3.10.4网络模式：通过局域网进行实时主机监控；数据接收方式：PC连接模式下，直接同步获取数据；局域网模式下，通过网络连接获取数据，或设定仪器将实验数据作为电子邮件发送至指定邮箱</w:t>
            </w:r>
          </w:p>
          <w:p w14:paraId="10AECAB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3.11.分析软件功能</w:t>
            </w:r>
          </w:p>
          <w:p w14:paraId="07F6245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 xml:space="preserve">3.11.1支持的荧光染料种类开放：包括但不限于FAM™、SYBR®、Fluorescein、SYPRO® Orange、VIC®、JOE™、TET™、HEX™、TAMRA™、Texas Red®、Alexa Fluor 633、ResoLight、EvaGreen、LC Green、Cy3、Cy5、Yellow555、ROX、SYPRO Ruby、LC Red640、Snarf 1、Acid Fuchsin、Cy5.5等 </w:t>
            </w:r>
          </w:p>
          <w:p w14:paraId="0AC4747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3.11.2分析模式：具有定性定量（绝对定量、相对定量）、自动报告熔解温度、自动报告基因分型结果、高分辨率熔解曲线、阴阳性判读等功能，实时动态监测运行，扩增和检测同时进行。</w:t>
            </w:r>
          </w:p>
          <w:p w14:paraId="4A8DC16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4.相关要求</w:t>
            </w:r>
          </w:p>
          <w:p w14:paraId="0766768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4.1、安装、调试：生产厂家现场安装调试；</w:t>
            </w:r>
          </w:p>
          <w:p w14:paraId="38E1AB6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4.2、培训：生产厂家进行安装培训和售后培训；</w:t>
            </w:r>
          </w:p>
          <w:p w14:paraId="29B6B5F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4.3、技术资料：全套安装、操作和维护使用说明书，软件免费更新；</w:t>
            </w:r>
          </w:p>
          <w:p w14:paraId="2DFEACC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b/>
                <w:bCs/>
                <w:color w:val="auto"/>
                <w:spacing w:val="10"/>
                <w:kern w:val="0"/>
                <w:sz w:val="21"/>
                <w:szCs w:val="21"/>
              </w:rPr>
              <w:t>4.4、保修期：自验收合格日起整机（包括配件）2年全保，终身维护</w:t>
            </w:r>
            <w:r>
              <w:rPr>
                <w:rFonts w:hint="eastAsia" w:ascii="仿宋" w:hAnsi="仿宋" w:eastAsia="仿宋" w:cs="仿宋"/>
                <w:color w:val="auto"/>
                <w:spacing w:val="10"/>
                <w:kern w:val="0"/>
                <w:sz w:val="21"/>
                <w:szCs w:val="21"/>
              </w:rPr>
              <w:t xml:space="preserve"> ；</w:t>
            </w:r>
          </w:p>
          <w:p w14:paraId="5C0803F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4.5、保修点：制造厂家在河南省设有售后服务点，常驻河南工程师联系方式(见列表)及800或400售后电话：800 820 8864或400 820 8864；</w:t>
            </w:r>
          </w:p>
          <w:p w14:paraId="52CABBF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4.5、为了保证产品质量和售后服务，该设备已提供相关技术证明材料。</w:t>
            </w:r>
          </w:p>
        </w:tc>
        <w:tc>
          <w:tcPr>
            <w:tcW w:w="992" w:type="dxa"/>
            <w:tcBorders>
              <w:top w:val="single" w:color="000000" w:sz="4" w:space="0"/>
              <w:left w:val="nil"/>
              <w:bottom w:val="single" w:color="000000" w:sz="4" w:space="0"/>
              <w:right w:val="single" w:color="000000" w:sz="4" w:space="0"/>
            </w:tcBorders>
          </w:tcPr>
          <w:p w14:paraId="481949D5">
            <w:pPr>
              <w:widowControl/>
              <w:rPr>
                <w:rFonts w:hint="eastAsia" w:ascii="仿宋" w:hAnsi="仿宋" w:eastAsia="仿宋" w:cs="仿宋"/>
                <w:color w:val="auto"/>
                <w:kern w:val="0"/>
                <w:sz w:val="21"/>
                <w:szCs w:val="21"/>
                <w:lang w:val="en-US" w:eastAsia="zh-CN"/>
              </w:rPr>
            </w:pPr>
          </w:p>
          <w:p w14:paraId="5E6DB1BF">
            <w:pPr>
              <w:widowControl/>
              <w:rPr>
                <w:rFonts w:hint="eastAsia" w:ascii="仿宋" w:hAnsi="仿宋" w:eastAsia="仿宋" w:cs="仿宋"/>
                <w:color w:val="auto"/>
                <w:kern w:val="0"/>
                <w:sz w:val="21"/>
                <w:szCs w:val="21"/>
                <w:lang w:val="en-US" w:eastAsia="zh-CN"/>
              </w:rPr>
            </w:pPr>
          </w:p>
          <w:p w14:paraId="19B13882">
            <w:pPr>
              <w:widowControl/>
              <w:rPr>
                <w:rFonts w:hint="eastAsia" w:ascii="仿宋" w:hAnsi="仿宋" w:eastAsia="仿宋" w:cs="仿宋"/>
                <w:color w:val="auto"/>
                <w:kern w:val="0"/>
                <w:sz w:val="21"/>
                <w:szCs w:val="21"/>
                <w:lang w:val="en-US" w:eastAsia="zh-CN"/>
              </w:rPr>
            </w:pPr>
          </w:p>
          <w:p w14:paraId="624DA9D9">
            <w:pPr>
              <w:widowControl/>
              <w:rPr>
                <w:rFonts w:hint="eastAsia" w:ascii="仿宋" w:hAnsi="仿宋" w:eastAsia="仿宋" w:cs="仿宋"/>
                <w:color w:val="auto"/>
                <w:kern w:val="0"/>
                <w:sz w:val="21"/>
                <w:szCs w:val="21"/>
                <w:lang w:val="en-US" w:eastAsia="zh-CN"/>
              </w:rPr>
            </w:pPr>
          </w:p>
          <w:p w14:paraId="5F13DB37">
            <w:pPr>
              <w:widowControl/>
              <w:rPr>
                <w:rFonts w:hint="eastAsia" w:ascii="仿宋" w:hAnsi="仿宋" w:eastAsia="仿宋" w:cs="仿宋"/>
                <w:color w:val="auto"/>
                <w:kern w:val="0"/>
                <w:sz w:val="21"/>
                <w:szCs w:val="21"/>
                <w:lang w:val="en-US" w:eastAsia="zh-CN"/>
              </w:rPr>
            </w:pPr>
          </w:p>
          <w:p w14:paraId="29D56543">
            <w:pPr>
              <w:widowControl/>
              <w:rPr>
                <w:rFonts w:hint="eastAsia" w:ascii="仿宋" w:hAnsi="仿宋" w:eastAsia="仿宋" w:cs="仿宋"/>
                <w:color w:val="auto"/>
                <w:kern w:val="0"/>
                <w:sz w:val="21"/>
                <w:szCs w:val="21"/>
                <w:lang w:val="en-US" w:eastAsia="zh-CN"/>
              </w:rPr>
            </w:pPr>
          </w:p>
          <w:p w14:paraId="2DF61250">
            <w:pPr>
              <w:widowControl/>
              <w:rPr>
                <w:rFonts w:hint="eastAsia" w:ascii="仿宋" w:hAnsi="仿宋" w:eastAsia="仿宋" w:cs="仿宋"/>
                <w:color w:val="auto"/>
                <w:kern w:val="0"/>
                <w:sz w:val="21"/>
                <w:szCs w:val="21"/>
                <w:lang w:val="en-US" w:eastAsia="zh-CN"/>
              </w:rPr>
            </w:pPr>
          </w:p>
          <w:p w14:paraId="1D56E99A">
            <w:pPr>
              <w:widowControl/>
              <w:rPr>
                <w:rFonts w:hint="eastAsia" w:ascii="仿宋" w:hAnsi="仿宋" w:eastAsia="仿宋" w:cs="仿宋"/>
                <w:color w:val="auto"/>
                <w:kern w:val="0"/>
                <w:sz w:val="21"/>
                <w:szCs w:val="21"/>
                <w:lang w:val="en-US" w:eastAsia="zh-CN"/>
              </w:rPr>
            </w:pPr>
          </w:p>
          <w:p w14:paraId="6FFE0732">
            <w:pPr>
              <w:widowControl/>
              <w:rPr>
                <w:rFonts w:hint="eastAsia" w:ascii="仿宋" w:hAnsi="仿宋" w:eastAsia="仿宋" w:cs="仿宋"/>
                <w:color w:val="auto"/>
                <w:kern w:val="0"/>
                <w:sz w:val="21"/>
                <w:szCs w:val="21"/>
                <w:lang w:val="en-US" w:eastAsia="zh-CN"/>
              </w:rPr>
            </w:pPr>
          </w:p>
          <w:p w14:paraId="66FC744A">
            <w:pPr>
              <w:widowControl/>
              <w:rPr>
                <w:rFonts w:hint="eastAsia" w:ascii="仿宋" w:hAnsi="仿宋" w:eastAsia="仿宋" w:cs="仿宋"/>
                <w:color w:val="auto"/>
                <w:kern w:val="0"/>
                <w:sz w:val="21"/>
                <w:szCs w:val="21"/>
                <w:lang w:val="en-US" w:eastAsia="zh-CN"/>
              </w:rPr>
            </w:pPr>
          </w:p>
          <w:p w14:paraId="4F17E256">
            <w:pPr>
              <w:widowControl/>
              <w:rPr>
                <w:rFonts w:hint="eastAsia" w:ascii="仿宋" w:hAnsi="仿宋" w:eastAsia="仿宋" w:cs="仿宋"/>
                <w:color w:val="auto"/>
                <w:kern w:val="0"/>
                <w:sz w:val="21"/>
                <w:szCs w:val="21"/>
                <w:lang w:val="en-US" w:eastAsia="zh-CN"/>
              </w:rPr>
            </w:pPr>
          </w:p>
          <w:p w14:paraId="3049748B">
            <w:pPr>
              <w:widowControl/>
              <w:rPr>
                <w:rFonts w:hint="eastAsia" w:ascii="仿宋" w:hAnsi="仿宋" w:eastAsia="仿宋" w:cs="仿宋"/>
                <w:color w:val="auto"/>
                <w:kern w:val="0"/>
                <w:sz w:val="21"/>
                <w:szCs w:val="21"/>
                <w:lang w:val="en-US" w:eastAsia="zh-CN"/>
              </w:rPr>
            </w:pPr>
          </w:p>
          <w:p w14:paraId="51D1D55C">
            <w:pPr>
              <w:widowControl/>
              <w:rPr>
                <w:rFonts w:hint="eastAsia" w:ascii="仿宋" w:hAnsi="仿宋" w:eastAsia="仿宋" w:cs="仿宋"/>
                <w:color w:val="auto"/>
                <w:kern w:val="0"/>
                <w:sz w:val="21"/>
                <w:szCs w:val="21"/>
                <w:lang w:val="en-US" w:eastAsia="zh-CN"/>
              </w:rPr>
            </w:pPr>
          </w:p>
          <w:p w14:paraId="43AE95FF">
            <w:pPr>
              <w:widowControl/>
              <w:rPr>
                <w:rFonts w:hint="eastAsia" w:ascii="仿宋" w:hAnsi="仿宋" w:eastAsia="仿宋" w:cs="仿宋"/>
                <w:color w:val="auto"/>
                <w:kern w:val="0"/>
                <w:sz w:val="21"/>
                <w:szCs w:val="21"/>
                <w:lang w:val="en-US" w:eastAsia="zh-CN"/>
              </w:rPr>
            </w:pPr>
          </w:p>
          <w:p w14:paraId="295A65C7">
            <w:pPr>
              <w:widowControl/>
              <w:rPr>
                <w:rFonts w:hint="eastAsia" w:ascii="仿宋" w:hAnsi="仿宋" w:eastAsia="仿宋" w:cs="仿宋"/>
                <w:color w:val="auto"/>
                <w:kern w:val="0"/>
                <w:sz w:val="21"/>
                <w:szCs w:val="21"/>
                <w:lang w:val="en-US" w:eastAsia="zh-CN"/>
              </w:rPr>
            </w:pPr>
          </w:p>
          <w:p w14:paraId="6BB27B72">
            <w:pPr>
              <w:widowControl/>
              <w:rPr>
                <w:rFonts w:hint="eastAsia" w:ascii="仿宋" w:hAnsi="仿宋" w:eastAsia="仿宋" w:cs="仿宋"/>
                <w:color w:val="auto"/>
                <w:kern w:val="0"/>
                <w:sz w:val="21"/>
                <w:szCs w:val="21"/>
                <w:lang w:val="en-US" w:eastAsia="zh-CN"/>
              </w:rPr>
            </w:pPr>
          </w:p>
          <w:p w14:paraId="30956DD4">
            <w:pPr>
              <w:widowControl/>
              <w:rPr>
                <w:rFonts w:hint="eastAsia" w:ascii="仿宋" w:hAnsi="仿宋" w:eastAsia="仿宋" w:cs="仿宋"/>
                <w:color w:val="auto"/>
                <w:kern w:val="0"/>
                <w:sz w:val="21"/>
                <w:szCs w:val="21"/>
                <w:lang w:val="en-US" w:eastAsia="zh-CN"/>
              </w:rPr>
            </w:pPr>
          </w:p>
          <w:p w14:paraId="5900CA45">
            <w:pPr>
              <w:widowControl/>
              <w:rPr>
                <w:rFonts w:hint="eastAsia" w:ascii="仿宋" w:hAnsi="仿宋" w:eastAsia="仿宋" w:cs="仿宋"/>
                <w:color w:val="auto"/>
                <w:kern w:val="0"/>
                <w:sz w:val="21"/>
                <w:szCs w:val="21"/>
                <w:lang w:val="en-US" w:eastAsia="zh-CN"/>
              </w:rPr>
            </w:pPr>
          </w:p>
          <w:p w14:paraId="4E4D9CF5">
            <w:pPr>
              <w:widowControl/>
              <w:rPr>
                <w:rFonts w:hint="eastAsia" w:ascii="仿宋" w:hAnsi="仿宋" w:eastAsia="仿宋" w:cs="仿宋"/>
                <w:color w:val="auto"/>
                <w:kern w:val="0"/>
                <w:sz w:val="21"/>
                <w:szCs w:val="21"/>
                <w:lang w:val="en-US" w:eastAsia="zh-CN"/>
              </w:rPr>
            </w:pPr>
          </w:p>
          <w:p w14:paraId="6291BD04">
            <w:pPr>
              <w:widowControl/>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瑞士</w:t>
            </w:r>
          </w:p>
        </w:tc>
        <w:tc>
          <w:tcPr>
            <w:tcW w:w="997" w:type="dxa"/>
            <w:tcBorders>
              <w:top w:val="single" w:color="000000" w:sz="4" w:space="0"/>
              <w:left w:val="nil"/>
              <w:bottom w:val="single" w:color="000000" w:sz="4" w:space="0"/>
              <w:right w:val="single" w:color="000000" w:sz="4" w:space="0"/>
            </w:tcBorders>
          </w:tcPr>
          <w:p w14:paraId="2EE71CFF">
            <w:pPr>
              <w:widowControl/>
              <w:rPr>
                <w:rFonts w:hint="eastAsia" w:ascii="宋体" w:hAnsi="宋体" w:cs="宋体"/>
                <w:color w:val="000000"/>
                <w:kern w:val="0"/>
                <w:sz w:val="21"/>
                <w:szCs w:val="21"/>
                <w:highlight w:val="none"/>
                <w:lang w:val="en-US" w:eastAsia="zh-CN" w:bidi="ar"/>
              </w:rPr>
            </w:pPr>
          </w:p>
          <w:p w14:paraId="5A6ED230">
            <w:pPr>
              <w:widowControl/>
              <w:rPr>
                <w:rFonts w:hint="eastAsia" w:ascii="宋体" w:hAnsi="宋体" w:cs="宋体"/>
                <w:color w:val="000000"/>
                <w:kern w:val="0"/>
                <w:sz w:val="21"/>
                <w:szCs w:val="21"/>
                <w:highlight w:val="none"/>
                <w:lang w:val="en-US" w:eastAsia="zh-CN" w:bidi="ar"/>
              </w:rPr>
            </w:pPr>
          </w:p>
          <w:p w14:paraId="11D16652">
            <w:pPr>
              <w:widowControl/>
              <w:rPr>
                <w:rFonts w:hint="eastAsia" w:ascii="宋体" w:hAnsi="宋体" w:cs="宋体"/>
                <w:color w:val="000000"/>
                <w:kern w:val="0"/>
                <w:sz w:val="21"/>
                <w:szCs w:val="21"/>
                <w:highlight w:val="none"/>
                <w:lang w:val="en-US" w:eastAsia="zh-CN" w:bidi="ar"/>
              </w:rPr>
            </w:pPr>
          </w:p>
          <w:p w14:paraId="656F900C">
            <w:pPr>
              <w:widowControl/>
              <w:rPr>
                <w:rFonts w:hint="eastAsia" w:ascii="宋体" w:hAnsi="宋体" w:cs="宋体"/>
                <w:color w:val="000000"/>
                <w:kern w:val="0"/>
                <w:sz w:val="21"/>
                <w:szCs w:val="21"/>
                <w:highlight w:val="none"/>
                <w:lang w:val="en-US" w:eastAsia="zh-CN" w:bidi="ar"/>
              </w:rPr>
            </w:pPr>
          </w:p>
          <w:p w14:paraId="58A4B92C">
            <w:pPr>
              <w:widowControl/>
              <w:rPr>
                <w:rFonts w:hint="eastAsia" w:ascii="宋体" w:hAnsi="宋体" w:cs="宋体"/>
                <w:color w:val="000000"/>
                <w:kern w:val="0"/>
                <w:sz w:val="21"/>
                <w:szCs w:val="21"/>
                <w:highlight w:val="none"/>
                <w:lang w:val="en-US" w:eastAsia="zh-CN" w:bidi="ar"/>
              </w:rPr>
            </w:pPr>
          </w:p>
          <w:p w14:paraId="6AB47BA2">
            <w:pPr>
              <w:widowControl/>
              <w:rPr>
                <w:rFonts w:hint="eastAsia" w:ascii="宋体" w:hAnsi="宋体" w:cs="宋体"/>
                <w:color w:val="000000"/>
                <w:kern w:val="0"/>
                <w:sz w:val="21"/>
                <w:szCs w:val="21"/>
                <w:highlight w:val="none"/>
                <w:lang w:val="en-US" w:eastAsia="zh-CN" w:bidi="ar"/>
              </w:rPr>
            </w:pPr>
          </w:p>
          <w:p w14:paraId="2528139F">
            <w:pPr>
              <w:widowControl/>
              <w:rPr>
                <w:rFonts w:hint="eastAsia" w:ascii="宋体" w:hAnsi="宋体" w:cs="宋体"/>
                <w:color w:val="000000"/>
                <w:kern w:val="0"/>
                <w:sz w:val="21"/>
                <w:szCs w:val="21"/>
                <w:highlight w:val="none"/>
                <w:lang w:val="en-US" w:eastAsia="zh-CN" w:bidi="ar"/>
              </w:rPr>
            </w:pPr>
          </w:p>
          <w:p w14:paraId="3F86E9F4">
            <w:pPr>
              <w:widowControl/>
              <w:rPr>
                <w:rFonts w:hint="eastAsia" w:ascii="宋体" w:hAnsi="宋体" w:cs="宋体"/>
                <w:color w:val="000000"/>
                <w:kern w:val="0"/>
                <w:sz w:val="21"/>
                <w:szCs w:val="21"/>
                <w:highlight w:val="none"/>
                <w:lang w:val="en-US" w:eastAsia="zh-CN" w:bidi="ar"/>
              </w:rPr>
            </w:pPr>
          </w:p>
          <w:p w14:paraId="3F0E0AE7">
            <w:pPr>
              <w:widowControl/>
              <w:rPr>
                <w:rFonts w:hint="eastAsia" w:ascii="宋体" w:hAnsi="宋体" w:cs="宋体"/>
                <w:color w:val="000000"/>
                <w:kern w:val="0"/>
                <w:sz w:val="21"/>
                <w:szCs w:val="21"/>
                <w:highlight w:val="none"/>
                <w:lang w:val="en-US" w:eastAsia="zh-CN" w:bidi="ar"/>
              </w:rPr>
            </w:pPr>
          </w:p>
          <w:p w14:paraId="641151C3">
            <w:pPr>
              <w:widowControl/>
              <w:rPr>
                <w:rFonts w:hint="eastAsia" w:ascii="宋体" w:hAnsi="宋体" w:cs="宋体"/>
                <w:color w:val="000000"/>
                <w:kern w:val="0"/>
                <w:sz w:val="21"/>
                <w:szCs w:val="21"/>
                <w:highlight w:val="none"/>
                <w:lang w:val="en-US" w:eastAsia="zh-CN" w:bidi="ar"/>
              </w:rPr>
            </w:pPr>
          </w:p>
          <w:p w14:paraId="055886E8">
            <w:pPr>
              <w:widowControl/>
              <w:rPr>
                <w:rFonts w:hint="eastAsia" w:ascii="宋体" w:hAnsi="宋体" w:cs="宋体"/>
                <w:color w:val="000000"/>
                <w:kern w:val="0"/>
                <w:sz w:val="21"/>
                <w:szCs w:val="21"/>
                <w:highlight w:val="none"/>
                <w:lang w:val="en-US" w:eastAsia="zh-CN" w:bidi="ar"/>
              </w:rPr>
            </w:pPr>
          </w:p>
          <w:p w14:paraId="649F03CC">
            <w:pPr>
              <w:widowControl/>
              <w:rPr>
                <w:rFonts w:hint="eastAsia" w:ascii="宋体" w:hAnsi="宋体" w:cs="宋体"/>
                <w:color w:val="000000"/>
                <w:kern w:val="0"/>
                <w:sz w:val="21"/>
                <w:szCs w:val="21"/>
                <w:highlight w:val="none"/>
                <w:lang w:val="en-US" w:eastAsia="zh-CN" w:bidi="ar"/>
              </w:rPr>
            </w:pPr>
          </w:p>
          <w:p w14:paraId="1668D376">
            <w:pPr>
              <w:widowControl/>
              <w:rPr>
                <w:rFonts w:hint="eastAsia" w:ascii="宋体" w:hAnsi="宋体" w:cs="宋体"/>
                <w:color w:val="000000"/>
                <w:kern w:val="0"/>
                <w:sz w:val="21"/>
                <w:szCs w:val="21"/>
                <w:highlight w:val="none"/>
                <w:lang w:val="en-US" w:eastAsia="zh-CN" w:bidi="ar"/>
              </w:rPr>
            </w:pPr>
          </w:p>
          <w:p w14:paraId="55C8606A">
            <w:pPr>
              <w:widowControl/>
              <w:rPr>
                <w:rFonts w:hint="eastAsia" w:ascii="宋体" w:hAnsi="宋体" w:cs="宋体"/>
                <w:color w:val="000000"/>
                <w:kern w:val="0"/>
                <w:sz w:val="21"/>
                <w:szCs w:val="21"/>
                <w:highlight w:val="none"/>
                <w:lang w:val="en-US" w:eastAsia="zh-CN" w:bidi="ar"/>
              </w:rPr>
            </w:pPr>
          </w:p>
          <w:p w14:paraId="7A906656">
            <w:pPr>
              <w:widowControl/>
              <w:rPr>
                <w:rFonts w:hint="eastAsia" w:ascii="宋体" w:hAnsi="宋体" w:cs="宋体"/>
                <w:color w:val="000000"/>
                <w:kern w:val="0"/>
                <w:sz w:val="21"/>
                <w:szCs w:val="21"/>
                <w:highlight w:val="none"/>
                <w:lang w:val="en-US" w:eastAsia="zh-CN" w:bidi="ar"/>
              </w:rPr>
            </w:pPr>
          </w:p>
          <w:p w14:paraId="5DFF69DA">
            <w:pPr>
              <w:widowControl/>
              <w:rPr>
                <w:rFonts w:hint="eastAsia" w:ascii="宋体" w:hAnsi="宋体" w:cs="宋体"/>
                <w:color w:val="000000"/>
                <w:kern w:val="0"/>
                <w:sz w:val="21"/>
                <w:szCs w:val="21"/>
                <w:highlight w:val="none"/>
                <w:lang w:val="en-US" w:eastAsia="zh-CN" w:bidi="ar"/>
              </w:rPr>
            </w:pPr>
          </w:p>
          <w:p w14:paraId="56BA2823">
            <w:pPr>
              <w:widowControl/>
              <w:rPr>
                <w:rFonts w:hint="eastAsia" w:ascii="宋体" w:hAnsi="宋体" w:cs="宋体"/>
                <w:color w:val="000000"/>
                <w:kern w:val="0"/>
                <w:sz w:val="21"/>
                <w:szCs w:val="21"/>
                <w:highlight w:val="none"/>
                <w:lang w:val="en-US" w:eastAsia="zh-CN" w:bidi="ar"/>
              </w:rPr>
            </w:pPr>
          </w:p>
          <w:p w14:paraId="513AB768">
            <w:pPr>
              <w:widowControl/>
              <w:rPr>
                <w:rFonts w:hint="eastAsia" w:ascii="宋体" w:hAnsi="宋体" w:cs="宋体"/>
                <w:color w:val="000000"/>
                <w:kern w:val="0"/>
                <w:sz w:val="21"/>
                <w:szCs w:val="21"/>
                <w:highlight w:val="none"/>
                <w:lang w:val="en-US" w:eastAsia="zh-CN" w:bidi="ar"/>
              </w:rPr>
            </w:pPr>
          </w:p>
          <w:p w14:paraId="72A8C9B5">
            <w:pPr>
              <w:widowControl/>
              <w:rPr>
                <w:rFonts w:hint="eastAsia" w:ascii="仿宋" w:hAnsi="仿宋" w:eastAsia="仿宋" w:cs="仿宋"/>
                <w:color w:val="auto"/>
                <w:kern w:val="0"/>
                <w:sz w:val="21"/>
                <w:szCs w:val="21"/>
              </w:rPr>
            </w:pPr>
            <w:r>
              <w:rPr>
                <w:rFonts w:hint="eastAsia" w:ascii="宋体" w:hAnsi="宋体" w:cs="宋体"/>
                <w:color w:val="000000"/>
                <w:kern w:val="0"/>
                <w:sz w:val="21"/>
                <w:szCs w:val="21"/>
                <w:highlight w:val="none"/>
                <w:lang w:val="en-US" w:eastAsia="zh-CN" w:bidi="ar"/>
              </w:rPr>
              <w:t>Roche Diagnostics GmbH</w:t>
            </w:r>
          </w:p>
        </w:tc>
      </w:tr>
      <w:tr w14:paraId="46F0B132">
        <w:tblPrEx>
          <w:tblCellMar>
            <w:top w:w="0" w:type="dxa"/>
            <w:left w:w="108" w:type="dxa"/>
            <w:bottom w:w="0" w:type="dxa"/>
            <w:right w:w="108" w:type="dxa"/>
          </w:tblCellMar>
        </w:tblPrEx>
        <w:trPr>
          <w:trHeight w:val="888" w:hRule="atLeast"/>
          <w:jc w:val="center"/>
        </w:trPr>
        <w:tc>
          <w:tcPr>
            <w:tcW w:w="698" w:type="dxa"/>
            <w:tcBorders>
              <w:top w:val="single" w:color="000000" w:sz="4" w:space="0"/>
              <w:left w:val="single" w:color="000000" w:sz="4" w:space="0"/>
              <w:bottom w:val="single" w:color="000000" w:sz="4" w:space="0"/>
              <w:right w:val="single" w:color="000000" w:sz="4" w:space="0"/>
            </w:tcBorders>
            <w:vAlign w:val="center"/>
          </w:tcPr>
          <w:p w14:paraId="26CF1B9A">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1137" w:type="dxa"/>
            <w:tcBorders>
              <w:top w:val="single" w:color="000000" w:sz="4" w:space="0"/>
              <w:left w:val="single" w:color="000000" w:sz="4" w:space="0"/>
              <w:bottom w:val="single" w:color="000000" w:sz="4" w:space="0"/>
              <w:right w:val="single" w:color="000000" w:sz="4" w:space="0"/>
            </w:tcBorders>
            <w:vAlign w:val="center"/>
          </w:tcPr>
          <w:p w14:paraId="3BF85FDA">
            <w:pPr>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t>倒置荧光显微镜</w:t>
            </w:r>
          </w:p>
        </w:tc>
        <w:tc>
          <w:tcPr>
            <w:tcW w:w="1391" w:type="dxa"/>
            <w:tcBorders>
              <w:top w:val="single" w:color="000000" w:sz="4" w:space="0"/>
              <w:left w:val="nil"/>
              <w:bottom w:val="single" w:color="000000" w:sz="4" w:space="0"/>
              <w:right w:val="single" w:color="000000" w:sz="4" w:space="0"/>
            </w:tcBorders>
            <w:vAlign w:val="center"/>
          </w:tcPr>
          <w:p w14:paraId="440EA509">
            <w:pPr>
              <w:jc w:val="center"/>
              <w:rPr>
                <w:rFonts w:hint="eastAsia" w:ascii="仿宋" w:hAnsi="仿宋" w:eastAsia="仿宋" w:cs="仿宋"/>
                <w:color w:val="auto"/>
                <w:kern w:val="0"/>
                <w:sz w:val="21"/>
                <w:szCs w:val="21"/>
              </w:rPr>
            </w:pPr>
            <w:r>
              <w:rPr>
                <w:rFonts w:hint="eastAsia" w:ascii="仿宋" w:hAnsi="仿宋" w:eastAsia="仿宋" w:cs="仿宋"/>
                <w:color w:val="000000"/>
                <w:kern w:val="0"/>
                <w:sz w:val="21"/>
                <w:szCs w:val="21"/>
                <w:lang w:bidi="ar"/>
              </w:rPr>
              <w:fldChar w:fldCharType="begin"/>
            </w:r>
            <w:r>
              <w:rPr>
                <w:rFonts w:hint="eastAsia" w:ascii="仿宋" w:hAnsi="仿宋" w:eastAsia="仿宋" w:cs="仿宋"/>
                <w:color w:val="000000"/>
                <w:kern w:val="0"/>
                <w:sz w:val="21"/>
                <w:szCs w:val="21"/>
                <w:lang w:bidi="ar"/>
              </w:rPr>
              <w:instrText xml:space="preserve"> HYPERLINK "https://cn.leica-microsystems.com.cn/product/life-science-microscope/biological/inverted/mateo-fl" \o "https://cn.leica-microsystems.com.cn/product/life-science-microscope/biological/inverted/mateo-fl" </w:instrText>
            </w:r>
            <w:r>
              <w:rPr>
                <w:rFonts w:hint="eastAsia" w:ascii="仿宋" w:hAnsi="仿宋" w:eastAsia="仿宋" w:cs="仿宋"/>
                <w:color w:val="000000"/>
                <w:kern w:val="0"/>
                <w:sz w:val="21"/>
                <w:szCs w:val="21"/>
                <w:lang w:bidi="ar"/>
              </w:rPr>
              <w:fldChar w:fldCharType="separate"/>
            </w:r>
            <w:r>
              <w:rPr>
                <w:rFonts w:hint="eastAsia" w:ascii="仿宋" w:hAnsi="仿宋" w:eastAsia="仿宋" w:cs="仿宋"/>
                <w:color w:val="000000"/>
                <w:kern w:val="0"/>
                <w:sz w:val="21"/>
                <w:szCs w:val="21"/>
                <w:lang w:bidi="ar"/>
              </w:rPr>
              <w:t>Mateo FL</w:t>
            </w:r>
            <w:r>
              <w:rPr>
                <w:rFonts w:hint="eastAsia" w:ascii="仿宋" w:hAnsi="仿宋" w:eastAsia="仿宋" w:cs="仿宋"/>
                <w:color w:val="000000"/>
                <w:kern w:val="0"/>
                <w:sz w:val="21"/>
                <w:szCs w:val="21"/>
                <w:lang w:bidi="ar"/>
              </w:rPr>
              <w:fldChar w:fldCharType="end"/>
            </w:r>
          </w:p>
        </w:tc>
        <w:tc>
          <w:tcPr>
            <w:tcW w:w="4629" w:type="dxa"/>
            <w:tcBorders>
              <w:top w:val="single" w:color="000000" w:sz="4" w:space="0"/>
              <w:left w:val="nil"/>
              <w:bottom w:val="single" w:color="000000" w:sz="4" w:space="0"/>
              <w:right w:val="single" w:color="000000" w:sz="4" w:space="0"/>
            </w:tcBorders>
            <w:vAlign w:val="center"/>
          </w:tcPr>
          <w:p w14:paraId="76B05E6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1.用途</w:t>
            </w:r>
          </w:p>
          <w:p w14:paraId="33584DAF">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主要用于细胞等活体组织的明场、荧光、相差观察和拍摄，是生物学，细胞学，肿瘤学，遗传学，免疫学等研究工作的理想仪器。</w:t>
            </w:r>
          </w:p>
          <w:p w14:paraId="69BACB4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2.配置</w:t>
            </w:r>
          </w:p>
          <w:p w14:paraId="350CFAD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2.1 Mateo FL倒置显微镜主机 1台</w:t>
            </w:r>
          </w:p>
          <w:p w14:paraId="73810BF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2.2物镜1套</w:t>
            </w:r>
          </w:p>
          <w:p w14:paraId="5EC1D7D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2.3成像系统 1套</w:t>
            </w:r>
          </w:p>
          <w:p w14:paraId="68A8C30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3.技术要求</w:t>
            </w:r>
          </w:p>
          <w:p w14:paraId="5F44829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3.1主机</w:t>
            </w:r>
          </w:p>
          <w:p w14:paraId="54AAC06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3.1.1、一体式台式透射显微镜，采用无目镜设计，可放置于超净台进行细胞观察与成像；采用45mm焦距无限远校正光学系统，保证了光通过目镜到物镜整个光路中的所有棱镜及镜片时的绝对平行。</w:t>
            </w:r>
          </w:p>
          <w:p w14:paraId="65C6DDE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3.1.2、具有明场、电动相差、电动荧光功能；自动相差转化，节省时间并提供无荧光标记的细胞成像，可增强未染色、透明、半透明或低对比度样本的可见性。</w:t>
            </w:r>
          </w:p>
          <w:p w14:paraId="3FC7EAA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3.1.3、电动和智能化：明视场及荧光状态下均可实现：转换物镜后，无需用户手动调节，即可达到整个光路的最佳照明匹配方式（光强、视场光阑和孔径光阑自动匹配）。自动光强管理，在明场与相差切换，不同倍率物镜切换时光强自动调节；</w:t>
            </w:r>
          </w:p>
          <w:p w14:paraId="3716C9E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3.1.4  透射光源：长寿命LED光源使用寿命20000 小时；荧光光源：4色LED荧光光源，使用寿命10000 小时；</w:t>
            </w:r>
          </w:p>
          <w:p w14:paraId="46B9E4A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3.2、六位物镜转换器，物镜智能编码，光强随物镜变换自动调整并记忆（非软件设定）。</w:t>
            </w:r>
          </w:p>
          <w:p w14:paraId="1C0F6A9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3.3、配备5颗高性能物镜:</w:t>
            </w:r>
          </w:p>
          <w:p w14:paraId="35801D0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3.3.1、5X平场消色差相差物镜，数值孔径0.12，工作距离14mm；</w:t>
            </w:r>
          </w:p>
          <w:p w14:paraId="13609C1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3.3.2、10X平场半复消色差相差物镜，数值孔径0.32，工作距离11.2mm；</w:t>
            </w:r>
          </w:p>
          <w:p w14:paraId="538F992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3.3.3、20X长工作距离荧光校准物镜，NA 0.20，工作距离 6.9mm；</w:t>
            </w:r>
          </w:p>
          <w:p w14:paraId="7C58FC2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3.3.4、40X长工作距离荧光校准物镜，NA 0.40，工作距离3.3mm；</w:t>
            </w:r>
          </w:p>
          <w:p w14:paraId="6FBBAF0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3.3.5、63X平场消色差荧光物镜（干镜），数值孔径0.80，工作距离0.26mm；</w:t>
            </w:r>
          </w:p>
          <w:p w14:paraId="09F2AB1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3.4、标配聚光镜S40/0.45，NA 0.45同时工作距离50mm；</w:t>
            </w:r>
          </w:p>
          <w:p w14:paraId="114B618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3.5、电动荧光滤镜转盘：5孔位，与荧光光源自动匹配，只需按一个键即实现不同颜色的荧光激发，邻位切换速度268ms。电动荧光光闸：防止荧光淬灭。</w:t>
            </w:r>
          </w:p>
          <w:p w14:paraId="16A84BB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3.6、荧光配备DAPI、GFP、RFP、CY5四种滤光块模块；</w:t>
            </w:r>
          </w:p>
          <w:p w14:paraId="10DE160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3.7、具备荧光光强管理功能；</w:t>
            </w:r>
          </w:p>
          <w:p w14:paraId="1FCC2DC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3.8、载物台：机械载物台，用于X-Y轴精确定位控制，配有可更换的容器支架适配器，适合培养皿及培养板使用；载物台（长*宽）尺寸260 毫米 x 210 毫米，</w:t>
            </w:r>
          </w:p>
          <w:p w14:paraId="5468313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3.9、配备双相机成像系统：</w:t>
            </w:r>
          </w:p>
          <w:p w14:paraId="70261D6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彩色CMOS相机：像素600万，传感器尺寸 1 / 1.8'，像素大小2.4 μm x 2.4 μm；</w:t>
            </w:r>
          </w:p>
          <w:p w14:paraId="0D5DCA4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单色CMOS相机，像素600万，传感器尺寸 1 / 1.8'，像素大小2.4 μm x 2.4 μm；</w:t>
            </w:r>
          </w:p>
          <w:p w14:paraId="527CB8F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3.10、操作控制系统：</w:t>
            </w:r>
          </w:p>
          <w:p w14:paraId="0D944A3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一体化设计，嵌入式PC系统，显微镜内置操作系统；显微镜机身带有15英寸角度可调的彩色触摸显示器。分辨率1920*1080；存储空间500GB。</w:t>
            </w:r>
          </w:p>
          <w:p w14:paraId="31C82CF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采集的数据可通过USB或无线传输的方式转移至智能设备；显微镜机身带有4个USB接口，有一个USB3.0快速传输口</w:t>
            </w:r>
          </w:p>
          <w:p w14:paraId="1DD02D8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3.11软件功能</w:t>
            </w:r>
          </w:p>
          <w:p w14:paraId="2F333EB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3.11.1工作流程可导向用户界面， 优化的数据处理为快速采集图象和大量数据集显示，直观的设定实验条件给快速设置和采集单色通道图象，多次采集后做图象叠加。</w:t>
            </w:r>
          </w:p>
          <w:p w14:paraId="4D5C622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 xml:space="preserve">3.12.2.高速图象采集，控制照相机性能如曝光、增益、binning和伽玛值调节, 局部图象采集，图象显示和管理，大图象视窗在采集中或后复览显示单通道，多通道图象采集。 </w:t>
            </w:r>
          </w:p>
          <w:p w14:paraId="7A48128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3.12.实验条件全自动记录，全自动恢复功能，多用户界面自定义设置。</w:t>
            </w:r>
          </w:p>
          <w:p w14:paraId="5DA8022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3.12.4.处理功能：图象拼接，扩展视野景深，图象位置校对，多维图象管理。</w:t>
            </w:r>
          </w:p>
          <w:p w14:paraId="78C9922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3.12.5标配基于AI算法的细胞计数、汇合度分析和转染效率分析功能。</w:t>
            </w:r>
          </w:p>
          <w:p w14:paraId="7E46702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4.相关要求</w:t>
            </w:r>
          </w:p>
          <w:p w14:paraId="6A91D14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4.1、仪器安装完成后，对使用人员免费进行技术培训，包括仪器基本原理和结构介绍、仪器操作方法、仪器基本保养维护程序等内容；</w:t>
            </w:r>
          </w:p>
          <w:p w14:paraId="5B988DD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4.2、自验收合格起1年质保，质保期外免费维护只收取配件费；</w:t>
            </w:r>
          </w:p>
          <w:p w14:paraId="263AE2A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4.3、为了保证产品质量和售后服务，该设备已提供相关技术证明材料。</w:t>
            </w:r>
          </w:p>
        </w:tc>
        <w:tc>
          <w:tcPr>
            <w:tcW w:w="992" w:type="dxa"/>
            <w:tcBorders>
              <w:top w:val="single" w:color="000000" w:sz="4" w:space="0"/>
              <w:left w:val="nil"/>
              <w:bottom w:val="single" w:color="000000" w:sz="4" w:space="0"/>
              <w:right w:val="single" w:color="000000" w:sz="4" w:space="0"/>
            </w:tcBorders>
            <w:vAlign w:val="top"/>
          </w:tcPr>
          <w:p w14:paraId="7EE78FFE">
            <w:pPr>
              <w:widowControl/>
              <w:rPr>
                <w:rFonts w:hint="eastAsia" w:ascii="仿宋" w:hAnsi="仿宋" w:eastAsia="仿宋" w:cs="仿宋"/>
                <w:color w:val="auto"/>
                <w:kern w:val="0"/>
                <w:sz w:val="21"/>
                <w:szCs w:val="21"/>
              </w:rPr>
            </w:pPr>
          </w:p>
          <w:p w14:paraId="24B02E29">
            <w:pPr>
              <w:widowControl/>
              <w:rPr>
                <w:rFonts w:hint="eastAsia" w:ascii="仿宋" w:hAnsi="仿宋" w:eastAsia="仿宋" w:cs="仿宋"/>
                <w:color w:val="auto"/>
                <w:kern w:val="0"/>
                <w:sz w:val="21"/>
                <w:szCs w:val="21"/>
                <w:lang w:val="en-US" w:eastAsia="zh-CN"/>
              </w:rPr>
            </w:pPr>
          </w:p>
          <w:p w14:paraId="79AE1450">
            <w:pPr>
              <w:widowControl/>
              <w:rPr>
                <w:rFonts w:hint="eastAsia" w:ascii="仿宋" w:hAnsi="仿宋" w:eastAsia="仿宋" w:cs="仿宋"/>
                <w:color w:val="auto"/>
                <w:kern w:val="0"/>
                <w:sz w:val="21"/>
                <w:szCs w:val="21"/>
                <w:lang w:val="en-US" w:eastAsia="zh-CN"/>
              </w:rPr>
            </w:pPr>
          </w:p>
          <w:p w14:paraId="69BA83E8">
            <w:pPr>
              <w:widowControl/>
              <w:rPr>
                <w:rFonts w:hint="eastAsia" w:ascii="仿宋" w:hAnsi="仿宋" w:eastAsia="仿宋" w:cs="仿宋"/>
                <w:color w:val="auto"/>
                <w:kern w:val="0"/>
                <w:sz w:val="21"/>
                <w:szCs w:val="21"/>
                <w:lang w:val="en-US" w:eastAsia="zh-CN"/>
              </w:rPr>
            </w:pPr>
          </w:p>
          <w:p w14:paraId="457CCECA">
            <w:pPr>
              <w:widowControl/>
              <w:rPr>
                <w:rFonts w:hint="eastAsia" w:ascii="仿宋" w:hAnsi="仿宋" w:eastAsia="仿宋" w:cs="仿宋"/>
                <w:color w:val="auto"/>
                <w:kern w:val="0"/>
                <w:sz w:val="21"/>
                <w:szCs w:val="21"/>
                <w:lang w:val="en-US" w:eastAsia="zh-CN"/>
              </w:rPr>
            </w:pPr>
          </w:p>
          <w:p w14:paraId="64EE2DE4">
            <w:pPr>
              <w:widowControl/>
              <w:rPr>
                <w:rFonts w:hint="eastAsia" w:ascii="仿宋" w:hAnsi="仿宋" w:eastAsia="仿宋" w:cs="仿宋"/>
                <w:color w:val="auto"/>
                <w:kern w:val="0"/>
                <w:sz w:val="21"/>
                <w:szCs w:val="21"/>
                <w:lang w:val="en-US" w:eastAsia="zh-CN"/>
              </w:rPr>
            </w:pPr>
          </w:p>
          <w:p w14:paraId="2620D99F">
            <w:pPr>
              <w:widowControl/>
              <w:rPr>
                <w:rFonts w:hint="eastAsia" w:ascii="仿宋" w:hAnsi="仿宋" w:eastAsia="仿宋" w:cs="仿宋"/>
                <w:color w:val="auto"/>
                <w:kern w:val="0"/>
                <w:sz w:val="21"/>
                <w:szCs w:val="21"/>
                <w:lang w:val="en-US" w:eastAsia="zh-CN"/>
              </w:rPr>
            </w:pPr>
          </w:p>
          <w:p w14:paraId="2F761C28">
            <w:pPr>
              <w:widowControl/>
              <w:rPr>
                <w:rFonts w:hint="eastAsia" w:ascii="仿宋" w:hAnsi="仿宋" w:eastAsia="仿宋" w:cs="仿宋"/>
                <w:color w:val="auto"/>
                <w:kern w:val="0"/>
                <w:sz w:val="21"/>
                <w:szCs w:val="21"/>
                <w:lang w:val="en-US" w:eastAsia="zh-CN"/>
              </w:rPr>
            </w:pPr>
          </w:p>
          <w:p w14:paraId="083100BD">
            <w:pPr>
              <w:widowControl/>
              <w:rPr>
                <w:rFonts w:hint="eastAsia" w:ascii="仿宋" w:hAnsi="仿宋" w:eastAsia="仿宋" w:cs="仿宋"/>
                <w:color w:val="auto"/>
                <w:kern w:val="0"/>
                <w:sz w:val="21"/>
                <w:szCs w:val="21"/>
                <w:lang w:val="en-US" w:eastAsia="zh-CN"/>
              </w:rPr>
            </w:pPr>
          </w:p>
          <w:p w14:paraId="6373C597">
            <w:pPr>
              <w:widowControl/>
              <w:rPr>
                <w:rFonts w:hint="eastAsia" w:ascii="仿宋" w:hAnsi="仿宋" w:eastAsia="仿宋" w:cs="仿宋"/>
                <w:color w:val="auto"/>
                <w:kern w:val="0"/>
                <w:sz w:val="21"/>
                <w:szCs w:val="21"/>
                <w:lang w:val="en-US" w:eastAsia="zh-CN"/>
              </w:rPr>
            </w:pPr>
          </w:p>
          <w:p w14:paraId="588E4E0D">
            <w:pPr>
              <w:widowControl/>
              <w:rPr>
                <w:rFonts w:hint="eastAsia" w:ascii="仿宋" w:hAnsi="仿宋" w:eastAsia="仿宋" w:cs="仿宋"/>
                <w:color w:val="auto"/>
                <w:kern w:val="0"/>
                <w:sz w:val="21"/>
                <w:szCs w:val="21"/>
                <w:lang w:val="en-US" w:eastAsia="zh-CN"/>
              </w:rPr>
            </w:pPr>
          </w:p>
          <w:p w14:paraId="1958B553">
            <w:pPr>
              <w:widowControl/>
              <w:rPr>
                <w:rFonts w:hint="eastAsia" w:ascii="仿宋" w:hAnsi="仿宋" w:eastAsia="仿宋" w:cs="仿宋"/>
                <w:color w:val="auto"/>
                <w:kern w:val="0"/>
                <w:sz w:val="21"/>
                <w:szCs w:val="21"/>
                <w:lang w:val="en-US" w:eastAsia="zh-CN"/>
              </w:rPr>
            </w:pPr>
          </w:p>
          <w:p w14:paraId="22DFC1A5">
            <w:pPr>
              <w:widowControl/>
              <w:rPr>
                <w:rFonts w:hint="eastAsia" w:ascii="仿宋" w:hAnsi="仿宋" w:eastAsia="仿宋" w:cs="仿宋"/>
                <w:color w:val="auto"/>
                <w:kern w:val="0"/>
                <w:sz w:val="21"/>
                <w:szCs w:val="21"/>
                <w:lang w:val="en-US" w:eastAsia="zh-CN"/>
              </w:rPr>
            </w:pPr>
          </w:p>
          <w:p w14:paraId="7DB1D79B">
            <w:pPr>
              <w:widowControl/>
              <w:rPr>
                <w:rFonts w:hint="eastAsia" w:ascii="仿宋" w:hAnsi="仿宋" w:eastAsia="仿宋" w:cs="仿宋"/>
                <w:color w:val="auto"/>
                <w:kern w:val="0"/>
                <w:sz w:val="21"/>
                <w:szCs w:val="21"/>
                <w:lang w:val="en-US" w:eastAsia="zh-CN"/>
              </w:rPr>
            </w:pPr>
          </w:p>
          <w:p w14:paraId="4395FF7C">
            <w:pPr>
              <w:widowControl/>
              <w:rPr>
                <w:rFonts w:hint="eastAsia" w:ascii="仿宋" w:hAnsi="仿宋" w:eastAsia="仿宋" w:cs="仿宋"/>
                <w:color w:val="auto"/>
                <w:kern w:val="0"/>
                <w:sz w:val="21"/>
                <w:szCs w:val="21"/>
                <w:lang w:val="en-US" w:eastAsia="zh-CN"/>
              </w:rPr>
            </w:pPr>
          </w:p>
          <w:p w14:paraId="275E2137">
            <w:pPr>
              <w:widowControl/>
              <w:rPr>
                <w:rFonts w:hint="eastAsia" w:ascii="仿宋" w:hAnsi="仿宋" w:eastAsia="仿宋" w:cs="仿宋"/>
                <w:color w:val="auto"/>
                <w:kern w:val="0"/>
                <w:sz w:val="21"/>
                <w:szCs w:val="21"/>
                <w:lang w:val="en-US" w:eastAsia="zh-CN"/>
              </w:rPr>
            </w:pPr>
          </w:p>
          <w:p w14:paraId="0D32C2B9">
            <w:pPr>
              <w:widowControl/>
              <w:rPr>
                <w:rFonts w:hint="eastAsia" w:ascii="仿宋" w:hAnsi="仿宋" w:eastAsia="仿宋" w:cs="仿宋"/>
                <w:color w:val="auto"/>
                <w:kern w:val="0"/>
                <w:sz w:val="21"/>
                <w:szCs w:val="21"/>
                <w:lang w:val="en-US" w:eastAsia="zh-CN"/>
              </w:rPr>
            </w:pPr>
          </w:p>
          <w:p w14:paraId="5786EFD6">
            <w:pPr>
              <w:widowControl/>
              <w:rPr>
                <w:rFonts w:hint="eastAsia" w:ascii="仿宋" w:hAnsi="仿宋" w:eastAsia="仿宋" w:cs="仿宋"/>
                <w:color w:val="auto"/>
                <w:kern w:val="0"/>
                <w:sz w:val="21"/>
                <w:szCs w:val="21"/>
                <w:lang w:val="en-US" w:eastAsia="zh-CN"/>
              </w:rPr>
            </w:pPr>
          </w:p>
          <w:p w14:paraId="19A33EF9">
            <w:pPr>
              <w:widowControl/>
              <w:rPr>
                <w:rFonts w:hint="eastAsia" w:ascii="仿宋" w:hAnsi="仿宋" w:eastAsia="仿宋" w:cs="仿宋"/>
                <w:color w:val="auto"/>
                <w:kern w:val="0"/>
                <w:sz w:val="21"/>
                <w:szCs w:val="21"/>
                <w:lang w:val="en-US" w:eastAsia="zh-CN"/>
              </w:rPr>
            </w:pPr>
          </w:p>
          <w:p w14:paraId="0E35C084">
            <w:pPr>
              <w:widowControl/>
              <w:rPr>
                <w:rFonts w:hint="eastAsia" w:ascii="仿宋" w:hAnsi="仿宋" w:eastAsia="仿宋" w:cs="仿宋"/>
                <w:color w:val="auto"/>
                <w:kern w:val="0"/>
                <w:sz w:val="21"/>
                <w:szCs w:val="21"/>
                <w:lang w:val="en-US" w:eastAsia="zh-CN"/>
              </w:rPr>
            </w:pPr>
          </w:p>
          <w:p w14:paraId="6B1DE03F">
            <w:pPr>
              <w:widowControl/>
              <w:rPr>
                <w:rFonts w:hint="eastAsia" w:ascii="仿宋" w:hAnsi="仿宋" w:eastAsia="仿宋" w:cs="仿宋"/>
                <w:color w:val="auto"/>
                <w:kern w:val="0"/>
                <w:sz w:val="21"/>
                <w:szCs w:val="21"/>
                <w:lang w:val="en-US" w:eastAsia="zh-CN"/>
              </w:rPr>
            </w:pPr>
          </w:p>
          <w:p w14:paraId="4F74501A">
            <w:pPr>
              <w:widowControl/>
              <w:rPr>
                <w:rFonts w:hint="eastAsia" w:ascii="仿宋" w:hAnsi="仿宋" w:eastAsia="仿宋" w:cs="仿宋"/>
                <w:color w:val="auto"/>
                <w:kern w:val="0"/>
                <w:sz w:val="21"/>
                <w:szCs w:val="21"/>
                <w:lang w:val="en-US" w:eastAsia="zh-CN"/>
              </w:rPr>
            </w:pPr>
          </w:p>
          <w:p w14:paraId="65820D37">
            <w:pPr>
              <w:widowControl/>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上海</w:t>
            </w:r>
          </w:p>
          <w:p w14:paraId="461CAEBC">
            <w:pPr>
              <w:widowControl/>
              <w:rPr>
                <w:rFonts w:hint="eastAsia" w:ascii="仿宋" w:hAnsi="仿宋" w:eastAsia="仿宋" w:cs="仿宋"/>
                <w:color w:val="auto"/>
                <w:kern w:val="0"/>
                <w:sz w:val="21"/>
                <w:szCs w:val="21"/>
              </w:rPr>
            </w:pPr>
          </w:p>
          <w:p w14:paraId="36773126">
            <w:pPr>
              <w:widowControl/>
              <w:rPr>
                <w:rFonts w:hint="eastAsia" w:ascii="仿宋" w:hAnsi="仿宋" w:eastAsia="仿宋" w:cs="仿宋"/>
                <w:color w:val="auto"/>
                <w:kern w:val="0"/>
                <w:sz w:val="21"/>
                <w:szCs w:val="21"/>
              </w:rPr>
            </w:pPr>
          </w:p>
          <w:p w14:paraId="4A383FB6">
            <w:pPr>
              <w:widowControl/>
              <w:rPr>
                <w:rFonts w:hint="eastAsia" w:ascii="仿宋" w:hAnsi="仿宋" w:eastAsia="仿宋" w:cs="仿宋"/>
                <w:color w:val="auto"/>
                <w:kern w:val="0"/>
                <w:sz w:val="21"/>
                <w:szCs w:val="21"/>
              </w:rPr>
            </w:pPr>
          </w:p>
          <w:p w14:paraId="4F1F9514">
            <w:pPr>
              <w:widowControl/>
              <w:rPr>
                <w:rFonts w:hint="eastAsia" w:ascii="仿宋" w:hAnsi="仿宋" w:eastAsia="仿宋" w:cs="仿宋"/>
                <w:color w:val="auto"/>
                <w:kern w:val="0"/>
                <w:sz w:val="21"/>
                <w:szCs w:val="21"/>
              </w:rPr>
            </w:pPr>
          </w:p>
          <w:p w14:paraId="43D81AE3">
            <w:pPr>
              <w:widowControl/>
              <w:rPr>
                <w:rFonts w:hint="eastAsia" w:ascii="仿宋" w:hAnsi="仿宋" w:eastAsia="仿宋" w:cs="仿宋"/>
                <w:color w:val="auto"/>
                <w:kern w:val="0"/>
                <w:sz w:val="21"/>
                <w:szCs w:val="21"/>
              </w:rPr>
            </w:pPr>
          </w:p>
        </w:tc>
        <w:tc>
          <w:tcPr>
            <w:tcW w:w="997" w:type="dxa"/>
            <w:tcBorders>
              <w:top w:val="single" w:color="000000" w:sz="4" w:space="0"/>
              <w:left w:val="nil"/>
              <w:bottom w:val="single" w:color="000000" w:sz="4" w:space="0"/>
              <w:right w:val="single" w:color="000000" w:sz="4" w:space="0"/>
            </w:tcBorders>
            <w:vAlign w:val="top"/>
          </w:tcPr>
          <w:p w14:paraId="1690D787">
            <w:pPr>
              <w:jc w:val="center"/>
              <w:rPr>
                <w:rFonts w:hint="eastAsia" w:ascii="仿宋" w:hAnsi="仿宋" w:eastAsia="仿宋" w:cs="仿宋"/>
                <w:color w:val="auto"/>
                <w:sz w:val="24"/>
                <w:szCs w:val="24"/>
              </w:rPr>
            </w:pPr>
          </w:p>
          <w:p w14:paraId="22BB4C1F">
            <w:pPr>
              <w:jc w:val="center"/>
              <w:rPr>
                <w:rFonts w:hint="eastAsia" w:ascii="仿宋" w:hAnsi="仿宋" w:eastAsia="仿宋" w:cs="仿宋"/>
                <w:color w:val="auto"/>
                <w:sz w:val="24"/>
                <w:szCs w:val="24"/>
              </w:rPr>
            </w:pPr>
          </w:p>
          <w:p w14:paraId="57CA696C">
            <w:pPr>
              <w:jc w:val="center"/>
              <w:rPr>
                <w:rFonts w:hint="eastAsia" w:ascii="仿宋" w:hAnsi="仿宋" w:eastAsia="仿宋" w:cs="仿宋"/>
                <w:color w:val="auto"/>
                <w:sz w:val="24"/>
                <w:szCs w:val="24"/>
              </w:rPr>
            </w:pPr>
          </w:p>
          <w:p w14:paraId="7B9E1FB5">
            <w:pPr>
              <w:jc w:val="center"/>
              <w:rPr>
                <w:rFonts w:hint="eastAsia" w:ascii="仿宋" w:hAnsi="仿宋" w:eastAsia="仿宋" w:cs="仿宋"/>
                <w:color w:val="auto"/>
                <w:sz w:val="24"/>
                <w:szCs w:val="24"/>
              </w:rPr>
            </w:pPr>
          </w:p>
          <w:p w14:paraId="4891C7C4">
            <w:pPr>
              <w:jc w:val="center"/>
              <w:rPr>
                <w:rFonts w:hint="eastAsia" w:ascii="仿宋" w:hAnsi="仿宋" w:eastAsia="仿宋" w:cs="仿宋"/>
                <w:color w:val="auto"/>
                <w:sz w:val="24"/>
                <w:szCs w:val="24"/>
              </w:rPr>
            </w:pPr>
          </w:p>
          <w:p w14:paraId="357C7203">
            <w:pPr>
              <w:jc w:val="center"/>
              <w:rPr>
                <w:rFonts w:hint="eastAsia" w:ascii="仿宋" w:hAnsi="仿宋" w:eastAsia="仿宋" w:cs="仿宋"/>
                <w:color w:val="auto"/>
                <w:sz w:val="24"/>
                <w:szCs w:val="24"/>
              </w:rPr>
            </w:pPr>
          </w:p>
          <w:p w14:paraId="5C0BE3EB">
            <w:pPr>
              <w:jc w:val="center"/>
              <w:rPr>
                <w:rFonts w:hint="eastAsia" w:ascii="仿宋" w:hAnsi="仿宋" w:eastAsia="仿宋" w:cs="仿宋"/>
                <w:color w:val="auto"/>
                <w:sz w:val="24"/>
                <w:szCs w:val="24"/>
              </w:rPr>
            </w:pPr>
          </w:p>
          <w:p w14:paraId="5EB64E6C">
            <w:pPr>
              <w:jc w:val="center"/>
              <w:rPr>
                <w:rFonts w:hint="eastAsia" w:ascii="仿宋" w:hAnsi="仿宋" w:eastAsia="仿宋" w:cs="仿宋"/>
                <w:color w:val="auto"/>
                <w:sz w:val="24"/>
                <w:szCs w:val="24"/>
              </w:rPr>
            </w:pPr>
          </w:p>
          <w:p w14:paraId="2DEED0EB">
            <w:pPr>
              <w:jc w:val="center"/>
              <w:rPr>
                <w:rFonts w:hint="eastAsia" w:ascii="仿宋" w:hAnsi="仿宋" w:eastAsia="仿宋" w:cs="仿宋"/>
                <w:color w:val="auto"/>
                <w:sz w:val="24"/>
                <w:szCs w:val="24"/>
              </w:rPr>
            </w:pPr>
          </w:p>
          <w:p w14:paraId="41660D35">
            <w:pPr>
              <w:jc w:val="center"/>
              <w:rPr>
                <w:rFonts w:hint="eastAsia" w:ascii="仿宋" w:hAnsi="仿宋" w:eastAsia="仿宋" w:cs="仿宋"/>
                <w:color w:val="auto"/>
                <w:sz w:val="24"/>
                <w:szCs w:val="24"/>
              </w:rPr>
            </w:pPr>
          </w:p>
          <w:p w14:paraId="6A97ED4E">
            <w:pPr>
              <w:jc w:val="center"/>
              <w:rPr>
                <w:rFonts w:hint="eastAsia" w:ascii="仿宋" w:hAnsi="仿宋" w:eastAsia="仿宋" w:cs="仿宋"/>
                <w:color w:val="auto"/>
                <w:sz w:val="24"/>
                <w:szCs w:val="24"/>
              </w:rPr>
            </w:pPr>
          </w:p>
          <w:p w14:paraId="583ACFCC">
            <w:pPr>
              <w:jc w:val="center"/>
              <w:rPr>
                <w:rFonts w:hint="eastAsia" w:ascii="仿宋" w:hAnsi="仿宋" w:eastAsia="仿宋" w:cs="仿宋"/>
                <w:color w:val="auto"/>
                <w:sz w:val="24"/>
                <w:szCs w:val="24"/>
              </w:rPr>
            </w:pPr>
          </w:p>
          <w:p w14:paraId="4C7F6C58">
            <w:pPr>
              <w:jc w:val="center"/>
              <w:rPr>
                <w:rFonts w:hint="eastAsia" w:ascii="仿宋" w:hAnsi="仿宋" w:eastAsia="仿宋" w:cs="仿宋"/>
                <w:color w:val="auto"/>
                <w:sz w:val="24"/>
                <w:szCs w:val="24"/>
              </w:rPr>
            </w:pPr>
          </w:p>
          <w:p w14:paraId="41B0904C">
            <w:pPr>
              <w:jc w:val="center"/>
              <w:rPr>
                <w:rFonts w:hint="eastAsia" w:ascii="仿宋" w:hAnsi="仿宋" w:eastAsia="仿宋" w:cs="仿宋"/>
                <w:color w:val="auto"/>
                <w:sz w:val="24"/>
                <w:szCs w:val="24"/>
              </w:rPr>
            </w:pPr>
          </w:p>
          <w:p w14:paraId="440BA291">
            <w:pPr>
              <w:jc w:val="center"/>
              <w:rPr>
                <w:rFonts w:hint="eastAsia" w:ascii="仿宋" w:hAnsi="仿宋" w:eastAsia="仿宋" w:cs="仿宋"/>
                <w:color w:val="auto"/>
                <w:sz w:val="24"/>
                <w:szCs w:val="24"/>
              </w:rPr>
            </w:pPr>
          </w:p>
          <w:p w14:paraId="1A9F9A0B">
            <w:pPr>
              <w:jc w:val="center"/>
              <w:rPr>
                <w:rFonts w:hint="eastAsia" w:ascii="仿宋" w:hAnsi="仿宋" w:eastAsia="仿宋" w:cs="仿宋"/>
                <w:color w:val="auto"/>
                <w:sz w:val="24"/>
                <w:szCs w:val="24"/>
              </w:rPr>
            </w:pPr>
          </w:p>
          <w:p w14:paraId="7D0E3416">
            <w:pPr>
              <w:jc w:val="center"/>
              <w:rPr>
                <w:rFonts w:hint="eastAsia" w:ascii="仿宋" w:hAnsi="仿宋" w:eastAsia="仿宋" w:cs="仿宋"/>
                <w:color w:val="auto"/>
                <w:sz w:val="24"/>
                <w:szCs w:val="24"/>
              </w:rPr>
            </w:pPr>
          </w:p>
          <w:p w14:paraId="1BE498C8">
            <w:pPr>
              <w:jc w:val="center"/>
              <w:rPr>
                <w:rFonts w:hint="eastAsia" w:ascii="仿宋" w:hAnsi="仿宋" w:eastAsia="仿宋" w:cs="仿宋"/>
                <w:color w:val="auto"/>
                <w:sz w:val="24"/>
                <w:szCs w:val="24"/>
              </w:rPr>
            </w:pPr>
          </w:p>
          <w:p w14:paraId="2598290D">
            <w:pPr>
              <w:jc w:val="center"/>
              <w:rPr>
                <w:rFonts w:hint="eastAsia" w:ascii="仿宋" w:hAnsi="仿宋" w:eastAsia="仿宋" w:cs="仿宋"/>
                <w:color w:val="auto"/>
                <w:sz w:val="24"/>
                <w:szCs w:val="24"/>
              </w:rPr>
            </w:pPr>
          </w:p>
          <w:p w14:paraId="0D6E2AE2">
            <w:pPr>
              <w:jc w:val="center"/>
              <w:rPr>
                <w:rFonts w:hint="eastAsia" w:ascii="仿宋" w:hAnsi="仿宋" w:eastAsia="仿宋" w:cs="仿宋"/>
                <w:color w:val="auto"/>
                <w:sz w:val="24"/>
                <w:szCs w:val="24"/>
              </w:rPr>
            </w:pPr>
          </w:p>
          <w:p w14:paraId="254EACAB">
            <w:pPr>
              <w:jc w:val="center"/>
              <w:rPr>
                <w:rFonts w:hint="eastAsia" w:ascii="仿宋" w:hAnsi="仿宋" w:eastAsia="仿宋" w:cs="仿宋"/>
                <w:color w:val="auto"/>
                <w:sz w:val="24"/>
                <w:szCs w:val="24"/>
              </w:rPr>
            </w:pPr>
          </w:p>
          <w:p w14:paraId="1C83DD45">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徕卡显微系统(上海</w:t>
            </w:r>
            <w:r>
              <w:rPr>
                <w:rFonts w:hint="eastAsia" w:ascii="仿宋" w:hAnsi="仿宋" w:eastAsia="仿宋" w:cs="仿宋"/>
                <w:color w:val="auto"/>
                <w:sz w:val="24"/>
                <w:szCs w:val="24"/>
                <w:lang w:eastAsia="zh-CN"/>
              </w:rPr>
              <w:t>）</w:t>
            </w:r>
          </w:p>
          <w:p w14:paraId="2B63FB17">
            <w:pPr>
              <w:widowControl/>
              <w:rPr>
                <w:rFonts w:hint="eastAsia" w:ascii="仿宋" w:hAnsi="仿宋" w:eastAsia="仿宋" w:cs="仿宋"/>
                <w:color w:val="auto"/>
                <w:kern w:val="0"/>
                <w:sz w:val="21"/>
                <w:szCs w:val="21"/>
              </w:rPr>
            </w:pPr>
            <w:r>
              <w:rPr>
                <w:rFonts w:hint="eastAsia" w:ascii="仿宋" w:hAnsi="仿宋" w:eastAsia="仿宋" w:cs="仿宋"/>
                <w:color w:val="auto"/>
                <w:sz w:val="24"/>
                <w:szCs w:val="24"/>
              </w:rPr>
              <w:t>有限公司</w:t>
            </w:r>
          </w:p>
        </w:tc>
      </w:tr>
      <w:tr w14:paraId="25696AF1">
        <w:tblPrEx>
          <w:tblCellMar>
            <w:top w:w="0" w:type="dxa"/>
            <w:left w:w="108" w:type="dxa"/>
            <w:bottom w:w="0" w:type="dxa"/>
            <w:right w:w="108" w:type="dxa"/>
          </w:tblCellMar>
        </w:tblPrEx>
        <w:trPr>
          <w:trHeight w:val="888" w:hRule="atLeast"/>
          <w:jc w:val="center"/>
        </w:trPr>
        <w:tc>
          <w:tcPr>
            <w:tcW w:w="698" w:type="dxa"/>
            <w:tcBorders>
              <w:top w:val="single" w:color="000000" w:sz="4" w:space="0"/>
              <w:left w:val="single" w:color="000000" w:sz="4" w:space="0"/>
              <w:bottom w:val="single" w:color="000000" w:sz="4" w:space="0"/>
              <w:right w:val="single" w:color="000000" w:sz="4" w:space="0"/>
            </w:tcBorders>
            <w:vAlign w:val="center"/>
          </w:tcPr>
          <w:p w14:paraId="64B67543">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w:t>
            </w:r>
          </w:p>
        </w:tc>
        <w:tc>
          <w:tcPr>
            <w:tcW w:w="1137" w:type="dxa"/>
            <w:tcBorders>
              <w:top w:val="single" w:color="000000" w:sz="4" w:space="0"/>
              <w:left w:val="single" w:color="000000" w:sz="4" w:space="0"/>
              <w:bottom w:val="single" w:color="000000" w:sz="4" w:space="0"/>
              <w:right w:val="single" w:color="000000" w:sz="4" w:space="0"/>
            </w:tcBorders>
            <w:vAlign w:val="center"/>
          </w:tcPr>
          <w:p w14:paraId="3395CDCB">
            <w:pPr>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t>凝胶成像系统</w:t>
            </w:r>
          </w:p>
        </w:tc>
        <w:tc>
          <w:tcPr>
            <w:tcW w:w="1391" w:type="dxa"/>
            <w:tcBorders>
              <w:top w:val="single" w:color="000000" w:sz="4" w:space="0"/>
              <w:left w:val="nil"/>
              <w:bottom w:val="single" w:color="000000" w:sz="4" w:space="0"/>
              <w:right w:val="single" w:color="000000" w:sz="4" w:space="0"/>
            </w:tcBorders>
            <w:vAlign w:val="center"/>
          </w:tcPr>
          <w:p w14:paraId="691F8C5D">
            <w:pPr>
              <w:jc w:val="center"/>
              <w:rPr>
                <w:rFonts w:hint="eastAsia" w:ascii="仿宋" w:hAnsi="仿宋" w:eastAsia="仿宋" w:cs="仿宋"/>
                <w:color w:val="auto"/>
                <w:kern w:val="0"/>
                <w:sz w:val="21"/>
                <w:szCs w:val="21"/>
              </w:rPr>
            </w:pPr>
            <w:r>
              <w:rPr>
                <w:rFonts w:hint="eastAsia" w:ascii="仿宋" w:hAnsi="仿宋" w:eastAsia="仿宋" w:cs="仿宋"/>
                <w:color w:val="000000"/>
                <w:kern w:val="0"/>
                <w:sz w:val="21"/>
                <w:szCs w:val="21"/>
                <w:lang w:bidi="ar"/>
              </w:rPr>
              <w:t>UVP Solo Elite</w:t>
            </w:r>
          </w:p>
        </w:tc>
        <w:tc>
          <w:tcPr>
            <w:tcW w:w="4629" w:type="dxa"/>
            <w:tcBorders>
              <w:top w:val="single" w:color="000000" w:sz="4" w:space="0"/>
              <w:left w:val="nil"/>
              <w:bottom w:val="single" w:color="000000" w:sz="4" w:space="0"/>
              <w:right w:val="single" w:color="000000" w:sz="4" w:space="0"/>
            </w:tcBorders>
            <w:vAlign w:val="center"/>
          </w:tcPr>
          <w:p w14:paraId="2CAC6ED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1.功能及用途：主要用于对蛋白质及核酸电泳凝胶成像等的成像分析研究，全自动电脑控制，高程序化，做到操作简单，方便实用。核酸凝胶、蛋白凝胶成像、菌落计数、DAB成像等普通成像应用。用于细胞分子生物研究。</w:t>
            </w:r>
          </w:p>
          <w:p w14:paraId="6F5EF38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2.配置：主机1套；工作站1套。</w:t>
            </w:r>
          </w:p>
          <w:p w14:paraId="70DB7F9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3.技术性能级参数要求</w:t>
            </w:r>
          </w:p>
          <w:p w14:paraId="65E325F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 控制系统：一体化设备，系统自带10英寸触摸显示屏电脑，100G固态硬盘，5个USB接口；拍照软件多种操作语言可选，中英文等多种语言自由切换；曝光时间、成像面积、饱和度、明暗度、对比度等都可通过触摸屏实时显示，以便用户得到最佳的凝胶图像；</w:t>
            </w:r>
          </w:p>
          <w:p w14:paraId="53BF815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 xml:space="preserve"> 工作站：处理器：i7 ，内存：16G、 存储空间：2T SSD 、23英寸显示器；独立显卡，内存：2G。</w:t>
            </w:r>
          </w:p>
          <w:p w14:paraId="4D4B2E9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  CCD：630万物理像素的透射紫外彩色相机。</w:t>
            </w:r>
          </w:p>
          <w:p w14:paraId="7633DE3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3.3镜头：光圈优于F/1.2，变焦焦距8-25mm  ； 软件控制焦距、光圈调整，可实现自动对焦；</w:t>
            </w:r>
          </w:p>
          <w:p w14:paraId="4EB7EB3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3.4下拉式暗箱开门，标配302nm紫外透照台，成像面积16.8cm x 21cm，适用于各种尺寸的凝胶拍照；</w:t>
            </w:r>
          </w:p>
          <w:p w14:paraId="65D573E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顶置蓝光和白光 LED 照明灯为各种凝胶成像应用提供支撑。</w:t>
            </w:r>
          </w:p>
          <w:p w14:paraId="131A72A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3.5 前舱门打开时紫外灯会自动熄灭，避免操作者受到紫外光的直接照射。若操作者希望开门时紫外灯仍然亮着，也可选择开门不关灯的功能。此外若10min后仪器无任何操作，紫外灯会自动熄灭，以延长紫外灯的使用寿命。</w:t>
            </w:r>
          </w:p>
          <w:p w14:paraId="420C81F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3.6  五种光源模式可选，透射紫外光、透射蓝光、透射白光、反射白光、反射蓝光</w:t>
            </w:r>
          </w:p>
          <w:p w14:paraId="42216B51">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3.7标配GelRed、SYBR Gree和EB滤光片，以实现EB、SYBR®Green、SYBR® Gold、 SYBR® Safe、GelRedTM 、GelStar®、SYPRO® Ruby、SYPRO® Orange、考马斯亮蓝、银染等多种应用；全自动滤光片轮：3位，可同时放置3个不同的滤光片，软件控制滤光轮位置调整及自动滤光轮位置矫正</w:t>
            </w:r>
          </w:p>
          <w:p w14:paraId="5B4C54D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光转换模式：对于蓝光激发的SYBR@Green等荧光染料，可以使用蓝光转换板替换平常透照台。非荧光凝胶(如:使用银染或考马斯亮蓝进行染色的聚丙烯酰胺凝胶)的成像时，可使用转换板，将紫外光转换为白光进行成像。</w:t>
            </w:r>
          </w:p>
          <w:p w14:paraId="04D6FC0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3.9软件功能</w:t>
            </w:r>
          </w:p>
          <w:p w14:paraId="51C08D5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3.9.1控制软件为拍照分析一体式软件，可用于凝胶图像的采集和分析。</w:t>
            </w:r>
          </w:p>
          <w:p w14:paraId="2A4E590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一键式预设式操作设计，具有实时预览、自动聚焦和自动曝光模式，适用于核酸凝胶、蛋白凝胶以及菌落计数等凝胶应用；</w:t>
            </w:r>
          </w:p>
          <w:p w14:paraId="5A5C901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拍照软件多种操作语言可选，中英文等多种语言自由切换，且为图像采集与分析一体软件，支持无限次安装。</w:t>
            </w:r>
          </w:p>
          <w:p w14:paraId="206D6750">
            <w:pPr>
              <w:widowControl/>
              <w:snapToGrid w:val="0"/>
              <w:spacing w:line="360" w:lineRule="auto"/>
              <w:jc w:val="left"/>
              <w:rPr>
                <w:rFonts w:hint="eastAsia" w:ascii="仿宋" w:hAnsi="仿宋" w:eastAsia="仿宋" w:cs="仿宋"/>
                <w:color w:val="auto"/>
                <w:spacing w:val="10"/>
                <w:kern w:val="0"/>
                <w:sz w:val="21"/>
                <w:szCs w:val="21"/>
              </w:rPr>
            </w:pPr>
          </w:p>
          <w:p w14:paraId="4F80D5F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3.9.2用户友好型界面设计，可对图像采集、后期处理和分析等工作流程进行简化；用户界面简洁方便用户通过设备控制面板轻松进入自动和手动图像采集模式。曝光设置可对曝光时间进行调整。</w:t>
            </w:r>
          </w:p>
          <w:p w14:paraId="29DC558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3.9.3支持平场、暗帧和光子通量的高级校准；</w:t>
            </w:r>
          </w:p>
          <w:p w14:paraId="20BA873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 xml:space="preserve">3.9.4分析功能包括：通道及条带编辑，分子量测定、RF值测定、克隆计数、相对百分比浓度测定、绝对浓度测定、光密度测定，菌落样品自动分类，标准曲线制作等； </w:t>
            </w:r>
          </w:p>
          <w:p w14:paraId="5DA10F5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3.9.5图片可以tif、jpg等格式存储在仪器里，也可通过前端的USB接口导出，还可通过无线网络传输至电脑中</w:t>
            </w:r>
          </w:p>
          <w:p w14:paraId="05AB81B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3.9.6图片编辑功能包括：自动/手动泳道识别、自动/手动条带识别、倾斜弯曲泳道条带修正；图像文字注释、图像角度旋转、图像镜像、反色及明暗对比处理、添加伪彩；背景扣除，总蛋白均一化分析等</w:t>
            </w:r>
          </w:p>
          <w:p w14:paraId="19185FD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4.相关要求</w:t>
            </w:r>
          </w:p>
          <w:p w14:paraId="26B5A91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4.1、仪器安装完成后，对使用人员免费进行技术培训，包括仪器基本原理和结构介绍、仪器操作方法、仪器基本保养维护程序等内容；</w:t>
            </w:r>
          </w:p>
          <w:p w14:paraId="5CE07B7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4.2、自验收合格起1年质保，质保期外免费维护只收取配件费；</w:t>
            </w:r>
          </w:p>
          <w:p w14:paraId="022653E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4.3、为了保证产品质量和售后服务，该设备提供相关技术证明材料。</w:t>
            </w:r>
          </w:p>
        </w:tc>
        <w:tc>
          <w:tcPr>
            <w:tcW w:w="992" w:type="dxa"/>
            <w:tcBorders>
              <w:top w:val="single" w:color="000000" w:sz="4" w:space="0"/>
              <w:left w:val="nil"/>
              <w:bottom w:val="single" w:color="000000" w:sz="4" w:space="0"/>
              <w:right w:val="single" w:color="000000" w:sz="4" w:space="0"/>
            </w:tcBorders>
          </w:tcPr>
          <w:p w14:paraId="4EF35C04">
            <w:pPr>
              <w:widowControl/>
              <w:rPr>
                <w:rFonts w:hint="eastAsia" w:ascii="仿宋" w:hAnsi="仿宋" w:eastAsia="仿宋" w:cs="仿宋"/>
                <w:color w:val="auto"/>
                <w:kern w:val="0"/>
                <w:sz w:val="21"/>
                <w:szCs w:val="21"/>
              </w:rPr>
            </w:pPr>
          </w:p>
          <w:p w14:paraId="53A41F43">
            <w:pPr>
              <w:widowControl/>
              <w:rPr>
                <w:rFonts w:hint="eastAsia" w:ascii="仿宋" w:hAnsi="仿宋" w:eastAsia="仿宋" w:cs="仿宋"/>
                <w:color w:val="auto"/>
                <w:kern w:val="0"/>
                <w:sz w:val="21"/>
                <w:szCs w:val="21"/>
              </w:rPr>
            </w:pPr>
          </w:p>
          <w:p w14:paraId="2A3D66B8">
            <w:pPr>
              <w:widowControl/>
              <w:rPr>
                <w:rFonts w:hint="eastAsia" w:ascii="仿宋" w:hAnsi="仿宋" w:eastAsia="仿宋" w:cs="仿宋"/>
                <w:color w:val="auto"/>
                <w:kern w:val="0"/>
                <w:sz w:val="21"/>
                <w:szCs w:val="21"/>
              </w:rPr>
            </w:pPr>
          </w:p>
          <w:p w14:paraId="3D993313">
            <w:pPr>
              <w:widowControl/>
              <w:rPr>
                <w:rFonts w:hint="eastAsia" w:ascii="仿宋" w:hAnsi="仿宋" w:eastAsia="仿宋" w:cs="仿宋"/>
                <w:color w:val="auto"/>
                <w:kern w:val="0"/>
                <w:sz w:val="21"/>
                <w:szCs w:val="21"/>
              </w:rPr>
            </w:pPr>
          </w:p>
          <w:p w14:paraId="7A99E752">
            <w:pPr>
              <w:widowControl/>
              <w:rPr>
                <w:rFonts w:hint="eastAsia" w:ascii="仿宋" w:hAnsi="仿宋" w:eastAsia="仿宋" w:cs="仿宋"/>
                <w:color w:val="auto"/>
                <w:kern w:val="0"/>
                <w:sz w:val="21"/>
                <w:szCs w:val="21"/>
              </w:rPr>
            </w:pPr>
          </w:p>
          <w:p w14:paraId="494A9634">
            <w:pPr>
              <w:widowControl/>
              <w:rPr>
                <w:rFonts w:hint="eastAsia" w:ascii="仿宋" w:hAnsi="仿宋" w:eastAsia="仿宋" w:cs="仿宋"/>
                <w:color w:val="auto"/>
                <w:kern w:val="0"/>
                <w:sz w:val="21"/>
                <w:szCs w:val="21"/>
              </w:rPr>
            </w:pPr>
          </w:p>
          <w:p w14:paraId="6671F933">
            <w:pPr>
              <w:widowControl/>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美国</w:t>
            </w:r>
          </w:p>
        </w:tc>
        <w:tc>
          <w:tcPr>
            <w:tcW w:w="997" w:type="dxa"/>
            <w:tcBorders>
              <w:top w:val="single" w:color="000000" w:sz="4" w:space="0"/>
              <w:left w:val="nil"/>
              <w:bottom w:val="single" w:color="000000" w:sz="4" w:space="0"/>
              <w:right w:val="single" w:color="000000" w:sz="4" w:space="0"/>
            </w:tcBorders>
          </w:tcPr>
          <w:p w14:paraId="2FA4A035">
            <w:pPr>
              <w:widowControl/>
              <w:rPr>
                <w:rFonts w:hint="eastAsia" w:ascii="仿宋" w:hAnsi="仿宋" w:eastAsia="仿宋" w:cs="仿宋"/>
                <w:color w:val="000000"/>
                <w:kern w:val="0"/>
                <w:sz w:val="24"/>
                <w:szCs w:val="24"/>
                <w:highlight w:val="none"/>
                <w:lang w:val="en-US" w:eastAsia="zh-CN" w:bidi="ar"/>
              </w:rPr>
            </w:pPr>
          </w:p>
          <w:p w14:paraId="252DA50D">
            <w:pPr>
              <w:widowControl/>
              <w:rPr>
                <w:rFonts w:hint="eastAsia" w:ascii="仿宋" w:hAnsi="仿宋" w:eastAsia="仿宋" w:cs="仿宋"/>
                <w:color w:val="000000"/>
                <w:kern w:val="0"/>
                <w:sz w:val="24"/>
                <w:szCs w:val="24"/>
                <w:highlight w:val="none"/>
                <w:lang w:val="en-US" w:eastAsia="zh-CN" w:bidi="ar"/>
              </w:rPr>
            </w:pPr>
          </w:p>
          <w:p w14:paraId="3F7AA1CF">
            <w:pPr>
              <w:widowControl/>
              <w:rPr>
                <w:rFonts w:hint="eastAsia" w:ascii="仿宋" w:hAnsi="仿宋" w:eastAsia="仿宋" w:cs="仿宋"/>
                <w:color w:val="000000"/>
                <w:kern w:val="0"/>
                <w:sz w:val="24"/>
                <w:szCs w:val="24"/>
                <w:highlight w:val="none"/>
                <w:lang w:val="en-US" w:eastAsia="zh-CN" w:bidi="ar"/>
              </w:rPr>
            </w:pPr>
          </w:p>
          <w:p w14:paraId="68F73CDD">
            <w:pPr>
              <w:widowControl/>
              <w:rPr>
                <w:rFonts w:hint="eastAsia" w:ascii="仿宋" w:hAnsi="仿宋" w:eastAsia="仿宋" w:cs="仿宋"/>
                <w:color w:val="000000"/>
                <w:kern w:val="0"/>
                <w:sz w:val="24"/>
                <w:szCs w:val="24"/>
                <w:highlight w:val="none"/>
                <w:lang w:val="en-US" w:eastAsia="zh-CN" w:bidi="ar"/>
              </w:rPr>
            </w:pPr>
          </w:p>
          <w:p w14:paraId="4D5E5B09">
            <w:pPr>
              <w:widowControl/>
              <w:rPr>
                <w:rFonts w:hint="eastAsia" w:ascii="仿宋" w:hAnsi="仿宋" w:eastAsia="仿宋" w:cs="仿宋"/>
                <w:color w:val="000000"/>
                <w:kern w:val="0"/>
                <w:sz w:val="24"/>
                <w:szCs w:val="24"/>
                <w:highlight w:val="none"/>
                <w:lang w:val="en-US" w:eastAsia="zh-CN" w:bidi="ar"/>
              </w:rPr>
            </w:pPr>
          </w:p>
          <w:p w14:paraId="442A50F5">
            <w:pPr>
              <w:widowControl/>
              <w:rPr>
                <w:rFonts w:hint="eastAsia" w:ascii="仿宋" w:hAnsi="仿宋" w:eastAsia="仿宋" w:cs="仿宋"/>
                <w:color w:val="000000"/>
                <w:kern w:val="0"/>
                <w:sz w:val="24"/>
                <w:szCs w:val="24"/>
                <w:highlight w:val="none"/>
                <w:lang w:val="en-US" w:eastAsia="zh-CN" w:bidi="ar"/>
              </w:rPr>
            </w:pPr>
          </w:p>
          <w:p w14:paraId="30E93C4C">
            <w:pPr>
              <w:widowControl/>
              <w:rPr>
                <w:rFonts w:hint="eastAsia" w:ascii="仿宋" w:hAnsi="仿宋" w:eastAsia="仿宋" w:cs="仿宋"/>
                <w:color w:val="auto"/>
                <w:kern w:val="0"/>
                <w:sz w:val="21"/>
                <w:szCs w:val="21"/>
              </w:rPr>
            </w:pPr>
            <w:r>
              <w:rPr>
                <w:rFonts w:hint="eastAsia" w:ascii="仿宋" w:hAnsi="仿宋" w:eastAsia="仿宋" w:cs="仿宋"/>
                <w:color w:val="000000"/>
                <w:kern w:val="0"/>
                <w:sz w:val="24"/>
                <w:szCs w:val="24"/>
                <w:highlight w:val="none"/>
                <w:lang w:val="en-US" w:eastAsia="zh-CN" w:bidi="ar"/>
              </w:rPr>
              <w:t>Analytik Jena GmbH+Co.KG</w:t>
            </w:r>
          </w:p>
        </w:tc>
      </w:tr>
      <w:tr w14:paraId="50990695">
        <w:tblPrEx>
          <w:tblCellMar>
            <w:top w:w="0" w:type="dxa"/>
            <w:left w:w="108" w:type="dxa"/>
            <w:bottom w:w="0" w:type="dxa"/>
            <w:right w:w="108" w:type="dxa"/>
          </w:tblCellMar>
        </w:tblPrEx>
        <w:trPr>
          <w:trHeight w:val="888" w:hRule="atLeast"/>
          <w:jc w:val="center"/>
        </w:trPr>
        <w:tc>
          <w:tcPr>
            <w:tcW w:w="698" w:type="dxa"/>
            <w:tcBorders>
              <w:top w:val="single" w:color="000000" w:sz="4" w:space="0"/>
              <w:left w:val="single" w:color="000000" w:sz="4" w:space="0"/>
              <w:bottom w:val="single" w:color="000000" w:sz="4" w:space="0"/>
              <w:right w:val="single" w:color="000000" w:sz="4" w:space="0"/>
            </w:tcBorders>
            <w:vAlign w:val="center"/>
          </w:tcPr>
          <w:p w14:paraId="4AD59696">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1137" w:type="dxa"/>
            <w:tcBorders>
              <w:top w:val="single" w:color="000000" w:sz="4" w:space="0"/>
              <w:left w:val="single" w:color="000000" w:sz="4" w:space="0"/>
              <w:bottom w:val="single" w:color="000000" w:sz="4" w:space="0"/>
              <w:right w:val="single" w:color="000000" w:sz="4" w:space="0"/>
            </w:tcBorders>
            <w:vAlign w:val="center"/>
          </w:tcPr>
          <w:p w14:paraId="0638EE35">
            <w:pPr>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t>小型台式冷冻离心机</w:t>
            </w:r>
          </w:p>
        </w:tc>
        <w:tc>
          <w:tcPr>
            <w:tcW w:w="1391" w:type="dxa"/>
            <w:tcBorders>
              <w:top w:val="single" w:color="000000" w:sz="4" w:space="0"/>
              <w:left w:val="nil"/>
              <w:bottom w:val="single" w:color="000000" w:sz="4" w:space="0"/>
              <w:right w:val="single" w:color="000000" w:sz="4" w:space="0"/>
            </w:tcBorders>
            <w:vAlign w:val="center"/>
          </w:tcPr>
          <w:p w14:paraId="58E481CF">
            <w:pPr>
              <w:jc w:val="center"/>
              <w:rPr>
                <w:rFonts w:hint="eastAsia" w:ascii="仿宋" w:hAnsi="仿宋" w:eastAsia="仿宋" w:cs="仿宋"/>
                <w:color w:val="auto"/>
                <w:kern w:val="0"/>
                <w:sz w:val="21"/>
                <w:szCs w:val="21"/>
              </w:rPr>
            </w:pPr>
            <w:r>
              <w:rPr>
                <w:rStyle w:val="10"/>
                <w:rFonts w:hint="eastAsia" w:ascii="仿宋" w:hAnsi="仿宋" w:eastAsia="仿宋" w:cs="仿宋"/>
                <w:sz w:val="21"/>
                <w:szCs w:val="21"/>
                <w:lang w:bidi="ar"/>
              </w:rPr>
              <w:t xml:space="preserve"> 5418 R</w:t>
            </w:r>
          </w:p>
        </w:tc>
        <w:tc>
          <w:tcPr>
            <w:tcW w:w="4629" w:type="dxa"/>
            <w:tcBorders>
              <w:top w:val="single" w:color="000000" w:sz="4" w:space="0"/>
              <w:left w:val="nil"/>
              <w:bottom w:val="single" w:color="000000" w:sz="4" w:space="0"/>
              <w:right w:val="single" w:color="000000" w:sz="4" w:space="0"/>
            </w:tcBorders>
            <w:vAlign w:val="center"/>
          </w:tcPr>
          <w:p w14:paraId="620C91B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1.用途</w:t>
            </w:r>
          </w:p>
          <w:p w14:paraId="72222FF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反应液混匀离心；核酸提取（酚氯仿抽提/离心柱提取）；组织匀浆细胞裂解物去除。</w:t>
            </w:r>
          </w:p>
          <w:p w14:paraId="7DF2F3C2">
            <w:pPr>
              <w:widowControl/>
              <w:snapToGrid w:val="0"/>
              <w:spacing w:line="360" w:lineRule="auto"/>
              <w:jc w:val="left"/>
              <w:rPr>
                <w:rFonts w:hint="eastAsia" w:ascii="仿宋" w:hAnsi="仿宋" w:eastAsia="仿宋" w:cs="仿宋"/>
                <w:color w:val="auto"/>
                <w:spacing w:val="10"/>
                <w:kern w:val="0"/>
                <w:sz w:val="21"/>
                <w:szCs w:val="21"/>
              </w:rPr>
            </w:pPr>
          </w:p>
          <w:p w14:paraId="4E4A542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2.配置</w:t>
            </w:r>
          </w:p>
          <w:p w14:paraId="009292A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2.1、高速冷冻离心机主机一台(含盛液盘一个)</w:t>
            </w:r>
          </w:p>
          <w:p w14:paraId="24B4ACB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2.2 18×1.5/2ml气密性金属材质角转子1套</w:t>
            </w:r>
          </w:p>
          <w:p w14:paraId="11204D9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3.技术性能与参数要求</w:t>
            </w:r>
          </w:p>
          <w:p w14:paraId="734586C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3.1最高转速：14000 rpm，可从100rpm以100rpm递增；最大离心力（rcf）：16873×g</w:t>
            </w:r>
          </w:p>
          <w:p w14:paraId="27791C8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3.2配18×1.5/2ml气密性金属材质角转子，不锈钢转子盖。具有快速锁定金属转子盖（旋转四分之一圈即可锁定转子盖），可快速、可靠地锁紧转子</w:t>
            </w:r>
          </w:p>
          <w:p w14:paraId="26C2858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3.3时间控制：30s-99min，可连续离心；</w:t>
            </w:r>
          </w:p>
          <w:p w14:paraId="40EC318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最大加速/减速时间：13秒；</w:t>
            </w:r>
          </w:p>
          <w:p w14:paraId="114555D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具有at set rpm定速计时功能即达到设定转速才开始计时</w:t>
            </w:r>
          </w:p>
          <w:p w14:paraId="5F41CEB3">
            <w:pPr>
              <w:widowControl/>
              <w:snapToGrid w:val="0"/>
              <w:spacing w:line="360" w:lineRule="auto"/>
              <w:jc w:val="left"/>
              <w:rPr>
                <w:rFonts w:hint="eastAsia" w:ascii="仿宋" w:hAnsi="仿宋" w:eastAsia="仿宋" w:cs="仿宋"/>
                <w:color w:val="auto"/>
                <w:spacing w:val="10"/>
                <w:kern w:val="0"/>
                <w:sz w:val="21"/>
                <w:szCs w:val="21"/>
              </w:rPr>
            </w:pPr>
          </w:p>
          <w:p w14:paraId="26B7316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3.4温度控制范围：0℃-40℃，即使在最高转速时，也可以保持4℃；</w:t>
            </w:r>
          </w:p>
          <w:p w14:paraId="3DEDE27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具有快速预冷功能，可以快速预冷样品；</w:t>
            </w:r>
          </w:p>
          <w:p w14:paraId="4C39AAA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动态压缩机控制ECO自动待机功能：优化制冷性能，延长压缩机使用寿命</w:t>
            </w:r>
          </w:p>
          <w:p w14:paraId="26831F72">
            <w:pPr>
              <w:widowControl/>
              <w:snapToGrid w:val="0"/>
              <w:spacing w:line="360" w:lineRule="auto"/>
              <w:jc w:val="left"/>
              <w:rPr>
                <w:rFonts w:hint="eastAsia" w:ascii="仿宋" w:hAnsi="仿宋" w:eastAsia="仿宋" w:cs="仿宋"/>
                <w:color w:val="auto"/>
                <w:spacing w:val="10"/>
                <w:kern w:val="0"/>
                <w:sz w:val="21"/>
                <w:szCs w:val="21"/>
              </w:rPr>
            </w:pPr>
          </w:p>
          <w:p w14:paraId="4BC4E1C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3.5电机类型：免维护无碳刷变频电机</w:t>
            </w:r>
          </w:p>
          <w:p w14:paraId="236F40FF">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3.6噪音：&lt;47dB</w:t>
            </w:r>
          </w:p>
          <w:p w14:paraId="7C78E55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3.7电源要求：220V/50-60Hz，功率：220W</w:t>
            </w:r>
          </w:p>
          <w:p w14:paraId="53255C6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 面板显示：可五位数字显示转速或离心力；速度显示：rpm/rcf可相互转换</w:t>
            </w:r>
          </w:p>
          <w:p w14:paraId="02AB8B2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3.9速度控制：单独的瞬时离心键（short按键），可做瞬时离心</w:t>
            </w:r>
          </w:p>
          <w:p w14:paraId="51D0EF43">
            <w:pPr>
              <w:widowControl/>
              <w:snapToGrid w:val="0"/>
              <w:spacing w:line="360" w:lineRule="auto"/>
              <w:jc w:val="left"/>
              <w:rPr>
                <w:rFonts w:hint="eastAsia" w:ascii="仿宋" w:hAnsi="仿宋" w:eastAsia="仿宋" w:cs="仿宋"/>
                <w:color w:val="auto"/>
                <w:spacing w:val="10"/>
                <w:kern w:val="0"/>
                <w:sz w:val="21"/>
                <w:szCs w:val="21"/>
              </w:rPr>
            </w:pPr>
          </w:p>
          <w:p w14:paraId="705D279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3.10.内置冷凝水槽，防止离心腔内冷凝水积聚，防止腐蚀</w:t>
            </w:r>
          </w:p>
          <w:p w14:paraId="6F92693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4.相关要求</w:t>
            </w:r>
          </w:p>
          <w:p w14:paraId="52B0BD6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4.1、仪器安装完成后，对使用人员免费进行技术培训，包括仪器基本原理和结构介绍、仪器操作方法、仪器基本保养维护程序等内容；</w:t>
            </w:r>
          </w:p>
          <w:p w14:paraId="6BF9B35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4.2、自验收合格起1年质保，质保期外免费维护只收取配件费；</w:t>
            </w:r>
          </w:p>
          <w:p w14:paraId="63E3FC5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4.3、为了保证产品质量和售后服务，该设备已提供相关技术证明材料。</w:t>
            </w:r>
          </w:p>
        </w:tc>
        <w:tc>
          <w:tcPr>
            <w:tcW w:w="992" w:type="dxa"/>
            <w:tcBorders>
              <w:top w:val="single" w:color="000000" w:sz="4" w:space="0"/>
              <w:left w:val="nil"/>
              <w:bottom w:val="single" w:color="000000" w:sz="4" w:space="0"/>
              <w:right w:val="single" w:color="000000" w:sz="4" w:space="0"/>
            </w:tcBorders>
          </w:tcPr>
          <w:p w14:paraId="0BBB75BE">
            <w:pPr>
              <w:widowControl/>
              <w:rPr>
                <w:rFonts w:hint="eastAsia" w:ascii="仿宋" w:hAnsi="仿宋" w:eastAsia="仿宋" w:cs="仿宋"/>
                <w:color w:val="auto"/>
                <w:kern w:val="0"/>
                <w:sz w:val="21"/>
                <w:szCs w:val="21"/>
              </w:rPr>
            </w:pPr>
          </w:p>
          <w:p w14:paraId="255F5A06">
            <w:pPr>
              <w:widowControl/>
              <w:rPr>
                <w:rFonts w:hint="eastAsia" w:ascii="仿宋" w:hAnsi="仿宋" w:eastAsia="仿宋" w:cs="仿宋"/>
                <w:color w:val="auto"/>
                <w:kern w:val="0"/>
                <w:sz w:val="21"/>
                <w:szCs w:val="21"/>
              </w:rPr>
            </w:pPr>
          </w:p>
          <w:p w14:paraId="4DA8A8FB">
            <w:pPr>
              <w:widowControl/>
              <w:rPr>
                <w:rFonts w:hint="eastAsia" w:ascii="仿宋" w:hAnsi="仿宋" w:eastAsia="仿宋" w:cs="仿宋"/>
                <w:color w:val="auto"/>
                <w:kern w:val="0"/>
                <w:sz w:val="21"/>
                <w:szCs w:val="21"/>
              </w:rPr>
            </w:pPr>
          </w:p>
          <w:p w14:paraId="31F57A53">
            <w:pPr>
              <w:widowControl/>
              <w:rPr>
                <w:rFonts w:hint="eastAsia" w:ascii="仿宋" w:hAnsi="仿宋" w:eastAsia="仿宋" w:cs="仿宋"/>
                <w:color w:val="auto"/>
                <w:kern w:val="0"/>
                <w:sz w:val="21"/>
                <w:szCs w:val="21"/>
              </w:rPr>
            </w:pPr>
          </w:p>
          <w:p w14:paraId="662447DE">
            <w:pPr>
              <w:widowControl/>
              <w:rPr>
                <w:rFonts w:hint="eastAsia" w:ascii="仿宋" w:hAnsi="仿宋" w:eastAsia="仿宋" w:cs="仿宋"/>
                <w:color w:val="auto"/>
                <w:kern w:val="0"/>
                <w:sz w:val="21"/>
                <w:szCs w:val="21"/>
              </w:rPr>
            </w:pPr>
          </w:p>
          <w:p w14:paraId="7EAA9F5D">
            <w:pPr>
              <w:widowControl/>
              <w:rPr>
                <w:rFonts w:hint="eastAsia" w:ascii="仿宋" w:hAnsi="仿宋" w:eastAsia="仿宋" w:cs="仿宋"/>
                <w:color w:val="auto"/>
                <w:kern w:val="0"/>
                <w:sz w:val="21"/>
                <w:szCs w:val="21"/>
              </w:rPr>
            </w:pPr>
          </w:p>
          <w:p w14:paraId="2A2705CB">
            <w:pPr>
              <w:widowControl/>
              <w:rPr>
                <w:rFonts w:hint="eastAsia" w:ascii="仿宋" w:hAnsi="仿宋" w:eastAsia="仿宋" w:cs="仿宋"/>
                <w:color w:val="auto"/>
                <w:kern w:val="0"/>
                <w:sz w:val="21"/>
                <w:szCs w:val="21"/>
              </w:rPr>
            </w:pPr>
          </w:p>
          <w:p w14:paraId="1CD170DF">
            <w:pPr>
              <w:widowControl/>
              <w:rPr>
                <w:rFonts w:hint="eastAsia" w:ascii="仿宋" w:hAnsi="仿宋" w:eastAsia="仿宋" w:cs="仿宋"/>
                <w:color w:val="auto"/>
                <w:kern w:val="0"/>
                <w:sz w:val="21"/>
                <w:szCs w:val="21"/>
              </w:rPr>
            </w:pPr>
          </w:p>
          <w:p w14:paraId="27465BA8">
            <w:pPr>
              <w:widowControl/>
              <w:rPr>
                <w:rFonts w:hint="eastAsia" w:ascii="仿宋" w:hAnsi="仿宋" w:eastAsia="仿宋" w:cs="仿宋"/>
                <w:color w:val="auto"/>
                <w:kern w:val="0"/>
                <w:sz w:val="21"/>
                <w:szCs w:val="21"/>
              </w:rPr>
            </w:pPr>
          </w:p>
          <w:p w14:paraId="416D3C8D">
            <w:pPr>
              <w:widowControl/>
              <w:rPr>
                <w:rFonts w:hint="eastAsia" w:ascii="仿宋" w:hAnsi="仿宋" w:eastAsia="仿宋" w:cs="仿宋"/>
                <w:color w:val="auto"/>
                <w:kern w:val="0"/>
                <w:sz w:val="21"/>
                <w:szCs w:val="21"/>
              </w:rPr>
            </w:pPr>
          </w:p>
          <w:p w14:paraId="591B2830">
            <w:pPr>
              <w:widowControl/>
              <w:rPr>
                <w:rFonts w:hint="eastAsia" w:ascii="仿宋" w:hAnsi="仿宋" w:eastAsia="仿宋" w:cs="仿宋"/>
                <w:color w:val="auto"/>
                <w:kern w:val="0"/>
                <w:sz w:val="21"/>
                <w:szCs w:val="21"/>
              </w:rPr>
            </w:pPr>
          </w:p>
          <w:p w14:paraId="26B62B0C">
            <w:pPr>
              <w:widowControl/>
              <w:rPr>
                <w:rFonts w:hint="eastAsia" w:ascii="仿宋" w:hAnsi="仿宋" w:eastAsia="仿宋" w:cs="仿宋"/>
                <w:color w:val="auto"/>
                <w:kern w:val="0"/>
                <w:sz w:val="21"/>
                <w:szCs w:val="21"/>
              </w:rPr>
            </w:pPr>
          </w:p>
          <w:p w14:paraId="087EA1BA">
            <w:pPr>
              <w:widowControl/>
              <w:rPr>
                <w:rFonts w:hint="eastAsia" w:ascii="仿宋" w:hAnsi="仿宋" w:eastAsia="仿宋" w:cs="仿宋"/>
                <w:color w:val="auto"/>
                <w:kern w:val="0"/>
                <w:sz w:val="21"/>
                <w:szCs w:val="21"/>
              </w:rPr>
            </w:pPr>
          </w:p>
          <w:p w14:paraId="502E2EDD">
            <w:pPr>
              <w:widowControl/>
              <w:rPr>
                <w:rFonts w:hint="eastAsia" w:ascii="仿宋" w:hAnsi="仿宋" w:eastAsia="仿宋" w:cs="仿宋"/>
                <w:color w:val="auto"/>
                <w:kern w:val="0"/>
                <w:sz w:val="21"/>
                <w:szCs w:val="21"/>
              </w:rPr>
            </w:pPr>
          </w:p>
          <w:p w14:paraId="7A7B1A7A">
            <w:pPr>
              <w:widowControl/>
              <w:rPr>
                <w:rFonts w:hint="eastAsia" w:ascii="仿宋" w:hAnsi="仿宋" w:eastAsia="仿宋" w:cs="仿宋"/>
                <w:color w:val="auto"/>
                <w:kern w:val="0"/>
                <w:sz w:val="21"/>
                <w:szCs w:val="21"/>
              </w:rPr>
            </w:pPr>
          </w:p>
          <w:p w14:paraId="0870B508">
            <w:pPr>
              <w:widowControl/>
              <w:rPr>
                <w:rFonts w:hint="eastAsia" w:ascii="仿宋" w:hAnsi="仿宋" w:eastAsia="仿宋" w:cs="仿宋"/>
                <w:color w:val="auto"/>
                <w:kern w:val="0"/>
                <w:sz w:val="21"/>
                <w:szCs w:val="21"/>
              </w:rPr>
            </w:pPr>
          </w:p>
          <w:p w14:paraId="58CA6A8D">
            <w:pPr>
              <w:widowControl/>
              <w:rPr>
                <w:rFonts w:hint="eastAsia" w:ascii="仿宋" w:hAnsi="仿宋" w:eastAsia="仿宋" w:cs="仿宋"/>
                <w:color w:val="auto"/>
                <w:kern w:val="0"/>
                <w:sz w:val="21"/>
                <w:szCs w:val="21"/>
              </w:rPr>
            </w:pPr>
          </w:p>
          <w:p w14:paraId="7A6BCD34">
            <w:pPr>
              <w:widowControl/>
              <w:rPr>
                <w:rFonts w:hint="eastAsia" w:ascii="仿宋" w:hAnsi="仿宋" w:eastAsia="仿宋" w:cs="仿宋"/>
                <w:color w:val="auto"/>
                <w:kern w:val="0"/>
                <w:sz w:val="21"/>
                <w:szCs w:val="21"/>
              </w:rPr>
            </w:pPr>
          </w:p>
          <w:p w14:paraId="56F23889">
            <w:pPr>
              <w:widowControl/>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德国</w:t>
            </w:r>
          </w:p>
        </w:tc>
        <w:tc>
          <w:tcPr>
            <w:tcW w:w="997" w:type="dxa"/>
            <w:tcBorders>
              <w:top w:val="single" w:color="000000" w:sz="4" w:space="0"/>
              <w:left w:val="nil"/>
              <w:bottom w:val="single" w:color="000000" w:sz="4" w:space="0"/>
              <w:right w:val="single" w:color="000000" w:sz="4" w:space="0"/>
            </w:tcBorders>
          </w:tcPr>
          <w:p w14:paraId="31CE8A2D">
            <w:pPr>
              <w:widowControl/>
              <w:rPr>
                <w:rFonts w:hint="eastAsia" w:ascii="仿宋" w:hAnsi="仿宋" w:eastAsia="仿宋" w:cs="仿宋"/>
                <w:color w:val="auto"/>
                <w:sz w:val="24"/>
                <w:szCs w:val="24"/>
              </w:rPr>
            </w:pPr>
          </w:p>
          <w:p w14:paraId="71961BAC">
            <w:pPr>
              <w:widowControl/>
              <w:rPr>
                <w:rFonts w:hint="eastAsia" w:ascii="仿宋" w:hAnsi="仿宋" w:eastAsia="仿宋" w:cs="仿宋"/>
                <w:color w:val="auto"/>
                <w:sz w:val="24"/>
                <w:szCs w:val="24"/>
              </w:rPr>
            </w:pPr>
          </w:p>
          <w:p w14:paraId="4F7027C0">
            <w:pPr>
              <w:widowControl/>
              <w:rPr>
                <w:rFonts w:hint="eastAsia" w:ascii="仿宋" w:hAnsi="仿宋" w:eastAsia="仿宋" w:cs="仿宋"/>
                <w:color w:val="auto"/>
                <w:sz w:val="24"/>
                <w:szCs w:val="24"/>
              </w:rPr>
            </w:pPr>
          </w:p>
          <w:p w14:paraId="737ADE36">
            <w:pPr>
              <w:widowControl/>
              <w:rPr>
                <w:rFonts w:hint="eastAsia" w:ascii="仿宋" w:hAnsi="仿宋" w:eastAsia="仿宋" w:cs="仿宋"/>
                <w:color w:val="auto"/>
                <w:sz w:val="24"/>
                <w:szCs w:val="24"/>
              </w:rPr>
            </w:pPr>
          </w:p>
          <w:p w14:paraId="48DE189E">
            <w:pPr>
              <w:widowControl/>
              <w:rPr>
                <w:rFonts w:hint="eastAsia" w:ascii="仿宋" w:hAnsi="仿宋" w:eastAsia="仿宋" w:cs="仿宋"/>
                <w:color w:val="auto"/>
                <w:sz w:val="24"/>
                <w:szCs w:val="24"/>
              </w:rPr>
            </w:pPr>
          </w:p>
          <w:p w14:paraId="51E40E3F">
            <w:pPr>
              <w:widowControl/>
              <w:rPr>
                <w:rFonts w:hint="eastAsia" w:ascii="仿宋" w:hAnsi="仿宋" w:eastAsia="仿宋" w:cs="仿宋"/>
                <w:color w:val="auto"/>
                <w:sz w:val="24"/>
                <w:szCs w:val="24"/>
              </w:rPr>
            </w:pPr>
          </w:p>
          <w:p w14:paraId="0C872931">
            <w:pPr>
              <w:widowControl/>
              <w:rPr>
                <w:rFonts w:hint="eastAsia" w:ascii="仿宋" w:hAnsi="仿宋" w:eastAsia="仿宋" w:cs="仿宋"/>
                <w:color w:val="auto"/>
                <w:sz w:val="24"/>
                <w:szCs w:val="24"/>
              </w:rPr>
            </w:pPr>
          </w:p>
          <w:p w14:paraId="1A7709FB">
            <w:pPr>
              <w:widowControl/>
              <w:rPr>
                <w:rFonts w:hint="eastAsia" w:ascii="仿宋" w:hAnsi="仿宋" w:eastAsia="仿宋" w:cs="仿宋"/>
                <w:color w:val="auto"/>
                <w:sz w:val="24"/>
                <w:szCs w:val="24"/>
              </w:rPr>
            </w:pPr>
          </w:p>
          <w:p w14:paraId="030EC750">
            <w:pPr>
              <w:widowControl/>
              <w:rPr>
                <w:rFonts w:hint="eastAsia" w:ascii="仿宋" w:hAnsi="仿宋" w:eastAsia="仿宋" w:cs="仿宋"/>
                <w:color w:val="auto"/>
                <w:sz w:val="24"/>
                <w:szCs w:val="24"/>
              </w:rPr>
            </w:pPr>
          </w:p>
          <w:p w14:paraId="20A81B65">
            <w:pPr>
              <w:widowControl/>
              <w:rPr>
                <w:rFonts w:hint="eastAsia" w:ascii="仿宋" w:hAnsi="仿宋" w:eastAsia="仿宋" w:cs="仿宋"/>
                <w:color w:val="auto"/>
                <w:sz w:val="24"/>
                <w:szCs w:val="24"/>
              </w:rPr>
            </w:pPr>
          </w:p>
          <w:p w14:paraId="793B4DBA">
            <w:pPr>
              <w:widowControl/>
              <w:rPr>
                <w:rFonts w:hint="eastAsia" w:ascii="仿宋" w:hAnsi="仿宋" w:eastAsia="仿宋" w:cs="仿宋"/>
                <w:color w:val="auto"/>
                <w:sz w:val="24"/>
                <w:szCs w:val="24"/>
              </w:rPr>
            </w:pPr>
          </w:p>
          <w:p w14:paraId="249DC6F0">
            <w:pPr>
              <w:widowControl/>
              <w:rPr>
                <w:rFonts w:hint="eastAsia" w:ascii="仿宋" w:hAnsi="仿宋" w:eastAsia="仿宋" w:cs="仿宋"/>
                <w:color w:val="auto"/>
                <w:sz w:val="24"/>
                <w:szCs w:val="24"/>
              </w:rPr>
            </w:pPr>
          </w:p>
          <w:p w14:paraId="12B196B2">
            <w:pPr>
              <w:widowControl/>
              <w:rPr>
                <w:rFonts w:hint="eastAsia" w:ascii="仿宋" w:hAnsi="仿宋" w:eastAsia="仿宋" w:cs="仿宋"/>
                <w:color w:val="auto"/>
                <w:sz w:val="24"/>
                <w:szCs w:val="24"/>
              </w:rPr>
            </w:pPr>
          </w:p>
          <w:p w14:paraId="3A4B9B5D">
            <w:pPr>
              <w:widowControl/>
              <w:rPr>
                <w:rFonts w:hint="eastAsia" w:ascii="仿宋" w:hAnsi="仿宋" w:eastAsia="仿宋" w:cs="仿宋"/>
                <w:color w:val="auto"/>
                <w:sz w:val="24"/>
                <w:szCs w:val="24"/>
              </w:rPr>
            </w:pPr>
          </w:p>
          <w:p w14:paraId="3A09749C">
            <w:pPr>
              <w:widowControl/>
              <w:rPr>
                <w:rFonts w:hint="eastAsia" w:ascii="仿宋" w:hAnsi="仿宋" w:eastAsia="仿宋" w:cs="仿宋"/>
                <w:color w:val="auto"/>
                <w:sz w:val="24"/>
                <w:szCs w:val="24"/>
              </w:rPr>
            </w:pPr>
          </w:p>
          <w:p w14:paraId="350203E8">
            <w:pPr>
              <w:widowControl/>
              <w:rPr>
                <w:rFonts w:hint="eastAsia" w:ascii="仿宋" w:hAnsi="仿宋" w:eastAsia="仿宋" w:cs="仿宋"/>
                <w:color w:val="auto"/>
                <w:sz w:val="24"/>
                <w:szCs w:val="24"/>
              </w:rPr>
            </w:pPr>
          </w:p>
          <w:p w14:paraId="089FA0EA">
            <w:pPr>
              <w:widowControl/>
              <w:rPr>
                <w:rFonts w:hint="eastAsia" w:ascii="仿宋" w:hAnsi="仿宋" w:eastAsia="仿宋" w:cs="仿宋"/>
                <w:color w:val="auto"/>
                <w:sz w:val="24"/>
                <w:szCs w:val="24"/>
              </w:rPr>
            </w:pPr>
          </w:p>
          <w:p w14:paraId="10CBF4F8">
            <w:pPr>
              <w:widowControl/>
              <w:rPr>
                <w:rFonts w:hint="eastAsia" w:ascii="仿宋" w:hAnsi="仿宋" w:eastAsia="仿宋" w:cs="仿宋"/>
                <w:color w:val="auto"/>
                <w:sz w:val="24"/>
                <w:szCs w:val="24"/>
              </w:rPr>
            </w:pPr>
          </w:p>
          <w:p w14:paraId="7F6C086E">
            <w:pPr>
              <w:widowControl/>
              <w:rPr>
                <w:rFonts w:hint="eastAsia" w:ascii="仿宋" w:hAnsi="仿宋" w:eastAsia="仿宋" w:cs="仿宋"/>
                <w:color w:val="auto"/>
                <w:kern w:val="0"/>
                <w:sz w:val="21"/>
                <w:szCs w:val="21"/>
              </w:rPr>
            </w:pPr>
            <w:r>
              <w:rPr>
                <w:rFonts w:hint="eastAsia" w:ascii="仿宋" w:hAnsi="仿宋" w:eastAsia="仿宋" w:cs="仿宋"/>
                <w:color w:val="auto"/>
                <w:sz w:val="24"/>
                <w:szCs w:val="24"/>
              </w:rPr>
              <w:t>Eppendorf SE</w:t>
            </w:r>
          </w:p>
        </w:tc>
      </w:tr>
      <w:tr w14:paraId="4E5BF710">
        <w:tblPrEx>
          <w:tblCellMar>
            <w:top w:w="0" w:type="dxa"/>
            <w:left w:w="108" w:type="dxa"/>
            <w:bottom w:w="0" w:type="dxa"/>
            <w:right w:w="108" w:type="dxa"/>
          </w:tblCellMar>
        </w:tblPrEx>
        <w:trPr>
          <w:trHeight w:val="888" w:hRule="atLeast"/>
          <w:jc w:val="center"/>
        </w:trPr>
        <w:tc>
          <w:tcPr>
            <w:tcW w:w="698" w:type="dxa"/>
            <w:tcBorders>
              <w:top w:val="single" w:color="000000" w:sz="4" w:space="0"/>
              <w:left w:val="single" w:color="000000" w:sz="4" w:space="0"/>
              <w:bottom w:val="single" w:color="000000" w:sz="4" w:space="0"/>
              <w:right w:val="single" w:color="000000" w:sz="4" w:space="0"/>
            </w:tcBorders>
            <w:vAlign w:val="center"/>
          </w:tcPr>
          <w:p w14:paraId="14F3E377">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1137" w:type="dxa"/>
            <w:tcBorders>
              <w:top w:val="single" w:color="000000" w:sz="4" w:space="0"/>
              <w:left w:val="single" w:color="000000" w:sz="4" w:space="0"/>
              <w:bottom w:val="single" w:color="000000" w:sz="4" w:space="0"/>
              <w:right w:val="single" w:color="000000" w:sz="4" w:space="0"/>
            </w:tcBorders>
            <w:vAlign w:val="center"/>
          </w:tcPr>
          <w:p w14:paraId="7F8A6E13">
            <w:pPr>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t>化学发光成像仪</w:t>
            </w:r>
          </w:p>
        </w:tc>
        <w:tc>
          <w:tcPr>
            <w:tcW w:w="1391" w:type="dxa"/>
            <w:tcBorders>
              <w:top w:val="single" w:color="000000" w:sz="4" w:space="0"/>
              <w:left w:val="nil"/>
              <w:bottom w:val="single" w:color="000000" w:sz="4" w:space="0"/>
              <w:right w:val="single" w:color="000000" w:sz="4" w:space="0"/>
            </w:tcBorders>
            <w:vAlign w:val="center"/>
          </w:tcPr>
          <w:p w14:paraId="3E399BED">
            <w:pPr>
              <w:jc w:val="center"/>
              <w:rPr>
                <w:rFonts w:hint="eastAsia" w:ascii="仿宋" w:hAnsi="仿宋" w:eastAsia="仿宋" w:cs="仿宋"/>
                <w:color w:val="auto"/>
                <w:kern w:val="0"/>
                <w:sz w:val="21"/>
                <w:szCs w:val="21"/>
              </w:rPr>
            </w:pPr>
            <w:r>
              <w:rPr>
                <w:rFonts w:hint="eastAsia" w:ascii="仿宋" w:hAnsi="仿宋" w:eastAsia="仿宋" w:cs="仿宋"/>
                <w:color w:val="000000"/>
                <w:kern w:val="0"/>
                <w:sz w:val="21"/>
                <w:szCs w:val="21"/>
                <w:lang w:val="en-US" w:eastAsia="zh-CN" w:bidi="ar"/>
              </w:rPr>
              <w:t xml:space="preserve">Tanon </w:t>
            </w:r>
            <w:r>
              <w:rPr>
                <w:rFonts w:hint="eastAsia" w:ascii="仿宋" w:hAnsi="仿宋" w:eastAsia="仿宋" w:cs="仿宋"/>
                <w:color w:val="000000"/>
                <w:kern w:val="0"/>
                <w:sz w:val="21"/>
                <w:szCs w:val="21"/>
                <w:lang w:bidi="ar"/>
              </w:rPr>
              <w:t>5200</w:t>
            </w:r>
          </w:p>
        </w:tc>
        <w:tc>
          <w:tcPr>
            <w:tcW w:w="4629" w:type="dxa"/>
            <w:tcBorders>
              <w:top w:val="single" w:color="000000" w:sz="4" w:space="0"/>
              <w:left w:val="nil"/>
              <w:bottom w:val="single" w:color="000000" w:sz="4" w:space="0"/>
              <w:right w:val="single" w:color="000000" w:sz="4" w:space="0"/>
            </w:tcBorders>
            <w:vAlign w:val="center"/>
          </w:tcPr>
          <w:p w14:paraId="3293A2D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1.功能及用途</w:t>
            </w:r>
          </w:p>
          <w:p w14:paraId="4068759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对化学发光进行成像及分析检测，用于使用HRP，AP等底物的Western blot，Southern Blot，Northern Blot等印迹实验成像。</w:t>
            </w:r>
          </w:p>
          <w:p w14:paraId="6C4F821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2.配置：主机1套；工作站一套；</w:t>
            </w:r>
          </w:p>
          <w:p w14:paraId="6F0326B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3.技术性能及参数要求</w:t>
            </w:r>
          </w:p>
          <w:p w14:paraId="038DB8A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3.1．紧凑设计，双层PC/ABS材质暗箱；</w:t>
            </w:r>
          </w:p>
          <w:p w14:paraId="0F3B6DD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 xml:space="preserve">3.2高灵敏度制冷CCD相机 </w:t>
            </w:r>
          </w:p>
          <w:p w14:paraId="1AEE4C2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3.2.1 CCD相机：原装知名品牌PM高分辨率、数码科研级深度制冷CCD相机。制冷方式：半导体制冷 ，冷却温度: 绝对温度-30℃，动态实时显示CCD制冷温度；</w:t>
            </w:r>
          </w:p>
          <w:p w14:paraId="1B515D1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3.2.2  CCD芯片：采用Sony ICX 695 ；感光效率: CCD芯片光电转换效率：High QE: ≥75%；像元尺寸：4.54um×4.54um ；</w:t>
            </w:r>
          </w:p>
          <w:p w14:paraId="3B2C00D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3.2.3 硬件像素：6.0 MP；像素合并: Normal，Standard，High，Super （1x1,2x2,3x3,4x4）；</w:t>
            </w:r>
          </w:p>
          <w:p w14:paraId="7919DA8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3.2.4 图像分辨率：300/600/1200DPI； 有效像数: 2688×2200；分辨率: 600万像素</w:t>
            </w:r>
          </w:p>
          <w:p w14:paraId="294A22A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3.2.5暗电流：≤0.00015 e-/p/s. @ -30º C ； 读出噪声：4e- RMS at 650 kHz ；</w:t>
            </w:r>
          </w:p>
          <w:p w14:paraId="651EEFA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3.2.6线性范围：16 bit（0-65535灰阶） ；动态范围: ﹥4.5个数量级</w:t>
            </w:r>
          </w:p>
          <w:p w14:paraId="4BE840F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3.2.7 数据传输：USB3.0图像传输线及专业级串口控制线，保证数据传输及控制更加稳定可控。</w:t>
            </w:r>
          </w:p>
          <w:p w14:paraId="2135A41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3.3镜头  原装进口F/0.8，高清晰大口径高通透电动镜头，可通过电脑实现焦距调整。</w:t>
            </w:r>
          </w:p>
          <w:p w14:paraId="154577D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变 焦: 标配抽屉式双位载物对焦平台，可兼容拍摄样品厚度0.01mm-10cm</w:t>
            </w:r>
          </w:p>
          <w:p w14:paraId="503D2CDF">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3.4通过电脑实现全自动控制。工作站：处理器i7，内存16G、 硬盘2T SSD 、显示器23英寸；独立显卡，内存2G。</w:t>
            </w:r>
          </w:p>
          <w:p w14:paraId="144E01E1">
            <w:pPr>
              <w:widowControl/>
              <w:snapToGrid w:val="0"/>
              <w:spacing w:line="360" w:lineRule="auto"/>
              <w:jc w:val="left"/>
              <w:rPr>
                <w:rFonts w:hint="eastAsia" w:ascii="仿宋" w:hAnsi="仿宋" w:eastAsia="仿宋" w:cs="仿宋"/>
                <w:color w:val="auto"/>
                <w:spacing w:val="10"/>
                <w:kern w:val="0"/>
                <w:sz w:val="21"/>
                <w:szCs w:val="21"/>
              </w:rPr>
            </w:pPr>
          </w:p>
          <w:p w14:paraId="0C2E2DA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3.5激发光源: 透射：LED白光板; 双侧反射：反射白光灯（冷光）</w:t>
            </w:r>
          </w:p>
          <w:p w14:paraId="72C447E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 xml:space="preserve">3.6. 样品平台 ： 导轨式双位载物样品平台，兼容拍摄样品厚度0.01-10cm ； 拍摄面积：不低于15cm×15cm </w:t>
            </w:r>
          </w:p>
          <w:p w14:paraId="574D88C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 xml:space="preserve">3.7.图像采集分析软件 </w:t>
            </w:r>
          </w:p>
          <w:p w14:paraId="0DD9B3A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3.7.1全中文软件，自动识别8bit、10bit、14bit、16bit的图像以及序列图像；</w:t>
            </w:r>
          </w:p>
          <w:p w14:paraId="7EFF8A4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3.7.2具有实时图像采集软件，可用于核酸、蛋白电泳凝胶图像和化学发光图像的采集</w:t>
            </w:r>
          </w:p>
          <w:p w14:paraId="5653CEFF">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3.7.3具有自动曝光功能，可以实时自动曝光</w:t>
            </w:r>
          </w:p>
          <w:p w14:paraId="13A67CE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3.7.4单次成像：具有长时间曝光功能，可实现单张画面长时间曝光；累积曝光多次成像功能：可以在很长曝光时间内多次成像，且每次成像的曝光时间可以累积，从而避免反复曝光，而且用户可以挑选中意的图像保存。</w:t>
            </w:r>
          </w:p>
          <w:p w14:paraId="5B97B5A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3.7.5具有序列图像保存功能，无需单张图片分别存储</w:t>
            </w:r>
          </w:p>
          <w:p w14:paraId="6DA46C5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3.7.6在拍摄中可显示过饱和像素，保证精确定量</w:t>
            </w:r>
          </w:p>
          <w:p w14:paraId="01A0581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3.7.7具有加注功能，可添加各种格式的文字注释或符号</w:t>
            </w:r>
          </w:p>
          <w:p w14:paraId="68071A1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3.7.8具有分析软件，可进行自动条带检测，自动分子量测算，自动条带浓度测算，相对含量百分数分析，绝对浓度、密度计算；具有点杂交和菌落计数分析功能，可进行菌落克隆计数、菌落面积分析与排序</w:t>
            </w:r>
          </w:p>
          <w:p w14:paraId="05C5720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3.7.9图像叠加分析功能：可对两个图像进行合并显示，并进行分析</w:t>
            </w:r>
          </w:p>
          <w:p w14:paraId="30CC64F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3.7.10图像输出格式：8bit Tif、16bit Tif、bmp、jpg、序列图像</w:t>
            </w:r>
          </w:p>
          <w:p w14:paraId="4DC5DD1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4.相关要求</w:t>
            </w:r>
          </w:p>
          <w:p w14:paraId="6A31892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4.1、仪器安装完成后，对使用人员免费进行技术培训，包括仪器基本原理和结构介绍、仪器操作方法、仪器基本保养维护程序等内容；</w:t>
            </w:r>
          </w:p>
          <w:p w14:paraId="49689B0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4.2、</w:t>
            </w:r>
            <w:r>
              <w:rPr>
                <w:rFonts w:hint="eastAsia" w:ascii="仿宋" w:hAnsi="仿宋" w:eastAsia="仿宋" w:cs="仿宋"/>
                <w:b/>
                <w:bCs/>
                <w:color w:val="auto"/>
                <w:spacing w:val="10"/>
                <w:kern w:val="0"/>
                <w:sz w:val="21"/>
                <w:szCs w:val="21"/>
              </w:rPr>
              <w:t>自验收合格起3年质保，质保期外免费维护只收取配件费</w:t>
            </w:r>
            <w:r>
              <w:rPr>
                <w:rFonts w:hint="eastAsia" w:ascii="仿宋" w:hAnsi="仿宋" w:eastAsia="仿宋" w:cs="仿宋"/>
                <w:color w:val="auto"/>
                <w:spacing w:val="10"/>
                <w:kern w:val="0"/>
                <w:sz w:val="21"/>
                <w:szCs w:val="21"/>
              </w:rPr>
              <w:t>；</w:t>
            </w:r>
          </w:p>
          <w:p w14:paraId="1CA5169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4.3、为了保证产品质量和售后服务，已提供相关技术证明材料。</w:t>
            </w:r>
          </w:p>
        </w:tc>
        <w:tc>
          <w:tcPr>
            <w:tcW w:w="992" w:type="dxa"/>
            <w:tcBorders>
              <w:top w:val="single" w:color="000000" w:sz="4" w:space="0"/>
              <w:left w:val="nil"/>
              <w:bottom w:val="single" w:color="000000" w:sz="4" w:space="0"/>
              <w:right w:val="single" w:color="000000" w:sz="4" w:space="0"/>
            </w:tcBorders>
          </w:tcPr>
          <w:p w14:paraId="59EC96A9">
            <w:pPr>
              <w:widowControl/>
              <w:rPr>
                <w:rFonts w:hint="eastAsia" w:ascii="仿宋" w:hAnsi="仿宋" w:eastAsia="仿宋" w:cs="仿宋"/>
                <w:color w:val="auto"/>
                <w:kern w:val="0"/>
                <w:sz w:val="21"/>
                <w:szCs w:val="21"/>
              </w:rPr>
            </w:pPr>
          </w:p>
          <w:p w14:paraId="443B69E9">
            <w:pPr>
              <w:widowControl/>
              <w:rPr>
                <w:rFonts w:hint="eastAsia" w:ascii="仿宋" w:hAnsi="仿宋" w:eastAsia="仿宋" w:cs="仿宋"/>
                <w:color w:val="auto"/>
                <w:kern w:val="0"/>
                <w:sz w:val="21"/>
                <w:szCs w:val="21"/>
              </w:rPr>
            </w:pPr>
          </w:p>
          <w:p w14:paraId="1764A70E">
            <w:pPr>
              <w:widowControl/>
              <w:rPr>
                <w:rFonts w:hint="eastAsia" w:ascii="仿宋" w:hAnsi="仿宋" w:eastAsia="仿宋" w:cs="仿宋"/>
                <w:color w:val="auto"/>
                <w:kern w:val="0"/>
                <w:sz w:val="21"/>
                <w:szCs w:val="21"/>
              </w:rPr>
            </w:pPr>
          </w:p>
          <w:p w14:paraId="5AD94F35">
            <w:pPr>
              <w:widowControl/>
              <w:rPr>
                <w:rFonts w:hint="eastAsia" w:ascii="仿宋" w:hAnsi="仿宋" w:eastAsia="仿宋" w:cs="仿宋"/>
                <w:color w:val="auto"/>
                <w:kern w:val="0"/>
                <w:sz w:val="21"/>
                <w:szCs w:val="21"/>
              </w:rPr>
            </w:pPr>
          </w:p>
          <w:p w14:paraId="0562DBEF">
            <w:pPr>
              <w:widowControl/>
              <w:rPr>
                <w:rFonts w:hint="eastAsia" w:ascii="仿宋" w:hAnsi="仿宋" w:eastAsia="仿宋" w:cs="仿宋"/>
                <w:color w:val="auto"/>
                <w:kern w:val="0"/>
                <w:sz w:val="21"/>
                <w:szCs w:val="21"/>
              </w:rPr>
            </w:pPr>
          </w:p>
          <w:p w14:paraId="1E506DF5">
            <w:pPr>
              <w:widowControl/>
              <w:rPr>
                <w:rFonts w:hint="eastAsia" w:ascii="仿宋" w:hAnsi="仿宋" w:eastAsia="仿宋" w:cs="仿宋"/>
                <w:color w:val="auto"/>
                <w:kern w:val="0"/>
                <w:sz w:val="21"/>
                <w:szCs w:val="21"/>
              </w:rPr>
            </w:pPr>
          </w:p>
          <w:p w14:paraId="4EB6A75D">
            <w:pPr>
              <w:widowControl/>
              <w:rPr>
                <w:rFonts w:hint="eastAsia" w:ascii="仿宋" w:hAnsi="仿宋" w:eastAsia="仿宋" w:cs="仿宋"/>
                <w:color w:val="auto"/>
                <w:kern w:val="0"/>
                <w:sz w:val="21"/>
                <w:szCs w:val="21"/>
              </w:rPr>
            </w:pPr>
          </w:p>
          <w:p w14:paraId="4D08D937">
            <w:pPr>
              <w:widowControl/>
              <w:rPr>
                <w:rFonts w:hint="eastAsia" w:ascii="仿宋" w:hAnsi="仿宋" w:eastAsia="仿宋" w:cs="仿宋"/>
                <w:color w:val="auto"/>
                <w:kern w:val="0"/>
                <w:sz w:val="21"/>
                <w:szCs w:val="21"/>
              </w:rPr>
            </w:pPr>
          </w:p>
          <w:p w14:paraId="70341D55">
            <w:pPr>
              <w:widowControl/>
              <w:rPr>
                <w:rFonts w:hint="eastAsia" w:ascii="仿宋" w:hAnsi="仿宋" w:eastAsia="仿宋" w:cs="仿宋"/>
                <w:color w:val="auto"/>
                <w:kern w:val="0"/>
                <w:sz w:val="21"/>
                <w:szCs w:val="21"/>
              </w:rPr>
            </w:pPr>
          </w:p>
          <w:p w14:paraId="04F4E2C3">
            <w:pPr>
              <w:widowControl/>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上海</w:t>
            </w:r>
          </w:p>
          <w:p w14:paraId="0915D70C">
            <w:pPr>
              <w:widowControl/>
              <w:rPr>
                <w:rFonts w:hint="eastAsia" w:ascii="仿宋" w:hAnsi="仿宋" w:eastAsia="仿宋" w:cs="仿宋"/>
                <w:color w:val="auto"/>
                <w:kern w:val="0"/>
                <w:sz w:val="21"/>
                <w:szCs w:val="21"/>
              </w:rPr>
            </w:pPr>
          </w:p>
        </w:tc>
        <w:tc>
          <w:tcPr>
            <w:tcW w:w="997" w:type="dxa"/>
            <w:tcBorders>
              <w:top w:val="single" w:color="000000" w:sz="4" w:space="0"/>
              <w:left w:val="nil"/>
              <w:bottom w:val="single" w:color="000000" w:sz="4" w:space="0"/>
              <w:right w:val="single" w:color="000000" w:sz="4" w:space="0"/>
            </w:tcBorders>
          </w:tcPr>
          <w:p w14:paraId="282E3A23">
            <w:pPr>
              <w:widowControl/>
              <w:rPr>
                <w:rFonts w:hint="eastAsia" w:ascii="仿宋" w:hAnsi="仿宋" w:eastAsia="仿宋" w:cs="仿宋"/>
                <w:color w:val="auto"/>
                <w:sz w:val="24"/>
                <w:szCs w:val="24"/>
              </w:rPr>
            </w:pPr>
          </w:p>
          <w:p w14:paraId="7689959C">
            <w:pPr>
              <w:widowControl/>
              <w:rPr>
                <w:rFonts w:hint="eastAsia" w:ascii="仿宋" w:hAnsi="仿宋" w:eastAsia="仿宋" w:cs="仿宋"/>
                <w:color w:val="auto"/>
                <w:sz w:val="24"/>
                <w:szCs w:val="24"/>
              </w:rPr>
            </w:pPr>
          </w:p>
          <w:p w14:paraId="05A4B789">
            <w:pPr>
              <w:widowControl/>
              <w:rPr>
                <w:rFonts w:hint="eastAsia" w:ascii="仿宋" w:hAnsi="仿宋" w:eastAsia="仿宋" w:cs="仿宋"/>
                <w:color w:val="auto"/>
                <w:sz w:val="24"/>
                <w:szCs w:val="24"/>
              </w:rPr>
            </w:pPr>
          </w:p>
          <w:p w14:paraId="45999AE3">
            <w:pPr>
              <w:widowControl/>
              <w:rPr>
                <w:rFonts w:hint="eastAsia" w:ascii="仿宋" w:hAnsi="仿宋" w:eastAsia="仿宋" w:cs="仿宋"/>
                <w:color w:val="auto"/>
                <w:sz w:val="24"/>
                <w:szCs w:val="24"/>
              </w:rPr>
            </w:pPr>
          </w:p>
          <w:p w14:paraId="5B893F26">
            <w:pPr>
              <w:widowControl/>
              <w:rPr>
                <w:rFonts w:hint="eastAsia" w:ascii="仿宋" w:hAnsi="仿宋" w:eastAsia="仿宋" w:cs="仿宋"/>
                <w:color w:val="auto"/>
                <w:sz w:val="24"/>
                <w:szCs w:val="24"/>
              </w:rPr>
            </w:pPr>
          </w:p>
          <w:p w14:paraId="3F20A59C">
            <w:pPr>
              <w:widowControl/>
              <w:rPr>
                <w:rFonts w:hint="eastAsia" w:ascii="仿宋" w:hAnsi="仿宋" w:eastAsia="仿宋" w:cs="仿宋"/>
                <w:color w:val="auto"/>
                <w:sz w:val="24"/>
                <w:szCs w:val="24"/>
              </w:rPr>
            </w:pPr>
          </w:p>
          <w:p w14:paraId="0CD75BB7">
            <w:pPr>
              <w:widowControl/>
              <w:rPr>
                <w:rFonts w:hint="eastAsia" w:ascii="仿宋" w:hAnsi="仿宋" w:eastAsia="仿宋" w:cs="仿宋"/>
                <w:color w:val="auto"/>
                <w:sz w:val="24"/>
                <w:szCs w:val="24"/>
              </w:rPr>
            </w:pPr>
          </w:p>
          <w:p w14:paraId="19BF298D">
            <w:pPr>
              <w:widowControl/>
              <w:rPr>
                <w:rFonts w:hint="eastAsia" w:ascii="仿宋" w:hAnsi="仿宋" w:eastAsia="仿宋" w:cs="仿宋"/>
                <w:color w:val="auto"/>
                <w:sz w:val="24"/>
                <w:szCs w:val="24"/>
              </w:rPr>
            </w:pPr>
          </w:p>
          <w:p w14:paraId="0C4E421C">
            <w:pPr>
              <w:widowControl/>
              <w:rPr>
                <w:rFonts w:hint="eastAsia" w:ascii="仿宋" w:hAnsi="仿宋" w:eastAsia="仿宋" w:cs="仿宋"/>
                <w:color w:val="auto"/>
                <w:kern w:val="0"/>
                <w:sz w:val="21"/>
                <w:szCs w:val="21"/>
              </w:rPr>
            </w:pPr>
            <w:r>
              <w:rPr>
                <w:rFonts w:hint="eastAsia" w:ascii="仿宋" w:hAnsi="仿宋" w:eastAsia="仿宋" w:cs="仿宋"/>
                <w:color w:val="auto"/>
                <w:sz w:val="24"/>
                <w:szCs w:val="24"/>
              </w:rPr>
              <w:t>上海天能生命科学有限公司</w:t>
            </w:r>
          </w:p>
        </w:tc>
      </w:tr>
      <w:tr w14:paraId="256545A3">
        <w:tblPrEx>
          <w:tblCellMar>
            <w:top w:w="0" w:type="dxa"/>
            <w:left w:w="108" w:type="dxa"/>
            <w:bottom w:w="0" w:type="dxa"/>
            <w:right w:w="108" w:type="dxa"/>
          </w:tblCellMar>
        </w:tblPrEx>
        <w:trPr>
          <w:trHeight w:val="888"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2ACF">
            <w:pPr>
              <w:widowControl/>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6</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7F8F">
            <w:pPr>
              <w:widowControl/>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sz w:val="21"/>
                <w:szCs w:val="21"/>
              </w:rPr>
              <w:t>研究级正置荧光显微镜</w:t>
            </w:r>
          </w:p>
        </w:tc>
        <w:tc>
          <w:tcPr>
            <w:tcW w:w="1391" w:type="dxa"/>
            <w:tcBorders>
              <w:top w:val="single" w:color="000000" w:sz="4" w:space="0"/>
              <w:left w:val="nil"/>
              <w:bottom w:val="single" w:color="000000" w:sz="4" w:space="0"/>
              <w:right w:val="single" w:color="000000" w:sz="4" w:space="0"/>
            </w:tcBorders>
            <w:shd w:val="clear" w:color="auto" w:fill="auto"/>
            <w:vAlign w:val="center"/>
          </w:tcPr>
          <w:p w14:paraId="52566422">
            <w:pPr>
              <w:widowControl/>
              <w:ind w:firstLine="210" w:firstLineChars="100"/>
              <w:jc w:val="both"/>
              <w:rPr>
                <w:rFonts w:hint="eastAsia" w:ascii="仿宋" w:hAnsi="仿宋" w:eastAsia="仿宋" w:cs="仿宋"/>
                <w:color w:val="auto"/>
                <w:kern w:val="0"/>
                <w:sz w:val="21"/>
                <w:szCs w:val="21"/>
                <w:lang w:val="en-US" w:eastAsia="zh-CN" w:bidi="ar-SA"/>
              </w:rPr>
            </w:pPr>
            <w:r>
              <w:rPr>
                <w:rFonts w:hint="eastAsia" w:ascii="仿宋" w:hAnsi="仿宋" w:eastAsia="仿宋" w:cs="仿宋"/>
                <w:color w:val="000000"/>
                <w:kern w:val="0"/>
                <w:sz w:val="21"/>
                <w:szCs w:val="21"/>
                <w:lang w:bidi="ar"/>
              </w:rPr>
              <w:t>DM3000</w:t>
            </w:r>
          </w:p>
        </w:tc>
        <w:tc>
          <w:tcPr>
            <w:tcW w:w="4629" w:type="dxa"/>
            <w:tcBorders>
              <w:top w:val="single" w:color="000000" w:sz="4" w:space="0"/>
              <w:left w:val="nil"/>
              <w:bottom w:val="single" w:color="000000" w:sz="4" w:space="0"/>
              <w:right w:val="single" w:color="000000" w:sz="4" w:space="0"/>
            </w:tcBorders>
            <w:shd w:val="clear" w:color="auto" w:fill="auto"/>
            <w:vAlign w:val="center"/>
          </w:tcPr>
          <w:p w14:paraId="2199F37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1.用途：主要用于组织细胞的明场、荧光显微观察和拍摄，是生物学，细胞学，肿瘤学，遗传学，免疫学等研究工作的理想仪器。</w:t>
            </w:r>
          </w:p>
          <w:p w14:paraId="1E66623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2.配置</w:t>
            </w:r>
          </w:p>
          <w:p w14:paraId="3327BE7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2.1 DM3000 LED主机1套</w:t>
            </w:r>
          </w:p>
          <w:p w14:paraId="714E528F">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 xml:space="preserve">2.2 工作站1套 </w:t>
            </w:r>
          </w:p>
          <w:p w14:paraId="151371D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2.3 CMOS显微镜摄像头 1套；备用长寿命金属卤化物灯1个。</w:t>
            </w:r>
          </w:p>
          <w:p w14:paraId="58ED9DA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3.技术性能及参数要求</w:t>
            </w:r>
          </w:p>
          <w:p w14:paraId="40AAECA1">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 光路系统：HC无限远色差像差矫正光学系统，最大限度地消除轴向及径向色差，提供高衬度、高分辩率的图像；</w:t>
            </w:r>
          </w:p>
          <w:p w14:paraId="5283DE8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3.2国际标准45mm齐焦距离，镜头采用先进的防霉镀膜工艺，确保更长的使用寿命，模块化设计，整体设计符合人机工程学原理；</w:t>
            </w:r>
          </w:p>
          <w:p w14:paraId="56E41D9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3.3支持明场、暗场、荧光观察功能。</w:t>
            </w:r>
          </w:p>
          <w:p w14:paraId="6376708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3.4.三目镜筒：0%/100%和50%/50%分光，摄像头及镜下可同时成像，瞳距可调范围应含55-75mm；</w:t>
            </w:r>
          </w:p>
          <w:p w14:paraId="0AF84A8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3.5目镜：10x目镜带眼环，视场数25mm，屈光度可调；</w:t>
            </w:r>
          </w:p>
          <w:p w14:paraId="4C40E60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3.6.物镜转盘：6孔电动物镜转换器；电动物镜转盘相邻位置转换时间0.5秒；</w:t>
            </w:r>
          </w:p>
          <w:p w14:paraId="5D42C3AF">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3.7.光强自动调整，可根据不同物镜自动记忆并恢复用户的习惯光照强度；</w:t>
            </w:r>
          </w:p>
          <w:p w14:paraId="63B61BC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3.8.机身快捷操作键：十个快捷操作键，快捷操作键可实现机身一键拍照等功能；</w:t>
            </w:r>
          </w:p>
          <w:p w14:paraId="6815BE7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3.9.物镜：5个</w:t>
            </w:r>
          </w:p>
          <w:p w14:paraId="410D48F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3.9.1  平场半复消色差物镜10X，数值孔径0.32；</w:t>
            </w:r>
          </w:p>
          <w:p w14:paraId="6B4867F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3.9.2 平场半复消色差物镜20X，数值孔径0.55；</w:t>
            </w:r>
          </w:p>
          <w:p w14:paraId="753A9E2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3.9.3 平场半复消色差物镜40X，数值孔径0.8；</w:t>
            </w:r>
          </w:p>
          <w:p w14:paraId="7B8DC73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3.9.4平场半复消色差物镜63X，数值孔径0.8</w:t>
            </w:r>
          </w:p>
          <w:p w14:paraId="2DDACC6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3.9.5平场半复消色差油浸物镜100X，数值孔径1.32</w:t>
            </w:r>
          </w:p>
          <w:p w14:paraId="5B5AE15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3.10.光源：高亮度LED冷光源，寿命5万小时，可调光，配有色温平衡装置，恒定色温4500K，具有光强和光阑快速调节功能，其变化与物镜转换及观察方式转换连动；</w:t>
            </w:r>
          </w:p>
          <w:p w14:paraId="50018D3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3.11.聚光镜：电动摆动式聚光镜，自动柯勒照明方式；自动匹配不同倍数物镜;</w:t>
            </w:r>
          </w:p>
          <w:p w14:paraId="2A5DCEB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3.12.调焦机构：具有人体工学高度可调的调焦旋钮，带有5档调焦功能，调焦限位功能，转矩张力调节环；调焦与X-Y调节全对称；</w:t>
            </w:r>
          </w:p>
          <w:p w14:paraId="0F0ECB0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3.13载物台：人体工学载物台，低位置同轴驱动旋钮的高抗磨损性陶瓷覆盖层载物台；</w:t>
            </w:r>
          </w:p>
          <w:p w14:paraId="6A6FDBF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3.14.XY轴控制杆：用户可自己将操作杆根据使用需求左右手位置更换；X-Y移动无暴露齿条；XY控制杆扭矩可调；</w:t>
            </w:r>
          </w:p>
          <w:p w14:paraId="29B7C521">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3.15.夹片器：可单手操作样品夹；</w:t>
            </w:r>
          </w:p>
          <w:p w14:paraId="11E1415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3.16.徕卡品牌长寿命金属卤化物灯，额定寿命5000h，光纤传导，热效应较低。</w:t>
            </w:r>
          </w:p>
          <w:p w14:paraId="7616D57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3.17.复消色差光路，带有光陷阱设计，确保背景无杂光；带有中心以及大小可调的双光阑。</w:t>
            </w:r>
          </w:p>
          <w:p w14:paraId="25F2C98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3.18.荧光转盘， 5个孔位；荧光配备DAPI，GFP，RFP，CY5四种滤光块模块。</w:t>
            </w:r>
          </w:p>
          <w:p w14:paraId="1905F02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3.19.徕卡品牌高灵敏彩色CMOS显微镜摄像头：</w:t>
            </w:r>
          </w:p>
          <w:p w14:paraId="7E66977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3.19.1 有效像素：629万; 芯片大小（对角线）：8.92毫米。</w:t>
            </w:r>
          </w:p>
          <w:p w14:paraId="194EFF4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3.19.2 像元大小：2.4μm x 2.4μm。全画幅帧速率：32 fps。</w:t>
            </w:r>
          </w:p>
          <w:p w14:paraId="6167E76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19.3 满井容量：14000 e-。 动态范围：72dB。</w:t>
            </w:r>
          </w:p>
          <w:p w14:paraId="7BBAC62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3.19.4机械接口：C型接口。</w:t>
            </w:r>
          </w:p>
          <w:p w14:paraId="77CE801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 显微图像控制及分析软件：</w:t>
            </w:r>
          </w:p>
          <w:p w14:paraId="27F8D9B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3.20.1自动实验条件保存和恢复：能直接保存当前软件参数设置，也能通过之前拍摄的实验文件进行参数一键还原，保证实验的可重复性。</w:t>
            </w:r>
          </w:p>
          <w:p w14:paraId="0C47E27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3.20.2图像采集：调整如曝光, 增益, binning, 伽玛值等参数，可实现ROI区域采集等。</w:t>
            </w:r>
          </w:p>
          <w:p w14:paraId="64F7C78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3.20.3可实时或采集后添加标尺、注释、ROI图形及标注、长度测量、归类计数等。字体、色随意改变。图像能进行JPG/TIFF/AVI/Quicktime输出。</w:t>
            </w:r>
          </w:p>
          <w:p w14:paraId="0C631F8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3.20.4荧光图像叠加：能进行多个荧光通道图像的叠加。</w:t>
            </w:r>
          </w:p>
          <w:p w14:paraId="476133B1">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3.20.5图像分析：具有锐化、降噪、色彩、去背景、分离、形态、边缘等滤镜。</w:t>
            </w:r>
          </w:p>
          <w:p w14:paraId="2A85AD7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3.20.6图像编辑：包括图像剪切、改变图像分辨率、灰阶深度，多维度图像切割、叠加、组合等功能。</w:t>
            </w:r>
          </w:p>
          <w:p w14:paraId="2E157AB2">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3.20.7图像运算：能进行图像与图像之间的相加、相减、扣除、交集、Ratio（比例）、移位等运算。</w:t>
            </w:r>
          </w:p>
          <w:p w14:paraId="3E8BD4CB">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3.20.8荧光定量测量(光密度/长度/面积/周长)需要手动圈定ROI。能测量选定对象的长度、面积、平均光强度、总光强度、中心点。能统计最大值、最小值、平均差、标准差、总值、平均值等。</w:t>
            </w:r>
          </w:p>
          <w:p w14:paraId="4D9F24E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3.20.9荧光强度定量测量：能进行单线、区域、序列以及整个图象堆叠区域光强度测量；在实时图上在线测量比率测量。</w:t>
            </w:r>
          </w:p>
          <w:p w14:paraId="236BEAD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3.20.10自动校准系统，测量单位（um）直接显示无需校准。</w:t>
            </w:r>
          </w:p>
          <w:p w14:paraId="74B576F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 工作站：处理器i7 ，内存16G、 硬盘空间2T SSD 、23英寸显示器；独立显卡，内存2G。</w:t>
            </w:r>
          </w:p>
          <w:p w14:paraId="4532C36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4.相关要求</w:t>
            </w:r>
          </w:p>
          <w:p w14:paraId="0CF7894F">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4.1、仪器安装完成后，对使用人员免费进行技术培训，包括仪器基本原理和结构介绍、仪器操作方法、仪器基本保养维护程序等内容；</w:t>
            </w:r>
          </w:p>
          <w:p w14:paraId="0BF9532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4.2、自验收合格起1年质保，质保期外免费维护只收取配件费；</w:t>
            </w:r>
          </w:p>
          <w:p w14:paraId="0EF352D6">
            <w:pPr>
              <w:widowControl/>
              <w:snapToGrid w:val="0"/>
              <w:spacing w:line="360" w:lineRule="auto"/>
              <w:jc w:val="left"/>
              <w:rPr>
                <w:rFonts w:hint="eastAsia" w:ascii="仿宋" w:hAnsi="仿宋" w:eastAsia="仿宋" w:cs="仿宋"/>
                <w:color w:val="auto"/>
                <w:spacing w:val="10"/>
                <w:kern w:val="0"/>
                <w:sz w:val="21"/>
                <w:szCs w:val="21"/>
                <w:lang w:val="en-US" w:eastAsia="zh-CN" w:bidi="ar-SA"/>
              </w:rPr>
            </w:pPr>
            <w:r>
              <w:rPr>
                <w:rFonts w:hint="eastAsia" w:ascii="仿宋" w:hAnsi="仿宋" w:eastAsia="仿宋" w:cs="仿宋"/>
                <w:color w:val="auto"/>
                <w:spacing w:val="10"/>
                <w:kern w:val="0"/>
                <w:sz w:val="21"/>
                <w:szCs w:val="21"/>
              </w:rPr>
              <w:t>4.3、为了保证产品质量和售后服务，该设备已提供相关技术证明材料。</w:t>
            </w:r>
          </w:p>
        </w:tc>
        <w:tc>
          <w:tcPr>
            <w:tcW w:w="992" w:type="dxa"/>
            <w:tcBorders>
              <w:top w:val="single" w:color="000000" w:sz="4" w:space="0"/>
              <w:left w:val="nil"/>
              <w:bottom w:val="single" w:color="000000" w:sz="4" w:space="0"/>
              <w:right w:val="single" w:color="000000" w:sz="4" w:space="0"/>
            </w:tcBorders>
            <w:shd w:val="clear" w:color="auto" w:fill="auto"/>
            <w:vAlign w:val="top"/>
          </w:tcPr>
          <w:p w14:paraId="5C2535ED">
            <w:pPr>
              <w:widowControl/>
              <w:rPr>
                <w:rFonts w:hint="eastAsia" w:ascii="仿宋" w:hAnsi="仿宋" w:eastAsia="仿宋" w:cs="仿宋"/>
                <w:color w:val="auto"/>
                <w:kern w:val="0"/>
                <w:sz w:val="21"/>
                <w:szCs w:val="21"/>
              </w:rPr>
            </w:pPr>
          </w:p>
          <w:p w14:paraId="51DCBB06">
            <w:pPr>
              <w:widowControl/>
              <w:rPr>
                <w:rFonts w:hint="eastAsia" w:ascii="仿宋" w:hAnsi="仿宋" w:eastAsia="仿宋" w:cs="仿宋"/>
                <w:color w:val="auto"/>
                <w:kern w:val="0"/>
                <w:sz w:val="21"/>
                <w:szCs w:val="21"/>
                <w:lang w:val="en-US" w:eastAsia="zh-CN"/>
              </w:rPr>
            </w:pPr>
          </w:p>
          <w:p w14:paraId="7A80FF8F">
            <w:pPr>
              <w:widowControl/>
              <w:rPr>
                <w:rFonts w:hint="eastAsia" w:ascii="仿宋" w:hAnsi="仿宋" w:eastAsia="仿宋" w:cs="仿宋"/>
                <w:color w:val="auto"/>
                <w:kern w:val="0"/>
                <w:sz w:val="21"/>
                <w:szCs w:val="21"/>
                <w:lang w:val="en-US" w:eastAsia="zh-CN"/>
              </w:rPr>
            </w:pPr>
          </w:p>
          <w:p w14:paraId="540FBB4D">
            <w:pPr>
              <w:widowControl/>
              <w:rPr>
                <w:rFonts w:hint="eastAsia" w:ascii="仿宋" w:hAnsi="仿宋" w:eastAsia="仿宋" w:cs="仿宋"/>
                <w:color w:val="auto"/>
                <w:kern w:val="0"/>
                <w:sz w:val="21"/>
                <w:szCs w:val="21"/>
                <w:lang w:val="en-US" w:eastAsia="zh-CN"/>
              </w:rPr>
            </w:pPr>
          </w:p>
          <w:p w14:paraId="3009DDB0">
            <w:pPr>
              <w:widowControl/>
              <w:rPr>
                <w:rFonts w:hint="eastAsia" w:ascii="仿宋" w:hAnsi="仿宋" w:eastAsia="仿宋" w:cs="仿宋"/>
                <w:color w:val="auto"/>
                <w:kern w:val="0"/>
                <w:sz w:val="21"/>
                <w:szCs w:val="21"/>
                <w:lang w:val="en-US" w:eastAsia="zh-CN"/>
              </w:rPr>
            </w:pPr>
          </w:p>
          <w:p w14:paraId="452C8C5F">
            <w:pPr>
              <w:widowControl/>
              <w:rPr>
                <w:rFonts w:hint="eastAsia" w:ascii="仿宋" w:hAnsi="仿宋" w:eastAsia="仿宋" w:cs="仿宋"/>
                <w:color w:val="auto"/>
                <w:kern w:val="0"/>
                <w:sz w:val="21"/>
                <w:szCs w:val="21"/>
                <w:lang w:val="en-US" w:eastAsia="zh-CN"/>
              </w:rPr>
            </w:pPr>
          </w:p>
          <w:p w14:paraId="6FAAD1FF">
            <w:pPr>
              <w:widowControl/>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上海</w:t>
            </w:r>
          </w:p>
          <w:p w14:paraId="52A856D4">
            <w:pPr>
              <w:widowControl/>
              <w:rPr>
                <w:rFonts w:hint="eastAsia" w:ascii="仿宋" w:hAnsi="仿宋" w:eastAsia="仿宋" w:cs="仿宋"/>
                <w:color w:val="auto"/>
                <w:kern w:val="0"/>
                <w:sz w:val="21"/>
                <w:szCs w:val="21"/>
              </w:rPr>
            </w:pPr>
          </w:p>
          <w:p w14:paraId="3E4A6679">
            <w:pPr>
              <w:widowControl/>
              <w:rPr>
                <w:rFonts w:hint="eastAsia" w:ascii="仿宋" w:hAnsi="仿宋" w:eastAsia="仿宋" w:cs="仿宋"/>
                <w:color w:val="auto"/>
                <w:kern w:val="0"/>
                <w:sz w:val="21"/>
                <w:szCs w:val="21"/>
              </w:rPr>
            </w:pPr>
          </w:p>
          <w:p w14:paraId="3F65F69C">
            <w:pPr>
              <w:widowControl/>
              <w:rPr>
                <w:rFonts w:hint="eastAsia" w:ascii="仿宋" w:hAnsi="仿宋" w:eastAsia="仿宋" w:cs="仿宋"/>
                <w:color w:val="auto"/>
                <w:kern w:val="0"/>
                <w:sz w:val="21"/>
                <w:szCs w:val="21"/>
              </w:rPr>
            </w:pPr>
          </w:p>
          <w:p w14:paraId="2B091D6C">
            <w:pPr>
              <w:widowControl/>
              <w:rPr>
                <w:rFonts w:hint="eastAsia" w:ascii="仿宋" w:hAnsi="仿宋" w:eastAsia="仿宋" w:cs="仿宋"/>
                <w:color w:val="auto"/>
                <w:kern w:val="0"/>
                <w:sz w:val="21"/>
                <w:szCs w:val="21"/>
              </w:rPr>
            </w:pPr>
          </w:p>
          <w:p w14:paraId="7BD797AA">
            <w:pPr>
              <w:widowControl/>
              <w:rPr>
                <w:rFonts w:hint="eastAsia" w:ascii="仿宋" w:hAnsi="仿宋" w:eastAsia="仿宋" w:cs="仿宋"/>
                <w:color w:val="auto"/>
                <w:kern w:val="0"/>
                <w:sz w:val="21"/>
                <w:szCs w:val="21"/>
                <w:lang w:val="en-US" w:eastAsia="zh-CN" w:bidi="ar-SA"/>
              </w:rPr>
            </w:pPr>
          </w:p>
        </w:tc>
        <w:tc>
          <w:tcPr>
            <w:tcW w:w="997" w:type="dxa"/>
            <w:tcBorders>
              <w:top w:val="single" w:color="000000" w:sz="4" w:space="0"/>
              <w:left w:val="nil"/>
              <w:bottom w:val="single" w:color="000000" w:sz="4" w:space="0"/>
              <w:right w:val="single" w:color="000000" w:sz="4" w:space="0"/>
            </w:tcBorders>
            <w:shd w:val="clear" w:color="auto" w:fill="auto"/>
            <w:vAlign w:val="top"/>
          </w:tcPr>
          <w:p w14:paraId="128B4747">
            <w:pPr>
              <w:jc w:val="center"/>
              <w:rPr>
                <w:rFonts w:hint="eastAsia" w:ascii="仿宋" w:hAnsi="仿宋" w:eastAsia="仿宋" w:cs="仿宋"/>
                <w:color w:val="auto"/>
                <w:sz w:val="24"/>
                <w:szCs w:val="24"/>
              </w:rPr>
            </w:pPr>
          </w:p>
          <w:p w14:paraId="5AF2D10C">
            <w:pPr>
              <w:jc w:val="center"/>
              <w:rPr>
                <w:rFonts w:hint="eastAsia" w:ascii="仿宋" w:hAnsi="仿宋" w:eastAsia="仿宋" w:cs="仿宋"/>
                <w:color w:val="auto"/>
                <w:sz w:val="24"/>
                <w:szCs w:val="24"/>
              </w:rPr>
            </w:pPr>
          </w:p>
          <w:p w14:paraId="0E8EA98E">
            <w:pPr>
              <w:jc w:val="center"/>
              <w:rPr>
                <w:rFonts w:hint="eastAsia" w:ascii="仿宋" w:hAnsi="仿宋" w:eastAsia="仿宋" w:cs="仿宋"/>
                <w:color w:val="auto"/>
                <w:sz w:val="24"/>
                <w:szCs w:val="24"/>
              </w:rPr>
            </w:pPr>
          </w:p>
          <w:p w14:paraId="643B9A5D">
            <w:pPr>
              <w:jc w:val="center"/>
              <w:rPr>
                <w:rFonts w:hint="eastAsia" w:ascii="仿宋" w:hAnsi="仿宋" w:eastAsia="仿宋" w:cs="仿宋"/>
                <w:color w:val="auto"/>
                <w:sz w:val="24"/>
                <w:szCs w:val="24"/>
              </w:rPr>
            </w:pPr>
          </w:p>
          <w:p w14:paraId="43689EE4">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徕卡显微系统(上海</w:t>
            </w:r>
            <w:r>
              <w:rPr>
                <w:rFonts w:hint="eastAsia" w:ascii="仿宋" w:hAnsi="仿宋" w:eastAsia="仿宋" w:cs="仿宋"/>
                <w:color w:val="auto"/>
                <w:sz w:val="24"/>
                <w:szCs w:val="24"/>
                <w:lang w:eastAsia="zh-CN"/>
              </w:rPr>
              <w:t>）</w:t>
            </w:r>
          </w:p>
          <w:p w14:paraId="29429B47">
            <w:pPr>
              <w:widowControl/>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sz w:val="24"/>
                <w:szCs w:val="24"/>
              </w:rPr>
              <w:t>有限公司</w:t>
            </w:r>
          </w:p>
        </w:tc>
      </w:tr>
      <w:tr w14:paraId="528E6BE2">
        <w:tblPrEx>
          <w:tblCellMar>
            <w:top w:w="0" w:type="dxa"/>
            <w:left w:w="108" w:type="dxa"/>
            <w:bottom w:w="0" w:type="dxa"/>
            <w:right w:w="108" w:type="dxa"/>
          </w:tblCellMar>
        </w:tblPrEx>
        <w:trPr>
          <w:trHeight w:val="888"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5BF2">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7</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68AF">
            <w:pPr>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sz w:val="21"/>
                <w:szCs w:val="21"/>
                <w:highlight w:val="none"/>
              </w:rPr>
              <w:t>组织单细胞匀浆仪</w:t>
            </w:r>
          </w:p>
        </w:tc>
        <w:tc>
          <w:tcPr>
            <w:tcW w:w="1391" w:type="dxa"/>
            <w:tcBorders>
              <w:top w:val="single" w:color="000000" w:sz="4" w:space="0"/>
              <w:left w:val="nil"/>
              <w:bottom w:val="single" w:color="000000" w:sz="4" w:space="0"/>
              <w:right w:val="single" w:color="000000" w:sz="4" w:space="0"/>
            </w:tcBorders>
            <w:shd w:val="clear" w:color="auto" w:fill="auto"/>
            <w:vAlign w:val="center"/>
          </w:tcPr>
          <w:p w14:paraId="4BC5D8F4">
            <w:pPr>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000000"/>
                <w:kern w:val="0"/>
                <w:sz w:val="21"/>
                <w:szCs w:val="21"/>
                <w:highlight w:val="none"/>
                <w:lang w:bidi="ar"/>
              </w:rPr>
              <w:t>Tissuelyser lll</w:t>
            </w:r>
          </w:p>
        </w:tc>
        <w:tc>
          <w:tcPr>
            <w:tcW w:w="4629" w:type="dxa"/>
            <w:tcBorders>
              <w:top w:val="single" w:color="000000" w:sz="4" w:space="0"/>
              <w:left w:val="nil"/>
              <w:bottom w:val="single" w:color="000000" w:sz="4" w:space="0"/>
              <w:right w:val="single" w:color="000000" w:sz="4" w:space="0"/>
            </w:tcBorders>
            <w:shd w:val="clear" w:color="auto" w:fill="auto"/>
            <w:vAlign w:val="center"/>
          </w:tcPr>
          <w:p w14:paraId="261A536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1、功能</w:t>
            </w:r>
          </w:p>
          <w:p w14:paraId="711B309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该设备主要对冰冻或新鲜的动植物组织、细胞以及细菌、酵母、孢子及单细胞动物样品中的DNA、RNA、蛋白质等生物分子高通量快速高效的抽提纯化并均质化。</w:t>
            </w:r>
          </w:p>
          <w:p w14:paraId="16500C78">
            <w:pPr>
              <w:widowControl/>
              <w:snapToGrid w:val="0"/>
              <w:spacing w:line="360" w:lineRule="auto"/>
              <w:jc w:val="left"/>
              <w:rPr>
                <w:rFonts w:hint="eastAsia" w:ascii="仿宋" w:hAnsi="仿宋" w:eastAsia="仿宋" w:cs="仿宋"/>
                <w:color w:val="auto"/>
                <w:spacing w:val="10"/>
                <w:kern w:val="0"/>
                <w:sz w:val="21"/>
                <w:szCs w:val="21"/>
              </w:rPr>
            </w:pPr>
          </w:p>
          <w:p w14:paraId="08736FB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2.配置：主机1套；适配器2×24个，2个；3mm氧化锆珠500颗；5mm氧化锆珠500颗。</w:t>
            </w:r>
          </w:p>
          <w:p w14:paraId="3305460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3、技术参数:</w:t>
            </w:r>
          </w:p>
          <w:p w14:paraId="22D0F7D3">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3.1工作原理：采用机械震荡方法，利用不锈钢珠或其它材质研磨珠对样品实现机械研磨，将样品研磨破碎；研磨方式：满足干磨、湿磨、低温、高温研磨等</w:t>
            </w:r>
          </w:p>
          <w:p w14:paraId="33165B2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3.2样本通量：标配2×24个/轮，可选配其他适配器实现192个样品同时研磨；</w:t>
            </w:r>
          </w:p>
          <w:p w14:paraId="3167B675">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3.3震荡频率：3- 30 Hz (180 - 1800 次震动/分钟)，以 1Hz递进；</w:t>
            </w:r>
          </w:p>
          <w:p w14:paraId="4D8E4B49">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3.4研磨速度：动物组织：1-2min，20-30 Hz频率，避免研磨高温对样本的破坏；</w:t>
            </w:r>
          </w:p>
          <w:p w14:paraId="2962B16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3.5震荡时间：10s-8h，噪音指数：≤71.4 dB(A)；</w:t>
            </w:r>
          </w:p>
          <w:p w14:paraId="597F4464">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3.6 磨珠规格：可选配 5mm 研磨珠，可使用 3mm 或 7mm 、20mm研磨珠；</w:t>
            </w:r>
          </w:p>
          <w:p w14:paraId="3340246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3.7 适配器种类：可选配2×24的适配器，2×16和2×96 的适配器或10ml钢罐；</w:t>
            </w:r>
          </w:p>
          <w:p w14:paraId="60E72881">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3.8 操作流程：提供处理骨骼、牙齿等动物组织标准操作流程；</w:t>
            </w:r>
          </w:p>
          <w:p w14:paraId="346D43DD">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3.9常规适配器可放入-80℃预冷，升级的 10ml钢罐可放入液氮预冷；</w:t>
            </w:r>
          </w:p>
          <w:p w14:paraId="00D181E1">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3.10 可选配与制造商同一品牌的骨骼牙齿DNA纯化试剂盒进行下游实验，且试剂盒通过国际安全标准ISO18385认证，保证无外源人类基因组污染；</w:t>
            </w:r>
          </w:p>
          <w:p w14:paraId="51D2BC0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3.11 固定适配器夹钳针对适配器突出部分具有夹紧压痕嵌套设计，夹钳含有锁针设计；</w:t>
            </w:r>
          </w:p>
          <w:p w14:paraId="5E07E46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3.12 可提供不同规格的研磨珠预装管，包括1.44mm陶瓷珠，2.8mm陶瓷珠，0.5mm玻璃珠，0.1mm玻璃珠，2.38mm金属珠，以及混合粒径的氧化锆珠等，可适用于不同的破碎应用；</w:t>
            </w:r>
          </w:p>
          <w:p w14:paraId="50F931FA">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3.13内置触摸屏控制系统，可通过触摸屏调整时间和频率；可设置循环步骤，同一程序中设置不同组时间和频率；</w:t>
            </w:r>
          </w:p>
          <w:p w14:paraId="1E6A1FC0">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3.14 兼容除50ml 适配器外，还兼容2ml，5ml，10ml，96孔板，研磨罐和适配器；</w:t>
            </w:r>
          </w:p>
          <w:p w14:paraId="53FD6CC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3.15 安全外罩设置，仅在防护罩安全关闭情况下运行；</w:t>
            </w:r>
          </w:p>
          <w:p w14:paraId="21A39F5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3.16 可储存的程序个数：6个预保存程序，5个定制程序；</w:t>
            </w:r>
          </w:p>
          <w:p w14:paraId="7BBA2826">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3.17 可以指定循环次数，设置时间和频率，可在半个周期后，进行强制暂停，用于适配器的翻转；</w:t>
            </w:r>
          </w:p>
          <w:p w14:paraId="18E7318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3.18 已包含研磨管的试剂盒与样本破碎仪灵活搭配的种类：16种，已提供证明文件；</w:t>
            </w:r>
          </w:p>
          <w:p w14:paraId="7A96EABC">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3.19为了保证产品质量和售后服务，该设备已提供盖有生产厂家总代理的投标授权书</w:t>
            </w:r>
          </w:p>
          <w:p w14:paraId="0C08C26E">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4.相关要求</w:t>
            </w:r>
          </w:p>
          <w:p w14:paraId="62A5A378">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4.1、仪器安装完成后，对使用人员免费进行技术培训，包括仪器基本原理和结构介绍、仪器操作方法、仪器基本保养维护程序等内容；</w:t>
            </w:r>
          </w:p>
          <w:p w14:paraId="03A69527">
            <w:pPr>
              <w:widowControl/>
              <w:snapToGrid w:val="0"/>
              <w:spacing w:line="360" w:lineRule="auto"/>
              <w:jc w:val="left"/>
              <w:rPr>
                <w:rFonts w:hint="eastAsia" w:ascii="仿宋" w:hAnsi="仿宋" w:eastAsia="仿宋" w:cs="仿宋"/>
                <w:color w:val="auto"/>
                <w:spacing w:val="10"/>
                <w:kern w:val="0"/>
                <w:sz w:val="21"/>
                <w:szCs w:val="21"/>
              </w:rPr>
            </w:pPr>
            <w:r>
              <w:rPr>
                <w:rFonts w:hint="eastAsia" w:ascii="仿宋" w:hAnsi="仿宋" w:eastAsia="仿宋" w:cs="仿宋"/>
                <w:color w:val="auto"/>
                <w:spacing w:val="10"/>
                <w:kern w:val="0"/>
                <w:sz w:val="21"/>
                <w:szCs w:val="21"/>
              </w:rPr>
              <w:t>4.2、自验收合格起1年质保，质保期外免费维护只收取配件费；</w:t>
            </w:r>
          </w:p>
          <w:p w14:paraId="61758B14">
            <w:pPr>
              <w:widowControl/>
              <w:snapToGrid w:val="0"/>
              <w:spacing w:line="360" w:lineRule="auto"/>
              <w:jc w:val="left"/>
              <w:rPr>
                <w:rFonts w:hint="eastAsia" w:ascii="仿宋" w:hAnsi="仿宋" w:eastAsia="仿宋" w:cs="仿宋"/>
                <w:color w:val="auto"/>
                <w:spacing w:val="10"/>
                <w:kern w:val="0"/>
                <w:sz w:val="21"/>
                <w:szCs w:val="21"/>
                <w:lang w:val="en-US" w:eastAsia="zh-CN" w:bidi="ar-SA"/>
              </w:rPr>
            </w:pPr>
            <w:r>
              <w:rPr>
                <w:rFonts w:hint="eastAsia" w:ascii="仿宋" w:hAnsi="仿宋" w:eastAsia="仿宋" w:cs="仿宋"/>
                <w:color w:val="auto"/>
                <w:spacing w:val="10"/>
                <w:kern w:val="0"/>
                <w:sz w:val="21"/>
                <w:szCs w:val="21"/>
              </w:rPr>
              <w:t>4.3、为了保证产品质量和售后服务，该设备已提供相关技术证明材料。</w:t>
            </w:r>
          </w:p>
        </w:tc>
        <w:tc>
          <w:tcPr>
            <w:tcW w:w="992" w:type="dxa"/>
            <w:tcBorders>
              <w:top w:val="single" w:color="000000" w:sz="4" w:space="0"/>
              <w:left w:val="nil"/>
              <w:bottom w:val="single" w:color="000000" w:sz="4" w:space="0"/>
              <w:right w:val="single" w:color="000000" w:sz="4" w:space="0"/>
            </w:tcBorders>
            <w:shd w:val="clear" w:color="auto" w:fill="auto"/>
            <w:vAlign w:val="top"/>
          </w:tcPr>
          <w:p w14:paraId="04735212">
            <w:pPr>
              <w:widowControl/>
              <w:rPr>
                <w:rFonts w:hint="eastAsia" w:ascii="仿宋" w:hAnsi="仿宋" w:eastAsia="仿宋" w:cs="仿宋"/>
                <w:color w:val="auto"/>
                <w:kern w:val="0"/>
                <w:sz w:val="21"/>
                <w:szCs w:val="21"/>
                <w:lang w:val="en-US" w:eastAsia="zh-CN"/>
              </w:rPr>
            </w:pPr>
          </w:p>
          <w:p w14:paraId="67E76C83">
            <w:pPr>
              <w:widowControl/>
              <w:rPr>
                <w:rFonts w:hint="eastAsia" w:ascii="仿宋" w:hAnsi="仿宋" w:eastAsia="仿宋" w:cs="仿宋"/>
                <w:color w:val="auto"/>
                <w:kern w:val="0"/>
                <w:sz w:val="21"/>
                <w:szCs w:val="21"/>
                <w:lang w:val="en-US" w:eastAsia="zh-CN"/>
              </w:rPr>
            </w:pPr>
          </w:p>
          <w:p w14:paraId="4A707B64">
            <w:pPr>
              <w:widowControl/>
              <w:rPr>
                <w:rFonts w:hint="eastAsia" w:ascii="仿宋" w:hAnsi="仿宋" w:eastAsia="仿宋" w:cs="仿宋"/>
                <w:color w:val="auto"/>
                <w:kern w:val="0"/>
                <w:sz w:val="21"/>
                <w:szCs w:val="21"/>
                <w:lang w:val="en-US" w:eastAsia="zh-CN"/>
              </w:rPr>
            </w:pPr>
          </w:p>
          <w:p w14:paraId="5E73A4AA">
            <w:pPr>
              <w:widowControl/>
              <w:rPr>
                <w:rFonts w:hint="eastAsia" w:ascii="仿宋" w:hAnsi="仿宋" w:eastAsia="仿宋" w:cs="仿宋"/>
                <w:color w:val="auto"/>
                <w:kern w:val="0"/>
                <w:sz w:val="21"/>
                <w:szCs w:val="21"/>
                <w:lang w:val="en-US" w:eastAsia="zh-CN"/>
              </w:rPr>
            </w:pPr>
          </w:p>
          <w:p w14:paraId="11CA69FE">
            <w:pPr>
              <w:widowControl/>
              <w:rPr>
                <w:rFonts w:hint="eastAsia" w:ascii="仿宋" w:hAnsi="仿宋" w:eastAsia="仿宋" w:cs="仿宋"/>
                <w:color w:val="auto"/>
                <w:kern w:val="0"/>
                <w:sz w:val="21"/>
                <w:szCs w:val="21"/>
                <w:lang w:val="en-US" w:eastAsia="zh-CN"/>
              </w:rPr>
            </w:pPr>
          </w:p>
          <w:p w14:paraId="691F2796">
            <w:pPr>
              <w:widowControl/>
              <w:rPr>
                <w:rFonts w:hint="eastAsia" w:ascii="仿宋" w:hAnsi="仿宋" w:eastAsia="仿宋" w:cs="仿宋"/>
                <w:color w:val="auto"/>
                <w:kern w:val="0"/>
                <w:sz w:val="21"/>
                <w:szCs w:val="21"/>
                <w:lang w:val="en-US" w:eastAsia="zh-CN"/>
              </w:rPr>
            </w:pPr>
          </w:p>
          <w:p w14:paraId="3DFD030F">
            <w:pPr>
              <w:widowControl/>
              <w:rPr>
                <w:rFonts w:hint="eastAsia" w:ascii="仿宋" w:hAnsi="仿宋" w:eastAsia="仿宋" w:cs="仿宋"/>
                <w:color w:val="auto"/>
                <w:kern w:val="0"/>
                <w:sz w:val="21"/>
                <w:szCs w:val="21"/>
                <w:lang w:val="en-US" w:eastAsia="zh-CN"/>
              </w:rPr>
            </w:pPr>
          </w:p>
          <w:p w14:paraId="0F3A22B2">
            <w:pPr>
              <w:widowControl/>
              <w:rPr>
                <w:rFonts w:hint="eastAsia" w:ascii="仿宋" w:hAnsi="仿宋" w:eastAsia="仿宋" w:cs="仿宋"/>
                <w:color w:val="auto"/>
                <w:kern w:val="0"/>
                <w:sz w:val="21"/>
                <w:szCs w:val="21"/>
                <w:lang w:val="en-US" w:eastAsia="zh-CN"/>
              </w:rPr>
            </w:pPr>
          </w:p>
          <w:p w14:paraId="0A10908E">
            <w:pPr>
              <w:widowControl/>
              <w:rPr>
                <w:rFonts w:hint="eastAsia" w:ascii="仿宋" w:hAnsi="仿宋" w:eastAsia="仿宋" w:cs="仿宋"/>
                <w:color w:val="auto"/>
                <w:kern w:val="0"/>
                <w:sz w:val="21"/>
                <w:szCs w:val="21"/>
                <w:lang w:val="en-US" w:eastAsia="zh-CN"/>
              </w:rPr>
            </w:pPr>
          </w:p>
          <w:p w14:paraId="1C7FACDB">
            <w:pPr>
              <w:widowControl/>
              <w:rPr>
                <w:rFonts w:hint="eastAsia" w:ascii="仿宋" w:hAnsi="仿宋" w:eastAsia="仿宋" w:cs="仿宋"/>
                <w:color w:val="auto"/>
                <w:kern w:val="0"/>
                <w:sz w:val="21"/>
                <w:szCs w:val="21"/>
                <w:lang w:val="en-US" w:eastAsia="zh-CN"/>
              </w:rPr>
            </w:pPr>
          </w:p>
          <w:p w14:paraId="58B14874">
            <w:pPr>
              <w:widowControl/>
              <w:rPr>
                <w:rFonts w:hint="eastAsia" w:ascii="仿宋" w:hAnsi="仿宋" w:eastAsia="仿宋" w:cs="仿宋"/>
                <w:color w:val="auto"/>
                <w:kern w:val="0"/>
                <w:sz w:val="21"/>
                <w:szCs w:val="21"/>
                <w:lang w:val="en-US" w:eastAsia="zh-CN"/>
              </w:rPr>
            </w:pPr>
          </w:p>
          <w:p w14:paraId="04B7710A">
            <w:pPr>
              <w:widowControl/>
              <w:rPr>
                <w:rFonts w:hint="eastAsia" w:ascii="仿宋" w:hAnsi="仿宋" w:eastAsia="仿宋" w:cs="仿宋"/>
                <w:color w:val="auto"/>
                <w:kern w:val="0"/>
                <w:sz w:val="21"/>
                <w:szCs w:val="21"/>
                <w:lang w:val="en-US" w:eastAsia="zh-CN"/>
              </w:rPr>
            </w:pPr>
          </w:p>
          <w:p w14:paraId="65BDD5C9">
            <w:pPr>
              <w:widowControl/>
              <w:rPr>
                <w:rFonts w:hint="eastAsia" w:ascii="仿宋" w:hAnsi="仿宋" w:eastAsia="仿宋" w:cs="仿宋"/>
                <w:color w:val="auto"/>
                <w:kern w:val="0"/>
                <w:sz w:val="21"/>
                <w:szCs w:val="21"/>
                <w:lang w:val="en-US" w:eastAsia="zh-CN"/>
              </w:rPr>
            </w:pPr>
          </w:p>
          <w:p w14:paraId="15E19540">
            <w:pPr>
              <w:widowControl/>
              <w:rPr>
                <w:rFonts w:hint="eastAsia" w:ascii="仿宋" w:hAnsi="仿宋" w:eastAsia="仿宋" w:cs="仿宋"/>
                <w:color w:val="auto"/>
                <w:kern w:val="0"/>
                <w:sz w:val="21"/>
                <w:szCs w:val="21"/>
                <w:lang w:val="en-US" w:eastAsia="zh-CN"/>
              </w:rPr>
            </w:pPr>
          </w:p>
          <w:p w14:paraId="19065A3A">
            <w:pPr>
              <w:widowControl/>
              <w:rPr>
                <w:rFonts w:hint="eastAsia" w:ascii="仿宋" w:hAnsi="仿宋" w:eastAsia="仿宋" w:cs="仿宋"/>
                <w:color w:val="auto"/>
                <w:kern w:val="0"/>
                <w:sz w:val="21"/>
                <w:szCs w:val="21"/>
                <w:lang w:val="en-US" w:eastAsia="zh-CN"/>
              </w:rPr>
            </w:pPr>
          </w:p>
          <w:p w14:paraId="468D13E4">
            <w:pPr>
              <w:widowControl/>
              <w:rPr>
                <w:rFonts w:hint="eastAsia" w:ascii="仿宋" w:hAnsi="仿宋" w:eastAsia="仿宋" w:cs="仿宋"/>
                <w:color w:val="auto"/>
                <w:kern w:val="0"/>
                <w:sz w:val="21"/>
                <w:szCs w:val="21"/>
                <w:lang w:val="en-US" w:eastAsia="zh-CN"/>
              </w:rPr>
            </w:pPr>
          </w:p>
          <w:p w14:paraId="62B7C4C5">
            <w:pPr>
              <w:widowControl/>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rPr>
              <w:t>上海</w:t>
            </w:r>
          </w:p>
        </w:tc>
        <w:tc>
          <w:tcPr>
            <w:tcW w:w="997" w:type="dxa"/>
            <w:tcBorders>
              <w:top w:val="single" w:color="000000" w:sz="4" w:space="0"/>
              <w:left w:val="nil"/>
              <w:bottom w:val="single" w:color="000000" w:sz="4" w:space="0"/>
              <w:right w:val="single" w:color="000000" w:sz="4" w:space="0"/>
            </w:tcBorders>
            <w:shd w:val="clear" w:color="auto" w:fill="auto"/>
            <w:vAlign w:val="top"/>
          </w:tcPr>
          <w:p w14:paraId="68DE9AAF">
            <w:pPr>
              <w:widowControl/>
              <w:rPr>
                <w:rFonts w:hint="eastAsia" w:ascii="仿宋" w:hAnsi="仿宋" w:eastAsia="仿宋" w:cs="仿宋"/>
                <w:color w:val="auto"/>
                <w:sz w:val="24"/>
                <w:szCs w:val="24"/>
                <w:highlight w:val="none"/>
              </w:rPr>
            </w:pPr>
          </w:p>
          <w:p w14:paraId="7F56BB13">
            <w:pPr>
              <w:widowControl/>
              <w:rPr>
                <w:rFonts w:hint="eastAsia" w:ascii="仿宋" w:hAnsi="仿宋" w:eastAsia="仿宋" w:cs="仿宋"/>
                <w:color w:val="auto"/>
                <w:sz w:val="24"/>
                <w:szCs w:val="24"/>
                <w:highlight w:val="none"/>
              </w:rPr>
            </w:pPr>
          </w:p>
          <w:p w14:paraId="0DAF8290">
            <w:pPr>
              <w:widowControl/>
              <w:rPr>
                <w:rFonts w:hint="eastAsia" w:ascii="仿宋" w:hAnsi="仿宋" w:eastAsia="仿宋" w:cs="仿宋"/>
                <w:color w:val="auto"/>
                <w:sz w:val="24"/>
                <w:szCs w:val="24"/>
                <w:highlight w:val="none"/>
              </w:rPr>
            </w:pPr>
          </w:p>
          <w:p w14:paraId="37FC0BDA">
            <w:pPr>
              <w:widowControl/>
              <w:rPr>
                <w:rFonts w:hint="eastAsia" w:ascii="仿宋" w:hAnsi="仿宋" w:eastAsia="仿宋" w:cs="仿宋"/>
                <w:color w:val="auto"/>
                <w:sz w:val="24"/>
                <w:szCs w:val="24"/>
                <w:highlight w:val="none"/>
              </w:rPr>
            </w:pPr>
          </w:p>
          <w:p w14:paraId="773F10DC">
            <w:pPr>
              <w:widowControl/>
              <w:rPr>
                <w:rFonts w:hint="eastAsia" w:ascii="仿宋" w:hAnsi="仿宋" w:eastAsia="仿宋" w:cs="仿宋"/>
                <w:color w:val="auto"/>
                <w:sz w:val="24"/>
                <w:szCs w:val="24"/>
                <w:highlight w:val="none"/>
              </w:rPr>
            </w:pPr>
          </w:p>
          <w:p w14:paraId="32E2F560">
            <w:pPr>
              <w:widowControl/>
              <w:rPr>
                <w:rFonts w:hint="eastAsia" w:ascii="仿宋" w:hAnsi="仿宋" w:eastAsia="仿宋" w:cs="仿宋"/>
                <w:color w:val="auto"/>
                <w:sz w:val="24"/>
                <w:szCs w:val="24"/>
                <w:highlight w:val="none"/>
              </w:rPr>
            </w:pPr>
          </w:p>
          <w:p w14:paraId="274C00CE">
            <w:pPr>
              <w:widowControl/>
              <w:rPr>
                <w:rFonts w:hint="eastAsia" w:ascii="仿宋" w:hAnsi="仿宋" w:eastAsia="仿宋" w:cs="仿宋"/>
                <w:color w:val="auto"/>
                <w:sz w:val="24"/>
                <w:szCs w:val="24"/>
                <w:highlight w:val="none"/>
              </w:rPr>
            </w:pPr>
          </w:p>
          <w:p w14:paraId="20538A30">
            <w:pPr>
              <w:widowControl/>
              <w:rPr>
                <w:rFonts w:hint="eastAsia" w:ascii="仿宋" w:hAnsi="仿宋" w:eastAsia="仿宋" w:cs="仿宋"/>
                <w:color w:val="auto"/>
                <w:sz w:val="24"/>
                <w:szCs w:val="24"/>
                <w:highlight w:val="none"/>
              </w:rPr>
            </w:pPr>
          </w:p>
          <w:p w14:paraId="687D7351">
            <w:pPr>
              <w:widowControl/>
              <w:rPr>
                <w:rFonts w:hint="eastAsia" w:ascii="仿宋" w:hAnsi="仿宋" w:eastAsia="仿宋" w:cs="仿宋"/>
                <w:color w:val="auto"/>
                <w:sz w:val="24"/>
                <w:szCs w:val="24"/>
                <w:highlight w:val="none"/>
              </w:rPr>
            </w:pPr>
          </w:p>
          <w:p w14:paraId="289479FD">
            <w:pPr>
              <w:widowControl/>
              <w:rPr>
                <w:rFonts w:hint="eastAsia" w:ascii="仿宋" w:hAnsi="仿宋" w:eastAsia="仿宋" w:cs="仿宋"/>
                <w:color w:val="auto"/>
                <w:sz w:val="24"/>
                <w:szCs w:val="24"/>
                <w:highlight w:val="none"/>
              </w:rPr>
            </w:pPr>
          </w:p>
          <w:p w14:paraId="5F4F4C5D">
            <w:pPr>
              <w:widowControl/>
              <w:rPr>
                <w:rFonts w:hint="eastAsia" w:ascii="仿宋" w:hAnsi="仿宋" w:eastAsia="仿宋" w:cs="仿宋"/>
                <w:color w:val="auto"/>
                <w:sz w:val="24"/>
                <w:szCs w:val="24"/>
                <w:highlight w:val="none"/>
              </w:rPr>
            </w:pPr>
          </w:p>
          <w:p w14:paraId="7DC9B06E">
            <w:pPr>
              <w:widowControl/>
              <w:rPr>
                <w:rFonts w:hint="eastAsia" w:ascii="仿宋" w:hAnsi="仿宋" w:eastAsia="仿宋" w:cs="仿宋"/>
                <w:color w:val="auto"/>
                <w:sz w:val="24"/>
                <w:szCs w:val="24"/>
                <w:highlight w:val="none"/>
              </w:rPr>
            </w:pPr>
          </w:p>
          <w:p w14:paraId="6773BEBB">
            <w:pPr>
              <w:widowControl/>
              <w:rPr>
                <w:rFonts w:hint="eastAsia" w:ascii="仿宋" w:hAnsi="仿宋" w:eastAsia="仿宋" w:cs="仿宋"/>
                <w:color w:val="auto"/>
                <w:sz w:val="24"/>
                <w:szCs w:val="24"/>
                <w:highlight w:val="none"/>
              </w:rPr>
            </w:pPr>
          </w:p>
          <w:p w14:paraId="0B23560A">
            <w:pPr>
              <w:widowControl/>
              <w:rPr>
                <w:rFonts w:hint="eastAsia" w:ascii="仿宋" w:hAnsi="仿宋" w:eastAsia="仿宋" w:cs="仿宋"/>
                <w:color w:val="auto"/>
                <w:sz w:val="24"/>
                <w:szCs w:val="24"/>
                <w:highlight w:val="none"/>
              </w:rPr>
            </w:pPr>
          </w:p>
          <w:p w14:paraId="0B71AE07">
            <w:pPr>
              <w:widowControl/>
              <w:rPr>
                <w:rFonts w:hint="eastAsia" w:ascii="仿宋" w:hAnsi="仿宋" w:eastAsia="仿宋" w:cs="仿宋"/>
                <w:color w:val="auto"/>
                <w:sz w:val="24"/>
                <w:szCs w:val="24"/>
                <w:highlight w:val="none"/>
              </w:rPr>
            </w:pPr>
          </w:p>
          <w:p w14:paraId="1C237C58">
            <w:pPr>
              <w:widowControl/>
              <w:rPr>
                <w:rFonts w:hint="eastAsia" w:ascii="仿宋" w:hAnsi="仿宋" w:eastAsia="仿宋" w:cs="仿宋"/>
                <w:color w:val="auto"/>
                <w:sz w:val="24"/>
                <w:szCs w:val="24"/>
                <w:highlight w:val="none"/>
              </w:rPr>
            </w:pPr>
          </w:p>
          <w:p w14:paraId="32DACCE9">
            <w:pPr>
              <w:widowControl/>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sz w:val="24"/>
                <w:szCs w:val="24"/>
                <w:highlight w:val="none"/>
              </w:rPr>
              <w:t>凯杰企业管理(上海) 有限公司</w:t>
            </w:r>
          </w:p>
        </w:tc>
      </w:tr>
    </w:tbl>
    <w:p w14:paraId="467F9397">
      <w:pPr>
        <w:rPr>
          <w:rFonts w:hint="eastAsia" w:ascii="仿宋" w:hAnsi="仿宋" w:eastAsia="仿宋" w:cs="仿宋"/>
          <w:color w:val="auto"/>
          <w:sz w:val="28"/>
          <w:szCs w:val="28"/>
        </w:rPr>
      </w:pPr>
    </w:p>
    <w:p w14:paraId="3DCD9050">
      <w:pPr>
        <w:spacing w:line="320" w:lineRule="exact"/>
        <w:jc w:val="center"/>
        <w:rPr>
          <w:rFonts w:hint="eastAsia" w:ascii="仿宋" w:hAnsi="仿宋" w:eastAsia="仿宋" w:cs="仿宋"/>
          <w:b/>
          <w:color w:val="auto"/>
          <w:sz w:val="28"/>
          <w:szCs w:val="28"/>
        </w:rPr>
      </w:pPr>
    </w:p>
    <w:p w14:paraId="38749576">
      <w:pPr>
        <w:spacing w:line="320" w:lineRule="exact"/>
        <w:jc w:val="center"/>
        <w:rPr>
          <w:rFonts w:hint="eastAsia" w:ascii="仿宋" w:hAnsi="仿宋" w:eastAsia="仿宋" w:cs="仿宋"/>
          <w:b/>
          <w:color w:val="auto"/>
          <w:sz w:val="28"/>
          <w:szCs w:val="28"/>
        </w:rPr>
        <w:sectPr>
          <w:pgSz w:w="11906" w:h="16838"/>
          <w:pgMar w:top="1440" w:right="1797" w:bottom="1440" w:left="1797" w:header="851" w:footer="992" w:gutter="0"/>
          <w:cols w:space="720" w:num="1"/>
          <w:docGrid w:type="lines" w:linePitch="312" w:charSpace="0"/>
        </w:sectPr>
      </w:pPr>
    </w:p>
    <w:p w14:paraId="593FA52A">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附件（2）：售后服务计划（注：售后服务计划可依据不同供货单位的售后服务计划列明，但应包含下列标题所涵盖的基本服务内容。可修改）</w:t>
      </w:r>
    </w:p>
    <w:p w14:paraId="79B010B3">
      <w:pPr>
        <w:spacing w:line="360" w:lineRule="auto"/>
        <w:rPr>
          <w:rFonts w:hint="eastAsia" w:ascii="仿宋" w:hAnsi="仿宋" w:eastAsia="仿宋" w:cs="仿宋"/>
          <w:color w:val="auto"/>
          <w:sz w:val="28"/>
          <w:szCs w:val="28"/>
        </w:rPr>
      </w:pPr>
      <w:r>
        <w:rPr>
          <w:rFonts w:hint="eastAsia" w:ascii="仿宋" w:hAnsi="仿宋" w:eastAsia="仿宋" w:cs="仿宋"/>
          <w:b/>
          <w:color w:val="auto"/>
          <w:sz w:val="28"/>
          <w:szCs w:val="28"/>
        </w:rPr>
        <w:t></w:t>
      </w:r>
      <w:r>
        <w:rPr>
          <w:rFonts w:hint="eastAsia" w:ascii="仿宋" w:hAnsi="仿宋" w:eastAsia="仿宋" w:cs="仿宋"/>
          <w:b/>
          <w:color w:val="auto"/>
          <w:sz w:val="28"/>
          <w:szCs w:val="28"/>
        </w:rPr>
        <w:tab/>
      </w:r>
      <w:r>
        <w:rPr>
          <w:rFonts w:hint="eastAsia" w:ascii="仿宋" w:hAnsi="仿宋" w:eastAsia="仿宋" w:cs="仿宋"/>
          <w:color w:val="auto"/>
          <w:sz w:val="28"/>
          <w:szCs w:val="28"/>
        </w:rPr>
        <w:t>1.质量保证：我方保证所提供货物是全新的、未使用过的全新产品，且所有的配件均符合国家质量检测标准。</w:t>
      </w:r>
    </w:p>
    <w:p w14:paraId="727D9810">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rPr>
        <w:tab/>
      </w:r>
      <w:r>
        <w:rPr>
          <w:rFonts w:hint="eastAsia" w:ascii="仿宋" w:hAnsi="仿宋" w:eastAsia="仿宋" w:cs="仿宋"/>
          <w:color w:val="auto"/>
          <w:sz w:val="28"/>
          <w:szCs w:val="28"/>
        </w:rPr>
        <w:t>2.安装调试：在仪器到达用户指定地点7日前，我方将以电话或传真的形式通知用户，并派专业人员到安装现场进行详细的考察。仪器到达用户指定地点后，我方派专业技术人员和厂家的工程师共同对所有设备进行免费的安装、调试，直至设备正常运行。</w:t>
      </w:r>
    </w:p>
    <w:p w14:paraId="573F9386">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rPr>
        <w:tab/>
      </w:r>
      <w:r>
        <w:rPr>
          <w:rFonts w:hint="eastAsia" w:ascii="仿宋" w:hAnsi="仿宋" w:eastAsia="仿宋" w:cs="仿宋"/>
          <w:color w:val="auto"/>
          <w:sz w:val="28"/>
          <w:szCs w:val="28"/>
        </w:rPr>
        <w:t>3.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在3个工作日内进行及时更换，所产生的费用由我方承担。</w:t>
      </w:r>
    </w:p>
    <w:p w14:paraId="3D0B634E">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rPr>
        <w:tab/>
      </w:r>
      <w:r>
        <w:rPr>
          <w:rFonts w:hint="eastAsia" w:ascii="仿宋" w:hAnsi="仿宋" w:eastAsia="仿宋" w:cs="仿宋"/>
          <w:color w:val="auto"/>
          <w:sz w:val="28"/>
          <w:szCs w:val="28"/>
        </w:rPr>
        <w:t>4.质保期：从最终验收完成之日起</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荧光定量PCR仪</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质保</w:t>
      </w:r>
      <w:r>
        <w:rPr>
          <w:rFonts w:hint="eastAsia" w:ascii="仿宋" w:hAnsi="仿宋" w:eastAsia="仿宋" w:cs="仿宋"/>
          <w:color w:val="000000" w:themeColor="text1"/>
          <w:sz w:val="28"/>
          <w:szCs w:val="28"/>
          <w:highlight w:val="none"/>
          <w:u w:val="single"/>
          <w14:textFill>
            <w14:solidFill>
              <w14:schemeClr w14:val="tx1"/>
            </w14:solidFill>
          </w14:textFill>
        </w:rPr>
        <w:t>2年</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研究级正置荧光显微镜</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倒置荧光显微镜</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凝胶成像系统</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组织单细胞匀浆仪</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小型台式冷冻离心机</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质保</w:t>
      </w:r>
      <w:r>
        <w:rPr>
          <w:rFonts w:hint="eastAsia" w:ascii="仿宋" w:hAnsi="仿宋" w:eastAsia="仿宋" w:cs="仿宋"/>
          <w:color w:val="000000" w:themeColor="text1"/>
          <w:sz w:val="28"/>
          <w:szCs w:val="28"/>
          <w:highlight w:val="none"/>
          <w:u w:val="single"/>
          <w14:textFill>
            <w14:solidFill>
              <w14:schemeClr w14:val="tx1"/>
            </w14:solidFill>
          </w14:textFill>
        </w:rPr>
        <w:t>1年</w:t>
      </w:r>
      <w:r>
        <w:rPr>
          <w:rFonts w:hint="eastAsia" w:ascii="仿宋" w:hAnsi="仿宋" w:eastAsia="仿宋" w:cs="仿宋"/>
          <w:color w:val="000000" w:themeColor="text1"/>
          <w:sz w:val="28"/>
          <w:szCs w:val="28"/>
          <w:highlight w:val="none"/>
          <w:u w:val="single"/>
          <w:lang w:eastAsia="zh-CN"/>
          <w14:textFill>
            <w14:solidFill>
              <w14:schemeClr w14:val="tx1"/>
            </w14:solidFill>
          </w14:textFill>
        </w:rPr>
        <w:t>，</w:t>
      </w:r>
      <w:r>
        <w:rPr>
          <w:rFonts w:hint="eastAsia" w:ascii="仿宋" w:hAnsi="仿宋" w:eastAsia="仿宋" w:cs="仿宋"/>
          <w:color w:val="000000" w:themeColor="text1"/>
          <w:sz w:val="28"/>
          <w:szCs w:val="28"/>
          <w:highlight w:val="none"/>
          <w:u w:val="single"/>
          <w14:textFill>
            <w14:solidFill>
              <w14:schemeClr w14:val="tx1"/>
            </w14:solidFill>
          </w14:textFill>
        </w:rPr>
        <w:t>化学发光成像仪</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质保</w:t>
      </w:r>
      <w:r>
        <w:rPr>
          <w:rFonts w:hint="eastAsia" w:ascii="仿宋" w:hAnsi="仿宋" w:eastAsia="仿宋" w:cs="仿宋"/>
          <w:color w:val="000000" w:themeColor="text1"/>
          <w:sz w:val="28"/>
          <w:szCs w:val="28"/>
          <w:highlight w:val="none"/>
          <w:u w:val="single"/>
          <w14:textFill>
            <w14:solidFill>
              <w14:schemeClr w14:val="tx1"/>
            </w14:solidFill>
          </w14:textFill>
        </w:rPr>
        <w:t>3年</w:t>
      </w:r>
      <w:r>
        <w:rPr>
          <w:rFonts w:hint="eastAsia" w:ascii="仿宋" w:hAnsi="仿宋" w:eastAsia="仿宋" w:cs="仿宋"/>
          <w:color w:val="auto"/>
          <w:sz w:val="28"/>
          <w:szCs w:val="28"/>
        </w:rPr>
        <w:t>。保修期内，非人为原因造成的设备故障，我方将免费矫正或更换有缺陷的设备或部件，直至恢复设备正常性能，此间发生的一切费用由我方自行承担。如不能及时解决实际工作中出现的问题，我方提供备用设备修复。质保期满后终身维修，更换易损件只需按成本收费不收维修费。</w:t>
      </w:r>
    </w:p>
    <w:p w14:paraId="78ED8930">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rPr>
        <w:tab/>
      </w:r>
      <w:r>
        <w:rPr>
          <w:rFonts w:hint="eastAsia" w:ascii="仿宋" w:hAnsi="仿宋" w:eastAsia="仿宋" w:cs="仿宋"/>
          <w:color w:val="auto"/>
          <w:sz w:val="28"/>
          <w:szCs w:val="28"/>
        </w:rPr>
        <w:t>5.响应时间：我方接到用户报修通知后，4小时响应,8小时内电话做出维修方案，如8个小时内无法通过电话解决问题，我方派维修人员在接到报修报告后24个小时到达用户现场予以维修，直到解除故障为止。</w:t>
      </w:r>
    </w:p>
    <w:p w14:paraId="4BB4FF2E">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rPr>
        <w:tab/>
      </w:r>
      <w:r>
        <w:rPr>
          <w:rFonts w:hint="eastAsia" w:ascii="仿宋" w:hAnsi="仿宋" w:eastAsia="仿宋" w:cs="仿宋"/>
          <w:color w:val="auto"/>
          <w:sz w:val="28"/>
          <w:szCs w:val="28"/>
        </w:rPr>
        <w:t>6.优惠服务：我方将为用户提供电话咨询和软件升级，及时提供仪器最新技术资料与技术支持，每年内不少于2次上门巡检服务。</w:t>
      </w:r>
    </w:p>
    <w:p w14:paraId="79AE7494">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rPr>
        <w:tab/>
      </w:r>
      <w:r>
        <w:rPr>
          <w:rFonts w:hint="eastAsia" w:ascii="仿宋" w:hAnsi="仿宋" w:eastAsia="仿宋" w:cs="仿宋"/>
          <w:color w:val="auto"/>
          <w:sz w:val="28"/>
          <w:szCs w:val="28"/>
        </w:rPr>
        <w:t>7.伴随服务：我公司设备均提供一套完整的中文技术资料：包括操作手册、使用说明、维修保养操作手册、操作指南、原理、安装手册、产品合格证等。</w:t>
      </w:r>
    </w:p>
    <w:p w14:paraId="34BB4F0C">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rPr>
        <w:tab/>
      </w:r>
      <w:r>
        <w:rPr>
          <w:rFonts w:hint="eastAsia" w:ascii="仿宋" w:hAnsi="仿宋" w:eastAsia="仿宋" w:cs="仿宋"/>
          <w:color w:val="auto"/>
          <w:sz w:val="28"/>
          <w:szCs w:val="28"/>
        </w:rPr>
        <w:t>8.其他服务事项、技术规格要求以厂商售后服务为准。</w:t>
      </w:r>
    </w:p>
    <w:p w14:paraId="10D44DD0">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河南维修点</w:t>
      </w:r>
    </w:p>
    <w:p w14:paraId="3BB9DEDB">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【郑州办事处】:</w:t>
      </w:r>
    </w:p>
    <w:p w14:paraId="28521DEC">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地址：河南省郑州市郑东新区聚源路宏图街、聚源国际西塔49号13层1311号</w:t>
      </w:r>
    </w:p>
    <w:p w14:paraId="39BF2F6B">
      <w:pPr>
        <w:spacing w:line="360" w:lineRule="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电话：</w:t>
      </w:r>
      <w:r>
        <w:rPr>
          <w:rFonts w:hint="eastAsia" w:ascii="仿宋" w:hAnsi="仿宋" w:eastAsia="仿宋" w:cs="仿宋"/>
          <w:color w:val="auto"/>
          <w:sz w:val="28"/>
          <w:szCs w:val="28"/>
          <w:highlight w:val="none"/>
          <w:lang w:val="en-US" w:eastAsia="zh-CN"/>
        </w:rPr>
        <w:t>15617687794</w:t>
      </w:r>
    </w:p>
    <w:p w14:paraId="66634F8C">
      <w:pPr>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售后服务联系人：</w:t>
      </w:r>
      <w:r>
        <w:rPr>
          <w:rFonts w:hint="eastAsia" w:ascii="仿宋" w:hAnsi="仿宋" w:eastAsia="仿宋" w:cs="仿宋"/>
          <w:color w:val="auto"/>
          <w:sz w:val="28"/>
          <w:szCs w:val="28"/>
          <w:highlight w:val="none"/>
          <w:lang w:val="en-US" w:eastAsia="zh-CN"/>
        </w:rPr>
        <w:t>吴少冲</w:t>
      </w:r>
    </w:p>
    <w:p w14:paraId="36F88F7F">
      <w:pPr>
        <w:spacing w:line="320" w:lineRule="exact"/>
        <w:rPr>
          <w:rFonts w:hint="eastAsia" w:ascii="仿宋" w:hAnsi="仿宋" w:eastAsia="仿宋" w:cs="仿宋"/>
          <w:color w:val="auto"/>
          <w:sz w:val="28"/>
          <w:szCs w:val="28"/>
        </w:rPr>
      </w:pPr>
    </w:p>
    <w:p w14:paraId="403616C0">
      <w:pPr>
        <w:spacing w:line="320" w:lineRule="exact"/>
        <w:rPr>
          <w:rFonts w:hint="eastAsia" w:ascii="仿宋" w:hAnsi="仿宋" w:eastAsia="仿宋" w:cs="仿宋"/>
          <w:color w:val="auto"/>
          <w:sz w:val="28"/>
          <w:szCs w:val="28"/>
        </w:rPr>
      </w:pPr>
    </w:p>
    <w:p w14:paraId="76138F5A">
      <w:pPr>
        <w:jc w:val="center"/>
        <w:rPr>
          <w:rFonts w:hint="eastAsia" w:ascii="仿宋" w:hAnsi="仿宋" w:eastAsia="仿宋" w:cs="仿宋"/>
          <w:color w:val="auto"/>
          <w:sz w:val="28"/>
          <w:szCs w:val="28"/>
        </w:rPr>
      </w:pPr>
    </w:p>
    <w:p w14:paraId="676F5419">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14:paraId="7C7EC105">
      <w:pPr>
        <w:jc w:val="center"/>
        <w:rPr>
          <w:rFonts w:hint="eastAsia" w:ascii="仿宋" w:hAnsi="仿宋" w:eastAsia="仿宋" w:cs="仿宋"/>
          <w:color w:val="auto"/>
          <w:sz w:val="28"/>
          <w:szCs w:val="28"/>
        </w:rPr>
      </w:pPr>
      <w:r>
        <w:rPr>
          <w:rFonts w:hint="eastAsia" w:ascii="仿宋" w:hAnsi="仿宋" w:eastAsia="仿宋" w:cs="仿宋"/>
          <w:color w:val="auto"/>
          <w:sz w:val="28"/>
          <w:szCs w:val="28"/>
        </w:rPr>
        <w:t>中标通知书</w:t>
      </w:r>
    </w:p>
    <w:p w14:paraId="51C62A4C">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71135" cy="7450455"/>
            <wp:effectExtent l="0" t="0" r="1905" b="1905"/>
            <wp:docPr id="1" name="图片 1" descr="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标通知书"/>
                    <pic:cNvPicPr>
                      <a:picLocks noChangeAspect="1"/>
                    </pic:cNvPicPr>
                  </pic:nvPicPr>
                  <pic:blipFill>
                    <a:blip r:embed="rId9"/>
                    <a:stretch>
                      <a:fillRect/>
                    </a:stretch>
                  </pic:blipFill>
                  <pic:spPr>
                    <a:xfrm>
                      <a:off x="0" y="0"/>
                      <a:ext cx="5271135" cy="74504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CA5F">
    <w:pPr>
      <w:pStyle w:val="2"/>
      <w:framePr w:wrap="around" w:vAnchor="text" w:hAnchor="margin" w:xAlign="center" w:y="1"/>
      <w:rPr>
        <w:rStyle w:val="8"/>
      </w:rPr>
    </w:pPr>
    <w:r>
      <w:fldChar w:fldCharType="begin"/>
    </w:r>
    <w:r>
      <w:rPr>
        <w:rStyle w:val="8"/>
      </w:rPr>
      <w:instrText xml:space="preserve">PAGE  </w:instrText>
    </w:r>
    <w:r>
      <w:fldChar w:fldCharType="end"/>
    </w:r>
  </w:p>
  <w:p w14:paraId="7C50708E">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87910">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FC77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410FC77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55394">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E90CE">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31278"/>
    <w:rsid w:val="02906F11"/>
    <w:rsid w:val="036C34DA"/>
    <w:rsid w:val="06110369"/>
    <w:rsid w:val="074963FE"/>
    <w:rsid w:val="07571DAC"/>
    <w:rsid w:val="08A234FA"/>
    <w:rsid w:val="09224440"/>
    <w:rsid w:val="0A64315D"/>
    <w:rsid w:val="0CCA3020"/>
    <w:rsid w:val="112453F4"/>
    <w:rsid w:val="11A2456B"/>
    <w:rsid w:val="14123C2A"/>
    <w:rsid w:val="192B3098"/>
    <w:rsid w:val="19FC61C0"/>
    <w:rsid w:val="1AEB0D31"/>
    <w:rsid w:val="1B0B32BC"/>
    <w:rsid w:val="1BE37C5A"/>
    <w:rsid w:val="20484530"/>
    <w:rsid w:val="262B2929"/>
    <w:rsid w:val="26783373"/>
    <w:rsid w:val="2A994305"/>
    <w:rsid w:val="2AF552B4"/>
    <w:rsid w:val="2C416A03"/>
    <w:rsid w:val="2CFA3055"/>
    <w:rsid w:val="2D8748E9"/>
    <w:rsid w:val="2FF81ACE"/>
    <w:rsid w:val="34E24AFB"/>
    <w:rsid w:val="3598340C"/>
    <w:rsid w:val="3ACA4067"/>
    <w:rsid w:val="3BFD221A"/>
    <w:rsid w:val="3CCE59E8"/>
    <w:rsid w:val="3DBB7065"/>
    <w:rsid w:val="40DC2D46"/>
    <w:rsid w:val="42621029"/>
    <w:rsid w:val="45652BB6"/>
    <w:rsid w:val="473C009B"/>
    <w:rsid w:val="4A421E6C"/>
    <w:rsid w:val="4BD74019"/>
    <w:rsid w:val="4D986247"/>
    <w:rsid w:val="509E5922"/>
    <w:rsid w:val="529E01D6"/>
    <w:rsid w:val="53081779"/>
    <w:rsid w:val="541D74A6"/>
    <w:rsid w:val="54F621D1"/>
    <w:rsid w:val="5BE2525D"/>
    <w:rsid w:val="5CFC234E"/>
    <w:rsid w:val="5DE37B20"/>
    <w:rsid w:val="5F2B2A77"/>
    <w:rsid w:val="603E2A00"/>
    <w:rsid w:val="617A7CE6"/>
    <w:rsid w:val="63A10F12"/>
    <w:rsid w:val="643B6113"/>
    <w:rsid w:val="6DC93734"/>
    <w:rsid w:val="74FD337B"/>
    <w:rsid w:val="76760624"/>
    <w:rsid w:val="79B24069"/>
    <w:rsid w:val="7FB9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Autospacing="1" w:afterAutospacing="1"/>
      <w:jc w:val="left"/>
    </w:pPr>
    <w:rPr>
      <w:rFonts w:ascii="宋体" w:hAnsi="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rPr>
      <w:rFonts w:hint="default"/>
      <w:sz w:val="24"/>
    </w:rPr>
  </w:style>
  <w:style w:type="paragraph" w:customStyle="1" w:styleId="9">
    <w:name w:val="样式 首行缩进:  2 字符"/>
    <w:basedOn w:val="1"/>
    <w:autoRedefine/>
    <w:qFormat/>
    <w:uiPriority w:val="0"/>
    <w:pPr>
      <w:spacing w:line="400" w:lineRule="exact"/>
      <w:ind w:firstLine="200" w:firstLineChars="200"/>
    </w:pPr>
    <w:rPr>
      <w:rFonts w:cs="宋体"/>
      <w:sz w:val="24"/>
    </w:rPr>
  </w:style>
  <w:style w:type="character" w:customStyle="1" w:styleId="10">
    <w:name w:val="font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12239</Words>
  <Characters>14465</Characters>
  <Lines>0</Lines>
  <Paragraphs>0</Paragraphs>
  <TotalTime>6</TotalTime>
  <ScaleCrop>false</ScaleCrop>
  <LinksUpToDate>false</LinksUpToDate>
  <CharactersWithSpaces>14854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2025-02-18T03:16:00Z</dcterms:created>
  <dc:creator>tongc</dc:creator>
  <cp:lastModifiedBy>河大医学院刘广超</cp:lastModifiedBy>
  <dcterms:modified xsi:type="dcterms:W3CDTF">2025-03-04T01:47:18Z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eyJoZGlkIjoiYzI1MWM4OGIwZjhmNWU3OWIyNDc3YmNiZTVhNDRiZGEiLCJ1c2VySWQiOiI0NDMxMjQwMDQifQ==</vt:lpwstr>
  </property>
  <property fmtid="{D5CDD505-2E9C-101B-9397-08002B2CF9AE}" pid="4" name="ICV">
    <vt:lpwstr>AB8256D25CD44FDEA5F0E2A2D408C277_13</vt:lpwstr>
  </property>
</Properties>
</file>