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6C767">
      <w:pPr>
        <w:spacing w:line="360" w:lineRule="auto"/>
        <w:ind w:firstLine="663"/>
        <w:rPr>
          <w:rFonts w:ascii="宋体" w:hAnsi="宋体"/>
          <w:b/>
          <w:sz w:val="44"/>
          <w:szCs w:val="44"/>
        </w:rPr>
      </w:pPr>
      <w:bookmarkStart w:id="0" w:name="_Toc144974478"/>
      <w:bookmarkEnd w:id="0"/>
      <w:bookmarkStart w:id="1" w:name="_Toc152042286"/>
      <w:bookmarkEnd w:id="1"/>
    </w:p>
    <w:p w14:paraId="295479A5">
      <w:pPr>
        <w:spacing w:line="360" w:lineRule="auto"/>
        <w:jc w:val="center"/>
        <w:rPr>
          <w:rFonts w:hint="eastAsia" w:ascii="宋体" w:hAnsi="宋体"/>
          <w:b/>
          <w:sz w:val="44"/>
          <w:szCs w:val="44"/>
          <w:lang w:eastAsia="zh-CN"/>
        </w:rPr>
      </w:pPr>
      <w:r>
        <w:rPr>
          <w:rFonts w:hint="eastAsia" w:ascii="宋体" w:hAnsi="宋体"/>
          <w:b/>
          <w:sz w:val="44"/>
          <w:szCs w:val="44"/>
          <w:lang w:eastAsia="zh-CN"/>
        </w:rPr>
        <w:t>河南省科学院激光制造研究所</w:t>
      </w:r>
    </w:p>
    <w:p w14:paraId="62BF6773">
      <w:pPr>
        <w:spacing w:line="360" w:lineRule="auto"/>
        <w:jc w:val="center"/>
        <w:rPr>
          <w:rFonts w:hint="eastAsia" w:ascii="宋体" w:hAnsi="宋体" w:eastAsia="宋体"/>
          <w:b/>
          <w:sz w:val="44"/>
          <w:szCs w:val="44"/>
          <w:lang w:eastAsia="zh-CN"/>
        </w:rPr>
      </w:pPr>
      <w:r>
        <w:rPr>
          <w:rFonts w:hint="eastAsia" w:ascii="宋体" w:hAnsi="宋体"/>
          <w:b/>
          <w:sz w:val="44"/>
          <w:szCs w:val="44"/>
          <w:lang w:eastAsia="zh-CN"/>
        </w:rPr>
        <w:t>中原量子谷大型仪器共享平台基础设施建设项目</w:t>
      </w:r>
    </w:p>
    <w:p w14:paraId="0CA535B9">
      <w:pPr>
        <w:ind w:firstLine="442"/>
        <w:rPr>
          <w:rFonts w:ascii="宋体" w:hAnsi="宋体"/>
          <w:b/>
          <w:sz w:val="44"/>
          <w:szCs w:val="44"/>
        </w:rPr>
      </w:pPr>
    </w:p>
    <w:p w14:paraId="5F0130CA">
      <w:pPr>
        <w:adjustRightInd w:val="0"/>
        <w:snapToGrid w:val="0"/>
        <w:spacing w:before="360" w:beforeLines="150"/>
        <w:jc w:val="center"/>
        <w:rPr>
          <w:rFonts w:ascii="宋体" w:hAnsi="宋体"/>
          <w:b/>
          <w:sz w:val="84"/>
          <w:szCs w:val="84"/>
        </w:rPr>
      </w:pPr>
      <w:r>
        <w:rPr>
          <w:rFonts w:hint="eastAsia" w:ascii="宋体" w:hAnsi="宋体"/>
          <w:b/>
          <w:sz w:val="84"/>
          <w:szCs w:val="84"/>
        </w:rPr>
        <w:t>竞争性磋商文件</w:t>
      </w:r>
    </w:p>
    <w:p w14:paraId="6CE9A020">
      <w:pPr>
        <w:ind w:firstLine="482"/>
        <w:jc w:val="center"/>
        <w:rPr>
          <w:rFonts w:ascii="宋体" w:hAnsi="宋体"/>
          <w:b/>
          <w:sz w:val="32"/>
          <w:szCs w:val="32"/>
        </w:rPr>
      </w:pPr>
    </w:p>
    <w:p w14:paraId="1EC63E9F">
      <w:pPr>
        <w:ind w:firstLine="482"/>
        <w:jc w:val="center"/>
        <w:rPr>
          <w:rFonts w:ascii="宋体" w:hAnsi="宋体"/>
          <w:b/>
          <w:sz w:val="32"/>
          <w:szCs w:val="32"/>
        </w:rPr>
      </w:pPr>
    </w:p>
    <w:p w14:paraId="707DB701">
      <w:pPr>
        <w:jc w:val="center"/>
        <w:rPr>
          <w:rFonts w:hint="eastAsia" w:ascii="宋体" w:hAnsi="宋体" w:eastAsia="宋体"/>
          <w:b/>
          <w:sz w:val="32"/>
          <w:szCs w:val="32"/>
          <w:u w:val="single"/>
          <w:lang w:val="en-US" w:eastAsia="zh-CN"/>
        </w:rPr>
      </w:pPr>
      <w:r>
        <w:rPr>
          <w:rFonts w:hint="eastAsia" w:ascii="宋体" w:hAnsi="宋体"/>
          <w:b/>
          <w:sz w:val="32"/>
          <w:szCs w:val="32"/>
        </w:rPr>
        <w:t>项目编号：</w:t>
      </w:r>
      <w:r>
        <w:rPr>
          <w:rFonts w:hint="eastAsia" w:ascii="宋体" w:hAnsi="宋体"/>
          <w:b/>
          <w:sz w:val="32"/>
          <w:szCs w:val="32"/>
          <w:lang w:eastAsia="zh-CN"/>
        </w:rPr>
        <w:t>豫财磋商采购-2025-804</w:t>
      </w:r>
    </w:p>
    <w:p w14:paraId="4DB5AA56">
      <w:pPr>
        <w:ind w:firstLine="3534" w:firstLineChars="1100"/>
        <w:rPr>
          <w:rFonts w:ascii="宋体" w:hAnsi="宋体"/>
          <w:b/>
          <w:sz w:val="32"/>
          <w:szCs w:val="32"/>
          <w:u w:val="single"/>
        </w:rPr>
      </w:pPr>
    </w:p>
    <w:p w14:paraId="25B4DF26">
      <w:pPr>
        <w:adjustRightInd w:val="0"/>
        <w:snapToGrid w:val="0"/>
        <w:jc w:val="center"/>
        <w:rPr>
          <w:rFonts w:ascii="宋体" w:hAnsi="宋体"/>
          <w:b/>
          <w:sz w:val="36"/>
          <w:szCs w:val="36"/>
        </w:rPr>
      </w:pPr>
      <w:r>
        <w:rPr>
          <w:rFonts w:hint="eastAsia" w:asciiTheme="minorEastAsia" w:hAnsiTheme="minorEastAsia" w:eastAsiaTheme="minorEastAsia" w:cstheme="minorEastAsia"/>
        </w:rPr>
        <w:drawing>
          <wp:inline distT="0" distB="0" distL="114300" distR="114300">
            <wp:extent cx="2171700" cy="2733675"/>
            <wp:effectExtent l="0" t="0" r="7620" b="9525"/>
            <wp:docPr id="2" name="图片 1" descr="微信图片_20211021094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微信图片_20211021094822"/>
                    <pic:cNvPicPr>
                      <a:picLocks noChangeAspect="1"/>
                    </pic:cNvPicPr>
                  </pic:nvPicPr>
                  <pic:blipFill>
                    <a:blip r:embed="rId9"/>
                    <a:stretch>
                      <a:fillRect/>
                    </a:stretch>
                  </pic:blipFill>
                  <pic:spPr>
                    <a:xfrm>
                      <a:off x="0" y="0"/>
                      <a:ext cx="2171700" cy="2733675"/>
                    </a:xfrm>
                    <a:prstGeom prst="rect">
                      <a:avLst/>
                    </a:prstGeom>
                    <a:noFill/>
                    <a:ln>
                      <a:noFill/>
                    </a:ln>
                  </pic:spPr>
                </pic:pic>
              </a:graphicData>
            </a:graphic>
          </wp:inline>
        </w:drawing>
      </w:r>
    </w:p>
    <w:p w14:paraId="0A8335E2"/>
    <w:p w14:paraId="00166453"/>
    <w:p w14:paraId="030A6288"/>
    <w:p w14:paraId="058A093C"/>
    <w:p w14:paraId="5156FD73">
      <w:pPr>
        <w:ind w:firstLine="482"/>
        <w:jc w:val="center"/>
        <w:rPr>
          <w:rFonts w:ascii="宋体" w:hAnsi="宋体"/>
          <w:b/>
          <w:sz w:val="32"/>
          <w:szCs w:val="32"/>
        </w:rPr>
      </w:pPr>
    </w:p>
    <w:p w14:paraId="4A2761A9">
      <w:pPr>
        <w:spacing w:line="360" w:lineRule="auto"/>
        <w:ind w:firstLine="1263" w:firstLineChars="393"/>
        <w:rPr>
          <w:rFonts w:hint="eastAsia" w:asciiTheme="minorEastAsia" w:hAnsiTheme="minorEastAsia" w:eastAsiaTheme="minorEastAsia" w:cstheme="minorEastAsia"/>
          <w:b/>
          <w:sz w:val="32"/>
          <w:szCs w:val="32"/>
          <w:lang w:eastAsia="zh-CN"/>
        </w:rPr>
      </w:pPr>
      <w:r>
        <w:rPr>
          <w:rFonts w:hint="eastAsia" w:asciiTheme="minorEastAsia" w:hAnsiTheme="minorEastAsia" w:eastAsiaTheme="minorEastAsia" w:cstheme="minorEastAsia"/>
          <w:b/>
          <w:sz w:val="32"/>
          <w:szCs w:val="32"/>
        </w:rPr>
        <w:t>采   购   人：</w:t>
      </w:r>
      <w:r>
        <w:rPr>
          <w:rFonts w:hint="eastAsia" w:asciiTheme="minorEastAsia" w:hAnsiTheme="minorEastAsia" w:eastAsiaTheme="minorEastAsia" w:cstheme="minorEastAsia"/>
          <w:b/>
          <w:sz w:val="32"/>
          <w:szCs w:val="32"/>
          <w:lang w:eastAsia="zh-CN"/>
        </w:rPr>
        <w:t>河南省科学院激光制造研究所</w:t>
      </w:r>
    </w:p>
    <w:p w14:paraId="03CED695">
      <w:pPr>
        <w:spacing w:line="360" w:lineRule="auto"/>
        <w:ind w:firstLine="1263" w:firstLineChars="393"/>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采购代理机构：中建山河建设管理集团有限公司</w:t>
      </w:r>
    </w:p>
    <w:p w14:paraId="676A5B8D">
      <w:pPr>
        <w:spacing w:line="360" w:lineRule="auto"/>
        <w:ind w:firstLine="1263" w:firstLineChars="393"/>
        <w:rPr>
          <w:rFonts w:asciiTheme="minorEastAsia" w:hAnsiTheme="minorEastAsia" w:eastAsiaTheme="minorEastAsia" w:cstheme="minorEastAsia"/>
          <w:b/>
          <w:bCs/>
          <w:sz w:val="24"/>
          <w:szCs w:val="24"/>
        </w:rPr>
        <w:sectPr>
          <w:headerReference r:id="rId5" w:type="first"/>
          <w:headerReference r:id="rId3" w:type="default"/>
          <w:footerReference r:id="rId6" w:type="default"/>
          <w:headerReference r:id="rId4" w:type="even"/>
          <w:footerReference r:id="rId7" w:type="even"/>
          <w:pgSz w:w="11911" w:h="16838"/>
          <w:pgMar w:top="1134" w:right="1134" w:bottom="1134" w:left="1417" w:header="850" w:footer="850" w:gutter="0"/>
          <w:pgNumType w:start="0"/>
          <w:cols w:space="0" w:num="1"/>
          <w:titlePg/>
          <w:docGrid w:linePitch="285" w:charSpace="0"/>
        </w:sectPr>
      </w:pPr>
      <w:bookmarkStart w:id="2" w:name="_Toc16328"/>
      <w:r>
        <w:rPr>
          <w:rFonts w:hint="eastAsia" w:asciiTheme="minorEastAsia" w:hAnsiTheme="minorEastAsia" w:eastAsiaTheme="minorEastAsia" w:cstheme="minorEastAsia"/>
          <w:b/>
          <w:sz w:val="32"/>
          <w:szCs w:val="32"/>
        </w:rPr>
        <w:t>日        期：二〇二</w:t>
      </w:r>
      <w:r>
        <w:rPr>
          <w:rFonts w:hint="eastAsia" w:asciiTheme="minorEastAsia" w:hAnsiTheme="minorEastAsia" w:eastAsiaTheme="minorEastAsia" w:cstheme="minorEastAsia"/>
          <w:b/>
          <w:sz w:val="32"/>
          <w:szCs w:val="32"/>
          <w:lang w:eastAsia="zh-CN"/>
        </w:rPr>
        <w:t>五</w:t>
      </w:r>
      <w:r>
        <w:rPr>
          <w:rFonts w:hint="eastAsia" w:asciiTheme="minorEastAsia" w:hAnsiTheme="minorEastAsia" w:eastAsiaTheme="minorEastAsia" w:cstheme="minorEastAsia"/>
          <w:b/>
          <w:sz w:val="32"/>
          <w:szCs w:val="32"/>
        </w:rPr>
        <w:t>年</w:t>
      </w:r>
      <w:r>
        <w:rPr>
          <w:rFonts w:hint="eastAsia" w:asciiTheme="minorEastAsia" w:hAnsiTheme="minorEastAsia" w:eastAsiaTheme="minorEastAsia" w:cstheme="minorEastAsia"/>
          <w:b/>
          <w:sz w:val="32"/>
          <w:szCs w:val="32"/>
          <w:lang w:eastAsia="zh-CN"/>
        </w:rPr>
        <w:t>七</w:t>
      </w:r>
      <w:r>
        <w:rPr>
          <w:rFonts w:hint="eastAsia" w:asciiTheme="minorEastAsia" w:hAnsiTheme="minorEastAsia" w:eastAsiaTheme="minorEastAsia" w:cstheme="minorEastAsia"/>
          <w:b/>
          <w:sz w:val="32"/>
          <w:szCs w:val="32"/>
        </w:rPr>
        <w:t>月</w:t>
      </w:r>
      <w:bookmarkEnd w:id="2"/>
    </w:p>
    <w:p w14:paraId="401DBA49">
      <w:pPr>
        <w:jc w:val="center"/>
      </w:pPr>
      <w:r>
        <w:rPr>
          <w:rFonts w:hint="eastAsia" w:ascii="宋体" w:hAnsi="宋体"/>
          <w:b/>
          <w:sz w:val="32"/>
          <w:szCs w:val="32"/>
        </w:rPr>
        <w:t>目     录</w:t>
      </w:r>
    </w:p>
    <w:p w14:paraId="6DFE403F">
      <w:pPr>
        <w:pStyle w:val="25"/>
        <w:widowControl w:val="0"/>
        <w:tabs>
          <w:tab w:val="right" w:leader="dot" w:pos="9026"/>
        </w:tabs>
        <w:adjustRightInd w:val="0"/>
        <w:snapToGrid w:val="0"/>
        <w:spacing w:before="0" w:beforeAutospacing="0" w:after="0" w:line="440" w:lineRule="exact"/>
        <w:rPr>
          <w:rFonts w:hint="eastAsia"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TOC \o "1-2" \h \u </w:instrText>
      </w:r>
      <w:r>
        <w:rPr>
          <w:rFonts w:hint="eastAsia" w:ascii="宋体" w:hAnsi="宋体" w:cs="宋体"/>
          <w:sz w:val="21"/>
          <w:szCs w:val="21"/>
        </w:rPr>
        <w:fldChar w:fldCharType="separate"/>
      </w:r>
      <w:r>
        <w:rPr>
          <w:rFonts w:hint="eastAsia" w:ascii="宋体" w:hAnsi="宋体" w:cs="宋体"/>
          <w:sz w:val="21"/>
          <w:szCs w:val="21"/>
        </w:rPr>
        <w:fldChar w:fldCharType="begin"/>
      </w:r>
      <w:r>
        <w:rPr>
          <w:rFonts w:hint="eastAsia" w:ascii="宋体" w:hAnsi="宋体" w:cs="宋体"/>
          <w:sz w:val="21"/>
          <w:szCs w:val="21"/>
        </w:rPr>
        <w:instrText xml:space="preserve"> HYPERLINK \l _Toc18374 </w:instrText>
      </w:r>
      <w:r>
        <w:rPr>
          <w:rFonts w:hint="eastAsia" w:ascii="宋体" w:hAnsi="宋体" w:cs="宋体"/>
          <w:sz w:val="21"/>
          <w:szCs w:val="21"/>
        </w:rPr>
        <w:fldChar w:fldCharType="separate"/>
      </w:r>
      <w:r>
        <w:rPr>
          <w:rFonts w:hint="eastAsia" w:ascii="宋体" w:hAnsi="宋体" w:cs="宋体"/>
          <w:bCs/>
          <w:kern w:val="44"/>
          <w:sz w:val="21"/>
          <w:szCs w:val="21"/>
        </w:rPr>
        <w:t>第一章  竞争性磋商公告</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_Toc18374 \h </w:instrText>
      </w:r>
      <w:r>
        <w:rPr>
          <w:rFonts w:hint="eastAsia" w:ascii="宋体" w:hAnsi="宋体" w:cs="宋体"/>
          <w:sz w:val="21"/>
          <w:szCs w:val="21"/>
        </w:rPr>
        <w:fldChar w:fldCharType="separate"/>
      </w:r>
      <w:r>
        <w:rPr>
          <w:rFonts w:hint="eastAsia" w:ascii="宋体" w:hAnsi="宋体" w:cs="宋体"/>
          <w:sz w:val="21"/>
          <w:szCs w:val="21"/>
        </w:rPr>
        <w:t>4</w:t>
      </w:r>
      <w:r>
        <w:rPr>
          <w:rFonts w:hint="eastAsia" w:ascii="宋体" w:hAnsi="宋体" w:cs="宋体"/>
          <w:sz w:val="21"/>
          <w:szCs w:val="21"/>
        </w:rPr>
        <w:fldChar w:fldCharType="end"/>
      </w:r>
      <w:r>
        <w:rPr>
          <w:rFonts w:hint="eastAsia" w:ascii="宋体" w:hAnsi="宋体" w:cs="宋体"/>
          <w:sz w:val="21"/>
          <w:szCs w:val="21"/>
        </w:rPr>
        <w:fldChar w:fldCharType="end"/>
      </w:r>
    </w:p>
    <w:p w14:paraId="6A3CAC36">
      <w:pPr>
        <w:pStyle w:val="25"/>
        <w:widowControl w:val="0"/>
        <w:tabs>
          <w:tab w:val="right" w:leader="dot" w:pos="9026"/>
        </w:tabs>
        <w:adjustRightInd w:val="0"/>
        <w:snapToGrid w:val="0"/>
        <w:spacing w:before="0" w:beforeAutospacing="0" w:after="0" w:line="440" w:lineRule="exact"/>
        <w:rPr>
          <w:rFonts w:hint="eastAsia"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HYPERLINK \l _Toc1100 </w:instrText>
      </w:r>
      <w:r>
        <w:rPr>
          <w:rFonts w:hint="eastAsia" w:ascii="宋体" w:hAnsi="宋体" w:cs="宋体"/>
          <w:sz w:val="21"/>
          <w:szCs w:val="21"/>
        </w:rPr>
        <w:fldChar w:fldCharType="separate"/>
      </w:r>
      <w:r>
        <w:rPr>
          <w:rFonts w:hint="eastAsia" w:ascii="宋体" w:hAnsi="宋体" w:cs="宋体"/>
          <w:bCs w:val="0"/>
          <w:sz w:val="21"/>
          <w:szCs w:val="21"/>
        </w:rPr>
        <w:t>第二章  供应商须知</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_Toc1100 \h </w:instrText>
      </w:r>
      <w:r>
        <w:rPr>
          <w:rFonts w:hint="eastAsia" w:ascii="宋体" w:hAnsi="宋体" w:cs="宋体"/>
          <w:sz w:val="21"/>
          <w:szCs w:val="21"/>
        </w:rPr>
        <w:fldChar w:fldCharType="separate"/>
      </w:r>
      <w:r>
        <w:rPr>
          <w:rFonts w:hint="eastAsia" w:ascii="宋体" w:hAnsi="宋体" w:cs="宋体"/>
          <w:sz w:val="21"/>
          <w:szCs w:val="21"/>
        </w:rPr>
        <w:t>8</w:t>
      </w:r>
      <w:r>
        <w:rPr>
          <w:rFonts w:hint="eastAsia" w:ascii="宋体" w:hAnsi="宋体" w:cs="宋体"/>
          <w:sz w:val="21"/>
          <w:szCs w:val="21"/>
        </w:rPr>
        <w:fldChar w:fldCharType="end"/>
      </w:r>
      <w:r>
        <w:rPr>
          <w:rFonts w:hint="eastAsia" w:ascii="宋体" w:hAnsi="宋体" w:cs="宋体"/>
          <w:sz w:val="21"/>
          <w:szCs w:val="21"/>
        </w:rPr>
        <w:fldChar w:fldCharType="end"/>
      </w:r>
    </w:p>
    <w:p w14:paraId="0477775F">
      <w:pPr>
        <w:pStyle w:val="29"/>
        <w:widowControl w:val="0"/>
        <w:tabs>
          <w:tab w:val="right" w:leader="dot" w:pos="9026"/>
        </w:tabs>
        <w:adjustRightInd w:val="0"/>
        <w:snapToGrid w:val="0"/>
        <w:spacing w:before="0" w:beforeAutospacing="0" w:after="0" w:line="440" w:lineRule="exact"/>
        <w:ind w:left="0"/>
        <w:rPr>
          <w:rFonts w:hint="eastAsia"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HYPERLINK \l _Toc990 </w:instrText>
      </w:r>
      <w:r>
        <w:rPr>
          <w:rFonts w:hint="eastAsia" w:ascii="宋体" w:hAnsi="宋体" w:cs="宋体"/>
          <w:sz w:val="21"/>
          <w:szCs w:val="21"/>
        </w:rPr>
        <w:fldChar w:fldCharType="separate"/>
      </w:r>
      <w:r>
        <w:rPr>
          <w:rFonts w:hint="eastAsia" w:ascii="宋体" w:hAnsi="宋体" w:eastAsia="宋体" w:cs="宋体"/>
          <w:bCs w:val="0"/>
          <w:sz w:val="21"/>
          <w:szCs w:val="21"/>
        </w:rPr>
        <w:t>供应商须知前附表</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_Toc990 \h </w:instrText>
      </w:r>
      <w:r>
        <w:rPr>
          <w:rFonts w:hint="eastAsia" w:ascii="宋体" w:hAnsi="宋体" w:cs="宋体"/>
          <w:sz w:val="21"/>
          <w:szCs w:val="21"/>
        </w:rPr>
        <w:fldChar w:fldCharType="separate"/>
      </w:r>
      <w:r>
        <w:rPr>
          <w:rFonts w:hint="eastAsia" w:ascii="宋体" w:hAnsi="宋体" w:cs="宋体"/>
          <w:sz w:val="21"/>
          <w:szCs w:val="21"/>
        </w:rPr>
        <w:t>8</w:t>
      </w:r>
      <w:r>
        <w:rPr>
          <w:rFonts w:hint="eastAsia" w:ascii="宋体" w:hAnsi="宋体" w:cs="宋体"/>
          <w:sz w:val="21"/>
          <w:szCs w:val="21"/>
        </w:rPr>
        <w:fldChar w:fldCharType="end"/>
      </w:r>
      <w:r>
        <w:rPr>
          <w:rFonts w:hint="eastAsia" w:ascii="宋体" w:hAnsi="宋体" w:cs="宋体"/>
          <w:sz w:val="21"/>
          <w:szCs w:val="21"/>
        </w:rPr>
        <w:fldChar w:fldCharType="end"/>
      </w:r>
    </w:p>
    <w:p w14:paraId="58658E4F">
      <w:pPr>
        <w:pStyle w:val="29"/>
        <w:widowControl w:val="0"/>
        <w:tabs>
          <w:tab w:val="right" w:leader="dot" w:pos="9026"/>
        </w:tabs>
        <w:adjustRightInd w:val="0"/>
        <w:snapToGrid w:val="0"/>
        <w:spacing w:before="0" w:beforeAutospacing="0" w:after="0" w:line="440" w:lineRule="exact"/>
        <w:ind w:left="0"/>
        <w:rPr>
          <w:rFonts w:hint="eastAsia"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HYPERLINK \l _Toc32167 </w:instrText>
      </w:r>
      <w:r>
        <w:rPr>
          <w:rFonts w:hint="eastAsia" w:ascii="宋体" w:hAnsi="宋体" w:cs="宋体"/>
          <w:sz w:val="21"/>
          <w:szCs w:val="21"/>
        </w:rPr>
        <w:fldChar w:fldCharType="separate"/>
      </w:r>
      <w:r>
        <w:rPr>
          <w:rFonts w:hint="eastAsia" w:ascii="宋体" w:hAnsi="宋体" w:cs="宋体"/>
          <w:sz w:val="21"/>
          <w:szCs w:val="21"/>
        </w:rPr>
        <w:t>供应商须知</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_Toc32167 \h </w:instrText>
      </w:r>
      <w:r>
        <w:rPr>
          <w:rFonts w:hint="eastAsia" w:ascii="宋体" w:hAnsi="宋体" w:cs="宋体"/>
          <w:sz w:val="21"/>
          <w:szCs w:val="21"/>
        </w:rPr>
        <w:fldChar w:fldCharType="separate"/>
      </w:r>
      <w:r>
        <w:rPr>
          <w:rFonts w:hint="eastAsia" w:ascii="宋体" w:hAnsi="宋体" w:cs="宋体"/>
          <w:sz w:val="21"/>
          <w:szCs w:val="21"/>
        </w:rPr>
        <w:t>14</w:t>
      </w:r>
      <w:r>
        <w:rPr>
          <w:rFonts w:hint="eastAsia" w:ascii="宋体" w:hAnsi="宋体" w:cs="宋体"/>
          <w:sz w:val="21"/>
          <w:szCs w:val="21"/>
        </w:rPr>
        <w:fldChar w:fldCharType="end"/>
      </w:r>
      <w:r>
        <w:rPr>
          <w:rFonts w:hint="eastAsia" w:ascii="宋体" w:hAnsi="宋体" w:cs="宋体"/>
          <w:sz w:val="21"/>
          <w:szCs w:val="21"/>
        </w:rPr>
        <w:fldChar w:fldCharType="end"/>
      </w:r>
    </w:p>
    <w:p w14:paraId="193E173D">
      <w:pPr>
        <w:pStyle w:val="29"/>
        <w:widowControl w:val="0"/>
        <w:tabs>
          <w:tab w:val="right" w:leader="dot" w:pos="9026"/>
        </w:tabs>
        <w:adjustRightInd w:val="0"/>
        <w:snapToGrid w:val="0"/>
        <w:spacing w:before="0" w:beforeAutospacing="0" w:after="0" w:line="440" w:lineRule="exact"/>
        <w:ind w:left="0"/>
        <w:rPr>
          <w:rFonts w:hint="eastAsia"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HYPERLINK \l _Toc7933 </w:instrText>
      </w:r>
      <w:r>
        <w:rPr>
          <w:rFonts w:hint="eastAsia" w:ascii="宋体" w:hAnsi="宋体" w:cs="宋体"/>
          <w:sz w:val="21"/>
          <w:szCs w:val="21"/>
        </w:rPr>
        <w:fldChar w:fldCharType="separate"/>
      </w:r>
      <w:r>
        <w:rPr>
          <w:rFonts w:hint="eastAsia" w:ascii="宋体" w:hAnsi="宋体" w:cs="宋体"/>
          <w:sz w:val="21"/>
          <w:szCs w:val="21"/>
        </w:rPr>
        <w:t>1. 总则</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_Toc7933 \h </w:instrText>
      </w:r>
      <w:r>
        <w:rPr>
          <w:rFonts w:hint="eastAsia" w:ascii="宋体" w:hAnsi="宋体" w:cs="宋体"/>
          <w:sz w:val="21"/>
          <w:szCs w:val="21"/>
        </w:rPr>
        <w:fldChar w:fldCharType="separate"/>
      </w:r>
      <w:r>
        <w:rPr>
          <w:rFonts w:hint="eastAsia" w:ascii="宋体" w:hAnsi="宋体" w:cs="宋体"/>
          <w:sz w:val="21"/>
          <w:szCs w:val="21"/>
        </w:rPr>
        <w:t>14</w:t>
      </w:r>
      <w:r>
        <w:rPr>
          <w:rFonts w:hint="eastAsia" w:ascii="宋体" w:hAnsi="宋体" w:cs="宋体"/>
          <w:sz w:val="21"/>
          <w:szCs w:val="21"/>
        </w:rPr>
        <w:fldChar w:fldCharType="end"/>
      </w:r>
      <w:r>
        <w:rPr>
          <w:rFonts w:hint="eastAsia" w:ascii="宋体" w:hAnsi="宋体" w:cs="宋体"/>
          <w:sz w:val="21"/>
          <w:szCs w:val="21"/>
        </w:rPr>
        <w:fldChar w:fldCharType="end"/>
      </w:r>
    </w:p>
    <w:p w14:paraId="714DBC6E">
      <w:pPr>
        <w:pStyle w:val="29"/>
        <w:widowControl w:val="0"/>
        <w:tabs>
          <w:tab w:val="right" w:leader="dot" w:pos="9026"/>
        </w:tabs>
        <w:adjustRightInd w:val="0"/>
        <w:snapToGrid w:val="0"/>
        <w:spacing w:before="0" w:beforeAutospacing="0" w:after="0" w:line="440" w:lineRule="exact"/>
        <w:ind w:left="0"/>
        <w:rPr>
          <w:rFonts w:hint="eastAsia"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HYPERLINK \l _Toc26205 </w:instrText>
      </w:r>
      <w:r>
        <w:rPr>
          <w:rFonts w:hint="eastAsia" w:ascii="宋体" w:hAnsi="宋体" w:cs="宋体"/>
          <w:sz w:val="21"/>
          <w:szCs w:val="21"/>
        </w:rPr>
        <w:fldChar w:fldCharType="separate"/>
      </w:r>
      <w:r>
        <w:rPr>
          <w:rFonts w:hint="eastAsia" w:ascii="宋体" w:hAnsi="宋体" w:cs="宋体"/>
          <w:sz w:val="21"/>
          <w:szCs w:val="21"/>
        </w:rPr>
        <w:t>2. 磋商文件</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_Toc26205 \h </w:instrText>
      </w:r>
      <w:r>
        <w:rPr>
          <w:rFonts w:hint="eastAsia" w:ascii="宋体" w:hAnsi="宋体" w:cs="宋体"/>
          <w:sz w:val="21"/>
          <w:szCs w:val="21"/>
        </w:rPr>
        <w:fldChar w:fldCharType="separate"/>
      </w:r>
      <w:r>
        <w:rPr>
          <w:rFonts w:hint="eastAsia" w:ascii="宋体" w:hAnsi="宋体" w:cs="宋体"/>
          <w:sz w:val="21"/>
          <w:szCs w:val="21"/>
        </w:rPr>
        <w:t>15</w:t>
      </w:r>
      <w:r>
        <w:rPr>
          <w:rFonts w:hint="eastAsia" w:ascii="宋体" w:hAnsi="宋体" w:cs="宋体"/>
          <w:sz w:val="21"/>
          <w:szCs w:val="21"/>
        </w:rPr>
        <w:fldChar w:fldCharType="end"/>
      </w:r>
      <w:r>
        <w:rPr>
          <w:rFonts w:hint="eastAsia" w:ascii="宋体" w:hAnsi="宋体" w:cs="宋体"/>
          <w:sz w:val="21"/>
          <w:szCs w:val="21"/>
        </w:rPr>
        <w:fldChar w:fldCharType="end"/>
      </w:r>
    </w:p>
    <w:p w14:paraId="1AF6FCF0">
      <w:pPr>
        <w:pStyle w:val="29"/>
        <w:widowControl w:val="0"/>
        <w:tabs>
          <w:tab w:val="right" w:leader="dot" w:pos="9026"/>
        </w:tabs>
        <w:adjustRightInd w:val="0"/>
        <w:snapToGrid w:val="0"/>
        <w:spacing w:before="0" w:beforeAutospacing="0" w:after="0" w:line="440" w:lineRule="exact"/>
        <w:ind w:left="0"/>
        <w:rPr>
          <w:rFonts w:hint="eastAsia"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HYPERLINK \l _Toc18373 </w:instrText>
      </w:r>
      <w:r>
        <w:rPr>
          <w:rFonts w:hint="eastAsia" w:ascii="宋体" w:hAnsi="宋体" w:cs="宋体"/>
          <w:sz w:val="21"/>
          <w:szCs w:val="21"/>
        </w:rPr>
        <w:fldChar w:fldCharType="separate"/>
      </w:r>
      <w:r>
        <w:rPr>
          <w:rFonts w:hint="eastAsia" w:ascii="宋体" w:hAnsi="宋体" w:cs="宋体"/>
          <w:sz w:val="21"/>
          <w:szCs w:val="21"/>
        </w:rPr>
        <w:t>3. 响应文件</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_Toc18373 \h </w:instrText>
      </w:r>
      <w:r>
        <w:rPr>
          <w:rFonts w:hint="eastAsia" w:ascii="宋体" w:hAnsi="宋体" w:cs="宋体"/>
          <w:sz w:val="21"/>
          <w:szCs w:val="21"/>
        </w:rPr>
        <w:fldChar w:fldCharType="separate"/>
      </w:r>
      <w:r>
        <w:rPr>
          <w:rFonts w:hint="eastAsia" w:ascii="宋体" w:hAnsi="宋体" w:cs="宋体"/>
          <w:sz w:val="21"/>
          <w:szCs w:val="21"/>
        </w:rPr>
        <w:t>17</w:t>
      </w:r>
      <w:r>
        <w:rPr>
          <w:rFonts w:hint="eastAsia" w:ascii="宋体" w:hAnsi="宋体" w:cs="宋体"/>
          <w:sz w:val="21"/>
          <w:szCs w:val="21"/>
        </w:rPr>
        <w:fldChar w:fldCharType="end"/>
      </w:r>
      <w:r>
        <w:rPr>
          <w:rFonts w:hint="eastAsia" w:ascii="宋体" w:hAnsi="宋体" w:cs="宋体"/>
          <w:sz w:val="21"/>
          <w:szCs w:val="21"/>
        </w:rPr>
        <w:fldChar w:fldCharType="end"/>
      </w:r>
    </w:p>
    <w:p w14:paraId="193A7E10">
      <w:pPr>
        <w:pStyle w:val="29"/>
        <w:widowControl w:val="0"/>
        <w:tabs>
          <w:tab w:val="right" w:leader="dot" w:pos="9026"/>
        </w:tabs>
        <w:adjustRightInd w:val="0"/>
        <w:snapToGrid w:val="0"/>
        <w:spacing w:before="0" w:beforeAutospacing="0" w:after="0" w:line="440" w:lineRule="exact"/>
        <w:ind w:left="0"/>
        <w:rPr>
          <w:rFonts w:hint="eastAsia"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HYPERLINK \l _Toc4068 </w:instrText>
      </w:r>
      <w:r>
        <w:rPr>
          <w:rFonts w:hint="eastAsia" w:ascii="宋体" w:hAnsi="宋体" w:cs="宋体"/>
          <w:sz w:val="21"/>
          <w:szCs w:val="21"/>
        </w:rPr>
        <w:fldChar w:fldCharType="separate"/>
      </w:r>
      <w:r>
        <w:rPr>
          <w:rFonts w:hint="eastAsia" w:ascii="宋体" w:hAnsi="宋体" w:cs="宋体"/>
          <w:sz w:val="21"/>
          <w:szCs w:val="21"/>
        </w:rPr>
        <w:t>4. 响应文件上传</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_Toc4068 \h </w:instrText>
      </w:r>
      <w:r>
        <w:rPr>
          <w:rFonts w:hint="eastAsia" w:ascii="宋体" w:hAnsi="宋体" w:cs="宋体"/>
          <w:sz w:val="21"/>
          <w:szCs w:val="21"/>
        </w:rPr>
        <w:fldChar w:fldCharType="separate"/>
      </w:r>
      <w:r>
        <w:rPr>
          <w:rFonts w:hint="eastAsia" w:ascii="宋体" w:hAnsi="宋体" w:cs="宋体"/>
          <w:sz w:val="21"/>
          <w:szCs w:val="21"/>
        </w:rPr>
        <w:t>18</w:t>
      </w:r>
      <w:r>
        <w:rPr>
          <w:rFonts w:hint="eastAsia" w:ascii="宋体" w:hAnsi="宋体" w:cs="宋体"/>
          <w:sz w:val="21"/>
          <w:szCs w:val="21"/>
        </w:rPr>
        <w:fldChar w:fldCharType="end"/>
      </w:r>
      <w:r>
        <w:rPr>
          <w:rFonts w:hint="eastAsia" w:ascii="宋体" w:hAnsi="宋体" w:cs="宋体"/>
          <w:sz w:val="21"/>
          <w:szCs w:val="21"/>
        </w:rPr>
        <w:fldChar w:fldCharType="end"/>
      </w:r>
    </w:p>
    <w:p w14:paraId="07DD90B1">
      <w:pPr>
        <w:pStyle w:val="29"/>
        <w:widowControl w:val="0"/>
        <w:tabs>
          <w:tab w:val="right" w:leader="dot" w:pos="9026"/>
        </w:tabs>
        <w:adjustRightInd w:val="0"/>
        <w:snapToGrid w:val="0"/>
        <w:spacing w:before="0" w:beforeAutospacing="0" w:after="0" w:line="440" w:lineRule="exact"/>
        <w:ind w:left="0"/>
        <w:rPr>
          <w:rFonts w:hint="eastAsia"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HYPERLINK \l _Toc31150 </w:instrText>
      </w:r>
      <w:r>
        <w:rPr>
          <w:rFonts w:hint="eastAsia" w:ascii="宋体" w:hAnsi="宋体" w:cs="宋体"/>
          <w:sz w:val="21"/>
          <w:szCs w:val="21"/>
        </w:rPr>
        <w:fldChar w:fldCharType="separate"/>
      </w:r>
      <w:r>
        <w:rPr>
          <w:rFonts w:hint="eastAsia" w:ascii="宋体" w:hAnsi="宋体" w:cs="宋体"/>
          <w:sz w:val="21"/>
          <w:szCs w:val="21"/>
        </w:rPr>
        <w:t>5. 响应文件开启</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_Toc31150 \h </w:instrText>
      </w:r>
      <w:r>
        <w:rPr>
          <w:rFonts w:hint="eastAsia" w:ascii="宋体" w:hAnsi="宋体" w:cs="宋体"/>
          <w:sz w:val="21"/>
          <w:szCs w:val="21"/>
        </w:rPr>
        <w:fldChar w:fldCharType="separate"/>
      </w:r>
      <w:r>
        <w:rPr>
          <w:rFonts w:hint="eastAsia" w:ascii="宋体" w:hAnsi="宋体" w:cs="宋体"/>
          <w:sz w:val="21"/>
          <w:szCs w:val="21"/>
        </w:rPr>
        <w:t>19</w:t>
      </w:r>
      <w:r>
        <w:rPr>
          <w:rFonts w:hint="eastAsia" w:ascii="宋体" w:hAnsi="宋体" w:cs="宋体"/>
          <w:sz w:val="21"/>
          <w:szCs w:val="21"/>
        </w:rPr>
        <w:fldChar w:fldCharType="end"/>
      </w:r>
      <w:r>
        <w:rPr>
          <w:rFonts w:hint="eastAsia" w:ascii="宋体" w:hAnsi="宋体" w:cs="宋体"/>
          <w:sz w:val="21"/>
          <w:szCs w:val="21"/>
        </w:rPr>
        <w:fldChar w:fldCharType="end"/>
      </w:r>
    </w:p>
    <w:p w14:paraId="50CCC06A">
      <w:pPr>
        <w:pStyle w:val="29"/>
        <w:widowControl w:val="0"/>
        <w:tabs>
          <w:tab w:val="right" w:leader="dot" w:pos="9026"/>
        </w:tabs>
        <w:adjustRightInd w:val="0"/>
        <w:snapToGrid w:val="0"/>
        <w:spacing w:before="0" w:beforeAutospacing="0" w:after="0" w:line="440" w:lineRule="exact"/>
        <w:ind w:left="0"/>
        <w:rPr>
          <w:rFonts w:hint="eastAsia"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HYPERLINK \l _Toc8265 </w:instrText>
      </w:r>
      <w:r>
        <w:rPr>
          <w:rFonts w:hint="eastAsia" w:ascii="宋体" w:hAnsi="宋体" w:cs="宋体"/>
          <w:sz w:val="21"/>
          <w:szCs w:val="21"/>
        </w:rPr>
        <w:fldChar w:fldCharType="separate"/>
      </w:r>
      <w:r>
        <w:rPr>
          <w:rFonts w:hint="eastAsia" w:ascii="宋体" w:hAnsi="宋体" w:cs="宋体"/>
          <w:sz w:val="21"/>
          <w:szCs w:val="21"/>
        </w:rPr>
        <w:t>6. 磋商</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_Toc8265 \h </w:instrText>
      </w:r>
      <w:r>
        <w:rPr>
          <w:rFonts w:hint="eastAsia" w:ascii="宋体" w:hAnsi="宋体" w:cs="宋体"/>
          <w:sz w:val="21"/>
          <w:szCs w:val="21"/>
        </w:rPr>
        <w:fldChar w:fldCharType="separate"/>
      </w:r>
      <w:r>
        <w:rPr>
          <w:rFonts w:hint="eastAsia" w:ascii="宋体" w:hAnsi="宋体" w:cs="宋体"/>
          <w:sz w:val="21"/>
          <w:szCs w:val="21"/>
        </w:rPr>
        <w:t>19</w:t>
      </w:r>
      <w:r>
        <w:rPr>
          <w:rFonts w:hint="eastAsia" w:ascii="宋体" w:hAnsi="宋体" w:cs="宋体"/>
          <w:sz w:val="21"/>
          <w:szCs w:val="21"/>
        </w:rPr>
        <w:fldChar w:fldCharType="end"/>
      </w:r>
      <w:r>
        <w:rPr>
          <w:rFonts w:hint="eastAsia" w:ascii="宋体" w:hAnsi="宋体" w:cs="宋体"/>
          <w:sz w:val="21"/>
          <w:szCs w:val="21"/>
        </w:rPr>
        <w:fldChar w:fldCharType="end"/>
      </w:r>
    </w:p>
    <w:p w14:paraId="0C7DB7A4">
      <w:pPr>
        <w:pStyle w:val="29"/>
        <w:widowControl w:val="0"/>
        <w:tabs>
          <w:tab w:val="right" w:leader="dot" w:pos="9026"/>
        </w:tabs>
        <w:adjustRightInd w:val="0"/>
        <w:snapToGrid w:val="0"/>
        <w:spacing w:before="0" w:beforeAutospacing="0" w:after="0" w:line="440" w:lineRule="exact"/>
        <w:ind w:left="0"/>
        <w:rPr>
          <w:rFonts w:hint="eastAsia"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HYPERLINK \l _Toc16704 </w:instrText>
      </w:r>
      <w:r>
        <w:rPr>
          <w:rFonts w:hint="eastAsia" w:ascii="宋体" w:hAnsi="宋体" w:cs="宋体"/>
          <w:sz w:val="21"/>
          <w:szCs w:val="21"/>
        </w:rPr>
        <w:fldChar w:fldCharType="separate"/>
      </w:r>
      <w:r>
        <w:rPr>
          <w:rFonts w:hint="eastAsia" w:ascii="宋体" w:hAnsi="宋体" w:cs="宋体"/>
          <w:sz w:val="21"/>
          <w:szCs w:val="21"/>
        </w:rPr>
        <w:t>7. 合同授予</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_Toc16704 \h </w:instrText>
      </w:r>
      <w:r>
        <w:rPr>
          <w:rFonts w:hint="eastAsia" w:ascii="宋体" w:hAnsi="宋体" w:cs="宋体"/>
          <w:sz w:val="21"/>
          <w:szCs w:val="21"/>
        </w:rPr>
        <w:fldChar w:fldCharType="separate"/>
      </w:r>
      <w:r>
        <w:rPr>
          <w:rFonts w:hint="eastAsia" w:ascii="宋体" w:hAnsi="宋体" w:cs="宋体"/>
          <w:sz w:val="21"/>
          <w:szCs w:val="21"/>
        </w:rPr>
        <w:t>21</w:t>
      </w:r>
      <w:r>
        <w:rPr>
          <w:rFonts w:hint="eastAsia" w:ascii="宋体" w:hAnsi="宋体" w:cs="宋体"/>
          <w:sz w:val="21"/>
          <w:szCs w:val="21"/>
        </w:rPr>
        <w:fldChar w:fldCharType="end"/>
      </w:r>
      <w:r>
        <w:rPr>
          <w:rFonts w:hint="eastAsia" w:ascii="宋体" w:hAnsi="宋体" w:cs="宋体"/>
          <w:sz w:val="21"/>
          <w:szCs w:val="21"/>
        </w:rPr>
        <w:fldChar w:fldCharType="end"/>
      </w:r>
    </w:p>
    <w:p w14:paraId="223B4FE8">
      <w:pPr>
        <w:pStyle w:val="29"/>
        <w:widowControl w:val="0"/>
        <w:tabs>
          <w:tab w:val="right" w:leader="dot" w:pos="9026"/>
        </w:tabs>
        <w:adjustRightInd w:val="0"/>
        <w:snapToGrid w:val="0"/>
        <w:spacing w:before="0" w:beforeAutospacing="0" w:after="0" w:line="440" w:lineRule="exact"/>
        <w:ind w:left="0"/>
        <w:rPr>
          <w:rFonts w:hint="eastAsia"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HYPERLINK \l _Toc7671 </w:instrText>
      </w:r>
      <w:r>
        <w:rPr>
          <w:rFonts w:hint="eastAsia" w:ascii="宋体" w:hAnsi="宋体" w:cs="宋体"/>
          <w:sz w:val="21"/>
          <w:szCs w:val="21"/>
        </w:rPr>
        <w:fldChar w:fldCharType="separate"/>
      </w:r>
      <w:r>
        <w:rPr>
          <w:rFonts w:hint="eastAsia" w:ascii="宋体" w:hAnsi="宋体" w:cs="宋体"/>
          <w:sz w:val="21"/>
          <w:szCs w:val="21"/>
        </w:rPr>
        <w:t>8. 重新招标</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_Toc7671 \h </w:instrText>
      </w:r>
      <w:r>
        <w:rPr>
          <w:rFonts w:hint="eastAsia" w:ascii="宋体" w:hAnsi="宋体" w:cs="宋体"/>
          <w:sz w:val="21"/>
          <w:szCs w:val="21"/>
        </w:rPr>
        <w:fldChar w:fldCharType="separate"/>
      </w:r>
      <w:r>
        <w:rPr>
          <w:rFonts w:hint="eastAsia" w:ascii="宋体" w:hAnsi="宋体" w:cs="宋体"/>
          <w:sz w:val="21"/>
          <w:szCs w:val="21"/>
        </w:rPr>
        <w:t>22</w:t>
      </w:r>
      <w:r>
        <w:rPr>
          <w:rFonts w:hint="eastAsia" w:ascii="宋体" w:hAnsi="宋体" w:cs="宋体"/>
          <w:sz w:val="21"/>
          <w:szCs w:val="21"/>
        </w:rPr>
        <w:fldChar w:fldCharType="end"/>
      </w:r>
      <w:r>
        <w:rPr>
          <w:rFonts w:hint="eastAsia" w:ascii="宋体" w:hAnsi="宋体" w:cs="宋体"/>
          <w:sz w:val="21"/>
          <w:szCs w:val="21"/>
        </w:rPr>
        <w:fldChar w:fldCharType="end"/>
      </w:r>
    </w:p>
    <w:p w14:paraId="3822C8A0">
      <w:pPr>
        <w:pStyle w:val="29"/>
        <w:widowControl w:val="0"/>
        <w:tabs>
          <w:tab w:val="right" w:leader="dot" w:pos="9026"/>
        </w:tabs>
        <w:adjustRightInd w:val="0"/>
        <w:snapToGrid w:val="0"/>
        <w:spacing w:before="0" w:beforeAutospacing="0" w:after="0" w:line="440" w:lineRule="exact"/>
        <w:ind w:left="0"/>
        <w:rPr>
          <w:rFonts w:hint="eastAsia"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HYPERLINK \l _Toc3885 </w:instrText>
      </w:r>
      <w:r>
        <w:rPr>
          <w:rFonts w:hint="eastAsia" w:ascii="宋体" w:hAnsi="宋体" w:cs="宋体"/>
          <w:sz w:val="21"/>
          <w:szCs w:val="21"/>
        </w:rPr>
        <w:fldChar w:fldCharType="separate"/>
      </w:r>
      <w:r>
        <w:rPr>
          <w:rFonts w:hint="eastAsia" w:ascii="宋体" w:hAnsi="宋体" w:cs="宋体"/>
          <w:sz w:val="21"/>
          <w:szCs w:val="21"/>
        </w:rPr>
        <w:t>9. 纪律和监督</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_Toc3885 \h </w:instrText>
      </w:r>
      <w:r>
        <w:rPr>
          <w:rFonts w:hint="eastAsia" w:ascii="宋体" w:hAnsi="宋体" w:cs="宋体"/>
          <w:sz w:val="21"/>
          <w:szCs w:val="21"/>
        </w:rPr>
        <w:fldChar w:fldCharType="separate"/>
      </w:r>
      <w:r>
        <w:rPr>
          <w:rFonts w:hint="eastAsia" w:ascii="宋体" w:hAnsi="宋体" w:cs="宋体"/>
          <w:sz w:val="21"/>
          <w:szCs w:val="21"/>
        </w:rPr>
        <w:t>22</w:t>
      </w:r>
      <w:r>
        <w:rPr>
          <w:rFonts w:hint="eastAsia" w:ascii="宋体" w:hAnsi="宋体" w:cs="宋体"/>
          <w:sz w:val="21"/>
          <w:szCs w:val="21"/>
        </w:rPr>
        <w:fldChar w:fldCharType="end"/>
      </w:r>
      <w:r>
        <w:rPr>
          <w:rFonts w:hint="eastAsia" w:ascii="宋体" w:hAnsi="宋体" w:cs="宋体"/>
          <w:sz w:val="21"/>
          <w:szCs w:val="21"/>
        </w:rPr>
        <w:fldChar w:fldCharType="end"/>
      </w:r>
    </w:p>
    <w:p w14:paraId="55080B7D">
      <w:pPr>
        <w:pStyle w:val="29"/>
        <w:widowControl w:val="0"/>
        <w:tabs>
          <w:tab w:val="right" w:leader="dot" w:pos="9026"/>
        </w:tabs>
        <w:adjustRightInd w:val="0"/>
        <w:snapToGrid w:val="0"/>
        <w:spacing w:before="0" w:beforeAutospacing="0" w:after="0" w:line="440" w:lineRule="exact"/>
        <w:ind w:left="0"/>
        <w:rPr>
          <w:rFonts w:hint="eastAsia"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HYPERLINK \l _Toc4838 </w:instrText>
      </w:r>
      <w:r>
        <w:rPr>
          <w:rFonts w:hint="eastAsia" w:ascii="宋体" w:hAnsi="宋体" w:cs="宋体"/>
          <w:sz w:val="21"/>
          <w:szCs w:val="21"/>
        </w:rPr>
        <w:fldChar w:fldCharType="separate"/>
      </w:r>
      <w:r>
        <w:rPr>
          <w:rFonts w:hint="eastAsia" w:ascii="宋体" w:hAnsi="宋体" w:cs="宋体"/>
          <w:sz w:val="21"/>
          <w:szCs w:val="21"/>
        </w:rPr>
        <w:t>10.需要补充的其他内容</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_Toc4838 \h </w:instrText>
      </w:r>
      <w:r>
        <w:rPr>
          <w:rFonts w:hint="eastAsia" w:ascii="宋体" w:hAnsi="宋体" w:cs="宋体"/>
          <w:sz w:val="21"/>
          <w:szCs w:val="21"/>
        </w:rPr>
        <w:fldChar w:fldCharType="separate"/>
      </w:r>
      <w:r>
        <w:rPr>
          <w:rFonts w:hint="eastAsia" w:ascii="宋体" w:hAnsi="宋体" w:cs="宋体"/>
          <w:sz w:val="21"/>
          <w:szCs w:val="21"/>
        </w:rPr>
        <w:t>24</w:t>
      </w:r>
      <w:r>
        <w:rPr>
          <w:rFonts w:hint="eastAsia" w:ascii="宋体" w:hAnsi="宋体" w:cs="宋体"/>
          <w:sz w:val="21"/>
          <w:szCs w:val="21"/>
        </w:rPr>
        <w:fldChar w:fldCharType="end"/>
      </w:r>
      <w:r>
        <w:rPr>
          <w:rFonts w:hint="eastAsia" w:ascii="宋体" w:hAnsi="宋体" w:cs="宋体"/>
          <w:sz w:val="21"/>
          <w:szCs w:val="21"/>
        </w:rPr>
        <w:fldChar w:fldCharType="end"/>
      </w:r>
    </w:p>
    <w:p w14:paraId="4ED1FCCA">
      <w:pPr>
        <w:pStyle w:val="25"/>
        <w:widowControl w:val="0"/>
        <w:tabs>
          <w:tab w:val="right" w:leader="dot" w:pos="9026"/>
        </w:tabs>
        <w:adjustRightInd w:val="0"/>
        <w:snapToGrid w:val="0"/>
        <w:spacing w:before="0" w:beforeAutospacing="0" w:after="0" w:line="440" w:lineRule="exact"/>
        <w:rPr>
          <w:rFonts w:hint="eastAsia"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HYPERLINK \l _Toc31069 </w:instrText>
      </w:r>
      <w:r>
        <w:rPr>
          <w:rFonts w:hint="eastAsia" w:ascii="宋体" w:hAnsi="宋体" w:cs="宋体"/>
          <w:sz w:val="21"/>
          <w:szCs w:val="21"/>
        </w:rPr>
        <w:fldChar w:fldCharType="separate"/>
      </w:r>
      <w:r>
        <w:rPr>
          <w:rFonts w:hint="eastAsia" w:ascii="宋体" w:hAnsi="宋体" w:cs="宋体"/>
          <w:kern w:val="44"/>
          <w:sz w:val="21"/>
          <w:szCs w:val="21"/>
        </w:rPr>
        <w:t>第三章  评审办法（综合评分法）</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_Toc31069 \h </w:instrText>
      </w:r>
      <w:r>
        <w:rPr>
          <w:rFonts w:hint="eastAsia" w:ascii="宋体" w:hAnsi="宋体" w:cs="宋体"/>
          <w:sz w:val="21"/>
          <w:szCs w:val="21"/>
        </w:rPr>
        <w:fldChar w:fldCharType="separate"/>
      </w:r>
      <w:r>
        <w:rPr>
          <w:rFonts w:hint="eastAsia" w:ascii="宋体" w:hAnsi="宋体" w:cs="宋体"/>
          <w:sz w:val="21"/>
          <w:szCs w:val="21"/>
        </w:rPr>
        <w:t>29</w:t>
      </w:r>
      <w:r>
        <w:rPr>
          <w:rFonts w:hint="eastAsia" w:ascii="宋体" w:hAnsi="宋体" w:cs="宋体"/>
          <w:sz w:val="21"/>
          <w:szCs w:val="21"/>
        </w:rPr>
        <w:fldChar w:fldCharType="end"/>
      </w:r>
      <w:r>
        <w:rPr>
          <w:rFonts w:hint="eastAsia" w:ascii="宋体" w:hAnsi="宋体" w:cs="宋体"/>
          <w:sz w:val="21"/>
          <w:szCs w:val="21"/>
        </w:rPr>
        <w:fldChar w:fldCharType="end"/>
      </w:r>
    </w:p>
    <w:p w14:paraId="1F844BBD">
      <w:pPr>
        <w:pStyle w:val="25"/>
        <w:widowControl w:val="0"/>
        <w:tabs>
          <w:tab w:val="right" w:leader="dot" w:pos="9026"/>
        </w:tabs>
        <w:adjustRightInd w:val="0"/>
        <w:snapToGrid w:val="0"/>
        <w:spacing w:before="0" w:beforeAutospacing="0" w:after="0" w:line="440" w:lineRule="exact"/>
        <w:rPr>
          <w:rFonts w:hint="eastAsia"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HYPERLINK \l _Toc10714 </w:instrText>
      </w:r>
      <w:r>
        <w:rPr>
          <w:rFonts w:hint="eastAsia" w:ascii="宋体" w:hAnsi="宋体" w:cs="宋体"/>
          <w:sz w:val="21"/>
          <w:szCs w:val="21"/>
        </w:rPr>
        <w:fldChar w:fldCharType="separate"/>
      </w:r>
      <w:r>
        <w:rPr>
          <w:rFonts w:hint="eastAsia" w:ascii="宋体" w:hAnsi="宋体" w:cs="宋体"/>
          <w:bCs w:val="0"/>
          <w:sz w:val="21"/>
          <w:szCs w:val="21"/>
        </w:rPr>
        <w:t>第四章  合同条款及格式</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_Toc10714 \h </w:instrText>
      </w:r>
      <w:r>
        <w:rPr>
          <w:rFonts w:hint="eastAsia" w:ascii="宋体" w:hAnsi="宋体" w:cs="宋体"/>
          <w:sz w:val="21"/>
          <w:szCs w:val="21"/>
        </w:rPr>
        <w:fldChar w:fldCharType="separate"/>
      </w:r>
      <w:r>
        <w:rPr>
          <w:rFonts w:hint="eastAsia" w:ascii="宋体" w:hAnsi="宋体" w:cs="宋体"/>
          <w:sz w:val="21"/>
          <w:szCs w:val="21"/>
        </w:rPr>
        <w:t>39</w:t>
      </w:r>
      <w:r>
        <w:rPr>
          <w:rFonts w:hint="eastAsia" w:ascii="宋体" w:hAnsi="宋体" w:cs="宋体"/>
          <w:sz w:val="21"/>
          <w:szCs w:val="21"/>
        </w:rPr>
        <w:fldChar w:fldCharType="end"/>
      </w:r>
      <w:r>
        <w:rPr>
          <w:rFonts w:hint="eastAsia" w:ascii="宋体" w:hAnsi="宋体" w:cs="宋体"/>
          <w:sz w:val="21"/>
          <w:szCs w:val="21"/>
        </w:rPr>
        <w:fldChar w:fldCharType="end"/>
      </w:r>
    </w:p>
    <w:p w14:paraId="6515BA57">
      <w:pPr>
        <w:pStyle w:val="25"/>
        <w:widowControl w:val="0"/>
        <w:tabs>
          <w:tab w:val="right" w:leader="dot" w:pos="9026"/>
        </w:tabs>
        <w:adjustRightInd w:val="0"/>
        <w:snapToGrid w:val="0"/>
        <w:spacing w:before="0" w:beforeAutospacing="0" w:after="0" w:line="440" w:lineRule="exact"/>
        <w:rPr>
          <w:rFonts w:hint="eastAsia"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HYPERLINK \l _Toc9445 </w:instrText>
      </w:r>
      <w:r>
        <w:rPr>
          <w:rFonts w:hint="eastAsia" w:ascii="宋体" w:hAnsi="宋体" w:cs="宋体"/>
          <w:sz w:val="21"/>
          <w:szCs w:val="21"/>
        </w:rPr>
        <w:fldChar w:fldCharType="separate"/>
      </w:r>
      <w:r>
        <w:rPr>
          <w:rFonts w:hint="eastAsia" w:ascii="宋体" w:hAnsi="宋体" w:cs="宋体"/>
          <w:bCs/>
          <w:sz w:val="21"/>
          <w:szCs w:val="21"/>
        </w:rPr>
        <w:t>第五章  工程量清单</w:t>
      </w:r>
      <w:r>
        <w:rPr>
          <w:rFonts w:hint="eastAsia" w:ascii="宋体" w:hAnsi="宋体" w:cs="宋体"/>
          <w:bCs/>
          <w:sz w:val="21"/>
          <w:szCs w:val="21"/>
          <w:lang w:eastAsia="zh-CN"/>
        </w:rPr>
        <w:t>和图纸</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_Toc9445 \h </w:instrText>
      </w:r>
      <w:r>
        <w:rPr>
          <w:rFonts w:hint="eastAsia" w:ascii="宋体" w:hAnsi="宋体" w:cs="宋体"/>
          <w:sz w:val="21"/>
          <w:szCs w:val="21"/>
        </w:rPr>
        <w:fldChar w:fldCharType="separate"/>
      </w:r>
      <w:r>
        <w:rPr>
          <w:rFonts w:hint="eastAsia" w:ascii="宋体" w:hAnsi="宋体" w:cs="宋体"/>
          <w:sz w:val="21"/>
          <w:szCs w:val="21"/>
        </w:rPr>
        <w:t>67</w:t>
      </w:r>
      <w:r>
        <w:rPr>
          <w:rFonts w:hint="eastAsia" w:ascii="宋体" w:hAnsi="宋体" w:cs="宋体"/>
          <w:sz w:val="21"/>
          <w:szCs w:val="21"/>
        </w:rPr>
        <w:fldChar w:fldCharType="end"/>
      </w:r>
      <w:r>
        <w:rPr>
          <w:rFonts w:hint="eastAsia" w:ascii="宋体" w:hAnsi="宋体" w:cs="宋体"/>
          <w:sz w:val="21"/>
          <w:szCs w:val="21"/>
        </w:rPr>
        <w:fldChar w:fldCharType="end"/>
      </w:r>
    </w:p>
    <w:p w14:paraId="2174717C">
      <w:pPr>
        <w:pStyle w:val="25"/>
        <w:widowControl w:val="0"/>
        <w:tabs>
          <w:tab w:val="right" w:leader="dot" w:pos="9026"/>
        </w:tabs>
        <w:adjustRightInd w:val="0"/>
        <w:snapToGrid w:val="0"/>
        <w:spacing w:before="0" w:beforeAutospacing="0" w:after="0" w:line="440" w:lineRule="exact"/>
        <w:rPr>
          <w:rFonts w:hint="eastAsia"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HYPERLINK \l _Toc29889 </w:instrText>
      </w:r>
      <w:r>
        <w:rPr>
          <w:rFonts w:hint="eastAsia" w:ascii="宋体" w:hAnsi="宋体" w:cs="宋体"/>
          <w:sz w:val="21"/>
          <w:szCs w:val="21"/>
        </w:rPr>
        <w:fldChar w:fldCharType="separate"/>
      </w:r>
      <w:r>
        <w:rPr>
          <w:rFonts w:hint="eastAsia" w:ascii="宋体" w:hAnsi="宋体" w:eastAsia="宋体" w:cs="宋体"/>
          <w:bCs/>
          <w:sz w:val="21"/>
          <w:szCs w:val="21"/>
        </w:rPr>
        <w:t>第六章  技术标准和要求</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_Toc29889 \h </w:instrText>
      </w:r>
      <w:r>
        <w:rPr>
          <w:rFonts w:hint="eastAsia" w:ascii="宋体" w:hAnsi="宋体" w:cs="宋体"/>
          <w:sz w:val="21"/>
          <w:szCs w:val="21"/>
        </w:rPr>
        <w:fldChar w:fldCharType="separate"/>
      </w:r>
      <w:r>
        <w:rPr>
          <w:rFonts w:hint="eastAsia" w:ascii="宋体" w:hAnsi="宋体" w:cs="宋体"/>
          <w:sz w:val="21"/>
          <w:szCs w:val="21"/>
        </w:rPr>
        <w:t>68</w:t>
      </w:r>
      <w:r>
        <w:rPr>
          <w:rFonts w:hint="eastAsia" w:ascii="宋体" w:hAnsi="宋体" w:cs="宋体"/>
          <w:sz w:val="21"/>
          <w:szCs w:val="21"/>
        </w:rPr>
        <w:fldChar w:fldCharType="end"/>
      </w:r>
      <w:r>
        <w:rPr>
          <w:rFonts w:hint="eastAsia" w:ascii="宋体" w:hAnsi="宋体" w:cs="宋体"/>
          <w:sz w:val="21"/>
          <w:szCs w:val="21"/>
        </w:rPr>
        <w:fldChar w:fldCharType="end"/>
      </w:r>
    </w:p>
    <w:p w14:paraId="1ACB3D04">
      <w:pPr>
        <w:pStyle w:val="25"/>
        <w:widowControl w:val="0"/>
        <w:tabs>
          <w:tab w:val="right" w:leader="dot" w:pos="9026"/>
        </w:tabs>
        <w:adjustRightInd w:val="0"/>
        <w:snapToGrid w:val="0"/>
        <w:spacing w:before="0" w:beforeAutospacing="0" w:after="0" w:line="440" w:lineRule="exact"/>
        <w:rPr>
          <w:rFonts w:hint="eastAsia"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HYPERLINK \l _Toc16005 </w:instrText>
      </w:r>
      <w:r>
        <w:rPr>
          <w:rFonts w:hint="eastAsia" w:ascii="宋体" w:hAnsi="宋体" w:cs="宋体"/>
          <w:sz w:val="21"/>
          <w:szCs w:val="21"/>
        </w:rPr>
        <w:fldChar w:fldCharType="separate"/>
      </w:r>
      <w:r>
        <w:rPr>
          <w:rFonts w:hint="eastAsia" w:ascii="宋体" w:hAnsi="宋体" w:cs="宋体"/>
          <w:bCs w:val="0"/>
          <w:sz w:val="21"/>
          <w:szCs w:val="21"/>
        </w:rPr>
        <w:t>第七章  响应文件格式</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_Toc16005 \h </w:instrText>
      </w:r>
      <w:r>
        <w:rPr>
          <w:rFonts w:hint="eastAsia" w:ascii="宋体" w:hAnsi="宋体" w:cs="宋体"/>
          <w:sz w:val="21"/>
          <w:szCs w:val="21"/>
        </w:rPr>
        <w:fldChar w:fldCharType="separate"/>
      </w:r>
      <w:r>
        <w:rPr>
          <w:rFonts w:hint="eastAsia" w:ascii="宋体" w:hAnsi="宋体" w:cs="宋体"/>
          <w:sz w:val="21"/>
          <w:szCs w:val="21"/>
        </w:rPr>
        <w:t>72</w:t>
      </w:r>
      <w:r>
        <w:rPr>
          <w:rFonts w:hint="eastAsia" w:ascii="宋体" w:hAnsi="宋体" w:cs="宋体"/>
          <w:sz w:val="21"/>
          <w:szCs w:val="21"/>
        </w:rPr>
        <w:fldChar w:fldCharType="end"/>
      </w:r>
      <w:r>
        <w:rPr>
          <w:rFonts w:hint="eastAsia" w:ascii="宋体" w:hAnsi="宋体" w:cs="宋体"/>
          <w:sz w:val="21"/>
          <w:szCs w:val="21"/>
        </w:rPr>
        <w:fldChar w:fldCharType="end"/>
      </w:r>
    </w:p>
    <w:p w14:paraId="48F6FD3C">
      <w:pPr>
        <w:pStyle w:val="29"/>
        <w:widowControl w:val="0"/>
        <w:tabs>
          <w:tab w:val="right" w:leader="dot" w:pos="9026"/>
        </w:tabs>
        <w:adjustRightInd w:val="0"/>
        <w:snapToGrid w:val="0"/>
        <w:spacing w:before="0" w:beforeAutospacing="0" w:after="0" w:line="440" w:lineRule="exact"/>
        <w:ind w:left="0"/>
        <w:rPr>
          <w:rFonts w:hint="eastAsia"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HYPERLINK \l _Toc16157 </w:instrText>
      </w:r>
      <w:r>
        <w:rPr>
          <w:rFonts w:hint="eastAsia" w:ascii="宋体" w:hAnsi="宋体" w:cs="宋体"/>
          <w:sz w:val="21"/>
          <w:szCs w:val="21"/>
        </w:rPr>
        <w:fldChar w:fldCharType="separate"/>
      </w:r>
      <w:r>
        <w:rPr>
          <w:rFonts w:hint="eastAsia" w:ascii="宋体" w:hAnsi="宋体" w:eastAsia="宋体" w:cs="宋体"/>
          <w:bCs w:val="0"/>
          <w:sz w:val="21"/>
          <w:szCs w:val="21"/>
        </w:rPr>
        <w:t>目    录</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_Toc16157 \h </w:instrText>
      </w:r>
      <w:r>
        <w:rPr>
          <w:rFonts w:hint="eastAsia" w:ascii="宋体" w:hAnsi="宋体" w:cs="宋体"/>
          <w:sz w:val="21"/>
          <w:szCs w:val="21"/>
        </w:rPr>
        <w:fldChar w:fldCharType="separate"/>
      </w:r>
      <w:r>
        <w:rPr>
          <w:rFonts w:hint="eastAsia" w:ascii="宋体" w:hAnsi="宋体" w:cs="宋体"/>
          <w:sz w:val="21"/>
          <w:szCs w:val="21"/>
        </w:rPr>
        <w:t>73</w:t>
      </w:r>
      <w:r>
        <w:rPr>
          <w:rFonts w:hint="eastAsia" w:ascii="宋体" w:hAnsi="宋体" w:cs="宋体"/>
          <w:sz w:val="21"/>
          <w:szCs w:val="21"/>
        </w:rPr>
        <w:fldChar w:fldCharType="end"/>
      </w:r>
      <w:r>
        <w:rPr>
          <w:rFonts w:hint="eastAsia" w:ascii="宋体" w:hAnsi="宋体" w:cs="宋体"/>
          <w:sz w:val="21"/>
          <w:szCs w:val="21"/>
        </w:rPr>
        <w:fldChar w:fldCharType="end"/>
      </w:r>
    </w:p>
    <w:p w14:paraId="33FA7C26">
      <w:pPr>
        <w:pStyle w:val="29"/>
        <w:widowControl w:val="0"/>
        <w:tabs>
          <w:tab w:val="right" w:leader="dot" w:pos="9026"/>
        </w:tabs>
        <w:adjustRightInd w:val="0"/>
        <w:snapToGrid w:val="0"/>
        <w:spacing w:before="0" w:beforeAutospacing="0" w:after="0" w:line="440" w:lineRule="exact"/>
        <w:ind w:left="0"/>
        <w:rPr>
          <w:rFonts w:hint="eastAsia"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HYPERLINK \l _Toc17885 </w:instrText>
      </w:r>
      <w:r>
        <w:rPr>
          <w:rFonts w:hint="eastAsia" w:ascii="宋体" w:hAnsi="宋体" w:cs="宋体"/>
          <w:sz w:val="21"/>
          <w:szCs w:val="21"/>
        </w:rPr>
        <w:fldChar w:fldCharType="separate"/>
      </w:r>
      <w:r>
        <w:rPr>
          <w:rFonts w:hint="eastAsia" w:ascii="宋体" w:hAnsi="宋体" w:eastAsia="宋体" w:cs="宋体"/>
          <w:sz w:val="21"/>
          <w:szCs w:val="21"/>
        </w:rPr>
        <w:t>一、磋商函及磋商函附录</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_Toc17885 \h </w:instrText>
      </w:r>
      <w:r>
        <w:rPr>
          <w:rFonts w:hint="eastAsia" w:ascii="宋体" w:hAnsi="宋体" w:cs="宋体"/>
          <w:sz w:val="21"/>
          <w:szCs w:val="21"/>
        </w:rPr>
        <w:fldChar w:fldCharType="separate"/>
      </w:r>
      <w:r>
        <w:rPr>
          <w:rFonts w:hint="eastAsia" w:ascii="宋体" w:hAnsi="宋体" w:cs="宋体"/>
          <w:sz w:val="21"/>
          <w:szCs w:val="21"/>
        </w:rPr>
        <w:t>74</w:t>
      </w:r>
      <w:r>
        <w:rPr>
          <w:rFonts w:hint="eastAsia" w:ascii="宋体" w:hAnsi="宋体" w:cs="宋体"/>
          <w:sz w:val="21"/>
          <w:szCs w:val="21"/>
        </w:rPr>
        <w:fldChar w:fldCharType="end"/>
      </w:r>
      <w:r>
        <w:rPr>
          <w:rFonts w:hint="eastAsia" w:ascii="宋体" w:hAnsi="宋体" w:cs="宋体"/>
          <w:sz w:val="21"/>
          <w:szCs w:val="21"/>
        </w:rPr>
        <w:fldChar w:fldCharType="end"/>
      </w:r>
    </w:p>
    <w:p w14:paraId="73BE7013">
      <w:pPr>
        <w:pStyle w:val="29"/>
        <w:widowControl w:val="0"/>
        <w:tabs>
          <w:tab w:val="right" w:leader="dot" w:pos="9026"/>
        </w:tabs>
        <w:adjustRightInd w:val="0"/>
        <w:snapToGrid w:val="0"/>
        <w:spacing w:before="0" w:beforeAutospacing="0" w:after="0" w:line="440" w:lineRule="exact"/>
        <w:ind w:left="0"/>
        <w:rPr>
          <w:rFonts w:hint="eastAsia"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HYPERLINK \l _Toc29046 </w:instrText>
      </w:r>
      <w:r>
        <w:rPr>
          <w:rFonts w:hint="eastAsia" w:ascii="宋体" w:hAnsi="宋体" w:cs="宋体"/>
          <w:sz w:val="21"/>
          <w:szCs w:val="21"/>
        </w:rPr>
        <w:fldChar w:fldCharType="separate"/>
      </w:r>
      <w:r>
        <w:rPr>
          <w:rFonts w:hint="eastAsia" w:ascii="宋体" w:hAnsi="宋体" w:eastAsia="宋体" w:cs="宋体"/>
          <w:sz w:val="21"/>
          <w:szCs w:val="21"/>
        </w:rPr>
        <w:t>二、法定代表身份证明</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_Toc29046 \h </w:instrText>
      </w:r>
      <w:r>
        <w:rPr>
          <w:rFonts w:hint="eastAsia" w:ascii="宋体" w:hAnsi="宋体" w:cs="宋体"/>
          <w:sz w:val="21"/>
          <w:szCs w:val="21"/>
        </w:rPr>
        <w:fldChar w:fldCharType="separate"/>
      </w:r>
      <w:r>
        <w:rPr>
          <w:rFonts w:hint="eastAsia" w:ascii="宋体" w:hAnsi="宋体" w:cs="宋体"/>
          <w:sz w:val="21"/>
          <w:szCs w:val="21"/>
        </w:rPr>
        <w:t>76</w:t>
      </w:r>
      <w:r>
        <w:rPr>
          <w:rFonts w:hint="eastAsia" w:ascii="宋体" w:hAnsi="宋体" w:cs="宋体"/>
          <w:sz w:val="21"/>
          <w:szCs w:val="21"/>
        </w:rPr>
        <w:fldChar w:fldCharType="end"/>
      </w:r>
      <w:r>
        <w:rPr>
          <w:rFonts w:hint="eastAsia" w:ascii="宋体" w:hAnsi="宋体" w:cs="宋体"/>
          <w:sz w:val="21"/>
          <w:szCs w:val="21"/>
        </w:rPr>
        <w:fldChar w:fldCharType="end"/>
      </w:r>
    </w:p>
    <w:p w14:paraId="6BF568A6">
      <w:pPr>
        <w:pStyle w:val="29"/>
        <w:widowControl w:val="0"/>
        <w:tabs>
          <w:tab w:val="right" w:leader="dot" w:pos="9026"/>
        </w:tabs>
        <w:adjustRightInd w:val="0"/>
        <w:snapToGrid w:val="0"/>
        <w:spacing w:before="0" w:beforeAutospacing="0" w:after="0" w:line="440" w:lineRule="exact"/>
        <w:ind w:left="0"/>
        <w:rPr>
          <w:rFonts w:hint="eastAsia"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HYPERLINK \l _Toc25295 </w:instrText>
      </w:r>
      <w:r>
        <w:rPr>
          <w:rFonts w:hint="eastAsia" w:ascii="宋体" w:hAnsi="宋体" w:cs="宋体"/>
          <w:sz w:val="21"/>
          <w:szCs w:val="21"/>
        </w:rPr>
        <w:fldChar w:fldCharType="separate"/>
      </w:r>
      <w:r>
        <w:rPr>
          <w:rFonts w:hint="eastAsia" w:ascii="宋体" w:hAnsi="宋体" w:eastAsia="宋体" w:cs="宋体"/>
          <w:sz w:val="21"/>
          <w:szCs w:val="21"/>
        </w:rPr>
        <w:t>三、授权委托书</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_Toc25295 \h </w:instrText>
      </w:r>
      <w:r>
        <w:rPr>
          <w:rFonts w:hint="eastAsia" w:ascii="宋体" w:hAnsi="宋体" w:cs="宋体"/>
          <w:sz w:val="21"/>
          <w:szCs w:val="21"/>
        </w:rPr>
        <w:fldChar w:fldCharType="separate"/>
      </w:r>
      <w:r>
        <w:rPr>
          <w:rFonts w:hint="eastAsia" w:ascii="宋体" w:hAnsi="宋体" w:cs="宋体"/>
          <w:sz w:val="21"/>
          <w:szCs w:val="21"/>
        </w:rPr>
        <w:t>77</w:t>
      </w:r>
      <w:r>
        <w:rPr>
          <w:rFonts w:hint="eastAsia" w:ascii="宋体" w:hAnsi="宋体" w:cs="宋体"/>
          <w:sz w:val="21"/>
          <w:szCs w:val="21"/>
        </w:rPr>
        <w:fldChar w:fldCharType="end"/>
      </w:r>
      <w:r>
        <w:rPr>
          <w:rFonts w:hint="eastAsia" w:ascii="宋体" w:hAnsi="宋体" w:cs="宋体"/>
          <w:sz w:val="21"/>
          <w:szCs w:val="21"/>
        </w:rPr>
        <w:fldChar w:fldCharType="end"/>
      </w:r>
    </w:p>
    <w:p w14:paraId="5BB2DC63">
      <w:pPr>
        <w:pStyle w:val="29"/>
        <w:widowControl w:val="0"/>
        <w:tabs>
          <w:tab w:val="right" w:leader="dot" w:pos="9026"/>
        </w:tabs>
        <w:adjustRightInd w:val="0"/>
        <w:snapToGrid w:val="0"/>
        <w:spacing w:before="0" w:beforeAutospacing="0" w:after="0" w:line="440" w:lineRule="exact"/>
        <w:ind w:left="0"/>
        <w:rPr>
          <w:rFonts w:hint="eastAsia"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HYPERLINK \l _Toc22344 </w:instrText>
      </w:r>
      <w:r>
        <w:rPr>
          <w:rFonts w:hint="eastAsia" w:ascii="宋体" w:hAnsi="宋体" w:cs="宋体"/>
          <w:sz w:val="21"/>
          <w:szCs w:val="21"/>
        </w:rPr>
        <w:fldChar w:fldCharType="separate"/>
      </w:r>
      <w:r>
        <w:rPr>
          <w:rFonts w:hint="eastAsia" w:ascii="宋体" w:hAnsi="宋体" w:cs="宋体"/>
          <w:bCs/>
          <w:sz w:val="21"/>
          <w:szCs w:val="21"/>
        </w:rPr>
        <w:t>四、已标价工程量清单</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_Toc22344 \h </w:instrText>
      </w:r>
      <w:r>
        <w:rPr>
          <w:rFonts w:hint="eastAsia" w:ascii="宋体" w:hAnsi="宋体" w:cs="宋体"/>
          <w:sz w:val="21"/>
          <w:szCs w:val="21"/>
        </w:rPr>
        <w:fldChar w:fldCharType="separate"/>
      </w:r>
      <w:r>
        <w:rPr>
          <w:rFonts w:hint="eastAsia" w:ascii="宋体" w:hAnsi="宋体" w:cs="宋体"/>
          <w:sz w:val="21"/>
          <w:szCs w:val="21"/>
        </w:rPr>
        <w:t>78</w:t>
      </w:r>
      <w:r>
        <w:rPr>
          <w:rFonts w:hint="eastAsia" w:ascii="宋体" w:hAnsi="宋体" w:cs="宋体"/>
          <w:sz w:val="21"/>
          <w:szCs w:val="21"/>
        </w:rPr>
        <w:fldChar w:fldCharType="end"/>
      </w:r>
      <w:r>
        <w:rPr>
          <w:rFonts w:hint="eastAsia" w:ascii="宋体" w:hAnsi="宋体" w:cs="宋体"/>
          <w:sz w:val="21"/>
          <w:szCs w:val="21"/>
        </w:rPr>
        <w:fldChar w:fldCharType="end"/>
      </w:r>
    </w:p>
    <w:p w14:paraId="0C8B5BA3">
      <w:pPr>
        <w:pStyle w:val="29"/>
        <w:widowControl w:val="0"/>
        <w:tabs>
          <w:tab w:val="right" w:leader="dot" w:pos="9026"/>
        </w:tabs>
        <w:adjustRightInd w:val="0"/>
        <w:snapToGrid w:val="0"/>
        <w:spacing w:before="0" w:beforeAutospacing="0" w:after="0" w:line="440" w:lineRule="exact"/>
        <w:ind w:left="0"/>
        <w:rPr>
          <w:rFonts w:hint="eastAsia"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HYPERLINK \l _Toc29059 </w:instrText>
      </w:r>
      <w:r>
        <w:rPr>
          <w:rFonts w:hint="eastAsia" w:ascii="宋体" w:hAnsi="宋体" w:cs="宋体"/>
          <w:sz w:val="21"/>
          <w:szCs w:val="21"/>
        </w:rPr>
        <w:fldChar w:fldCharType="separate"/>
      </w:r>
      <w:r>
        <w:rPr>
          <w:rFonts w:hint="eastAsia" w:ascii="宋体" w:hAnsi="宋体" w:cs="宋体"/>
          <w:bCs/>
          <w:sz w:val="21"/>
          <w:szCs w:val="21"/>
        </w:rPr>
        <w:t>五、施工组织设计</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_Toc29059 \h </w:instrText>
      </w:r>
      <w:r>
        <w:rPr>
          <w:rFonts w:hint="eastAsia" w:ascii="宋体" w:hAnsi="宋体" w:cs="宋体"/>
          <w:sz w:val="21"/>
          <w:szCs w:val="21"/>
        </w:rPr>
        <w:fldChar w:fldCharType="separate"/>
      </w:r>
      <w:r>
        <w:rPr>
          <w:rFonts w:hint="eastAsia" w:ascii="宋体" w:hAnsi="宋体" w:cs="宋体"/>
          <w:sz w:val="21"/>
          <w:szCs w:val="21"/>
        </w:rPr>
        <w:t>79</w:t>
      </w:r>
      <w:r>
        <w:rPr>
          <w:rFonts w:hint="eastAsia" w:ascii="宋体" w:hAnsi="宋体" w:cs="宋体"/>
          <w:sz w:val="21"/>
          <w:szCs w:val="21"/>
        </w:rPr>
        <w:fldChar w:fldCharType="end"/>
      </w:r>
      <w:r>
        <w:rPr>
          <w:rFonts w:hint="eastAsia" w:ascii="宋体" w:hAnsi="宋体" w:cs="宋体"/>
          <w:sz w:val="21"/>
          <w:szCs w:val="21"/>
        </w:rPr>
        <w:fldChar w:fldCharType="end"/>
      </w:r>
    </w:p>
    <w:p w14:paraId="0E50D4DE">
      <w:pPr>
        <w:pStyle w:val="29"/>
        <w:widowControl w:val="0"/>
        <w:tabs>
          <w:tab w:val="right" w:leader="dot" w:pos="9026"/>
        </w:tabs>
        <w:adjustRightInd w:val="0"/>
        <w:snapToGrid w:val="0"/>
        <w:spacing w:before="0" w:beforeAutospacing="0" w:after="0" w:line="440" w:lineRule="exact"/>
        <w:ind w:left="0"/>
        <w:rPr>
          <w:rFonts w:hint="eastAsia"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HYPERLINK \l _Toc2121 </w:instrText>
      </w:r>
      <w:r>
        <w:rPr>
          <w:rFonts w:hint="eastAsia" w:ascii="宋体" w:hAnsi="宋体" w:cs="宋体"/>
          <w:sz w:val="21"/>
          <w:szCs w:val="21"/>
        </w:rPr>
        <w:fldChar w:fldCharType="separate"/>
      </w:r>
      <w:r>
        <w:rPr>
          <w:rFonts w:hint="eastAsia" w:ascii="宋体" w:hAnsi="宋体" w:eastAsia="宋体" w:cs="宋体"/>
          <w:bCs/>
          <w:sz w:val="21"/>
          <w:szCs w:val="21"/>
        </w:rPr>
        <w:t>六、项目管理机构</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_Toc2121 \h </w:instrText>
      </w:r>
      <w:r>
        <w:rPr>
          <w:rFonts w:hint="eastAsia" w:ascii="宋体" w:hAnsi="宋体" w:cs="宋体"/>
          <w:sz w:val="21"/>
          <w:szCs w:val="21"/>
        </w:rPr>
        <w:fldChar w:fldCharType="separate"/>
      </w:r>
      <w:r>
        <w:rPr>
          <w:rFonts w:hint="eastAsia" w:ascii="宋体" w:hAnsi="宋体" w:cs="宋体"/>
          <w:sz w:val="21"/>
          <w:szCs w:val="21"/>
        </w:rPr>
        <w:t>83</w:t>
      </w:r>
      <w:r>
        <w:rPr>
          <w:rFonts w:hint="eastAsia" w:ascii="宋体" w:hAnsi="宋体" w:cs="宋体"/>
          <w:sz w:val="21"/>
          <w:szCs w:val="21"/>
        </w:rPr>
        <w:fldChar w:fldCharType="end"/>
      </w:r>
      <w:r>
        <w:rPr>
          <w:rFonts w:hint="eastAsia" w:ascii="宋体" w:hAnsi="宋体" w:cs="宋体"/>
          <w:sz w:val="21"/>
          <w:szCs w:val="21"/>
        </w:rPr>
        <w:fldChar w:fldCharType="end"/>
      </w:r>
    </w:p>
    <w:p w14:paraId="233577D1">
      <w:pPr>
        <w:pStyle w:val="29"/>
        <w:widowControl w:val="0"/>
        <w:tabs>
          <w:tab w:val="right" w:leader="dot" w:pos="9026"/>
        </w:tabs>
        <w:adjustRightInd w:val="0"/>
        <w:snapToGrid w:val="0"/>
        <w:spacing w:before="0" w:beforeAutospacing="0" w:after="0" w:line="440" w:lineRule="exact"/>
        <w:ind w:left="0"/>
        <w:rPr>
          <w:rFonts w:hint="eastAsia"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HYPERLINK \l _Toc28228 </w:instrText>
      </w:r>
      <w:r>
        <w:rPr>
          <w:rFonts w:hint="eastAsia" w:ascii="宋体" w:hAnsi="宋体" w:cs="宋体"/>
          <w:sz w:val="21"/>
          <w:szCs w:val="21"/>
        </w:rPr>
        <w:fldChar w:fldCharType="separate"/>
      </w:r>
      <w:r>
        <w:rPr>
          <w:rFonts w:hint="eastAsia" w:ascii="宋体" w:hAnsi="宋体" w:cs="宋体"/>
          <w:bCs/>
          <w:sz w:val="21"/>
          <w:szCs w:val="21"/>
        </w:rPr>
        <w:t>七、资格审查资料</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_Toc28228 \h </w:instrText>
      </w:r>
      <w:r>
        <w:rPr>
          <w:rFonts w:hint="eastAsia" w:ascii="宋体" w:hAnsi="宋体" w:cs="宋体"/>
          <w:sz w:val="21"/>
          <w:szCs w:val="21"/>
        </w:rPr>
        <w:fldChar w:fldCharType="separate"/>
      </w:r>
      <w:r>
        <w:rPr>
          <w:rFonts w:hint="eastAsia" w:ascii="宋体" w:hAnsi="宋体" w:cs="宋体"/>
          <w:sz w:val="21"/>
          <w:szCs w:val="21"/>
        </w:rPr>
        <w:t>86</w:t>
      </w:r>
      <w:r>
        <w:rPr>
          <w:rFonts w:hint="eastAsia" w:ascii="宋体" w:hAnsi="宋体" w:cs="宋体"/>
          <w:sz w:val="21"/>
          <w:szCs w:val="21"/>
        </w:rPr>
        <w:fldChar w:fldCharType="end"/>
      </w:r>
      <w:r>
        <w:rPr>
          <w:rFonts w:hint="eastAsia" w:ascii="宋体" w:hAnsi="宋体" w:cs="宋体"/>
          <w:sz w:val="21"/>
          <w:szCs w:val="21"/>
        </w:rPr>
        <w:fldChar w:fldCharType="end"/>
      </w:r>
    </w:p>
    <w:p w14:paraId="708BEE15">
      <w:pPr>
        <w:pStyle w:val="29"/>
        <w:widowControl w:val="0"/>
        <w:tabs>
          <w:tab w:val="right" w:leader="dot" w:pos="9026"/>
        </w:tabs>
        <w:adjustRightInd w:val="0"/>
        <w:snapToGrid w:val="0"/>
        <w:spacing w:before="0" w:beforeAutospacing="0" w:after="0" w:line="440" w:lineRule="exact"/>
        <w:ind w:left="0"/>
        <w:rPr>
          <w:rFonts w:hint="eastAsia"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HYPERLINK \l _Toc28000 </w:instrText>
      </w:r>
      <w:r>
        <w:rPr>
          <w:rFonts w:hint="eastAsia" w:ascii="宋体" w:hAnsi="宋体" w:cs="宋体"/>
          <w:sz w:val="21"/>
          <w:szCs w:val="21"/>
        </w:rPr>
        <w:fldChar w:fldCharType="separate"/>
      </w:r>
      <w:r>
        <w:rPr>
          <w:rFonts w:hint="eastAsia" w:ascii="宋体" w:hAnsi="宋体" w:eastAsia="宋体" w:cs="宋体"/>
          <w:bCs/>
          <w:kern w:val="0"/>
          <w:sz w:val="21"/>
          <w:szCs w:val="21"/>
        </w:rPr>
        <w:t>八、类似项目业绩</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_Toc28000 \h </w:instrText>
      </w:r>
      <w:r>
        <w:rPr>
          <w:rFonts w:hint="eastAsia" w:ascii="宋体" w:hAnsi="宋体" w:cs="宋体"/>
          <w:sz w:val="21"/>
          <w:szCs w:val="21"/>
        </w:rPr>
        <w:fldChar w:fldCharType="separate"/>
      </w:r>
      <w:r>
        <w:rPr>
          <w:rFonts w:hint="eastAsia" w:ascii="宋体" w:hAnsi="宋体" w:cs="宋体"/>
          <w:sz w:val="21"/>
          <w:szCs w:val="21"/>
        </w:rPr>
        <w:t>99</w:t>
      </w:r>
      <w:r>
        <w:rPr>
          <w:rFonts w:hint="eastAsia" w:ascii="宋体" w:hAnsi="宋体" w:cs="宋体"/>
          <w:sz w:val="21"/>
          <w:szCs w:val="21"/>
        </w:rPr>
        <w:fldChar w:fldCharType="end"/>
      </w:r>
      <w:r>
        <w:rPr>
          <w:rFonts w:hint="eastAsia" w:ascii="宋体" w:hAnsi="宋体" w:cs="宋体"/>
          <w:sz w:val="21"/>
          <w:szCs w:val="21"/>
        </w:rPr>
        <w:fldChar w:fldCharType="end"/>
      </w:r>
    </w:p>
    <w:p w14:paraId="5260143E">
      <w:pPr>
        <w:pStyle w:val="29"/>
        <w:widowControl w:val="0"/>
        <w:tabs>
          <w:tab w:val="right" w:leader="dot" w:pos="9026"/>
        </w:tabs>
        <w:adjustRightInd w:val="0"/>
        <w:snapToGrid w:val="0"/>
        <w:spacing w:before="0" w:beforeAutospacing="0" w:after="0" w:line="440" w:lineRule="exact"/>
        <w:ind w:left="0"/>
        <w:rPr>
          <w:rFonts w:hint="eastAsia"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HYPERLINK \l _Toc3345 </w:instrText>
      </w:r>
      <w:r>
        <w:rPr>
          <w:rFonts w:hint="eastAsia" w:ascii="宋体" w:hAnsi="宋体" w:cs="宋体"/>
          <w:sz w:val="21"/>
          <w:szCs w:val="21"/>
        </w:rPr>
        <w:fldChar w:fldCharType="separate"/>
      </w:r>
      <w:r>
        <w:rPr>
          <w:rFonts w:hint="eastAsia" w:ascii="宋体" w:hAnsi="宋体" w:cs="宋体"/>
          <w:sz w:val="21"/>
          <w:szCs w:val="21"/>
        </w:rPr>
        <w:t>九、服务承诺</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_Toc3345 \h </w:instrText>
      </w:r>
      <w:r>
        <w:rPr>
          <w:rFonts w:hint="eastAsia" w:ascii="宋体" w:hAnsi="宋体" w:cs="宋体"/>
          <w:sz w:val="21"/>
          <w:szCs w:val="21"/>
        </w:rPr>
        <w:fldChar w:fldCharType="separate"/>
      </w:r>
      <w:r>
        <w:rPr>
          <w:rFonts w:hint="eastAsia" w:ascii="宋体" w:hAnsi="宋体" w:cs="宋体"/>
          <w:sz w:val="21"/>
          <w:szCs w:val="21"/>
        </w:rPr>
        <w:t>100</w:t>
      </w:r>
      <w:r>
        <w:rPr>
          <w:rFonts w:hint="eastAsia" w:ascii="宋体" w:hAnsi="宋体" w:cs="宋体"/>
          <w:sz w:val="21"/>
          <w:szCs w:val="21"/>
        </w:rPr>
        <w:fldChar w:fldCharType="end"/>
      </w:r>
      <w:r>
        <w:rPr>
          <w:rFonts w:hint="eastAsia" w:ascii="宋体" w:hAnsi="宋体" w:cs="宋体"/>
          <w:sz w:val="21"/>
          <w:szCs w:val="21"/>
        </w:rPr>
        <w:fldChar w:fldCharType="end"/>
      </w:r>
    </w:p>
    <w:p w14:paraId="5373B605">
      <w:pPr>
        <w:pStyle w:val="29"/>
        <w:widowControl w:val="0"/>
        <w:tabs>
          <w:tab w:val="right" w:leader="dot" w:pos="9026"/>
        </w:tabs>
        <w:adjustRightInd w:val="0"/>
        <w:snapToGrid w:val="0"/>
        <w:spacing w:before="0" w:beforeAutospacing="0" w:after="0" w:line="440" w:lineRule="exact"/>
        <w:ind w:left="0"/>
        <w:rPr>
          <w:rFonts w:hint="eastAsia"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HYPERLINK \l _Toc1630 </w:instrText>
      </w:r>
      <w:r>
        <w:rPr>
          <w:rFonts w:hint="eastAsia" w:ascii="宋体" w:hAnsi="宋体" w:cs="宋体"/>
          <w:sz w:val="21"/>
          <w:szCs w:val="21"/>
        </w:rPr>
        <w:fldChar w:fldCharType="separate"/>
      </w:r>
      <w:r>
        <w:rPr>
          <w:rFonts w:hint="eastAsia" w:ascii="宋体" w:hAnsi="宋体" w:cs="宋体"/>
          <w:sz w:val="21"/>
          <w:szCs w:val="21"/>
        </w:rPr>
        <w:t>十、其他材料</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_Toc1630 \h </w:instrText>
      </w:r>
      <w:r>
        <w:rPr>
          <w:rFonts w:hint="eastAsia" w:ascii="宋体" w:hAnsi="宋体" w:cs="宋体"/>
          <w:sz w:val="21"/>
          <w:szCs w:val="21"/>
        </w:rPr>
        <w:fldChar w:fldCharType="separate"/>
      </w:r>
      <w:r>
        <w:rPr>
          <w:rFonts w:hint="eastAsia" w:ascii="宋体" w:hAnsi="宋体" w:cs="宋体"/>
          <w:sz w:val="21"/>
          <w:szCs w:val="21"/>
        </w:rPr>
        <w:t>101</w:t>
      </w:r>
      <w:r>
        <w:rPr>
          <w:rFonts w:hint="eastAsia" w:ascii="宋体" w:hAnsi="宋体" w:cs="宋体"/>
          <w:sz w:val="21"/>
          <w:szCs w:val="21"/>
        </w:rPr>
        <w:fldChar w:fldCharType="end"/>
      </w:r>
      <w:r>
        <w:rPr>
          <w:rFonts w:hint="eastAsia" w:ascii="宋体" w:hAnsi="宋体" w:cs="宋体"/>
          <w:sz w:val="21"/>
          <w:szCs w:val="21"/>
        </w:rPr>
        <w:fldChar w:fldCharType="end"/>
      </w:r>
    </w:p>
    <w:p w14:paraId="30C47DD5">
      <w:pPr>
        <w:ind w:firstLine="482"/>
        <w:jc w:val="left"/>
        <w:rPr>
          <w:rFonts w:ascii="宋体" w:hAnsi="宋体"/>
          <w:b/>
          <w:bCs/>
          <w:sz w:val="32"/>
          <w:szCs w:val="32"/>
        </w:rPr>
      </w:pPr>
      <w:r>
        <w:rPr>
          <w:rFonts w:hint="eastAsia" w:ascii="宋体" w:hAnsi="宋体" w:cs="宋体"/>
        </w:rPr>
        <w:fldChar w:fldCharType="end"/>
      </w:r>
      <w:r>
        <w:rPr>
          <w:rFonts w:hint="eastAsia" w:ascii="宋体" w:hAnsi="宋体"/>
          <w:b/>
          <w:bCs/>
          <w:sz w:val="32"/>
          <w:szCs w:val="32"/>
        </w:rPr>
        <w:br w:type="page"/>
      </w:r>
    </w:p>
    <w:p w14:paraId="1CC63627">
      <w:pPr>
        <w:snapToGrid w:val="0"/>
        <w:spacing w:before="156" w:beforeLines="50"/>
        <w:ind w:firstLine="482"/>
        <w:jc w:val="center"/>
        <w:rPr>
          <w:b/>
          <w:bCs/>
          <w:sz w:val="32"/>
          <w:szCs w:val="32"/>
        </w:rPr>
      </w:pPr>
      <w:r>
        <w:rPr>
          <w:rFonts w:hint="eastAsia" w:ascii="宋体" w:hAnsi="宋体"/>
          <w:b/>
          <w:bCs/>
          <w:sz w:val="32"/>
          <w:szCs w:val="32"/>
        </w:rPr>
        <w:t>特 别 提 示</w:t>
      </w:r>
    </w:p>
    <w:p w14:paraId="40729425">
      <w:pPr>
        <w:spacing w:line="360" w:lineRule="auto"/>
        <w:ind w:firstLine="420" w:firstLineChars="200"/>
        <w:rPr>
          <w:rFonts w:ascii="宋体" w:hAnsi="宋体"/>
        </w:rPr>
      </w:pPr>
      <w:r>
        <w:rPr>
          <w:rFonts w:hint="eastAsia" w:ascii="宋体" w:hAnsi="宋体"/>
        </w:rPr>
        <w:t>1、供应商首先通过“河南省公共资源交易中心（</w:t>
      </w:r>
      <w:r>
        <w:rPr>
          <w:rFonts w:hint="eastAsia"/>
        </w:rPr>
        <w:t>http://hnsggzyjy.henan.gov.cn/</w:t>
      </w:r>
      <w:r>
        <w:rPr>
          <w:rFonts w:hint="eastAsia" w:ascii="宋体" w:hAnsi="宋体"/>
        </w:rPr>
        <w:t>）”网站进行注册，然后按网站公共服务（办事指南及下载专区）公共资源项目CA办理流程准备齐注册资料，最后根据《河南省公共资源交易中心关于数字证书（CA）互认功能上线试运行的通知》办理CA密钥，完成注册。</w:t>
      </w:r>
    </w:p>
    <w:p w14:paraId="72F0C30E">
      <w:pPr>
        <w:spacing w:line="360" w:lineRule="auto"/>
        <w:ind w:firstLine="420" w:firstLineChars="200"/>
        <w:rPr>
          <w:rFonts w:ascii="宋体" w:hAnsi="宋体"/>
        </w:rPr>
      </w:pPr>
      <w:r>
        <w:rPr>
          <w:rFonts w:hint="eastAsia" w:ascii="宋体" w:hAnsi="宋体"/>
        </w:rPr>
        <w:t>2、投标（响应）文件制作</w:t>
      </w:r>
    </w:p>
    <w:p w14:paraId="6A1354AD">
      <w:pPr>
        <w:spacing w:line="360" w:lineRule="auto"/>
        <w:ind w:firstLine="420" w:firstLineChars="200"/>
        <w:rPr>
          <w:rFonts w:ascii="宋体" w:hAnsi="宋体"/>
        </w:rPr>
      </w:pPr>
      <w:r>
        <w:rPr>
          <w:rFonts w:hint="eastAsia" w:ascii="宋体" w:hAnsi="宋体"/>
        </w:rPr>
        <w:t>2.1供应商通过“河南省公共资源交易中心（</w:t>
      </w:r>
      <w:r>
        <w:rPr>
          <w:rFonts w:hint="eastAsia"/>
        </w:rPr>
        <w:t>http://hnsggzyjy.henan.gov.cn/</w:t>
      </w:r>
      <w:r>
        <w:rPr>
          <w:rFonts w:hint="eastAsia" w:ascii="宋体" w:hAnsi="宋体"/>
        </w:rPr>
        <w:t>）”网站公共服务（办事指南及下载专区）：下载“投标文件制作工具安装包压缩文件下载”等。</w:t>
      </w:r>
    </w:p>
    <w:p w14:paraId="1EC4C446">
      <w:pPr>
        <w:spacing w:line="360" w:lineRule="auto"/>
        <w:ind w:firstLine="420" w:firstLineChars="200"/>
        <w:rPr>
          <w:rFonts w:ascii="宋体" w:hAnsi="宋体"/>
        </w:rPr>
      </w:pPr>
      <w:r>
        <w:rPr>
          <w:rFonts w:hint="eastAsia" w:ascii="宋体" w:hAnsi="宋体"/>
        </w:rPr>
        <w:t>2.2供应商凭CA密钥登陆并按网上提示自行下载每个项目所含格式(.hnzf)的竞争性磋商文件。</w:t>
      </w:r>
    </w:p>
    <w:p w14:paraId="585CFFC5">
      <w:pPr>
        <w:spacing w:line="360" w:lineRule="auto"/>
        <w:ind w:firstLine="420" w:firstLineChars="200"/>
        <w:rPr>
          <w:rFonts w:ascii="宋体" w:hAnsi="宋体"/>
        </w:rPr>
      </w:pPr>
      <w:r>
        <w:rPr>
          <w:rFonts w:hint="eastAsia" w:ascii="宋体" w:hAnsi="宋体"/>
        </w:rPr>
        <w:t>2.3供应商须在投标（响应）文件递交截止时间前制作并提交：（1）加密的电子投标（响应）文件（*.hntf格式）,应在投标（响应）文件截止时间前通过“河南省公共资源交易中心（</w:t>
      </w:r>
      <w:r>
        <w:rPr>
          <w:rFonts w:hint="eastAsia" w:ascii="宋体" w:hAnsi="宋体"/>
          <w:lang w:eastAsia="zh-CN"/>
        </w:rPr>
        <w:t>http://hnsggzyjy.henan.gov.cn/</w:t>
      </w:r>
      <w:r>
        <w:rPr>
          <w:rFonts w:hint="eastAsia" w:ascii="宋体" w:hAnsi="宋体"/>
        </w:rPr>
        <w:t>）”电子交易平台内上传；</w:t>
      </w:r>
    </w:p>
    <w:p w14:paraId="602B6E31">
      <w:pPr>
        <w:spacing w:line="360" w:lineRule="auto"/>
        <w:ind w:firstLine="420" w:firstLineChars="200"/>
        <w:rPr>
          <w:rFonts w:ascii="宋体" w:hAnsi="宋体"/>
        </w:rPr>
      </w:pPr>
      <w:r>
        <w:rPr>
          <w:rFonts w:hint="eastAsia" w:ascii="宋体" w:hAnsi="宋体"/>
        </w:rPr>
        <w:t>2.4加密的电子投标（响应）文件为“河南省公共资源交易中心（</w:t>
      </w:r>
      <w:r>
        <w:rPr>
          <w:rFonts w:hint="eastAsia" w:ascii="宋体" w:hAnsi="宋体"/>
          <w:lang w:eastAsia="zh-CN"/>
        </w:rPr>
        <w:t>http://hnsggzyjy.henan.gov.cn/</w:t>
      </w:r>
      <w:r>
        <w:rPr>
          <w:rFonts w:hint="eastAsia" w:ascii="宋体" w:hAnsi="宋体"/>
        </w:rPr>
        <w:t>）”网站提供的“投标（响应）文件制作工具”软件制作生成的加密版投标（响应）文件。</w:t>
      </w:r>
    </w:p>
    <w:p w14:paraId="7A521972">
      <w:pPr>
        <w:spacing w:line="360" w:lineRule="auto"/>
        <w:ind w:firstLine="420" w:firstLineChars="200"/>
        <w:rPr>
          <w:rFonts w:ascii="宋体" w:hAnsi="宋体"/>
        </w:rPr>
      </w:pPr>
      <w:r>
        <w:rPr>
          <w:rFonts w:hint="eastAsia" w:ascii="宋体" w:hAnsi="宋体"/>
        </w:rPr>
        <w:t>2.5供应商在制作电子投标文件时，“投标文件制作工具”左侧栏目“封面”、“开标一览表”制作完成后须加盖电子签章（包括企业电子签章和个人电子签章）；左侧栏目“其他内容”中的内容：投标文件商务部分格式、投标文件技术部分格式按格式要求电子签章（包括企业电子签章、个人电子签章），并将所有扫描内容（包括营业执照、资质证书、财务报告、纳税凭证等）按要求进行电子签章（企业电子签章）。</w:t>
      </w:r>
    </w:p>
    <w:p w14:paraId="681682E6">
      <w:pPr>
        <w:spacing w:line="360" w:lineRule="auto"/>
        <w:ind w:firstLine="420" w:firstLineChars="200"/>
        <w:rPr>
          <w:rFonts w:ascii="宋体" w:hAnsi="宋体"/>
        </w:rPr>
      </w:pPr>
      <w:r>
        <w:rPr>
          <w:rFonts w:hint="eastAsia" w:ascii="宋体" w:hAnsi="宋体"/>
        </w:rPr>
        <w:t>2.6供应商（供应商）编制投标（响应）文件时，涉及营业执照、资质、业绩、获奖、人员、财务、社保、纳税、各类证书等内容，应及时对市场主体信息库的相关内容进行补充、更新。</w:t>
      </w:r>
    </w:p>
    <w:p w14:paraId="741FDBCB">
      <w:pPr>
        <w:spacing w:line="360" w:lineRule="auto"/>
        <w:ind w:firstLine="420" w:firstLineChars="200"/>
        <w:rPr>
          <w:rFonts w:hint="eastAsia" w:ascii="宋体" w:hAnsi="宋体"/>
        </w:rPr>
      </w:pPr>
      <w:r>
        <w:rPr>
          <w:rFonts w:hint="eastAsia" w:ascii="宋体" w:hAnsi="宋体"/>
        </w:rPr>
        <w:t>2.7供应商编辑电子投标（响应）文件时，根据竞争性磋商文件要求用法人CA密钥和企业CA密钥进行签章制作；最后一步生成电子投标文件（*.hntf格式和*.nhntf格式）时，只能用本单位的企业CA密钥。</w:t>
      </w:r>
    </w:p>
    <w:p w14:paraId="0E13C268">
      <w:pPr>
        <w:spacing w:line="360" w:lineRule="auto"/>
        <w:ind w:firstLine="420" w:firstLineChars="200"/>
        <w:rPr>
          <w:rFonts w:ascii="宋体" w:hAnsi="宋体"/>
        </w:rPr>
      </w:pPr>
      <w:r>
        <w:rPr>
          <w:rFonts w:hint="eastAsia" w:ascii="宋体" w:hAnsi="宋体"/>
        </w:rPr>
        <w:t>2.</w:t>
      </w:r>
      <w:r>
        <w:rPr>
          <w:rFonts w:hint="eastAsia" w:ascii="宋体" w:hAnsi="宋体"/>
          <w:lang w:val="en-US" w:eastAsia="zh-CN"/>
        </w:rPr>
        <w:t>8</w:t>
      </w:r>
      <w:r>
        <w:rPr>
          <w:rFonts w:hint="eastAsia" w:ascii="宋体" w:hAnsi="宋体"/>
        </w:rPr>
        <w:t>招标文件格式所要求包含的全部资料应全部制作在左侧栏目“其他内容”内，严格按照本项目招标文件所有格式如实填写（不涉及的内容除外），不应存在漏项或缺项，否则将存在投标文件被拒绝的风险。</w:t>
      </w:r>
    </w:p>
    <w:p w14:paraId="2FB7AA04">
      <w:pPr>
        <w:spacing w:line="360" w:lineRule="auto"/>
        <w:ind w:firstLine="420" w:firstLineChars="200"/>
        <w:rPr>
          <w:rFonts w:ascii="宋体" w:hAnsi="宋体"/>
        </w:rPr>
      </w:pPr>
      <w:r>
        <w:rPr>
          <w:rFonts w:hint="eastAsia" w:ascii="宋体" w:hAnsi="宋体"/>
        </w:rPr>
        <w:t>3、澄清与变更</w:t>
      </w:r>
    </w:p>
    <w:p w14:paraId="0C792D96">
      <w:pPr>
        <w:spacing w:line="360" w:lineRule="auto"/>
        <w:ind w:firstLine="420" w:firstLineChars="200"/>
        <w:rPr>
          <w:rFonts w:ascii="宋体" w:hAnsi="宋体"/>
        </w:rPr>
      </w:pPr>
      <w:r>
        <w:rPr>
          <w:rFonts w:hint="eastAsia" w:ascii="宋体" w:hAnsi="宋体"/>
        </w:rPr>
        <w:t>采购人、采购代理机构对已发出的竞争性磋商文件进行的澄清、更正或更改，澄清、更正或更改的内容将作为竞争性磋商文件的组成部分。采购代理机构将通过网站“变更公告”和系统内部“答疑文件”告知供应商，对于各项目中已经成功报名并下载竞争性磋商文件的项目供应商，系统将通过第三方短信群发方式提醒供应商进行查询。各供应商须重新下载最新的竞争性磋商文件和答疑文件，以此编制投标文件。供应商注册时所留手机联系方式要保持畅通，因联系方式变更而未及时更新系统内联系方式的，将会造成收不到短信。此短信仅系友情提示，并不具有任何约束性和必要性，采购代理机构不承担供应商未收到短信而引起的一切后果和法律责任。</w:t>
      </w:r>
    </w:p>
    <w:p w14:paraId="7875E456">
      <w:pPr>
        <w:numPr>
          <w:ilvl w:val="0"/>
          <w:numId w:val="1"/>
        </w:numPr>
        <w:spacing w:line="360" w:lineRule="auto"/>
        <w:ind w:firstLine="420" w:firstLineChars="200"/>
        <w:rPr>
          <w:rFonts w:ascii="宋体" w:hAnsi="宋体"/>
        </w:rPr>
      </w:pPr>
      <w:r>
        <w:rPr>
          <w:rFonts w:hint="eastAsia" w:ascii="宋体" w:hAnsi="宋体"/>
        </w:rPr>
        <w:t>因河南省公共资源交易中心平台在开标前具有保密性，供应商在投标文件递交截止时间前须自行查看项目进展、变更通知、澄清及回复，因供应商未及时查看而造成的后果自负。</w:t>
      </w:r>
    </w:p>
    <w:p w14:paraId="590818F4">
      <w:pPr>
        <w:numPr>
          <w:ilvl w:val="0"/>
          <w:numId w:val="1"/>
        </w:numPr>
        <w:spacing w:line="360" w:lineRule="auto"/>
        <w:ind w:firstLine="422" w:firstLineChars="200"/>
        <w:rPr>
          <w:rFonts w:ascii="宋体" w:hAnsi="宋体"/>
          <w:b/>
          <w:bCs/>
        </w:rPr>
      </w:pPr>
      <w:r>
        <w:rPr>
          <w:rFonts w:hint="eastAsia" w:ascii="宋体" w:hAnsi="宋体"/>
          <w:b/>
          <w:bCs/>
        </w:rPr>
        <w:t>根据《河南省发展和改革委员会关于对〈关于认定供应商投标文件制作机器码一致视为串通投标行为的请示〉相关问题的批复》（豫发改公管〔2019〕198号的文件精神，如出现“</w:t>
      </w:r>
      <w:bookmarkStart w:id="1344" w:name="_GoBack"/>
      <w:r>
        <w:rPr>
          <w:rFonts w:hint="eastAsia" w:ascii="宋体" w:hAnsi="宋体"/>
          <w:b/>
          <w:bCs/>
        </w:rPr>
        <w:t>投标文件制作机器码一致</w:t>
      </w:r>
      <w:bookmarkEnd w:id="1344"/>
      <w:r>
        <w:rPr>
          <w:rFonts w:hint="eastAsia" w:ascii="宋体" w:hAnsi="宋体"/>
          <w:b/>
          <w:bCs/>
        </w:rPr>
        <w:t>”的情形，投标文件制作机器码一致的投标文件均作无效标处理。</w:t>
      </w:r>
    </w:p>
    <w:p w14:paraId="35C67E9D">
      <w:pPr>
        <w:numPr>
          <w:ilvl w:val="0"/>
          <w:numId w:val="1"/>
        </w:numPr>
        <w:spacing w:line="360" w:lineRule="auto"/>
        <w:ind w:firstLine="422" w:firstLineChars="200"/>
        <w:rPr>
          <w:rFonts w:ascii="宋体" w:hAnsi="宋体"/>
          <w:b/>
          <w:bCs/>
        </w:rPr>
      </w:pPr>
      <w:r>
        <w:rPr>
          <w:rFonts w:hint="eastAsia" w:ascii="宋体" w:hAnsi="宋体"/>
          <w:b/>
          <w:bCs/>
        </w:rPr>
        <w:t>投标保证金：本项目不收取投标保证金，若交易中心系统内开标一览表确需填写，保证金金额可以填写“0”。</w:t>
      </w:r>
    </w:p>
    <w:p w14:paraId="0D406148">
      <w:pPr>
        <w:numPr>
          <w:ilvl w:val="0"/>
          <w:numId w:val="1"/>
        </w:numPr>
        <w:spacing w:line="360" w:lineRule="auto"/>
        <w:ind w:firstLine="422" w:firstLineChars="200"/>
        <w:rPr>
          <w:rFonts w:ascii="宋体" w:hAnsi="宋体"/>
          <w:b/>
          <w:bCs/>
        </w:rPr>
      </w:pPr>
      <w:r>
        <w:rPr>
          <w:rFonts w:hint="eastAsia" w:ascii="宋体" w:hAnsi="宋体"/>
          <w:b/>
          <w:bCs/>
        </w:rPr>
        <w:t>请参照河南省公共资源交易中心首页-公共服务-办事指南-《河南省公共资源交易平台不见面服务系统使用指南》，本次项目实行远程不见面招标。</w:t>
      </w:r>
    </w:p>
    <w:p w14:paraId="16A014CB">
      <w:pPr>
        <w:numPr>
          <w:ilvl w:val="0"/>
          <w:numId w:val="1"/>
        </w:numPr>
        <w:spacing w:line="360" w:lineRule="auto"/>
        <w:ind w:firstLine="422" w:firstLineChars="200"/>
        <w:rPr>
          <w:rFonts w:ascii="宋体" w:hAnsi="宋体"/>
          <w:b/>
          <w:bCs/>
        </w:rPr>
      </w:pPr>
      <w:r>
        <w:rPr>
          <w:rFonts w:hint="eastAsia" w:ascii="宋体" w:hAnsi="宋体"/>
          <w:b/>
          <w:bCs/>
        </w:rPr>
        <w:t>未到现场解密的供应商，请持编制投标文件的CA钥匙进行在线远程解密，逾期解密或超时解密将被拒绝。</w:t>
      </w:r>
    </w:p>
    <w:p w14:paraId="404FE63C">
      <w:pPr>
        <w:numPr>
          <w:ilvl w:val="0"/>
          <w:numId w:val="1"/>
        </w:numPr>
        <w:spacing w:line="360" w:lineRule="auto"/>
        <w:ind w:firstLine="422" w:firstLineChars="200"/>
        <w:rPr>
          <w:rFonts w:ascii="宋体" w:hAnsi="宋体"/>
          <w:b/>
          <w:bCs/>
        </w:rPr>
      </w:pPr>
      <w:r>
        <w:rPr>
          <w:rFonts w:hint="eastAsia" w:ascii="宋体" w:hAnsi="宋体"/>
          <w:b/>
          <w:bCs/>
        </w:rPr>
        <w:t>各供应商请注意根据竞争性磋商文件要求，在规定的时间内完成第二轮报价。</w:t>
      </w:r>
    </w:p>
    <w:p w14:paraId="2D4777BF">
      <w:pPr>
        <w:ind w:firstLine="482"/>
        <w:rPr>
          <w:rFonts w:ascii="宋体" w:hAnsi="宋体"/>
          <w:b/>
          <w:bCs/>
          <w:kern w:val="44"/>
          <w:sz w:val="32"/>
          <w:szCs w:val="32"/>
        </w:rPr>
      </w:pPr>
      <w:r>
        <w:rPr>
          <w:rFonts w:hint="eastAsia" w:ascii="宋体" w:hAnsi="宋体"/>
          <w:b/>
          <w:bCs/>
          <w:kern w:val="44"/>
          <w:sz w:val="32"/>
          <w:szCs w:val="32"/>
        </w:rPr>
        <w:br w:type="page"/>
      </w:r>
    </w:p>
    <w:p w14:paraId="65FE416A">
      <w:pPr>
        <w:pStyle w:val="29"/>
        <w:spacing w:before="0" w:beforeAutospacing="0" w:after="0" w:line="360" w:lineRule="auto"/>
        <w:ind w:left="0" w:firstLine="482"/>
        <w:jc w:val="center"/>
        <w:outlineLvl w:val="0"/>
        <w:rPr>
          <w:rFonts w:ascii="宋体" w:hAnsi="宋体"/>
          <w:b/>
          <w:bCs/>
          <w:kern w:val="44"/>
          <w:sz w:val="32"/>
          <w:szCs w:val="32"/>
        </w:rPr>
      </w:pPr>
      <w:bookmarkStart w:id="3" w:name="_Toc20327"/>
      <w:bookmarkEnd w:id="3"/>
      <w:bookmarkStart w:id="4" w:name="_Toc1828"/>
      <w:bookmarkStart w:id="5" w:name="_Toc18374"/>
      <w:bookmarkStart w:id="6" w:name="_Toc19262"/>
      <w:bookmarkStart w:id="7" w:name="_Toc25484"/>
      <w:bookmarkStart w:id="8" w:name="_Toc129073454"/>
      <w:bookmarkStart w:id="9" w:name="_Toc6119"/>
      <w:r>
        <w:rPr>
          <w:rFonts w:hint="eastAsia" w:ascii="宋体" w:hAnsi="宋体"/>
          <w:b/>
          <w:bCs/>
          <w:kern w:val="44"/>
          <w:sz w:val="32"/>
          <w:szCs w:val="32"/>
        </w:rPr>
        <w:t>第一章  竞争性磋商公告</w:t>
      </w:r>
      <w:bookmarkEnd w:id="4"/>
      <w:bookmarkEnd w:id="5"/>
      <w:bookmarkEnd w:id="6"/>
      <w:bookmarkEnd w:id="7"/>
      <w:bookmarkEnd w:id="8"/>
      <w:bookmarkEnd w:id="9"/>
    </w:p>
    <w:p w14:paraId="37AF4F1C">
      <w:pPr>
        <w:spacing w:line="360" w:lineRule="auto"/>
        <w:ind w:firstLine="361"/>
        <w:jc w:val="center"/>
        <w:rPr>
          <w:rFonts w:hint="eastAsia" w:ascii="宋体" w:hAnsi="宋体" w:eastAsia="宋体"/>
          <w:b/>
          <w:bCs/>
          <w:sz w:val="24"/>
          <w:szCs w:val="24"/>
          <w:lang w:eastAsia="zh-CN"/>
        </w:rPr>
      </w:pPr>
      <w:bookmarkStart w:id="10" w:name="_Toc20071"/>
      <w:bookmarkEnd w:id="10"/>
      <w:r>
        <w:rPr>
          <w:rFonts w:hint="eastAsia" w:ascii="宋体" w:hAnsi="宋体"/>
          <w:b/>
          <w:bCs/>
          <w:sz w:val="24"/>
          <w:szCs w:val="24"/>
          <w:lang w:eastAsia="zh-CN"/>
        </w:rPr>
        <w:t>河南省科学院激光制造研究所中原量子谷大型仪器共享平台基础设施建设项目</w:t>
      </w:r>
    </w:p>
    <w:p w14:paraId="06378393">
      <w:pPr>
        <w:spacing w:line="360" w:lineRule="auto"/>
        <w:ind w:firstLine="361"/>
        <w:jc w:val="center"/>
        <w:rPr>
          <w:rFonts w:ascii="宋体" w:hAnsi="宋体"/>
          <w:b/>
          <w:bCs/>
          <w:sz w:val="24"/>
          <w:szCs w:val="24"/>
        </w:rPr>
      </w:pPr>
      <w:r>
        <w:rPr>
          <w:rFonts w:hint="eastAsia" w:ascii="宋体" w:hAnsi="宋体"/>
          <w:b/>
          <w:bCs/>
          <w:sz w:val="24"/>
          <w:szCs w:val="24"/>
        </w:rPr>
        <w:t>竞争性磋商公告</w:t>
      </w:r>
    </w:p>
    <w:p w14:paraId="7D557367">
      <w:pPr>
        <w:widowControl/>
        <w:spacing w:line="360" w:lineRule="auto"/>
        <w:ind w:firstLine="361"/>
        <w:jc w:val="left"/>
        <w:rPr>
          <w:rFonts w:ascii="宋体" w:hAnsi="宋体"/>
          <w:b/>
          <w:bCs/>
        </w:rPr>
      </w:pPr>
      <w:bookmarkStart w:id="11" w:name="_Toc28883314"/>
      <w:bookmarkEnd w:id="11"/>
      <w:bookmarkStart w:id="12" w:name="_Toc21785"/>
      <w:r>
        <w:rPr>
          <w:rFonts w:hint="eastAsia" w:ascii="宋体" w:hAnsi="宋体"/>
          <w:b/>
          <w:bCs/>
        </w:rPr>
        <w:t>项目概况</w:t>
      </w:r>
      <w:bookmarkEnd w:id="12"/>
    </w:p>
    <w:p w14:paraId="56540D98">
      <w:pPr>
        <w:spacing w:line="360" w:lineRule="auto"/>
        <w:ind w:firstLine="420" w:firstLineChars="200"/>
        <w:rPr>
          <w:color w:val="auto"/>
        </w:rPr>
      </w:pPr>
      <w:r>
        <w:rPr>
          <w:rFonts w:hint="eastAsia"/>
          <w:lang w:eastAsia="zh-CN"/>
        </w:rPr>
        <w:t>河南省科学院激光制造研究所中原量子谷大型仪器共享平台基础设施建</w:t>
      </w:r>
      <w:r>
        <w:rPr>
          <w:rFonts w:hint="eastAsia"/>
          <w:color w:val="auto"/>
          <w:lang w:eastAsia="zh-CN"/>
        </w:rPr>
        <w:t>设项目</w:t>
      </w:r>
      <w:r>
        <w:rPr>
          <w:rFonts w:hint="eastAsia"/>
          <w:color w:val="auto"/>
        </w:rPr>
        <w:t>的潜在</w:t>
      </w:r>
      <w:r>
        <w:rPr>
          <w:rFonts w:hint="eastAsia"/>
          <w:color w:val="auto"/>
          <w:lang w:eastAsia="zh-CN"/>
        </w:rPr>
        <w:t>投标人</w:t>
      </w:r>
      <w:r>
        <w:rPr>
          <w:rFonts w:hint="eastAsia"/>
          <w:color w:val="auto"/>
        </w:rPr>
        <w:t>应在河南省公共资源交易中心网站（</w:t>
      </w:r>
      <w:r>
        <w:rPr>
          <w:rFonts w:hint="eastAsia"/>
          <w:color w:val="auto"/>
          <w:lang w:eastAsia="zh-CN"/>
        </w:rPr>
        <w:t>http://hnsggzyjy.henan.gov.cn/</w:t>
      </w:r>
      <w:r>
        <w:rPr>
          <w:rFonts w:hint="eastAsia"/>
          <w:color w:val="auto"/>
        </w:rPr>
        <w:t>）获取</w:t>
      </w:r>
      <w:r>
        <w:rPr>
          <w:rFonts w:hint="eastAsia"/>
          <w:color w:val="auto"/>
          <w:lang w:eastAsia="zh-CN"/>
        </w:rPr>
        <w:t>招标</w:t>
      </w:r>
      <w:r>
        <w:rPr>
          <w:rFonts w:hint="eastAsia"/>
          <w:color w:val="auto"/>
        </w:rPr>
        <w:t>文件，并于202</w:t>
      </w:r>
      <w:r>
        <w:rPr>
          <w:rFonts w:hint="eastAsia"/>
          <w:color w:val="auto"/>
          <w:lang w:val="en-US" w:eastAsia="zh-CN"/>
        </w:rPr>
        <w:t>5</w:t>
      </w:r>
      <w:r>
        <w:rPr>
          <w:rFonts w:hint="eastAsia"/>
          <w:color w:val="auto"/>
        </w:rPr>
        <w:t>年</w:t>
      </w:r>
      <w:r>
        <w:rPr>
          <w:rFonts w:hint="eastAsia"/>
          <w:color w:val="auto"/>
          <w:lang w:val="en-US" w:eastAsia="zh-CN"/>
        </w:rPr>
        <w:t>8</w:t>
      </w:r>
      <w:r>
        <w:rPr>
          <w:rFonts w:hint="eastAsia"/>
          <w:color w:val="auto"/>
        </w:rPr>
        <w:t>月</w:t>
      </w:r>
      <w:r>
        <w:rPr>
          <w:rFonts w:hint="eastAsia"/>
          <w:color w:val="auto"/>
          <w:lang w:val="en-US" w:eastAsia="zh-CN"/>
        </w:rPr>
        <w:t>11</w:t>
      </w:r>
      <w:r>
        <w:rPr>
          <w:rFonts w:hint="eastAsia"/>
          <w:color w:val="auto"/>
        </w:rPr>
        <w:t>日09时00分（北京时间）前递交响应文件。</w:t>
      </w:r>
    </w:p>
    <w:p w14:paraId="38E0EEF5">
      <w:pPr>
        <w:widowControl/>
        <w:spacing w:line="360" w:lineRule="auto"/>
        <w:ind w:firstLine="361"/>
        <w:jc w:val="left"/>
        <w:rPr>
          <w:rFonts w:ascii="宋体" w:hAnsi="宋体"/>
          <w:b/>
          <w:bCs/>
          <w:color w:val="auto"/>
        </w:rPr>
      </w:pPr>
      <w:r>
        <w:rPr>
          <w:rFonts w:hint="eastAsia" w:ascii="宋体" w:hAnsi="宋体"/>
          <w:b/>
          <w:bCs/>
          <w:color w:val="auto"/>
        </w:rPr>
        <w:t>一、项目基本情况</w:t>
      </w:r>
    </w:p>
    <w:p w14:paraId="2275A34F">
      <w:pPr>
        <w:widowControl/>
        <w:spacing w:line="360" w:lineRule="auto"/>
        <w:ind w:firstLine="420" w:firstLineChars="200"/>
        <w:jc w:val="left"/>
        <w:rPr>
          <w:rFonts w:ascii="宋体" w:hAnsi="宋体"/>
        </w:rPr>
      </w:pPr>
      <w:r>
        <w:rPr>
          <w:rFonts w:hint="eastAsia" w:ascii="宋体" w:hAnsi="宋体"/>
        </w:rPr>
        <w:t>1、项目编号：</w:t>
      </w:r>
      <w:r>
        <w:rPr>
          <w:rFonts w:hint="eastAsia" w:ascii="宋体" w:hAnsi="宋体"/>
          <w:lang w:eastAsia="zh-CN"/>
        </w:rPr>
        <w:t>豫财磋商采购-2025-804</w:t>
      </w:r>
    </w:p>
    <w:p w14:paraId="52F939C9">
      <w:pPr>
        <w:widowControl/>
        <w:spacing w:line="360" w:lineRule="auto"/>
        <w:ind w:firstLine="420" w:firstLineChars="200"/>
        <w:jc w:val="left"/>
        <w:rPr>
          <w:rFonts w:ascii="宋体" w:hAnsi="宋体"/>
        </w:rPr>
      </w:pPr>
      <w:r>
        <w:rPr>
          <w:rFonts w:hint="eastAsia" w:ascii="宋体" w:hAnsi="宋体"/>
        </w:rPr>
        <w:t>2、项目名称：</w:t>
      </w:r>
      <w:r>
        <w:rPr>
          <w:rFonts w:hint="eastAsia" w:ascii="宋体" w:hAnsi="宋体"/>
          <w:lang w:eastAsia="zh-CN"/>
        </w:rPr>
        <w:t>河南省科学院激光制造研究所中原量子谷大型仪器共享平台基础设施建设项目</w:t>
      </w:r>
    </w:p>
    <w:p w14:paraId="3BA5CDFA">
      <w:pPr>
        <w:widowControl/>
        <w:spacing w:line="360" w:lineRule="auto"/>
        <w:ind w:firstLine="420" w:firstLineChars="200"/>
        <w:jc w:val="left"/>
        <w:rPr>
          <w:rFonts w:ascii="宋体" w:hAnsi="宋体"/>
        </w:rPr>
      </w:pPr>
      <w:r>
        <w:rPr>
          <w:rFonts w:hint="eastAsia" w:ascii="宋体" w:hAnsi="宋体"/>
        </w:rPr>
        <w:t>3、采购方式：竞争性磋商</w:t>
      </w:r>
    </w:p>
    <w:p w14:paraId="6FBC6E8A">
      <w:pPr>
        <w:widowControl/>
        <w:spacing w:line="360" w:lineRule="auto"/>
        <w:ind w:firstLine="420" w:firstLineChars="200"/>
        <w:jc w:val="left"/>
        <w:rPr>
          <w:rFonts w:ascii="宋体" w:hAnsi="宋体"/>
        </w:rPr>
      </w:pPr>
      <w:r>
        <w:rPr>
          <w:rFonts w:hint="eastAsia" w:ascii="宋体" w:hAnsi="宋体"/>
        </w:rPr>
        <w:t>4、预算金额：2575226.44元</w:t>
      </w:r>
    </w:p>
    <w:p w14:paraId="6FA877C3">
      <w:pPr>
        <w:widowControl/>
        <w:spacing w:line="360" w:lineRule="auto"/>
        <w:ind w:firstLine="630" w:firstLineChars="300"/>
        <w:jc w:val="left"/>
        <w:rPr>
          <w:rFonts w:ascii="宋体" w:hAnsi="宋体"/>
        </w:rPr>
      </w:pPr>
      <w:r>
        <w:rPr>
          <w:rFonts w:hint="eastAsia" w:ascii="宋体" w:hAnsi="宋体"/>
        </w:rPr>
        <w:t>最高限价：2575226.44元</w:t>
      </w:r>
    </w:p>
    <w:tbl>
      <w:tblPr>
        <w:tblStyle w:val="34"/>
        <w:tblW w:w="565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28"/>
        <w:gridCol w:w="1071"/>
        <w:gridCol w:w="2561"/>
        <w:gridCol w:w="1462"/>
        <w:gridCol w:w="1321"/>
        <w:gridCol w:w="1602"/>
        <w:gridCol w:w="1590"/>
      </w:tblGrid>
      <w:tr w14:paraId="0E371C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3" w:hRule="atLeast"/>
          <w:jc w:val="center"/>
        </w:trPr>
        <w:tc>
          <w:tcPr>
            <w:tcW w:w="627" w:type="dxa"/>
            <w:tcBorders>
              <w:top w:val="inset" w:color="auto" w:sz="6" w:space="0"/>
              <w:left w:val="inset" w:color="auto" w:sz="6" w:space="0"/>
              <w:bottom w:val="inset" w:color="auto" w:sz="6" w:space="0"/>
              <w:right w:val="inset" w:color="auto" w:sz="6" w:space="0"/>
            </w:tcBorders>
            <w:vAlign w:val="center"/>
          </w:tcPr>
          <w:p w14:paraId="3DBE3FD8">
            <w:pPr>
              <w:spacing w:line="360" w:lineRule="auto"/>
              <w:jc w:val="center"/>
              <w:rPr>
                <w:rFonts w:ascii="宋体" w:hAnsi="宋体"/>
              </w:rPr>
            </w:pPr>
            <w:r>
              <w:rPr>
                <w:rFonts w:hint="eastAsia" w:ascii="宋体" w:hAnsi="宋体"/>
              </w:rPr>
              <w:t>序号</w:t>
            </w:r>
          </w:p>
        </w:tc>
        <w:tc>
          <w:tcPr>
            <w:tcW w:w="1069" w:type="dxa"/>
            <w:tcBorders>
              <w:top w:val="inset" w:color="auto" w:sz="6" w:space="0"/>
              <w:left w:val="nil"/>
              <w:bottom w:val="inset" w:color="auto" w:sz="6" w:space="0"/>
              <w:right w:val="inset" w:color="auto" w:sz="6" w:space="0"/>
            </w:tcBorders>
            <w:vAlign w:val="center"/>
          </w:tcPr>
          <w:p w14:paraId="1E6B083D">
            <w:pPr>
              <w:spacing w:line="360" w:lineRule="auto"/>
              <w:jc w:val="center"/>
              <w:rPr>
                <w:rFonts w:ascii="宋体" w:hAnsi="宋体"/>
              </w:rPr>
            </w:pPr>
            <w:r>
              <w:rPr>
                <w:rFonts w:hint="eastAsia" w:ascii="宋体" w:hAnsi="宋体"/>
              </w:rPr>
              <w:t>包号</w:t>
            </w:r>
          </w:p>
        </w:tc>
        <w:tc>
          <w:tcPr>
            <w:tcW w:w="2556" w:type="dxa"/>
            <w:tcBorders>
              <w:top w:val="inset" w:color="auto" w:sz="6" w:space="0"/>
              <w:left w:val="nil"/>
              <w:bottom w:val="inset" w:color="auto" w:sz="6" w:space="0"/>
              <w:right w:val="inset" w:color="auto" w:sz="6" w:space="0"/>
            </w:tcBorders>
            <w:vAlign w:val="center"/>
          </w:tcPr>
          <w:p w14:paraId="21DA610B">
            <w:pPr>
              <w:spacing w:line="360" w:lineRule="auto"/>
              <w:jc w:val="center"/>
              <w:rPr>
                <w:rFonts w:ascii="宋体" w:hAnsi="宋体"/>
              </w:rPr>
            </w:pPr>
            <w:r>
              <w:rPr>
                <w:rFonts w:hint="eastAsia" w:ascii="宋体" w:hAnsi="宋体"/>
              </w:rPr>
              <w:t>包名称</w:t>
            </w:r>
          </w:p>
        </w:tc>
        <w:tc>
          <w:tcPr>
            <w:tcW w:w="1459" w:type="dxa"/>
            <w:tcBorders>
              <w:top w:val="inset" w:color="auto" w:sz="6" w:space="0"/>
              <w:left w:val="nil"/>
              <w:bottom w:val="inset" w:color="auto" w:sz="6" w:space="0"/>
              <w:right w:val="inset" w:color="auto" w:sz="6" w:space="0"/>
            </w:tcBorders>
            <w:vAlign w:val="center"/>
          </w:tcPr>
          <w:p w14:paraId="60AB09F8">
            <w:pPr>
              <w:spacing w:line="360" w:lineRule="auto"/>
              <w:jc w:val="center"/>
              <w:rPr>
                <w:rFonts w:ascii="宋体" w:hAnsi="宋体"/>
              </w:rPr>
            </w:pPr>
            <w:r>
              <w:rPr>
                <w:rFonts w:hint="eastAsia" w:ascii="宋体" w:hAnsi="宋体"/>
              </w:rPr>
              <w:t>包预算（元）</w:t>
            </w:r>
          </w:p>
        </w:tc>
        <w:tc>
          <w:tcPr>
            <w:tcW w:w="1319" w:type="dxa"/>
            <w:tcBorders>
              <w:top w:val="inset" w:color="auto" w:sz="6" w:space="0"/>
              <w:left w:val="nil"/>
              <w:bottom w:val="inset" w:color="auto" w:sz="6" w:space="0"/>
              <w:right w:val="inset" w:color="auto" w:sz="6" w:space="0"/>
            </w:tcBorders>
            <w:vAlign w:val="center"/>
          </w:tcPr>
          <w:p w14:paraId="3C3A8B9F">
            <w:pPr>
              <w:spacing w:line="360" w:lineRule="auto"/>
              <w:jc w:val="center"/>
              <w:rPr>
                <w:rFonts w:ascii="宋体" w:hAnsi="宋体"/>
              </w:rPr>
            </w:pPr>
            <w:r>
              <w:rPr>
                <w:rFonts w:hint="eastAsia" w:ascii="宋体" w:hAnsi="宋体"/>
              </w:rPr>
              <w:t>包最高限价（元）</w:t>
            </w:r>
          </w:p>
        </w:tc>
        <w:tc>
          <w:tcPr>
            <w:tcW w:w="1599" w:type="dxa"/>
            <w:tcBorders>
              <w:top w:val="inset" w:color="auto" w:sz="6" w:space="0"/>
              <w:left w:val="nil"/>
              <w:bottom w:val="inset" w:color="auto" w:sz="6" w:space="0"/>
              <w:right w:val="inset" w:color="auto" w:sz="6" w:space="0"/>
            </w:tcBorders>
            <w:shd w:val="clear" w:color="auto" w:fill="auto"/>
            <w:vAlign w:val="center"/>
          </w:tcPr>
          <w:p w14:paraId="532E15D7">
            <w:pPr>
              <w:spacing w:before="70" w:line="221" w:lineRule="auto"/>
              <w:jc w:val="center"/>
              <w:rPr>
                <w:rFonts w:hint="eastAsia" w:ascii="宋体" w:hAnsi="宋体" w:eastAsia="宋体" w:cs="宋体"/>
                <w:spacing w:val="27"/>
                <w:kern w:val="2"/>
                <w:sz w:val="21"/>
                <w:szCs w:val="21"/>
                <w:highlight w:val="none"/>
                <w:lang w:val="en-US" w:eastAsia="zh-CN" w:bidi="ar-SA"/>
              </w:rPr>
            </w:pPr>
            <w:r>
              <w:rPr>
                <w:rFonts w:hint="eastAsia" w:ascii="宋体" w:hAnsi="宋体" w:eastAsia="宋体" w:cs="宋体"/>
                <w:spacing w:val="27"/>
                <w:sz w:val="21"/>
                <w:szCs w:val="21"/>
                <w:highlight w:val="none"/>
                <w:lang w:val="en-US" w:eastAsia="zh-CN"/>
              </w:rPr>
              <w:t>是否专门面向中小企业</w:t>
            </w:r>
          </w:p>
        </w:tc>
        <w:tc>
          <w:tcPr>
            <w:tcW w:w="1587" w:type="dxa"/>
            <w:tcBorders>
              <w:top w:val="inset" w:color="auto" w:sz="6" w:space="0"/>
              <w:left w:val="nil"/>
              <w:bottom w:val="inset" w:color="auto" w:sz="6" w:space="0"/>
              <w:right w:val="inset" w:color="auto" w:sz="6" w:space="0"/>
            </w:tcBorders>
            <w:shd w:val="clear" w:color="auto" w:fill="auto"/>
            <w:vAlign w:val="center"/>
          </w:tcPr>
          <w:p w14:paraId="52994D10">
            <w:pPr>
              <w:spacing w:before="70" w:line="221" w:lineRule="auto"/>
              <w:jc w:val="center"/>
              <w:rPr>
                <w:rFonts w:hint="eastAsia" w:ascii="宋体" w:hAnsi="宋体" w:eastAsia="宋体" w:cs="宋体"/>
                <w:spacing w:val="27"/>
                <w:kern w:val="2"/>
                <w:sz w:val="21"/>
                <w:szCs w:val="21"/>
                <w:highlight w:val="none"/>
                <w:lang w:val="en-US" w:eastAsia="zh-CN" w:bidi="ar-SA"/>
              </w:rPr>
            </w:pPr>
            <w:r>
              <w:rPr>
                <w:rFonts w:hint="eastAsia" w:ascii="宋体" w:hAnsi="宋体" w:eastAsia="宋体" w:cs="宋体"/>
                <w:spacing w:val="27"/>
                <w:sz w:val="21"/>
                <w:szCs w:val="21"/>
                <w:highlight w:val="none"/>
                <w:lang w:val="en-US" w:eastAsia="zh-CN"/>
              </w:rPr>
              <w:t>采购预留金额（元）</w:t>
            </w:r>
          </w:p>
        </w:tc>
      </w:tr>
      <w:tr w14:paraId="59061B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43" w:hRule="atLeast"/>
          <w:jc w:val="center"/>
        </w:trPr>
        <w:tc>
          <w:tcPr>
            <w:tcW w:w="627" w:type="dxa"/>
            <w:tcBorders>
              <w:top w:val="inset" w:color="auto" w:sz="6" w:space="0"/>
              <w:left w:val="inset" w:color="auto" w:sz="6" w:space="0"/>
              <w:bottom w:val="inset" w:color="auto" w:sz="6" w:space="0"/>
              <w:right w:val="inset" w:color="auto" w:sz="6" w:space="0"/>
            </w:tcBorders>
            <w:vAlign w:val="center"/>
          </w:tcPr>
          <w:p w14:paraId="2680E4C5">
            <w:pPr>
              <w:spacing w:line="360" w:lineRule="auto"/>
              <w:jc w:val="center"/>
              <w:rPr>
                <w:rFonts w:ascii="宋体" w:hAnsi="宋体"/>
              </w:rPr>
            </w:pPr>
            <w:r>
              <w:rPr>
                <w:rFonts w:hint="eastAsia" w:ascii="宋体" w:hAnsi="宋体"/>
              </w:rPr>
              <w:t>1</w:t>
            </w:r>
          </w:p>
        </w:tc>
        <w:tc>
          <w:tcPr>
            <w:tcW w:w="1069" w:type="dxa"/>
            <w:tcBorders>
              <w:top w:val="inset" w:color="auto" w:sz="6" w:space="0"/>
              <w:left w:val="nil"/>
              <w:bottom w:val="inset" w:color="auto" w:sz="6" w:space="0"/>
              <w:right w:val="inset" w:color="auto" w:sz="6" w:space="0"/>
            </w:tcBorders>
            <w:vAlign w:val="center"/>
          </w:tcPr>
          <w:p w14:paraId="7E375E5C">
            <w:pPr>
              <w:widowControl/>
              <w:spacing w:line="360" w:lineRule="auto"/>
              <w:jc w:val="center"/>
              <w:rPr>
                <w:rFonts w:hint="default" w:ascii="宋体" w:hAnsi="宋体" w:eastAsia="宋体"/>
                <w:lang w:val="en-US" w:eastAsia="zh-CN"/>
              </w:rPr>
            </w:pPr>
            <w:r>
              <w:rPr>
                <w:rFonts w:hint="default" w:ascii="宋体" w:hAnsi="宋体" w:eastAsia="宋体"/>
                <w:lang w:val="en-US" w:eastAsia="zh-CN"/>
              </w:rPr>
              <w:t>豫政采(2)20251281-1</w:t>
            </w:r>
          </w:p>
        </w:tc>
        <w:tc>
          <w:tcPr>
            <w:tcW w:w="2556" w:type="dxa"/>
            <w:tcBorders>
              <w:top w:val="inset" w:color="auto" w:sz="6" w:space="0"/>
              <w:left w:val="nil"/>
              <w:bottom w:val="inset" w:color="auto" w:sz="6" w:space="0"/>
              <w:right w:val="inset" w:color="auto" w:sz="6" w:space="0"/>
            </w:tcBorders>
            <w:vAlign w:val="center"/>
          </w:tcPr>
          <w:p w14:paraId="7C235791">
            <w:pPr>
              <w:spacing w:line="360" w:lineRule="auto"/>
              <w:jc w:val="center"/>
              <w:rPr>
                <w:rFonts w:hint="eastAsia" w:ascii="宋体" w:hAnsi="宋体" w:eastAsia="宋体"/>
                <w:lang w:eastAsia="zh-CN"/>
              </w:rPr>
            </w:pPr>
            <w:r>
              <w:rPr>
                <w:rFonts w:hint="eastAsia" w:ascii="宋体" w:hAnsi="宋体"/>
                <w:lang w:eastAsia="zh-CN"/>
              </w:rPr>
              <w:t>河南省科学院激光制造研究所中原量子谷大型仪器共享平台基础设施建设项目</w:t>
            </w:r>
          </w:p>
        </w:tc>
        <w:tc>
          <w:tcPr>
            <w:tcW w:w="1459" w:type="dxa"/>
            <w:tcBorders>
              <w:top w:val="inset" w:color="auto" w:sz="6" w:space="0"/>
              <w:left w:val="nil"/>
              <w:bottom w:val="inset" w:color="auto" w:sz="6" w:space="0"/>
              <w:right w:val="inset" w:color="auto" w:sz="6" w:space="0"/>
            </w:tcBorders>
            <w:vAlign w:val="center"/>
          </w:tcPr>
          <w:p w14:paraId="5404E9D7">
            <w:pPr>
              <w:spacing w:line="360" w:lineRule="auto"/>
              <w:jc w:val="center"/>
              <w:rPr>
                <w:rFonts w:hint="default" w:ascii="宋体" w:hAnsi="宋体" w:eastAsia="宋体"/>
                <w:lang w:val="en-US" w:eastAsia="zh-CN"/>
              </w:rPr>
            </w:pPr>
            <w:r>
              <w:rPr>
                <w:rFonts w:hint="default" w:ascii="宋体" w:hAnsi="宋体" w:eastAsia="宋体"/>
                <w:lang w:val="en-US" w:eastAsia="zh-CN"/>
              </w:rPr>
              <w:t>2575226.44</w:t>
            </w:r>
          </w:p>
        </w:tc>
        <w:tc>
          <w:tcPr>
            <w:tcW w:w="1319" w:type="dxa"/>
            <w:tcBorders>
              <w:top w:val="inset" w:color="auto" w:sz="6" w:space="0"/>
              <w:left w:val="nil"/>
              <w:bottom w:val="inset" w:color="auto" w:sz="6" w:space="0"/>
              <w:right w:val="inset" w:color="auto" w:sz="6" w:space="0"/>
            </w:tcBorders>
            <w:vAlign w:val="center"/>
          </w:tcPr>
          <w:p w14:paraId="515655D5">
            <w:pPr>
              <w:spacing w:line="360" w:lineRule="auto"/>
              <w:jc w:val="center"/>
              <w:rPr>
                <w:rFonts w:ascii="宋体" w:hAnsi="宋体"/>
              </w:rPr>
            </w:pPr>
            <w:r>
              <w:rPr>
                <w:rFonts w:hint="eastAsia" w:ascii="宋体" w:hAnsi="宋体"/>
              </w:rPr>
              <w:t>2575226.44</w:t>
            </w:r>
          </w:p>
        </w:tc>
        <w:tc>
          <w:tcPr>
            <w:tcW w:w="1599" w:type="dxa"/>
            <w:tcBorders>
              <w:top w:val="inset" w:color="auto" w:sz="6" w:space="0"/>
              <w:left w:val="nil"/>
              <w:bottom w:val="inset" w:color="auto" w:sz="6" w:space="0"/>
              <w:right w:val="inset" w:color="auto" w:sz="6" w:space="0"/>
            </w:tcBorders>
            <w:vAlign w:val="center"/>
          </w:tcPr>
          <w:p w14:paraId="64D9B249">
            <w:pPr>
              <w:spacing w:line="360" w:lineRule="auto"/>
              <w:jc w:val="center"/>
              <w:rPr>
                <w:rFonts w:hint="eastAsia" w:ascii="宋体" w:hAnsi="宋体" w:eastAsia="宋体"/>
                <w:lang w:eastAsia="zh-CN"/>
              </w:rPr>
            </w:pPr>
            <w:r>
              <w:rPr>
                <w:rFonts w:hint="eastAsia" w:ascii="宋体" w:hAnsi="宋体"/>
                <w:lang w:eastAsia="zh-CN"/>
              </w:rPr>
              <w:t>是</w:t>
            </w:r>
          </w:p>
        </w:tc>
        <w:tc>
          <w:tcPr>
            <w:tcW w:w="1587" w:type="dxa"/>
            <w:tcBorders>
              <w:top w:val="inset" w:color="auto" w:sz="6" w:space="0"/>
              <w:left w:val="nil"/>
              <w:bottom w:val="inset" w:color="auto" w:sz="6" w:space="0"/>
              <w:right w:val="inset" w:color="auto" w:sz="6" w:space="0"/>
            </w:tcBorders>
            <w:vAlign w:val="center"/>
          </w:tcPr>
          <w:p w14:paraId="0CC83C35">
            <w:pPr>
              <w:spacing w:line="360" w:lineRule="auto"/>
              <w:jc w:val="center"/>
              <w:rPr>
                <w:rFonts w:hint="eastAsia" w:ascii="宋体" w:hAnsi="宋体"/>
              </w:rPr>
            </w:pPr>
            <w:r>
              <w:rPr>
                <w:rFonts w:hint="eastAsia" w:ascii="宋体" w:hAnsi="宋体"/>
              </w:rPr>
              <w:t>2575226.44</w:t>
            </w:r>
          </w:p>
        </w:tc>
      </w:tr>
    </w:tbl>
    <w:p w14:paraId="17C93851">
      <w:pPr>
        <w:widowControl/>
        <w:spacing w:line="360" w:lineRule="auto"/>
        <w:ind w:firstLine="420" w:firstLineChars="200"/>
        <w:jc w:val="left"/>
        <w:rPr>
          <w:rFonts w:ascii="宋体" w:hAnsi="宋体"/>
        </w:rPr>
      </w:pPr>
      <w:r>
        <w:rPr>
          <w:rFonts w:hint="eastAsia" w:ascii="宋体" w:hAnsi="宋体"/>
        </w:rPr>
        <w:t>5、采购需求（包括但不限于标的名称、数量、简要技术需求或服务要求等）</w:t>
      </w:r>
    </w:p>
    <w:p w14:paraId="79919BAE">
      <w:pPr>
        <w:widowControl/>
        <w:spacing w:line="360" w:lineRule="auto"/>
        <w:ind w:firstLine="420" w:firstLineChars="200"/>
        <w:jc w:val="left"/>
        <w:rPr>
          <w:rFonts w:ascii="宋体" w:hAnsi="宋体"/>
        </w:rPr>
      </w:pPr>
      <w:r>
        <w:rPr>
          <w:rFonts w:hint="eastAsia" w:ascii="宋体" w:hAnsi="宋体"/>
        </w:rPr>
        <w:t>5.1、</w:t>
      </w:r>
      <w:r>
        <w:rPr>
          <w:rFonts w:hint="eastAsia" w:ascii="宋体" w:hAnsi="宋体"/>
          <w:lang w:eastAsia="zh-CN"/>
        </w:rPr>
        <w:t>采购内容</w:t>
      </w:r>
      <w:r>
        <w:rPr>
          <w:rFonts w:hint="eastAsia" w:ascii="宋体" w:hAnsi="宋体"/>
        </w:rPr>
        <w:t>：</w:t>
      </w:r>
      <w:r>
        <w:rPr>
          <w:rFonts w:hint="eastAsia" w:ascii="宋体" w:hAnsi="宋体"/>
          <w:lang w:eastAsia="zh-CN"/>
        </w:rPr>
        <w:t>河南省科学院激光制造研究所中原量子谷大型仪器共享平台基础设施建设项目</w:t>
      </w:r>
      <w:r>
        <w:rPr>
          <w:rFonts w:hint="eastAsia" w:ascii="宋体" w:hAnsi="宋体"/>
        </w:rPr>
        <w:t>，</w:t>
      </w:r>
      <w:r>
        <w:rPr>
          <w:rFonts w:hint="eastAsia" w:ascii="宋体" w:hAnsi="宋体"/>
          <w:lang w:val="en-US" w:eastAsia="zh-CN"/>
        </w:rPr>
        <w:t>具体详见工程量清单和图纸等</w:t>
      </w:r>
      <w:r>
        <w:rPr>
          <w:rFonts w:hint="eastAsia" w:ascii="宋体" w:hAnsi="宋体"/>
        </w:rPr>
        <w:t>；</w:t>
      </w:r>
    </w:p>
    <w:p w14:paraId="2D74099C">
      <w:pPr>
        <w:widowControl/>
        <w:spacing w:line="360" w:lineRule="auto"/>
        <w:ind w:firstLine="420" w:firstLineChars="200"/>
        <w:jc w:val="left"/>
        <w:rPr>
          <w:rFonts w:ascii="宋体" w:hAnsi="宋体"/>
        </w:rPr>
      </w:pPr>
      <w:r>
        <w:rPr>
          <w:rFonts w:hint="eastAsia" w:ascii="宋体" w:hAnsi="宋体"/>
        </w:rPr>
        <w:t>5.2、采购范围：</w:t>
      </w:r>
      <w:r>
        <w:rPr>
          <w:rFonts w:hint="eastAsia" w:ascii="宋体" w:hAnsi="宋体"/>
          <w:lang w:eastAsia="zh-CN"/>
        </w:rPr>
        <w:t>本项目工程量清单、图纸、竞争性磋商文件所包含全部内容的施工、竣工验收、保修和相关服务</w:t>
      </w:r>
      <w:r>
        <w:rPr>
          <w:rFonts w:hint="eastAsia" w:ascii="宋体" w:hAnsi="宋体"/>
        </w:rPr>
        <w:t>；</w:t>
      </w:r>
    </w:p>
    <w:p w14:paraId="7CB9DFAD">
      <w:pPr>
        <w:widowControl/>
        <w:spacing w:line="360" w:lineRule="auto"/>
        <w:ind w:firstLine="420" w:firstLineChars="200"/>
        <w:jc w:val="left"/>
        <w:rPr>
          <w:rFonts w:hint="eastAsia" w:ascii="宋体" w:hAnsi="宋体"/>
        </w:rPr>
      </w:pPr>
      <w:r>
        <w:rPr>
          <w:rFonts w:hint="eastAsia" w:ascii="宋体" w:hAnsi="宋体"/>
        </w:rPr>
        <w:t>5.3、资金来源：财政资金；</w:t>
      </w:r>
    </w:p>
    <w:p w14:paraId="4529B730">
      <w:pPr>
        <w:widowControl/>
        <w:spacing w:line="360" w:lineRule="auto"/>
        <w:ind w:firstLine="420" w:firstLineChars="200"/>
        <w:jc w:val="left"/>
        <w:rPr>
          <w:rFonts w:hint="default" w:ascii="宋体" w:hAnsi="宋体" w:eastAsia="宋体"/>
          <w:lang w:val="en-US" w:eastAsia="zh-CN"/>
        </w:rPr>
      </w:pPr>
      <w:r>
        <w:rPr>
          <w:rFonts w:hint="eastAsia" w:ascii="宋体" w:hAnsi="宋体"/>
          <w:lang w:val="en-US" w:eastAsia="zh-CN"/>
        </w:rPr>
        <w:t>5.4、项目地点：郑州市郑东新区汉月街26号中原量子谷；</w:t>
      </w:r>
    </w:p>
    <w:p w14:paraId="6B33E173">
      <w:pPr>
        <w:widowControl/>
        <w:spacing w:line="360" w:lineRule="auto"/>
        <w:ind w:firstLine="420" w:firstLineChars="200"/>
        <w:jc w:val="left"/>
        <w:rPr>
          <w:rFonts w:ascii="宋体" w:hAnsi="宋体"/>
        </w:rPr>
      </w:pPr>
      <w:r>
        <w:rPr>
          <w:rFonts w:hint="eastAsia" w:ascii="宋体" w:hAnsi="宋体"/>
        </w:rPr>
        <w:t>5.4、质量要求：符合国家、行业现行规范合格标准；</w:t>
      </w:r>
    </w:p>
    <w:p w14:paraId="39E82D80">
      <w:pPr>
        <w:widowControl/>
        <w:spacing w:line="360" w:lineRule="auto"/>
        <w:ind w:firstLine="420" w:firstLineChars="200"/>
        <w:jc w:val="left"/>
        <w:rPr>
          <w:rFonts w:ascii="宋体" w:hAnsi="宋体"/>
        </w:rPr>
      </w:pPr>
      <w:r>
        <w:rPr>
          <w:rFonts w:hint="eastAsia" w:ascii="宋体" w:hAnsi="宋体"/>
        </w:rPr>
        <w:t>5.5、工期要求：</w:t>
      </w:r>
      <w:r>
        <w:rPr>
          <w:rFonts w:hint="eastAsia" w:ascii="宋体" w:hAnsi="宋体"/>
          <w:lang w:val="en-US" w:eastAsia="zh-CN"/>
        </w:rPr>
        <w:t>120日历天</w:t>
      </w:r>
      <w:r>
        <w:rPr>
          <w:rFonts w:hint="eastAsia" w:ascii="宋体" w:hAnsi="宋体"/>
        </w:rPr>
        <w:t>；</w:t>
      </w:r>
    </w:p>
    <w:p w14:paraId="38577D58">
      <w:pPr>
        <w:widowControl/>
        <w:spacing w:line="360" w:lineRule="auto"/>
        <w:ind w:firstLine="420" w:firstLineChars="200"/>
        <w:jc w:val="left"/>
        <w:rPr>
          <w:rFonts w:ascii="宋体" w:hAnsi="宋体"/>
        </w:rPr>
      </w:pPr>
      <w:r>
        <w:rPr>
          <w:rFonts w:hint="eastAsia" w:ascii="宋体" w:hAnsi="宋体"/>
        </w:rPr>
        <w:t>5.6、缺陷责任期：</w:t>
      </w:r>
      <w:r>
        <w:rPr>
          <w:rFonts w:ascii="宋体" w:hAnsi="宋体"/>
        </w:rPr>
        <w:t>12</w:t>
      </w:r>
      <w:r>
        <w:rPr>
          <w:rFonts w:hint="eastAsia" w:ascii="宋体" w:hAnsi="宋体"/>
        </w:rPr>
        <w:t>个月；</w:t>
      </w:r>
    </w:p>
    <w:p w14:paraId="7E9D3158">
      <w:pPr>
        <w:pStyle w:val="9"/>
        <w:ind w:firstLine="420" w:firstLineChars="200"/>
        <w:rPr>
          <w:rFonts w:ascii="宋体" w:hAnsi="宋体"/>
          <w:kern w:val="2"/>
          <w:sz w:val="21"/>
          <w:szCs w:val="21"/>
        </w:rPr>
      </w:pPr>
      <w:r>
        <w:rPr>
          <w:rFonts w:hint="eastAsia" w:ascii="宋体" w:hAnsi="宋体"/>
          <w:kern w:val="2"/>
          <w:sz w:val="21"/>
          <w:szCs w:val="21"/>
        </w:rPr>
        <w:t>5.7、保修期：符合国家规定，未规定的为2年；</w:t>
      </w:r>
    </w:p>
    <w:p w14:paraId="0DFA8279">
      <w:pPr>
        <w:widowControl/>
        <w:spacing w:line="360" w:lineRule="auto"/>
        <w:ind w:firstLine="420" w:firstLineChars="200"/>
        <w:jc w:val="left"/>
        <w:rPr>
          <w:rFonts w:ascii="宋体" w:hAnsi="宋体"/>
        </w:rPr>
      </w:pPr>
      <w:r>
        <w:rPr>
          <w:rFonts w:hint="eastAsia" w:ascii="宋体" w:hAnsi="宋体"/>
        </w:rPr>
        <w:t>5.8、标段划分：本项目共划分1个标段。</w:t>
      </w:r>
    </w:p>
    <w:p w14:paraId="05047EA6">
      <w:pPr>
        <w:widowControl/>
        <w:spacing w:line="360" w:lineRule="auto"/>
        <w:ind w:firstLine="420" w:firstLineChars="200"/>
        <w:jc w:val="left"/>
        <w:rPr>
          <w:rFonts w:hint="eastAsia" w:ascii="宋体" w:hAnsi="宋体" w:eastAsia="宋体"/>
          <w:lang w:eastAsia="zh-CN"/>
        </w:rPr>
      </w:pPr>
      <w:r>
        <w:rPr>
          <w:rFonts w:hint="eastAsia" w:ascii="宋体" w:hAnsi="宋体"/>
        </w:rPr>
        <w:t>6、合同履行期限：</w:t>
      </w:r>
      <w:r>
        <w:rPr>
          <w:rFonts w:hint="eastAsia" w:ascii="宋体" w:hAnsi="宋体"/>
          <w:lang w:eastAsia="zh-CN"/>
        </w:rPr>
        <w:t>合同签订日起至保修期结束</w:t>
      </w:r>
    </w:p>
    <w:p w14:paraId="25455FC7">
      <w:pPr>
        <w:widowControl/>
        <w:spacing w:line="360" w:lineRule="auto"/>
        <w:ind w:firstLine="420" w:firstLineChars="200"/>
        <w:jc w:val="left"/>
        <w:rPr>
          <w:rFonts w:ascii="宋体" w:hAnsi="宋体"/>
        </w:rPr>
      </w:pPr>
      <w:r>
        <w:rPr>
          <w:rFonts w:hint="eastAsia" w:ascii="宋体" w:hAnsi="宋体"/>
        </w:rPr>
        <w:t>7、本项目是否接受联合体投标：否</w:t>
      </w:r>
    </w:p>
    <w:p w14:paraId="16B6BD5D">
      <w:pPr>
        <w:widowControl/>
        <w:spacing w:line="360" w:lineRule="auto"/>
        <w:ind w:firstLine="420" w:firstLineChars="200"/>
        <w:jc w:val="left"/>
        <w:rPr>
          <w:rFonts w:ascii="宋体" w:hAnsi="宋体"/>
        </w:rPr>
      </w:pPr>
      <w:r>
        <w:rPr>
          <w:rFonts w:hint="eastAsia" w:ascii="宋体" w:hAnsi="宋体"/>
        </w:rPr>
        <w:t>8、是否接受进口产品：否</w:t>
      </w:r>
    </w:p>
    <w:p w14:paraId="546E5832">
      <w:pPr>
        <w:widowControl/>
        <w:spacing w:line="360" w:lineRule="auto"/>
        <w:ind w:firstLine="420" w:firstLineChars="200"/>
        <w:jc w:val="left"/>
        <w:rPr>
          <w:rFonts w:ascii="宋体" w:hAnsi="宋体"/>
        </w:rPr>
      </w:pPr>
      <w:r>
        <w:rPr>
          <w:rFonts w:hint="eastAsia" w:ascii="宋体" w:hAnsi="宋体"/>
        </w:rPr>
        <w:t>9.是否专门面向中小企业：</w:t>
      </w:r>
      <w:r>
        <w:rPr>
          <w:rFonts w:hint="eastAsia" w:ascii="宋体" w:hAnsi="宋体"/>
          <w:lang w:eastAsia="zh-CN"/>
        </w:rPr>
        <w:t>是</w:t>
      </w:r>
    </w:p>
    <w:p w14:paraId="6D4D519C">
      <w:pPr>
        <w:widowControl/>
        <w:spacing w:line="360" w:lineRule="auto"/>
        <w:ind w:firstLine="361"/>
        <w:jc w:val="left"/>
        <w:rPr>
          <w:rFonts w:ascii="宋体" w:hAnsi="宋体"/>
          <w:b/>
          <w:bCs/>
        </w:rPr>
      </w:pPr>
      <w:r>
        <w:rPr>
          <w:rFonts w:hint="eastAsia" w:ascii="宋体" w:hAnsi="宋体"/>
          <w:b/>
          <w:bCs/>
        </w:rPr>
        <w:t>二、申请人资格要求</w:t>
      </w:r>
    </w:p>
    <w:p w14:paraId="2EACE7BC">
      <w:pPr>
        <w:spacing w:line="360" w:lineRule="auto"/>
        <w:ind w:firstLine="420" w:firstLineChars="200"/>
        <w:textAlignment w:val="baseline"/>
        <w:rPr>
          <w:rFonts w:ascii="宋体" w:hAnsi="宋体"/>
        </w:rPr>
      </w:pPr>
      <w:bookmarkStart w:id="13" w:name="_Toc19929"/>
      <w:bookmarkEnd w:id="13"/>
      <w:bookmarkStart w:id="14" w:name="_Toc11610"/>
      <w:bookmarkEnd w:id="14"/>
      <w:bookmarkStart w:id="15" w:name="_Toc29588"/>
      <w:r>
        <w:rPr>
          <w:rFonts w:hint="eastAsia" w:ascii="宋体" w:hAnsi="宋体"/>
        </w:rPr>
        <w:t>1、满足《中华人民共和国政府采购法》第二十二条规定；</w:t>
      </w:r>
      <w:bookmarkEnd w:id="15"/>
    </w:p>
    <w:p w14:paraId="6A57007E">
      <w:pPr>
        <w:widowControl/>
        <w:spacing w:line="360" w:lineRule="auto"/>
        <w:ind w:firstLine="420" w:firstLineChars="200"/>
        <w:jc w:val="left"/>
        <w:rPr>
          <w:rFonts w:ascii="宋体" w:hAnsi="宋体"/>
        </w:rPr>
      </w:pPr>
      <w:r>
        <w:rPr>
          <w:rFonts w:hint="eastAsia" w:ascii="宋体" w:hAnsi="宋体"/>
        </w:rPr>
        <w:t>2、落实政府采购政策满足的资格要求：本项目专门面向中小企业采购，监狱企业和残疾人福利性单位视同小型、微型企业。供应商应当出具有效的《中小企业声明函》，监狱企业应当提供由省级以上监狱管理局、戒毒管理局（含新疆生产建设兵团）出具的属于监狱企业的证明文件；符合条件的残疾人福利性单位应当提供《残疾人福利性单位声明函》；。</w:t>
      </w:r>
    </w:p>
    <w:p w14:paraId="11E64B2A">
      <w:pPr>
        <w:widowControl/>
        <w:spacing w:line="360" w:lineRule="auto"/>
        <w:ind w:firstLine="420" w:firstLineChars="200"/>
        <w:jc w:val="left"/>
        <w:rPr>
          <w:rFonts w:ascii="宋体" w:hAnsi="宋体"/>
        </w:rPr>
      </w:pPr>
      <w:r>
        <w:rPr>
          <w:rFonts w:hint="eastAsia" w:ascii="宋体" w:hAnsi="宋体"/>
        </w:rPr>
        <w:t>3、本项目的特定资格要求：</w:t>
      </w:r>
    </w:p>
    <w:p w14:paraId="427A0796">
      <w:pPr>
        <w:widowControl/>
        <w:spacing w:line="360" w:lineRule="auto"/>
        <w:ind w:firstLine="420" w:firstLineChars="200"/>
        <w:jc w:val="left"/>
        <w:rPr>
          <w:rFonts w:ascii="宋体" w:hAnsi="宋体"/>
        </w:rPr>
      </w:pPr>
      <w:r>
        <w:rPr>
          <w:rFonts w:hint="eastAsia" w:ascii="宋体" w:hAnsi="宋体"/>
        </w:rPr>
        <w:t>3.1资质要求：供应商具有建设行政主管部门</w:t>
      </w:r>
      <w:r>
        <w:rPr>
          <w:rFonts w:hint="eastAsia" w:ascii="宋体" w:hAnsi="宋体"/>
          <w:color w:val="auto"/>
        </w:rPr>
        <w:t>颁发的建筑施工总承包</w:t>
      </w:r>
      <w:r>
        <w:rPr>
          <w:rFonts w:hint="eastAsia" w:ascii="宋体" w:hAnsi="宋体"/>
          <w:color w:val="auto"/>
          <w:lang w:eastAsia="zh-CN"/>
        </w:rPr>
        <w:t>叁</w:t>
      </w:r>
      <w:r>
        <w:rPr>
          <w:rFonts w:hint="eastAsia" w:ascii="宋体" w:hAnsi="宋体"/>
          <w:color w:val="auto"/>
        </w:rPr>
        <w:t>级</w:t>
      </w:r>
      <w:r>
        <w:rPr>
          <w:rFonts w:hint="eastAsia" w:ascii="宋体" w:hAnsi="宋体"/>
          <w:color w:val="auto"/>
          <w:lang w:val="en-US" w:eastAsia="zh-CN"/>
        </w:rPr>
        <w:t>或</w:t>
      </w:r>
      <w:r>
        <w:rPr>
          <w:rFonts w:hint="eastAsia" w:ascii="宋体" w:hAnsi="宋体"/>
          <w:color w:val="auto"/>
          <w:lang w:eastAsia="zh-CN"/>
        </w:rPr>
        <w:t>建筑装修装饰工程专业承包贰级</w:t>
      </w:r>
      <w:r>
        <w:rPr>
          <w:rFonts w:hint="eastAsia" w:ascii="宋体" w:hAnsi="宋体"/>
          <w:color w:val="auto"/>
        </w:rPr>
        <w:t>及以上资质，并</w:t>
      </w:r>
      <w:r>
        <w:rPr>
          <w:rFonts w:hint="eastAsia" w:ascii="宋体" w:hAnsi="宋体"/>
        </w:rPr>
        <w:t>具有有效的安全生产许可证，并在人员、设备、资金等方面具备相应的施工能力；</w:t>
      </w:r>
    </w:p>
    <w:p w14:paraId="36972AB0">
      <w:pPr>
        <w:widowControl/>
        <w:spacing w:line="360" w:lineRule="auto"/>
        <w:ind w:firstLine="420" w:firstLineChars="200"/>
        <w:jc w:val="left"/>
        <w:rPr>
          <w:rFonts w:ascii="宋体" w:hAnsi="宋体"/>
        </w:rPr>
      </w:pPr>
      <w:r>
        <w:rPr>
          <w:rFonts w:hint="eastAsia" w:ascii="宋体" w:hAnsi="宋体"/>
        </w:rPr>
        <w:t>3.2拟派项目经理须具有建筑专业二级及以上注册建造师资格和有效的安全生产考核合格证，须提供</w:t>
      </w:r>
      <w:r>
        <w:rPr>
          <w:rFonts w:hint="eastAsia" w:ascii="宋体" w:hAnsi="宋体"/>
          <w:lang w:eastAsia="zh-CN"/>
        </w:rPr>
        <w:t>2025年1月以来供应商为其缴纳的</w:t>
      </w:r>
      <w:r>
        <w:rPr>
          <w:rFonts w:hint="eastAsia" w:ascii="宋体" w:hAnsi="宋体"/>
        </w:rPr>
        <w:t>任意3个月养老保险证明，且同时未在其他在建施工项目担任项目经理（自行承诺）；项目经理在中国执行信息公开网未被列入“失信被执行人”名单（自行承诺）</w:t>
      </w:r>
    </w:p>
    <w:p w14:paraId="69EA86DC">
      <w:pPr>
        <w:widowControl/>
        <w:spacing w:line="360" w:lineRule="auto"/>
        <w:ind w:firstLine="420" w:firstLineChars="200"/>
        <w:jc w:val="left"/>
        <w:rPr>
          <w:rFonts w:ascii="宋体" w:hAnsi="宋体"/>
        </w:rPr>
      </w:pPr>
      <w:r>
        <w:rPr>
          <w:rFonts w:hint="eastAsia" w:ascii="宋体" w:hAnsi="宋体"/>
        </w:rPr>
        <w:t>3.3根据《关于在政府采购活动中查询及使用信用记录有关问题的通知》(财库[2016]125号) 和豫财购【2016】15 号的规定，对列入失信被执行人、重大税收违法失信主体、政府采购严重违法失信行为记录名单的供应商，拒绝参与本项目政府采购活动。【查询渠道：“信用中国”网站（www.creditchina.gov.cn）、中国政府采购网（www.ccgp.gov.cn）】；</w:t>
      </w:r>
    </w:p>
    <w:p w14:paraId="59B3C4B3">
      <w:pPr>
        <w:widowControl/>
        <w:spacing w:line="360" w:lineRule="auto"/>
        <w:ind w:firstLine="420" w:firstLineChars="200"/>
        <w:jc w:val="left"/>
        <w:rPr>
          <w:rFonts w:hint="eastAsia" w:ascii="宋体" w:hAnsi="宋体"/>
        </w:rPr>
      </w:pPr>
      <w:r>
        <w:rPr>
          <w:rFonts w:hint="eastAsia" w:ascii="宋体" w:hAnsi="宋体"/>
        </w:rPr>
        <w:t>3.4单位负责人为同一人或者存在直接控股关系、管理关系的不同供应商，不得参加同一合同项下的政府采购活动，提供声明函</w:t>
      </w:r>
      <w:bookmarkStart w:id="16" w:name="_Toc30140"/>
      <w:r>
        <w:rPr>
          <w:rFonts w:hint="eastAsia" w:ascii="宋体" w:hAnsi="宋体"/>
        </w:rPr>
        <w:t>。</w:t>
      </w:r>
    </w:p>
    <w:p w14:paraId="37458648">
      <w:pPr>
        <w:widowControl/>
        <w:spacing w:line="360" w:lineRule="auto"/>
        <w:ind w:firstLine="420" w:firstLineChars="200"/>
        <w:jc w:val="left"/>
        <w:rPr>
          <w:rFonts w:hint="eastAsia" w:ascii="宋体" w:hAnsi="宋体"/>
          <w:lang w:val="en-US" w:eastAsia="zh-CN"/>
        </w:rPr>
      </w:pPr>
      <w:r>
        <w:rPr>
          <w:rFonts w:hint="eastAsia" w:ascii="宋体" w:hAnsi="宋体"/>
          <w:lang w:val="en-US" w:eastAsia="zh-CN"/>
        </w:rPr>
        <w:t>3.5 为采购项目提供整体设计、规范编制或者项目管理、监理、检测等服务的供应商，不得再参加该次采购项目的其他采购活动（自行承诺）。</w:t>
      </w:r>
    </w:p>
    <w:p w14:paraId="6C7C3502">
      <w:pPr>
        <w:widowControl/>
        <w:spacing w:line="360" w:lineRule="auto"/>
        <w:ind w:firstLine="420" w:firstLineChars="200"/>
        <w:jc w:val="left"/>
        <w:rPr>
          <w:rFonts w:hint="default" w:ascii="宋体" w:hAnsi="宋体"/>
          <w:lang w:val="en-US" w:eastAsia="zh-CN"/>
        </w:rPr>
      </w:pPr>
      <w:r>
        <w:rPr>
          <w:rFonts w:hint="eastAsia" w:ascii="宋体" w:hAnsi="宋体"/>
          <w:lang w:val="en-US" w:eastAsia="zh-CN"/>
        </w:rPr>
        <w:t xml:space="preserve">3.6 根据《河南省住房和城乡建设厅关于进一步规范建设工程企业资质管理的通知》（豫建行规〔2024〕7 号）规定，被全国和河南省建筑市场监管公共服务平台标注为资质异常的，不能使用标注异常资质承揽本工程（响应文件中须提供全国和河南省建筑市场监管公共服务平台查询截图）。 </w:t>
      </w:r>
    </w:p>
    <w:bookmarkEnd w:id="16"/>
    <w:p w14:paraId="39CDD691">
      <w:pPr>
        <w:widowControl/>
        <w:spacing w:line="360" w:lineRule="auto"/>
        <w:ind w:firstLine="422" w:firstLineChars="200"/>
        <w:jc w:val="left"/>
        <w:rPr>
          <w:rStyle w:val="65"/>
          <w:rFonts w:ascii="宋体" w:hAnsi="宋体" w:eastAsia="宋体"/>
          <w:sz w:val="21"/>
          <w:szCs w:val="21"/>
        </w:rPr>
      </w:pPr>
      <w:r>
        <w:rPr>
          <w:rStyle w:val="65"/>
          <w:rFonts w:hint="eastAsia" w:ascii="宋体" w:hAnsi="宋体" w:eastAsia="宋体"/>
          <w:sz w:val="21"/>
          <w:szCs w:val="21"/>
        </w:rPr>
        <w:t>三、获取</w:t>
      </w:r>
      <w:r>
        <w:rPr>
          <w:rStyle w:val="65"/>
          <w:rFonts w:hint="eastAsia" w:ascii="宋体" w:hAnsi="宋体"/>
          <w:sz w:val="21"/>
          <w:szCs w:val="21"/>
        </w:rPr>
        <w:t>采购</w:t>
      </w:r>
      <w:r>
        <w:rPr>
          <w:rStyle w:val="65"/>
          <w:rFonts w:hint="eastAsia" w:ascii="宋体" w:hAnsi="宋体" w:eastAsia="宋体"/>
          <w:sz w:val="21"/>
          <w:szCs w:val="21"/>
        </w:rPr>
        <w:t>文件</w:t>
      </w:r>
    </w:p>
    <w:p w14:paraId="656A0AF6">
      <w:pPr>
        <w:widowControl/>
        <w:spacing w:line="360" w:lineRule="auto"/>
        <w:ind w:firstLine="420" w:firstLineChars="200"/>
        <w:jc w:val="left"/>
      </w:pPr>
      <w:r>
        <w:rPr>
          <w:rFonts w:hint="eastAsia" w:ascii="宋体" w:hAnsi="宋体"/>
        </w:rPr>
        <w:t>1、时间：202</w:t>
      </w:r>
      <w:r>
        <w:rPr>
          <w:rFonts w:hint="eastAsia" w:ascii="宋体" w:hAnsi="宋体"/>
          <w:lang w:val="en-US" w:eastAsia="zh-CN"/>
        </w:rPr>
        <w:t>5</w:t>
      </w:r>
      <w:r>
        <w:rPr>
          <w:rFonts w:hint="eastAsia" w:ascii="宋体" w:hAnsi="宋体"/>
        </w:rPr>
        <w:t>年</w:t>
      </w:r>
      <w:r>
        <w:rPr>
          <w:rFonts w:hint="eastAsia" w:ascii="宋体" w:hAnsi="宋体"/>
          <w:lang w:val="en-US" w:eastAsia="zh-CN"/>
        </w:rPr>
        <w:t>7</w:t>
      </w:r>
      <w:r>
        <w:rPr>
          <w:rFonts w:hint="eastAsia" w:ascii="宋体" w:hAnsi="宋体"/>
        </w:rPr>
        <w:t>月</w:t>
      </w:r>
      <w:r>
        <w:rPr>
          <w:rFonts w:hint="eastAsia" w:ascii="宋体" w:hAnsi="宋体"/>
          <w:lang w:val="en-US" w:eastAsia="zh-CN"/>
        </w:rPr>
        <w:t>30</w:t>
      </w:r>
      <w:r>
        <w:rPr>
          <w:rFonts w:hint="eastAsia" w:ascii="宋体" w:hAnsi="宋体"/>
        </w:rPr>
        <w:t>日至202</w:t>
      </w:r>
      <w:r>
        <w:rPr>
          <w:rFonts w:hint="eastAsia" w:ascii="宋体" w:hAnsi="宋体"/>
          <w:lang w:val="en-US" w:eastAsia="zh-CN"/>
        </w:rPr>
        <w:t>5</w:t>
      </w:r>
      <w:r>
        <w:rPr>
          <w:rFonts w:hint="eastAsia" w:ascii="宋体" w:hAnsi="宋体"/>
        </w:rPr>
        <w:t>年</w:t>
      </w:r>
      <w:r>
        <w:rPr>
          <w:rFonts w:hint="eastAsia" w:ascii="宋体" w:hAnsi="宋体"/>
          <w:lang w:val="en-US" w:eastAsia="zh-CN"/>
        </w:rPr>
        <w:t>8</w:t>
      </w:r>
      <w:r>
        <w:rPr>
          <w:rFonts w:hint="eastAsia" w:ascii="宋体" w:hAnsi="宋体"/>
        </w:rPr>
        <w:t>月</w:t>
      </w:r>
      <w:r>
        <w:rPr>
          <w:rFonts w:hint="eastAsia" w:ascii="宋体" w:hAnsi="宋体"/>
          <w:lang w:val="en-US" w:eastAsia="zh-CN"/>
        </w:rPr>
        <w:t>5</w:t>
      </w:r>
      <w:r>
        <w:rPr>
          <w:rFonts w:hint="eastAsia" w:ascii="宋体" w:hAnsi="宋体"/>
        </w:rPr>
        <w:t>日，每天上午00:00至12:00，下午12:00至23:59（北京时间，法定节假日除外）；</w:t>
      </w:r>
    </w:p>
    <w:p w14:paraId="2EB9EF68">
      <w:pPr>
        <w:widowControl/>
        <w:spacing w:line="360" w:lineRule="auto"/>
        <w:ind w:firstLine="420" w:firstLineChars="200"/>
        <w:jc w:val="left"/>
        <w:rPr>
          <w:rFonts w:ascii="宋体" w:hAnsi="宋体"/>
        </w:rPr>
      </w:pPr>
      <w:r>
        <w:rPr>
          <w:rFonts w:hint="eastAsia" w:ascii="宋体" w:hAnsi="宋体"/>
        </w:rPr>
        <w:t>2、地点：河南省公共资源交易中心网站</w:t>
      </w:r>
      <w:r>
        <w:rPr>
          <w:rFonts w:hint="eastAsia" w:ascii="宋体" w:hAnsi="宋体"/>
          <w:bCs/>
        </w:rPr>
        <w:t>（</w:t>
      </w:r>
      <w:r>
        <w:rPr>
          <w:rFonts w:hint="eastAsia" w:ascii="宋体" w:hAnsi="宋体"/>
          <w:bCs/>
          <w:lang w:eastAsia="zh-CN"/>
        </w:rPr>
        <w:t>http://hnsggzyjy.henan.gov.cn/</w:t>
      </w:r>
      <w:r>
        <w:rPr>
          <w:rFonts w:hint="eastAsia" w:ascii="宋体" w:hAnsi="宋体"/>
          <w:bCs/>
        </w:rPr>
        <w:t>）</w:t>
      </w:r>
      <w:r>
        <w:rPr>
          <w:rFonts w:hint="eastAsia" w:ascii="宋体" w:hAnsi="宋体"/>
        </w:rPr>
        <w:t>；</w:t>
      </w:r>
    </w:p>
    <w:p w14:paraId="5FA4BE26">
      <w:pPr>
        <w:widowControl/>
        <w:spacing w:line="360" w:lineRule="auto"/>
        <w:ind w:firstLine="420" w:firstLineChars="200"/>
        <w:jc w:val="left"/>
        <w:rPr>
          <w:rFonts w:ascii="宋体" w:hAnsi="宋体"/>
        </w:rPr>
      </w:pPr>
      <w:r>
        <w:rPr>
          <w:rFonts w:hint="eastAsia" w:ascii="宋体" w:hAnsi="宋体"/>
        </w:rPr>
        <w:t>3、方式：登录“河南省公共资源交易中心（</w:t>
      </w:r>
      <w:r>
        <w:rPr>
          <w:rFonts w:hint="eastAsia" w:ascii="宋体" w:hAnsi="宋体"/>
          <w:lang w:eastAsia="zh-CN"/>
        </w:rPr>
        <w:t>http://hnsggzyjy.henan.gov.cn/</w:t>
      </w:r>
      <w:r>
        <w:rPr>
          <w:rFonts w:hint="eastAsia" w:ascii="宋体" w:hAnsi="宋体"/>
        </w:rPr>
        <w:t>）”，凭企业身份认证锁（CA 密钥）下载磋商文件。市场主体需要完成信息登记及 CA 数字证书办理，才能通过河南省公共资源交易平台参与交易活动，具体办理事宜请查阅河南省公共资源交易中心网站“办事指南”专区的《河南省公共资源交易中心新交易平台操作手册》。</w:t>
      </w:r>
    </w:p>
    <w:p w14:paraId="39F5F4BC">
      <w:pPr>
        <w:widowControl/>
        <w:spacing w:line="360" w:lineRule="auto"/>
        <w:ind w:firstLine="420" w:firstLineChars="200"/>
        <w:jc w:val="left"/>
        <w:rPr>
          <w:rFonts w:ascii="宋体" w:hAnsi="宋体"/>
        </w:rPr>
      </w:pPr>
      <w:r>
        <w:rPr>
          <w:rFonts w:hint="eastAsia" w:ascii="宋体" w:hAnsi="宋体"/>
        </w:rPr>
        <w:t>4、售价：0元；</w:t>
      </w:r>
    </w:p>
    <w:p w14:paraId="22B5AC28">
      <w:pPr>
        <w:widowControl/>
        <w:spacing w:line="360" w:lineRule="auto"/>
        <w:ind w:firstLine="422" w:firstLineChars="200"/>
        <w:jc w:val="left"/>
        <w:rPr>
          <w:rFonts w:ascii="宋体" w:hAnsi="宋体"/>
          <w:b/>
          <w:bCs/>
        </w:rPr>
      </w:pPr>
      <w:r>
        <w:rPr>
          <w:rFonts w:hint="eastAsia" w:ascii="宋体" w:hAnsi="宋体"/>
          <w:b/>
          <w:bCs/>
        </w:rPr>
        <w:t>四、响应文件提交</w:t>
      </w:r>
    </w:p>
    <w:p w14:paraId="1F14FC09">
      <w:pPr>
        <w:widowControl/>
        <w:spacing w:line="360" w:lineRule="auto"/>
        <w:ind w:firstLine="420" w:firstLineChars="200"/>
        <w:jc w:val="left"/>
        <w:rPr>
          <w:rFonts w:ascii="宋体" w:hAnsi="宋体"/>
        </w:rPr>
      </w:pPr>
      <w:r>
        <w:rPr>
          <w:rFonts w:hint="eastAsia" w:ascii="宋体" w:hAnsi="宋体"/>
        </w:rPr>
        <w:t>1、时间：202</w:t>
      </w:r>
      <w:r>
        <w:rPr>
          <w:rFonts w:hint="eastAsia" w:ascii="宋体" w:hAnsi="宋体"/>
          <w:lang w:val="en-US" w:eastAsia="zh-CN"/>
        </w:rPr>
        <w:t>5</w:t>
      </w:r>
      <w:r>
        <w:rPr>
          <w:rFonts w:hint="eastAsia" w:ascii="宋体" w:hAnsi="宋体"/>
        </w:rPr>
        <w:t>年</w:t>
      </w:r>
      <w:r>
        <w:rPr>
          <w:rFonts w:hint="eastAsia" w:ascii="宋体" w:hAnsi="宋体"/>
          <w:lang w:val="en-US" w:eastAsia="zh-CN"/>
        </w:rPr>
        <w:t>8</w:t>
      </w:r>
      <w:r>
        <w:rPr>
          <w:rFonts w:hint="eastAsia" w:ascii="宋体" w:hAnsi="宋体"/>
        </w:rPr>
        <w:t>月</w:t>
      </w:r>
      <w:r>
        <w:rPr>
          <w:rFonts w:hint="eastAsia" w:ascii="宋体" w:hAnsi="宋体"/>
          <w:lang w:val="en-US" w:eastAsia="zh-CN"/>
        </w:rPr>
        <w:t>11</w:t>
      </w:r>
      <w:r>
        <w:rPr>
          <w:rFonts w:hint="eastAsia" w:ascii="宋体" w:hAnsi="宋体"/>
        </w:rPr>
        <w:t>日09时00分（北京时间）；</w:t>
      </w:r>
    </w:p>
    <w:p w14:paraId="0C946D4C">
      <w:pPr>
        <w:widowControl/>
        <w:spacing w:line="360" w:lineRule="auto"/>
        <w:ind w:firstLine="420" w:firstLineChars="200"/>
        <w:jc w:val="left"/>
        <w:rPr>
          <w:rFonts w:ascii="宋体" w:hAnsi="宋体"/>
        </w:rPr>
      </w:pPr>
      <w:r>
        <w:rPr>
          <w:rFonts w:hint="eastAsia" w:ascii="宋体" w:hAnsi="宋体"/>
        </w:rPr>
        <w:t>2、地点：加密电子投标文件须在投标截止时间前通过“河南省公共资源交易中心（</w:t>
      </w:r>
      <w:r>
        <w:fldChar w:fldCharType="begin"/>
      </w:r>
      <w:r>
        <w:instrText xml:space="preserve"> HYPERLINK "http://www.hnggzy.net/" </w:instrText>
      </w:r>
      <w:r>
        <w:fldChar w:fldCharType="separate"/>
      </w:r>
      <w:r>
        <w:rPr>
          <w:rFonts w:hint="eastAsia" w:ascii="宋体" w:hAnsi="宋体"/>
          <w:lang w:eastAsia="zh-CN"/>
        </w:rPr>
        <w:t>http://hnsggzyjy.henan.gov.cn/</w:t>
      </w:r>
      <w:r>
        <w:rPr>
          <w:rFonts w:hint="eastAsia" w:ascii="宋体" w:hAnsi="宋体"/>
        </w:rPr>
        <w:fldChar w:fldCharType="end"/>
      </w:r>
      <w:r>
        <w:rPr>
          <w:rFonts w:hint="eastAsia" w:ascii="宋体" w:hAnsi="宋体"/>
        </w:rPr>
        <w:t>）”电子交易平台加密上传。逾期上传的或者未上传指定地点的投标文件，采购人不予受理。</w:t>
      </w:r>
    </w:p>
    <w:p w14:paraId="14AD10DA">
      <w:pPr>
        <w:widowControl/>
        <w:spacing w:line="360" w:lineRule="auto"/>
        <w:ind w:firstLine="422" w:firstLineChars="200"/>
        <w:jc w:val="left"/>
        <w:rPr>
          <w:rFonts w:ascii="宋体" w:hAnsi="宋体"/>
          <w:b/>
          <w:bCs/>
        </w:rPr>
      </w:pPr>
      <w:r>
        <w:rPr>
          <w:rFonts w:hint="eastAsia" w:ascii="宋体" w:hAnsi="宋体"/>
          <w:b/>
          <w:bCs/>
        </w:rPr>
        <w:t>五、响应文件开启</w:t>
      </w:r>
    </w:p>
    <w:p w14:paraId="7679FAB3">
      <w:pPr>
        <w:widowControl/>
        <w:spacing w:line="360" w:lineRule="auto"/>
        <w:ind w:firstLine="420" w:firstLineChars="200"/>
        <w:jc w:val="left"/>
        <w:rPr>
          <w:rFonts w:ascii="宋体" w:hAnsi="宋体"/>
        </w:rPr>
      </w:pPr>
      <w:r>
        <w:rPr>
          <w:rFonts w:hint="eastAsia" w:ascii="宋体" w:hAnsi="宋体"/>
        </w:rPr>
        <w:t>1、时间：202</w:t>
      </w:r>
      <w:r>
        <w:rPr>
          <w:rFonts w:hint="eastAsia" w:ascii="宋体" w:hAnsi="宋体"/>
          <w:lang w:val="en-US" w:eastAsia="zh-CN"/>
        </w:rPr>
        <w:t>5</w:t>
      </w:r>
      <w:r>
        <w:rPr>
          <w:rFonts w:hint="eastAsia" w:ascii="宋体" w:hAnsi="宋体"/>
        </w:rPr>
        <w:t>年</w:t>
      </w:r>
      <w:r>
        <w:rPr>
          <w:rFonts w:hint="eastAsia" w:ascii="宋体" w:hAnsi="宋体"/>
          <w:lang w:val="en-US" w:eastAsia="zh-CN"/>
        </w:rPr>
        <w:t>8</w:t>
      </w:r>
      <w:r>
        <w:rPr>
          <w:rFonts w:hint="eastAsia" w:ascii="宋体" w:hAnsi="宋体"/>
        </w:rPr>
        <w:t>月</w:t>
      </w:r>
      <w:r>
        <w:rPr>
          <w:rFonts w:hint="eastAsia" w:ascii="宋体" w:hAnsi="宋体"/>
          <w:lang w:val="en-US" w:eastAsia="zh-CN"/>
        </w:rPr>
        <w:t>11</w:t>
      </w:r>
      <w:r>
        <w:rPr>
          <w:rFonts w:hint="eastAsia" w:ascii="宋体" w:hAnsi="宋体"/>
        </w:rPr>
        <w:t>日09时00分（北京时间）；</w:t>
      </w:r>
    </w:p>
    <w:p w14:paraId="59D9C17A">
      <w:pPr>
        <w:widowControl/>
        <w:spacing w:line="360" w:lineRule="auto"/>
        <w:ind w:firstLine="420" w:firstLineChars="200"/>
        <w:jc w:val="left"/>
        <w:rPr>
          <w:rFonts w:ascii="宋体" w:hAnsi="宋体"/>
        </w:rPr>
      </w:pPr>
      <w:r>
        <w:rPr>
          <w:rFonts w:hint="eastAsia" w:ascii="宋体" w:hAnsi="宋体"/>
        </w:rPr>
        <w:t>2、地点：河南省公共资源交易中心远程远程开标室(二)-2。</w:t>
      </w:r>
    </w:p>
    <w:p w14:paraId="7917FE9C">
      <w:pPr>
        <w:widowControl/>
        <w:spacing w:line="360" w:lineRule="auto"/>
        <w:ind w:firstLine="422" w:firstLineChars="200"/>
        <w:jc w:val="left"/>
        <w:rPr>
          <w:rFonts w:ascii="宋体" w:hAnsi="宋体"/>
          <w:b/>
          <w:bCs/>
        </w:rPr>
      </w:pPr>
      <w:r>
        <w:rPr>
          <w:rFonts w:hint="eastAsia" w:ascii="宋体" w:hAnsi="宋体"/>
          <w:b/>
          <w:bCs/>
        </w:rPr>
        <w:t>六、发布公告的媒介及招标公告期限</w:t>
      </w:r>
    </w:p>
    <w:p w14:paraId="579F0E13">
      <w:pPr>
        <w:widowControl/>
        <w:spacing w:line="360" w:lineRule="auto"/>
        <w:ind w:firstLine="420" w:firstLineChars="200"/>
        <w:jc w:val="left"/>
        <w:rPr>
          <w:rFonts w:ascii="宋体" w:hAnsi="宋体"/>
        </w:rPr>
      </w:pPr>
      <w:r>
        <w:rPr>
          <w:rFonts w:hint="eastAsia" w:ascii="宋体" w:hAnsi="宋体"/>
        </w:rPr>
        <w:t>本次公告在《</w:t>
      </w:r>
      <w:r>
        <w:rPr>
          <w:rFonts w:hint="eastAsia" w:ascii="宋体" w:hAnsi="宋体"/>
          <w:lang w:eastAsia="zh-CN"/>
        </w:rPr>
        <w:t>中国政府采购网</w:t>
      </w:r>
      <w:r>
        <w:rPr>
          <w:rFonts w:hint="eastAsia" w:ascii="宋体" w:hAnsi="宋体"/>
        </w:rPr>
        <w:t>》</w:t>
      </w:r>
      <w:r>
        <w:rPr>
          <w:rFonts w:hint="eastAsia" w:ascii="宋体" w:hAnsi="宋体"/>
          <w:lang w:eastAsia="zh-CN"/>
        </w:rPr>
        <w:t>、</w:t>
      </w:r>
      <w:r>
        <w:rPr>
          <w:rFonts w:hint="eastAsia" w:ascii="宋体" w:hAnsi="宋体"/>
        </w:rPr>
        <w:t>《河南省公共资源交易中心网站》</w:t>
      </w:r>
      <w:r>
        <w:rPr>
          <w:rFonts w:hint="eastAsia" w:ascii="宋体" w:hAnsi="宋体"/>
          <w:lang w:eastAsia="zh-CN"/>
        </w:rPr>
        <w:t>、</w:t>
      </w:r>
      <w:r>
        <w:rPr>
          <w:rFonts w:hint="eastAsia" w:ascii="宋体" w:hAnsi="宋体"/>
        </w:rPr>
        <w:t>《河南省政府采购网》</w:t>
      </w:r>
      <w:r>
        <w:rPr>
          <w:rFonts w:hint="eastAsia" w:ascii="宋体" w:hAnsi="宋体"/>
          <w:lang w:eastAsia="zh-CN"/>
        </w:rPr>
        <w:t>、</w:t>
      </w:r>
      <w:r>
        <w:rPr>
          <w:rFonts w:hint="eastAsia" w:ascii="宋体" w:hAnsi="宋体"/>
        </w:rPr>
        <w:t>《</w:t>
      </w:r>
      <w:r>
        <w:rPr>
          <w:rFonts w:hint="eastAsia" w:ascii="宋体" w:hAnsi="宋体"/>
          <w:lang w:eastAsia="zh-CN"/>
        </w:rPr>
        <w:t>河南省科学院激光制造研究所</w:t>
      </w:r>
      <w:r>
        <w:rPr>
          <w:rFonts w:hint="eastAsia" w:ascii="宋体" w:hAnsi="宋体"/>
        </w:rPr>
        <w:t>》上发布，公告期限为三个工作日。</w:t>
      </w:r>
    </w:p>
    <w:p w14:paraId="698D819E">
      <w:pPr>
        <w:widowControl/>
        <w:spacing w:line="360" w:lineRule="auto"/>
        <w:ind w:firstLine="361"/>
        <w:jc w:val="left"/>
        <w:rPr>
          <w:rFonts w:ascii="宋体" w:hAnsi="宋体"/>
          <w:b/>
          <w:bCs/>
        </w:rPr>
      </w:pPr>
      <w:r>
        <w:rPr>
          <w:rFonts w:hint="eastAsia" w:ascii="宋体" w:hAnsi="宋体"/>
          <w:b/>
          <w:bCs/>
        </w:rPr>
        <w:t>七、其他补充事宜</w:t>
      </w:r>
    </w:p>
    <w:p w14:paraId="37FAAD15">
      <w:pPr>
        <w:widowControl/>
        <w:spacing w:line="360" w:lineRule="auto"/>
        <w:ind w:firstLine="420" w:firstLineChars="200"/>
        <w:jc w:val="left"/>
        <w:rPr>
          <w:rFonts w:ascii="宋体" w:hAnsi="宋体"/>
          <w:bCs/>
        </w:rPr>
      </w:pPr>
      <w:r>
        <w:rPr>
          <w:rFonts w:hint="eastAsia" w:ascii="宋体" w:hAnsi="宋体"/>
          <w:bCs/>
        </w:rPr>
        <w:t>本项目采用“远程不见面”开标方式；响应人应当在响应文件开启时间前,登录远程开标大厅,在线准时参加开标活动并进行响应文件解密、答疑澄清等 ；不见面服务的具体事宜请查阅河南省公共资源交易中心网站“办事指南”专区的《河南省公共资源交易平台不见面服务系统使用指南》。供应商如在交易平台系统规定时间内没有解密成功的，视为放弃投标。</w:t>
      </w:r>
    </w:p>
    <w:p w14:paraId="59769700">
      <w:pPr>
        <w:widowControl/>
        <w:spacing w:line="360" w:lineRule="auto"/>
        <w:ind w:firstLine="361"/>
        <w:jc w:val="left"/>
        <w:rPr>
          <w:rFonts w:ascii="宋体" w:hAnsi="宋体"/>
          <w:b/>
          <w:bCs/>
        </w:rPr>
      </w:pPr>
      <w:r>
        <w:rPr>
          <w:rFonts w:hint="eastAsia" w:ascii="宋体" w:hAnsi="宋体"/>
          <w:b/>
          <w:bCs/>
        </w:rPr>
        <w:t>八、凡对本次招标提出询问，请按照以下方式联系</w:t>
      </w:r>
    </w:p>
    <w:p w14:paraId="6C499019">
      <w:pPr>
        <w:widowControl/>
        <w:spacing w:line="360" w:lineRule="auto"/>
        <w:ind w:firstLine="420" w:firstLineChars="200"/>
        <w:jc w:val="left"/>
        <w:rPr>
          <w:rFonts w:ascii="宋体" w:hAnsi="宋体"/>
        </w:rPr>
      </w:pPr>
      <w:r>
        <w:rPr>
          <w:rFonts w:hint="eastAsia" w:ascii="宋体" w:hAnsi="宋体"/>
        </w:rPr>
        <w:t>1、采购人信息</w:t>
      </w:r>
    </w:p>
    <w:p w14:paraId="146B7728">
      <w:pPr>
        <w:widowControl/>
        <w:spacing w:line="360" w:lineRule="auto"/>
        <w:ind w:firstLine="420" w:firstLineChars="200"/>
        <w:jc w:val="left"/>
        <w:rPr>
          <w:rFonts w:hint="eastAsia" w:ascii="宋体" w:hAnsi="宋体" w:eastAsia="宋体"/>
          <w:lang w:eastAsia="zh-CN"/>
        </w:rPr>
      </w:pPr>
      <w:r>
        <w:rPr>
          <w:rFonts w:hint="eastAsia" w:ascii="宋体" w:hAnsi="宋体"/>
        </w:rPr>
        <w:t>名称：河南省科学院激光制造研究所</w:t>
      </w:r>
    </w:p>
    <w:p w14:paraId="6AE88FC9">
      <w:pPr>
        <w:widowControl/>
        <w:spacing w:line="360" w:lineRule="auto"/>
        <w:ind w:firstLine="420" w:firstLineChars="200"/>
        <w:jc w:val="left"/>
        <w:rPr>
          <w:rFonts w:ascii="宋体" w:hAnsi="宋体"/>
        </w:rPr>
      </w:pPr>
      <w:r>
        <w:rPr>
          <w:rFonts w:hint="eastAsia" w:ascii="宋体" w:hAnsi="宋体"/>
        </w:rPr>
        <w:t>地址：</w:t>
      </w:r>
      <w:r>
        <w:rPr>
          <w:rFonts w:hint="eastAsia" w:ascii="宋体" w:hAnsi="宋体" w:cs="宋体"/>
          <w:color w:val="auto"/>
          <w:szCs w:val="21"/>
          <w:highlight w:val="none"/>
          <w:lang w:eastAsia="zh-CN"/>
        </w:rPr>
        <w:t>郑州市郑东新区汉月街26号</w:t>
      </w:r>
      <w:r>
        <w:rPr>
          <w:rFonts w:hint="eastAsia"/>
          <w:lang w:eastAsia="zh-CN"/>
        </w:rPr>
        <w:t>中原量子谷</w:t>
      </w:r>
    </w:p>
    <w:p w14:paraId="0FA9ACF8">
      <w:pPr>
        <w:widowControl/>
        <w:spacing w:line="360" w:lineRule="auto"/>
        <w:ind w:firstLine="420" w:firstLineChars="200"/>
        <w:jc w:val="left"/>
        <w:rPr>
          <w:rFonts w:ascii="宋体" w:hAnsi="宋体"/>
        </w:rPr>
      </w:pPr>
      <w:r>
        <w:rPr>
          <w:rFonts w:hint="eastAsia" w:ascii="宋体" w:hAnsi="宋体"/>
        </w:rPr>
        <w:t>联 系 人：江浩庆</w:t>
      </w:r>
    </w:p>
    <w:p w14:paraId="153212FA">
      <w:pPr>
        <w:widowControl/>
        <w:spacing w:line="360" w:lineRule="auto"/>
        <w:ind w:firstLine="420" w:firstLineChars="200"/>
        <w:jc w:val="left"/>
        <w:rPr>
          <w:rFonts w:ascii="宋体" w:hAnsi="宋体"/>
        </w:rPr>
      </w:pPr>
      <w:r>
        <w:rPr>
          <w:rFonts w:hint="eastAsia" w:ascii="宋体" w:hAnsi="宋体"/>
        </w:rPr>
        <w:t>联系方式：0371-65347896</w:t>
      </w:r>
    </w:p>
    <w:p w14:paraId="66C64773">
      <w:pPr>
        <w:widowControl/>
        <w:spacing w:line="360" w:lineRule="auto"/>
        <w:ind w:firstLine="420" w:firstLineChars="200"/>
        <w:jc w:val="left"/>
        <w:rPr>
          <w:rFonts w:ascii="宋体" w:hAnsi="宋体"/>
        </w:rPr>
      </w:pPr>
      <w:r>
        <w:t>2、采购代理机构信息（如有）</w:t>
      </w:r>
    </w:p>
    <w:p w14:paraId="33408CA3">
      <w:pPr>
        <w:widowControl/>
        <w:spacing w:line="360" w:lineRule="auto"/>
        <w:ind w:firstLine="420" w:firstLineChars="200"/>
        <w:jc w:val="left"/>
        <w:rPr>
          <w:rFonts w:asciiTheme="minorEastAsia" w:hAnsiTheme="minorEastAsia" w:eastAsiaTheme="minorEastAsia" w:cstheme="minorEastAsia"/>
          <w:kern w:val="0"/>
        </w:rPr>
      </w:pPr>
      <w:r>
        <w:rPr>
          <w:rFonts w:hint="eastAsia" w:ascii="宋体" w:hAnsi="宋体"/>
        </w:rPr>
        <w:t>名称：</w:t>
      </w:r>
      <w:r>
        <w:rPr>
          <w:rFonts w:hint="eastAsia" w:asciiTheme="minorEastAsia" w:hAnsiTheme="minorEastAsia" w:eastAsiaTheme="minorEastAsia" w:cstheme="minorEastAsia"/>
          <w:kern w:val="0"/>
        </w:rPr>
        <w:t>中建山河建设管理集团有限公司</w:t>
      </w:r>
    </w:p>
    <w:p w14:paraId="2A236892">
      <w:pPr>
        <w:widowControl/>
        <w:spacing w:line="360" w:lineRule="auto"/>
        <w:ind w:firstLine="420" w:firstLineChars="200"/>
        <w:jc w:val="left"/>
        <w:rPr>
          <w:rFonts w:ascii="宋体" w:hAnsi="宋体"/>
        </w:rPr>
      </w:pPr>
      <w:r>
        <w:rPr>
          <w:rFonts w:hint="eastAsia" w:ascii="宋体" w:hAnsi="宋体"/>
        </w:rPr>
        <w:t>地址：</w:t>
      </w:r>
      <w:r>
        <w:rPr>
          <w:rFonts w:hint="eastAsia" w:asciiTheme="minorEastAsia" w:hAnsiTheme="minorEastAsia" w:eastAsiaTheme="minorEastAsia" w:cstheme="minorEastAsia"/>
          <w:kern w:val="0"/>
        </w:rPr>
        <w:t>郑州市郑东新区圃田西路与七里河南路交叉口西南角</w:t>
      </w:r>
      <w:r>
        <w:rPr>
          <w:rFonts w:hint="eastAsia" w:asciiTheme="minorEastAsia" w:hAnsiTheme="minorEastAsia" w:eastAsiaTheme="minorEastAsia" w:cstheme="minorEastAsia"/>
          <w:kern w:val="0"/>
          <w:lang w:eastAsia="zh-CN"/>
        </w:rPr>
        <w:t>明亮集团大楼</w:t>
      </w:r>
      <w:r>
        <w:rPr>
          <w:rFonts w:hint="eastAsia" w:asciiTheme="minorEastAsia" w:hAnsiTheme="minorEastAsia" w:eastAsiaTheme="minorEastAsia" w:cstheme="minorEastAsia"/>
          <w:kern w:val="0"/>
        </w:rPr>
        <w:t>三楼</w:t>
      </w:r>
    </w:p>
    <w:p w14:paraId="11121C9C">
      <w:pPr>
        <w:widowControl/>
        <w:spacing w:line="360" w:lineRule="auto"/>
        <w:ind w:firstLine="420" w:firstLineChars="200"/>
        <w:jc w:val="left"/>
        <w:rPr>
          <w:rFonts w:ascii="宋体" w:hAnsi="宋体"/>
        </w:rPr>
      </w:pPr>
      <w:r>
        <w:rPr>
          <w:rFonts w:hint="eastAsia" w:ascii="宋体" w:hAnsi="宋体"/>
        </w:rPr>
        <w:t>联系人：程萌</w:t>
      </w:r>
    </w:p>
    <w:p w14:paraId="79D621F5">
      <w:pPr>
        <w:widowControl/>
        <w:spacing w:line="360" w:lineRule="auto"/>
        <w:ind w:firstLine="420" w:firstLineChars="200"/>
        <w:jc w:val="left"/>
        <w:rPr>
          <w:rFonts w:ascii="宋体" w:hAnsi="宋体" w:eastAsiaTheme="minorEastAsia"/>
        </w:rPr>
      </w:pPr>
      <w:r>
        <w:rPr>
          <w:rFonts w:hint="eastAsia" w:ascii="宋体" w:hAnsi="宋体"/>
        </w:rPr>
        <w:t>联系方式：</w:t>
      </w:r>
      <w:r>
        <w:rPr>
          <w:rFonts w:hint="eastAsia" w:asciiTheme="minorEastAsia" w:hAnsiTheme="minorEastAsia" w:eastAsiaTheme="minorEastAsia" w:cstheme="minorEastAsia"/>
          <w:kern w:val="0"/>
        </w:rPr>
        <w:t>0371-86556161、15839171848</w:t>
      </w:r>
    </w:p>
    <w:p w14:paraId="2D842AC5">
      <w:pPr>
        <w:widowControl/>
        <w:spacing w:line="360" w:lineRule="auto"/>
        <w:ind w:firstLine="420" w:firstLineChars="200"/>
        <w:jc w:val="left"/>
        <w:rPr>
          <w:rFonts w:ascii="宋体" w:hAnsi="宋体"/>
        </w:rPr>
      </w:pPr>
      <w:r>
        <w:rPr>
          <w:rFonts w:hint="eastAsia" w:ascii="宋体" w:hAnsi="宋体"/>
        </w:rPr>
        <w:t>3、项目联系方式</w:t>
      </w:r>
    </w:p>
    <w:p w14:paraId="22673FEC">
      <w:pPr>
        <w:widowControl/>
        <w:spacing w:line="360" w:lineRule="auto"/>
        <w:ind w:firstLine="420" w:firstLineChars="200"/>
        <w:jc w:val="left"/>
        <w:rPr>
          <w:rFonts w:ascii="宋体" w:hAnsi="宋体"/>
        </w:rPr>
      </w:pPr>
      <w:r>
        <w:rPr>
          <w:rFonts w:hint="eastAsia" w:ascii="宋体" w:hAnsi="宋体"/>
        </w:rPr>
        <w:t>项目联系人：王朝艳、程萌</w:t>
      </w:r>
    </w:p>
    <w:p w14:paraId="6BD086E1">
      <w:pPr>
        <w:widowControl/>
        <w:spacing w:line="360" w:lineRule="auto"/>
        <w:ind w:firstLine="420" w:firstLineChars="200"/>
        <w:jc w:val="left"/>
        <w:rPr>
          <w:rFonts w:ascii="宋体" w:hAnsi="宋体" w:eastAsiaTheme="minorEastAsia"/>
        </w:rPr>
      </w:pPr>
      <w:r>
        <w:rPr>
          <w:rFonts w:hint="eastAsia" w:ascii="宋体" w:hAnsi="宋体"/>
        </w:rPr>
        <w:t>联系方式：</w:t>
      </w:r>
      <w:r>
        <w:rPr>
          <w:rFonts w:hint="eastAsia" w:asciiTheme="minorEastAsia" w:hAnsiTheme="minorEastAsia" w:eastAsiaTheme="minorEastAsia" w:cstheme="minorEastAsia"/>
          <w:kern w:val="0"/>
        </w:rPr>
        <w:t>0371-86556161、15839171848</w:t>
      </w:r>
    </w:p>
    <w:p w14:paraId="312BCCF5">
      <w:pPr>
        <w:spacing w:before="120" w:after="120"/>
        <w:jc w:val="center"/>
        <w:rPr>
          <w:rFonts w:hint="eastAsia" w:ascii="宋体" w:hAnsi="宋体"/>
          <w:bCs w:val="0"/>
          <w:sz w:val="32"/>
          <w:szCs w:val="32"/>
        </w:rPr>
      </w:pPr>
      <w:bookmarkStart w:id="17" w:name="_Toc5536"/>
      <w:bookmarkEnd w:id="17"/>
      <w:bookmarkStart w:id="18" w:name="_Toc129073455"/>
      <w:bookmarkStart w:id="19" w:name="_Toc26250"/>
      <w:bookmarkStart w:id="20" w:name="_Toc13868"/>
      <w:bookmarkStart w:id="21" w:name="_Toc24623"/>
      <w:r>
        <w:rPr>
          <w:rFonts w:hint="eastAsia" w:ascii="宋体" w:hAnsi="宋体"/>
          <w:bCs w:val="0"/>
          <w:sz w:val="32"/>
          <w:szCs w:val="32"/>
        </w:rPr>
        <w:br w:type="page"/>
      </w:r>
    </w:p>
    <w:p w14:paraId="6F64E675">
      <w:pPr>
        <w:pStyle w:val="2"/>
        <w:spacing w:before="120" w:after="120" w:line="400" w:lineRule="exact"/>
        <w:ind w:firstLine="482"/>
        <w:jc w:val="center"/>
        <w:rPr>
          <w:rFonts w:ascii="宋体" w:hAnsi="宋体"/>
          <w:sz w:val="32"/>
          <w:szCs w:val="32"/>
        </w:rPr>
      </w:pPr>
      <w:bookmarkStart w:id="22" w:name="_Toc1100"/>
      <w:bookmarkStart w:id="23" w:name="_Toc2196"/>
      <w:r>
        <w:rPr>
          <w:rFonts w:hint="eastAsia" w:ascii="宋体" w:hAnsi="宋体"/>
          <w:bCs w:val="0"/>
          <w:sz w:val="32"/>
          <w:szCs w:val="32"/>
        </w:rPr>
        <w:t>第二章  供应商须知</w:t>
      </w:r>
      <w:bookmarkEnd w:id="18"/>
      <w:bookmarkEnd w:id="19"/>
      <w:bookmarkEnd w:id="20"/>
      <w:bookmarkEnd w:id="21"/>
      <w:bookmarkEnd w:id="22"/>
      <w:bookmarkEnd w:id="23"/>
    </w:p>
    <w:p w14:paraId="641160C8">
      <w:pPr>
        <w:pStyle w:val="58"/>
        <w:ind w:firstLine="422"/>
        <w:jc w:val="center"/>
        <w:rPr>
          <w:rFonts w:ascii="宋体" w:hAnsi="宋体" w:eastAsia="宋体"/>
          <w:b/>
          <w:bCs w:val="0"/>
        </w:rPr>
      </w:pPr>
      <w:bookmarkStart w:id="24" w:name="_Toc22779"/>
      <w:bookmarkEnd w:id="24"/>
      <w:bookmarkStart w:id="25" w:name="_Toc152042304"/>
      <w:bookmarkEnd w:id="25"/>
      <w:bookmarkStart w:id="26" w:name="_Toc455080107"/>
      <w:bookmarkEnd w:id="26"/>
      <w:bookmarkStart w:id="27" w:name="_Toc466298090"/>
      <w:bookmarkEnd w:id="27"/>
      <w:bookmarkStart w:id="28" w:name="_Toc144974496"/>
      <w:bookmarkEnd w:id="28"/>
      <w:bookmarkStart w:id="29" w:name="_Toc152045528"/>
      <w:bookmarkEnd w:id="29"/>
      <w:bookmarkStart w:id="30" w:name="_Toc15439"/>
      <w:bookmarkStart w:id="31" w:name="_Toc21777"/>
      <w:bookmarkStart w:id="32" w:name="_Toc129073456"/>
      <w:bookmarkStart w:id="33" w:name="_Toc990"/>
      <w:bookmarkStart w:id="34" w:name="_Toc509667259"/>
      <w:bookmarkStart w:id="35" w:name="_Toc17665"/>
      <w:bookmarkStart w:id="36" w:name="_Toc11223"/>
      <w:r>
        <w:rPr>
          <w:rFonts w:hint="eastAsia" w:ascii="宋体" w:hAnsi="宋体" w:eastAsia="宋体"/>
          <w:b/>
          <w:bCs w:val="0"/>
        </w:rPr>
        <w:t>供应商须知前附表</w:t>
      </w:r>
      <w:bookmarkEnd w:id="30"/>
      <w:bookmarkEnd w:id="31"/>
      <w:bookmarkEnd w:id="32"/>
      <w:bookmarkEnd w:id="33"/>
      <w:bookmarkEnd w:id="34"/>
      <w:bookmarkEnd w:id="35"/>
      <w:bookmarkEnd w:id="36"/>
    </w:p>
    <w:tbl>
      <w:tblPr>
        <w:tblStyle w:val="34"/>
        <w:tblW w:w="8827" w:type="dxa"/>
        <w:jc w:val="center"/>
        <w:tblLayout w:type="fixed"/>
        <w:tblCellMar>
          <w:top w:w="0" w:type="dxa"/>
          <w:left w:w="108" w:type="dxa"/>
          <w:bottom w:w="0" w:type="dxa"/>
          <w:right w:w="108" w:type="dxa"/>
        </w:tblCellMar>
      </w:tblPr>
      <w:tblGrid>
        <w:gridCol w:w="980"/>
        <w:gridCol w:w="20"/>
        <w:gridCol w:w="2212"/>
        <w:gridCol w:w="5615"/>
      </w:tblGrid>
      <w:tr w14:paraId="2A4AC44D">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14:paraId="2A7692A8">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textAlignment w:val="baseline"/>
              <w:rPr>
                <w:rFonts w:ascii="宋体" w:hAnsi="宋体"/>
                <w:b/>
                <w:bCs/>
              </w:rPr>
            </w:pPr>
            <w:bookmarkStart w:id="37" w:name="_Toc21190"/>
            <w:bookmarkEnd w:id="37"/>
            <w:bookmarkStart w:id="38" w:name="_Toc129073457"/>
            <w:r>
              <w:rPr>
                <w:rFonts w:hint="eastAsia" w:ascii="宋体" w:hAnsi="宋体"/>
                <w:b/>
                <w:bCs/>
              </w:rPr>
              <w:t>条款号</w:t>
            </w:r>
          </w:p>
        </w:tc>
        <w:tc>
          <w:tcPr>
            <w:tcW w:w="2232" w:type="dxa"/>
            <w:gridSpan w:val="2"/>
            <w:tcBorders>
              <w:top w:val="single" w:color="auto" w:sz="4" w:space="0"/>
              <w:left w:val="nil"/>
              <w:bottom w:val="single" w:color="auto" w:sz="4" w:space="0"/>
              <w:right w:val="single" w:color="auto" w:sz="4" w:space="0"/>
            </w:tcBorders>
            <w:vAlign w:val="center"/>
          </w:tcPr>
          <w:p w14:paraId="1953E6C6">
            <w:pPr>
              <w:keepNext w:val="0"/>
              <w:keepLines w:val="0"/>
              <w:pageBreakBefore w:val="0"/>
              <w:widowControl w:val="0"/>
              <w:kinsoku/>
              <w:wordWrap/>
              <w:overflowPunct/>
              <w:autoSpaceDE/>
              <w:autoSpaceDN/>
              <w:bidi w:val="0"/>
              <w:adjustRightInd w:val="0"/>
              <w:snapToGrid w:val="0"/>
              <w:spacing w:before="40" w:after="40" w:line="360" w:lineRule="auto"/>
              <w:ind w:left="0" w:leftChars="0" w:firstLine="361"/>
              <w:jc w:val="center"/>
              <w:textAlignment w:val="baseline"/>
              <w:rPr>
                <w:rFonts w:ascii="宋体" w:hAnsi="宋体"/>
                <w:b/>
                <w:bCs/>
              </w:rPr>
            </w:pPr>
            <w:r>
              <w:rPr>
                <w:rFonts w:hint="eastAsia" w:ascii="宋体" w:hAnsi="宋体"/>
                <w:b/>
                <w:bCs/>
              </w:rPr>
              <w:t>条款名称</w:t>
            </w:r>
          </w:p>
        </w:tc>
        <w:tc>
          <w:tcPr>
            <w:tcW w:w="5615" w:type="dxa"/>
            <w:tcBorders>
              <w:top w:val="single" w:color="auto" w:sz="4" w:space="0"/>
              <w:left w:val="nil"/>
              <w:bottom w:val="single" w:color="auto" w:sz="4" w:space="0"/>
              <w:right w:val="single" w:color="auto" w:sz="4" w:space="0"/>
            </w:tcBorders>
            <w:vAlign w:val="center"/>
          </w:tcPr>
          <w:p w14:paraId="3A0D9029">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jc w:val="center"/>
              <w:textAlignment w:val="baseline"/>
              <w:rPr>
                <w:rFonts w:ascii="宋体" w:hAnsi="宋体"/>
                <w:b/>
                <w:bCs/>
              </w:rPr>
            </w:pPr>
            <w:r>
              <w:rPr>
                <w:rFonts w:hint="eastAsia" w:ascii="宋体" w:hAnsi="宋体"/>
                <w:b/>
                <w:bCs/>
              </w:rPr>
              <w:t>编  列  内  容</w:t>
            </w:r>
          </w:p>
        </w:tc>
      </w:tr>
      <w:tr w14:paraId="2A3B1A20">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14:paraId="43784032">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textAlignment w:val="baseline"/>
              <w:rPr>
                <w:rFonts w:ascii="宋体" w:hAnsi="宋体"/>
              </w:rPr>
            </w:pPr>
            <w:r>
              <w:rPr>
                <w:rFonts w:hint="eastAsia" w:ascii="宋体" w:hAnsi="宋体"/>
              </w:rPr>
              <w:t>1.1.2</w:t>
            </w:r>
          </w:p>
        </w:tc>
        <w:tc>
          <w:tcPr>
            <w:tcW w:w="2232" w:type="dxa"/>
            <w:gridSpan w:val="2"/>
            <w:tcBorders>
              <w:top w:val="single" w:color="auto" w:sz="4" w:space="0"/>
              <w:left w:val="nil"/>
              <w:bottom w:val="single" w:color="auto" w:sz="4" w:space="0"/>
              <w:right w:val="single" w:color="auto" w:sz="4" w:space="0"/>
            </w:tcBorders>
            <w:vAlign w:val="center"/>
          </w:tcPr>
          <w:p w14:paraId="193ED25E">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textAlignment w:val="baseline"/>
              <w:rPr>
                <w:rFonts w:ascii="宋体" w:hAnsi="宋体"/>
              </w:rPr>
            </w:pPr>
            <w:r>
              <w:rPr>
                <w:rFonts w:hint="eastAsia" w:ascii="宋体" w:hAnsi="宋体"/>
              </w:rPr>
              <w:t>采购人</w:t>
            </w:r>
          </w:p>
        </w:tc>
        <w:tc>
          <w:tcPr>
            <w:tcW w:w="5615" w:type="dxa"/>
            <w:tcBorders>
              <w:top w:val="single" w:color="auto" w:sz="4" w:space="0"/>
              <w:left w:val="nil"/>
              <w:bottom w:val="single" w:color="auto" w:sz="4" w:space="0"/>
              <w:right w:val="single" w:color="auto" w:sz="4" w:space="0"/>
            </w:tcBorders>
            <w:vAlign w:val="center"/>
          </w:tcPr>
          <w:p w14:paraId="5074D423">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jc w:val="left"/>
              <w:rPr>
                <w:rFonts w:hint="eastAsia" w:ascii="宋体" w:hAnsi="宋体" w:eastAsia="宋体"/>
                <w:lang w:eastAsia="zh-CN"/>
              </w:rPr>
            </w:pPr>
            <w:r>
              <w:rPr>
                <w:rFonts w:hint="eastAsia" w:ascii="宋体" w:hAnsi="宋体"/>
              </w:rPr>
              <w:t>名称：</w:t>
            </w:r>
            <w:r>
              <w:rPr>
                <w:rFonts w:hint="eastAsia" w:ascii="宋体" w:hAnsi="宋体"/>
                <w:lang w:eastAsia="zh-CN"/>
              </w:rPr>
              <w:t>河南省科学院激光制造研究所</w:t>
            </w:r>
          </w:p>
          <w:p w14:paraId="7219F955">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textAlignment w:val="baseline"/>
              <w:rPr>
                <w:rFonts w:ascii="宋体" w:hAnsi="宋体"/>
              </w:rPr>
            </w:pPr>
            <w:r>
              <w:rPr>
                <w:rFonts w:hint="eastAsia" w:ascii="宋体" w:hAnsi="宋体"/>
              </w:rPr>
              <w:t>地址：</w:t>
            </w:r>
            <w:r>
              <w:rPr>
                <w:rFonts w:hint="eastAsia" w:ascii="宋体" w:hAnsi="宋体"/>
                <w:lang w:eastAsia="zh-CN"/>
              </w:rPr>
              <w:t>郑州市郑东新区汉月街26号</w:t>
            </w:r>
          </w:p>
          <w:p w14:paraId="169A2060">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textAlignment w:val="baseline"/>
              <w:rPr>
                <w:rFonts w:ascii="宋体" w:hAnsi="宋体"/>
              </w:rPr>
            </w:pPr>
            <w:r>
              <w:rPr>
                <w:rFonts w:hint="eastAsia" w:ascii="宋体" w:hAnsi="宋体"/>
              </w:rPr>
              <w:t>联 系 人：江浩庆</w:t>
            </w:r>
          </w:p>
          <w:p w14:paraId="41156F9E">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textAlignment w:val="baseline"/>
              <w:rPr>
                <w:rFonts w:ascii="宋体" w:hAnsi="宋体"/>
              </w:rPr>
            </w:pPr>
            <w:r>
              <w:rPr>
                <w:rFonts w:hint="eastAsia" w:ascii="宋体" w:hAnsi="宋体"/>
              </w:rPr>
              <w:t>联系方式：0371-65347896</w:t>
            </w:r>
          </w:p>
        </w:tc>
      </w:tr>
      <w:tr w14:paraId="68BF8CF3">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14:paraId="62C33E98">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textAlignment w:val="baseline"/>
              <w:rPr>
                <w:rFonts w:ascii="宋体" w:hAnsi="宋体"/>
              </w:rPr>
            </w:pPr>
            <w:r>
              <w:rPr>
                <w:rFonts w:hint="eastAsia" w:ascii="宋体" w:hAnsi="宋体"/>
              </w:rPr>
              <w:t>1.1.3</w:t>
            </w:r>
          </w:p>
        </w:tc>
        <w:tc>
          <w:tcPr>
            <w:tcW w:w="2232" w:type="dxa"/>
            <w:gridSpan w:val="2"/>
            <w:tcBorders>
              <w:top w:val="single" w:color="auto" w:sz="4" w:space="0"/>
              <w:left w:val="nil"/>
              <w:bottom w:val="single" w:color="auto" w:sz="4" w:space="0"/>
              <w:right w:val="single" w:color="auto" w:sz="4" w:space="0"/>
            </w:tcBorders>
            <w:vAlign w:val="center"/>
          </w:tcPr>
          <w:p w14:paraId="417F2F95">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textAlignment w:val="baseline"/>
              <w:rPr>
                <w:rFonts w:ascii="宋体" w:hAnsi="宋体"/>
              </w:rPr>
            </w:pPr>
            <w:r>
              <w:rPr>
                <w:rFonts w:hint="eastAsia" w:ascii="宋体" w:hAnsi="宋体"/>
              </w:rPr>
              <w:t>采购代理机构</w:t>
            </w:r>
          </w:p>
        </w:tc>
        <w:tc>
          <w:tcPr>
            <w:tcW w:w="5615" w:type="dxa"/>
            <w:tcBorders>
              <w:top w:val="single" w:color="auto" w:sz="4" w:space="0"/>
              <w:left w:val="nil"/>
              <w:bottom w:val="single" w:color="auto" w:sz="4" w:space="0"/>
              <w:right w:val="single" w:color="auto" w:sz="4" w:space="0"/>
            </w:tcBorders>
            <w:vAlign w:val="center"/>
          </w:tcPr>
          <w:p w14:paraId="5237F8F2">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jc w:val="left"/>
              <w:rPr>
                <w:rFonts w:ascii="宋体" w:hAnsi="宋体"/>
              </w:rPr>
            </w:pPr>
            <w:r>
              <w:rPr>
                <w:rFonts w:hint="eastAsia" w:ascii="宋体" w:hAnsi="宋体"/>
              </w:rPr>
              <w:t>名称：中建山河建设管理集团有限公司</w:t>
            </w:r>
          </w:p>
          <w:p w14:paraId="21122524">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jc w:val="left"/>
              <w:rPr>
                <w:rFonts w:ascii="宋体" w:hAnsi="宋体"/>
              </w:rPr>
            </w:pPr>
            <w:r>
              <w:rPr>
                <w:rFonts w:hint="eastAsia" w:ascii="宋体" w:hAnsi="宋体"/>
              </w:rPr>
              <w:t>地址：郑州市郑东新区圃田西路与七里河南路交叉口西南角</w:t>
            </w:r>
            <w:r>
              <w:rPr>
                <w:rFonts w:hint="eastAsia" w:ascii="宋体" w:hAnsi="宋体"/>
                <w:lang w:eastAsia="zh-CN"/>
              </w:rPr>
              <w:t>明亮集团大楼</w:t>
            </w:r>
            <w:r>
              <w:rPr>
                <w:rFonts w:hint="eastAsia" w:ascii="宋体" w:hAnsi="宋体"/>
              </w:rPr>
              <w:t>三楼</w:t>
            </w:r>
          </w:p>
          <w:p w14:paraId="0E2E424A">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jc w:val="left"/>
              <w:rPr>
                <w:rFonts w:ascii="宋体" w:hAnsi="宋体"/>
              </w:rPr>
            </w:pPr>
            <w:r>
              <w:rPr>
                <w:rFonts w:hint="eastAsia" w:ascii="宋体" w:hAnsi="宋体"/>
              </w:rPr>
              <w:t>联系人：程萌</w:t>
            </w:r>
          </w:p>
          <w:p w14:paraId="4D3BB877">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jc w:val="left"/>
              <w:rPr>
                <w:rFonts w:ascii="宋体" w:hAnsi="宋体"/>
              </w:rPr>
            </w:pPr>
            <w:r>
              <w:rPr>
                <w:rFonts w:hint="eastAsia" w:ascii="宋体" w:hAnsi="宋体"/>
              </w:rPr>
              <w:t>联系方式：0371-86556161、15839171848</w:t>
            </w:r>
          </w:p>
        </w:tc>
      </w:tr>
      <w:tr w14:paraId="336C2685">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14:paraId="5C3D7B7B">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textAlignment w:val="baseline"/>
              <w:rPr>
                <w:rFonts w:ascii="宋体" w:hAnsi="宋体"/>
              </w:rPr>
            </w:pPr>
            <w:r>
              <w:rPr>
                <w:rFonts w:hint="eastAsia" w:ascii="宋体" w:hAnsi="宋体"/>
              </w:rPr>
              <w:t>1.1.4</w:t>
            </w:r>
          </w:p>
        </w:tc>
        <w:tc>
          <w:tcPr>
            <w:tcW w:w="2232" w:type="dxa"/>
            <w:gridSpan w:val="2"/>
            <w:tcBorders>
              <w:top w:val="single" w:color="auto" w:sz="4" w:space="0"/>
              <w:left w:val="nil"/>
              <w:bottom w:val="single" w:color="auto" w:sz="4" w:space="0"/>
              <w:right w:val="single" w:color="auto" w:sz="4" w:space="0"/>
            </w:tcBorders>
            <w:vAlign w:val="center"/>
          </w:tcPr>
          <w:p w14:paraId="4139B7D0">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textAlignment w:val="baseline"/>
              <w:rPr>
                <w:rFonts w:ascii="宋体" w:hAnsi="宋体"/>
              </w:rPr>
            </w:pPr>
            <w:r>
              <w:rPr>
                <w:rFonts w:hint="eastAsia" w:ascii="宋体" w:hAnsi="宋体"/>
              </w:rPr>
              <w:t>项目名称</w:t>
            </w:r>
          </w:p>
        </w:tc>
        <w:tc>
          <w:tcPr>
            <w:tcW w:w="5615" w:type="dxa"/>
            <w:tcBorders>
              <w:top w:val="single" w:color="auto" w:sz="4" w:space="0"/>
              <w:left w:val="nil"/>
              <w:bottom w:val="single" w:color="auto" w:sz="4" w:space="0"/>
              <w:right w:val="single" w:color="auto" w:sz="4" w:space="0"/>
            </w:tcBorders>
            <w:vAlign w:val="center"/>
          </w:tcPr>
          <w:p w14:paraId="054EF5FD">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rPr>
                <w:rFonts w:hint="eastAsia" w:ascii="宋体" w:hAnsi="宋体" w:eastAsia="宋体"/>
                <w:lang w:eastAsia="zh-CN"/>
              </w:rPr>
            </w:pPr>
            <w:r>
              <w:rPr>
                <w:rFonts w:hint="eastAsia" w:ascii="宋体" w:hAnsi="宋体"/>
                <w:lang w:eastAsia="zh-CN"/>
              </w:rPr>
              <w:t>河南省科学院激光制造研究所中原量子谷大型仪器共享平台基础设施建设项目</w:t>
            </w:r>
          </w:p>
        </w:tc>
      </w:tr>
      <w:tr w14:paraId="2A8FA147">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14:paraId="7BE06BB8">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textAlignment w:val="baseline"/>
              <w:rPr>
                <w:rFonts w:ascii="宋体" w:hAnsi="宋体"/>
              </w:rPr>
            </w:pPr>
            <w:r>
              <w:rPr>
                <w:rFonts w:hint="eastAsia" w:ascii="宋体" w:hAnsi="宋体"/>
              </w:rPr>
              <w:t>1.2.1</w:t>
            </w:r>
          </w:p>
        </w:tc>
        <w:tc>
          <w:tcPr>
            <w:tcW w:w="2232" w:type="dxa"/>
            <w:gridSpan w:val="2"/>
            <w:tcBorders>
              <w:top w:val="single" w:color="auto" w:sz="4" w:space="0"/>
              <w:left w:val="nil"/>
              <w:bottom w:val="single" w:color="auto" w:sz="4" w:space="0"/>
              <w:right w:val="single" w:color="auto" w:sz="4" w:space="0"/>
            </w:tcBorders>
            <w:vAlign w:val="center"/>
          </w:tcPr>
          <w:p w14:paraId="1E9EBCDB">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rPr>
                <w:rFonts w:ascii="宋体" w:hAnsi="宋体"/>
              </w:rPr>
            </w:pPr>
            <w:r>
              <w:rPr>
                <w:rFonts w:hint="eastAsia" w:ascii="宋体" w:hAnsi="宋体"/>
              </w:rPr>
              <w:t>资金来源</w:t>
            </w:r>
          </w:p>
        </w:tc>
        <w:tc>
          <w:tcPr>
            <w:tcW w:w="5615" w:type="dxa"/>
            <w:tcBorders>
              <w:top w:val="single" w:color="auto" w:sz="4" w:space="0"/>
              <w:left w:val="nil"/>
              <w:bottom w:val="single" w:color="auto" w:sz="4" w:space="0"/>
              <w:right w:val="single" w:color="auto" w:sz="4" w:space="0"/>
            </w:tcBorders>
            <w:vAlign w:val="center"/>
          </w:tcPr>
          <w:p w14:paraId="0CEB986E">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rPr>
                <w:rFonts w:ascii="宋体" w:hAnsi="宋体"/>
              </w:rPr>
            </w:pPr>
            <w:r>
              <w:rPr>
                <w:rFonts w:hint="eastAsia" w:ascii="宋体" w:hAnsi="宋体"/>
              </w:rPr>
              <w:t>财政资金</w:t>
            </w:r>
          </w:p>
        </w:tc>
      </w:tr>
      <w:tr w14:paraId="501A8894">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14:paraId="04FD5DD7">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textAlignment w:val="baseline"/>
              <w:rPr>
                <w:rFonts w:ascii="宋体" w:hAnsi="宋体"/>
              </w:rPr>
            </w:pPr>
            <w:r>
              <w:rPr>
                <w:rFonts w:hint="eastAsia" w:ascii="宋体" w:hAnsi="宋体"/>
              </w:rPr>
              <w:t>1.2.2</w:t>
            </w:r>
          </w:p>
        </w:tc>
        <w:tc>
          <w:tcPr>
            <w:tcW w:w="2232" w:type="dxa"/>
            <w:gridSpan w:val="2"/>
            <w:tcBorders>
              <w:top w:val="single" w:color="auto" w:sz="4" w:space="0"/>
              <w:left w:val="nil"/>
              <w:bottom w:val="single" w:color="auto" w:sz="4" w:space="0"/>
              <w:right w:val="single" w:color="auto" w:sz="4" w:space="0"/>
            </w:tcBorders>
            <w:vAlign w:val="center"/>
          </w:tcPr>
          <w:p w14:paraId="01146675">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textAlignment w:val="baseline"/>
              <w:rPr>
                <w:rFonts w:ascii="宋体" w:hAnsi="宋体"/>
              </w:rPr>
            </w:pPr>
            <w:r>
              <w:rPr>
                <w:rFonts w:hint="eastAsia" w:ascii="宋体" w:hAnsi="宋体"/>
              </w:rPr>
              <w:t>落实情况</w:t>
            </w:r>
          </w:p>
        </w:tc>
        <w:tc>
          <w:tcPr>
            <w:tcW w:w="5615" w:type="dxa"/>
            <w:tcBorders>
              <w:top w:val="single" w:color="auto" w:sz="4" w:space="0"/>
              <w:left w:val="nil"/>
              <w:bottom w:val="single" w:color="auto" w:sz="4" w:space="0"/>
              <w:right w:val="single" w:color="auto" w:sz="4" w:space="0"/>
            </w:tcBorders>
            <w:vAlign w:val="center"/>
          </w:tcPr>
          <w:p w14:paraId="32E3D531">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rPr>
                <w:rFonts w:ascii="宋体" w:hAnsi="宋体"/>
              </w:rPr>
            </w:pPr>
            <w:r>
              <w:rPr>
                <w:rFonts w:hint="eastAsia" w:ascii="宋体" w:hAnsi="宋体"/>
              </w:rPr>
              <w:t>已落实</w:t>
            </w:r>
          </w:p>
        </w:tc>
      </w:tr>
      <w:tr w14:paraId="3AEFDEA0">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14:paraId="514905D0">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textAlignment w:val="baseline"/>
              <w:rPr>
                <w:rFonts w:ascii="宋体" w:hAnsi="宋体"/>
              </w:rPr>
            </w:pPr>
            <w:r>
              <w:rPr>
                <w:rFonts w:hint="eastAsia" w:ascii="宋体" w:hAnsi="宋体"/>
              </w:rPr>
              <w:t>1.3.1</w:t>
            </w:r>
          </w:p>
        </w:tc>
        <w:tc>
          <w:tcPr>
            <w:tcW w:w="2232" w:type="dxa"/>
            <w:gridSpan w:val="2"/>
            <w:tcBorders>
              <w:top w:val="single" w:color="auto" w:sz="4" w:space="0"/>
              <w:left w:val="nil"/>
              <w:bottom w:val="single" w:color="auto" w:sz="4" w:space="0"/>
              <w:right w:val="single" w:color="auto" w:sz="4" w:space="0"/>
            </w:tcBorders>
            <w:vAlign w:val="center"/>
          </w:tcPr>
          <w:p w14:paraId="2F5ABE6B">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textAlignment w:val="baseline"/>
              <w:rPr>
                <w:rFonts w:ascii="宋体" w:hAnsi="宋体"/>
              </w:rPr>
            </w:pPr>
            <w:r>
              <w:rPr>
                <w:rFonts w:hint="eastAsia" w:ascii="宋体" w:hAnsi="宋体"/>
              </w:rPr>
              <w:t>采购内容及范围</w:t>
            </w:r>
          </w:p>
        </w:tc>
        <w:tc>
          <w:tcPr>
            <w:tcW w:w="5615" w:type="dxa"/>
            <w:tcBorders>
              <w:top w:val="single" w:color="auto" w:sz="4" w:space="0"/>
              <w:left w:val="nil"/>
              <w:bottom w:val="single" w:color="auto" w:sz="4" w:space="0"/>
              <w:right w:val="single" w:color="auto" w:sz="4" w:space="0"/>
            </w:tcBorders>
            <w:vAlign w:val="center"/>
          </w:tcPr>
          <w:p w14:paraId="1DD176B0">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rPr>
                <w:rFonts w:ascii="宋体" w:hAnsi="宋体"/>
              </w:rPr>
            </w:pPr>
            <w:r>
              <w:rPr>
                <w:rFonts w:hint="eastAsia" w:ascii="宋体" w:hAnsi="宋体"/>
                <w:lang w:eastAsia="zh-CN"/>
              </w:rPr>
              <w:t>采购内容</w:t>
            </w:r>
            <w:r>
              <w:rPr>
                <w:rFonts w:hint="eastAsia" w:ascii="宋体" w:hAnsi="宋体"/>
              </w:rPr>
              <w:t>：</w:t>
            </w:r>
            <w:r>
              <w:rPr>
                <w:rFonts w:hint="eastAsia" w:ascii="宋体" w:hAnsi="宋体"/>
                <w:lang w:eastAsia="zh-CN"/>
              </w:rPr>
              <w:t>河南省科学院激光制造研究所中原量子谷大型仪器共享平台基础设施建设项目，</w:t>
            </w:r>
            <w:r>
              <w:rPr>
                <w:rFonts w:hint="eastAsia" w:ascii="宋体" w:hAnsi="宋体"/>
                <w:lang w:val="en-US" w:eastAsia="zh-CN"/>
              </w:rPr>
              <w:t>具体详见工程量清单和图纸等</w:t>
            </w:r>
            <w:r>
              <w:rPr>
                <w:rFonts w:hint="eastAsia" w:ascii="宋体" w:hAnsi="宋体"/>
              </w:rPr>
              <w:t>；</w:t>
            </w:r>
          </w:p>
          <w:p w14:paraId="744A6780">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rPr>
                <w:rFonts w:ascii="宋体" w:hAnsi="宋体"/>
              </w:rPr>
            </w:pPr>
            <w:r>
              <w:rPr>
                <w:rFonts w:hint="eastAsia" w:ascii="宋体" w:hAnsi="宋体"/>
              </w:rPr>
              <w:t>采购范围：</w:t>
            </w:r>
            <w:r>
              <w:rPr>
                <w:rFonts w:hint="eastAsia" w:ascii="宋体" w:hAnsi="宋体"/>
                <w:lang w:eastAsia="zh-CN"/>
              </w:rPr>
              <w:t>本项目工程量清单、图纸、竞争性磋商文件所包含全部内容的施工、竣工验收、保修和相关服务</w:t>
            </w:r>
            <w:r>
              <w:rPr>
                <w:rFonts w:hint="eastAsia" w:ascii="宋体" w:hAnsi="宋体"/>
              </w:rPr>
              <w:t>；</w:t>
            </w:r>
          </w:p>
        </w:tc>
      </w:tr>
      <w:tr w14:paraId="3CBF9B12">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14:paraId="2A3F93FA">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textAlignment w:val="baseline"/>
              <w:rPr>
                <w:rFonts w:ascii="宋体" w:hAnsi="宋体"/>
              </w:rPr>
            </w:pPr>
            <w:r>
              <w:rPr>
                <w:rFonts w:hint="eastAsia" w:ascii="宋体" w:hAnsi="宋体"/>
              </w:rPr>
              <w:t>1.3.2</w:t>
            </w:r>
          </w:p>
        </w:tc>
        <w:tc>
          <w:tcPr>
            <w:tcW w:w="2232" w:type="dxa"/>
            <w:gridSpan w:val="2"/>
            <w:tcBorders>
              <w:top w:val="single" w:color="auto" w:sz="4" w:space="0"/>
              <w:left w:val="nil"/>
              <w:bottom w:val="single" w:color="auto" w:sz="4" w:space="0"/>
              <w:right w:val="single" w:color="auto" w:sz="4" w:space="0"/>
            </w:tcBorders>
            <w:vAlign w:val="center"/>
          </w:tcPr>
          <w:p w14:paraId="45BFC2DD">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textAlignment w:val="baseline"/>
              <w:rPr>
                <w:rFonts w:ascii="宋体" w:hAnsi="宋体"/>
              </w:rPr>
            </w:pPr>
            <w:r>
              <w:rPr>
                <w:rFonts w:hint="eastAsia" w:ascii="宋体" w:hAnsi="宋体"/>
              </w:rPr>
              <w:t>建设地点</w:t>
            </w:r>
          </w:p>
        </w:tc>
        <w:tc>
          <w:tcPr>
            <w:tcW w:w="5615" w:type="dxa"/>
            <w:tcBorders>
              <w:top w:val="single" w:color="auto" w:sz="4" w:space="0"/>
              <w:left w:val="nil"/>
              <w:bottom w:val="single" w:color="auto" w:sz="4" w:space="0"/>
              <w:right w:val="single" w:color="auto" w:sz="4" w:space="0"/>
            </w:tcBorders>
            <w:vAlign w:val="center"/>
          </w:tcPr>
          <w:p w14:paraId="473AADA9">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rPr>
                <w:rFonts w:hint="eastAsia" w:ascii="宋体" w:hAnsi="宋体" w:eastAsia="宋体"/>
                <w:lang w:eastAsia="zh-CN"/>
              </w:rPr>
            </w:pPr>
            <w:r>
              <w:rPr>
                <w:rFonts w:hint="eastAsia" w:ascii="宋体" w:hAnsi="宋体" w:eastAsia="宋体"/>
                <w:lang w:eastAsia="zh-CN"/>
              </w:rPr>
              <w:t>郑州市郑东新区汉月街26号</w:t>
            </w:r>
            <w:r>
              <w:rPr>
                <w:rFonts w:hint="eastAsia"/>
                <w:lang w:eastAsia="zh-CN"/>
              </w:rPr>
              <w:t>中原量子谷</w:t>
            </w:r>
          </w:p>
        </w:tc>
      </w:tr>
      <w:tr w14:paraId="0D1AA1F3">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14:paraId="387922E3">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textAlignment w:val="baseline"/>
              <w:rPr>
                <w:rFonts w:ascii="宋体" w:hAnsi="宋体"/>
              </w:rPr>
            </w:pPr>
            <w:r>
              <w:rPr>
                <w:rFonts w:hint="eastAsia" w:ascii="宋体" w:hAnsi="宋体"/>
              </w:rPr>
              <w:t>1.3.3</w:t>
            </w:r>
          </w:p>
        </w:tc>
        <w:tc>
          <w:tcPr>
            <w:tcW w:w="2232" w:type="dxa"/>
            <w:gridSpan w:val="2"/>
            <w:tcBorders>
              <w:top w:val="single" w:color="auto" w:sz="4" w:space="0"/>
              <w:left w:val="nil"/>
              <w:bottom w:val="single" w:color="auto" w:sz="4" w:space="0"/>
              <w:right w:val="single" w:color="auto" w:sz="4" w:space="0"/>
            </w:tcBorders>
            <w:vAlign w:val="center"/>
          </w:tcPr>
          <w:p w14:paraId="44A8A4D6">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rPr>
                <w:rFonts w:ascii="宋体" w:hAnsi="宋体"/>
                <w:highlight w:val="none"/>
              </w:rPr>
            </w:pPr>
            <w:r>
              <w:rPr>
                <w:rFonts w:hint="eastAsia" w:ascii="宋体" w:hAnsi="宋体"/>
                <w:highlight w:val="none"/>
              </w:rPr>
              <w:t>工期要求</w:t>
            </w:r>
          </w:p>
        </w:tc>
        <w:tc>
          <w:tcPr>
            <w:tcW w:w="5615" w:type="dxa"/>
            <w:tcBorders>
              <w:top w:val="single" w:color="auto" w:sz="4" w:space="0"/>
              <w:left w:val="nil"/>
              <w:bottom w:val="single" w:color="auto" w:sz="4" w:space="0"/>
              <w:right w:val="single" w:color="auto" w:sz="4" w:space="0"/>
            </w:tcBorders>
            <w:vAlign w:val="center"/>
          </w:tcPr>
          <w:p w14:paraId="7A2E23EC">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rPr>
                <w:rFonts w:hint="eastAsia" w:ascii="宋体" w:hAnsi="宋体" w:eastAsia="宋体"/>
                <w:highlight w:val="none"/>
                <w:lang w:eastAsia="zh-CN"/>
              </w:rPr>
            </w:pPr>
            <w:r>
              <w:rPr>
                <w:rFonts w:hint="eastAsia" w:ascii="宋体" w:hAnsi="宋体"/>
                <w:highlight w:val="none"/>
                <w:lang w:val="en-US" w:eastAsia="zh-CN"/>
              </w:rPr>
              <w:t>120日历天</w:t>
            </w:r>
          </w:p>
        </w:tc>
      </w:tr>
      <w:tr w14:paraId="66E28534">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14:paraId="4DFD005C">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textAlignment w:val="baseline"/>
              <w:rPr>
                <w:rFonts w:ascii="宋体" w:hAnsi="宋体"/>
              </w:rPr>
            </w:pPr>
            <w:r>
              <w:rPr>
                <w:rFonts w:hint="eastAsia" w:ascii="宋体" w:hAnsi="宋体"/>
              </w:rPr>
              <w:t>1.3.4</w:t>
            </w:r>
          </w:p>
        </w:tc>
        <w:tc>
          <w:tcPr>
            <w:tcW w:w="2232" w:type="dxa"/>
            <w:gridSpan w:val="2"/>
            <w:tcBorders>
              <w:top w:val="single" w:color="auto" w:sz="4" w:space="0"/>
              <w:left w:val="nil"/>
              <w:bottom w:val="single" w:color="auto" w:sz="4" w:space="0"/>
              <w:right w:val="single" w:color="auto" w:sz="4" w:space="0"/>
            </w:tcBorders>
            <w:vAlign w:val="center"/>
          </w:tcPr>
          <w:p w14:paraId="4B601DB9">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rPr>
                <w:rFonts w:ascii="宋体" w:hAnsi="宋体"/>
              </w:rPr>
            </w:pPr>
            <w:r>
              <w:rPr>
                <w:rFonts w:hint="eastAsia" w:ascii="宋体" w:hAnsi="宋体"/>
              </w:rPr>
              <w:t>质量要求</w:t>
            </w:r>
          </w:p>
        </w:tc>
        <w:tc>
          <w:tcPr>
            <w:tcW w:w="5615" w:type="dxa"/>
            <w:tcBorders>
              <w:top w:val="single" w:color="auto" w:sz="4" w:space="0"/>
              <w:left w:val="nil"/>
              <w:bottom w:val="single" w:color="auto" w:sz="4" w:space="0"/>
              <w:right w:val="single" w:color="auto" w:sz="4" w:space="0"/>
            </w:tcBorders>
            <w:vAlign w:val="center"/>
          </w:tcPr>
          <w:p w14:paraId="3F5A2017">
            <w:pPr>
              <w:pStyle w:val="9"/>
              <w:keepNext w:val="0"/>
              <w:keepLines w:val="0"/>
              <w:pageBreakBefore w:val="0"/>
              <w:widowControl w:val="0"/>
              <w:kinsoku/>
              <w:wordWrap/>
              <w:overflowPunct/>
              <w:topLinePunct/>
              <w:autoSpaceDE/>
              <w:autoSpaceDN/>
              <w:bidi w:val="0"/>
              <w:adjustRightInd w:val="0"/>
              <w:snapToGrid w:val="0"/>
              <w:spacing w:before="40" w:after="40" w:line="360" w:lineRule="auto"/>
              <w:ind w:left="0" w:leftChars="0"/>
              <w:rPr>
                <w:rFonts w:ascii="宋体" w:hAnsi="宋体"/>
              </w:rPr>
            </w:pPr>
            <w:r>
              <w:rPr>
                <w:rFonts w:hint="eastAsia" w:ascii="宋体" w:hAnsi="宋体"/>
                <w:sz w:val="21"/>
                <w:szCs w:val="21"/>
              </w:rPr>
              <w:t>符合国家、行业现行规范合格标准</w:t>
            </w:r>
          </w:p>
        </w:tc>
      </w:tr>
      <w:tr w14:paraId="0AC5986C">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14:paraId="0533B16E">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textAlignment w:val="baseline"/>
              <w:rPr>
                <w:rFonts w:ascii="宋体" w:hAnsi="宋体"/>
              </w:rPr>
            </w:pPr>
            <w:r>
              <w:rPr>
                <w:rFonts w:hint="eastAsia" w:ascii="宋体" w:hAnsi="宋体"/>
              </w:rPr>
              <w:t>1.3.5</w:t>
            </w:r>
          </w:p>
        </w:tc>
        <w:tc>
          <w:tcPr>
            <w:tcW w:w="2232" w:type="dxa"/>
            <w:gridSpan w:val="2"/>
            <w:tcBorders>
              <w:top w:val="single" w:color="auto" w:sz="4" w:space="0"/>
              <w:left w:val="nil"/>
              <w:bottom w:val="single" w:color="auto" w:sz="4" w:space="0"/>
              <w:right w:val="single" w:color="auto" w:sz="4" w:space="0"/>
            </w:tcBorders>
            <w:vAlign w:val="center"/>
          </w:tcPr>
          <w:p w14:paraId="3553CBD5">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rPr>
                <w:rFonts w:ascii="宋体" w:hAnsi="宋体"/>
              </w:rPr>
            </w:pPr>
            <w:r>
              <w:rPr>
                <w:rFonts w:hint="eastAsia" w:ascii="宋体" w:hAnsi="宋体"/>
              </w:rPr>
              <w:t>缺陷责任期</w:t>
            </w:r>
          </w:p>
        </w:tc>
        <w:tc>
          <w:tcPr>
            <w:tcW w:w="5615" w:type="dxa"/>
            <w:tcBorders>
              <w:top w:val="single" w:color="auto" w:sz="4" w:space="0"/>
              <w:left w:val="nil"/>
              <w:bottom w:val="single" w:color="auto" w:sz="4" w:space="0"/>
              <w:right w:val="single" w:color="auto" w:sz="4" w:space="0"/>
            </w:tcBorders>
            <w:vAlign w:val="center"/>
          </w:tcPr>
          <w:p w14:paraId="5D0986AE">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rPr>
                <w:rFonts w:ascii="宋体" w:hAnsi="宋体"/>
              </w:rPr>
            </w:pPr>
            <w:r>
              <w:rPr>
                <w:rFonts w:ascii="宋体" w:hAnsi="宋体"/>
              </w:rPr>
              <w:t>12</w:t>
            </w:r>
            <w:r>
              <w:rPr>
                <w:rFonts w:hint="eastAsia" w:ascii="宋体" w:hAnsi="宋体"/>
              </w:rPr>
              <w:t>个月</w:t>
            </w:r>
          </w:p>
        </w:tc>
      </w:tr>
      <w:tr w14:paraId="291821D9">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14:paraId="65D7F38A">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textAlignment w:val="baseline"/>
              <w:rPr>
                <w:rFonts w:ascii="宋体" w:hAnsi="宋体"/>
              </w:rPr>
            </w:pPr>
            <w:r>
              <w:rPr>
                <w:rFonts w:hint="eastAsia" w:ascii="宋体" w:hAnsi="宋体"/>
              </w:rPr>
              <w:t>1.3.6</w:t>
            </w:r>
          </w:p>
        </w:tc>
        <w:tc>
          <w:tcPr>
            <w:tcW w:w="2232" w:type="dxa"/>
            <w:gridSpan w:val="2"/>
            <w:tcBorders>
              <w:top w:val="single" w:color="auto" w:sz="4" w:space="0"/>
              <w:left w:val="nil"/>
              <w:bottom w:val="single" w:color="auto" w:sz="4" w:space="0"/>
              <w:right w:val="single" w:color="auto" w:sz="4" w:space="0"/>
            </w:tcBorders>
            <w:vAlign w:val="center"/>
          </w:tcPr>
          <w:p w14:paraId="65677DF2">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rPr>
                <w:rFonts w:ascii="宋体" w:hAnsi="宋体"/>
                <w:highlight w:val="none"/>
              </w:rPr>
            </w:pPr>
            <w:r>
              <w:rPr>
                <w:rFonts w:hint="eastAsia" w:ascii="宋体" w:hAnsi="宋体"/>
                <w:highlight w:val="none"/>
              </w:rPr>
              <w:t>保修期</w:t>
            </w:r>
          </w:p>
        </w:tc>
        <w:tc>
          <w:tcPr>
            <w:tcW w:w="5615" w:type="dxa"/>
            <w:tcBorders>
              <w:top w:val="single" w:color="auto" w:sz="4" w:space="0"/>
              <w:left w:val="nil"/>
              <w:bottom w:val="single" w:color="auto" w:sz="4" w:space="0"/>
              <w:right w:val="single" w:color="auto" w:sz="4" w:space="0"/>
            </w:tcBorders>
            <w:vAlign w:val="center"/>
          </w:tcPr>
          <w:p w14:paraId="2BB7D32C">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rPr>
                <w:rFonts w:ascii="宋体" w:hAnsi="宋体"/>
                <w:highlight w:val="none"/>
              </w:rPr>
            </w:pPr>
            <w:r>
              <w:rPr>
                <w:rFonts w:hint="eastAsia" w:ascii="宋体" w:hAnsi="宋体"/>
                <w:highlight w:val="none"/>
              </w:rPr>
              <w:t>符合国家规定，未规定的为2年</w:t>
            </w:r>
          </w:p>
        </w:tc>
      </w:tr>
      <w:tr w14:paraId="466F5484">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14:paraId="4C61D4F3">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textAlignment w:val="baseline"/>
              <w:rPr>
                <w:rFonts w:ascii="宋体" w:hAnsi="宋体"/>
              </w:rPr>
            </w:pPr>
            <w:r>
              <w:rPr>
                <w:rFonts w:hint="eastAsia" w:ascii="宋体" w:hAnsi="宋体"/>
              </w:rPr>
              <w:t>1.4.1</w:t>
            </w:r>
          </w:p>
        </w:tc>
        <w:tc>
          <w:tcPr>
            <w:tcW w:w="2232" w:type="dxa"/>
            <w:gridSpan w:val="2"/>
            <w:tcBorders>
              <w:top w:val="single" w:color="auto" w:sz="4" w:space="0"/>
              <w:left w:val="nil"/>
              <w:bottom w:val="single" w:color="auto" w:sz="4" w:space="0"/>
              <w:right w:val="single" w:color="auto" w:sz="4" w:space="0"/>
            </w:tcBorders>
            <w:vAlign w:val="center"/>
          </w:tcPr>
          <w:p w14:paraId="7461D7F6">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textAlignment w:val="baseline"/>
              <w:rPr>
                <w:rFonts w:ascii="宋体" w:hAnsi="宋体"/>
              </w:rPr>
            </w:pPr>
            <w:r>
              <w:rPr>
                <w:rFonts w:hint="eastAsia" w:ascii="宋体" w:hAnsi="宋体"/>
              </w:rPr>
              <w:t>供应商资质条件和能力</w:t>
            </w:r>
          </w:p>
        </w:tc>
        <w:tc>
          <w:tcPr>
            <w:tcW w:w="5615" w:type="dxa"/>
            <w:tcBorders>
              <w:top w:val="single" w:color="auto" w:sz="4" w:space="0"/>
              <w:left w:val="nil"/>
              <w:bottom w:val="single" w:color="auto" w:sz="4" w:space="0"/>
              <w:right w:val="single" w:color="auto" w:sz="4" w:space="0"/>
            </w:tcBorders>
            <w:vAlign w:val="center"/>
          </w:tcPr>
          <w:p w14:paraId="373A61C7">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jc w:val="left"/>
              <w:rPr>
                <w:rFonts w:ascii="宋体" w:hAnsi="宋体"/>
              </w:rPr>
            </w:pPr>
            <w:r>
              <w:rPr>
                <w:rFonts w:hint="eastAsia" w:ascii="宋体" w:hAnsi="宋体"/>
              </w:rPr>
              <w:t>同竞争性磋商公告“二、申请人资格要求”</w:t>
            </w:r>
          </w:p>
        </w:tc>
      </w:tr>
      <w:tr w14:paraId="27BB5539">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14:paraId="3499FB94">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textAlignment w:val="baseline"/>
              <w:rPr>
                <w:rFonts w:ascii="宋体" w:hAnsi="宋体"/>
              </w:rPr>
            </w:pPr>
            <w:r>
              <w:rPr>
                <w:rFonts w:hint="eastAsia" w:ascii="宋体" w:hAnsi="宋体"/>
              </w:rPr>
              <w:t>1.4.2</w:t>
            </w:r>
          </w:p>
        </w:tc>
        <w:tc>
          <w:tcPr>
            <w:tcW w:w="2232" w:type="dxa"/>
            <w:gridSpan w:val="2"/>
            <w:tcBorders>
              <w:top w:val="single" w:color="auto" w:sz="4" w:space="0"/>
              <w:left w:val="nil"/>
              <w:bottom w:val="single" w:color="auto" w:sz="4" w:space="0"/>
              <w:right w:val="single" w:color="auto" w:sz="4" w:space="0"/>
            </w:tcBorders>
            <w:vAlign w:val="center"/>
          </w:tcPr>
          <w:p w14:paraId="74430937">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rPr>
                <w:rFonts w:ascii="宋体" w:hAnsi="宋体"/>
              </w:rPr>
            </w:pPr>
            <w:r>
              <w:rPr>
                <w:rFonts w:hint="eastAsia" w:ascii="宋体" w:hAnsi="宋体"/>
              </w:rPr>
              <w:t>是否接受联合体</w:t>
            </w:r>
          </w:p>
        </w:tc>
        <w:tc>
          <w:tcPr>
            <w:tcW w:w="5615" w:type="dxa"/>
            <w:tcBorders>
              <w:top w:val="single" w:color="auto" w:sz="4" w:space="0"/>
              <w:left w:val="nil"/>
              <w:bottom w:val="single" w:color="auto" w:sz="4" w:space="0"/>
              <w:right w:val="single" w:color="auto" w:sz="4" w:space="0"/>
            </w:tcBorders>
            <w:vAlign w:val="center"/>
          </w:tcPr>
          <w:p w14:paraId="3C17C1B4">
            <w:pPr>
              <w:pStyle w:val="10"/>
              <w:keepNext w:val="0"/>
              <w:keepLines w:val="0"/>
              <w:pageBreakBefore w:val="0"/>
              <w:widowControl w:val="0"/>
              <w:kinsoku/>
              <w:wordWrap/>
              <w:overflowPunct/>
              <w:topLinePunct/>
              <w:autoSpaceDE/>
              <w:autoSpaceDN/>
              <w:bidi w:val="0"/>
              <w:adjustRightInd w:val="0"/>
              <w:snapToGrid w:val="0"/>
              <w:spacing w:before="40" w:after="40" w:line="360" w:lineRule="auto"/>
              <w:ind w:left="0" w:leftChars="0"/>
              <w:textAlignment w:val="baseline"/>
              <w:rPr>
                <w:rFonts w:ascii="宋体" w:hAnsi="宋体"/>
                <w:kern w:val="2"/>
                <w:sz w:val="21"/>
                <w:szCs w:val="21"/>
              </w:rPr>
            </w:pPr>
            <w:r>
              <w:rPr>
                <w:rFonts w:hint="eastAsia" w:ascii="宋体" w:hAnsi="宋体"/>
                <w:kern w:val="2"/>
                <w:sz w:val="21"/>
                <w:szCs w:val="21"/>
              </w:rPr>
              <w:t>不接受</w:t>
            </w:r>
          </w:p>
        </w:tc>
      </w:tr>
      <w:tr w14:paraId="757BA417">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14:paraId="53ED4480">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textAlignment w:val="baseline"/>
              <w:rPr>
                <w:rFonts w:ascii="宋体" w:hAnsi="宋体"/>
              </w:rPr>
            </w:pPr>
            <w:r>
              <w:rPr>
                <w:rFonts w:hint="eastAsia" w:ascii="宋体" w:hAnsi="宋体"/>
              </w:rPr>
              <w:t>2.1</w:t>
            </w:r>
          </w:p>
        </w:tc>
        <w:tc>
          <w:tcPr>
            <w:tcW w:w="2232" w:type="dxa"/>
            <w:gridSpan w:val="2"/>
            <w:tcBorders>
              <w:top w:val="single" w:color="auto" w:sz="4" w:space="0"/>
              <w:left w:val="nil"/>
              <w:bottom w:val="single" w:color="auto" w:sz="4" w:space="0"/>
              <w:right w:val="single" w:color="auto" w:sz="4" w:space="0"/>
            </w:tcBorders>
            <w:vAlign w:val="center"/>
          </w:tcPr>
          <w:p w14:paraId="572FF9BA">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textAlignment w:val="baseline"/>
              <w:rPr>
                <w:rFonts w:ascii="宋体" w:hAnsi="宋体"/>
              </w:rPr>
            </w:pPr>
            <w:r>
              <w:rPr>
                <w:rFonts w:hint="eastAsia" w:ascii="宋体" w:hAnsi="宋体"/>
              </w:rPr>
              <w:t>构成磋商文件的其他材料</w:t>
            </w:r>
          </w:p>
        </w:tc>
        <w:tc>
          <w:tcPr>
            <w:tcW w:w="5615" w:type="dxa"/>
            <w:tcBorders>
              <w:top w:val="single" w:color="auto" w:sz="4" w:space="0"/>
              <w:left w:val="nil"/>
              <w:bottom w:val="single" w:color="auto" w:sz="4" w:space="0"/>
              <w:right w:val="single" w:color="auto" w:sz="4" w:space="0"/>
            </w:tcBorders>
            <w:vAlign w:val="center"/>
          </w:tcPr>
          <w:p w14:paraId="25EA0B00">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textAlignment w:val="baseline"/>
              <w:rPr>
                <w:rFonts w:ascii="宋体" w:hAnsi="宋体"/>
              </w:rPr>
            </w:pPr>
            <w:r>
              <w:rPr>
                <w:rFonts w:hint="eastAsia" w:ascii="宋体" w:hAnsi="宋体"/>
              </w:rPr>
              <w:t>除磋商文件外，采购人在磋商期间发出的澄清、修改、补充、补遗和其它有效正式函件等内容均是磋商文件的组成部分</w:t>
            </w:r>
          </w:p>
        </w:tc>
      </w:tr>
      <w:tr w14:paraId="67B533F7">
        <w:tblPrEx>
          <w:tblCellMar>
            <w:top w:w="0" w:type="dxa"/>
            <w:left w:w="108" w:type="dxa"/>
            <w:bottom w:w="0" w:type="dxa"/>
            <w:right w:w="108" w:type="dxa"/>
          </w:tblCellMar>
        </w:tblPrEx>
        <w:trPr>
          <w:trHeight w:val="1145"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14:paraId="6CDA0555">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textAlignment w:val="baseline"/>
              <w:rPr>
                <w:rFonts w:ascii="宋体" w:hAnsi="宋体"/>
              </w:rPr>
            </w:pPr>
            <w:r>
              <w:rPr>
                <w:rFonts w:hint="eastAsia" w:ascii="宋体" w:hAnsi="宋体"/>
              </w:rPr>
              <w:t>2.2.1</w:t>
            </w:r>
          </w:p>
        </w:tc>
        <w:tc>
          <w:tcPr>
            <w:tcW w:w="2232" w:type="dxa"/>
            <w:gridSpan w:val="2"/>
            <w:tcBorders>
              <w:top w:val="single" w:color="auto" w:sz="4" w:space="0"/>
              <w:left w:val="nil"/>
              <w:bottom w:val="single" w:color="auto" w:sz="4" w:space="0"/>
              <w:right w:val="single" w:color="auto" w:sz="4" w:space="0"/>
            </w:tcBorders>
            <w:vAlign w:val="center"/>
          </w:tcPr>
          <w:p w14:paraId="4EC1FF51">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rPr>
                <w:rFonts w:ascii="宋体" w:hAnsi="宋体"/>
              </w:rPr>
            </w:pPr>
            <w:r>
              <w:rPr>
                <w:rFonts w:hint="eastAsia" w:ascii="宋体" w:hAnsi="宋体"/>
              </w:rPr>
              <w:t>供应商要求澄清磋商文件的截止时间及形式</w:t>
            </w:r>
          </w:p>
        </w:tc>
        <w:tc>
          <w:tcPr>
            <w:tcW w:w="5615" w:type="dxa"/>
            <w:tcBorders>
              <w:top w:val="single" w:color="auto" w:sz="4" w:space="0"/>
              <w:left w:val="nil"/>
              <w:bottom w:val="single" w:color="auto" w:sz="4" w:space="0"/>
              <w:right w:val="single" w:color="auto" w:sz="4" w:space="0"/>
            </w:tcBorders>
            <w:vAlign w:val="center"/>
          </w:tcPr>
          <w:p w14:paraId="74CFC96E">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textAlignment w:val="baseline"/>
              <w:rPr>
                <w:rFonts w:ascii="宋体" w:hAnsi="宋体"/>
              </w:rPr>
            </w:pPr>
            <w:r>
              <w:rPr>
                <w:rFonts w:hint="eastAsia" w:ascii="宋体" w:hAnsi="宋体"/>
              </w:rPr>
              <w:t>应当在收到磋商文件或公告期限届满之日起7个工作日内，在河南省公共资源交易中心系统内提出</w:t>
            </w:r>
          </w:p>
        </w:tc>
      </w:tr>
      <w:tr w14:paraId="34066B06">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14:paraId="434FBC9B">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textAlignment w:val="baseline"/>
              <w:rPr>
                <w:rFonts w:ascii="宋体" w:hAnsi="宋体"/>
              </w:rPr>
            </w:pPr>
            <w:r>
              <w:rPr>
                <w:rFonts w:hint="eastAsia" w:ascii="宋体" w:hAnsi="宋体"/>
              </w:rPr>
              <w:t>2.2.2</w:t>
            </w:r>
          </w:p>
        </w:tc>
        <w:tc>
          <w:tcPr>
            <w:tcW w:w="2232" w:type="dxa"/>
            <w:gridSpan w:val="2"/>
            <w:tcBorders>
              <w:top w:val="single" w:color="auto" w:sz="4" w:space="0"/>
              <w:left w:val="nil"/>
              <w:bottom w:val="single" w:color="auto" w:sz="4" w:space="0"/>
              <w:right w:val="single" w:color="auto" w:sz="4" w:space="0"/>
            </w:tcBorders>
            <w:vAlign w:val="center"/>
          </w:tcPr>
          <w:p w14:paraId="53BC4F4E">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rPr>
                <w:rFonts w:ascii="宋体" w:hAnsi="宋体"/>
              </w:rPr>
            </w:pPr>
            <w:r>
              <w:rPr>
                <w:rFonts w:hint="eastAsia" w:ascii="宋体" w:hAnsi="宋体"/>
              </w:rPr>
              <w:t>供应商确认收到磋商文件澄清的形式</w:t>
            </w:r>
          </w:p>
        </w:tc>
        <w:tc>
          <w:tcPr>
            <w:tcW w:w="5615" w:type="dxa"/>
            <w:tcBorders>
              <w:top w:val="single" w:color="auto" w:sz="4" w:space="0"/>
              <w:left w:val="nil"/>
              <w:bottom w:val="single" w:color="auto" w:sz="4" w:space="0"/>
              <w:right w:val="single" w:color="auto" w:sz="4" w:space="0"/>
            </w:tcBorders>
            <w:vAlign w:val="center"/>
          </w:tcPr>
          <w:p w14:paraId="64C396EF">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textAlignment w:val="baseline"/>
              <w:rPr>
                <w:rFonts w:ascii="宋体" w:hAnsi="宋体"/>
              </w:rPr>
            </w:pPr>
            <w:r>
              <w:rPr>
                <w:rFonts w:hint="eastAsia" w:ascii="宋体" w:hAnsi="宋体"/>
              </w:rPr>
              <w:t>在河南省公共资源交易中心电子交易平台上传澄清，供应商自行下载，同时在原公告发布媒介上发布，一经发出即视为供应商已确认收到</w:t>
            </w:r>
          </w:p>
        </w:tc>
      </w:tr>
      <w:tr w14:paraId="7B7E3007">
        <w:tblPrEx>
          <w:tblCellMar>
            <w:top w:w="0" w:type="dxa"/>
            <w:left w:w="108" w:type="dxa"/>
            <w:bottom w:w="0" w:type="dxa"/>
            <w:right w:w="108" w:type="dxa"/>
          </w:tblCellMar>
        </w:tblPrEx>
        <w:trPr>
          <w:trHeight w:val="133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14:paraId="7C1885F3">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textAlignment w:val="baseline"/>
              <w:rPr>
                <w:rFonts w:ascii="宋体" w:hAnsi="宋体"/>
              </w:rPr>
            </w:pPr>
            <w:r>
              <w:rPr>
                <w:rFonts w:hint="eastAsia" w:ascii="宋体" w:hAnsi="宋体"/>
              </w:rPr>
              <w:t>2.3.1</w:t>
            </w:r>
          </w:p>
        </w:tc>
        <w:tc>
          <w:tcPr>
            <w:tcW w:w="2232" w:type="dxa"/>
            <w:gridSpan w:val="2"/>
            <w:tcBorders>
              <w:top w:val="single" w:color="auto" w:sz="4" w:space="0"/>
              <w:left w:val="nil"/>
              <w:bottom w:val="single" w:color="auto" w:sz="4" w:space="0"/>
              <w:right w:val="single" w:color="auto" w:sz="4" w:space="0"/>
            </w:tcBorders>
            <w:vAlign w:val="center"/>
          </w:tcPr>
          <w:p w14:paraId="267E124A">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rPr>
                <w:rFonts w:ascii="宋体" w:hAnsi="宋体"/>
              </w:rPr>
            </w:pPr>
            <w:r>
              <w:rPr>
                <w:rFonts w:hint="eastAsia" w:ascii="宋体" w:hAnsi="宋体"/>
              </w:rPr>
              <w:t>供应商确认收到磋商文件修改的形式</w:t>
            </w:r>
          </w:p>
        </w:tc>
        <w:tc>
          <w:tcPr>
            <w:tcW w:w="5615" w:type="dxa"/>
            <w:tcBorders>
              <w:top w:val="single" w:color="auto" w:sz="4" w:space="0"/>
              <w:left w:val="nil"/>
              <w:bottom w:val="single" w:color="auto" w:sz="4" w:space="0"/>
              <w:right w:val="single" w:color="auto" w:sz="4" w:space="0"/>
            </w:tcBorders>
            <w:vAlign w:val="center"/>
          </w:tcPr>
          <w:p w14:paraId="1B03CC2C">
            <w:pPr>
              <w:pStyle w:val="73"/>
              <w:keepNext w:val="0"/>
              <w:keepLines w:val="0"/>
              <w:pageBreakBefore w:val="0"/>
              <w:widowControl w:val="0"/>
              <w:kinsoku/>
              <w:wordWrap/>
              <w:overflowPunct/>
              <w:topLinePunct/>
              <w:autoSpaceDE/>
              <w:autoSpaceDN/>
              <w:bidi w:val="0"/>
              <w:adjustRightInd w:val="0"/>
              <w:snapToGrid w:val="0"/>
              <w:spacing w:before="40" w:after="40" w:line="360" w:lineRule="auto"/>
              <w:ind w:left="0" w:leftChars="0"/>
              <w:rPr>
                <w:lang w:eastAsia="zh-CN"/>
              </w:rPr>
            </w:pPr>
            <w:r>
              <w:rPr>
                <w:rFonts w:hint="eastAsia" w:cs="Times New Roman"/>
                <w:sz w:val="21"/>
                <w:szCs w:val="21"/>
                <w:lang w:eastAsia="zh-CN"/>
              </w:rPr>
              <w:t>在河南省公共资源交易中心电子交易平台上传修改，供应商自行下载，同时在原公告发布媒介上发布，一经发出即视为供应商已确认收到</w:t>
            </w:r>
          </w:p>
        </w:tc>
      </w:tr>
      <w:tr w14:paraId="525FAD88">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14:paraId="4C408044">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textAlignment w:val="baseline"/>
              <w:rPr>
                <w:rFonts w:ascii="宋体" w:hAnsi="宋体"/>
              </w:rPr>
            </w:pPr>
            <w:r>
              <w:rPr>
                <w:rFonts w:hint="eastAsia" w:ascii="宋体" w:hAnsi="宋体"/>
              </w:rPr>
              <w:t>3.1.1</w:t>
            </w:r>
          </w:p>
        </w:tc>
        <w:tc>
          <w:tcPr>
            <w:tcW w:w="2232" w:type="dxa"/>
            <w:gridSpan w:val="2"/>
            <w:tcBorders>
              <w:top w:val="single" w:color="auto" w:sz="4" w:space="0"/>
              <w:left w:val="nil"/>
              <w:bottom w:val="single" w:color="auto" w:sz="4" w:space="0"/>
              <w:right w:val="single" w:color="auto" w:sz="4" w:space="0"/>
            </w:tcBorders>
            <w:vAlign w:val="center"/>
          </w:tcPr>
          <w:p w14:paraId="7F80AF5E">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rPr>
                <w:rFonts w:ascii="宋体" w:hAnsi="宋体"/>
              </w:rPr>
            </w:pPr>
            <w:r>
              <w:rPr>
                <w:rFonts w:hint="eastAsia" w:ascii="宋体" w:hAnsi="宋体"/>
              </w:rPr>
              <w:t>构成响应文件的其他材料</w:t>
            </w:r>
          </w:p>
        </w:tc>
        <w:tc>
          <w:tcPr>
            <w:tcW w:w="5615" w:type="dxa"/>
            <w:tcBorders>
              <w:top w:val="single" w:color="auto" w:sz="4" w:space="0"/>
              <w:left w:val="nil"/>
              <w:bottom w:val="single" w:color="auto" w:sz="4" w:space="0"/>
              <w:right w:val="single" w:color="auto" w:sz="4" w:space="0"/>
            </w:tcBorders>
            <w:vAlign w:val="center"/>
          </w:tcPr>
          <w:p w14:paraId="51F7735D">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textAlignment w:val="baseline"/>
              <w:rPr>
                <w:rFonts w:ascii="宋体" w:hAnsi="宋体"/>
              </w:rPr>
            </w:pPr>
            <w:r>
              <w:rPr>
                <w:rFonts w:hint="eastAsia" w:ascii="宋体" w:hAnsi="宋体"/>
              </w:rPr>
              <w:t>供应商认为需要提交的其他证明材料</w:t>
            </w:r>
          </w:p>
        </w:tc>
      </w:tr>
      <w:tr w14:paraId="7713BEDE">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14:paraId="091C7EED">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textAlignment w:val="baseline"/>
              <w:rPr>
                <w:rFonts w:ascii="宋体" w:hAnsi="宋体"/>
              </w:rPr>
            </w:pPr>
            <w:r>
              <w:rPr>
                <w:rFonts w:hint="eastAsia" w:ascii="宋体" w:hAnsi="宋体"/>
              </w:rPr>
              <w:t>3.2</w:t>
            </w:r>
          </w:p>
        </w:tc>
        <w:tc>
          <w:tcPr>
            <w:tcW w:w="2232" w:type="dxa"/>
            <w:gridSpan w:val="2"/>
            <w:tcBorders>
              <w:top w:val="single" w:color="auto" w:sz="4" w:space="0"/>
              <w:left w:val="nil"/>
              <w:bottom w:val="single" w:color="auto" w:sz="4" w:space="0"/>
              <w:right w:val="single" w:color="auto" w:sz="4" w:space="0"/>
            </w:tcBorders>
            <w:vAlign w:val="center"/>
          </w:tcPr>
          <w:p w14:paraId="680B7AC2">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textAlignment w:val="center"/>
              <w:rPr>
                <w:rFonts w:ascii="宋体" w:hAnsi="宋体"/>
              </w:rPr>
            </w:pPr>
            <w:r>
              <w:rPr>
                <w:rFonts w:hint="eastAsia" w:ascii="宋体" w:hAnsi="宋体"/>
              </w:rPr>
              <w:t>磋商报价</w:t>
            </w:r>
          </w:p>
        </w:tc>
        <w:tc>
          <w:tcPr>
            <w:tcW w:w="5615" w:type="dxa"/>
            <w:tcBorders>
              <w:top w:val="single" w:color="auto" w:sz="4" w:space="0"/>
              <w:left w:val="nil"/>
              <w:bottom w:val="single" w:color="auto" w:sz="4" w:space="0"/>
              <w:right w:val="single" w:color="auto" w:sz="4" w:space="0"/>
            </w:tcBorders>
            <w:vAlign w:val="center"/>
          </w:tcPr>
          <w:p w14:paraId="42218212">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jc w:val="left"/>
              <w:textAlignment w:val="center"/>
              <w:rPr>
                <w:rFonts w:ascii="宋体" w:hAnsi="宋体"/>
              </w:rPr>
            </w:pPr>
            <w:r>
              <w:rPr>
                <w:rFonts w:hint="eastAsia" w:ascii="宋体" w:hAnsi="宋体"/>
              </w:rPr>
              <w:t>响应报价：随同响应文件密封递交的响应报价为第一轮报价，供应商通过</w:t>
            </w:r>
            <w:r>
              <w:rPr>
                <w:rFonts w:hint="eastAsia" w:ascii="宋体" w:hAnsi="宋体"/>
                <w:lang w:eastAsia="zh-CN"/>
              </w:rPr>
              <w:t>初步</w:t>
            </w:r>
            <w:r>
              <w:rPr>
                <w:rFonts w:hint="eastAsia" w:ascii="宋体" w:hAnsi="宋体"/>
              </w:rPr>
              <w:t>审查后，将进行第二轮报价（采购人可根据报价情况进行多轮磋商并要求供应商进行最后报价）。供应商的后一次报价不得高于前一次报价（磋商过程中采购需求发生实质性变动的除外），否则磋商申请将被拒绝。</w:t>
            </w:r>
          </w:p>
          <w:p w14:paraId="19310BD1">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jc w:val="left"/>
              <w:textAlignment w:val="center"/>
              <w:rPr>
                <w:rFonts w:ascii="宋体" w:hAnsi="宋体"/>
              </w:rPr>
            </w:pPr>
            <w:r>
              <w:rPr>
                <w:rFonts w:hint="eastAsia" w:ascii="宋体" w:hAnsi="宋体"/>
              </w:rPr>
              <w:t>注：磋商小组认为供应商的报价明显低于其他通过</w:t>
            </w:r>
            <w:r>
              <w:rPr>
                <w:rFonts w:hint="eastAsia" w:ascii="宋体" w:hAnsi="宋体"/>
                <w:lang w:eastAsia="zh-CN"/>
              </w:rPr>
              <w:t>初步</w:t>
            </w:r>
            <w:r>
              <w:rPr>
                <w:rFonts w:hint="eastAsia" w:ascii="宋体" w:hAnsi="宋体"/>
              </w:rPr>
              <w:t>审查供应商的报价，有可能影响工程质量或者不能诚信履约的，应当要求其在评标现场合理的时间（建议30分钟）内提供书面说明，必要时提交相关证明材料；供应商不能证明其报价合理性的，磋商小组应当将其作为无效响应处理。</w:t>
            </w:r>
          </w:p>
        </w:tc>
      </w:tr>
      <w:tr w14:paraId="3F1F00BF">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14:paraId="5663ACDA">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textAlignment w:val="baseline"/>
              <w:rPr>
                <w:rFonts w:ascii="宋体" w:hAnsi="宋体"/>
              </w:rPr>
            </w:pPr>
            <w:r>
              <w:rPr>
                <w:rFonts w:hint="eastAsia" w:ascii="宋体" w:hAnsi="宋体"/>
              </w:rPr>
              <w:t>3.3.1</w:t>
            </w:r>
          </w:p>
        </w:tc>
        <w:tc>
          <w:tcPr>
            <w:tcW w:w="2232" w:type="dxa"/>
            <w:gridSpan w:val="2"/>
            <w:tcBorders>
              <w:top w:val="single" w:color="auto" w:sz="4" w:space="0"/>
              <w:left w:val="nil"/>
              <w:bottom w:val="single" w:color="auto" w:sz="4" w:space="0"/>
              <w:right w:val="single" w:color="auto" w:sz="4" w:space="0"/>
            </w:tcBorders>
            <w:vAlign w:val="center"/>
          </w:tcPr>
          <w:p w14:paraId="415E7827">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textAlignment w:val="baseline"/>
              <w:rPr>
                <w:rFonts w:ascii="宋体" w:hAnsi="宋体"/>
              </w:rPr>
            </w:pPr>
            <w:r>
              <w:rPr>
                <w:rFonts w:hint="eastAsia" w:ascii="宋体" w:hAnsi="宋体"/>
              </w:rPr>
              <w:t>磋商有效期</w:t>
            </w:r>
          </w:p>
        </w:tc>
        <w:tc>
          <w:tcPr>
            <w:tcW w:w="5615" w:type="dxa"/>
            <w:tcBorders>
              <w:top w:val="single" w:color="auto" w:sz="4" w:space="0"/>
              <w:left w:val="nil"/>
              <w:bottom w:val="single" w:color="auto" w:sz="4" w:space="0"/>
              <w:right w:val="single" w:color="auto" w:sz="4" w:space="0"/>
            </w:tcBorders>
            <w:vAlign w:val="center"/>
          </w:tcPr>
          <w:p w14:paraId="0BA01BBC">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textAlignment w:val="baseline"/>
              <w:rPr>
                <w:rFonts w:ascii="宋体" w:hAnsi="宋体"/>
              </w:rPr>
            </w:pPr>
            <w:r>
              <w:rPr>
                <w:rFonts w:hint="eastAsia" w:ascii="宋体" w:hAnsi="宋体"/>
                <w:color w:val="auto"/>
                <w:highlight w:val="none"/>
              </w:rPr>
              <w:t>递交</w:t>
            </w:r>
            <w:r>
              <w:rPr>
                <w:rFonts w:hint="eastAsia" w:ascii="宋体" w:hAnsi="宋体"/>
                <w:color w:val="auto"/>
                <w:highlight w:val="none"/>
                <w:lang w:val="en-US" w:eastAsia="zh-CN"/>
              </w:rPr>
              <w:t>响应</w:t>
            </w:r>
            <w:r>
              <w:rPr>
                <w:rFonts w:hint="eastAsia" w:ascii="宋体" w:hAnsi="宋体"/>
                <w:color w:val="auto"/>
                <w:highlight w:val="none"/>
              </w:rPr>
              <w:t>文件截止时间起60日历天</w:t>
            </w:r>
          </w:p>
        </w:tc>
      </w:tr>
      <w:tr w14:paraId="23A57E09">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14:paraId="11778A8F">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textAlignment w:val="baseline"/>
              <w:rPr>
                <w:rFonts w:ascii="宋体" w:hAnsi="宋体"/>
              </w:rPr>
            </w:pPr>
            <w:r>
              <w:rPr>
                <w:rFonts w:hint="eastAsia" w:ascii="宋体" w:hAnsi="宋体"/>
              </w:rPr>
              <w:t>3.4.1</w:t>
            </w:r>
          </w:p>
        </w:tc>
        <w:tc>
          <w:tcPr>
            <w:tcW w:w="2232" w:type="dxa"/>
            <w:gridSpan w:val="2"/>
            <w:tcBorders>
              <w:top w:val="single" w:color="auto" w:sz="4" w:space="0"/>
              <w:left w:val="nil"/>
              <w:bottom w:val="single" w:color="auto" w:sz="4" w:space="0"/>
              <w:right w:val="single" w:color="auto" w:sz="4" w:space="0"/>
            </w:tcBorders>
            <w:vAlign w:val="center"/>
          </w:tcPr>
          <w:p w14:paraId="6E832DF9">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textAlignment w:val="baseline"/>
              <w:rPr>
                <w:rFonts w:ascii="宋体" w:hAnsi="宋体"/>
              </w:rPr>
            </w:pPr>
            <w:r>
              <w:rPr>
                <w:rFonts w:hint="eastAsia" w:ascii="宋体" w:hAnsi="宋体"/>
              </w:rPr>
              <w:t>磋商保证金</w:t>
            </w:r>
          </w:p>
        </w:tc>
        <w:tc>
          <w:tcPr>
            <w:tcW w:w="5615" w:type="dxa"/>
            <w:tcBorders>
              <w:top w:val="single" w:color="auto" w:sz="4" w:space="0"/>
              <w:left w:val="nil"/>
              <w:bottom w:val="single" w:color="auto" w:sz="4" w:space="0"/>
              <w:right w:val="single" w:color="auto" w:sz="4" w:space="0"/>
            </w:tcBorders>
            <w:vAlign w:val="center"/>
          </w:tcPr>
          <w:p w14:paraId="629F3C77">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rPr>
                <w:rFonts w:ascii="宋体" w:hAnsi="宋体"/>
              </w:rPr>
            </w:pPr>
            <w:r>
              <w:rPr>
                <w:rFonts w:hint="eastAsia" w:ascii="宋体" w:hAnsi="宋体"/>
              </w:rPr>
              <w:t>不收取</w:t>
            </w:r>
          </w:p>
        </w:tc>
      </w:tr>
      <w:tr w14:paraId="6B5B4317">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14:paraId="1484D347">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textAlignment w:val="baseline"/>
              <w:rPr>
                <w:rFonts w:ascii="宋体" w:hAnsi="宋体"/>
              </w:rPr>
            </w:pPr>
            <w:r>
              <w:rPr>
                <w:rFonts w:hint="eastAsia" w:ascii="宋体" w:hAnsi="宋体"/>
              </w:rPr>
              <w:t>3.6</w:t>
            </w:r>
          </w:p>
        </w:tc>
        <w:tc>
          <w:tcPr>
            <w:tcW w:w="2232" w:type="dxa"/>
            <w:gridSpan w:val="2"/>
            <w:tcBorders>
              <w:top w:val="single" w:color="auto" w:sz="4" w:space="0"/>
              <w:left w:val="nil"/>
              <w:bottom w:val="single" w:color="auto" w:sz="4" w:space="0"/>
              <w:right w:val="single" w:color="auto" w:sz="4" w:space="0"/>
            </w:tcBorders>
            <w:vAlign w:val="center"/>
          </w:tcPr>
          <w:p w14:paraId="2D172E68">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rPr>
                <w:rFonts w:ascii="宋体" w:hAnsi="宋体"/>
              </w:rPr>
            </w:pPr>
            <w:r>
              <w:rPr>
                <w:rFonts w:hint="eastAsia" w:ascii="宋体" w:hAnsi="宋体"/>
              </w:rPr>
              <w:t>是否允许递交备选磋商方案</w:t>
            </w:r>
          </w:p>
        </w:tc>
        <w:tc>
          <w:tcPr>
            <w:tcW w:w="5615" w:type="dxa"/>
            <w:tcBorders>
              <w:top w:val="single" w:color="auto" w:sz="4" w:space="0"/>
              <w:left w:val="nil"/>
              <w:bottom w:val="single" w:color="auto" w:sz="4" w:space="0"/>
              <w:right w:val="single" w:color="auto" w:sz="4" w:space="0"/>
            </w:tcBorders>
            <w:vAlign w:val="center"/>
          </w:tcPr>
          <w:p w14:paraId="128EC0BA">
            <w:pPr>
              <w:pStyle w:val="10"/>
              <w:keepNext w:val="0"/>
              <w:keepLines w:val="0"/>
              <w:pageBreakBefore w:val="0"/>
              <w:widowControl w:val="0"/>
              <w:kinsoku/>
              <w:wordWrap/>
              <w:overflowPunct/>
              <w:topLinePunct/>
              <w:autoSpaceDE/>
              <w:autoSpaceDN/>
              <w:bidi w:val="0"/>
              <w:adjustRightInd w:val="0"/>
              <w:snapToGrid w:val="0"/>
              <w:spacing w:before="40" w:after="40" w:line="360" w:lineRule="auto"/>
              <w:ind w:left="0" w:leftChars="0"/>
              <w:textAlignment w:val="baseline"/>
              <w:rPr>
                <w:rFonts w:ascii="宋体" w:hAnsi="宋体"/>
                <w:kern w:val="2"/>
                <w:sz w:val="21"/>
                <w:szCs w:val="21"/>
              </w:rPr>
            </w:pPr>
            <w:r>
              <w:rPr>
                <w:rFonts w:hint="eastAsia" w:ascii="宋体" w:hAnsi="宋体"/>
                <w:kern w:val="2"/>
                <w:sz w:val="21"/>
                <w:szCs w:val="21"/>
              </w:rPr>
              <w:t>不允许</w:t>
            </w:r>
          </w:p>
        </w:tc>
      </w:tr>
      <w:tr w14:paraId="69C6D65D">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14:paraId="7EA10304">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textAlignment w:val="baseline"/>
              <w:rPr>
                <w:rFonts w:ascii="宋体" w:hAnsi="宋体"/>
              </w:rPr>
            </w:pPr>
            <w:r>
              <w:rPr>
                <w:rFonts w:hint="eastAsia" w:ascii="宋体" w:hAnsi="宋体"/>
              </w:rPr>
              <w:t>3.7.3</w:t>
            </w:r>
          </w:p>
        </w:tc>
        <w:tc>
          <w:tcPr>
            <w:tcW w:w="2232" w:type="dxa"/>
            <w:gridSpan w:val="2"/>
            <w:tcBorders>
              <w:top w:val="single" w:color="auto" w:sz="4" w:space="0"/>
              <w:left w:val="nil"/>
              <w:bottom w:val="single" w:color="auto" w:sz="4" w:space="0"/>
              <w:right w:val="single" w:color="auto" w:sz="4" w:space="0"/>
            </w:tcBorders>
            <w:vAlign w:val="center"/>
          </w:tcPr>
          <w:p w14:paraId="3D8D21F9">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textAlignment w:val="baseline"/>
              <w:rPr>
                <w:rFonts w:ascii="宋体" w:hAnsi="宋体"/>
              </w:rPr>
            </w:pPr>
            <w:r>
              <w:rPr>
                <w:rFonts w:hint="eastAsia" w:ascii="宋体" w:hAnsi="宋体"/>
              </w:rPr>
              <w:t>签字盖章要求</w:t>
            </w:r>
          </w:p>
        </w:tc>
        <w:tc>
          <w:tcPr>
            <w:tcW w:w="5615" w:type="dxa"/>
            <w:tcBorders>
              <w:top w:val="single" w:color="auto" w:sz="4" w:space="0"/>
              <w:left w:val="nil"/>
              <w:bottom w:val="single" w:color="auto" w:sz="4" w:space="0"/>
              <w:right w:val="single" w:color="auto" w:sz="4" w:space="0"/>
            </w:tcBorders>
            <w:vAlign w:val="center"/>
          </w:tcPr>
          <w:p w14:paraId="4DAA9C50">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textAlignment w:val="baseline"/>
              <w:rPr>
                <w:rFonts w:ascii="宋体" w:hAnsi="宋体"/>
              </w:rPr>
            </w:pPr>
            <w:r>
              <w:rPr>
                <w:rFonts w:hint="eastAsia" w:ascii="宋体" w:hAnsi="宋体"/>
              </w:rPr>
              <w:t>（1）所有要求供应商加盖公章的地方都应用供应商单位的CA签章。</w:t>
            </w:r>
          </w:p>
          <w:p w14:paraId="48CA83E3">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textAlignment w:val="baseline"/>
              <w:rPr>
                <w:rFonts w:ascii="宋体" w:hAnsi="宋体"/>
              </w:rPr>
            </w:pPr>
            <w:r>
              <w:rPr>
                <w:rFonts w:hint="eastAsia" w:ascii="宋体" w:hAnsi="宋体"/>
              </w:rPr>
              <w:t>（2）所有要求法定代表人签字的地方都应用法定代表人的CA签章。若有委托代理人，且委托代理人没有CA签章，则需上传有手写签名的扫描件。</w:t>
            </w:r>
          </w:p>
          <w:p w14:paraId="7EBE115D">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textAlignment w:val="baseline"/>
              <w:rPr>
                <w:rFonts w:ascii="宋体" w:hAnsi="宋体"/>
              </w:rPr>
            </w:pPr>
            <w:r>
              <w:rPr>
                <w:rFonts w:hint="eastAsia" w:ascii="宋体" w:hAnsi="宋体"/>
              </w:rPr>
              <w:t>（3）已标价工程量清单需加盖供应商公章及造价师执业资格章并签字（委托造价咨询单位编制已标价工程量清单的需盖造价单位公章及其单位造价师执业资格章并签字，并加盖供应商公章）。</w:t>
            </w:r>
          </w:p>
        </w:tc>
      </w:tr>
      <w:tr w14:paraId="37F827B2">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14:paraId="11444046">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textAlignment w:val="baseline"/>
              <w:rPr>
                <w:rFonts w:ascii="宋体" w:hAnsi="宋体"/>
              </w:rPr>
            </w:pPr>
            <w:r>
              <w:rPr>
                <w:rFonts w:hint="eastAsia" w:ascii="宋体" w:hAnsi="宋体"/>
              </w:rPr>
              <w:t>3.7.4</w:t>
            </w:r>
          </w:p>
        </w:tc>
        <w:tc>
          <w:tcPr>
            <w:tcW w:w="2232" w:type="dxa"/>
            <w:gridSpan w:val="2"/>
            <w:tcBorders>
              <w:top w:val="single" w:color="auto" w:sz="4" w:space="0"/>
              <w:left w:val="nil"/>
              <w:bottom w:val="single" w:color="auto" w:sz="4" w:space="0"/>
              <w:right w:val="single" w:color="auto" w:sz="4" w:space="0"/>
            </w:tcBorders>
            <w:vAlign w:val="center"/>
          </w:tcPr>
          <w:p w14:paraId="31C1445E">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textAlignment w:val="baseline"/>
              <w:rPr>
                <w:rFonts w:ascii="宋体" w:hAnsi="宋体"/>
              </w:rPr>
            </w:pPr>
            <w:r>
              <w:rPr>
                <w:rFonts w:hint="eastAsia" w:ascii="宋体" w:hAnsi="宋体"/>
              </w:rPr>
              <w:t>响应文件份数</w:t>
            </w:r>
          </w:p>
        </w:tc>
        <w:tc>
          <w:tcPr>
            <w:tcW w:w="5615" w:type="dxa"/>
            <w:tcBorders>
              <w:top w:val="single" w:color="auto" w:sz="4" w:space="0"/>
              <w:left w:val="nil"/>
              <w:bottom w:val="single" w:color="auto" w:sz="4" w:space="0"/>
              <w:right w:val="single" w:color="auto" w:sz="4" w:space="0"/>
            </w:tcBorders>
            <w:vAlign w:val="center"/>
          </w:tcPr>
          <w:p w14:paraId="061CD0C9">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rPr>
                <w:rFonts w:ascii="宋体" w:hAnsi="宋体"/>
                <w:b/>
              </w:rPr>
            </w:pPr>
            <w:r>
              <w:rPr>
                <w:rFonts w:hint="eastAsia" w:ascii="宋体" w:hAnsi="宋体"/>
                <w:b/>
              </w:rPr>
              <w:t>网上上传的电子响应文件应使用数字证书认证并加密的电子响应文件壹份（*.hntf 格式，在会员系统指定位置上传）。</w:t>
            </w:r>
          </w:p>
        </w:tc>
      </w:tr>
      <w:tr w14:paraId="0C234CC2">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14:paraId="050EDB69">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textAlignment w:val="baseline"/>
              <w:rPr>
                <w:rFonts w:ascii="宋体" w:hAnsi="宋体"/>
                <w:color w:val="auto"/>
              </w:rPr>
            </w:pPr>
            <w:r>
              <w:rPr>
                <w:rFonts w:hint="eastAsia" w:ascii="宋体" w:hAnsi="宋体"/>
                <w:color w:val="auto"/>
              </w:rPr>
              <w:t>3.7.5</w:t>
            </w:r>
          </w:p>
        </w:tc>
        <w:tc>
          <w:tcPr>
            <w:tcW w:w="2232" w:type="dxa"/>
            <w:gridSpan w:val="2"/>
            <w:tcBorders>
              <w:top w:val="single" w:color="auto" w:sz="4" w:space="0"/>
              <w:left w:val="nil"/>
              <w:bottom w:val="single" w:color="auto" w:sz="4" w:space="0"/>
              <w:right w:val="single" w:color="auto" w:sz="4" w:space="0"/>
            </w:tcBorders>
            <w:vAlign w:val="center"/>
          </w:tcPr>
          <w:p w14:paraId="6B88BA0E">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textAlignment w:val="baseline"/>
              <w:rPr>
                <w:rFonts w:ascii="宋体" w:hAnsi="宋体"/>
                <w:color w:val="auto"/>
              </w:rPr>
            </w:pPr>
            <w:r>
              <w:rPr>
                <w:rFonts w:hint="eastAsia" w:ascii="宋体" w:hAnsi="宋体"/>
                <w:b/>
                <w:color w:val="auto"/>
              </w:rPr>
              <w:t>投标所需相关的资质、证明等资料要求</w:t>
            </w:r>
          </w:p>
        </w:tc>
        <w:tc>
          <w:tcPr>
            <w:tcW w:w="5615" w:type="dxa"/>
            <w:tcBorders>
              <w:top w:val="single" w:color="auto" w:sz="4" w:space="0"/>
              <w:left w:val="nil"/>
              <w:bottom w:val="single" w:color="auto" w:sz="4" w:space="0"/>
              <w:right w:val="single" w:color="auto" w:sz="4" w:space="0"/>
            </w:tcBorders>
            <w:vAlign w:val="center"/>
          </w:tcPr>
          <w:p w14:paraId="29320A70">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rPr>
                <w:rFonts w:ascii="宋体" w:hAnsi="宋体"/>
                <w:b/>
                <w:color w:val="auto"/>
              </w:rPr>
            </w:pPr>
            <w:r>
              <w:rPr>
                <w:rFonts w:hint="eastAsia" w:ascii="宋体" w:hAnsi="宋体"/>
                <w:b/>
                <w:color w:val="auto"/>
              </w:rPr>
              <w:t xml:space="preserve">投标时涉及营业执照、资质、业绩、获奖、人员、财务、社保、纳税、各类证书等资料，均需先上传至河南省公共资源交易中心主体信息库并经核验，投标供应商制作响应文件所需资料须从主体信息库中提取，主体信息库中上传的资料扫描件必须完整、清晰、易辨，如因资料缺失或与响应文件中不一致的不予认定，供应商自行承担不利于其的评审后果。 </w:t>
            </w:r>
          </w:p>
        </w:tc>
      </w:tr>
      <w:tr w14:paraId="138E1FEC">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14:paraId="4AE0ED28">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textAlignment w:val="baseline"/>
              <w:rPr>
                <w:rFonts w:ascii="宋体" w:hAnsi="宋体"/>
              </w:rPr>
            </w:pPr>
            <w:r>
              <w:rPr>
                <w:rFonts w:hint="eastAsia" w:ascii="宋体" w:hAnsi="宋体"/>
              </w:rPr>
              <w:t>4.2.2</w:t>
            </w:r>
          </w:p>
        </w:tc>
        <w:tc>
          <w:tcPr>
            <w:tcW w:w="2232" w:type="dxa"/>
            <w:gridSpan w:val="2"/>
            <w:tcBorders>
              <w:top w:val="single" w:color="auto" w:sz="4" w:space="0"/>
              <w:left w:val="nil"/>
              <w:bottom w:val="single" w:color="auto" w:sz="4" w:space="0"/>
              <w:right w:val="single" w:color="auto" w:sz="4" w:space="0"/>
            </w:tcBorders>
            <w:vAlign w:val="center"/>
          </w:tcPr>
          <w:p w14:paraId="4A926F1F">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textAlignment w:val="baseline"/>
              <w:rPr>
                <w:rFonts w:ascii="宋体" w:hAnsi="宋体"/>
              </w:rPr>
            </w:pPr>
            <w:r>
              <w:rPr>
                <w:rFonts w:hint="eastAsia" w:ascii="宋体" w:hAnsi="宋体"/>
              </w:rPr>
              <w:t>提交响应文件地点</w:t>
            </w:r>
          </w:p>
        </w:tc>
        <w:tc>
          <w:tcPr>
            <w:tcW w:w="5615" w:type="dxa"/>
            <w:tcBorders>
              <w:top w:val="single" w:color="auto" w:sz="4" w:space="0"/>
              <w:left w:val="nil"/>
              <w:bottom w:val="single" w:color="auto" w:sz="4" w:space="0"/>
              <w:right w:val="single" w:color="auto" w:sz="4" w:space="0"/>
            </w:tcBorders>
            <w:vAlign w:val="center"/>
          </w:tcPr>
          <w:p w14:paraId="348DD057">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jc w:val="left"/>
              <w:rPr>
                <w:rFonts w:ascii="宋体" w:hAnsi="宋体"/>
              </w:rPr>
            </w:pPr>
            <w:r>
              <w:rPr>
                <w:rFonts w:hint="eastAsia" w:ascii="宋体" w:hAnsi="宋体"/>
              </w:rPr>
              <w:t>加密电子响应文件须在响应文件提交截止时间前通过“河南省公共资源交易中心（</w:t>
            </w:r>
            <w:r>
              <w:fldChar w:fldCharType="begin"/>
            </w:r>
            <w:r>
              <w:instrText xml:space="preserve"> HYPERLINK "http://www.hnggzy.net/" </w:instrText>
            </w:r>
            <w:r>
              <w:fldChar w:fldCharType="separate"/>
            </w:r>
            <w:r>
              <w:rPr>
                <w:rFonts w:hint="eastAsia" w:ascii="宋体" w:hAnsi="宋体"/>
                <w:lang w:eastAsia="zh-CN"/>
              </w:rPr>
              <w:t>http://hnsggzyjy.henan.gov.cn</w:t>
            </w:r>
            <w:r>
              <w:rPr>
                <w:rFonts w:ascii="宋体" w:hAnsi="宋体"/>
              </w:rPr>
              <w:t>/</w:t>
            </w:r>
            <w:r>
              <w:rPr>
                <w:rFonts w:ascii="宋体" w:hAnsi="宋体"/>
              </w:rPr>
              <w:fldChar w:fldCharType="end"/>
            </w:r>
            <w:r>
              <w:rPr>
                <w:rFonts w:hint="eastAsia" w:ascii="宋体" w:hAnsi="宋体"/>
              </w:rPr>
              <w:t>）”电子交易平台加密上传。逾期上传的或者未上传指定地点的响应文件，采购人不予受理。</w:t>
            </w:r>
          </w:p>
        </w:tc>
      </w:tr>
      <w:tr w14:paraId="7D7DB7CD">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14:paraId="4458E37C">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textAlignment w:val="baseline"/>
              <w:rPr>
                <w:rFonts w:ascii="宋体" w:hAnsi="宋体"/>
              </w:rPr>
            </w:pPr>
            <w:r>
              <w:rPr>
                <w:rFonts w:hint="eastAsia" w:ascii="宋体" w:hAnsi="宋体"/>
              </w:rPr>
              <w:t>4.2.3</w:t>
            </w:r>
          </w:p>
        </w:tc>
        <w:tc>
          <w:tcPr>
            <w:tcW w:w="2232" w:type="dxa"/>
            <w:gridSpan w:val="2"/>
            <w:tcBorders>
              <w:top w:val="single" w:color="auto" w:sz="4" w:space="0"/>
              <w:left w:val="nil"/>
              <w:bottom w:val="single" w:color="auto" w:sz="4" w:space="0"/>
              <w:right w:val="single" w:color="auto" w:sz="4" w:space="0"/>
            </w:tcBorders>
            <w:vAlign w:val="center"/>
          </w:tcPr>
          <w:p w14:paraId="3B96EF55">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textAlignment w:val="baseline"/>
              <w:rPr>
                <w:rFonts w:ascii="宋体" w:hAnsi="宋体"/>
              </w:rPr>
            </w:pPr>
            <w:r>
              <w:rPr>
                <w:rFonts w:hint="eastAsia" w:ascii="宋体" w:hAnsi="宋体"/>
              </w:rPr>
              <w:t>是否退还响应文件</w:t>
            </w:r>
          </w:p>
        </w:tc>
        <w:tc>
          <w:tcPr>
            <w:tcW w:w="5615" w:type="dxa"/>
            <w:tcBorders>
              <w:top w:val="single" w:color="auto" w:sz="4" w:space="0"/>
              <w:left w:val="nil"/>
              <w:bottom w:val="single" w:color="auto" w:sz="4" w:space="0"/>
              <w:right w:val="single" w:color="auto" w:sz="4" w:space="0"/>
            </w:tcBorders>
            <w:vAlign w:val="center"/>
          </w:tcPr>
          <w:p w14:paraId="38957C1D">
            <w:pPr>
              <w:pStyle w:val="10"/>
              <w:keepNext w:val="0"/>
              <w:keepLines w:val="0"/>
              <w:pageBreakBefore w:val="0"/>
              <w:widowControl w:val="0"/>
              <w:kinsoku/>
              <w:wordWrap/>
              <w:overflowPunct/>
              <w:topLinePunct/>
              <w:autoSpaceDE/>
              <w:autoSpaceDN/>
              <w:bidi w:val="0"/>
              <w:adjustRightInd w:val="0"/>
              <w:snapToGrid w:val="0"/>
              <w:spacing w:before="40" w:after="40" w:line="360" w:lineRule="auto"/>
              <w:ind w:left="0" w:leftChars="0"/>
              <w:textAlignment w:val="baseline"/>
              <w:rPr>
                <w:rFonts w:ascii="宋体" w:hAnsi="宋体"/>
                <w:kern w:val="2"/>
                <w:sz w:val="21"/>
                <w:szCs w:val="21"/>
              </w:rPr>
            </w:pPr>
            <w:r>
              <w:rPr>
                <w:rFonts w:hint="eastAsia" w:ascii="宋体" w:hAnsi="宋体"/>
                <w:kern w:val="2"/>
                <w:sz w:val="21"/>
                <w:szCs w:val="21"/>
              </w:rPr>
              <w:t>否</w:t>
            </w:r>
          </w:p>
        </w:tc>
      </w:tr>
      <w:tr w14:paraId="5A0DFF04">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14:paraId="34897BE3">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textAlignment w:val="baseline"/>
              <w:rPr>
                <w:rFonts w:ascii="宋体" w:hAnsi="宋体"/>
              </w:rPr>
            </w:pPr>
            <w:r>
              <w:rPr>
                <w:rFonts w:hint="eastAsia" w:ascii="宋体" w:hAnsi="宋体"/>
              </w:rPr>
              <w:t>5.1</w:t>
            </w:r>
          </w:p>
        </w:tc>
        <w:tc>
          <w:tcPr>
            <w:tcW w:w="2232" w:type="dxa"/>
            <w:gridSpan w:val="2"/>
            <w:tcBorders>
              <w:top w:val="single" w:color="auto" w:sz="4" w:space="0"/>
              <w:left w:val="nil"/>
              <w:bottom w:val="single" w:color="auto" w:sz="4" w:space="0"/>
              <w:right w:val="single" w:color="auto" w:sz="4" w:space="0"/>
            </w:tcBorders>
            <w:vAlign w:val="center"/>
          </w:tcPr>
          <w:p w14:paraId="409AF378">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textAlignment w:val="baseline"/>
              <w:rPr>
                <w:rFonts w:ascii="宋体" w:hAnsi="宋体"/>
              </w:rPr>
            </w:pPr>
            <w:r>
              <w:rPr>
                <w:rFonts w:hint="eastAsia" w:ascii="宋体" w:hAnsi="宋体"/>
              </w:rPr>
              <w:t>磋商时间和地点</w:t>
            </w:r>
          </w:p>
        </w:tc>
        <w:tc>
          <w:tcPr>
            <w:tcW w:w="5615" w:type="dxa"/>
            <w:tcBorders>
              <w:top w:val="single" w:color="auto" w:sz="4" w:space="0"/>
              <w:left w:val="nil"/>
              <w:bottom w:val="single" w:color="auto" w:sz="4" w:space="0"/>
              <w:right w:val="single" w:color="auto" w:sz="4" w:space="0"/>
            </w:tcBorders>
            <w:vAlign w:val="center"/>
          </w:tcPr>
          <w:p w14:paraId="6D2225EB">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rPr>
                <w:rFonts w:ascii="宋体" w:hAnsi="宋体"/>
                <w:b/>
                <w:bCs/>
              </w:rPr>
            </w:pPr>
            <w:r>
              <w:rPr>
                <w:rFonts w:hint="eastAsia" w:ascii="宋体" w:hAnsi="宋体"/>
                <w:b/>
                <w:bCs/>
              </w:rPr>
              <w:t>磋商时间：202</w:t>
            </w:r>
            <w:r>
              <w:rPr>
                <w:rFonts w:hint="eastAsia" w:ascii="宋体" w:hAnsi="宋体"/>
                <w:b/>
                <w:bCs/>
                <w:lang w:val="en-US" w:eastAsia="zh-CN"/>
              </w:rPr>
              <w:t>5</w:t>
            </w:r>
            <w:r>
              <w:rPr>
                <w:rFonts w:hint="eastAsia" w:ascii="宋体" w:hAnsi="宋体"/>
                <w:b/>
                <w:bCs/>
              </w:rPr>
              <w:t>年</w:t>
            </w:r>
            <w:r>
              <w:rPr>
                <w:rFonts w:hint="eastAsia" w:ascii="宋体" w:hAnsi="宋体"/>
                <w:b/>
                <w:bCs/>
                <w:lang w:val="en-US" w:eastAsia="zh-CN"/>
              </w:rPr>
              <w:t>8</w:t>
            </w:r>
            <w:r>
              <w:rPr>
                <w:rFonts w:hint="eastAsia" w:ascii="宋体" w:hAnsi="宋体"/>
                <w:b/>
                <w:bCs/>
              </w:rPr>
              <w:t>月</w:t>
            </w:r>
            <w:r>
              <w:rPr>
                <w:rFonts w:hint="eastAsia" w:ascii="宋体" w:hAnsi="宋体"/>
                <w:b/>
                <w:bCs/>
                <w:lang w:val="en-US" w:eastAsia="zh-CN"/>
              </w:rPr>
              <w:t>11</w:t>
            </w:r>
            <w:r>
              <w:rPr>
                <w:rFonts w:hint="eastAsia" w:ascii="宋体" w:hAnsi="宋体"/>
                <w:b/>
                <w:bCs/>
              </w:rPr>
              <w:t>日 9 时00分</w:t>
            </w:r>
          </w:p>
          <w:p w14:paraId="4266D8BC">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rPr>
                <w:rFonts w:ascii="宋体" w:hAnsi="宋体"/>
              </w:rPr>
            </w:pPr>
            <w:r>
              <w:rPr>
                <w:rFonts w:hint="eastAsia" w:ascii="宋体" w:hAnsi="宋体"/>
                <w:b/>
                <w:bCs/>
              </w:rPr>
              <w:t>磋商地点：河南省公共资源交易中心（郑州市经二路与纬四路向南50米路西）远程开标室(</w:t>
            </w:r>
            <w:r>
              <w:rPr>
                <w:rFonts w:hint="eastAsia" w:ascii="宋体" w:hAnsi="宋体"/>
                <w:b/>
                <w:bCs/>
                <w:lang w:val="en-US" w:eastAsia="zh-CN"/>
              </w:rPr>
              <w:t>二</w:t>
            </w:r>
            <w:r>
              <w:rPr>
                <w:rFonts w:hint="eastAsia" w:ascii="宋体" w:hAnsi="宋体"/>
                <w:b/>
                <w:bCs/>
              </w:rPr>
              <w:t>)-</w:t>
            </w:r>
            <w:r>
              <w:rPr>
                <w:rFonts w:hint="eastAsia" w:ascii="宋体" w:hAnsi="宋体"/>
                <w:b/>
                <w:bCs/>
                <w:lang w:val="en-US" w:eastAsia="zh-CN"/>
              </w:rPr>
              <w:t>2</w:t>
            </w:r>
            <w:r>
              <w:rPr>
                <w:rFonts w:hint="eastAsia" w:ascii="宋体" w:hAnsi="宋体"/>
                <w:b/>
                <w:bCs/>
              </w:rPr>
              <w:t>。</w:t>
            </w:r>
          </w:p>
        </w:tc>
      </w:tr>
      <w:tr w14:paraId="44F75BAA">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14:paraId="3E68FA22">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textAlignment w:val="baseline"/>
              <w:rPr>
                <w:rFonts w:ascii="宋体" w:hAnsi="宋体"/>
              </w:rPr>
            </w:pPr>
            <w:r>
              <w:rPr>
                <w:rFonts w:hint="eastAsia" w:ascii="宋体" w:hAnsi="宋体"/>
              </w:rPr>
              <w:t>6.1.1</w:t>
            </w:r>
          </w:p>
        </w:tc>
        <w:tc>
          <w:tcPr>
            <w:tcW w:w="2232" w:type="dxa"/>
            <w:gridSpan w:val="2"/>
            <w:tcBorders>
              <w:top w:val="single" w:color="auto" w:sz="4" w:space="0"/>
              <w:left w:val="nil"/>
              <w:bottom w:val="single" w:color="auto" w:sz="4" w:space="0"/>
              <w:right w:val="single" w:color="auto" w:sz="4" w:space="0"/>
            </w:tcBorders>
            <w:vAlign w:val="center"/>
          </w:tcPr>
          <w:p w14:paraId="7B5BA50D">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textAlignment w:val="baseline"/>
              <w:rPr>
                <w:rFonts w:ascii="宋体" w:hAnsi="宋体"/>
              </w:rPr>
            </w:pPr>
            <w:r>
              <w:rPr>
                <w:rFonts w:hint="eastAsia" w:ascii="宋体" w:hAnsi="宋体"/>
              </w:rPr>
              <w:t>磋商小组的组建</w:t>
            </w:r>
          </w:p>
        </w:tc>
        <w:tc>
          <w:tcPr>
            <w:tcW w:w="5615" w:type="dxa"/>
            <w:tcBorders>
              <w:top w:val="single" w:color="auto" w:sz="4" w:space="0"/>
              <w:left w:val="nil"/>
              <w:bottom w:val="single" w:color="auto" w:sz="4" w:space="0"/>
              <w:right w:val="single" w:color="auto" w:sz="4" w:space="0"/>
            </w:tcBorders>
            <w:vAlign w:val="center"/>
          </w:tcPr>
          <w:p w14:paraId="668C11FC">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textAlignment w:val="baseline"/>
              <w:rPr>
                <w:rFonts w:ascii="宋体" w:hAnsi="宋体"/>
              </w:rPr>
            </w:pPr>
            <w:r>
              <w:rPr>
                <w:rFonts w:hint="eastAsia" w:ascii="宋体" w:hAnsi="宋体"/>
              </w:rPr>
              <w:t>磋商小组构成：3人，由1名采购人代表、</w:t>
            </w:r>
            <w:r>
              <w:rPr>
                <w:rFonts w:hint="eastAsia" w:ascii="宋体" w:hAnsi="宋体"/>
                <w:lang w:val="en-US" w:eastAsia="zh-CN"/>
              </w:rPr>
              <w:t>2名</w:t>
            </w:r>
            <w:r>
              <w:rPr>
                <w:rFonts w:hint="eastAsia" w:ascii="宋体" w:hAnsi="宋体"/>
              </w:rPr>
              <w:t>评标专家组成；</w:t>
            </w:r>
          </w:p>
          <w:p w14:paraId="14D057DE">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textAlignment w:val="baseline"/>
              <w:rPr>
                <w:rFonts w:ascii="宋体" w:hAnsi="宋体"/>
              </w:rPr>
            </w:pPr>
            <w:r>
              <w:rPr>
                <w:rFonts w:hint="eastAsia" w:ascii="宋体" w:hAnsi="宋体"/>
              </w:rPr>
              <w:t>评标专家确定方式：磋商前从河南省</w:t>
            </w:r>
            <w:r>
              <w:rPr>
                <w:rFonts w:hint="eastAsia" w:ascii="宋体" w:hAnsi="宋体"/>
                <w:kern w:val="0"/>
              </w:rPr>
              <w:t>政府采购评审</w:t>
            </w:r>
            <w:r>
              <w:rPr>
                <w:rFonts w:hint="eastAsia" w:ascii="宋体" w:hAnsi="宋体"/>
              </w:rPr>
              <w:t>专家库中随机抽取。</w:t>
            </w:r>
          </w:p>
        </w:tc>
      </w:tr>
      <w:tr w14:paraId="591FC19F">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14:paraId="02BEB81A">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textAlignment w:val="baseline"/>
              <w:rPr>
                <w:rFonts w:ascii="宋体" w:hAnsi="宋体"/>
              </w:rPr>
            </w:pPr>
            <w:r>
              <w:rPr>
                <w:rFonts w:hint="eastAsia" w:ascii="宋体" w:hAnsi="宋体"/>
              </w:rPr>
              <w:t>7.1</w:t>
            </w:r>
          </w:p>
        </w:tc>
        <w:tc>
          <w:tcPr>
            <w:tcW w:w="2232" w:type="dxa"/>
            <w:gridSpan w:val="2"/>
            <w:tcBorders>
              <w:top w:val="single" w:color="auto" w:sz="4" w:space="0"/>
              <w:left w:val="nil"/>
              <w:bottom w:val="single" w:color="auto" w:sz="4" w:space="0"/>
              <w:right w:val="single" w:color="auto" w:sz="4" w:space="0"/>
            </w:tcBorders>
            <w:vAlign w:val="center"/>
          </w:tcPr>
          <w:p w14:paraId="105250DE">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textAlignment w:val="baseline"/>
              <w:rPr>
                <w:rFonts w:ascii="宋体" w:hAnsi="宋体"/>
              </w:rPr>
            </w:pPr>
            <w:r>
              <w:rPr>
                <w:rFonts w:hint="eastAsia" w:ascii="宋体" w:hAnsi="宋体"/>
              </w:rPr>
              <w:t>是否授权磋商小组确定成交人</w:t>
            </w:r>
          </w:p>
        </w:tc>
        <w:tc>
          <w:tcPr>
            <w:tcW w:w="5615" w:type="dxa"/>
            <w:tcBorders>
              <w:top w:val="single" w:color="auto" w:sz="4" w:space="0"/>
              <w:left w:val="nil"/>
              <w:bottom w:val="single" w:color="auto" w:sz="4" w:space="0"/>
              <w:right w:val="single" w:color="auto" w:sz="4" w:space="0"/>
            </w:tcBorders>
            <w:vAlign w:val="center"/>
          </w:tcPr>
          <w:p w14:paraId="6C379DB7">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textAlignment w:val="baseline"/>
              <w:rPr>
                <w:rFonts w:ascii="宋体" w:hAnsi="宋体"/>
              </w:rPr>
            </w:pPr>
            <w:r>
              <w:rPr>
                <w:rFonts w:hint="eastAsia" w:ascii="宋体" w:hAnsi="宋体"/>
              </w:rPr>
              <w:t>否；推荐的成交候选人数：3名</w:t>
            </w:r>
          </w:p>
        </w:tc>
      </w:tr>
      <w:tr w14:paraId="1EB1E46B">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14:paraId="364FFB27">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textAlignment w:val="baseline"/>
              <w:rPr>
                <w:rFonts w:ascii="宋体" w:hAnsi="宋体"/>
              </w:rPr>
            </w:pPr>
            <w:r>
              <w:rPr>
                <w:rFonts w:hint="eastAsia" w:ascii="宋体" w:hAnsi="宋体"/>
              </w:rPr>
              <w:t>7.3.1</w:t>
            </w:r>
          </w:p>
        </w:tc>
        <w:tc>
          <w:tcPr>
            <w:tcW w:w="2232" w:type="dxa"/>
            <w:gridSpan w:val="2"/>
            <w:tcBorders>
              <w:top w:val="single" w:color="auto" w:sz="4" w:space="0"/>
              <w:left w:val="nil"/>
              <w:bottom w:val="single" w:color="auto" w:sz="4" w:space="0"/>
              <w:right w:val="single" w:color="auto" w:sz="4" w:space="0"/>
            </w:tcBorders>
            <w:vAlign w:val="center"/>
          </w:tcPr>
          <w:p w14:paraId="13662EBE">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textAlignment w:val="baseline"/>
              <w:rPr>
                <w:rFonts w:ascii="宋体" w:hAnsi="宋体"/>
              </w:rPr>
            </w:pPr>
            <w:r>
              <w:rPr>
                <w:rFonts w:hint="eastAsia" w:ascii="宋体" w:hAnsi="宋体"/>
              </w:rPr>
              <w:t>履约保证金</w:t>
            </w:r>
          </w:p>
        </w:tc>
        <w:tc>
          <w:tcPr>
            <w:tcW w:w="5615" w:type="dxa"/>
            <w:tcBorders>
              <w:top w:val="single" w:color="auto" w:sz="4" w:space="0"/>
              <w:left w:val="nil"/>
              <w:bottom w:val="single" w:color="auto" w:sz="4" w:space="0"/>
              <w:right w:val="single" w:color="auto" w:sz="4" w:space="0"/>
            </w:tcBorders>
            <w:vAlign w:val="center"/>
          </w:tcPr>
          <w:p w14:paraId="3E63442C">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rPr>
                <w:rFonts w:hint="eastAsia"/>
              </w:rPr>
            </w:pPr>
            <w:r>
              <w:rPr>
                <w:rFonts w:hint="eastAsia"/>
              </w:rPr>
              <w:t>履约保证金形式：银行保函形式</w:t>
            </w:r>
          </w:p>
          <w:p w14:paraId="3BF33646">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rPr>
                <w:rFonts w:hint="eastAsia"/>
              </w:rPr>
            </w:pPr>
            <w:r>
              <w:rPr>
                <w:rFonts w:hint="eastAsia"/>
              </w:rPr>
              <w:t>履约保证金金额或比例：合同金额</w:t>
            </w:r>
            <w:r>
              <w:rPr>
                <w:rFonts w:hint="eastAsia"/>
                <w:lang w:val="en-US" w:eastAsia="zh-CN"/>
              </w:rPr>
              <w:t>3</w:t>
            </w:r>
            <w:r>
              <w:rPr>
                <w:rFonts w:hint="eastAsia"/>
              </w:rPr>
              <w:t>%</w:t>
            </w:r>
          </w:p>
          <w:p w14:paraId="464E61F6">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rPr>
                <w:rFonts w:hint="default"/>
                <w:lang w:val="en-US" w:eastAsia="zh-CN"/>
              </w:rPr>
            </w:pPr>
            <w:r>
              <w:rPr>
                <w:rFonts w:hint="eastAsia"/>
              </w:rPr>
              <w:t>注：</w:t>
            </w:r>
            <w:r>
              <w:rPr>
                <w:rFonts w:hint="eastAsia"/>
                <w:lang w:val="en-US" w:eastAsia="zh-CN"/>
              </w:rPr>
              <w:t>成交</w:t>
            </w:r>
            <w:r>
              <w:rPr>
                <w:rFonts w:hint="eastAsia"/>
              </w:rPr>
              <w:t>供应商应在</w:t>
            </w:r>
            <w:r>
              <w:rPr>
                <w:rFonts w:hint="eastAsia"/>
                <w:lang w:val="en-US" w:eastAsia="zh-CN"/>
              </w:rPr>
              <w:t>成交</w:t>
            </w:r>
            <w:r>
              <w:rPr>
                <w:rFonts w:hint="eastAsia"/>
              </w:rPr>
              <w:t>通知书发出之日起15日内向采购人缴纳履约保证金（以银行保函形式）后签订合同，履约保证金金额为</w:t>
            </w:r>
            <w:r>
              <w:rPr>
                <w:rFonts w:hint="eastAsia"/>
                <w:lang w:val="en-US" w:eastAsia="zh-CN"/>
              </w:rPr>
              <w:t>成交</w:t>
            </w:r>
            <w:r>
              <w:rPr>
                <w:rFonts w:hint="eastAsia"/>
              </w:rPr>
              <w:t>价的</w:t>
            </w:r>
            <w:r>
              <w:rPr>
                <w:rFonts w:hint="eastAsia"/>
                <w:lang w:val="en-US" w:eastAsia="zh-CN"/>
              </w:rPr>
              <w:t>3</w:t>
            </w:r>
            <w:r>
              <w:rPr>
                <w:rFonts w:hint="eastAsia"/>
              </w:rPr>
              <w:t>%。银行保函期限应覆盖</w:t>
            </w:r>
            <w:r>
              <w:rPr>
                <w:rFonts w:hint="eastAsia"/>
                <w:lang w:val="en-US" w:eastAsia="zh-CN"/>
              </w:rPr>
              <w:t>工</w:t>
            </w:r>
            <w:r>
              <w:rPr>
                <w:rFonts w:hint="eastAsia"/>
              </w:rPr>
              <w:t>期和</w:t>
            </w:r>
            <w:r>
              <w:rPr>
                <w:rFonts w:hint="eastAsia"/>
                <w:lang w:val="en-US" w:eastAsia="zh-CN"/>
              </w:rPr>
              <w:t>缺陷责任期</w:t>
            </w:r>
            <w:r>
              <w:rPr>
                <w:rFonts w:hint="eastAsia"/>
              </w:rPr>
              <w:t>，逾期不缴纳，视为自动放弃中标资格；</w:t>
            </w:r>
          </w:p>
        </w:tc>
      </w:tr>
      <w:tr w14:paraId="0DA1C49D">
        <w:tblPrEx>
          <w:tblCellMar>
            <w:top w:w="0" w:type="dxa"/>
            <w:left w:w="108" w:type="dxa"/>
            <w:bottom w:w="0" w:type="dxa"/>
            <w:right w:w="108" w:type="dxa"/>
          </w:tblCellMar>
        </w:tblPrEx>
        <w:trPr>
          <w:trHeight w:val="23" w:hRule="atLeast"/>
          <w:jc w:val="center"/>
        </w:trPr>
        <w:tc>
          <w:tcPr>
            <w:tcW w:w="8827" w:type="dxa"/>
            <w:gridSpan w:val="4"/>
            <w:tcBorders>
              <w:top w:val="single" w:color="auto" w:sz="4" w:space="0"/>
              <w:left w:val="single" w:color="auto" w:sz="4" w:space="0"/>
              <w:bottom w:val="single" w:color="auto" w:sz="4" w:space="0"/>
              <w:right w:val="single" w:color="auto" w:sz="4" w:space="0"/>
            </w:tcBorders>
            <w:vAlign w:val="center"/>
          </w:tcPr>
          <w:p w14:paraId="1EBEB44F">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jc w:val="left"/>
              <w:textAlignment w:val="baseline"/>
              <w:rPr>
                <w:rFonts w:ascii="宋体" w:hAnsi="宋体"/>
              </w:rPr>
            </w:pPr>
            <w:r>
              <w:rPr>
                <w:rFonts w:hint="eastAsia" w:ascii="宋体" w:hAnsi="宋体"/>
                <w:b/>
                <w:bCs/>
              </w:rPr>
              <w:t>10.需要补充的其他内容</w:t>
            </w:r>
          </w:p>
        </w:tc>
      </w:tr>
      <w:tr w14:paraId="3B5020CE">
        <w:tblPrEx>
          <w:tblCellMar>
            <w:top w:w="0" w:type="dxa"/>
            <w:left w:w="108" w:type="dxa"/>
            <w:bottom w:w="0" w:type="dxa"/>
            <w:right w:w="108" w:type="dxa"/>
          </w:tblCellMar>
        </w:tblPrEx>
        <w:trPr>
          <w:trHeight w:val="23" w:hRule="atLeast"/>
          <w:jc w:val="center"/>
        </w:trPr>
        <w:tc>
          <w:tcPr>
            <w:tcW w:w="1000" w:type="dxa"/>
            <w:gridSpan w:val="2"/>
            <w:tcBorders>
              <w:top w:val="single" w:color="auto" w:sz="4" w:space="0"/>
              <w:left w:val="single" w:color="auto" w:sz="4" w:space="0"/>
              <w:bottom w:val="single" w:color="auto" w:sz="4" w:space="0"/>
              <w:right w:val="single" w:color="auto" w:sz="4" w:space="0"/>
            </w:tcBorders>
            <w:vAlign w:val="center"/>
          </w:tcPr>
          <w:p w14:paraId="2CCA7F8F">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textAlignment w:val="baseline"/>
              <w:rPr>
                <w:rFonts w:ascii="宋体" w:hAnsi="宋体"/>
              </w:rPr>
            </w:pPr>
            <w:bookmarkStart w:id="39" w:name="_Toc144974497"/>
            <w:r>
              <w:rPr>
                <w:rFonts w:hint="eastAsia" w:ascii="宋体" w:hAnsi="宋体"/>
              </w:rPr>
              <w:t>10.1</w:t>
            </w:r>
            <w:bookmarkEnd w:id="39"/>
          </w:p>
        </w:tc>
        <w:tc>
          <w:tcPr>
            <w:tcW w:w="2212" w:type="dxa"/>
            <w:tcBorders>
              <w:top w:val="single" w:color="auto" w:sz="4" w:space="0"/>
              <w:left w:val="nil"/>
              <w:bottom w:val="single" w:color="auto" w:sz="4" w:space="0"/>
              <w:right w:val="single" w:color="auto" w:sz="4" w:space="0"/>
            </w:tcBorders>
            <w:vAlign w:val="center"/>
          </w:tcPr>
          <w:p w14:paraId="5B025360">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textAlignment w:val="baseline"/>
              <w:rPr>
                <w:rFonts w:ascii="宋体" w:hAnsi="宋体"/>
              </w:rPr>
            </w:pPr>
            <w:r>
              <w:rPr>
                <w:rFonts w:hint="eastAsia" w:ascii="宋体" w:hAnsi="宋体"/>
              </w:rPr>
              <w:t>解释权</w:t>
            </w:r>
          </w:p>
        </w:tc>
        <w:tc>
          <w:tcPr>
            <w:tcW w:w="5615" w:type="dxa"/>
            <w:tcBorders>
              <w:top w:val="single" w:color="auto" w:sz="4" w:space="0"/>
              <w:left w:val="nil"/>
              <w:bottom w:val="single" w:color="auto" w:sz="4" w:space="0"/>
              <w:right w:val="single" w:color="auto" w:sz="4" w:space="0"/>
            </w:tcBorders>
            <w:vAlign w:val="center"/>
          </w:tcPr>
          <w:p w14:paraId="51E1FFC3">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textAlignment w:val="baseline"/>
              <w:rPr>
                <w:rFonts w:ascii="宋体" w:hAnsi="宋体"/>
              </w:rPr>
            </w:pPr>
            <w:r>
              <w:rPr>
                <w:rFonts w:hint="eastAsia" w:ascii="宋体" w:hAnsi="宋体"/>
              </w:rPr>
              <w:t>构成本磋商文件的各个组成文件应互为解释，互为说明；如有不明确或不一致，按磋商公告、供应商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2418CF40">
        <w:tblPrEx>
          <w:tblCellMar>
            <w:top w:w="0" w:type="dxa"/>
            <w:left w:w="108" w:type="dxa"/>
            <w:bottom w:w="0" w:type="dxa"/>
            <w:right w:w="108" w:type="dxa"/>
          </w:tblCellMar>
        </w:tblPrEx>
        <w:trPr>
          <w:trHeight w:val="525" w:hRule="atLeast"/>
          <w:jc w:val="center"/>
        </w:trPr>
        <w:tc>
          <w:tcPr>
            <w:tcW w:w="1000" w:type="dxa"/>
            <w:gridSpan w:val="2"/>
            <w:tcBorders>
              <w:top w:val="single" w:color="auto" w:sz="4" w:space="0"/>
              <w:left w:val="single" w:color="auto" w:sz="4" w:space="0"/>
              <w:bottom w:val="single" w:color="auto" w:sz="4" w:space="0"/>
              <w:right w:val="single" w:color="auto" w:sz="4" w:space="0"/>
            </w:tcBorders>
            <w:vAlign w:val="center"/>
          </w:tcPr>
          <w:p w14:paraId="0D48C463">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rPr>
                <w:rFonts w:ascii="宋体" w:hAnsi="宋体"/>
              </w:rPr>
            </w:pPr>
            <w:r>
              <w:rPr>
                <w:rFonts w:hint="eastAsia" w:ascii="宋体" w:hAnsi="宋体"/>
              </w:rPr>
              <w:t>10.2</w:t>
            </w:r>
          </w:p>
        </w:tc>
        <w:tc>
          <w:tcPr>
            <w:tcW w:w="2212" w:type="dxa"/>
            <w:tcBorders>
              <w:top w:val="single" w:color="auto" w:sz="4" w:space="0"/>
              <w:left w:val="nil"/>
              <w:bottom w:val="single" w:color="auto" w:sz="4" w:space="0"/>
              <w:right w:val="single" w:color="auto" w:sz="4" w:space="0"/>
            </w:tcBorders>
            <w:vAlign w:val="center"/>
          </w:tcPr>
          <w:p w14:paraId="0D707BCF">
            <w:pPr>
              <w:keepNext w:val="0"/>
              <w:keepLines w:val="0"/>
              <w:pageBreakBefore w:val="0"/>
              <w:widowControl w:val="0"/>
              <w:kinsoku/>
              <w:wordWrap/>
              <w:overflowPunct/>
              <w:autoSpaceDE/>
              <w:autoSpaceDN/>
              <w:bidi w:val="0"/>
              <w:adjustRightInd w:val="0"/>
              <w:snapToGrid w:val="0"/>
              <w:spacing w:before="40" w:after="40" w:line="360" w:lineRule="auto"/>
              <w:ind w:left="0" w:leftChars="0" w:firstLine="361"/>
              <w:jc w:val="center"/>
              <w:rPr>
                <w:rFonts w:ascii="宋体" w:hAnsi="宋体"/>
                <w:b/>
                <w:bCs/>
              </w:rPr>
            </w:pPr>
            <w:r>
              <w:rPr>
                <w:rFonts w:hint="eastAsia" w:ascii="宋体" w:hAnsi="宋体"/>
                <w:b/>
                <w:bCs/>
              </w:rPr>
              <w:t>最高限价</w:t>
            </w:r>
          </w:p>
        </w:tc>
        <w:tc>
          <w:tcPr>
            <w:tcW w:w="5615" w:type="dxa"/>
            <w:tcBorders>
              <w:top w:val="single" w:color="auto" w:sz="4" w:space="0"/>
              <w:left w:val="nil"/>
              <w:bottom w:val="single" w:color="auto" w:sz="4" w:space="0"/>
              <w:right w:val="single" w:color="auto" w:sz="4" w:space="0"/>
            </w:tcBorders>
            <w:vAlign w:val="center"/>
          </w:tcPr>
          <w:p w14:paraId="17C5F999">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textAlignment w:val="baseline"/>
              <w:rPr>
                <w:rFonts w:hint="eastAsia" w:ascii="宋体" w:hAnsi="宋体" w:eastAsia="宋体"/>
                <w:lang w:eastAsia="zh-CN"/>
              </w:rPr>
            </w:pPr>
            <w:r>
              <w:rPr>
                <w:rFonts w:hint="eastAsia" w:ascii="宋体" w:hAnsi="宋体"/>
              </w:rPr>
              <w:t>大写：</w:t>
            </w:r>
            <w:r>
              <w:rPr>
                <w:rFonts w:hint="eastAsia" w:ascii="宋体" w:hAnsi="宋体"/>
                <w:lang w:eastAsia="zh-CN"/>
              </w:rPr>
              <w:t>贰佰伍拾柒万伍仟贰佰贰拾陆元肆角肆分</w:t>
            </w:r>
          </w:p>
          <w:p w14:paraId="29F69BA3">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textAlignment w:val="baseline"/>
              <w:rPr>
                <w:rFonts w:ascii="宋体" w:hAnsi="宋体"/>
              </w:rPr>
            </w:pPr>
            <w:r>
              <w:rPr>
                <w:rFonts w:hint="eastAsia" w:ascii="宋体" w:hAnsi="宋体"/>
              </w:rPr>
              <w:t>小写：</w:t>
            </w:r>
            <w:r>
              <w:rPr>
                <w:rFonts w:ascii="宋体" w:hAnsi="宋体"/>
              </w:rPr>
              <w:t>¥</w:t>
            </w:r>
            <w:r>
              <w:rPr>
                <w:rFonts w:hint="eastAsia" w:ascii="宋体" w:hAnsi="宋体"/>
              </w:rPr>
              <w:t>2575226.44元</w:t>
            </w:r>
          </w:p>
          <w:p w14:paraId="09F02C71">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textAlignment w:val="baseline"/>
              <w:rPr>
                <w:rFonts w:ascii="宋体" w:hAnsi="宋体"/>
              </w:rPr>
            </w:pPr>
            <w:r>
              <w:rPr>
                <w:rFonts w:hint="eastAsia" w:ascii="宋体" w:hAnsi="宋体"/>
              </w:rPr>
              <w:t>超过最高限价的按无效响应处理</w:t>
            </w:r>
          </w:p>
        </w:tc>
      </w:tr>
      <w:tr w14:paraId="609E587C">
        <w:tblPrEx>
          <w:tblCellMar>
            <w:top w:w="0" w:type="dxa"/>
            <w:left w:w="108" w:type="dxa"/>
            <w:bottom w:w="0" w:type="dxa"/>
            <w:right w:w="108" w:type="dxa"/>
          </w:tblCellMar>
        </w:tblPrEx>
        <w:trPr>
          <w:trHeight w:val="23" w:hRule="atLeast"/>
          <w:jc w:val="center"/>
        </w:trPr>
        <w:tc>
          <w:tcPr>
            <w:tcW w:w="1000" w:type="dxa"/>
            <w:gridSpan w:val="2"/>
            <w:tcBorders>
              <w:top w:val="single" w:color="auto" w:sz="4" w:space="0"/>
              <w:left w:val="single" w:color="auto" w:sz="4" w:space="0"/>
              <w:bottom w:val="single" w:color="auto" w:sz="4" w:space="0"/>
              <w:right w:val="single" w:color="auto" w:sz="4" w:space="0"/>
            </w:tcBorders>
            <w:vAlign w:val="center"/>
          </w:tcPr>
          <w:p w14:paraId="7584DE64">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rPr>
                <w:rFonts w:ascii="宋体" w:hAnsi="宋体"/>
              </w:rPr>
            </w:pPr>
            <w:r>
              <w:rPr>
                <w:rFonts w:hint="eastAsia" w:ascii="宋体" w:hAnsi="宋体"/>
              </w:rPr>
              <w:t>10.3</w:t>
            </w:r>
          </w:p>
        </w:tc>
        <w:tc>
          <w:tcPr>
            <w:tcW w:w="2212" w:type="dxa"/>
            <w:tcBorders>
              <w:top w:val="single" w:color="auto" w:sz="4" w:space="0"/>
              <w:left w:val="nil"/>
              <w:bottom w:val="single" w:color="auto" w:sz="4" w:space="0"/>
              <w:right w:val="single" w:color="auto" w:sz="4" w:space="0"/>
            </w:tcBorders>
            <w:vAlign w:val="center"/>
          </w:tcPr>
          <w:p w14:paraId="3F96A361">
            <w:pPr>
              <w:keepNext w:val="0"/>
              <w:keepLines w:val="0"/>
              <w:pageBreakBefore w:val="0"/>
              <w:widowControl w:val="0"/>
              <w:kinsoku/>
              <w:wordWrap/>
              <w:overflowPunct/>
              <w:autoSpaceDE/>
              <w:autoSpaceDN/>
              <w:bidi w:val="0"/>
              <w:adjustRightInd w:val="0"/>
              <w:snapToGrid w:val="0"/>
              <w:spacing w:before="40" w:after="40" w:line="360" w:lineRule="auto"/>
              <w:ind w:left="0" w:leftChars="0" w:firstLine="361"/>
              <w:jc w:val="center"/>
              <w:rPr>
                <w:rFonts w:ascii="宋体" w:hAnsi="宋体"/>
                <w:b/>
                <w:bCs/>
              </w:rPr>
            </w:pPr>
            <w:r>
              <w:rPr>
                <w:rFonts w:hint="eastAsia" w:ascii="宋体" w:hAnsi="宋体"/>
                <w:b/>
                <w:bCs/>
              </w:rPr>
              <w:t>付款方式</w:t>
            </w:r>
          </w:p>
        </w:tc>
        <w:tc>
          <w:tcPr>
            <w:tcW w:w="5615" w:type="dxa"/>
            <w:tcBorders>
              <w:top w:val="single" w:color="auto" w:sz="4" w:space="0"/>
              <w:left w:val="nil"/>
              <w:bottom w:val="single" w:color="auto" w:sz="4" w:space="0"/>
              <w:right w:val="single" w:color="auto" w:sz="4" w:space="0"/>
            </w:tcBorders>
            <w:vAlign w:val="center"/>
          </w:tcPr>
          <w:p w14:paraId="342A5EBD">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rPr>
                <w:rFonts w:hint="eastAsia" w:eastAsia="宋体"/>
                <w:lang w:eastAsia="zh-CN"/>
              </w:rPr>
            </w:pPr>
            <w:r>
              <w:rPr>
                <w:rFonts w:hint="eastAsia"/>
              </w:rPr>
              <w:t>工程竣工验收合格后,经采购人审计、竣工结算完成后，成交供应商在竣工结算完成之日起15日内，按照合同结算价款的100%向采购人开具发票,采购人收到全额发票60日内支付至合同结算价款的100%给成交供应商，在成交供应商完成其合同义务包括任何保证义务至质保期结束无质量问题，退还成交供应商履约保证金(银行保函)</w:t>
            </w:r>
            <w:r>
              <w:rPr>
                <w:rFonts w:hint="eastAsia"/>
                <w:lang w:eastAsia="zh-CN"/>
              </w:rPr>
              <w:t>。</w:t>
            </w:r>
          </w:p>
          <w:p w14:paraId="5E739A43">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rPr>
                <w:rFonts w:ascii="宋体" w:hAnsi="宋体"/>
              </w:rPr>
            </w:pPr>
            <w:r>
              <w:rPr>
                <w:rFonts w:hint="eastAsia"/>
              </w:rPr>
              <w:t>注:因采购人单位性质，需要按照国家、省级项目资金支付规定执行，成交供应商应对此清楚知晓，采购人尽量保证按照本协议约定履行义务，如因以上原因导致无法按时支付款项的，成交供应商承诺不追究采购人违约责任。</w:t>
            </w:r>
          </w:p>
        </w:tc>
      </w:tr>
      <w:tr w14:paraId="5A72437C">
        <w:tblPrEx>
          <w:tblCellMar>
            <w:top w:w="0" w:type="dxa"/>
            <w:left w:w="108" w:type="dxa"/>
            <w:bottom w:w="0" w:type="dxa"/>
            <w:right w:w="108" w:type="dxa"/>
          </w:tblCellMar>
        </w:tblPrEx>
        <w:trPr>
          <w:trHeight w:val="1613" w:hRule="atLeast"/>
          <w:jc w:val="center"/>
        </w:trPr>
        <w:tc>
          <w:tcPr>
            <w:tcW w:w="1000" w:type="dxa"/>
            <w:gridSpan w:val="2"/>
            <w:tcBorders>
              <w:top w:val="single" w:color="auto" w:sz="4" w:space="0"/>
              <w:left w:val="single" w:color="auto" w:sz="4" w:space="0"/>
              <w:bottom w:val="single" w:color="auto" w:sz="4" w:space="0"/>
              <w:right w:val="single" w:color="auto" w:sz="4" w:space="0"/>
            </w:tcBorders>
            <w:vAlign w:val="center"/>
          </w:tcPr>
          <w:p w14:paraId="46EF8E98">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rPr>
                <w:rFonts w:ascii="宋体" w:hAnsi="宋体"/>
              </w:rPr>
            </w:pPr>
            <w:r>
              <w:rPr>
                <w:rFonts w:hint="eastAsia" w:ascii="宋体" w:hAnsi="宋体"/>
              </w:rPr>
              <w:t>10.4</w:t>
            </w:r>
          </w:p>
        </w:tc>
        <w:tc>
          <w:tcPr>
            <w:tcW w:w="2212" w:type="dxa"/>
            <w:tcBorders>
              <w:top w:val="single" w:color="auto" w:sz="4" w:space="0"/>
              <w:left w:val="nil"/>
              <w:bottom w:val="single" w:color="auto" w:sz="4" w:space="0"/>
              <w:right w:val="single" w:color="auto" w:sz="4" w:space="0"/>
            </w:tcBorders>
            <w:vAlign w:val="center"/>
          </w:tcPr>
          <w:p w14:paraId="71E8EC8B">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rPr>
                <w:rFonts w:ascii="宋体" w:hAnsi="宋体"/>
              </w:rPr>
            </w:pPr>
            <w:r>
              <w:rPr>
                <w:rFonts w:hint="eastAsia" w:ascii="宋体" w:hAnsi="宋体"/>
              </w:rPr>
              <w:t>成交服务费</w:t>
            </w:r>
          </w:p>
        </w:tc>
        <w:tc>
          <w:tcPr>
            <w:tcW w:w="5615" w:type="dxa"/>
            <w:tcBorders>
              <w:top w:val="single" w:color="auto" w:sz="4" w:space="0"/>
              <w:left w:val="nil"/>
              <w:bottom w:val="single" w:color="auto" w:sz="4" w:space="0"/>
              <w:right w:val="single" w:color="auto" w:sz="4" w:space="0"/>
            </w:tcBorders>
            <w:vAlign w:val="center"/>
          </w:tcPr>
          <w:p w14:paraId="1D1BF1AB">
            <w:pPr>
              <w:keepNext w:val="0"/>
              <w:keepLines w:val="0"/>
              <w:suppressLineNumbers w:val="0"/>
              <w:spacing w:before="0" w:beforeAutospacing="0" w:after="0" w:afterAutospacing="0" w:line="360" w:lineRule="auto"/>
              <w:ind w:left="0" w:right="0"/>
              <w:rPr>
                <w:rFonts w:hint="eastAsia" w:ascii="宋体" w:hAnsi="宋体"/>
                <w:color w:val="auto"/>
                <w:kern w:val="0"/>
                <w:highlight w:val="none"/>
              </w:rPr>
            </w:pPr>
            <w:r>
              <w:rPr>
                <w:rFonts w:hint="eastAsia" w:ascii="宋体" w:hAnsi="宋体"/>
                <w:color w:val="auto"/>
                <w:kern w:val="0"/>
                <w:highlight w:val="none"/>
              </w:rPr>
              <w:t>1、供应商准备和参加磋商活动发生的费用自理。在任何情况下采购人和采购代理机构对上述费用均不承担任何责任。</w:t>
            </w:r>
          </w:p>
          <w:p w14:paraId="3CAA013C">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rPr>
                <w:rFonts w:hint="eastAsia" w:ascii="宋体" w:hAnsi="宋体"/>
                <w:color w:val="auto"/>
                <w:kern w:val="0"/>
                <w:highlight w:val="none"/>
              </w:rPr>
            </w:pPr>
            <w:r>
              <w:rPr>
                <w:rFonts w:hint="eastAsia" w:ascii="宋体" w:hAnsi="宋体"/>
                <w:color w:val="auto"/>
                <w:kern w:val="0"/>
                <w:highlight w:val="none"/>
              </w:rPr>
              <w:t>2、本项目采购代理服务费参照国家计委关于《招标代理服务收费管理暂行办法》（计价格〔2002〕1980号）规定收费标准60%收取，由成交供应商在领取成交通知书时，一次性向采购代理机构缴纳。</w:t>
            </w:r>
          </w:p>
          <w:p w14:paraId="2102FB34">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rPr>
                <w:rFonts w:ascii="宋体" w:hAnsi="宋体"/>
                <w:kern w:val="0"/>
              </w:rPr>
            </w:pPr>
            <w:r>
              <w:rPr>
                <w:rFonts w:hint="eastAsia" w:ascii="宋体" w:hAnsi="宋体"/>
                <w:b/>
                <w:bCs/>
                <w:color w:val="auto"/>
                <w:kern w:val="0"/>
                <w:highlight w:val="none"/>
              </w:rPr>
              <w:t>类别：</w:t>
            </w:r>
            <w:r>
              <w:rPr>
                <w:rFonts w:hint="eastAsia" w:ascii="宋体" w:hAnsi="宋体"/>
                <w:b/>
                <w:bCs/>
                <w:color w:val="auto"/>
                <w:kern w:val="0"/>
                <w:highlight w:val="none"/>
                <w:lang w:eastAsia="zh-CN"/>
              </w:rPr>
              <w:t>工程</w:t>
            </w:r>
            <w:r>
              <w:rPr>
                <w:rFonts w:hint="eastAsia" w:ascii="宋体" w:hAnsi="宋体"/>
                <w:b/>
                <w:bCs/>
                <w:color w:val="auto"/>
                <w:kern w:val="0"/>
                <w:highlight w:val="none"/>
              </w:rPr>
              <w:t>招标。</w:t>
            </w:r>
          </w:p>
        </w:tc>
      </w:tr>
      <w:tr w14:paraId="74844C98">
        <w:tblPrEx>
          <w:tblCellMar>
            <w:top w:w="0" w:type="dxa"/>
            <w:left w:w="108" w:type="dxa"/>
            <w:bottom w:w="0" w:type="dxa"/>
            <w:right w:w="108" w:type="dxa"/>
          </w:tblCellMar>
        </w:tblPrEx>
        <w:trPr>
          <w:trHeight w:val="551" w:hRule="atLeast"/>
          <w:jc w:val="center"/>
        </w:trPr>
        <w:tc>
          <w:tcPr>
            <w:tcW w:w="1000" w:type="dxa"/>
            <w:gridSpan w:val="2"/>
            <w:tcBorders>
              <w:top w:val="single" w:color="auto" w:sz="4" w:space="0"/>
              <w:left w:val="single" w:color="auto" w:sz="4" w:space="0"/>
              <w:bottom w:val="single" w:color="auto" w:sz="4" w:space="0"/>
              <w:right w:val="single" w:color="auto" w:sz="4" w:space="0"/>
            </w:tcBorders>
            <w:vAlign w:val="center"/>
          </w:tcPr>
          <w:p w14:paraId="06A034C2">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rPr>
                <w:rFonts w:ascii="宋体" w:hAnsi="宋体"/>
              </w:rPr>
            </w:pPr>
            <w:r>
              <w:rPr>
                <w:rFonts w:hint="eastAsia" w:ascii="宋体" w:hAnsi="宋体"/>
              </w:rPr>
              <w:t>10.5</w:t>
            </w:r>
          </w:p>
        </w:tc>
        <w:tc>
          <w:tcPr>
            <w:tcW w:w="2212" w:type="dxa"/>
            <w:tcBorders>
              <w:top w:val="single" w:color="auto" w:sz="4" w:space="0"/>
              <w:left w:val="nil"/>
              <w:bottom w:val="single" w:color="auto" w:sz="4" w:space="0"/>
              <w:right w:val="single" w:color="auto" w:sz="4" w:space="0"/>
            </w:tcBorders>
            <w:vAlign w:val="center"/>
          </w:tcPr>
          <w:p w14:paraId="7CC9B02B">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rPr>
                <w:rFonts w:ascii="宋体" w:hAnsi="宋体"/>
              </w:rPr>
            </w:pPr>
            <w:r>
              <w:rPr>
                <w:rFonts w:hint="eastAsia" w:ascii="宋体" w:hAnsi="宋体"/>
              </w:rPr>
              <w:t>政府采购政策要求</w:t>
            </w:r>
          </w:p>
        </w:tc>
        <w:tc>
          <w:tcPr>
            <w:tcW w:w="5615" w:type="dxa"/>
            <w:tcBorders>
              <w:top w:val="single" w:color="auto" w:sz="4" w:space="0"/>
              <w:left w:val="nil"/>
              <w:bottom w:val="single" w:color="auto" w:sz="4" w:space="0"/>
              <w:right w:val="single" w:color="auto" w:sz="4" w:space="0"/>
            </w:tcBorders>
            <w:vAlign w:val="center"/>
          </w:tcPr>
          <w:p w14:paraId="4BD38895">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jc w:val="left"/>
              <w:rPr>
                <w:rFonts w:ascii="宋体" w:hAnsi="宋体"/>
              </w:rPr>
            </w:pPr>
            <w:r>
              <w:rPr>
                <w:rFonts w:hint="eastAsia" w:ascii="宋体" w:hAnsi="宋体"/>
              </w:rPr>
              <w:t>政府采购相关政策信息</w:t>
            </w:r>
          </w:p>
          <w:p w14:paraId="1B656F50">
            <w:pPr>
              <w:keepNext w:val="0"/>
              <w:keepLines w:val="0"/>
              <w:pageBreakBefore w:val="0"/>
              <w:widowControl w:val="0"/>
              <w:numPr>
                <w:ilvl w:val="0"/>
                <w:numId w:val="0"/>
              </w:numPr>
              <w:kinsoku/>
              <w:wordWrap/>
              <w:overflowPunct/>
              <w:topLinePunct/>
              <w:autoSpaceDE/>
              <w:autoSpaceDN/>
              <w:bidi w:val="0"/>
              <w:adjustRightInd w:val="0"/>
              <w:snapToGrid w:val="0"/>
              <w:spacing w:before="40" w:after="40" w:line="360" w:lineRule="auto"/>
              <w:ind w:left="0" w:leftChars="0"/>
              <w:jc w:val="left"/>
              <w:rPr>
                <w:rFonts w:hint="eastAsia" w:ascii="宋体" w:hAnsi="宋体"/>
                <w:b/>
                <w:bCs/>
              </w:rPr>
            </w:pPr>
            <w:r>
              <w:rPr>
                <w:rFonts w:hint="eastAsia" w:ascii="宋体" w:hAnsi="宋体" w:eastAsia="宋体" w:cs="Times New Roman"/>
                <w:kern w:val="2"/>
                <w:sz w:val="21"/>
                <w:szCs w:val="21"/>
                <w:lang w:val="en-US" w:eastAsia="zh-CN" w:bidi="ar-SA"/>
              </w:rPr>
              <w:t>A．为贯彻落实《财政部 工业和信息化部关于印发《政府采购促进中小企业发展管理办法》的通知》（财库〔2020〕46号）和《关于进一步加大政府采购支持中小企业力度的通知》（财库〔2022〕19号）。</w:t>
            </w:r>
            <w:r>
              <w:rPr>
                <w:rFonts w:hint="eastAsia" w:ascii="宋体" w:hAnsi="宋体" w:eastAsia="宋体" w:cs="Times New Roman"/>
                <w:b/>
                <w:bCs/>
                <w:kern w:val="2"/>
                <w:sz w:val="21"/>
                <w:szCs w:val="21"/>
                <w:lang w:val="en-US" w:eastAsia="zh-CN" w:bidi="ar-SA"/>
              </w:rPr>
              <w:t>本项目专门面向中小企业采购，供应商应提交信息完整有效的《中小企业声明函》。若不能提供，其投标将被拒绝</w:t>
            </w:r>
            <w:r>
              <w:rPr>
                <w:rFonts w:hint="eastAsia" w:ascii="宋体" w:hAnsi="宋体"/>
                <w:b/>
                <w:bCs/>
              </w:rPr>
              <w:t>。</w:t>
            </w:r>
          </w:p>
          <w:p w14:paraId="32C58FB4">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jc w:val="left"/>
              <w:rPr>
                <w:rFonts w:hint="eastAsia" w:ascii="宋体" w:hAnsi="宋体"/>
                <w:lang w:eastAsia="zh-CN"/>
              </w:rPr>
            </w:pPr>
            <w:r>
              <w:rPr>
                <w:rFonts w:hint="eastAsia" w:ascii="宋体" w:hAnsi="宋体"/>
                <w:lang w:val="en-US" w:eastAsia="zh-CN"/>
              </w:rPr>
              <w:t>B</w:t>
            </w:r>
            <w:r>
              <w:rPr>
                <w:rFonts w:hint="eastAsia" w:ascii="宋体" w:hAnsi="宋体"/>
              </w:rPr>
              <w:t>．根据《财政部、司法部关于政府采购支持监狱企业发展有关问题的通知》（财库〔2014〕68号）规定，监狱企业参加本项目投标时，须提供由省级以上监狱管理局、戒毒管理局（含新疆生产建设兵团）出具的属于监狱企业的证明文件，视同小型、微型企业</w:t>
            </w:r>
            <w:r>
              <w:rPr>
                <w:rFonts w:hint="eastAsia" w:ascii="宋体" w:hAnsi="宋体"/>
                <w:lang w:eastAsia="zh-CN"/>
              </w:rPr>
              <w:t>。</w:t>
            </w:r>
          </w:p>
          <w:p w14:paraId="58B3E498">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jc w:val="left"/>
              <w:rPr>
                <w:rFonts w:hint="eastAsia" w:ascii="宋体" w:hAnsi="宋体"/>
                <w:lang w:eastAsia="zh-CN"/>
              </w:rPr>
            </w:pPr>
            <w:r>
              <w:rPr>
                <w:rFonts w:hint="eastAsia" w:ascii="宋体" w:hAnsi="宋体"/>
                <w:lang w:val="en-US" w:eastAsia="zh-CN"/>
              </w:rPr>
              <w:t>C</w:t>
            </w:r>
            <w:r>
              <w:rPr>
                <w:rFonts w:hint="eastAsia" w:ascii="宋体" w:hAnsi="宋体"/>
              </w:rPr>
              <w:t>．根据《财政部、民政部、中国残疾人联合会关于关于促进残疾人就业政府采购政策的通知》（财库〔2017〕141号）规定，本项目支持残疾人福利性单位参与政府采购活动。在政府采购活动中，残疾人福利性单位视同小型、微型企业</w:t>
            </w:r>
            <w:r>
              <w:rPr>
                <w:rFonts w:hint="eastAsia" w:ascii="宋体" w:hAnsi="宋体"/>
                <w:lang w:eastAsia="zh-CN"/>
              </w:rPr>
              <w:t>。</w:t>
            </w:r>
          </w:p>
          <w:p w14:paraId="26C8B9B3">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jc w:val="left"/>
              <w:rPr>
                <w:rFonts w:hint="eastAsia" w:ascii="宋体" w:hAnsi="宋体"/>
              </w:rPr>
            </w:pPr>
            <w:r>
              <w:rPr>
                <w:rFonts w:hint="eastAsia" w:ascii="宋体" w:hAnsi="宋体"/>
              </w:rPr>
              <w:t>供应商提供的</w:t>
            </w:r>
            <w:r>
              <w:rPr>
                <w:rFonts w:hint="eastAsia" w:ascii="宋体" w:hAnsi="宋体"/>
                <w:lang w:eastAsia="zh-CN"/>
              </w:rPr>
              <w:t>以上</w:t>
            </w:r>
            <w:r>
              <w:rPr>
                <w:rFonts w:hint="eastAsia" w:ascii="宋体" w:hAnsi="宋体"/>
              </w:rPr>
              <w:t>《声明函》与事实不符的，将依照《政府采购法》第七十七条第一款的规定追究法律责任。</w:t>
            </w:r>
          </w:p>
          <w:p w14:paraId="7B0E1AE0">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jc w:val="left"/>
              <w:rPr>
                <w:rFonts w:ascii="宋体" w:hAnsi="宋体"/>
              </w:rPr>
            </w:pPr>
            <w:r>
              <w:rPr>
                <w:rFonts w:hint="eastAsia" w:ascii="宋体" w:hAnsi="宋体"/>
                <w:lang w:val="en-US" w:eastAsia="zh-CN"/>
              </w:rPr>
              <w:t>D</w:t>
            </w:r>
            <w:r>
              <w:rPr>
                <w:rFonts w:hint="eastAsia" w:ascii="宋体" w:hAnsi="宋体"/>
              </w:rPr>
              <w:t>.为落实河南省财政厅关于印发深入推进政府采购合同融资工作实施方案的通知（豫财办﹝2020﹞33号），中标供应商可以持政府采购合同向融资机构申请贷款。</w:t>
            </w:r>
          </w:p>
        </w:tc>
      </w:tr>
      <w:tr w14:paraId="39A59E96">
        <w:tblPrEx>
          <w:tblCellMar>
            <w:top w:w="0" w:type="dxa"/>
            <w:left w:w="108" w:type="dxa"/>
            <w:bottom w:w="0" w:type="dxa"/>
            <w:right w:w="108" w:type="dxa"/>
          </w:tblCellMar>
        </w:tblPrEx>
        <w:trPr>
          <w:trHeight w:val="2068" w:hRule="atLeast"/>
          <w:jc w:val="center"/>
        </w:trPr>
        <w:tc>
          <w:tcPr>
            <w:tcW w:w="1000" w:type="dxa"/>
            <w:gridSpan w:val="2"/>
            <w:tcBorders>
              <w:top w:val="single" w:color="auto" w:sz="4" w:space="0"/>
              <w:left w:val="single" w:color="auto" w:sz="4" w:space="0"/>
              <w:bottom w:val="single" w:color="auto" w:sz="4" w:space="0"/>
              <w:right w:val="single" w:color="auto" w:sz="4" w:space="0"/>
            </w:tcBorders>
            <w:vAlign w:val="center"/>
          </w:tcPr>
          <w:p w14:paraId="7CDDA3A5">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rPr>
                <w:rFonts w:ascii="宋体" w:hAnsi="宋体"/>
              </w:rPr>
            </w:pPr>
            <w:bookmarkStart w:id="40" w:name="_Toc466298091"/>
            <w:r>
              <w:rPr>
                <w:rFonts w:hint="eastAsia" w:ascii="宋体" w:hAnsi="宋体"/>
              </w:rPr>
              <w:t>10.6</w:t>
            </w:r>
          </w:p>
        </w:tc>
        <w:tc>
          <w:tcPr>
            <w:tcW w:w="2212" w:type="dxa"/>
            <w:tcBorders>
              <w:top w:val="single" w:color="auto" w:sz="4" w:space="0"/>
              <w:left w:val="nil"/>
              <w:bottom w:val="single" w:color="auto" w:sz="4" w:space="0"/>
              <w:right w:val="single" w:color="auto" w:sz="4" w:space="0"/>
            </w:tcBorders>
            <w:vAlign w:val="center"/>
          </w:tcPr>
          <w:p w14:paraId="0800B8F5">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rPr>
                <w:rFonts w:ascii="宋体" w:hAnsi="宋体"/>
              </w:rPr>
            </w:pPr>
            <w:r>
              <w:rPr>
                <w:rStyle w:val="70"/>
                <w:rFonts w:hint="eastAsia" w:ascii="宋体" w:hAnsi="宋体" w:cs="宋体"/>
                <w:szCs w:val="24"/>
              </w:rPr>
              <w:t>本项目所属行业</w:t>
            </w:r>
          </w:p>
        </w:tc>
        <w:tc>
          <w:tcPr>
            <w:tcW w:w="5615" w:type="dxa"/>
            <w:tcBorders>
              <w:top w:val="single" w:color="auto" w:sz="4" w:space="0"/>
              <w:left w:val="nil"/>
              <w:bottom w:val="single" w:color="auto" w:sz="4" w:space="0"/>
              <w:right w:val="single" w:color="auto" w:sz="4" w:space="0"/>
            </w:tcBorders>
            <w:vAlign w:val="center"/>
          </w:tcPr>
          <w:p w14:paraId="15C2D818">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rPr>
                <w:rStyle w:val="70"/>
                <w:rFonts w:ascii="宋体" w:hAnsi="宋体" w:cs="宋体"/>
                <w:b/>
                <w:bCs/>
                <w:szCs w:val="24"/>
              </w:rPr>
            </w:pPr>
            <w:r>
              <w:rPr>
                <w:rStyle w:val="70"/>
                <w:rFonts w:hint="eastAsia" w:ascii="宋体" w:hAnsi="宋体" w:cs="宋体"/>
                <w:b/>
                <w:bCs/>
                <w:szCs w:val="24"/>
              </w:rPr>
              <w:t>本项目所属行业:建筑业</w:t>
            </w:r>
          </w:p>
          <w:p w14:paraId="684D0328">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jc w:val="left"/>
              <w:rPr>
                <w:rFonts w:ascii="宋体" w:hAnsi="宋体"/>
              </w:rPr>
            </w:pPr>
            <w:r>
              <w:rPr>
                <w:rStyle w:val="70"/>
                <w:rFonts w:hint="eastAsia" w:ascii="宋体" w:hAnsi="宋体" w:cs="宋体"/>
                <w:szCs w:val="24"/>
              </w:rPr>
              <w:t>中小企业划型标准：中小微企业划分按照“工业和信息化部、国家统计局、国家发展和改革委员会、财政部文件《关于印发中小企业划型标准规定的通知》（工信部联企业【2011】300号）”规定的划型标准为依据。</w:t>
            </w:r>
          </w:p>
        </w:tc>
      </w:tr>
      <w:tr w14:paraId="365A84CF">
        <w:tblPrEx>
          <w:tblCellMar>
            <w:top w:w="0" w:type="dxa"/>
            <w:left w:w="108" w:type="dxa"/>
            <w:bottom w:w="0" w:type="dxa"/>
            <w:right w:w="108" w:type="dxa"/>
          </w:tblCellMar>
        </w:tblPrEx>
        <w:trPr>
          <w:trHeight w:val="23" w:hRule="atLeast"/>
          <w:jc w:val="center"/>
        </w:trPr>
        <w:tc>
          <w:tcPr>
            <w:tcW w:w="1000" w:type="dxa"/>
            <w:gridSpan w:val="2"/>
            <w:tcBorders>
              <w:top w:val="single" w:color="auto" w:sz="4" w:space="0"/>
              <w:left w:val="single" w:color="auto" w:sz="4" w:space="0"/>
              <w:bottom w:val="single" w:color="auto" w:sz="4" w:space="0"/>
              <w:right w:val="single" w:color="auto" w:sz="4" w:space="0"/>
            </w:tcBorders>
            <w:vAlign w:val="center"/>
          </w:tcPr>
          <w:p w14:paraId="3B4B9AC2">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rPr>
                <w:rFonts w:ascii="宋体" w:hAnsi="宋体"/>
              </w:rPr>
            </w:pPr>
            <w:r>
              <w:rPr>
                <w:rFonts w:hint="eastAsia" w:ascii="宋体" w:hAnsi="宋体"/>
              </w:rPr>
              <w:t>10.7</w:t>
            </w:r>
          </w:p>
        </w:tc>
        <w:tc>
          <w:tcPr>
            <w:tcW w:w="2212" w:type="dxa"/>
            <w:tcBorders>
              <w:top w:val="single" w:color="auto" w:sz="4" w:space="0"/>
              <w:left w:val="nil"/>
              <w:bottom w:val="single" w:color="auto" w:sz="4" w:space="0"/>
              <w:right w:val="single" w:color="auto" w:sz="4" w:space="0"/>
            </w:tcBorders>
            <w:vAlign w:val="center"/>
          </w:tcPr>
          <w:p w14:paraId="2A9A4997">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rPr>
                <w:rStyle w:val="70"/>
                <w:rFonts w:ascii="宋体" w:hAnsi="宋体" w:cs="宋体"/>
                <w:szCs w:val="24"/>
              </w:rPr>
            </w:pPr>
            <w:r>
              <w:rPr>
                <w:rStyle w:val="70"/>
                <w:rFonts w:hint="eastAsia" w:ascii="宋体" w:hAnsi="宋体" w:cs="宋体"/>
                <w:szCs w:val="24"/>
              </w:rPr>
              <w:t>质疑投诉</w:t>
            </w:r>
          </w:p>
        </w:tc>
        <w:tc>
          <w:tcPr>
            <w:tcW w:w="5615" w:type="dxa"/>
            <w:tcBorders>
              <w:top w:val="single" w:color="auto" w:sz="4" w:space="0"/>
              <w:left w:val="nil"/>
              <w:bottom w:val="single" w:color="auto" w:sz="4" w:space="0"/>
              <w:right w:val="single" w:color="auto" w:sz="4" w:space="0"/>
            </w:tcBorders>
            <w:vAlign w:val="center"/>
          </w:tcPr>
          <w:p w14:paraId="2540F52C">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pPr>
            <w:r>
              <w:rPr>
                <w:rFonts w:hint="eastAsia"/>
              </w:rPr>
              <w:t>针对同一采购程序环节的质疑次数：</w:t>
            </w:r>
            <w:r>
              <w:rPr>
                <w:rFonts w:hint="eastAsia"/>
                <w:b/>
                <w:bCs/>
              </w:rPr>
              <w:t>一次性提出</w:t>
            </w:r>
          </w:p>
          <w:p w14:paraId="5C2ECFBD">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pPr>
            <w:r>
              <w:rPr>
                <w:rFonts w:hint="eastAsia"/>
              </w:rPr>
              <w:t>供应商认为竞争性磋商文件、采购过程、中标或者成交结果使自己的权益受到损害的，可以在知道或者应知其权益受到损害之日起7个工作日内，以书面形式向采购人、采购代理机构提出质疑，具体事项按照《中华人民共和国财政部令第94号--政府采购质疑和投诉办法》执行。</w:t>
            </w:r>
          </w:p>
          <w:p w14:paraId="1FA9471C">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pPr>
            <w:r>
              <w:rPr>
                <w:rFonts w:hint="eastAsia"/>
              </w:rPr>
              <w:t>提出质疑的供应商（以下简称质疑供应商）应当是参与所质疑项目采购活动的供应商。</w:t>
            </w:r>
          </w:p>
          <w:p w14:paraId="79AA3EE0">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pPr>
            <w:r>
              <w:rPr>
                <w:rFonts w:hint="eastAsia"/>
              </w:rPr>
              <w:t>采购人、采购代理机构接收质疑函的方式：</w:t>
            </w:r>
          </w:p>
          <w:p w14:paraId="76BDB7DB">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pPr>
            <w:r>
              <w:rPr>
                <w:rFonts w:hint="eastAsia"/>
              </w:rPr>
              <w:t>对竞争性磋商文件、采购过程提出的质疑：在河南省公共资源交易系统内提出；</w:t>
            </w:r>
          </w:p>
          <w:p w14:paraId="2287CECE">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pPr>
            <w:r>
              <w:rPr>
                <w:rFonts w:hint="eastAsia"/>
              </w:rPr>
              <w:t>对成交结果提出的质疑：书面形式当面递交，由法定代表人或其授权代表携带本人身份证件（原件和加盖公章的复印件）、质疑函原件(加盖公章及法定代表人或其授权代表签字)及相关证明材料向采购人和采购代理机构提出质疑（邮寄件、传真件不予受理），逾期将不再受理，质疑函格式详见附件1。</w:t>
            </w:r>
          </w:p>
          <w:p w14:paraId="2FFDD1D7">
            <w:pPr>
              <w:keepNext w:val="0"/>
              <w:keepLines w:val="0"/>
              <w:pageBreakBefore w:val="0"/>
              <w:widowControl w:val="0"/>
              <w:kinsoku/>
              <w:wordWrap/>
              <w:overflowPunct/>
              <w:topLinePunct/>
              <w:autoSpaceDE/>
              <w:autoSpaceDN/>
              <w:bidi w:val="0"/>
              <w:adjustRightInd w:val="0"/>
              <w:snapToGrid w:val="0"/>
              <w:spacing w:before="40" w:after="40" w:line="360" w:lineRule="auto"/>
              <w:ind w:left="0" w:leftChars="0"/>
              <w:rPr>
                <w:rStyle w:val="70"/>
                <w:rFonts w:ascii="宋体" w:hAnsi="宋体" w:cs="宋体"/>
                <w:szCs w:val="24"/>
              </w:rPr>
            </w:pPr>
            <w:r>
              <w:rPr>
                <w:rFonts w:hint="eastAsia"/>
              </w:rPr>
              <w:t>接受质疑的联系电话和通讯地址详见竞争性磋商公告。</w:t>
            </w:r>
          </w:p>
        </w:tc>
      </w:tr>
      <w:tr w14:paraId="6B8D0889">
        <w:tblPrEx>
          <w:tblCellMar>
            <w:top w:w="0" w:type="dxa"/>
            <w:left w:w="108" w:type="dxa"/>
            <w:bottom w:w="0" w:type="dxa"/>
            <w:right w:w="108" w:type="dxa"/>
          </w:tblCellMar>
        </w:tblPrEx>
        <w:trPr>
          <w:trHeight w:val="23" w:hRule="atLeast"/>
          <w:jc w:val="center"/>
        </w:trPr>
        <w:tc>
          <w:tcPr>
            <w:tcW w:w="1000" w:type="dxa"/>
            <w:gridSpan w:val="2"/>
            <w:tcBorders>
              <w:top w:val="single" w:color="auto" w:sz="4" w:space="0"/>
              <w:left w:val="single" w:color="auto" w:sz="4" w:space="0"/>
              <w:bottom w:val="single" w:color="auto" w:sz="4" w:space="0"/>
              <w:right w:val="single" w:color="auto" w:sz="4" w:space="0"/>
            </w:tcBorders>
            <w:vAlign w:val="center"/>
          </w:tcPr>
          <w:p w14:paraId="692C0F63">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rPr>
                <w:rFonts w:ascii="宋体" w:hAnsi="宋体"/>
              </w:rPr>
            </w:pPr>
            <w:r>
              <w:rPr>
                <w:rFonts w:hint="eastAsia" w:ascii="宋体" w:hAnsi="宋体"/>
              </w:rPr>
              <w:t>10.</w:t>
            </w:r>
            <w:bookmarkEnd w:id="40"/>
            <w:r>
              <w:rPr>
                <w:rFonts w:hint="eastAsia" w:ascii="宋体" w:hAnsi="宋体"/>
              </w:rPr>
              <w:t>8</w:t>
            </w:r>
          </w:p>
        </w:tc>
        <w:tc>
          <w:tcPr>
            <w:tcW w:w="2212" w:type="dxa"/>
            <w:tcBorders>
              <w:top w:val="single" w:color="auto" w:sz="4" w:space="0"/>
              <w:left w:val="nil"/>
              <w:bottom w:val="single" w:color="auto" w:sz="4" w:space="0"/>
              <w:right w:val="single" w:color="auto" w:sz="4" w:space="0"/>
            </w:tcBorders>
            <w:vAlign w:val="center"/>
          </w:tcPr>
          <w:p w14:paraId="7D4CE018">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rPr>
                <w:rFonts w:ascii="宋体" w:hAnsi="宋体"/>
              </w:rPr>
            </w:pPr>
            <w:r>
              <w:rPr>
                <w:rFonts w:hint="eastAsia" w:ascii="宋体" w:hAnsi="宋体"/>
              </w:rPr>
              <w:t>政府采购合同融资政策</w:t>
            </w:r>
          </w:p>
        </w:tc>
        <w:tc>
          <w:tcPr>
            <w:tcW w:w="5615" w:type="dxa"/>
            <w:tcBorders>
              <w:top w:val="single" w:color="auto" w:sz="4" w:space="0"/>
              <w:left w:val="nil"/>
              <w:bottom w:val="single" w:color="auto" w:sz="4" w:space="0"/>
              <w:right w:val="single" w:color="auto" w:sz="4" w:space="0"/>
            </w:tcBorders>
            <w:vAlign w:val="center"/>
          </w:tcPr>
          <w:p w14:paraId="7075C14C">
            <w:pPr>
              <w:pStyle w:val="9"/>
              <w:keepNext w:val="0"/>
              <w:keepLines w:val="0"/>
              <w:pageBreakBefore w:val="0"/>
              <w:widowControl w:val="0"/>
              <w:kinsoku/>
              <w:wordWrap/>
              <w:overflowPunct/>
              <w:topLinePunct/>
              <w:autoSpaceDE/>
              <w:autoSpaceDN/>
              <w:bidi w:val="0"/>
              <w:adjustRightInd w:val="0"/>
              <w:snapToGrid w:val="0"/>
              <w:spacing w:before="40" w:after="40" w:line="360" w:lineRule="auto"/>
              <w:ind w:left="0" w:leftChars="0"/>
              <w:rPr>
                <w:rFonts w:ascii="宋体" w:hAnsi="宋体"/>
                <w:sz w:val="21"/>
                <w:szCs w:val="21"/>
              </w:rPr>
            </w:pPr>
            <w:r>
              <w:rPr>
                <w:rFonts w:hint="eastAsia" w:ascii="宋体" w:hAnsi="宋体"/>
                <w:sz w:val="21"/>
                <w:szCs w:val="21"/>
              </w:rPr>
              <w:t>河南省政府采购合同融资政策告知函</w:t>
            </w:r>
          </w:p>
          <w:p w14:paraId="6C18F812">
            <w:pPr>
              <w:pStyle w:val="9"/>
              <w:keepNext w:val="0"/>
              <w:keepLines w:val="0"/>
              <w:pageBreakBefore w:val="0"/>
              <w:widowControl w:val="0"/>
              <w:kinsoku/>
              <w:wordWrap/>
              <w:overflowPunct/>
              <w:topLinePunct/>
              <w:autoSpaceDE/>
              <w:autoSpaceDN/>
              <w:bidi w:val="0"/>
              <w:adjustRightInd w:val="0"/>
              <w:snapToGrid w:val="0"/>
              <w:spacing w:before="40" w:after="40" w:line="360" w:lineRule="auto"/>
              <w:ind w:left="0" w:leftChars="0"/>
              <w:rPr>
                <w:rFonts w:ascii="宋体" w:hAnsi="宋体"/>
                <w:sz w:val="21"/>
                <w:szCs w:val="21"/>
              </w:rPr>
            </w:pPr>
            <w:r>
              <w:rPr>
                <w:rFonts w:hint="eastAsia" w:ascii="宋体" w:hAnsi="宋体"/>
                <w:sz w:val="21"/>
                <w:szCs w:val="21"/>
              </w:rPr>
              <w:t>各供应商：</w:t>
            </w:r>
          </w:p>
          <w:p w14:paraId="30EA021F">
            <w:pPr>
              <w:pStyle w:val="9"/>
              <w:keepNext w:val="0"/>
              <w:keepLines w:val="0"/>
              <w:pageBreakBefore w:val="0"/>
              <w:widowControl w:val="0"/>
              <w:kinsoku/>
              <w:wordWrap/>
              <w:overflowPunct/>
              <w:topLinePunct/>
              <w:autoSpaceDE/>
              <w:autoSpaceDN/>
              <w:bidi w:val="0"/>
              <w:adjustRightInd w:val="0"/>
              <w:snapToGrid w:val="0"/>
              <w:spacing w:before="40" w:after="40" w:line="360" w:lineRule="auto"/>
              <w:ind w:left="0" w:leftChars="0"/>
              <w:rPr>
                <w:rFonts w:ascii="宋体" w:hAnsi="宋体"/>
                <w:sz w:val="21"/>
                <w:szCs w:val="21"/>
              </w:rPr>
            </w:pPr>
            <w:r>
              <w:rPr>
                <w:rFonts w:hint="eastAsia" w:ascii="宋体" w:hAnsi="宋体"/>
                <w:sz w:val="21"/>
                <w:szCs w:val="21"/>
              </w:rPr>
              <w:t>欢迎贵公司参与河南省政府采购活动！</w:t>
            </w:r>
          </w:p>
          <w:p w14:paraId="386DC703">
            <w:pPr>
              <w:pStyle w:val="9"/>
              <w:keepNext w:val="0"/>
              <w:keepLines w:val="0"/>
              <w:pageBreakBefore w:val="0"/>
              <w:widowControl w:val="0"/>
              <w:kinsoku/>
              <w:wordWrap/>
              <w:overflowPunct/>
              <w:topLinePunct/>
              <w:autoSpaceDE/>
              <w:autoSpaceDN/>
              <w:bidi w:val="0"/>
              <w:adjustRightInd w:val="0"/>
              <w:snapToGrid w:val="0"/>
              <w:spacing w:before="40" w:after="40" w:line="360" w:lineRule="auto"/>
              <w:ind w:left="0" w:leftChars="0"/>
              <w:rPr>
                <w:rFonts w:ascii="宋体" w:hAnsi="宋体"/>
                <w:sz w:val="21"/>
                <w:szCs w:val="21"/>
              </w:rPr>
            </w:pPr>
            <w:r>
              <w:rPr>
                <w:rFonts w:hint="eastAsia" w:ascii="宋体" w:hAnsi="宋体"/>
                <w:sz w:val="21"/>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2436A585">
            <w:pPr>
              <w:pStyle w:val="9"/>
              <w:keepNext w:val="0"/>
              <w:keepLines w:val="0"/>
              <w:pageBreakBefore w:val="0"/>
              <w:widowControl w:val="0"/>
              <w:kinsoku/>
              <w:wordWrap/>
              <w:overflowPunct/>
              <w:topLinePunct/>
              <w:autoSpaceDE/>
              <w:autoSpaceDN/>
              <w:bidi w:val="0"/>
              <w:adjustRightInd w:val="0"/>
              <w:snapToGrid w:val="0"/>
              <w:spacing w:before="40" w:after="40" w:line="360" w:lineRule="auto"/>
              <w:ind w:left="0" w:leftChars="0"/>
              <w:rPr>
                <w:rFonts w:ascii="宋体" w:hAnsi="宋体"/>
                <w:sz w:val="21"/>
                <w:szCs w:val="21"/>
              </w:rPr>
            </w:pPr>
            <w:r>
              <w:rPr>
                <w:rFonts w:hint="eastAsia" w:ascii="宋体" w:hAnsi="宋体"/>
                <w:sz w:val="21"/>
                <w:szCs w:val="21"/>
              </w:rPr>
              <w:t>贷款渠道和提供贷款的金融机构，可在河南省政府采购网“河南省政府采购合同融资平台”查询联系。</w:t>
            </w:r>
          </w:p>
        </w:tc>
      </w:tr>
      <w:tr w14:paraId="42FBBB84">
        <w:tblPrEx>
          <w:tblCellMar>
            <w:top w:w="0" w:type="dxa"/>
            <w:left w:w="108" w:type="dxa"/>
            <w:bottom w:w="0" w:type="dxa"/>
            <w:right w:w="108" w:type="dxa"/>
          </w:tblCellMar>
        </w:tblPrEx>
        <w:trPr>
          <w:trHeight w:val="23" w:hRule="atLeast"/>
          <w:jc w:val="center"/>
        </w:trPr>
        <w:tc>
          <w:tcPr>
            <w:tcW w:w="1000" w:type="dxa"/>
            <w:gridSpan w:val="2"/>
            <w:tcBorders>
              <w:top w:val="single" w:color="auto" w:sz="4" w:space="0"/>
              <w:left w:val="single" w:color="auto" w:sz="4" w:space="0"/>
              <w:bottom w:val="single" w:color="auto" w:sz="4" w:space="0"/>
              <w:right w:val="single" w:color="auto" w:sz="4" w:space="0"/>
            </w:tcBorders>
            <w:vAlign w:val="center"/>
          </w:tcPr>
          <w:p w14:paraId="05F94F46">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rPr>
                <w:rFonts w:ascii="宋体" w:hAnsi="宋体"/>
              </w:rPr>
            </w:pPr>
            <w:r>
              <w:rPr>
                <w:rFonts w:hint="eastAsia" w:ascii="宋体" w:hAnsi="宋体"/>
              </w:rPr>
              <w:t>10.9</w:t>
            </w:r>
          </w:p>
        </w:tc>
        <w:tc>
          <w:tcPr>
            <w:tcW w:w="2212" w:type="dxa"/>
            <w:tcBorders>
              <w:top w:val="single" w:color="auto" w:sz="4" w:space="0"/>
              <w:left w:val="nil"/>
              <w:bottom w:val="single" w:color="auto" w:sz="4" w:space="0"/>
              <w:right w:val="single" w:color="auto" w:sz="4" w:space="0"/>
            </w:tcBorders>
            <w:vAlign w:val="center"/>
          </w:tcPr>
          <w:p w14:paraId="1D44DCEC">
            <w:pPr>
              <w:keepNext w:val="0"/>
              <w:keepLines w:val="0"/>
              <w:pageBreakBefore w:val="0"/>
              <w:widowControl w:val="0"/>
              <w:kinsoku/>
              <w:wordWrap/>
              <w:overflowPunct/>
              <w:autoSpaceDE/>
              <w:autoSpaceDN/>
              <w:bidi w:val="0"/>
              <w:adjustRightInd w:val="0"/>
              <w:snapToGrid w:val="0"/>
              <w:spacing w:before="40" w:after="40" w:line="360" w:lineRule="auto"/>
              <w:ind w:left="0" w:leftChars="0"/>
              <w:jc w:val="center"/>
              <w:rPr>
                <w:rFonts w:ascii="宋体" w:hAnsi="宋体"/>
              </w:rPr>
            </w:pPr>
            <w:r>
              <w:rPr>
                <w:rFonts w:hint="eastAsia" w:ascii="宋体" w:hAnsi="宋体"/>
              </w:rPr>
              <w:t>解释权</w:t>
            </w:r>
          </w:p>
        </w:tc>
        <w:tc>
          <w:tcPr>
            <w:tcW w:w="5615" w:type="dxa"/>
            <w:tcBorders>
              <w:top w:val="single" w:color="auto" w:sz="4" w:space="0"/>
              <w:left w:val="nil"/>
              <w:bottom w:val="single" w:color="auto" w:sz="4" w:space="0"/>
              <w:right w:val="single" w:color="auto" w:sz="4" w:space="0"/>
            </w:tcBorders>
            <w:vAlign w:val="center"/>
          </w:tcPr>
          <w:p w14:paraId="21B89B1E">
            <w:pPr>
              <w:pStyle w:val="9"/>
              <w:keepNext w:val="0"/>
              <w:keepLines w:val="0"/>
              <w:pageBreakBefore w:val="0"/>
              <w:widowControl w:val="0"/>
              <w:kinsoku/>
              <w:wordWrap/>
              <w:overflowPunct/>
              <w:topLinePunct/>
              <w:autoSpaceDE/>
              <w:autoSpaceDN/>
              <w:bidi w:val="0"/>
              <w:adjustRightInd w:val="0"/>
              <w:snapToGrid w:val="0"/>
              <w:spacing w:before="40" w:after="40" w:line="360" w:lineRule="auto"/>
              <w:ind w:left="0" w:leftChars="0"/>
              <w:rPr>
                <w:rFonts w:ascii="宋体" w:hAnsi="宋体"/>
                <w:sz w:val="21"/>
                <w:szCs w:val="21"/>
              </w:rPr>
            </w:pPr>
            <w:r>
              <w:rPr>
                <w:rFonts w:hint="eastAsia" w:ascii="宋体" w:hAnsi="宋体"/>
                <w:sz w:val="21"/>
                <w:szCs w:val="21"/>
              </w:rPr>
              <w:t>竞争性磋商文件的最终解释权归采购人，其它未尽事宜，按国家有关法律、法规执行。</w:t>
            </w:r>
          </w:p>
        </w:tc>
      </w:tr>
    </w:tbl>
    <w:p w14:paraId="66D1F95B">
      <w:pPr>
        <w:rPr>
          <w:rFonts w:ascii="宋体" w:hAnsi="宋体"/>
        </w:rPr>
      </w:pPr>
      <w:r>
        <w:rPr>
          <w:rFonts w:hint="eastAsia" w:ascii="宋体" w:hAnsi="宋体"/>
        </w:rPr>
        <w:br w:type="page"/>
      </w:r>
    </w:p>
    <w:bookmarkEnd w:id="38"/>
    <w:p w14:paraId="6A2CD2E7">
      <w:pPr>
        <w:pStyle w:val="58"/>
        <w:ind w:firstLine="420"/>
        <w:jc w:val="center"/>
      </w:pPr>
      <w:bookmarkStart w:id="41" w:name="_Toc18840"/>
      <w:bookmarkStart w:id="42" w:name="_Toc18289"/>
      <w:bookmarkStart w:id="43" w:name="_Toc21936"/>
      <w:bookmarkStart w:id="44" w:name="_Toc3643"/>
      <w:bookmarkStart w:id="45" w:name="_Toc15071"/>
      <w:bookmarkStart w:id="46" w:name="_Toc32167"/>
      <w:bookmarkStart w:id="47" w:name="_Toc22051"/>
      <w:bookmarkStart w:id="48" w:name="_Toc489"/>
      <w:bookmarkStart w:id="49" w:name="_Toc13420"/>
      <w:bookmarkStart w:id="50" w:name="_Toc15979"/>
      <w:r>
        <w:rPr>
          <w:rFonts w:hint="eastAsia"/>
        </w:rPr>
        <w:t>供应商须知</w:t>
      </w:r>
      <w:bookmarkEnd w:id="41"/>
      <w:bookmarkEnd w:id="42"/>
      <w:bookmarkEnd w:id="43"/>
      <w:bookmarkEnd w:id="44"/>
      <w:bookmarkEnd w:id="45"/>
      <w:bookmarkEnd w:id="46"/>
      <w:bookmarkEnd w:id="47"/>
      <w:bookmarkEnd w:id="48"/>
      <w:bookmarkEnd w:id="49"/>
      <w:bookmarkEnd w:id="50"/>
    </w:p>
    <w:p w14:paraId="2B5DF134">
      <w:pPr>
        <w:pStyle w:val="58"/>
        <w:ind w:firstLine="420"/>
      </w:pPr>
      <w:bookmarkStart w:id="51" w:name="_Toc19288"/>
      <w:bookmarkStart w:id="52" w:name="_Toc19593"/>
      <w:bookmarkStart w:id="53" w:name="_Toc1861"/>
      <w:bookmarkStart w:id="54" w:name="_Toc12696"/>
      <w:bookmarkStart w:id="55" w:name="_Toc7338"/>
      <w:bookmarkStart w:id="56" w:name="_Toc13926"/>
      <w:bookmarkStart w:id="57" w:name="_Toc5995"/>
      <w:bookmarkStart w:id="58" w:name="_Toc7933"/>
      <w:bookmarkStart w:id="59" w:name="_Toc11688"/>
      <w:bookmarkStart w:id="60" w:name="_Toc22219"/>
      <w:r>
        <w:rPr>
          <w:rFonts w:hint="eastAsia"/>
        </w:rPr>
        <w:t>1. 总则</w:t>
      </w:r>
      <w:bookmarkEnd w:id="51"/>
      <w:bookmarkEnd w:id="52"/>
      <w:bookmarkEnd w:id="53"/>
      <w:bookmarkEnd w:id="54"/>
      <w:bookmarkEnd w:id="55"/>
      <w:bookmarkEnd w:id="56"/>
      <w:bookmarkEnd w:id="57"/>
      <w:bookmarkEnd w:id="58"/>
      <w:bookmarkEnd w:id="59"/>
      <w:bookmarkEnd w:id="60"/>
    </w:p>
    <w:p w14:paraId="0E561AE1">
      <w:pPr>
        <w:pStyle w:val="59"/>
        <w:keepNext w:val="0"/>
        <w:keepLines w:val="0"/>
        <w:spacing w:line="360" w:lineRule="auto"/>
        <w:ind w:firstLine="422" w:firstLineChars="200"/>
        <w:rPr>
          <w:rFonts w:ascii="宋体" w:hAnsi="宋体" w:eastAsia="宋体"/>
          <w:b/>
          <w:bCs/>
          <w:sz w:val="21"/>
          <w:szCs w:val="21"/>
        </w:rPr>
      </w:pPr>
      <w:bookmarkStart w:id="61" w:name="_Toc10273"/>
      <w:bookmarkEnd w:id="61"/>
      <w:bookmarkStart w:id="62" w:name="_Toc455867769"/>
      <w:bookmarkEnd w:id="62"/>
      <w:bookmarkStart w:id="63" w:name="_Toc15709"/>
      <w:bookmarkEnd w:id="63"/>
      <w:bookmarkStart w:id="64" w:name="_Toc29023"/>
      <w:bookmarkEnd w:id="64"/>
      <w:bookmarkStart w:id="65" w:name="_Toc1172"/>
      <w:bookmarkEnd w:id="65"/>
      <w:bookmarkStart w:id="66" w:name="_Toc455080109"/>
      <w:bookmarkEnd w:id="66"/>
      <w:bookmarkStart w:id="67" w:name="_Toc152045531"/>
      <w:bookmarkEnd w:id="67"/>
      <w:bookmarkStart w:id="68" w:name="_Toc509667261"/>
      <w:bookmarkEnd w:id="68"/>
      <w:bookmarkStart w:id="69" w:name="_Toc144974499"/>
      <w:bookmarkEnd w:id="69"/>
      <w:bookmarkStart w:id="70" w:name="_Toc490667828"/>
      <w:bookmarkEnd w:id="70"/>
      <w:bookmarkStart w:id="71" w:name="_Toc31404"/>
      <w:bookmarkEnd w:id="71"/>
      <w:bookmarkStart w:id="72" w:name="_Toc281380952"/>
      <w:bookmarkEnd w:id="72"/>
      <w:bookmarkStart w:id="73" w:name="_Toc318450675"/>
      <w:bookmarkEnd w:id="73"/>
      <w:bookmarkStart w:id="74" w:name="_Toc466298092"/>
      <w:bookmarkEnd w:id="74"/>
      <w:bookmarkStart w:id="75" w:name="_Toc21458"/>
      <w:bookmarkEnd w:id="75"/>
      <w:bookmarkStart w:id="76" w:name="_Toc274409866"/>
      <w:bookmarkEnd w:id="76"/>
      <w:bookmarkStart w:id="77" w:name="_Toc6376"/>
      <w:bookmarkStart w:id="78" w:name="_Toc22280"/>
      <w:bookmarkStart w:id="79" w:name="_Toc19216"/>
      <w:bookmarkStart w:id="80" w:name="_Toc129073458"/>
      <w:bookmarkStart w:id="81" w:name="_Toc24535"/>
      <w:bookmarkStart w:id="82" w:name="_Toc152042307"/>
      <w:r>
        <w:rPr>
          <w:rFonts w:hint="eastAsia" w:ascii="宋体" w:hAnsi="宋体" w:eastAsia="宋体"/>
          <w:b/>
          <w:bCs/>
          <w:sz w:val="21"/>
          <w:szCs w:val="21"/>
        </w:rPr>
        <w:t>1.1 适用范围</w:t>
      </w:r>
      <w:bookmarkEnd w:id="77"/>
      <w:bookmarkEnd w:id="78"/>
      <w:bookmarkEnd w:id="79"/>
      <w:bookmarkEnd w:id="80"/>
      <w:bookmarkEnd w:id="81"/>
      <w:bookmarkEnd w:id="82"/>
    </w:p>
    <w:p w14:paraId="28053944">
      <w:pPr>
        <w:spacing w:line="360" w:lineRule="auto"/>
        <w:ind w:firstLine="420" w:firstLineChars="200"/>
        <w:rPr>
          <w:rFonts w:ascii="宋体" w:hAnsi="宋体"/>
        </w:rPr>
      </w:pPr>
      <w:r>
        <w:rPr>
          <w:rFonts w:hint="eastAsia" w:ascii="宋体" w:hAnsi="宋体"/>
        </w:rPr>
        <w:t>1.1.1</w:t>
      </w:r>
      <w:r>
        <w:rPr>
          <w:rFonts w:hint="eastAsia" w:ascii="宋体" w:hAnsi="宋体"/>
          <w:lang w:eastAsia="zh-CN"/>
        </w:rPr>
        <w:t>根据</w:t>
      </w:r>
      <w:r>
        <w:rPr>
          <w:rFonts w:hint="eastAsia" w:ascii="宋体" w:hAnsi="宋体"/>
        </w:rPr>
        <w:t>《中华人民共和国政府采购法》、《中华人民共和国政府采购法实施条例》、《政府采购竞争性磋商采购方式管理暂行办法》等有关法律、法规和规章的规定，编制本项目磋商文件。</w:t>
      </w:r>
    </w:p>
    <w:p w14:paraId="1D4F99CA">
      <w:pPr>
        <w:spacing w:line="360" w:lineRule="auto"/>
        <w:ind w:firstLine="420" w:firstLineChars="200"/>
        <w:rPr>
          <w:rFonts w:ascii="宋体" w:hAnsi="宋体"/>
        </w:rPr>
      </w:pPr>
      <w:bookmarkStart w:id="83" w:name="_Toc455867770"/>
      <w:bookmarkEnd w:id="83"/>
      <w:bookmarkStart w:id="84" w:name="_Toc2929"/>
      <w:bookmarkEnd w:id="84"/>
      <w:bookmarkStart w:id="85" w:name="_Toc274409867"/>
      <w:bookmarkEnd w:id="85"/>
      <w:bookmarkStart w:id="86" w:name="_Toc30891"/>
      <w:bookmarkEnd w:id="86"/>
      <w:bookmarkStart w:id="87" w:name="_Toc25773"/>
      <w:bookmarkEnd w:id="87"/>
      <w:bookmarkStart w:id="88" w:name="_Toc490667829"/>
      <w:bookmarkEnd w:id="88"/>
      <w:bookmarkStart w:id="89" w:name="_Toc509667262"/>
      <w:bookmarkEnd w:id="89"/>
      <w:bookmarkStart w:id="90" w:name="_Toc455080110"/>
      <w:bookmarkEnd w:id="90"/>
      <w:bookmarkStart w:id="91" w:name="_Toc281405468"/>
      <w:bookmarkEnd w:id="91"/>
      <w:bookmarkStart w:id="92" w:name="_Toc318450676"/>
      <w:bookmarkEnd w:id="92"/>
      <w:bookmarkStart w:id="93" w:name="_Toc32619"/>
      <w:bookmarkEnd w:id="93"/>
      <w:bookmarkStart w:id="94" w:name="_Toc710"/>
      <w:bookmarkEnd w:id="94"/>
      <w:bookmarkStart w:id="95" w:name="_Toc3336"/>
      <w:bookmarkEnd w:id="95"/>
      <w:r>
        <w:rPr>
          <w:rFonts w:hint="eastAsia" w:ascii="宋体" w:hAnsi="宋体"/>
        </w:rPr>
        <w:t>1.1.2 本项目采购人：见供应商须知前附表。</w:t>
      </w:r>
    </w:p>
    <w:p w14:paraId="57AE5636">
      <w:pPr>
        <w:spacing w:line="360" w:lineRule="auto"/>
        <w:ind w:firstLine="420" w:firstLineChars="200"/>
        <w:rPr>
          <w:rFonts w:ascii="宋体" w:hAnsi="宋体"/>
        </w:rPr>
      </w:pPr>
      <w:r>
        <w:rPr>
          <w:rFonts w:hint="eastAsia" w:ascii="宋体" w:hAnsi="宋体"/>
        </w:rPr>
        <w:t>1.1.3 本项目采购代理机构：见供应商须知前附表。</w:t>
      </w:r>
    </w:p>
    <w:p w14:paraId="385A780C">
      <w:pPr>
        <w:spacing w:line="360" w:lineRule="auto"/>
        <w:ind w:firstLine="420" w:firstLineChars="200"/>
        <w:rPr>
          <w:rFonts w:ascii="宋体" w:hAnsi="宋体"/>
        </w:rPr>
      </w:pPr>
      <w:r>
        <w:rPr>
          <w:rFonts w:hint="eastAsia" w:ascii="宋体" w:hAnsi="宋体"/>
        </w:rPr>
        <w:t>1.1.4 本项目名称：见供应商须知前附表。</w:t>
      </w:r>
    </w:p>
    <w:p w14:paraId="71EB41DB">
      <w:pPr>
        <w:pStyle w:val="59"/>
        <w:keepNext w:val="0"/>
        <w:keepLines w:val="0"/>
        <w:spacing w:line="360" w:lineRule="auto"/>
        <w:ind w:firstLine="422" w:firstLineChars="200"/>
        <w:rPr>
          <w:rFonts w:ascii="宋体" w:hAnsi="宋体" w:eastAsia="宋体"/>
          <w:b/>
          <w:bCs/>
          <w:sz w:val="21"/>
          <w:szCs w:val="21"/>
        </w:rPr>
      </w:pPr>
      <w:bookmarkStart w:id="96" w:name="_Toc17925"/>
      <w:bookmarkStart w:id="97" w:name="_Toc20229"/>
      <w:bookmarkStart w:id="98" w:name="_Toc6746"/>
      <w:bookmarkStart w:id="99" w:name="_Toc30702"/>
      <w:r>
        <w:rPr>
          <w:rFonts w:hint="eastAsia" w:ascii="宋体" w:hAnsi="宋体" w:eastAsia="宋体"/>
          <w:b/>
          <w:bCs/>
          <w:sz w:val="21"/>
          <w:szCs w:val="21"/>
        </w:rPr>
        <w:t>1.2 资金来源及落实情况</w:t>
      </w:r>
      <w:bookmarkEnd w:id="96"/>
      <w:bookmarkEnd w:id="97"/>
      <w:bookmarkEnd w:id="98"/>
      <w:bookmarkEnd w:id="99"/>
    </w:p>
    <w:p w14:paraId="787DE86D">
      <w:pPr>
        <w:spacing w:line="360" w:lineRule="auto"/>
        <w:ind w:firstLine="420" w:firstLineChars="200"/>
        <w:rPr>
          <w:rFonts w:ascii="宋体" w:hAnsi="宋体"/>
        </w:rPr>
      </w:pPr>
      <w:r>
        <w:rPr>
          <w:rFonts w:hint="eastAsia" w:ascii="宋体" w:hAnsi="宋体"/>
        </w:rPr>
        <w:t>1.2.1资金来源：见供应商须知前附表。</w:t>
      </w:r>
    </w:p>
    <w:p w14:paraId="26E0E317">
      <w:pPr>
        <w:spacing w:line="360" w:lineRule="auto"/>
        <w:ind w:firstLine="420" w:firstLineChars="200"/>
        <w:rPr>
          <w:rFonts w:ascii="宋体" w:hAnsi="宋体"/>
        </w:rPr>
      </w:pPr>
      <w:r>
        <w:rPr>
          <w:rFonts w:hint="eastAsia" w:ascii="宋体" w:hAnsi="宋体"/>
        </w:rPr>
        <w:t>1.2.2 资金落实情况：见供应商须知前附表。</w:t>
      </w:r>
    </w:p>
    <w:p w14:paraId="39E98D7D">
      <w:pPr>
        <w:pStyle w:val="59"/>
        <w:keepNext w:val="0"/>
        <w:keepLines w:val="0"/>
        <w:spacing w:line="360" w:lineRule="auto"/>
        <w:ind w:firstLine="422" w:firstLineChars="200"/>
        <w:rPr>
          <w:rFonts w:ascii="宋体" w:hAnsi="宋体" w:eastAsia="宋体"/>
          <w:b/>
          <w:bCs/>
          <w:sz w:val="21"/>
          <w:szCs w:val="21"/>
        </w:rPr>
      </w:pPr>
      <w:bookmarkStart w:id="100" w:name="_Toc455867772"/>
      <w:bookmarkEnd w:id="100"/>
      <w:bookmarkStart w:id="101" w:name="_Toc455080112"/>
      <w:bookmarkEnd w:id="101"/>
      <w:bookmarkStart w:id="102" w:name="_Toc466298094"/>
      <w:bookmarkEnd w:id="102"/>
      <w:bookmarkStart w:id="103" w:name="_Toc274409868"/>
      <w:bookmarkEnd w:id="103"/>
      <w:bookmarkStart w:id="104" w:name="_Toc27407"/>
      <w:bookmarkEnd w:id="104"/>
      <w:bookmarkStart w:id="105" w:name="_Toc3477"/>
      <w:bookmarkEnd w:id="105"/>
      <w:bookmarkStart w:id="106" w:name="_Toc490667831"/>
      <w:bookmarkEnd w:id="106"/>
      <w:bookmarkStart w:id="107" w:name="_Toc4952"/>
      <w:bookmarkEnd w:id="107"/>
      <w:bookmarkStart w:id="108" w:name="_Toc12752"/>
      <w:bookmarkEnd w:id="108"/>
      <w:bookmarkStart w:id="109" w:name="_Toc455867771"/>
      <w:bookmarkEnd w:id="109"/>
      <w:bookmarkStart w:id="110" w:name="_Toc466298095"/>
      <w:bookmarkEnd w:id="110"/>
      <w:bookmarkStart w:id="111" w:name="_Toc16470"/>
      <w:bookmarkEnd w:id="111"/>
      <w:bookmarkStart w:id="112" w:name="_Toc18960"/>
      <w:bookmarkEnd w:id="112"/>
      <w:bookmarkStart w:id="113" w:name="_Toc490667830"/>
      <w:bookmarkEnd w:id="113"/>
      <w:bookmarkStart w:id="114" w:name="_Toc16931"/>
      <w:bookmarkEnd w:id="114"/>
      <w:bookmarkStart w:id="115" w:name="_Toc152042308"/>
      <w:bookmarkEnd w:id="115"/>
      <w:bookmarkStart w:id="116" w:name="_Toc318450677"/>
      <w:bookmarkEnd w:id="116"/>
      <w:bookmarkStart w:id="117" w:name="_Toc21766"/>
      <w:bookmarkEnd w:id="117"/>
      <w:bookmarkStart w:id="118" w:name="_Toc19363"/>
      <w:bookmarkEnd w:id="118"/>
      <w:bookmarkStart w:id="119" w:name="_Toc14043"/>
      <w:bookmarkEnd w:id="119"/>
      <w:bookmarkStart w:id="120" w:name="_Toc281405469"/>
      <w:bookmarkEnd w:id="120"/>
      <w:bookmarkStart w:id="121" w:name="_Toc17016"/>
      <w:bookmarkEnd w:id="121"/>
      <w:bookmarkStart w:id="122" w:name="_Toc509667263"/>
      <w:bookmarkEnd w:id="122"/>
      <w:bookmarkStart w:id="123" w:name="_Toc152045532"/>
      <w:bookmarkEnd w:id="123"/>
      <w:bookmarkStart w:id="124" w:name="_Toc1373"/>
      <w:bookmarkEnd w:id="124"/>
      <w:bookmarkStart w:id="125" w:name="_Toc509667264"/>
      <w:bookmarkEnd w:id="125"/>
      <w:bookmarkStart w:id="126" w:name="_Toc144974500"/>
      <w:bookmarkEnd w:id="126"/>
      <w:bookmarkStart w:id="127" w:name="_Toc318450678"/>
      <w:bookmarkStart w:id="128" w:name="_Toc129073461"/>
      <w:bookmarkStart w:id="129" w:name="_Toc24068"/>
      <w:bookmarkStart w:id="130" w:name="_Toc24695"/>
      <w:bookmarkStart w:id="131" w:name="_Toc24274"/>
      <w:bookmarkStart w:id="132" w:name="_Toc8454"/>
      <w:r>
        <w:rPr>
          <w:rFonts w:hint="eastAsia" w:ascii="宋体" w:hAnsi="宋体" w:eastAsia="宋体"/>
          <w:b/>
          <w:bCs/>
          <w:sz w:val="21"/>
          <w:szCs w:val="21"/>
        </w:rPr>
        <w:t>1.3 磋商内容及范围</w:t>
      </w:r>
      <w:bookmarkEnd w:id="127"/>
      <w:r>
        <w:rPr>
          <w:rFonts w:hint="eastAsia" w:ascii="宋体" w:hAnsi="宋体" w:eastAsia="宋体"/>
          <w:b/>
          <w:bCs/>
          <w:sz w:val="21"/>
          <w:szCs w:val="21"/>
        </w:rPr>
        <w:t>、建设地点、工期、质量要求</w:t>
      </w:r>
      <w:bookmarkEnd w:id="128"/>
      <w:r>
        <w:rPr>
          <w:rFonts w:hint="eastAsia" w:ascii="宋体" w:hAnsi="宋体" w:eastAsia="宋体"/>
          <w:b/>
          <w:bCs/>
          <w:sz w:val="21"/>
          <w:szCs w:val="21"/>
        </w:rPr>
        <w:t>等</w:t>
      </w:r>
      <w:bookmarkEnd w:id="129"/>
      <w:bookmarkEnd w:id="130"/>
      <w:bookmarkEnd w:id="131"/>
      <w:bookmarkEnd w:id="132"/>
    </w:p>
    <w:p w14:paraId="3067C8E4">
      <w:pPr>
        <w:spacing w:line="360" w:lineRule="auto"/>
        <w:ind w:firstLine="420" w:firstLineChars="200"/>
        <w:rPr>
          <w:rFonts w:ascii="宋体" w:hAnsi="宋体"/>
        </w:rPr>
      </w:pPr>
      <w:r>
        <w:rPr>
          <w:rFonts w:hint="eastAsia" w:ascii="宋体" w:hAnsi="宋体"/>
        </w:rPr>
        <w:t>1.3.1 本次磋商内容及范围：见供应商须知前附表。</w:t>
      </w:r>
    </w:p>
    <w:p w14:paraId="3F0AB348">
      <w:pPr>
        <w:spacing w:line="360" w:lineRule="auto"/>
        <w:ind w:firstLine="420" w:firstLineChars="200"/>
        <w:rPr>
          <w:rFonts w:ascii="宋体" w:hAnsi="宋体"/>
        </w:rPr>
      </w:pPr>
      <w:r>
        <w:rPr>
          <w:rFonts w:hint="eastAsia" w:ascii="宋体" w:hAnsi="宋体"/>
        </w:rPr>
        <w:t>1.3.2 本项目的建设地点：见供应商须知前附表。</w:t>
      </w:r>
    </w:p>
    <w:p w14:paraId="788213D3">
      <w:pPr>
        <w:spacing w:line="360" w:lineRule="auto"/>
        <w:ind w:firstLine="420" w:firstLineChars="200"/>
        <w:rPr>
          <w:rFonts w:ascii="宋体" w:hAnsi="宋体"/>
        </w:rPr>
      </w:pPr>
      <w:r>
        <w:rPr>
          <w:rFonts w:hint="eastAsia" w:ascii="宋体" w:hAnsi="宋体"/>
        </w:rPr>
        <w:t>1.3.3 本项目的工期要求：见供应商须知前附表。</w:t>
      </w:r>
    </w:p>
    <w:p w14:paraId="328741E2">
      <w:pPr>
        <w:spacing w:line="360" w:lineRule="auto"/>
        <w:ind w:firstLine="420" w:firstLineChars="200"/>
        <w:rPr>
          <w:rFonts w:ascii="宋体" w:hAnsi="宋体"/>
        </w:rPr>
      </w:pPr>
      <w:r>
        <w:rPr>
          <w:rFonts w:hint="eastAsia" w:ascii="宋体" w:hAnsi="宋体"/>
        </w:rPr>
        <w:t>1.3.4 本项目的质量要求：见供应商须知前附表。</w:t>
      </w:r>
    </w:p>
    <w:p w14:paraId="53109485">
      <w:pPr>
        <w:spacing w:line="360" w:lineRule="auto"/>
        <w:ind w:firstLine="420" w:firstLineChars="200"/>
        <w:rPr>
          <w:rFonts w:ascii="宋体" w:hAnsi="宋体"/>
        </w:rPr>
      </w:pPr>
      <w:r>
        <w:rPr>
          <w:rFonts w:hint="eastAsia" w:ascii="宋体" w:hAnsi="宋体"/>
        </w:rPr>
        <w:t>1.3.5 本项目的缺陷责任期：见供应商须知前附表。</w:t>
      </w:r>
    </w:p>
    <w:p w14:paraId="2E3C85A4">
      <w:pPr>
        <w:spacing w:line="360" w:lineRule="auto"/>
        <w:ind w:firstLine="420" w:firstLineChars="200"/>
        <w:rPr>
          <w:rFonts w:ascii="宋体" w:hAnsi="宋体"/>
        </w:rPr>
      </w:pPr>
      <w:r>
        <w:rPr>
          <w:rFonts w:hint="eastAsia" w:ascii="宋体" w:hAnsi="宋体"/>
        </w:rPr>
        <w:t>1.3.6本项目的保修期：见供应商须知前附表。</w:t>
      </w:r>
    </w:p>
    <w:p w14:paraId="30348890">
      <w:pPr>
        <w:pStyle w:val="59"/>
        <w:keepNext w:val="0"/>
        <w:keepLines w:val="0"/>
        <w:spacing w:line="360" w:lineRule="auto"/>
        <w:ind w:firstLine="422" w:firstLineChars="200"/>
        <w:rPr>
          <w:rFonts w:ascii="宋体" w:hAnsi="宋体" w:eastAsia="宋体"/>
          <w:b/>
          <w:bCs/>
          <w:sz w:val="21"/>
          <w:szCs w:val="21"/>
        </w:rPr>
      </w:pPr>
      <w:bookmarkStart w:id="133" w:name="_Toc509667265"/>
      <w:bookmarkEnd w:id="133"/>
      <w:bookmarkStart w:id="134" w:name="_Toc152045534"/>
      <w:bookmarkEnd w:id="134"/>
      <w:bookmarkStart w:id="135" w:name="_Toc11063"/>
      <w:bookmarkEnd w:id="135"/>
      <w:bookmarkStart w:id="136" w:name="_Toc455080113"/>
      <w:bookmarkEnd w:id="136"/>
      <w:bookmarkStart w:id="137" w:name="_Toc455867773"/>
      <w:bookmarkEnd w:id="137"/>
      <w:bookmarkStart w:id="138" w:name="_Toc152042310"/>
      <w:bookmarkEnd w:id="138"/>
      <w:bookmarkStart w:id="139" w:name="_Toc318450679"/>
      <w:bookmarkEnd w:id="139"/>
      <w:bookmarkStart w:id="140" w:name="_Toc5019"/>
      <w:bookmarkEnd w:id="140"/>
      <w:bookmarkStart w:id="141" w:name="_Toc18689"/>
      <w:bookmarkEnd w:id="141"/>
      <w:bookmarkStart w:id="142" w:name="_Toc4301"/>
      <w:bookmarkEnd w:id="142"/>
      <w:bookmarkStart w:id="143" w:name="_Toc22643"/>
      <w:bookmarkEnd w:id="143"/>
      <w:bookmarkStart w:id="144" w:name="_Toc144974502"/>
      <w:bookmarkEnd w:id="144"/>
      <w:bookmarkStart w:id="145" w:name="_Toc490667832"/>
      <w:bookmarkEnd w:id="145"/>
      <w:bookmarkStart w:id="146" w:name="_Toc466298096"/>
      <w:bookmarkEnd w:id="146"/>
      <w:bookmarkStart w:id="147" w:name="_Toc7209"/>
      <w:bookmarkStart w:id="148" w:name="_Toc129073462"/>
      <w:bookmarkStart w:id="149" w:name="_Toc31570"/>
      <w:bookmarkStart w:id="150" w:name="_Toc2786"/>
      <w:bookmarkStart w:id="151" w:name="_Toc23092"/>
      <w:bookmarkStart w:id="152" w:name="_Toc19858"/>
      <w:r>
        <w:rPr>
          <w:rFonts w:hint="eastAsia" w:ascii="宋体" w:hAnsi="宋体" w:eastAsia="宋体"/>
          <w:b/>
          <w:bCs/>
          <w:sz w:val="21"/>
          <w:szCs w:val="21"/>
        </w:rPr>
        <w:t xml:space="preserve">1.4 </w:t>
      </w:r>
      <w:bookmarkEnd w:id="147"/>
      <w:r>
        <w:rPr>
          <w:rFonts w:hint="eastAsia" w:ascii="宋体" w:hAnsi="宋体" w:eastAsia="宋体"/>
          <w:b/>
          <w:bCs/>
          <w:sz w:val="21"/>
          <w:szCs w:val="21"/>
        </w:rPr>
        <w:t>供应商资质条件和能力</w:t>
      </w:r>
      <w:bookmarkEnd w:id="148"/>
      <w:bookmarkEnd w:id="149"/>
      <w:bookmarkEnd w:id="150"/>
      <w:bookmarkEnd w:id="151"/>
      <w:bookmarkEnd w:id="152"/>
    </w:p>
    <w:p w14:paraId="45D733C3">
      <w:pPr>
        <w:spacing w:line="360" w:lineRule="auto"/>
        <w:ind w:firstLine="420" w:firstLineChars="200"/>
        <w:rPr>
          <w:rFonts w:ascii="宋体" w:hAnsi="宋体"/>
        </w:rPr>
      </w:pPr>
      <w:r>
        <w:rPr>
          <w:rFonts w:hint="eastAsia" w:ascii="宋体" w:hAnsi="宋体"/>
        </w:rPr>
        <w:t>1.4.1供应商资质及能力要求：见供应商须知前附表。</w:t>
      </w:r>
    </w:p>
    <w:p w14:paraId="1B3DE92B">
      <w:pPr>
        <w:spacing w:line="360" w:lineRule="auto"/>
        <w:ind w:firstLine="420" w:firstLineChars="200"/>
        <w:rPr>
          <w:rFonts w:ascii="宋体" w:hAnsi="宋体"/>
        </w:rPr>
      </w:pPr>
      <w:r>
        <w:rPr>
          <w:rFonts w:hint="eastAsia" w:ascii="宋体" w:hAnsi="宋体"/>
        </w:rPr>
        <w:t>1.4.2是否接受联合体：见供应商须知前附表。</w:t>
      </w:r>
    </w:p>
    <w:p w14:paraId="62650246">
      <w:pPr>
        <w:spacing w:line="360" w:lineRule="auto"/>
        <w:ind w:firstLine="420" w:firstLineChars="200"/>
        <w:rPr>
          <w:rFonts w:ascii="宋体" w:hAnsi="宋体"/>
        </w:rPr>
      </w:pPr>
      <w:r>
        <w:rPr>
          <w:rFonts w:hint="eastAsia" w:ascii="宋体" w:hAnsi="宋体"/>
        </w:rPr>
        <w:t>1.4.3 供应商不得存在下列情形之一:</w:t>
      </w:r>
    </w:p>
    <w:p w14:paraId="2F253FEB">
      <w:pPr>
        <w:spacing w:line="360" w:lineRule="auto"/>
        <w:ind w:firstLine="420" w:firstLineChars="200"/>
        <w:rPr>
          <w:rFonts w:ascii="宋体" w:hAnsi="宋体"/>
        </w:rPr>
      </w:pPr>
      <w:r>
        <w:rPr>
          <w:rFonts w:hint="eastAsia" w:ascii="宋体" w:hAnsi="宋体"/>
        </w:rPr>
        <w:t>(1)与采购人存在利害关系且可能影响磋商公正性；</w:t>
      </w:r>
    </w:p>
    <w:p w14:paraId="6B4F568A">
      <w:pPr>
        <w:spacing w:line="360" w:lineRule="auto"/>
        <w:ind w:firstLine="420" w:firstLineChars="200"/>
        <w:rPr>
          <w:rFonts w:ascii="宋体" w:hAnsi="宋体"/>
        </w:rPr>
      </w:pPr>
      <w:r>
        <w:rPr>
          <w:rFonts w:hint="eastAsia" w:ascii="宋体" w:hAnsi="宋体"/>
        </w:rPr>
        <w:t>(2)与本磋商项目的其他供应商为同一个单位负责人；</w:t>
      </w:r>
    </w:p>
    <w:p w14:paraId="79EB6023">
      <w:pPr>
        <w:spacing w:line="360" w:lineRule="auto"/>
        <w:ind w:firstLine="420" w:firstLineChars="200"/>
        <w:rPr>
          <w:rFonts w:ascii="宋体" w:hAnsi="宋体"/>
        </w:rPr>
      </w:pPr>
      <w:r>
        <w:rPr>
          <w:rFonts w:hint="eastAsia" w:ascii="宋体" w:hAnsi="宋体"/>
        </w:rPr>
        <w:t>(3)与本磋商项目的其他供应商存在控股、管理关系；</w:t>
      </w:r>
    </w:p>
    <w:p w14:paraId="5830AE23">
      <w:pPr>
        <w:spacing w:line="360" w:lineRule="auto"/>
        <w:ind w:firstLine="420" w:firstLineChars="200"/>
        <w:rPr>
          <w:rFonts w:ascii="宋体" w:hAnsi="宋体"/>
        </w:rPr>
      </w:pPr>
      <w:r>
        <w:rPr>
          <w:rFonts w:hint="eastAsia" w:ascii="宋体" w:hAnsi="宋体"/>
        </w:rPr>
        <w:t>(4)为本磋商项目提供过整体设计、规范编制或者项目管理、监理、检测等服务；</w:t>
      </w:r>
    </w:p>
    <w:p w14:paraId="41F420CD">
      <w:pPr>
        <w:spacing w:line="360" w:lineRule="auto"/>
        <w:ind w:firstLine="420" w:firstLineChars="200"/>
        <w:rPr>
          <w:rFonts w:ascii="宋体" w:hAnsi="宋体"/>
        </w:rPr>
      </w:pPr>
      <w:r>
        <w:rPr>
          <w:rFonts w:hint="eastAsia" w:ascii="宋体" w:hAnsi="宋体"/>
        </w:rPr>
        <w:t>(5)为本项目的监理人；</w:t>
      </w:r>
    </w:p>
    <w:p w14:paraId="2254E78A">
      <w:pPr>
        <w:spacing w:line="360" w:lineRule="auto"/>
        <w:ind w:firstLine="420" w:firstLineChars="200"/>
        <w:rPr>
          <w:rFonts w:ascii="宋体" w:hAnsi="宋体"/>
        </w:rPr>
      </w:pPr>
      <w:r>
        <w:rPr>
          <w:rFonts w:hint="eastAsia" w:ascii="宋体" w:hAnsi="宋体"/>
        </w:rPr>
        <w:t>(6)为本项目的代建人；</w:t>
      </w:r>
    </w:p>
    <w:p w14:paraId="4329EDC0">
      <w:pPr>
        <w:spacing w:line="360" w:lineRule="auto"/>
        <w:ind w:firstLine="420" w:firstLineChars="200"/>
        <w:rPr>
          <w:rFonts w:ascii="宋体" w:hAnsi="宋体"/>
        </w:rPr>
      </w:pPr>
      <w:r>
        <w:rPr>
          <w:rFonts w:hint="eastAsia" w:ascii="宋体" w:hAnsi="宋体"/>
        </w:rPr>
        <w:t>(7)与本项目的监理人或代建人或采购代理机构同为一个法定代表人；</w:t>
      </w:r>
    </w:p>
    <w:p w14:paraId="08881329">
      <w:pPr>
        <w:spacing w:line="360" w:lineRule="auto"/>
        <w:ind w:firstLine="420" w:firstLineChars="200"/>
        <w:rPr>
          <w:rFonts w:ascii="宋体" w:hAnsi="宋体"/>
        </w:rPr>
      </w:pPr>
      <w:r>
        <w:rPr>
          <w:rFonts w:hint="eastAsia" w:ascii="宋体" w:hAnsi="宋体"/>
        </w:rPr>
        <w:t>(8)与本项目的监理人或代建人或采购代理机构存在控股或参股关系；</w:t>
      </w:r>
    </w:p>
    <w:p w14:paraId="697FF3E0">
      <w:pPr>
        <w:spacing w:line="360" w:lineRule="auto"/>
        <w:ind w:firstLine="420" w:firstLineChars="200"/>
        <w:rPr>
          <w:rFonts w:ascii="宋体" w:hAnsi="宋体"/>
        </w:rPr>
      </w:pPr>
      <w:r>
        <w:rPr>
          <w:rFonts w:hint="eastAsia" w:ascii="宋体" w:hAnsi="宋体"/>
        </w:rPr>
        <w:t>(9)为本磋商项目的采购代理机构；</w:t>
      </w:r>
    </w:p>
    <w:p w14:paraId="7611B7CE">
      <w:pPr>
        <w:spacing w:line="360" w:lineRule="auto"/>
        <w:ind w:firstLine="420" w:firstLineChars="200"/>
        <w:rPr>
          <w:rFonts w:ascii="宋体" w:hAnsi="宋体"/>
        </w:rPr>
      </w:pPr>
      <w:r>
        <w:rPr>
          <w:rFonts w:hint="eastAsia" w:ascii="宋体" w:hAnsi="宋体"/>
        </w:rPr>
        <w:t>(10)供应商以他人名义投标、串通投标、以行贿手段牟取中标，或在投标中弄虚作假的；</w:t>
      </w:r>
    </w:p>
    <w:p w14:paraId="1462110A">
      <w:pPr>
        <w:spacing w:line="360" w:lineRule="auto"/>
        <w:ind w:firstLine="420" w:firstLineChars="200"/>
        <w:rPr>
          <w:rFonts w:ascii="宋体" w:hAnsi="宋体"/>
        </w:rPr>
      </w:pPr>
      <w:r>
        <w:rPr>
          <w:rFonts w:hint="eastAsia" w:ascii="宋体" w:hAnsi="宋体"/>
        </w:rPr>
        <w:t>(11)法律法规规定的其他情形。</w:t>
      </w:r>
    </w:p>
    <w:p w14:paraId="52F79A86">
      <w:pPr>
        <w:pStyle w:val="59"/>
        <w:keepNext w:val="0"/>
        <w:keepLines w:val="0"/>
        <w:spacing w:line="360" w:lineRule="auto"/>
        <w:ind w:firstLine="422" w:firstLineChars="200"/>
        <w:rPr>
          <w:rFonts w:ascii="宋体" w:hAnsi="宋体" w:eastAsia="宋体"/>
          <w:b/>
          <w:bCs/>
          <w:sz w:val="21"/>
          <w:szCs w:val="21"/>
        </w:rPr>
      </w:pPr>
      <w:bookmarkStart w:id="153" w:name="_Toc152042311"/>
      <w:bookmarkEnd w:id="153"/>
      <w:bookmarkStart w:id="154" w:name="_Toc144974503"/>
      <w:bookmarkEnd w:id="154"/>
      <w:bookmarkStart w:id="155" w:name="_Toc651"/>
      <w:bookmarkEnd w:id="155"/>
      <w:bookmarkStart w:id="156" w:name="_Toc16889"/>
      <w:bookmarkEnd w:id="156"/>
      <w:bookmarkStart w:id="157" w:name="_Toc466298097"/>
      <w:bookmarkEnd w:id="157"/>
      <w:bookmarkStart w:id="158" w:name="_Toc455867774"/>
      <w:bookmarkEnd w:id="158"/>
      <w:bookmarkStart w:id="159" w:name="_Toc509667266"/>
      <w:bookmarkEnd w:id="159"/>
      <w:bookmarkStart w:id="160" w:name="_Toc12403"/>
      <w:bookmarkEnd w:id="160"/>
      <w:bookmarkStart w:id="161" w:name="_Toc981"/>
      <w:bookmarkEnd w:id="161"/>
      <w:bookmarkStart w:id="162" w:name="_Toc455080114"/>
      <w:bookmarkEnd w:id="162"/>
      <w:bookmarkStart w:id="163" w:name="_Toc318450680"/>
      <w:bookmarkEnd w:id="163"/>
      <w:bookmarkStart w:id="164" w:name="_Toc31854"/>
      <w:bookmarkEnd w:id="164"/>
      <w:bookmarkStart w:id="165" w:name="_Toc490667833"/>
      <w:bookmarkEnd w:id="165"/>
      <w:bookmarkStart w:id="166" w:name="_Toc5162"/>
      <w:bookmarkEnd w:id="166"/>
      <w:bookmarkStart w:id="167" w:name="_Toc14189"/>
      <w:bookmarkStart w:id="168" w:name="_Toc18033"/>
      <w:bookmarkStart w:id="169" w:name="_Toc152045535"/>
      <w:bookmarkStart w:id="170" w:name="_Toc22152"/>
      <w:bookmarkStart w:id="171" w:name="_Toc129073463"/>
      <w:bookmarkStart w:id="172" w:name="_Toc11938"/>
      <w:r>
        <w:rPr>
          <w:rFonts w:hint="eastAsia" w:ascii="宋体" w:hAnsi="宋体" w:eastAsia="宋体"/>
          <w:b/>
          <w:bCs/>
          <w:sz w:val="21"/>
          <w:szCs w:val="21"/>
        </w:rPr>
        <w:t>1.5 费用承担</w:t>
      </w:r>
      <w:bookmarkEnd w:id="167"/>
      <w:bookmarkEnd w:id="168"/>
      <w:bookmarkEnd w:id="169"/>
      <w:bookmarkEnd w:id="170"/>
      <w:bookmarkEnd w:id="171"/>
      <w:bookmarkEnd w:id="172"/>
    </w:p>
    <w:p w14:paraId="71B2FA67">
      <w:pPr>
        <w:spacing w:line="360" w:lineRule="auto"/>
        <w:ind w:firstLine="420" w:firstLineChars="200"/>
        <w:rPr>
          <w:rFonts w:ascii="宋体" w:hAnsi="宋体"/>
        </w:rPr>
      </w:pPr>
      <w:r>
        <w:rPr>
          <w:rFonts w:hint="eastAsia" w:ascii="宋体" w:hAnsi="宋体"/>
        </w:rPr>
        <w:t>供应商准备和参加磋商活动发生的费用自理，不论磋商的结果如何，采购人和采购代理机构在任何情况下均无义务和责任承担这些费用。</w:t>
      </w:r>
    </w:p>
    <w:p w14:paraId="30B9906B">
      <w:pPr>
        <w:pStyle w:val="59"/>
        <w:keepNext w:val="0"/>
        <w:keepLines w:val="0"/>
        <w:spacing w:line="360" w:lineRule="auto"/>
        <w:ind w:firstLine="422" w:firstLineChars="200"/>
        <w:rPr>
          <w:rFonts w:ascii="宋体" w:hAnsi="宋体" w:eastAsia="宋体"/>
          <w:b/>
          <w:bCs/>
          <w:sz w:val="21"/>
          <w:szCs w:val="21"/>
        </w:rPr>
      </w:pPr>
      <w:bookmarkStart w:id="173" w:name="_Toc152042312"/>
      <w:bookmarkEnd w:id="173"/>
      <w:bookmarkStart w:id="174" w:name="_Toc6014"/>
      <w:bookmarkEnd w:id="174"/>
      <w:bookmarkStart w:id="175" w:name="_Toc32053"/>
      <w:bookmarkEnd w:id="175"/>
      <w:bookmarkStart w:id="176" w:name="_Toc2622"/>
      <w:bookmarkEnd w:id="176"/>
      <w:bookmarkStart w:id="177" w:name="_Toc318450681"/>
      <w:bookmarkEnd w:id="177"/>
      <w:bookmarkStart w:id="178" w:name="_Toc509667267"/>
      <w:bookmarkEnd w:id="178"/>
      <w:bookmarkStart w:id="179" w:name="_Toc20145"/>
      <w:bookmarkEnd w:id="179"/>
      <w:bookmarkStart w:id="180" w:name="_Toc455867775"/>
      <w:bookmarkEnd w:id="180"/>
      <w:bookmarkStart w:id="181" w:name="_Toc152045536"/>
      <w:bookmarkEnd w:id="181"/>
      <w:bookmarkStart w:id="182" w:name="_Toc8055"/>
      <w:bookmarkEnd w:id="182"/>
      <w:bookmarkStart w:id="183" w:name="_Toc490667834"/>
      <w:bookmarkEnd w:id="183"/>
      <w:bookmarkStart w:id="184" w:name="_Toc455080115"/>
      <w:bookmarkEnd w:id="184"/>
      <w:bookmarkStart w:id="185" w:name="_Toc5402"/>
      <w:bookmarkEnd w:id="185"/>
      <w:bookmarkStart w:id="186" w:name="_Toc144974504"/>
      <w:bookmarkEnd w:id="186"/>
      <w:bookmarkStart w:id="187" w:name="_Toc31820"/>
      <w:bookmarkStart w:id="188" w:name="_Toc9033"/>
      <w:bookmarkStart w:id="189" w:name="_Toc17734"/>
      <w:bookmarkStart w:id="190" w:name="_Toc27888"/>
      <w:bookmarkStart w:id="191" w:name="_Toc466298098"/>
      <w:bookmarkStart w:id="192" w:name="_Toc129073464"/>
      <w:r>
        <w:rPr>
          <w:rFonts w:hint="eastAsia" w:ascii="宋体" w:hAnsi="宋体" w:eastAsia="宋体"/>
          <w:b/>
          <w:bCs/>
          <w:sz w:val="21"/>
          <w:szCs w:val="21"/>
        </w:rPr>
        <w:t>1.6保密</w:t>
      </w:r>
      <w:bookmarkEnd w:id="187"/>
      <w:bookmarkEnd w:id="188"/>
      <w:bookmarkEnd w:id="189"/>
      <w:bookmarkEnd w:id="190"/>
      <w:bookmarkEnd w:id="191"/>
      <w:bookmarkEnd w:id="192"/>
    </w:p>
    <w:p w14:paraId="5D0E3325">
      <w:pPr>
        <w:spacing w:line="360" w:lineRule="auto"/>
        <w:ind w:firstLine="420" w:firstLineChars="200"/>
        <w:rPr>
          <w:rFonts w:ascii="宋体" w:hAnsi="宋体"/>
        </w:rPr>
      </w:pPr>
      <w:r>
        <w:rPr>
          <w:rFonts w:hint="eastAsia" w:ascii="宋体" w:hAnsi="宋体"/>
        </w:rPr>
        <w:t xml:space="preserve">参与磋商活动的各方应对磋商文件和响应文件中的商业和技术等秘密保密，违者应对由此造成的后果承担法律责任。 </w:t>
      </w:r>
    </w:p>
    <w:p w14:paraId="7F22D6E4">
      <w:pPr>
        <w:pStyle w:val="59"/>
        <w:keepNext w:val="0"/>
        <w:keepLines w:val="0"/>
        <w:spacing w:line="360" w:lineRule="auto"/>
        <w:ind w:firstLine="422" w:firstLineChars="200"/>
        <w:rPr>
          <w:rFonts w:ascii="宋体" w:hAnsi="宋体" w:eastAsia="宋体"/>
          <w:b/>
          <w:bCs/>
          <w:sz w:val="21"/>
          <w:szCs w:val="21"/>
        </w:rPr>
      </w:pPr>
      <w:bookmarkStart w:id="193" w:name="_Toc466298099"/>
      <w:bookmarkEnd w:id="193"/>
      <w:bookmarkStart w:id="194" w:name="_Toc455080116"/>
      <w:bookmarkEnd w:id="194"/>
      <w:bookmarkStart w:id="195" w:name="_Toc25517"/>
      <w:bookmarkEnd w:id="195"/>
      <w:bookmarkStart w:id="196" w:name="_Toc455867776"/>
      <w:bookmarkEnd w:id="196"/>
      <w:bookmarkStart w:id="197" w:name="_Toc3628"/>
      <w:bookmarkEnd w:id="197"/>
      <w:bookmarkStart w:id="198" w:name="_Toc144974505"/>
      <w:bookmarkEnd w:id="198"/>
      <w:bookmarkStart w:id="199" w:name="_Toc318450682"/>
      <w:bookmarkEnd w:id="199"/>
      <w:bookmarkStart w:id="200" w:name="_Toc152042313"/>
      <w:bookmarkEnd w:id="200"/>
      <w:bookmarkStart w:id="201" w:name="_Toc21089"/>
      <w:bookmarkEnd w:id="201"/>
      <w:bookmarkStart w:id="202" w:name="_Toc490667835"/>
      <w:bookmarkEnd w:id="202"/>
      <w:bookmarkStart w:id="203" w:name="_Toc30583"/>
      <w:bookmarkEnd w:id="203"/>
      <w:bookmarkStart w:id="204" w:name="_Toc509667268"/>
      <w:bookmarkEnd w:id="204"/>
      <w:bookmarkStart w:id="205" w:name="_Toc14775"/>
      <w:bookmarkEnd w:id="205"/>
      <w:bookmarkStart w:id="206" w:name="_Toc30747"/>
      <w:bookmarkEnd w:id="206"/>
      <w:bookmarkStart w:id="207" w:name="_Toc152045537"/>
      <w:bookmarkStart w:id="208" w:name="_Toc18959"/>
      <w:bookmarkStart w:id="209" w:name="_Toc10859"/>
      <w:bookmarkStart w:id="210" w:name="_Toc17163"/>
      <w:bookmarkStart w:id="211" w:name="_Toc129073465"/>
      <w:bookmarkStart w:id="212" w:name="_Toc5686"/>
      <w:r>
        <w:rPr>
          <w:rFonts w:hint="eastAsia" w:ascii="宋体" w:hAnsi="宋体" w:eastAsia="宋体"/>
          <w:b/>
          <w:bCs/>
          <w:sz w:val="21"/>
          <w:szCs w:val="21"/>
        </w:rPr>
        <w:t>1.7 语言</w:t>
      </w:r>
      <w:bookmarkEnd w:id="207"/>
      <w:r>
        <w:rPr>
          <w:rFonts w:hint="eastAsia" w:ascii="宋体" w:hAnsi="宋体" w:eastAsia="宋体"/>
          <w:b/>
          <w:bCs/>
          <w:sz w:val="21"/>
          <w:szCs w:val="21"/>
        </w:rPr>
        <w:t>文字</w:t>
      </w:r>
      <w:bookmarkEnd w:id="208"/>
      <w:bookmarkEnd w:id="209"/>
      <w:bookmarkEnd w:id="210"/>
      <w:bookmarkEnd w:id="211"/>
      <w:bookmarkEnd w:id="212"/>
    </w:p>
    <w:p w14:paraId="0A57675C">
      <w:pPr>
        <w:spacing w:line="360" w:lineRule="auto"/>
        <w:ind w:firstLine="420" w:firstLineChars="200"/>
        <w:rPr>
          <w:rFonts w:ascii="宋体" w:hAnsi="宋体"/>
        </w:rPr>
      </w:pPr>
      <w:r>
        <w:rPr>
          <w:rFonts w:hint="eastAsia" w:ascii="宋体" w:hAnsi="宋体"/>
        </w:rPr>
        <w:t>除专用术语外，与磋商有关的语言均使用中文。必要时专用术语应附有中文注释，对不同文字文本响应文件的解释发生异议的，以中文文本为准。</w:t>
      </w:r>
    </w:p>
    <w:p w14:paraId="4311EBE9">
      <w:pPr>
        <w:pStyle w:val="59"/>
        <w:keepNext w:val="0"/>
        <w:keepLines w:val="0"/>
        <w:spacing w:line="360" w:lineRule="auto"/>
        <w:ind w:firstLine="422" w:firstLineChars="200"/>
        <w:rPr>
          <w:rFonts w:ascii="宋体" w:hAnsi="宋体" w:eastAsia="宋体"/>
          <w:b/>
          <w:bCs/>
          <w:sz w:val="21"/>
          <w:szCs w:val="21"/>
        </w:rPr>
      </w:pPr>
      <w:bookmarkStart w:id="213" w:name="_Toc24337"/>
      <w:bookmarkEnd w:id="213"/>
      <w:bookmarkStart w:id="214" w:name="_Toc490667836"/>
      <w:bookmarkEnd w:id="214"/>
      <w:bookmarkStart w:id="215" w:name="_Toc22378"/>
      <w:bookmarkEnd w:id="215"/>
      <w:bookmarkStart w:id="216" w:name="_Toc455080117"/>
      <w:bookmarkEnd w:id="216"/>
      <w:bookmarkStart w:id="217" w:name="_Toc509667269"/>
      <w:bookmarkEnd w:id="217"/>
      <w:bookmarkStart w:id="218" w:name="_Toc144974506"/>
      <w:bookmarkEnd w:id="218"/>
      <w:bookmarkStart w:id="219" w:name="_Toc9446"/>
      <w:bookmarkEnd w:id="219"/>
      <w:bookmarkStart w:id="220" w:name="_Toc152042314"/>
      <w:bookmarkEnd w:id="220"/>
      <w:bookmarkStart w:id="221" w:name="_Toc152045538"/>
      <w:bookmarkEnd w:id="221"/>
      <w:bookmarkStart w:id="222" w:name="_Toc466298100"/>
      <w:bookmarkEnd w:id="222"/>
      <w:bookmarkStart w:id="223" w:name="_Toc4237"/>
      <w:bookmarkEnd w:id="223"/>
      <w:bookmarkStart w:id="224" w:name="_Toc455867777"/>
      <w:bookmarkEnd w:id="224"/>
      <w:bookmarkStart w:id="225" w:name="_Toc2702"/>
      <w:bookmarkEnd w:id="225"/>
      <w:bookmarkStart w:id="226" w:name="_Toc318450683"/>
      <w:bookmarkEnd w:id="226"/>
      <w:bookmarkStart w:id="227" w:name="_Toc32507"/>
      <w:bookmarkStart w:id="228" w:name="_Toc5973"/>
      <w:bookmarkStart w:id="229" w:name="_Toc129073466"/>
      <w:bookmarkStart w:id="230" w:name="_Toc4679"/>
      <w:bookmarkStart w:id="231" w:name="_Toc11568"/>
      <w:bookmarkStart w:id="232" w:name="_Toc21618"/>
      <w:r>
        <w:rPr>
          <w:rFonts w:hint="eastAsia" w:ascii="宋体" w:hAnsi="宋体" w:eastAsia="宋体"/>
          <w:b/>
          <w:bCs/>
          <w:sz w:val="21"/>
          <w:szCs w:val="21"/>
        </w:rPr>
        <w:t>1.8 计量单位</w:t>
      </w:r>
      <w:bookmarkEnd w:id="227"/>
      <w:bookmarkEnd w:id="228"/>
      <w:bookmarkEnd w:id="229"/>
      <w:bookmarkEnd w:id="230"/>
      <w:bookmarkEnd w:id="231"/>
      <w:bookmarkEnd w:id="232"/>
    </w:p>
    <w:p w14:paraId="2BD26FC2">
      <w:pPr>
        <w:spacing w:line="360" w:lineRule="auto"/>
        <w:ind w:firstLine="420" w:firstLineChars="200"/>
        <w:rPr>
          <w:rFonts w:ascii="宋体" w:hAnsi="宋体"/>
        </w:rPr>
      </w:pPr>
      <w:r>
        <w:rPr>
          <w:rFonts w:hint="eastAsia" w:ascii="宋体" w:hAnsi="宋体"/>
        </w:rPr>
        <w:t>所有计量均采用中华人民共和国法定计量单位。</w:t>
      </w:r>
    </w:p>
    <w:p w14:paraId="00C2CF50">
      <w:pPr>
        <w:pStyle w:val="59"/>
        <w:keepNext w:val="0"/>
        <w:keepLines w:val="0"/>
        <w:spacing w:line="360" w:lineRule="auto"/>
        <w:ind w:firstLine="422" w:firstLineChars="200"/>
        <w:rPr>
          <w:rFonts w:ascii="宋体" w:hAnsi="宋体" w:eastAsia="宋体"/>
          <w:b/>
          <w:bCs/>
          <w:sz w:val="21"/>
          <w:szCs w:val="21"/>
        </w:rPr>
      </w:pPr>
      <w:bookmarkStart w:id="233" w:name="_Toc144974510"/>
      <w:bookmarkEnd w:id="233"/>
      <w:bookmarkStart w:id="234" w:name="_Toc27570"/>
      <w:bookmarkEnd w:id="234"/>
      <w:bookmarkStart w:id="235" w:name="_Toc455080118"/>
      <w:bookmarkEnd w:id="235"/>
      <w:bookmarkStart w:id="236" w:name="_Toc509667272"/>
      <w:bookmarkEnd w:id="236"/>
      <w:bookmarkStart w:id="237" w:name="_Toc21248"/>
      <w:bookmarkEnd w:id="237"/>
      <w:bookmarkStart w:id="238" w:name="_Toc490667837"/>
      <w:bookmarkEnd w:id="238"/>
      <w:bookmarkStart w:id="239" w:name="_Toc318450684"/>
      <w:bookmarkEnd w:id="239"/>
      <w:bookmarkStart w:id="240" w:name="_Toc284"/>
      <w:bookmarkEnd w:id="240"/>
      <w:bookmarkStart w:id="241" w:name="_Toc152045540"/>
      <w:bookmarkEnd w:id="241"/>
      <w:bookmarkStart w:id="242" w:name="_Toc144974508"/>
      <w:bookmarkEnd w:id="242"/>
      <w:bookmarkStart w:id="243" w:name="_Toc466298101"/>
      <w:bookmarkEnd w:id="243"/>
      <w:bookmarkStart w:id="244" w:name="_Toc509667270"/>
      <w:bookmarkEnd w:id="244"/>
      <w:bookmarkStart w:id="245" w:name="_Toc12027"/>
      <w:bookmarkEnd w:id="245"/>
      <w:bookmarkStart w:id="246" w:name="_Toc13675"/>
      <w:bookmarkEnd w:id="246"/>
      <w:bookmarkStart w:id="247" w:name="_Toc152045542"/>
      <w:bookmarkEnd w:id="247"/>
      <w:bookmarkStart w:id="248" w:name="_Toc2508"/>
      <w:bookmarkEnd w:id="248"/>
      <w:bookmarkStart w:id="249" w:name="_Toc152042316"/>
      <w:bookmarkEnd w:id="249"/>
      <w:bookmarkStart w:id="250" w:name="_Toc455867778"/>
      <w:bookmarkEnd w:id="250"/>
      <w:bookmarkStart w:id="251" w:name="_Toc152042318"/>
      <w:bookmarkEnd w:id="251"/>
      <w:bookmarkStart w:id="252" w:name="_Toc10532"/>
      <w:bookmarkStart w:id="253" w:name="_Toc31363"/>
      <w:bookmarkStart w:id="254" w:name="_Toc16399"/>
      <w:bookmarkStart w:id="255" w:name="_Toc25557"/>
      <w:bookmarkStart w:id="256" w:name="_Toc9995"/>
      <w:bookmarkStart w:id="257" w:name="_Toc25180"/>
      <w:bookmarkStart w:id="258" w:name="_Toc455080120"/>
      <w:bookmarkStart w:id="259" w:name="_Toc129073469"/>
      <w:r>
        <w:rPr>
          <w:rFonts w:hint="eastAsia" w:ascii="宋体" w:hAnsi="宋体" w:eastAsia="宋体"/>
          <w:b/>
          <w:bCs/>
          <w:sz w:val="21"/>
          <w:szCs w:val="21"/>
        </w:rPr>
        <w:t>1.9 踏勘现场</w:t>
      </w:r>
      <w:bookmarkEnd w:id="252"/>
      <w:bookmarkEnd w:id="253"/>
      <w:bookmarkEnd w:id="254"/>
      <w:bookmarkEnd w:id="255"/>
      <w:bookmarkEnd w:id="256"/>
      <w:bookmarkEnd w:id="257"/>
    </w:p>
    <w:p w14:paraId="26788CAA">
      <w:pPr>
        <w:spacing w:line="360" w:lineRule="auto"/>
        <w:ind w:firstLine="420" w:firstLineChars="200"/>
      </w:pPr>
      <w:r>
        <w:rPr>
          <w:rFonts w:hint="eastAsia"/>
        </w:rPr>
        <w:t>不组织踏勘现场。</w:t>
      </w:r>
    </w:p>
    <w:p w14:paraId="538BC99A">
      <w:pPr>
        <w:pStyle w:val="59"/>
        <w:keepNext w:val="0"/>
        <w:keepLines w:val="0"/>
        <w:spacing w:line="360" w:lineRule="auto"/>
        <w:ind w:firstLine="422" w:firstLineChars="200"/>
        <w:rPr>
          <w:rFonts w:ascii="宋体" w:hAnsi="宋体" w:eastAsia="宋体"/>
          <w:b/>
          <w:bCs/>
          <w:sz w:val="21"/>
          <w:szCs w:val="21"/>
        </w:rPr>
      </w:pPr>
      <w:bookmarkStart w:id="260" w:name="_Toc9909"/>
      <w:bookmarkStart w:id="261" w:name="_Toc16872"/>
      <w:bookmarkStart w:id="262" w:name="_Toc3960"/>
      <w:bookmarkStart w:id="263" w:name="_Toc16108"/>
      <w:bookmarkStart w:id="264" w:name="_Toc11734"/>
      <w:bookmarkStart w:id="265" w:name="_Toc6132"/>
      <w:r>
        <w:rPr>
          <w:rFonts w:hint="eastAsia" w:ascii="宋体" w:hAnsi="宋体" w:eastAsia="宋体"/>
          <w:b/>
          <w:bCs/>
          <w:sz w:val="21"/>
          <w:szCs w:val="21"/>
        </w:rPr>
        <w:t>1.10 投标预备会</w:t>
      </w:r>
      <w:bookmarkEnd w:id="260"/>
      <w:bookmarkEnd w:id="261"/>
      <w:bookmarkEnd w:id="262"/>
      <w:bookmarkEnd w:id="263"/>
      <w:bookmarkEnd w:id="264"/>
      <w:bookmarkEnd w:id="265"/>
    </w:p>
    <w:p w14:paraId="3DAD72DC">
      <w:pPr>
        <w:spacing w:line="360" w:lineRule="auto"/>
        <w:ind w:firstLine="420" w:firstLineChars="200"/>
      </w:pPr>
      <w:r>
        <w:rPr>
          <w:rFonts w:hint="eastAsia"/>
        </w:rPr>
        <w:t>不召开磋商预备会。</w:t>
      </w:r>
    </w:p>
    <w:p w14:paraId="02305ECE">
      <w:pPr>
        <w:pStyle w:val="59"/>
        <w:keepNext w:val="0"/>
        <w:keepLines w:val="0"/>
        <w:spacing w:line="360" w:lineRule="auto"/>
        <w:ind w:firstLine="422" w:firstLineChars="200"/>
        <w:rPr>
          <w:rFonts w:ascii="宋体" w:hAnsi="宋体" w:eastAsia="宋体"/>
          <w:b/>
          <w:bCs/>
          <w:sz w:val="21"/>
          <w:szCs w:val="21"/>
        </w:rPr>
      </w:pPr>
      <w:bookmarkStart w:id="266" w:name="_Toc21853"/>
      <w:bookmarkStart w:id="267" w:name="_Toc16270"/>
      <w:bookmarkStart w:id="268" w:name="_Toc27923"/>
      <w:bookmarkStart w:id="269" w:name="_Toc21740"/>
      <w:bookmarkStart w:id="270" w:name="_Toc15074"/>
      <w:bookmarkStart w:id="271" w:name="_Toc8079"/>
      <w:r>
        <w:rPr>
          <w:rFonts w:hint="eastAsia" w:ascii="宋体" w:hAnsi="宋体" w:eastAsia="宋体"/>
          <w:b/>
          <w:bCs/>
          <w:sz w:val="21"/>
          <w:szCs w:val="21"/>
        </w:rPr>
        <w:t>1.11 偏离</w:t>
      </w:r>
      <w:bookmarkEnd w:id="266"/>
      <w:bookmarkEnd w:id="267"/>
      <w:bookmarkEnd w:id="268"/>
      <w:bookmarkEnd w:id="269"/>
      <w:bookmarkEnd w:id="270"/>
      <w:bookmarkEnd w:id="271"/>
    </w:p>
    <w:p w14:paraId="0530C904">
      <w:pPr>
        <w:spacing w:line="360" w:lineRule="auto"/>
        <w:ind w:firstLine="420" w:firstLineChars="200"/>
        <w:rPr>
          <w:rFonts w:ascii="宋体" w:hAnsi="宋体"/>
        </w:rPr>
      </w:pPr>
      <w:r>
        <w:rPr>
          <w:rFonts w:hint="eastAsia" w:ascii="宋体" w:hAnsi="宋体"/>
        </w:rPr>
        <w:t>不允许负偏离。</w:t>
      </w:r>
    </w:p>
    <w:p w14:paraId="113E8083">
      <w:pPr>
        <w:pStyle w:val="59"/>
        <w:keepNext w:val="0"/>
        <w:keepLines w:val="0"/>
        <w:spacing w:line="360" w:lineRule="auto"/>
        <w:ind w:firstLine="422" w:firstLineChars="200"/>
        <w:rPr>
          <w:rFonts w:ascii="宋体" w:hAnsi="宋体" w:eastAsia="宋体"/>
          <w:b/>
          <w:bCs/>
          <w:sz w:val="21"/>
          <w:szCs w:val="21"/>
        </w:rPr>
      </w:pPr>
      <w:bookmarkStart w:id="272" w:name="_Toc19827"/>
      <w:bookmarkStart w:id="273" w:name="_Toc23549"/>
      <w:bookmarkStart w:id="274" w:name="_Toc8644"/>
      <w:bookmarkStart w:id="275" w:name="_Toc17085"/>
      <w:bookmarkStart w:id="276" w:name="_Toc9300"/>
      <w:bookmarkStart w:id="277" w:name="_Toc5931"/>
      <w:r>
        <w:rPr>
          <w:rFonts w:hint="eastAsia" w:ascii="宋体" w:hAnsi="宋体" w:eastAsia="宋体"/>
          <w:b/>
          <w:bCs/>
          <w:sz w:val="21"/>
          <w:szCs w:val="21"/>
        </w:rPr>
        <w:t>1.12 分包</w:t>
      </w:r>
      <w:bookmarkEnd w:id="272"/>
      <w:bookmarkEnd w:id="273"/>
      <w:bookmarkEnd w:id="274"/>
      <w:bookmarkEnd w:id="275"/>
      <w:bookmarkEnd w:id="276"/>
      <w:bookmarkEnd w:id="277"/>
    </w:p>
    <w:p w14:paraId="67EE3807">
      <w:pPr>
        <w:spacing w:line="360" w:lineRule="auto"/>
        <w:ind w:firstLine="420" w:firstLineChars="200"/>
      </w:pPr>
      <w:r>
        <w:rPr>
          <w:rFonts w:hint="eastAsia"/>
        </w:rPr>
        <w:t>不允许分包。</w:t>
      </w:r>
    </w:p>
    <w:p w14:paraId="038D3555">
      <w:pPr>
        <w:pStyle w:val="59"/>
        <w:keepNext w:val="0"/>
        <w:keepLines w:val="0"/>
        <w:spacing w:line="360" w:lineRule="auto"/>
        <w:ind w:firstLine="422" w:firstLineChars="200"/>
        <w:rPr>
          <w:rFonts w:ascii="宋体" w:hAnsi="宋体" w:eastAsia="宋体"/>
          <w:b/>
          <w:bCs/>
          <w:sz w:val="21"/>
          <w:szCs w:val="21"/>
        </w:rPr>
      </w:pPr>
      <w:bookmarkStart w:id="278" w:name="_Toc31181"/>
      <w:bookmarkStart w:id="279" w:name="_Toc25414"/>
      <w:bookmarkStart w:id="280" w:name="_Toc23605"/>
      <w:bookmarkStart w:id="281" w:name="_Toc28246"/>
      <w:bookmarkStart w:id="282" w:name="_Toc27423"/>
      <w:bookmarkStart w:id="283" w:name="_Toc18645"/>
      <w:r>
        <w:rPr>
          <w:rFonts w:hint="eastAsia" w:ascii="宋体" w:hAnsi="宋体" w:eastAsia="宋体"/>
          <w:b/>
          <w:bCs/>
          <w:sz w:val="21"/>
          <w:szCs w:val="21"/>
        </w:rPr>
        <w:t>1.13 知识产权</w:t>
      </w:r>
      <w:bookmarkEnd w:id="278"/>
      <w:bookmarkEnd w:id="279"/>
      <w:bookmarkEnd w:id="280"/>
      <w:bookmarkEnd w:id="281"/>
      <w:bookmarkEnd w:id="282"/>
      <w:bookmarkEnd w:id="283"/>
    </w:p>
    <w:p w14:paraId="73129FCF">
      <w:pPr>
        <w:spacing w:line="360" w:lineRule="auto"/>
        <w:ind w:firstLine="420" w:firstLineChars="200"/>
      </w:pPr>
      <w:r>
        <w:rPr>
          <w:rFonts w:hint="eastAsia"/>
        </w:rPr>
        <w:t>所有涉及知识产权的成果，供应商必须确保采购人拥有其合法的、不受限制的无偿使用权，并免受任何侵权诉讼或索偿，否则，由此产生的一切经济损失和法律责任由供应商承担。</w:t>
      </w:r>
    </w:p>
    <w:p w14:paraId="3E0DA924">
      <w:pPr>
        <w:pStyle w:val="58"/>
        <w:ind w:firstLine="420"/>
      </w:pPr>
      <w:bookmarkStart w:id="284" w:name="_Toc15275"/>
      <w:bookmarkStart w:id="285" w:name="_Toc8134"/>
      <w:bookmarkStart w:id="286" w:name="_Toc22374"/>
      <w:bookmarkStart w:id="287" w:name="_Toc14992"/>
      <w:bookmarkStart w:id="288" w:name="_Toc13286"/>
      <w:bookmarkStart w:id="289" w:name="_Toc6296"/>
      <w:bookmarkStart w:id="290" w:name="_Toc26205"/>
      <w:bookmarkStart w:id="291" w:name="_Toc15839"/>
      <w:bookmarkStart w:id="292" w:name="_Toc16623"/>
      <w:bookmarkStart w:id="293" w:name="_Toc22375"/>
      <w:r>
        <w:rPr>
          <w:rFonts w:hint="eastAsia"/>
        </w:rPr>
        <w:t xml:space="preserve">2. </w:t>
      </w:r>
      <w:bookmarkEnd w:id="258"/>
      <w:r>
        <w:rPr>
          <w:rFonts w:hint="eastAsia"/>
        </w:rPr>
        <w:t>磋商文件</w:t>
      </w:r>
      <w:bookmarkEnd w:id="259"/>
      <w:bookmarkEnd w:id="284"/>
      <w:bookmarkEnd w:id="285"/>
      <w:bookmarkEnd w:id="286"/>
      <w:bookmarkEnd w:id="287"/>
      <w:bookmarkEnd w:id="288"/>
      <w:bookmarkEnd w:id="289"/>
      <w:bookmarkEnd w:id="290"/>
      <w:bookmarkEnd w:id="291"/>
      <w:bookmarkEnd w:id="292"/>
      <w:bookmarkEnd w:id="293"/>
    </w:p>
    <w:p w14:paraId="5D239CD9">
      <w:pPr>
        <w:pStyle w:val="59"/>
        <w:keepNext w:val="0"/>
        <w:keepLines w:val="0"/>
        <w:spacing w:line="360" w:lineRule="auto"/>
        <w:ind w:firstLine="422" w:firstLineChars="200"/>
        <w:rPr>
          <w:rFonts w:ascii="宋体" w:hAnsi="宋体" w:eastAsia="宋体"/>
          <w:b/>
          <w:bCs/>
          <w:sz w:val="21"/>
          <w:szCs w:val="21"/>
        </w:rPr>
      </w:pPr>
      <w:bookmarkStart w:id="294" w:name="_Toc509667273"/>
      <w:bookmarkEnd w:id="294"/>
      <w:bookmarkStart w:id="295" w:name="_Toc11599"/>
      <w:bookmarkEnd w:id="295"/>
      <w:bookmarkStart w:id="296" w:name="_Toc12640"/>
      <w:bookmarkEnd w:id="296"/>
      <w:bookmarkStart w:id="297" w:name="_Toc466298104"/>
      <w:bookmarkEnd w:id="297"/>
      <w:bookmarkStart w:id="298" w:name="_Toc9780"/>
      <w:bookmarkEnd w:id="298"/>
      <w:bookmarkStart w:id="299" w:name="_Toc490667840"/>
      <w:bookmarkEnd w:id="299"/>
      <w:bookmarkStart w:id="300" w:name="_Toc455080121"/>
      <w:bookmarkEnd w:id="300"/>
      <w:bookmarkStart w:id="301" w:name="_Toc32711"/>
      <w:bookmarkEnd w:id="301"/>
      <w:bookmarkStart w:id="302" w:name="_Toc455867781"/>
      <w:bookmarkEnd w:id="302"/>
      <w:bookmarkStart w:id="303" w:name="_Toc11567"/>
      <w:bookmarkEnd w:id="303"/>
      <w:bookmarkStart w:id="304" w:name="_Toc1008"/>
      <w:bookmarkEnd w:id="304"/>
      <w:bookmarkStart w:id="305" w:name="_Toc152045543"/>
      <w:bookmarkEnd w:id="305"/>
      <w:bookmarkStart w:id="306" w:name="_Toc144974511"/>
      <w:bookmarkEnd w:id="306"/>
      <w:bookmarkStart w:id="307" w:name="_Toc152042319"/>
      <w:bookmarkEnd w:id="307"/>
      <w:bookmarkStart w:id="308" w:name="_Toc29644"/>
      <w:bookmarkStart w:id="309" w:name="_Toc13264"/>
      <w:bookmarkStart w:id="310" w:name="_Toc318450687"/>
      <w:bookmarkStart w:id="311" w:name="_Toc8377"/>
      <w:bookmarkStart w:id="312" w:name="_Toc32119"/>
      <w:bookmarkStart w:id="313" w:name="_Toc129073470"/>
      <w:r>
        <w:rPr>
          <w:rFonts w:hint="eastAsia" w:ascii="宋体" w:hAnsi="宋体" w:eastAsia="宋体"/>
          <w:b/>
          <w:bCs/>
          <w:sz w:val="21"/>
          <w:szCs w:val="21"/>
        </w:rPr>
        <w:t>2.1 磋商文件的组成</w:t>
      </w:r>
      <w:bookmarkEnd w:id="308"/>
      <w:bookmarkEnd w:id="309"/>
      <w:bookmarkEnd w:id="310"/>
      <w:bookmarkEnd w:id="311"/>
      <w:bookmarkEnd w:id="312"/>
      <w:bookmarkEnd w:id="313"/>
    </w:p>
    <w:p w14:paraId="5A8C4CA9">
      <w:pPr>
        <w:spacing w:line="360" w:lineRule="auto"/>
        <w:ind w:firstLine="420" w:firstLineChars="200"/>
        <w:rPr>
          <w:rFonts w:ascii="宋体" w:hAnsi="宋体"/>
        </w:rPr>
      </w:pPr>
      <w:r>
        <w:rPr>
          <w:rFonts w:hint="eastAsia" w:ascii="宋体" w:hAnsi="宋体"/>
        </w:rPr>
        <w:t>第一章  竞争性磋商公告</w:t>
      </w:r>
    </w:p>
    <w:p w14:paraId="3220250B">
      <w:pPr>
        <w:spacing w:line="360" w:lineRule="auto"/>
        <w:ind w:firstLine="420" w:firstLineChars="200"/>
        <w:rPr>
          <w:rFonts w:ascii="宋体" w:hAnsi="宋体"/>
        </w:rPr>
      </w:pPr>
      <w:r>
        <w:rPr>
          <w:rFonts w:hint="eastAsia" w:ascii="宋体" w:hAnsi="宋体"/>
        </w:rPr>
        <w:t>第二章  供应商须知</w:t>
      </w:r>
    </w:p>
    <w:p w14:paraId="2BB6ED02">
      <w:pPr>
        <w:spacing w:line="360" w:lineRule="auto"/>
        <w:ind w:firstLine="420" w:firstLineChars="200"/>
        <w:rPr>
          <w:rFonts w:ascii="宋体" w:hAnsi="宋体"/>
        </w:rPr>
      </w:pPr>
      <w:r>
        <w:rPr>
          <w:rFonts w:hint="eastAsia" w:ascii="宋体" w:hAnsi="宋体"/>
        </w:rPr>
        <w:t>第三章  评审办法（综合评分法）</w:t>
      </w:r>
    </w:p>
    <w:p w14:paraId="3E41F600">
      <w:pPr>
        <w:spacing w:line="360" w:lineRule="auto"/>
        <w:ind w:firstLine="420" w:firstLineChars="200"/>
        <w:rPr>
          <w:rFonts w:ascii="宋体" w:hAnsi="宋体"/>
        </w:rPr>
      </w:pPr>
      <w:r>
        <w:rPr>
          <w:rFonts w:hint="eastAsia" w:ascii="宋体" w:hAnsi="宋体"/>
        </w:rPr>
        <w:t>第四章  合同条款及格式</w:t>
      </w:r>
    </w:p>
    <w:p w14:paraId="4349E6A8">
      <w:pPr>
        <w:spacing w:line="360" w:lineRule="auto"/>
        <w:ind w:firstLine="420" w:firstLineChars="200"/>
        <w:rPr>
          <w:rFonts w:ascii="宋体" w:hAnsi="宋体"/>
        </w:rPr>
      </w:pPr>
      <w:r>
        <w:rPr>
          <w:rFonts w:hint="eastAsia" w:ascii="宋体" w:hAnsi="宋体"/>
        </w:rPr>
        <w:t>第五章  工程量清单</w:t>
      </w:r>
    </w:p>
    <w:p w14:paraId="2F73D579">
      <w:pPr>
        <w:spacing w:line="360" w:lineRule="auto"/>
        <w:ind w:firstLine="420" w:firstLineChars="200"/>
        <w:rPr>
          <w:rFonts w:ascii="宋体" w:hAnsi="宋体"/>
        </w:rPr>
      </w:pPr>
      <w:r>
        <w:rPr>
          <w:rFonts w:hint="eastAsia" w:ascii="宋体" w:hAnsi="宋体"/>
        </w:rPr>
        <w:t>第六章  图纸</w:t>
      </w:r>
    </w:p>
    <w:p w14:paraId="6904BF92">
      <w:pPr>
        <w:spacing w:line="360" w:lineRule="auto"/>
        <w:ind w:firstLine="420" w:firstLineChars="200"/>
        <w:rPr>
          <w:rFonts w:ascii="宋体" w:hAnsi="宋体"/>
        </w:rPr>
      </w:pPr>
      <w:r>
        <w:rPr>
          <w:rFonts w:hint="eastAsia" w:ascii="宋体" w:hAnsi="宋体"/>
        </w:rPr>
        <w:t>第七章  技术标准和要求</w:t>
      </w:r>
    </w:p>
    <w:p w14:paraId="54C71F62">
      <w:pPr>
        <w:spacing w:line="360" w:lineRule="auto"/>
        <w:ind w:firstLine="420" w:firstLineChars="200"/>
        <w:rPr>
          <w:rFonts w:ascii="宋体" w:hAnsi="宋体"/>
        </w:rPr>
      </w:pPr>
      <w:r>
        <w:rPr>
          <w:rFonts w:hint="eastAsia" w:ascii="宋体" w:hAnsi="宋体"/>
        </w:rPr>
        <w:t>第八章  响应文件格式</w:t>
      </w:r>
    </w:p>
    <w:p w14:paraId="3E17E9F2">
      <w:pPr>
        <w:spacing w:line="360" w:lineRule="auto"/>
        <w:ind w:firstLine="420" w:firstLineChars="200"/>
        <w:rPr>
          <w:rFonts w:ascii="宋体" w:hAnsi="宋体"/>
        </w:rPr>
      </w:pPr>
      <w:r>
        <w:rPr>
          <w:rFonts w:hint="eastAsia" w:ascii="宋体" w:hAnsi="宋体"/>
        </w:rPr>
        <w:t>根据本章第2.2款和第2.3款对磋商文件所作的澄清、修改，构成磋商文件的组成部分。</w:t>
      </w:r>
    </w:p>
    <w:p w14:paraId="5B2BEA24">
      <w:pPr>
        <w:pStyle w:val="59"/>
        <w:keepNext w:val="0"/>
        <w:keepLines w:val="0"/>
        <w:spacing w:line="360" w:lineRule="auto"/>
        <w:ind w:firstLine="422" w:firstLineChars="200"/>
        <w:rPr>
          <w:rFonts w:ascii="宋体" w:hAnsi="宋体" w:eastAsia="宋体"/>
          <w:b/>
          <w:bCs/>
          <w:sz w:val="21"/>
          <w:szCs w:val="21"/>
        </w:rPr>
      </w:pPr>
      <w:bookmarkStart w:id="314" w:name="_Toc18661"/>
      <w:bookmarkEnd w:id="314"/>
      <w:bookmarkStart w:id="315" w:name="_Toc455867782"/>
      <w:bookmarkEnd w:id="315"/>
      <w:bookmarkStart w:id="316" w:name="_Toc455080122"/>
      <w:bookmarkEnd w:id="316"/>
      <w:bookmarkStart w:id="317" w:name="_Toc17296"/>
      <w:bookmarkEnd w:id="317"/>
      <w:bookmarkStart w:id="318" w:name="_Toc466298105"/>
      <w:bookmarkEnd w:id="318"/>
      <w:bookmarkStart w:id="319" w:name="_Toc8943"/>
      <w:bookmarkEnd w:id="319"/>
      <w:bookmarkStart w:id="320" w:name="_Toc144974512"/>
      <w:bookmarkEnd w:id="320"/>
      <w:bookmarkStart w:id="321" w:name="_Toc152045544"/>
      <w:bookmarkEnd w:id="321"/>
      <w:bookmarkStart w:id="322" w:name="_Toc509667274"/>
      <w:bookmarkEnd w:id="322"/>
      <w:bookmarkStart w:id="323" w:name="_Toc318450688"/>
      <w:bookmarkEnd w:id="323"/>
      <w:bookmarkStart w:id="324" w:name="_Toc7939"/>
      <w:bookmarkEnd w:id="324"/>
      <w:bookmarkStart w:id="325" w:name="_Toc490667841"/>
      <w:bookmarkEnd w:id="325"/>
      <w:bookmarkStart w:id="326" w:name="_Toc8875"/>
      <w:bookmarkEnd w:id="326"/>
      <w:bookmarkStart w:id="327" w:name="_Toc152042320"/>
      <w:bookmarkEnd w:id="327"/>
      <w:bookmarkStart w:id="328" w:name="_Toc22287"/>
      <w:bookmarkStart w:id="329" w:name="_Toc3903"/>
      <w:bookmarkStart w:id="330" w:name="_Toc11998"/>
      <w:bookmarkStart w:id="331" w:name="_Toc129073471"/>
      <w:bookmarkStart w:id="332" w:name="_Toc13700"/>
      <w:bookmarkStart w:id="333" w:name="_Toc14590"/>
      <w:r>
        <w:rPr>
          <w:rFonts w:hint="eastAsia" w:ascii="宋体" w:hAnsi="宋体" w:eastAsia="宋体"/>
          <w:b/>
          <w:bCs/>
          <w:sz w:val="21"/>
          <w:szCs w:val="21"/>
        </w:rPr>
        <w:t>2.2 磋商文件的澄清</w:t>
      </w:r>
      <w:bookmarkEnd w:id="328"/>
      <w:bookmarkEnd w:id="329"/>
      <w:bookmarkEnd w:id="330"/>
      <w:bookmarkEnd w:id="331"/>
      <w:bookmarkEnd w:id="332"/>
      <w:bookmarkEnd w:id="333"/>
    </w:p>
    <w:p w14:paraId="3AFE7C72">
      <w:pPr>
        <w:spacing w:line="360" w:lineRule="auto"/>
        <w:ind w:firstLine="420" w:firstLineChars="200"/>
        <w:rPr>
          <w:rFonts w:ascii="宋体" w:hAnsi="宋体"/>
        </w:rPr>
      </w:pPr>
      <w:bookmarkStart w:id="334" w:name="_Toc455867783"/>
      <w:bookmarkEnd w:id="334"/>
      <w:bookmarkStart w:id="335" w:name="_Toc152042321"/>
      <w:bookmarkEnd w:id="335"/>
      <w:bookmarkStart w:id="336" w:name="_Toc5907"/>
      <w:bookmarkEnd w:id="336"/>
      <w:bookmarkStart w:id="337" w:name="_Toc2131"/>
      <w:bookmarkEnd w:id="337"/>
      <w:bookmarkStart w:id="338" w:name="_Toc509667275"/>
      <w:bookmarkEnd w:id="338"/>
      <w:bookmarkStart w:id="339" w:name="_Toc11948"/>
      <w:bookmarkEnd w:id="339"/>
      <w:bookmarkStart w:id="340" w:name="_Toc490667842"/>
      <w:bookmarkEnd w:id="340"/>
      <w:bookmarkStart w:id="341" w:name="_Toc455080123"/>
      <w:bookmarkEnd w:id="341"/>
      <w:bookmarkStart w:id="342" w:name="_Toc14966"/>
      <w:bookmarkEnd w:id="342"/>
      <w:bookmarkStart w:id="343" w:name="_Toc13617"/>
      <w:bookmarkEnd w:id="343"/>
      <w:bookmarkStart w:id="344" w:name="_Toc152045545"/>
      <w:bookmarkEnd w:id="344"/>
      <w:bookmarkStart w:id="345" w:name="_Toc318450689"/>
      <w:bookmarkEnd w:id="345"/>
      <w:bookmarkStart w:id="346" w:name="_Toc17619"/>
      <w:bookmarkEnd w:id="346"/>
      <w:bookmarkStart w:id="347" w:name="_Toc466298106"/>
      <w:bookmarkEnd w:id="347"/>
      <w:bookmarkStart w:id="348" w:name="_Toc129073472"/>
      <w:bookmarkStart w:id="349" w:name="_Toc144974513"/>
      <w:r>
        <w:rPr>
          <w:rFonts w:ascii="宋体" w:hAnsi="宋体"/>
        </w:rPr>
        <w:t>2.2.1 供应商应仔细阅读和检查磋商文件的全部内容。如有疑问，应在供应商须知前附表规定的时间前在河南省公共资源交易中心交易平台上进行提问，要求采购人对磋商文件予以澄清</w:t>
      </w:r>
      <w:r>
        <w:rPr>
          <w:rFonts w:hint="eastAsia" w:ascii="宋体" w:hAnsi="宋体"/>
        </w:rPr>
        <w:t>，</w:t>
      </w:r>
      <w:r>
        <w:rPr>
          <w:rFonts w:ascii="宋体" w:hAnsi="宋体"/>
        </w:rPr>
        <w:t>并及时电话</w:t>
      </w:r>
      <w:r>
        <w:rPr>
          <w:rFonts w:hint="eastAsia" w:ascii="宋体" w:hAnsi="宋体"/>
        </w:rPr>
        <w:t>告知</w:t>
      </w:r>
      <w:r>
        <w:rPr>
          <w:rFonts w:ascii="宋体" w:hAnsi="宋体"/>
        </w:rPr>
        <w:t>采购人和采购代理机构。供应商在规定的时间内未</w:t>
      </w:r>
      <w:r>
        <w:rPr>
          <w:rFonts w:hint="eastAsia" w:ascii="宋体" w:hAnsi="宋体"/>
        </w:rPr>
        <w:t>按</w:t>
      </w:r>
      <w:r>
        <w:rPr>
          <w:rFonts w:ascii="宋体" w:hAnsi="宋体"/>
        </w:rPr>
        <w:t>要求对磋商文件提出疑问的，采购人和采购代理机构将视其为无异议，开标后，采购人和采购代理机构</w:t>
      </w:r>
      <w:r>
        <w:rPr>
          <w:rFonts w:hint="eastAsia" w:ascii="宋体" w:hAnsi="宋体"/>
        </w:rPr>
        <w:t>可以</w:t>
      </w:r>
      <w:r>
        <w:rPr>
          <w:rFonts w:ascii="宋体" w:hAnsi="宋体"/>
        </w:rPr>
        <w:t>不接受其对磋商文件内容的质疑。</w:t>
      </w:r>
    </w:p>
    <w:p w14:paraId="259E68FE">
      <w:pPr>
        <w:spacing w:line="360" w:lineRule="auto"/>
        <w:ind w:firstLine="420" w:firstLineChars="200"/>
        <w:rPr>
          <w:rFonts w:ascii="宋体" w:hAnsi="宋体"/>
        </w:rPr>
      </w:pPr>
      <w:r>
        <w:rPr>
          <w:rFonts w:hint="eastAsia" w:ascii="宋体" w:hAnsi="宋体"/>
        </w:rPr>
        <w:t xml:space="preserve">2.2.2 </w:t>
      </w:r>
      <w:r>
        <w:rPr>
          <w:rFonts w:ascii="宋体" w:hAnsi="宋体"/>
        </w:rPr>
        <w:t>磋商文件的澄清或答疑将在供应商须知前附表规定的</w:t>
      </w:r>
      <w:r>
        <w:rPr>
          <w:rFonts w:hint="eastAsia" w:ascii="宋体" w:hAnsi="宋体"/>
        </w:rPr>
        <w:t>形式</w:t>
      </w:r>
      <w:r>
        <w:rPr>
          <w:rFonts w:ascii="宋体" w:hAnsi="宋体"/>
        </w:rPr>
        <w:t>发给领取磋商文件的供应商，但不指明澄清或答疑问题的来源。如果澄清发出的时间距提交响应文件截止时间不足5天，并且澄清内容影响磋商响应文件编制的，</w:t>
      </w:r>
      <w:r>
        <w:rPr>
          <w:rFonts w:hint="eastAsia" w:ascii="宋体" w:hAnsi="宋体"/>
        </w:rPr>
        <w:t>将</w:t>
      </w:r>
      <w:r>
        <w:rPr>
          <w:rFonts w:ascii="宋体" w:hAnsi="宋体"/>
        </w:rPr>
        <w:t>相应延长响应文件递交截止时间。</w:t>
      </w:r>
    </w:p>
    <w:p w14:paraId="08F3320A">
      <w:pPr>
        <w:spacing w:line="360" w:lineRule="auto"/>
        <w:ind w:firstLine="420" w:firstLineChars="200"/>
        <w:rPr>
          <w:rFonts w:ascii="宋体" w:hAnsi="宋体"/>
        </w:rPr>
      </w:pPr>
      <w:r>
        <w:rPr>
          <w:rFonts w:ascii="宋体" w:hAnsi="宋体"/>
        </w:rPr>
        <w:t>2.2.3澄清内容是磋商文件的组成部分，澄清内容一经在项目公告网站和电子交易平台发布，视作已送达所有供应商，并对供应商具有约束力。</w:t>
      </w:r>
    </w:p>
    <w:p w14:paraId="6321990E">
      <w:pPr>
        <w:spacing w:line="360" w:lineRule="auto"/>
        <w:ind w:firstLine="420" w:firstLineChars="200"/>
        <w:rPr>
          <w:rFonts w:ascii="宋体" w:hAnsi="宋体"/>
        </w:rPr>
      </w:pPr>
      <w:r>
        <w:rPr>
          <w:rFonts w:ascii="宋体" w:hAnsi="宋体"/>
        </w:rPr>
        <w:t>2.2.4供应商在投标截止时间前须自行查看项目进展、下载磋商文件的澄清等，因供应商未及时查看和下载而造成的后果自负。</w:t>
      </w:r>
    </w:p>
    <w:p w14:paraId="373A12A8">
      <w:pPr>
        <w:spacing w:line="360" w:lineRule="auto"/>
        <w:ind w:firstLine="422" w:firstLineChars="200"/>
        <w:rPr>
          <w:rFonts w:ascii="宋体" w:hAnsi="宋体"/>
          <w:b/>
          <w:bCs/>
        </w:rPr>
      </w:pPr>
      <w:r>
        <w:rPr>
          <w:rFonts w:hint="eastAsia" w:ascii="宋体" w:hAnsi="宋体"/>
          <w:b/>
          <w:bCs/>
        </w:rPr>
        <w:t>2.3 磋商文件的修改</w:t>
      </w:r>
      <w:bookmarkEnd w:id="348"/>
      <w:bookmarkEnd w:id="349"/>
    </w:p>
    <w:p w14:paraId="35A53C26">
      <w:pPr>
        <w:spacing w:line="360" w:lineRule="auto"/>
        <w:ind w:firstLine="420" w:firstLineChars="200"/>
        <w:rPr>
          <w:rFonts w:ascii="宋体" w:hAnsi="宋体"/>
        </w:rPr>
      </w:pPr>
      <w:r>
        <w:rPr>
          <w:rFonts w:hint="eastAsia" w:ascii="宋体" w:hAnsi="宋体"/>
        </w:rPr>
        <w:t>2.3.1采购人或者采购代理机构可以对已发出的竞争性磋商文件进行必要的修改，但不得改变采购标的和资格条件，修改的内容为竞争性磋商文件的组成部分。</w:t>
      </w:r>
    </w:p>
    <w:p w14:paraId="70A6ED12">
      <w:pPr>
        <w:spacing w:line="360" w:lineRule="auto"/>
        <w:ind w:firstLine="420" w:firstLineChars="200"/>
        <w:rPr>
          <w:rFonts w:ascii="宋体" w:hAnsi="宋体"/>
        </w:rPr>
      </w:pPr>
      <w:r>
        <w:rPr>
          <w:rFonts w:hint="eastAsia" w:ascii="宋体" w:hAnsi="宋体"/>
        </w:rPr>
        <w:t>2.3.2采购人或采购代理机构以供应商须知前附表规定的形式修改竞争性磋商文件，并通知所有已获取竞争性磋商文件的供应商，同时在原公告媒体发布变更公告。修改竞争性磋商文件的时间距提交首次响应文件截止时间不足5日的，并且修改内容可能影响响应文件编制的，将相应延长提交首次响应文件截止时间。</w:t>
      </w:r>
    </w:p>
    <w:p w14:paraId="6D987583">
      <w:pPr>
        <w:spacing w:line="360" w:lineRule="auto"/>
        <w:ind w:firstLine="420" w:firstLineChars="200"/>
        <w:rPr>
          <w:rFonts w:ascii="宋体" w:hAnsi="宋体"/>
        </w:rPr>
      </w:pPr>
      <w:r>
        <w:rPr>
          <w:rFonts w:hint="eastAsia" w:ascii="宋体" w:hAnsi="宋体"/>
        </w:rPr>
        <w:t>2.3.3修改内容是竞争性磋商文件的组成部分，修改内容一经在项目公告网站和电子交易平台发布，视作已送达所有供应商，并对供应商具有约束力。若供应商对修改内容仍有疑问，应在修改内容发出后24小时内在电子交易平台进行提问，否则视为已接收，并同意修改或澄清内容。开标后，采购人和采购代理机构不接受其对竞争性磋商文件内容的质疑。</w:t>
      </w:r>
    </w:p>
    <w:p w14:paraId="24CA3C4C">
      <w:pPr>
        <w:spacing w:line="360" w:lineRule="auto"/>
        <w:ind w:firstLine="420" w:firstLineChars="200"/>
        <w:rPr>
          <w:rFonts w:ascii="宋体" w:hAnsi="宋体"/>
        </w:rPr>
      </w:pPr>
      <w:r>
        <w:rPr>
          <w:rFonts w:hint="eastAsia" w:ascii="宋体" w:hAnsi="宋体"/>
        </w:rPr>
        <w:t>2.3.4供应商在投标截止时间前须自行查看项目进展、下载竞争性磋商文件的修改等，因供应商未及时查看和下载而造成的后果自负。</w:t>
      </w:r>
    </w:p>
    <w:p w14:paraId="4D06BFD4">
      <w:pPr>
        <w:pStyle w:val="58"/>
        <w:ind w:firstLine="420"/>
      </w:pPr>
      <w:bookmarkStart w:id="350" w:name="_Toc455080124"/>
      <w:bookmarkEnd w:id="350"/>
      <w:bookmarkStart w:id="351" w:name="_Toc152042322"/>
      <w:bookmarkEnd w:id="351"/>
      <w:bookmarkStart w:id="352" w:name="_Toc144974514"/>
      <w:bookmarkEnd w:id="352"/>
      <w:bookmarkStart w:id="353" w:name="_Toc152045546"/>
      <w:bookmarkEnd w:id="353"/>
      <w:bookmarkStart w:id="354" w:name="_Toc509667276"/>
      <w:bookmarkEnd w:id="354"/>
      <w:bookmarkStart w:id="355" w:name="_Toc7665"/>
      <w:bookmarkStart w:id="356" w:name="_Toc10728"/>
      <w:bookmarkStart w:id="357" w:name="_Toc28110"/>
      <w:bookmarkStart w:id="358" w:name="_Toc6779"/>
      <w:bookmarkStart w:id="359" w:name="_Toc29175"/>
      <w:bookmarkStart w:id="360" w:name="_Toc129073473"/>
      <w:bookmarkStart w:id="361" w:name="_Toc13305"/>
      <w:bookmarkStart w:id="362" w:name="_Toc20123"/>
      <w:bookmarkStart w:id="363" w:name="_Toc18373"/>
      <w:bookmarkStart w:id="364" w:name="_Toc1514"/>
      <w:bookmarkStart w:id="365" w:name="_Toc31097"/>
      <w:bookmarkStart w:id="366" w:name="_Toc20898"/>
      <w:r>
        <w:rPr>
          <w:rFonts w:hint="eastAsia"/>
        </w:rPr>
        <w:t xml:space="preserve">3. </w:t>
      </w:r>
      <w:bookmarkEnd w:id="355"/>
      <w:r>
        <w:rPr>
          <w:rFonts w:hint="eastAsia"/>
        </w:rPr>
        <w:t>响应文件</w:t>
      </w:r>
      <w:bookmarkEnd w:id="356"/>
      <w:bookmarkEnd w:id="357"/>
      <w:bookmarkEnd w:id="358"/>
      <w:bookmarkEnd w:id="359"/>
      <w:bookmarkEnd w:id="360"/>
      <w:bookmarkEnd w:id="361"/>
      <w:bookmarkEnd w:id="362"/>
      <w:bookmarkEnd w:id="363"/>
      <w:bookmarkEnd w:id="364"/>
      <w:bookmarkEnd w:id="365"/>
      <w:bookmarkEnd w:id="366"/>
    </w:p>
    <w:p w14:paraId="5F5C4B77">
      <w:pPr>
        <w:pStyle w:val="59"/>
        <w:keepNext w:val="0"/>
        <w:keepLines w:val="0"/>
        <w:spacing w:line="360" w:lineRule="auto"/>
        <w:ind w:firstLine="422" w:firstLineChars="200"/>
        <w:rPr>
          <w:rFonts w:ascii="宋体" w:hAnsi="宋体" w:eastAsia="宋体"/>
          <w:b/>
          <w:bCs/>
          <w:sz w:val="21"/>
          <w:szCs w:val="21"/>
        </w:rPr>
      </w:pPr>
      <w:bookmarkStart w:id="367" w:name="_Toc24440"/>
      <w:bookmarkEnd w:id="367"/>
      <w:bookmarkStart w:id="368" w:name="_Toc152042323"/>
      <w:bookmarkEnd w:id="368"/>
      <w:bookmarkStart w:id="369" w:name="_Toc15810"/>
      <w:bookmarkEnd w:id="369"/>
      <w:bookmarkStart w:id="370" w:name="_Toc144974515"/>
      <w:bookmarkEnd w:id="370"/>
      <w:bookmarkStart w:id="371" w:name="_Toc152045547"/>
      <w:bookmarkEnd w:id="371"/>
      <w:bookmarkStart w:id="372" w:name="_Toc490667844"/>
      <w:bookmarkEnd w:id="372"/>
      <w:bookmarkStart w:id="373" w:name="_Toc318450691"/>
      <w:bookmarkStart w:id="374" w:name="_Toc19334"/>
      <w:bookmarkStart w:id="375" w:name="_Toc26190"/>
      <w:bookmarkStart w:id="376" w:name="_Toc129073474"/>
      <w:bookmarkStart w:id="377" w:name="_Toc14317"/>
      <w:bookmarkStart w:id="378" w:name="_Toc14473"/>
      <w:r>
        <w:rPr>
          <w:rFonts w:hint="eastAsia" w:ascii="宋体" w:hAnsi="宋体" w:eastAsia="宋体"/>
          <w:b/>
          <w:bCs/>
          <w:sz w:val="21"/>
          <w:szCs w:val="21"/>
        </w:rPr>
        <w:t>3.1 响应文件的组成</w:t>
      </w:r>
      <w:bookmarkEnd w:id="373"/>
      <w:bookmarkEnd w:id="374"/>
      <w:bookmarkEnd w:id="375"/>
      <w:bookmarkEnd w:id="376"/>
      <w:bookmarkEnd w:id="377"/>
      <w:bookmarkEnd w:id="378"/>
    </w:p>
    <w:p w14:paraId="7CF4B75A">
      <w:pPr>
        <w:spacing w:line="360" w:lineRule="auto"/>
        <w:ind w:firstLine="420" w:firstLineChars="200"/>
        <w:rPr>
          <w:rFonts w:ascii="宋体" w:hAnsi="宋体"/>
        </w:rPr>
      </w:pPr>
      <w:bookmarkStart w:id="379" w:name="_Toc279156232"/>
      <w:bookmarkEnd w:id="379"/>
      <w:bookmarkStart w:id="380" w:name="_Toc455080125"/>
      <w:bookmarkEnd w:id="380"/>
      <w:bookmarkStart w:id="381" w:name="_Toc455867785"/>
      <w:bookmarkEnd w:id="381"/>
      <w:bookmarkStart w:id="382" w:name="_Toc466298108"/>
      <w:bookmarkEnd w:id="382"/>
      <w:bookmarkStart w:id="383" w:name="_Toc152042324"/>
      <w:bookmarkEnd w:id="383"/>
      <w:bookmarkStart w:id="384" w:name="_Toc13280"/>
      <w:bookmarkEnd w:id="384"/>
      <w:bookmarkStart w:id="385" w:name="_Toc18750"/>
      <w:bookmarkEnd w:id="385"/>
      <w:bookmarkStart w:id="386" w:name="_Toc152045548"/>
      <w:bookmarkEnd w:id="386"/>
      <w:bookmarkStart w:id="387" w:name="_Toc144974516"/>
      <w:bookmarkEnd w:id="387"/>
      <w:bookmarkStart w:id="388" w:name="_Toc30182"/>
      <w:bookmarkEnd w:id="388"/>
      <w:bookmarkStart w:id="389" w:name="_Toc26291"/>
      <w:bookmarkEnd w:id="389"/>
      <w:bookmarkStart w:id="390" w:name="_Toc318450692"/>
      <w:bookmarkEnd w:id="390"/>
      <w:bookmarkStart w:id="391" w:name="_Toc779"/>
      <w:bookmarkEnd w:id="391"/>
      <w:bookmarkStart w:id="392" w:name="_Toc22864"/>
      <w:bookmarkEnd w:id="392"/>
      <w:bookmarkStart w:id="393" w:name="_Toc899"/>
      <w:r>
        <w:rPr>
          <w:rFonts w:hint="eastAsia" w:ascii="宋体" w:hAnsi="宋体"/>
        </w:rPr>
        <w:t>详见第</w:t>
      </w:r>
      <w:r>
        <w:rPr>
          <w:rFonts w:hint="eastAsia" w:ascii="宋体" w:hAnsi="宋体"/>
          <w:lang w:eastAsia="zh-CN"/>
        </w:rPr>
        <w:t>七</w:t>
      </w:r>
      <w:r>
        <w:rPr>
          <w:rFonts w:hint="eastAsia" w:ascii="宋体" w:hAnsi="宋体"/>
        </w:rPr>
        <w:t>章“响应文件格式”</w:t>
      </w:r>
      <w:bookmarkEnd w:id="393"/>
    </w:p>
    <w:p w14:paraId="614CE446">
      <w:pPr>
        <w:pStyle w:val="59"/>
        <w:keepNext w:val="0"/>
        <w:keepLines w:val="0"/>
        <w:spacing w:line="360" w:lineRule="auto"/>
        <w:ind w:firstLine="422" w:firstLineChars="200"/>
        <w:rPr>
          <w:rFonts w:ascii="宋体" w:hAnsi="宋体" w:eastAsia="宋体"/>
          <w:b/>
          <w:bCs/>
          <w:sz w:val="21"/>
          <w:szCs w:val="21"/>
        </w:rPr>
      </w:pPr>
      <w:bookmarkStart w:id="394" w:name="_Toc12753"/>
      <w:bookmarkStart w:id="395" w:name="_Toc129073475"/>
      <w:bookmarkStart w:id="396" w:name="_Toc10785"/>
      <w:bookmarkStart w:id="397" w:name="_Toc28763"/>
      <w:bookmarkStart w:id="398" w:name="_Toc17845"/>
      <w:r>
        <w:rPr>
          <w:rFonts w:hint="eastAsia" w:ascii="宋体" w:hAnsi="宋体" w:eastAsia="宋体"/>
          <w:b/>
          <w:bCs/>
          <w:sz w:val="21"/>
          <w:szCs w:val="21"/>
        </w:rPr>
        <w:t>3.2 磋商报价</w:t>
      </w:r>
      <w:bookmarkEnd w:id="394"/>
      <w:bookmarkEnd w:id="395"/>
      <w:bookmarkEnd w:id="396"/>
      <w:bookmarkEnd w:id="397"/>
      <w:bookmarkEnd w:id="398"/>
    </w:p>
    <w:p w14:paraId="2531A6E0">
      <w:pPr>
        <w:spacing w:line="360" w:lineRule="auto"/>
        <w:ind w:firstLine="420" w:firstLineChars="200"/>
        <w:rPr>
          <w:rFonts w:ascii="宋体" w:hAnsi="宋体"/>
        </w:rPr>
      </w:pPr>
      <w:bookmarkStart w:id="399" w:name="_Toc152045549"/>
      <w:bookmarkEnd w:id="399"/>
      <w:bookmarkStart w:id="400" w:name="_Toc21600"/>
      <w:bookmarkEnd w:id="400"/>
      <w:bookmarkStart w:id="401" w:name="_Toc2425"/>
      <w:bookmarkEnd w:id="401"/>
      <w:bookmarkStart w:id="402" w:name="_Toc6105"/>
      <w:bookmarkEnd w:id="402"/>
      <w:bookmarkStart w:id="403" w:name="_Toc21680"/>
      <w:bookmarkEnd w:id="403"/>
      <w:bookmarkStart w:id="404" w:name="_Toc3624"/>
      <w:bookmarkEnd w:id="404"/>
      <w:bookmarkStart w:id="405" w:name="_Toc455080126"/>
      <w:bookmarkEnd w:id="405"/>
      <w:bookmarkStart w:id="406" w:name="_Toc7910"/>
      <w:bookmarkEnd w:id="406"/>
      <w:bookmarkStart w:id="407" w:name="_Toc509667277"/>
      <w:bookmarkEnd w:id="407"/>
      <w:bookmarkStart w:id="408" w:name="_Toc490667846"/>
      <w:bookmarkEnd w:id="408"/>
      <w:bookmarkStart w:id="409" w:name="_Toc455867786"/>
      <w:bookmarkEnd w:id="409"/>
      <w:bookmarkStart w:id="410" w:name="_Toc144974517"/>
      <w:bookmarkEnd w:id="410"/>
      <w:bookmarkStart w:id="411" w:name="_Toc152042325"/>
      <w:bookmarkEnd w:id="411"/>
      <w:bookmarkStart w:id="412" w:name="_Toc318450693"/>
      <w:bookmarkEnd w:id="412"/>
      <w:bookmarkStart w:id="413" w:name="_Toc466298109"/>
      <w:bookmarkStart w:id="414" w:name="_Toc129073476"/>
      <w:r>
        <w:rPr>
          <w:rFonts w:hint="eastAsia" w:ascii="宋体" w:hAnsi="宋体"/>
        </w:rPr>
        <w:t>3.2.1 供应商应按第</w:t>
      </w:r>
      <w:r>
        <w:rPr>
          <w:rFonts w:hint="eastAsia" w:ascii="宋体" w:hAnsi="宋体"/>
          <w:lang w:eastAsia="zh-CN"/>
        </w:rPr>
        <w:t>七</w:t>
      </w:r>
      <w:r>
        <w:rPr>
          <w:rFonts w:hint="eastAsia" w:ascii="宋体" w:hAnsi="宋体"/>
        </w:rPr>
        <w:t>章“磋商函附录”的要求填写相应表格，投标总报价应包括完成该项目的成本、利润、税金、风险等所有伴随的其他费用。</w:t>
      </w:r>
    </w:p>
    <w:p w14:paraId="2BE1A974">
      <w:pPr>
        <w:spacing w:line="360" w:lineRule="auto"/>
        <w:ind w:firstLine="420" w:firstLineChars="200"/>
        <w:rPr>
          <w:rFonts w:ascii="宋体" w:hAnsi="宋体"/>
        </w:rPr>
      </w:pPr>
      <w:r>
        <w:rPr>
          <w:rFonts w:hint="eastAsia" w:ascii="宋体" w:hAnsi="宋体"/>
        </w:rPr>
        <w:t>3.2.2 供应商在投标截止时间前修改磋商函中的投标总报价，应同时修改第</w:t>
      </w:r>
      <w:r>
        <w:rPr>
          <w:rFonts w:hint="eastAsia" w:ascii="宋体" w:hAnsi="宋体"/>
          <w:lang w:eastAsia="zh-CN"/>
        </w:rPr>
        <w:t>七</w:t>
      </w:r>
      <w:r>
        <w:rPr>
          <w:rFonts w:hint="eastAsia" w:ascii="宋体" w:hAnsi="宋体"/>
        </w:rPr>
        <w:t>章“磋商函附录”中的相应报价。此修改须符合本章第4.3 款的有关要求。</w:t>
      </w:r>
    </w:p>
    <w:p w14:paraId="08198804">
      <w:pPr>
        <w:spacing w:line="360" w:lineRule="auto"/>
        <w:ind w:firstLine="420" w:firstLineChars="200"/>
        <w:rPr>
          <w:rFonts w:ascii="宋体" w:hAnsi="宋体"/>
        </w:rPr>
      </w:pPr>
      <w:r>
        <w:rPr>
          <w:rFonts w:hint="eastAsia" w:ascii="宋体" w:hAnsi="宋体"/>
        </w:rPr>
        <w:t>3.2.3 投标总报价应是采购人指定地点的包括履约完成前发生的各种税费、保险费、运杂费、全部建筑安装费、技术服务费以及伴随的其它服务费总报价。各项报价应准确填入投标总报价表相应栏内。</w:t>
      </w:r>
    </w:p>
    <w:p w14:paraId="67F87AA8">
      <w:pPr>
        <w:spacing w:line="360" w:lineRule="auto"/>
        <w:ind w:firstLine="420" w:firstLineChars="200"/>
        <w:rPr>
          <w:rFonts w:ascii="宋体" w:hAnsi="宋体"/>
        </w:rPr>
      </w:pPr>
      <w:r>
        <w:rPr>
          <w:rFonts w:hint="eastAsia" w:ascii="宋体" w:hAnsi="宋体"/>
        </w:rPr>
        <w:t>3.2.4 供应商每次只能提出一个不变报价，采购人不接受任何选择价。磋商报价不作为</w:t>
      </w:r>
      <w:r>
        <w:rPr>
          <w:rFonts w:hint="eastAsia" w:ascii="宋体" w:hAnsi="宋体"/>
          <w:lang w:eastAsia="zh-CN"/>
        </w:rPr>
        <w:t>成交</w:t>
      </w:r>
      <w:r>
        <w:rPr>
          <w:rFonts w:hint="eastAsia" w:ascii="宋体" w:hAnsi="宋体"/>
        </w:rPr>
        <w:t>的唯一因素，不保证最低价中标。</w:t>
      </w:r>
    </w:p>
    <w:p w14:paraId="51CD9C91">
      <w:pPr>
        <w:spacing w:line="360" w:lineRule="auto"/>
        <w:ind w:firstLine="420" w:firstLineChars="200"/>
        <w:rPr>
          <w:rFonts w:ascii="宋体" w:hAnsi="宋体"/>
        </w:rPr>
      </w:pPr>
      <w:r>
        <w:rPr>
          <w:rFonts w:hint="eastAsia" w:ascii="宋体" w:hAnsi="宋体"/>
        </w:rPr>
        <w:t>3.2.5 采购人设有最高投标限价的，供应商的投标报价不得超过最高投标限价，最高投标限价在供应商须知前附表中载明。</w:t>
      </w:r>
    </w:p>
    <w:p w14:paraId="3E4CF775">
      <w:pPr>
        <w:pStyle w:val="59"/>
        <w:keepNext w:val="0"/>
        <w:keepLines w:val="0"/>
        <w:spacing w:line="360" w:lineRule="auto"/>
        <w:ind w:firstLine="422" w:firstLineChars="200"/>
        <w:rPr>
          <w:rFonts w:ascii="宋体" w:hAnsi="宋体" w:eastAsia="宋体"/>
          <w:b/>
          <w:bCs/>
          <w:sz w:val="21"/>
          <w:szCs w:val="21"/>
        </w:rPr>
      </w:pPr>
      <w:bookmarkStart w:id="415" w:name="_Toc7251"/>
      <w:bookmarkStart w:id="416" w:name="_Toc29116"/>
      <w:bookmarkStart w:id="417" w:name="_Toc21357"/>
      <w:bookmarkStart w:id="418" w:name="_Toc25512"/>
      <w:r>
        <w:rPr>
          <w:rFonts w:hint="eastAsia" w:ascii="宋体" w:hAnsi="宋体" w:eastAsia="宋体"/>
          <w:b/>
          <w:bCs/>
          <w:sz w:val="21"/>
          <w:szCs w:val="21"/>
        </w:rPr>
        <w:t>3.3 磋商有效期</w:t>
      </w:r>
      <w:bookmarkEnd w:id="413"/>
      <w:bookmarkEnd w:id="414"/>
      <w:bookmarkEnd w:id="415"/>
      <w:bookmarkEnd w:id="416"/>
      <w:bookmarkEnd w:id="417"/>
      <w:bookmarkEnd w:id="418"/>
    </w:p>
    <w:p w14:paraId="093F38DC">
      <w:pPr>
        <w:spacing w:line="360" w:lineRule="auto"/>
        <w:ind w:firstLine="420" w:firstLineChars="200"/>
        <w:rPr>
          <w:rFonts w:ascii="宋体" w:hAnsi="宋体"/>
        </w:rPr>
      </w:pPr>
      <w:r>
        <w:rPr>
          <w:rFonts w:hint="eastAsia" w:ascii="宋体" w:hAnsi="宋体"/>
        </w:rPr>
        <w:t>3.3.1在供应商须知前附表规定的磋商有效期内，供应商不得要求撤销或修改其响应文件。</w:t>
      </w:r>
    </w:p>
    <w:p w14:paraId="11730BE6">
      <w:pPr>
        <w:spacing w:line="360" w:lineRule="auto"/>
        <w:ind w:firstLine="420" w:firstLineChars="200"/>
        <w:rPr>
          <w:rFonts w:ascii="宋体" w:hAnsi="宋体"/>
        </w:rPr>
      </w:pPr>
      <w:r>
        <w:rPr>
          <w:rFonts w:hint="eastAsia" w:ascii="宋体" w:hAnsi="宋体"/>
        </w:rPr>
        <w:t xml:space="preserve">3.3.2出现特殊情况需要延长磋商有效期的，采购人以书面形式通知所有供应商延长磋商有效期。供应商同意延长的，但不得要求或被允许修改或撤销其响应文件；供应商拒绝延长的，其响应文件失效。 </w:t>
      </w:r>
    </w:p>
    <w:p w14:paraId="2D3858FC">
      <w:pPr>
        <w:pStyle w:val="59"/>
        <w:keepNext w:val="0"/>
        <w:keepLines w:val="0"/>
        <w:spacing w:line="360" w:lineRule="auto"/>
        <w:ind w:firstLine="422" w:firstLineChars="200"/>
        <w:rPr>
          <w:rFonts w:ascii="宋体" w:hAnsi="宋体" w:eastAsia="宋体"/>
          <w:b/>
          <w:bCs/>
          <w:sz w:val="21"/>
          <w:szCs w:val="21"/>
        </w:rPr>
      </w:pPr>
      <w:bookmarkStart w:id="419" w:name="_Toc7973"/>
      <w:bookmarkEnd w:id="419"/>
      <w:bookmarkStart w:id="420" w:name="_Toc455867787"/>
      <w:bookmarkEnd w:id="420"/>
      <w:bookmarkStart w:id="421" w:name="_Toc152045550"/>
      <w:bookmarkEnd w:id="421"/>
      <w:bookmarkStart w:id="422" w:name="_Toc2505"/>
      <w:bookmarkEnd w:id="422"/>
      <w:bookmarkStart w:id="423" w:name="_Toc455080127"/>
      <w:bookmarkEnd w:id="423"/>
      <w:bookmarkStart w:id="424" w:name="_Toc30697"/>
      <w:bookmarkEnd w:id="424"/>
      <w:bookmarkStart w:id="425" w:name="_Toc7057"/>
      <w:bookmarkEnd w:id="425"/>
      <w:bookmarkStart w:id="426" w:name="_Toc490667847"/>
      <w:bookmarkEnd w:id="426"/>
      <w:bookmarkStart w:id="427" w:name="_Toc509667278"/>
      <w:bookmarkEnd w:id="427"/>
      <w:bookmarkStart w:id="428" w:name="_Toc318450694"/>
      <w:bookmarkEnd w:id="428"/>
      <w:bookmarkStart w:id="429" w:name="_Toc152042326"/>
      <w:bookmarkEnd w:id="429"/>
      <w:bookmarkStart w:id="430" w:name="_Toc4165"/>
      <w:bookmarkEnd w:id="430"/>
      <w:bookmarkStart w:id="431" w:name="_Toc144974518"/>
      <w:bookmarkEnd w:id="431"/>
      <w:bookmarkStart w:id="432" w:name="_Toc466298110"/>
      <w:bookmarkEnd w:id="432"/>
      <w:bookmarkStart w:id="433" w:name="_Toc16649"/>
      <w:bookmarkStart w:id="434" w:name="_Toc16369"/>
      <w:bookmarkStart w:id="435" w:name="_Toc5810"/>
      <w:bookmarkStart w:id="436" w:name="_Toc20277"/>
      <w:bookmarkStart w:id="437" w:name="_Toc10370"/>
      <w:bookmarkStart w:id="438" w:name="_Toc129073477"/>
      <w:r>
        <w:rPr>
          <w:rFonts w:hint="eastAsia" w:ascii="宋体" w:hAnsi="宋体" w:eastAsia="宋体"/>
          <w:b/>
          <w:bCs/>
          <w:sz w:val="21"/>
          <w:szCs w:val="21"/>
        </w:rPr>
        <w:t>3.4 磋商保证金</w:t>
      </w:r>
      <w:bookmarkEnd w:id="433"/>
      <w:bookmarkEnd w:id="434"/>
      <w:bookmarkEnd w:id="435"/>
      <w:bookmarkEnd w:id="436"/>
    </w:p>
    <w:bookmarkEnd w:id="437"/>
    <w:bookmarkEnd w:id="438"/>
    <w:p w14:paraId="6C429298">
      <w:pPr>
        <w:spacing w:line="360" w:lineRule="auto"/>
        <w:ind w:firstLine="420" w:firstLineChars="200"/>
        <w:rPr>
          <w:rFonts w:ascii="宋体" w:hAnsi="宋体"/>
        </w:rPr>
      </w:pPr>
      <w:bookmarkStart w:id="439" w:name="_Toc318450695"/>
      <w:bookmarkEnd w:id="439"/>
      <w:bookmarkStart w:id="440" w:name="_Toc490667848"/>
      <w:bookmarkEnd w:id="440"/>
      <w:bookmarkStart w:id="441" w:name="_Toc455867788"/>
      <w:bookmarkEnd w:id="441"/>
      <w:bookmarkStart w:id="442" w:name="_Toc466298111"/>
      <w:bookmarkEnd w:id="442"/>
      <w:bookmarkStart w:id="443" w:name="_Toc22384"/>
      <w:bookmarkEnd w:id="443"/>
      <w:bookmarkStart w:id="444" w:name="_Toc27579"/>
      <w:bookmarkEnd w:id="444"/>
      <w:bookmarkStart w:id="445" w:name="_Toc16747"/>
      <w:bookmarkEnd w:id="445"/>
      <w:bookmarkStart w:id="446" w:name="_Toc509667279"/>
      <w:bookmarkEnd w:id="446"/>
      <w:bookmarkStart w:id="447" w:name="_Toc152045552"/>
      <w:bookmarkEnd w:id="447"/>
      <w:bookmarkStart w:id="448" w:name="_Toc17153"/>
      <w:bookmarkEnd w:id="448"/>
      <w:bookmarkStart w:id="449" w:name="_Toc22527"/>
      <w:bookmarkEnd w:id="449"/>
      <w:bookmarkStart w:id="450" w:name="_Toc455080128"/>
      <w:bookmarkEnd w:id="450"/>
      <w:bookmarkStart w:id="451" w:name="_Toc144974520"/>
      <w:bookmarkEnd w:id="451"/>
      <w:bookmarkStart w:id="452" w:name="_Toc152042328"/>
      <w:bookmarkEnd w:id="452"/>
      <w:bookmarkStart w:id="453" w:name="_Toc11077"/>
      <w:bookmarkStart w:id="454" w:name="_Toc129073478"/>
      <w:r>
        <w:rPr>
          <w:rFonts w:hint="eastAsia" w:ascii="宋体" w:hAnsi="宋体"/>
        </w:rPr>
        <w:t>根据《关于优化政府采购营商环境有关问题的通知》(豫财购〔2019〕4号)的相关要求，本项目不再收取磋商保证金。</w:t>
      </w:r>
    </w:p>
    <w:p w14:paraId="0198C633">
      <w:pPr>
        <w:pStyle w:val="59"/>
        <w:keepNext w:val="0"/>
        <w:keepLines w:val="0"/>
        <w:spacing w:line="360" w:lineRule="auto"/>
        <w:ind w:firstLine="422" w:firstLineChars="200"/>
        <w:rPr>
          <w:rFonts w:ascii="宋体" w:hAnsi="宋体" w:eastAsia="宋体"/>
          <w:b/>
          <w:bCs/>
          <w:sz w:val="21"/>
          <w:szCs w:val="21"/>
        </w:rPr>
      </w:pPr>
      <w:bookmarkStart w:id="455" w:name="_Toc22862"/>
      <w:bookmarkStart w:id="456" w:name="_Toc39"/>
      <w:bookmarkStart w:id="457" w:name="_Toc938"/>
      <w:bookmarkStart w:id="458" w:name="_Toc11547"/>
      <w:r>
        <w:rPr>
          <w:rFonts w:hint="eastAsia" w:ascii="宋体" w:hAnsi="宋体" w:eastAsia="宋体"/>
          <w:b/>
          <w:bCs/>
          <w:sz w:val="21"/>
          <w:szCs w:val="21"/>
        </w:rPr>
        <w:t>3.5资格审查资料</w:t>
      </w:r>
      <w:bookmarkEnd w:id="453"/>
      <w:bookmarkEnd w:id="454"/>
      <w:bookmarkEnd w:id="455"/>
      <w:bookmarkEnd w:id="456"/>
      <w:bookmarkEnd w:id="457"/>
      <w:bookmarkEnd w:id="458"/>
    </w:p>
    <w:p w14:paraId="1FC84666">
      <w:pPr>
        <w:spacing w:line="360" w:lineRule="auto"/>
        <w:ind w:firstLine="420" w:firstLineChars="200"/>
        <w:rPr>
          <w:rFonts w:ascii="宋体" w:hAnsi="宋体"/>
        </w:rPr>
      </w:pPr>
      <w:bookmarkStart w:id="459" w:name="_Toc26258"/>
      <w:bookmarkEnd w:id="459"/>
      <w:bookmarkStart w:id="460" w:name="_Toc318450696"/>
      <w:bookmarkEnd w:id="460"/>
      <w:bookmarkStart w:id="461" w:name="_Toc152045553"/>
      <w:bookmarkEnd w:id="461"/>
      <w:bookmarkStart w:id="462" w:name="_Toc144974521"/>
      <w:bookmarkEnd w:id="462"/>
      <w:bookmarkStart w:id="463" w:name="_Toc152042329"/>
      <w:bookmarkEnd w:id="463"/>
      <w:bookmarkStart w:id="464" w:name="_Toc5132"/>
      <w:r>
        <w:rPr>
          <w:rFonts w:hint="eastAsia" w:ascii="宋体" w:hAnsi="宋体"/>
        </w:rPr>
        <w:t>见供应商须知前附表。</w:t>
      </w:r>
      <w:bookmarkEnd w:id="464"/>
    </w:p>
    <w:p w14:paraId="49D92360">
      <w:pPr>
        <w:pStyle w:val="59"/>
        <w:keepNext w:val="0"/>
        <w:keepLines w:val="0"/>
        <w:spacing w:line="360" w:lineRule="auto"/>
        <w:ind w:firstLine="422" w:firstLineChars="200"/>
        <w:rPr>
          <w:rFonts w:ascii="宋体" w:hAnsi="宋体" w:eastAsia="宋体"/>
          <w:b/>
          <w:bCs/>
          <w:sz w:val="21"/>
          <w:szCs w:val="21"/>
        </w:rPr>
      </w:pPr>
      <w:bookmarkStart w:id="465" w:name="_Toc11694"/>
      <w:bookmarkEnd w:id="465"/>
      <w:bookmarkStart w:id="466" w:name="_Toc30442"/>
      <w:bookmarkEnd w:id="466"/>
      <w:bookmarkStart w:id="467" w:name="_Toc455080129"/>
      <w:bookmarkEnd w:id="467"/>
      <w:bookmarkStart w:id="468" w:name="_Toc19724"/>
      <w:bookmarkEnd w:id="468"/>
      <w:bookmarkStart w:id="469" w:name="_Toc466298112"/>
      <w:bookmarkEnd w:id="469"/>
      <w:bookmarkStart w:id="470" w:name="_Toc509667280"/>
      <w:bookmarkEnd w:id="470"/>
      <w:bookmarkStart w:id="471" w:name="_Toc490667849"/>
      <w:bookmarkEnd w:id="471"/>
      <w:bookmarkStart w:id="472" w:name="_Toc9015"/>
      <w:bookmarkEnd w:id="472"/>
      <w:bookmarkStart w:id="473" w:name="_Toc14059"/>
      <w:bookmarkStart w:id="474" w:name="_Toc25523"/>
      <w:bookmarkStart w:id="475" w:name="_Toc455867789"/>
      <w:bookmarkStart w:id="476" w:name="_Toc1596"/>
      <w:bookmarkStart w:id="477" w:name="_Toc14254"/>
      <w:bookmarkStart w:id="478" w:name="_Toc129073479"/>
      <w:r>
        <w:rPr>
          <w:rFonts w:hint="eastAsia" w:ascii="宋体" w:hAnsi="宋体" w:eastAsia="宋体"/>
          <w:b/>
          <w:bCs/>
          <w:sz w:val="21"/>
          <w:szCs w:val="21"/>
        </w:rPr>
        <w:t>3.6 备选方案</w:t>
      </w:r>
      <w:bookmarkEnd w:id="473"/>
      <w:bookmarkEnd w:id="474"/>
      <w:bookmarkEnd w:id="475"/>
      <w:bookmarkEnd w:id="476"/>
      <w:bookmarkEnd w:id="477"/>
      <w:bookmarkEnd w:id="478"/>
    </w:p>
    <w:p w14:paraId="17F36D3A">
      <w:pPr>
        <w:spacing w:line="360" w:lineRule="auto"/>
        <w:ind w:firstLine="420" w:firstLineChars="200"/>
        <w:rPr>
          <w:rFonts w:ascii="宋体" w:hAnsi="宋体"/>
        </w:rPr>
      </w:pPr>
      <w:r>
        <w:rPr>
          <w:rFonts w:hint="eastAsia" w:ascii="宋体" w:hAnsi="宋体"/>
        </w:rPr>
        <w:t>除供应商须知前附表另有规定外，供应商不得递交备选磋商方案。</w:t>
      </w:r>
    </w:p>
    <w:p w14:paraId="4C24FDB5">
      <w:pPr>
        <w:pStyle w:val="59"/>
        <w:keepNext w:val="0"/>
        <w:keepLines w:val="0"/>
        <w:spacing w:line="360" w:lineRule="auto"/>
        <w:ind w:firstLine="422" w:firstLineChars="200"/>
        <w:rPr>
          <w:rFonts w:ascii="宋体" w:hAnsi="宋体" w:eastAsia="宋体"/>
          <w:b/>
          <w:bCs/>
          <w:sz w:val="21"/>
          <w:szCs w:val="21"/>
        </w:rPr>
      </w:pPr>
      <w:bookmarkStart w:id="479" w:name="_Toc7966"/>
      <w:bookmarkEnd w:id="479"/>
      <w:bookmarkStart w:id="480" w:name="_Toc466298113"/>
      <w:bookmarkEnd w:id="480"/>
      <w:bookmarkStart w:id="481" w:name="_Toc455080130"/>
      <w:bookmarkEnd w:id="481"/>
      <w:bookmarkStart w:id="482" w:name="_Toc25620"/>
      <w:bookmarkEnd w:id="482"/>
      <w:bookmarkStart w:id="483" w:name="_Toc12275"/>
      <w:bookmarkEnd w:id="483"/>
      <w:bookmarkStart w:id="484" w:name="_Toc318450697"/>
      <w:bookmarkEnd w:id="484"/>
      <w:bookmarkStart w:id="485" w:name="_Toc152045554"/>
      <w:bookmarkEnd w:id="485"/>
      <w:bookmarkStart w:id="486" w:name="_Toc144974522"/>
      <w:bookmarkEnd w:id="486"/>
      <w:bookmarkStart w:id="487" w:name="_Toc509667281"/>
      <w:bookmarkEnd w:id="487"/>
      <w:bookmarkStart w:id="488" w:name="_Toc7626"/>
      <w:bookmarkEnd w:id="488"/>
      <w:bookmarkStart w:id="489" w:name="_Toc152042330"/>
      <w:bookmarkEnd w:id="489"/>
      <w:bookmarkStart w:id="490" w:name="_Toc455867790"/>
      <w:bookmarkEnd w:id="490"/>
      <w:bookmarkStart w:id="491" w:name="_Toc28656"/>
      <w:bookmarkEnd w:id="491"/>
      <w:bookmarkStart w:id="492" w:name="_Toc6323"/>
      <w:bookmarkEnd w:id="492"/>
      <w:bookmarkStart w:id="493" w:name="_Toc23456"/>
      <w:bookmarkStart w:id="494" w:name="_Toc490667850"/>
      <w:bookmarkStart w:id="495" w:name="_Toc129073480"/>
      <w:bookmarkStart w:id="496" w:name="_Toc14471"/>
      <w:bookmarkStart w:id="497" w:name="_Toc1941"/>
      <w:bookmarkStart w:id="498" w:name="_Toc3619"/>
      <w:r>
        <w:rPr>
          <w:rFonts w:hint="eastAsia" w:ascii="宋体" w:hAnsi="宋体" w:eastAsia="宋体"/>
          <w:b/>
          <w:bCs/>
          <w:sz w:val="21"/>
          <w:szCs w:val="21"/>
        </w:rPr>
        <w:t>3.7 响应文件的编制</w:t>
      </w:r>
      <w:bookmarkEnd w:id="493"/>
      <w:bookmarkEnd w:id="494"/>
      <w:bookmarkEnd w:id="495"/>
      <w:bookmarkEnd w:id="496"/>
      <w:bookmarkEnd w:id="497"/>
      <w:bookmarkEnd w:id="498"/>
    </w:p>
    <w:p w14:paraId="0001BF94">
      <w:pPr>
        <w:pStyle w:val="17"/>
        <w:adjustRightInd w:val="0"/>
        <w:snapToGrid w:val="0"/>
        <w:spacing w:line="360" w:lineRule="auto"/>
        <w:ind w:firstLine="420" w:firstLineChars="200"/>
        <w:rPr>
          <w:rFonts w:ascii="宋体" w:hAnsi="宋体"/>
          <w:kern w:val="2"/>
          <w:sz w:val="21"/>
          <w:szCs w:val="21"/>
        </w:rPr>
      </w:pPr>
      <w:r>
        <w:rPr>
          <w:rFonts w:hint="eastAsia" w:ascii="宋体" w:hAnsi="宋体"/>
          <w:kern w:val="2"/>
          <w:sz w:val="21"/>
          <w:szCs w:val="21"/>
        </w:rPr>
        <w:t>3.7.1 响应文件应按“</w:t>
      </w:r>
      <w:r>
        <w:rPr>
          <w:rFonts w:hint="eastAsia" w:ascii="宋体" w:hAnsi="宋体"/>
          <w:kern w:val="2"/>
          <w:sz w:val="21"/>
          <w:szCs w:val="21"/>
          <w:lang w:eastAsia="zh-CN"/>
        </w:rPr>
        <w:t>第七章</w:t>
      </w:r>
      <w:r>
        <w:rPr>
          <w:rFonts w:hint="eastAsia" w:ascii="宋体" w:hAnsi="宋体"/>
          <w:kern w:val="2"/>
          <w:sz w:val="21"/>
          <w:szCs w:val="21"/>
        </w:rPr>
        <w:t>响应文件格式”进行编写，如有必要，可以增加附页，作为响应文件的组成部分。其中，磋商函附录在满足磋商文件实质性要求的基础上，可以提出比磋商文件要求更有利于采购人的承诺。</w:t>
      </w:r>
    </w:p>
    <w:p w14:paraId="351D5201">
      <w:pPr>
        <w:pStyle w:val="17"/>
        <w:adjustRightInd w:val="0"/>
        <w:snapToGrid w:val="0"/>
        <w:spacing w:line="360" w:lineRule="auto"/>
        <w:ind w:firstLine="420" w:firstLineChars="200"/>
        <w:rPr>
          <w:rFonts w:ascii="宋体" w:hAnsi="宋体"/>
          <w:kern w:val="2"/>
          <w:sz w:val="21"/>
          <w:szCs w:val="21"/>
        </w:rPr>
      </w:pPr>
      <w:r>
        <w:rPr>
          <w:rFonts w:hint="eastAsia" w:ascii="宋体" w:hAnsi="宋体"/>
          <w:kern w:val="2"/>
          <w:sz w:val="21"/>
          <w:szCs w:val="21"/>
        </w:rPr>
        <w:t>3.7.2 响应文件应当对磋商文件有关采购内容及范围</w:t>
      </w:r>
      <w:r>
        <w:rPr>
          <w:rFonts w:hint="eastAsia" w:ascii="宋体" w:hAnsi="宋体"/>
          <w:kern w:val="2"/>
          <w:sz w:val="21"/>
          <w:szCs w:val="21"/>
          <w:lang w:eastAsia="zh-CN"/>
        </w:rPr>
        <w:t>、</w:t>
      </w:r>
      <w:r>
        <w:rPr>
          <w:rFonts w:hint="eastAsia" w:ascii="宋体" w:hAnsi="宋体"/>
          <w:kern w:val="2"/>
          <w:sz w:val="21"/>
          <w:szCs w:val="21"/>
        </w:rPr>
        <w:t>工期</w:t>
      </w:r>
      <w:r>
        <w:rPr>
          <w:rFonts w:hint="eastAsia" w:ascii="宋体" w:hAnsi="宋体"/>
          <w:kern w:val="2"/>
          <w:sz w:val="21"/>
          <w:szCs w:val="21"/>
          <w:lang w:eastAsia="zh-CN"/>
        </w:rPr>
        <w:t>要求</w:t>
      </w:r>
      <w:r>
        <w:rPr>
          <w:rFonts w:hint="eastAsia" w:ascii="宋体" w:hAnsi="宋体"/>
          <w:kern w:val="2"/>
          <w:sz w:val="21"/>
          <w:szCs w:val="21"/>
        </w:rPr>
        <w:t>、质量要求</w:t>
      </w:r>
      <w:r>
        <w:rPr>
          <w:rFonts w:hint="eastAsia" w:ascii="宋体" w:hAnsi="宋体"/>
          <w:kern w:val="2"/>
          <w:sz w:val="21"/>
          <w:szCs w:val="21"/>
          <w:lang w:eastAsia="zh-CN"/>
        </w:rPr>
        <w:t>、缺陷责任期、保修期、</w:t>
      </w:r>
      <w:r>
        <w:rPr>
          <w:rFonts w:hint="eastAsia" w:ascii="宋体" w:hAnsi="宋体"/>
          <w:kern w:val="2"/>
          <w:sz w:val="21"/>
          <w:szCs w:val="21"/>
        </w:rPr>
        <w:t>磋商有效期等实质性内容作出响应。</w:t>
      </w:r>
    </w:p>
    <w:p w14:paraId="6B353C8F">
      <w:pPr>
        <w:pStyle w:val="17"/>
        <w:adjustRightInd w:val="0"/>
        <w:snapToGrid w:val="0"/>
        <w:spacing w:line="360" w:lineRule="auto"/>
        <w:ind w:firstLine="420" w:firstLineChars="200"/>
        <w:rPr>
          <w:rFonts w:ascii="宋体" w:hAnsi="宋体"/>
          <w:kern w:val="2"/>
          <w:sz w:val="21"/>
          <w:szCs w:val="21"/>
        </w:rPr>
      </w:pPr>
      <w:r>
        <w:rPr>
          <w:rFonts w:hint="eastAsia" w:ascii="宋体" w:hAnsi="宋体"/>
          <w:kern w:val="2"/>
          <w:sz w:val="21"/>
          <w:szCs w:val="21"/>
        </w:rPr>
        <w:t xml:space="preserve">3.7.3 响应文件全部采用电子文档，除供应商须知前附表另有规定外，响应文件所附证书证件均为原件扫描件，并采用单位和个人数字证书，按磋商文件要求在相应位置加盖电子印章。由供应商的法定代表人（单位负责人）签字或加盖电子印章的，应附法定代表人（单位负责人）身份证明，由代理人签字或加盖电子印章的，应附由法定代表人（单位负责人）签署的授权委托书。签字或盖章的具体要求见供应商须知前附表。 </w:t>
      </w:r>
    </w:p>
    <w:p w14:paraId="2A68D3A0">
      <w:pPr>
        <w:pStyle w:val="17"/>
        <w:adjustRightInd w:val="0"/>
        <w:snapToGrid w:val="0"/>
        <w:spacing w:line="360" w:lineRule="auto"/>
        <w:ind w:firstLine="420" w:firstLineChars="200"/>
        <w:rPr>
          <w:rFonts w:ascii="宋体" w:hAnsi="宋体"/>
          <w:kern w:val="2"/>
          <w:sz w:val="21"/>
          <w:szCs w:val="21"/>
        </w:rPr>
      </w:pPr>
      <w:r>
        <w:rPr>
          <w:rFonts w:hint="eastAsia" w:ascii="宋体" w:hAnsi="宋体"/>
          <w:kern w:val="2"/>
          <w:sz w:val="21"/>
          <w:szCs w:val="21"/>
        </w:rPr>
        <w:t xml:space="preserve">3.7.4 供应商编制响应文件时，涉及营业执照、资质、业绩、获奖、人员、财务、社保、纳税、各类证书等内容，在市场主体信息库中已登记的信息中选取，并附进响应文件中。供应商应及时对市场主体信息库的相关内容进行补充、更新。 </w:t>
      </w:r>
    </w:p>
    <w:p w14:paraId="1DDE0171">
      <w:pPr>
        <w:pStyle w:val="17"/>
        <w:adjustRightInd w:val="0"/>
        <w:snapToGrid w:val="0"/>
        <w:spacing w:line="360" w:lineRule="auto"/>
        <w:ind w:firstLine="420" w:firstLineChars="200"/>
        <w:rPr>
          <w:rFonts w:ascii="宋体" w:hAnsi="宋体"/>
          <w:kern w:val="2"/>
          <w:sz w:val="21"/>
          <w:szCs w:val="21"/>
        </w:rPr>
      </w:pPr>
      <w:r>
        <w:rPr>
          <w:rFonts w:hint="eastAsia" w:ascii="宋体" w:hAnsi="宋体"/>
          <w:kern w:val="2"/>
          <w:sz w:val="21"/>
          <w:szCs w:val="21"/>
        </w:rPr>
        <w:t>3.7.5 投标所需相关的资质、证明等资料要求：见供应商须知前附表。</w:t>
      </w:r>
    </w:p>
    <w:p w14:paraId="40EB6790">
      <w:pPr>
        <w:pStyle w:val="58"/>
        <w:ind w:firstLine="420"/>
      </w:pPr>
      <w:bookmarkStart w:id="499" w:name="_Toc23788"/>
      <w:bookmarkEnd w:id="499"/>
      <w:bookmarkStart w:id="500" w:name="_Toc1338"/>
      <w:bookmarkStart w:id="501" w:name="_Toc129073481"/>
      <w:bookmarkStart w:id="502" w:name="_Toc1627"/>
      <w:bookmarkStart w:id="503" w:name="_Toc28728"/>
      <w:bookmarkStart w:id="504" w:name="_Toc11915"/>
      <w:bookmarkStart w:id="505" w:name="_Toc12348"/>
      <w:bookmarkStart w:id="506" w:name="_Toc20732"/>
      <w:bookmarkStart w:id="507" w:name="_Toc4068"/>
      <w:bookmarkStart w:id="508" w:name="_Toc32571"/>
      <w:bookmarkStart w:id="509" w:name="_Toc24961"/>
      <w:bookmarkStart w:id="510" w:name="_Toc22391"/>
      <w:r>
        <w:rPr>
          <w:rFonts w:hint="eastAsia"/>
        </w:rPr>
        <w:t xml:space="preserve">4. </w:t>
      </w:r>
      <w:bookmarkEnd w:id="500"/>
      <w:bookmarkEnd w:id="501"/>
      <w:bookmarkEnd w:id="502"/>
      <w:bookmarkEnd w:id="503"/>
      <w:bookmarkEnd w:id="504"/>
      <w:bookmarkEnd w:id="505"/>
      <w:r>
        <w:rPr>
          <w:rFonts w:hint="eastAsia"/>
        </w:rPr>
        <w:t>响应文件上传</w:t>
      </w:r>
      <w:bookmarkEnd w:id="506"/>
      <w:bookmarkEnd w:id="507"/>
      <w:bookmarkEnd w:id="508"/>
      <w:bookmarkEnd w:id="509"/>
      <w:bookmarkEnd w:id="510"/>
    </w:p>
    <w:p w14:paraId="6F132718">
      <w:pPr>
        <w:pStyle w:val="59"/>
        <w:keepNext w:val="0"/>
        <w:keepLines w:val="0"/>
        <w:spacing w:line="360" w:lineRule="auto"/>
        <w:ind w:firstLine="422" w:firstLineChars="200"/>
        <w:rPr>
          <w:rFonts w:ascii="宋体" w:hAnsi="宋体" w:eastAsia="宋体"/>
          <w:b/>
          <w:bCs/>
          <w:sz w:val="21"/>
          <w:szCs w:val="21"/>
        </w:rPr>
      </w:pPr>
      <w:bookmarkStart w:id="511" w:name="_Toc318450700"/>
      <w:bookmarkEnd w:id="511"/>
      <w:bookmarkStart w:id="512" w:name="_Toc455080132"/>
      <w:bookmarkEnd w:id="512"/>
      <w:bookmarkStart w:id="513" w:name="_Toc28272"/>
      <w:bookmarkEnd w:id="513"/>
      <w:bookmarkStart w:id="514" w:name="_Toc466298116"/>
      <w:bookmarkEnd w:id="514"/>
      <w:bookmarkStart w:id="515" w:name="_Toc152045557"/>
      <w:bookmarkEnd w:id="515"/>
      <w:bookmarkStart w:id="516" w:name="_Toc318450699"/>
      <w:bookmarkEnd w:id="516"/>
      <w:bookmarkStart w:id="517" w:name="_Toc26550"/>
      <w:bookmarkEnd w:id="517"/>
      <w:bookmarkStart w:id="518" w:name="_Toc16832"/>
      <w:bookmarkEnd w:id="518"/>
      <w:bookmarkStart w:id="519" w:name="_Toc455080133"/>
      <w:bookmarkEnd w:id="519"/>
      <w:bookmarkStart w:id="520" w:name="_Toc509667284"/>
      <w:bookmarkEnd w:id="520"/>
      <w:bookmarkStart w:id="521" w:name="_Toc490667852"/>
      <w:bookmarkEnd w:id="521"/>
      <w:bookmarkStart w:id="522" w:name="_Toc144974525"/>
      <w:bookmarkEnd w:id="522"/>
      <w:bookmarkStart w:id="523" w:name="_Toc144974524"/>
      <w:bookmarkEnd w:id="523"/>
      <w:bookmarkStart w:id="524" w:name="_Toc11243"/>
      <w:bookmarkEnd w:id="524"/>
      <w:bookmarkStart w:id="525" w:name="_Toc466298115"/>
      <w:bookmarkEnd w:id="525"/>
      <w:bookmarkStart w:id="526" w:name="_Toc31492"/>
      <w:bookmarkEnd w:id="526"/>
      <w:bookmarkStart w:id="527" w:name="_Toc152045556"/>
      <w:bookmarkEnd w:id="527"/>
      <w:bookmarkStart w:id="528" w:name="_Toc21072"/>
      <w:bookmarkEnd w:id="528"/>
      <w:bookmarkStart w:id="529" w:name="_Toc16783"/>
      <w:bookmarkEnd w:id="529"/>
      <w:bookmarkStart w:id="530" w:name="_Toc27132"/>
      <w:bookmarkEnd w:id="530"/>
      <w:bookmarkStart w:id="531" w:name="_Toc16344"/>
      <w:bookmarkEnd w:id="531"/>
      <w:bookmarkStart w:id="532" w:name="_Toc462"/>
      <w:bookmarkEnd w:id="532"/>
      <w:bookmarkStart w:id="533" w:name="_Toc16962"/>
      <w:bookmarkEnd w:id="533"/>
      <w:bookmarkStart w:id="534" w:name="_Toc509667283"/>
      <w:bookmarkEnd w:id="534"/>
      <w:bookmarkStart w:id="535" w:name="_Toc455867793"/>
      <w:bookmarkEnd w:id="535"/>
      <w:bookmarkStart w:id="536" w:name="_Toc8754"/>
      <w:bookmarkEnd w:id="536"/>
      <w:bookmarkStart w:id="537" w:name="_Toc152042333"/>
      <w:bookmarkEnd w:id="537"/>
      <w:bookmarkStart w:id="538" w:name="_Toc455867792"/>
      <w:bookmarkEnd w:id="538"/>
      <w:bookmarkStart w:id="539" w:name="_Toc26366"/>
      <w:bookmarkStart w:id="540" w:name="_Toc17041"/>
      <w:bookmarkStart w:id="541" w:name="_Toc2192"/>
      <w:bookmarkStart w:id="542" w:name="_Toc17989"/>
      <w:bookmarkStart w:id="543" w:name="_Toc129073483"/>
      <w:r>
        <w:rPr>
          <w:rFonts w:hint="eastAsia" w:ascii="宋体" w:hAnsi="宋体" w:eastAsia="宋体"/>
          <w:b/>
          <w:bCs/>
          <w:sz w:val="21"/>
          <w:szCs w:val="21"/>
        </w:rPr>
        <w:t>4.1 投标文件的加密</w:t>
      </w:r>
      <w:bookmarkEnd w:id="539"/>
      <w:bookmarkEnd w:id="540"/>
      <w:bookmarkEnd w:id="541"/>
    </w:p>
    <w:p w14:paraId="7BA4DBFC">
      <w:pPr>
        <w:pStyle w:val="59"/>
        <w:keepNext w:val="0"/>
        <w:keepLines w:val="0"/>
        <w:spacing w:line="360" w:lineRule="auto"/>
        <w:ind w:firstLine="420" w:firstLineChars="200"/>
        <w:rPr>
          <w:rFonts w:ascii="宋体" w:hAnsi="宋体" w:eastAsia="宋体"/>
          <w:sz w:val="21"/>
          <w:szCs w:val="21"/>
        </w:rPr>
      </w:pPr>
      <w:bookmarkStart w:id="544" w:name="_Toc29754"/>
      <w:bookmarkStart w:id="545" w:name="_Toc20066"/>
      <w:bookmarkStart w:id="546" w:name="_Toc16660"/>
      <w:r>
        <w:rPr>
          <w:rFonts w:hint="eastAsia" w:ascii="宋体" w:hAnsi="宋体" w:eastAsia="宋体"/>
          <w:sz w:val="21"/>
          <w:szCs w:val="21"/>
        </w:rPr>
        <w:t>4.1.1 网上上传的电子投标文件应使用数字证书认证并加密。</w:t>
      </w:r>
      <w:bookmarkEnd w:id="544"/>
      <w:bookmarkEnd w:id="545"/>
      <w:bookmarkEnd w:id="546"/>
    </w:p>
    <w:p w14:paraId="5E60A5CC">
      <w:pPr>
        <w:pStyle w:val="59"/>
        <w:keepNext w:val="0"/>
        <w:keepLines w:val="0"/>
        <w:spacing w:line="360" w:lineRule="auto"/>
        <w:ind w:firstLine="422" w:firstLineChars="200"/>
        <w:rPr>
          <w:rFonts w:ascii="宋体" w:hAnsi="宋体" w:eastAsia="宋体"/>
          <w:b/>
          <w:bCs/>
          <w:sz w:val="21"/>
          <w:szCs w:val="21"/>
        </w:rPr>
      </w:pPr>
      <w:bookmarkStart w:id="547" w:name="_Toc11756"/>
      <w:bookmarkStart w:id="548" w:name="_Toc5361"/>
      <w:bookmarkStart w:id="549" w:name="_Toc17981"/>
      <w:r>
        <w:rPr>
          <w:rFonts w:hint="eastAsia" w:ascii="宋体" w:hAnsi="宋体" w:eastAsia="宋体"/>
          <w:b/>
          <w:bCs/>
          <w:sz w:val="21"/>
          <w:szCs w:val="21"/>
        </w:rPr>
        <w:t>4.2 响应文件的递交</w:t>
      </w:r>
      <w:bookmarkEnd w:id="542"/>
      <w:bookmarkEnd w:id="543"/>
      <w:bookmarkEnd w:id="547"/>
      <w:bookmarkEnd w:id="548"/>
      <w:bookmarkEnd w:id="549"/>
    </w:p>
    <w:p w14:paraId="0D44DC49">
      <w:pPr>
        <w:pStyle w:val="59"/>
        <w:keepNext w:val="0"/>
        <w:keepLines w:val="0"/>
        <w:spacing w:line="360" w:lineRule="auto"/>
        <w:ind w:firstLine="420" w:firstLineChars="200"/>
        <w:rPr>
          <w:rFonts w:ascii="宋体" w:hAnsi="宋体" w:eastAsia="宋体" w:cs="Times New Roman"/>
          <w:kern w:val="2"/>
          <w:sz w:val="21"/>
          <w:szCs w:val="21"/>
        </w:rPr>
      </w:pPr>
      <w:bookmarkStart w:id="550" w:name="_Toc24500"/>
      <w:bookmarkStart w:id="551" w:name="_Toc10125"/>
      <w:bookmarkStart w:id="552" w:name="_Toc8237"/>
      <w:bookmarkStart w:id="553" w:name="_Toc13363"/>
      <w:bookmarkStart w:id="554" w:name="_Toc129073484"/>
      <w:r>
        <w:rPr>
          <w:rFonts w:hint="eastAsia" w:ascii="宋体" w:hAnsi="宋体" w:eastAsia="宋体" w:cs="Times New Roman"/>
          <w:kern w:val="2"/>
          <w:sz w:val="21"/>
          <w:szCs w:val="21"/>
        </w:rPr>
        <w:t>4.2。1 加密的电子响应文件（*.hntf 格式）,应在响应文件递交截止时间前通过“河南省公共资源交易中心（</w:t>
      </w:r>
      <w:r>
        <w:rPr>
          <w:rFonts w:hint="eastAsia" w:ascii="宋体" w:hAnsi="宋体" w:eastAsia="宋体" w:cs="Times New Roman"/>
          <w:kern w:val="2"/>
          <w:sz w:val="21"/>
          <w:szCs w:val="21"/>
        </w:rPr>
        <w:fldChar w:fldCharType="begin"/>
      </w:r>
      <w:r>
        <w:rPr>
          <w:rFonts w:hint="eastAsia" w:ascii="宋体" w:hAnsi="宋体" w:eastAsia="宋体" w:cs="Times New Roman"/>
          <w:kern w:val="2"/>
          <w:sz w:val="21"/>
          <w:szCs w:val="21"/>
        </w:rPr>
        <w:instrText xml:space="preserve"> HYPERLINK "http://www.hnggzy.net/" </w:instrText>
      </w:r>
      <w:r>
        <w:rPr>
          <w:rFonts w:hint="eastAsia" w:ascii="宋体" w:hAnsi="宋体" w:eastAsia="宋体" w:cs="Times New Roman"/>
          <w:kern w:val="2"/>
          <w:sz w:val="21"/>
          <w:szCs w:val="21"/>
        </w:rPr>
        <w:fldChar w:fldCharType="separate"/>
      </w:r>
      <w:r>
        <w:rPr>
          <w:rFonts w:hint="eastAsia" w:ascii="宋体" w:hAnsi="宋体" w:eastAsia="宋体" w:cs="Times New Roman"/>
          <w:kern w:val="2"/>
          <w:sz w:val="21"/>
          <w:szCs w:val="21"/>
          <w:lang w:eastAsia="zh-CN"/>
        </w:rPr>
        <w:t>http://hnsggzyjy.henan.gov.cn</w:t>
      </w:r>
      <w:r>
        <w:rPr>
          <w:rFonts w:hint="eastAsia" w:ascii="宋体" w:hAnsi="宋体" w:eastAsia="宋体" w:cs="Times New Roman"/>
          <w:kern w:val="2"/>
          <w:sz w:val="21"/>
          <w:szCs w:val="21"/>
        </w:rPr>
        <w:t>/</w:t>
      </w:r>
      <w:r>
        <w:rPr>
          <w:rFonts w:hint="eastAsia" w:ascii="宋体" w:hAnsi="宋体" w:eastAsia="宋体" w:cs="Times New Roman"/>
          <w:kern w:val="2"/>
          <w:sz w:val="21"/>
          <w:szCs w:val="21"/>
        </w:rPr>
        <w:fldChar w:fldCharType="end"/>
      </w:r>
      <w:r>
        <w:rPr>
          <w:rFonts w:hint="eastAsia" w:ascii="宋体" w:hAnsi="宋体" w:eastAsia="宋体" w:cs="Times New Roman"/>
          <w:kern w:val="2"/>
          <w:sz w:val="21"/>
          <w:szCs w:val="21"/>
        </w:rPr>
        <w:t>）”电子交易平台内上传。</w:t>
      </w:r>
      <w:bookmarkEnd w:id="550"/>
      <w:bookmarkEnd w:id="551"/>
      <w:bookmarkEnd w:id="552"/>
      <w:bookmarkEnd w:id="553"/>
    </w:p>
    <w:p w14:paraId="34824163">
      <w:pPr>
        <w:pStyle w:val="59"/>
        <w:keepNext w:val="0"/>
        <w:keepLines w:val="0"/>
        <w:spacing w:line="360" w:lineRule="auto"/>
        <w:ind w:firstLine="420" w:firstLineChars="200"/>
        <w:rPr>
          <w:rFonts w:ascii="宋体" w:hAnsi="宋体" w:eastAsia="宋体" w:cs="Times New Roman"/>
          <w:kern w:val="2"/>
          <w:sz w:val="21"/>
          <w:szCs w:val="21"/>
        </w:rPr>
      </w:pPr>
      <w:bookmarkStart w:id="555" w:name="_Toc17177"/>
      <w:bookmarkStart w:id="556" w:name="_Toc2798"/>
      <w:bookmarkStart w:id="557" w:name="_Toc28401"/>
      <w:bookmarkStart w:id="558" w:name="_Toc19182"/>
      <w:r>
        <w:rPr>
          <w:rFonts w:hint="eastAsia" w:ascii="宋体" w:hAnsi="宋体" w:eastAsia="宋体" w:cs="Times New Roman"/>
          <w:kern w:val="2"/>
          <w:sz w:val="21"/>
          <w:szCs w:val="21"/>
        </w:rPr>
        <w:t>4.2.2 供应商必须使用企业 CA 密钥对本单位的加密电子响应文件进行解密。供应商用来解密的企业 CA 锁应与制作本项目电子响应文件时所用的 CA 锁为同一把锁，否则由此造成的无法解密或解密失败等问题由供应商自行承担。</w:t>
      </w:r>
      <w:bookmarkEnd w:id="555"/>
      <w:bookmarkEnd w:id="556"/>
      <w:bookmarkEnd w:id="557"/>
      <w:bookmarkEnd w:id="558"/>
    </w:p>
    <w:p w14:paraId="179D3A4C">
      <w:pPr>
        <w:pStyle w:val="59"/>
        <w:keepNext w:val="0"/>
        <w:keepLines w:val="0"/>
        <w:spacing w:line="360" w:lineRule="auto"/>
        <w:ind w:firstLine="420" w:firstLineChars="200"/>
        <w:rPr>
          <w:rFonts w:ascii="宋体" w:hAnsi="宋体" w:eastAsia="宋体" w:cs="Times New Roman"/>
          <w:kern w:val="2"/>
          <w:sz w:val="21"/>
          <w:szCs w:val="21"/>
        </w:rPr>
      </w:pPr>
      <w:bookmarkStart w:id="559" w:name="_Toc20462"/>
      <w:bookmarkStart w:id="560" w:name="_Toc13627"/>
      <w:bookmarkStart w:id="561" w:name="_Toc27065"/>
      <w:bookmarkStart w:id="562" w:name="_Toc6682"/>
      <w:r>
        <w:rPr>
          <w:rFonts w:hint="eastAsia" w:ascii="宋体" w:hAnsi="宋体" w:eastAsia="宋体" w:cs="Times New Roman"/>
          <w:kern w:val="2"/>
          <w:sz w:val="21"/>
          <w:szCs w:val="21"/>
        </w:rPr>
        <w:t>4.2.3 逾期提交的响应文件，电子招标投标交易平台将予以拒收。</w:t>
      </w:r>
      <w:bookmarkEnd w:id="559"/>
      <w:bookmarkEnd w:id="560"/>
      <w:bookmarkEnd w:id="561"/>
      <w:bookmarkEnd w:id="562"/>
    </w:p>
    <w:p w14:paraId="0BA52FE2">
      <w:pPr>
        <w:pStyle w:val="59"/>
        <w:keepNext w:val="0"/>
        <w:keepLines w:val="0"/>
        <w:spacing w:line="360" w:lineRule="auto"/>
        <w:ind w:firstLine="422" w:firstLineChars="200"/>
        <w:rPr>
          <w:rFonts w:ascii="宋体" w:hAnsi="宋体" w:eastAsia="宋体"/>
          <w:b/>
          <w:bCs/>
          <w:sz w:val="21"/>
          <w:szCs w:val="21"/>
        </w:rPr>
      </w:pPr>
      <w:bookmarkStart w:id="563" w:name="_Toc18361"/>
      <w:bookmarkStart w:id="564" w:name="_Toc4846"/>
      <w:bookmarkStart w:id="565" w:name="_Toc19340"/>
      <w:bookmarkStart w:id="566" w:name="_Toc25313"/>
      <w:r>
        <w:rPr>
          <w:rFonts w:hint="eastAsia" w:ascii="宋体" w:hAnsi="宋体" w:eastAsia="宋体"/>
          <w:b/>
          <w:bCs/>
          <w:sz w:val="21"/>
          <w:szCs w:val="21"/>
        </w:rPr>
        <w:t>4.3 响应文件的修改与撤回</w:t>
      </w:r>
      <w:bookmarkEnd w:id="554"/>
      <w:bookmarkEnd w:id="563"/>
      <w:bookmarkEnd w:id="564"/>
      <w:bookmarkEnd w:id="565"/>
      <w:bookmarkEnd w:id="566"/>
    </w:p>
    <w:p w14:paraId="5EB6DD71">
      <w:pPr>
        <w:spacing w:line="440" w:lineRule="exact"/>
        <w:ind w:firstLine="420" w:firstLineChars="200"/>
        <w:textAlignment w:val="baseline"/>
        <w:rPr>
          <w:rStyle w:val="70"/>
          <w:rFonts w:ascii="宋体" w:hAnsi="宋体" w:cs="宋体"/>
        </w:rPr>
      </w:pPr>
      <w:bookmarkStart w:id="567" w:name="_Toc4093"/>
      <w:bookmarkStart w:id="568" w:name="_Toc28674"/>
      <w:bookmarkStart w:id="569" w:name="_Toc21628"/>
      <w:r>
        <w:rPr>
          <w:rStyle w:val="70"/>
          <w:rFonts w:hint="eastAsia" w:ascii="宋体" w:hAnsi="宋体" w:cs="宋体"/>
        </w:rPr>
        <w:t xml:space="preserve">4.3.1 </w:t>
      </w:r>
      <w:bookmarkStart w:id="570" w:name="_Toc144974527"/>
      <w:bookmarkEnd w:id="570"/>
      <w:bookmarkStart w:id="571" w:name="_Toc152042335"/>
      <w:bookmarkEnd w:id="571"/>
      <w:bookmarkStart w:id="572" w:name="_Toc509667286"/>
      <w:bookmarkEnd w:id="572"/>
      <w:bookmarkStart w:id="573" w:name="_Toc455080135"/>
      <w:bookmarkEnd w:id="573"/>
      <w:bookmarkStart w:id="574" w:name="_Toc152045559"/>
      <w:bookmarkEnd w:id="574"/>
      <w:bookmarkStart w:id="575" w:name="_Toc129073485"/>
      <w:bookmarkStart w:id="576" w:name="_Toc30851"/>
      <w:r>
        <w:rPr>
          <w:rStyle w:val="70"/>
          <w:rFonts w:hint="eastAsia" w:ascii="宋体" w:hAnsi="宋体" w:cs="宋体"/>
        </w:rPr>
        <w:t>在规定的响应文件递交截止时间前，供应商可以在河南省公共资源交易中心系统内撤回已上传的响应文件。</w:t>
      </w:r>
      <w:bookmarkEnd w:id="567"/>
      <w:bookmarkEnd w:id="568"/>
      <w:bookmarkEnd w:id="569"/>
    </w:p>
    <w:p w14:paraId="1395DE1E">
      <w:pPr>
        <w:spacing w:line="440" w:lineRule="exact"/>
        <w:ind w:firstLine="420" w:firstLineChars="200"/>
        <w:textAlignment w:val="baseline"/>
        <w:rPr>
          <w:rStyle w:val="70"/>
          <w:rFonts w:ascii="宋体" w:hAnsi="宋体" w:cs="宋体"/>
        </w:rPr>
      </w:pPr>
      <w:bookmarkStart w:id="577" w:name="_Toc13601"/>
      <w:bookmarkStart w:id="578" w:name="_Toc22230"/>
      <w:bookmarkStart w:id="579" w:name="_Toc18569"/>
      <w:r>
        <w:rPr>
          <w:rStyle w:val="70"/>
          <w:rFonts w:hint="eastAsia" w:ascii="宋体" w:hAnsi="宋体" w:cs="宋体"/>
        </w:rPr>
        <w:t>4.3.2 供应商补充、修改或撤回已递交响应文件的通知，应按照本章第 3.7.3 项的要求加盖电子印章。电子招标投标交易平台收到通知后，即时向供应商发出确认回执通知。</w:t>
      </w:r>
    </w:p>
    <w:p w14:paraId="32C93C66">
      <w:pPr>
        <w:spacing w:line="440" w:lineRule="exact"/>
        <w:ind w:firstLine="420" w:firstLineChars="200"/>
        <w:textAlignment w:val="baseline"/>
        <w:rPr>
          <w:rStyle w:val="70"/>
          <w:rFonts w:ascii="宋体" w:hAnsi="宋体" w:cs="宋体"/>
        </w:rPr>
      </w:pPr>
      <w:r>
        <w:rPr>
          <w:rStyle w:val="70"/>
          <w:rFonts w:hint="eastAsia" w:ascii="宋体" w:hAnsi="宋体" w:cs="宋体"/>
        </w:rPr>
        <w:t>4.3.3 补充、修改的内容为磋商响应文件的组成部分。补充、修改的内容与响应文件不一致的，以补充、修改的内容为准。</w:t>
      </w:r>
    </w:p>
    <w:p w14:paraId="6C467EBF">
      <w:pPr>
        <w:spacing w:line="440" w:lineRule="exact"/>
        <w:ind w:firstLine="420" w:firstLineChars="200"/>
        <w:textAlignment w:val="baseline"/>
        <w:rPr>
          <w:rStyle w:val="70"/>
          <w:rFonts w:ascii="宋体" w:hAnsi="宋体" w:cs="宋体"/>
        </w:rPr>
      </w:pPr>
      <w:r>
        <w:rPr>
          <w:rStyle w:val="70"/>
          <w:rFonts w:hint="eastAsia" w:ascii="宋体" w:hAnsi="宋体" w:cs="宋体"/>
        </w:rPr>
        <w:t>4.3.4 供应商有下列情形之一的，采购人将拒绝接受其响应性文件：</w:t>
      </w:r>
      <w:bookmarkEnd w:id="577"/>
      <w:bookmarkEnd w:id="578"/>
      <w:bookmarkEnd w:id="579"/>
    </w:p>
    <w:p w14:paraId="6CC359C7">
      <w:pPr>
        <w:spacing w:line="440" w:lineRule="exact"/>
        <w:ind w:firstLine="420" w:firstLineChars="200"/>
        <w:textAlignment w:val="baseline"/>
        <w:rPr>
          <w:rStyle w:val="70"/>
          <w:rFonts w:ascii="宋体" w:hAnsi="宋体" w:cs="宋体"/>
        </w:rPr>
      </w:pPr>
      <w:bookmarkStart w:id="580" w:name="_Toc14523"/>
      <w:bookmarkStart w:id="581" w:name="_Toc16943"/>
      <w:bookmarkStart w:id="582" w:name="_Toc1030"/>
      <w:r>
        <w:rPr>
          <w:rStyle w:val="70"/>
          <w:rFonts w:hint="eastAsia" w:ascii="宋体" w:hAnsi="宋体" w:cs="宋体"/>
        </w:rPr>
        <w:t>（1）在竞争性磋商文件规定的递交竞争性磋商文件截止时间之后递交响应文件的。</w:t>
      </w:r>
      <w:bookmarkEnd w:id="580"/>
      <w:bookmarkEnd w:id="581"/>
      <w:bookmarkEnd w:id="582"/>
    </w:p>
    <w:p w14:paraId="26CB1B39">
      <w:pPr>
        <w:spacing w:line="440" w:lineRule="exact"/>
        <w:ind w:firstLine="420" w:firstLineChars="200"/>
        <w:textAlignment w:val="baseline"/>
        <w:rPr>
          <w:rStyle w:val="70"/>
          <w:rFonts w:ascii="宋体" w:hAnsi="宋体" w:cs="宋体"/>
        </w:rPr>
      </w:pPr>
      <w:bookmarkStart w:id="583" w:name="_Toc28927"/>
      <w:bookmarkStart w:id="584" w:name="_Toc12398"/>
      <w:bookmarkStart w:id="585" w:name="_Toc2177"/>
      <w:r>
        <w:rPr>
          <w:rStyle w:val="70"/>
          <w:rFonts w:hint="eastAsia" w:ascii="宋体" w:hAnsi="宋体" w:cs="宋体"/>
        </w:rPr>
        <w:t>（2）响应性文件未按竞争性磋商文件规定上传解密、密封的。</w:t>
      </w:r>
      <w:bookmarkEnd w:id="583"/>
      <w:bookmarkEnd w:id="584"/>
      <w:bookmarkEnd w:id="585"/>
    </w:p>
    <w:p w14:paraId="2A1DB7A3">
      <w:pPr>
        <w:spacing w:line="440" w:lineRule="exact"/>
        <w:ind w:firstLine="420" w:firstLineChars="200"/>
        <w:textAlignment w:val="baseline"/>
        <w:rPr>
          <w:rStyle w:val="70"/>
          <w:rFonts w:ascii="宋体" w:hAnsi="宋体" w:cs="宋体"/>
        </w:rPr>
      </w:pPr>
      <w:bookmarkStart w:id="586" w:name="_Toc1096"/>
      <w:bookmarkStart w:id="587" w:name="_Toc23862"/>
      <w:bookmarkStart w:id="588" w:name="_Toc2843"/>
      <w:r>
        <w:rPr>
          <w:rStyle w:val="70"/>
          <w:rFonts w:hint="eastAsia" w:ascii="宋体" w:hAnsi="宋体" w:cs="宋体"/>
        </w:rPr>
        <w:t>（3）未按规定方式取得竞争性磋商文件参加磋商的。</w:t>
      </w:r>
      <w:bookmarkEnd w:id="586"/>
      <w:bookmarkEnd w:id="587"/>
      <w:bookmarkEnd w:id="588"/>
    </w:p>
    <w:p w14:paraId="3E81DB75">
      <w:pPr>
        <w:pStyle w:val="58"/>
        <w:ind w:firstLine="420"/>
      </w:pPr>
      <w:bookmarkStart w:id="589" w:name="_Toc5904"/>
      <w:bookmarkStart w:id="590" w:name="_Toc32703"/>
      <w:bookmarkStart w:id="591" w:name="_Toc7107"/>
      <w:bookmarkStart w:id="592" w:name="_Toc7982"/>
      <w:bookmarkStart w:id="593" w:name="_Toc23657"/>
      <w:bookmarkStart w:id="594" w:name="_Toc20980"/>
      <w:bookmarkStart w:id="595" w:name="_Toc21530"/>
      <w:bookmarkStart w:id="596" w:name="_Toc31150"/>
      <w:bookmarkStart w:id="597" w:name="_Toc17468"/>
      <w:bookmarkStart w:id="598" w:name="_Toc7869"/>
      <w:r>
        <w:rPr>
          <w:rFonts w:hint="eastAsia"/>
        </w:rPr>
        <w:t xml:space="preserve">5. </w:t>
      </w:r>
      <w:bookmarkEnd w:id="575"/>
      <w:bookmarkEnd w:id="576"/>
      <w:bookmarkEnd w:id="589"/>
      <w:bookmarkEnd w:id="590"/>
      <w:bookmarkEnd w:id="591"/>
      <w:bookmarkEnd w:id="592"/>
      <w:bookmarkEnd w:id="593"/>
      <w:r>
        <w:rPr>
          <w:rFonts w:hint="eastAsia"/>
        </w:rPr>
        <w:t>响应文件开启</w:t>
      </w:r>
      <w:bookmarkEnd w:id="594"/>
      <w:bookmarkEnd w:id="595"/>
      <w:bookmarkEnd w:id="596"/>
      <w:bookmarkEnd w:id="597"/>
      <w:bookmarkEnd w:id="598"/>
    </w:p>
    <w:p w14:paraId="44E8DB46">
      <w:pPr>
        <w:pStyle w:val="59"/>
        <w:keepNext w:val="0"/>
        <w:keepLines w:val="0"/>
        <w:spacing w:line="360" w:lineRule="auto"/>
        <w:ind w:firstLine="422" w:firstLineChars="200"/>
        <w:rPr>
          <w:rFonts w:ascii="宋体" w:hAnsi="宋体" w:eastAsia="宋体"/>
          <w:b/>
          <w:bCs/>
          <w:sz w:val="21"/>
          <w:szCs w:val="21"/>
        </w:rPr>
      </w:pPr>
      <w:bookmarkStart w:id="599" w:name="_Toc509667287"/>
      <w:bookmarkEnd w:id="599"/>
      <w:bookmarkStart w:id="600" w:name="_Toc20333"/>
      <w:bookmarkEnd w:id="600"/>
      <w:bookmarkStart w:id="601" w:name="_Toc152045560"/>
      <w:bookmarkEnd w:id="601"/>
      <w:bookmarkStart w:id="602" w:name="_Toc466298119"/>
      <w:bookmarkEnd w:id="602"/>
      <w:bookmarkStart w:id="603" w:name="_Toc25809"/>
      <w:bookmarkEnd w:id="603"/>
      <w:bookmarkStart w:id="604" w:name="_Toc490667856"/>
      <w:bookmarkEnd w:id="604"/>
      <w:bookmarkStart w:id="605" w:name="_Toc9969"/>
      <w:bookmarkEnd w:id="605"/>
      <w:bookmarkStart w:id="606" w:name="_Toc152042336"/>
      <w:bookmarkEnd w:id="606"/>
      <w:bookmarkStart w:id="607" w:name="_Toc455080136"/>
      <w:bookmarkEnd w:id="607"/>
      <w:bookmarkStart w:id="608" w:name="_Toc25533"/>
      <w:bookmarkEnd w:id="608"/>
      <w:bookmarkStart w:id="609" w:name="_Toc455867796"/>
      <w:bookmarkEnd w:id="609"/>
      <w:bookmarkStart w:id="610" w:name="_Toc26426"/>
      <w:bookmarkEnd w:id="610"/>
      <w:bookmarkStart w:id="611" w:name="_Toc144974528"/>
      <w:bookmarkEnd w:id="611"/>
      <w:bookmarkStart w:id="612" w:name="_Toc14"/>
      <w:bookmarkEnd w:id="612"/>
      <w:bookmarkStart w:id="613" w:name="_Toc318450703"/>
      <w:bookmarkStart w:id="614" w:name="_Toc29068"/>
      <w:bookmarkStart w:id="615" w:name="_Toc5569"/>
      <w:bookmarkStart w:id="616" w:name="_Toc15514"/>
      <w:bookmarkStart w:id="617" w:name="_Toc129073486"/>
      <w:bookmarkStart w:id="618" w:name="_Toc15710"/>
      <w:r>
        <w:rPr>
          <w:rFonts w:hint="eastAsia" w:ascii="宋体" w:hAnsi="宋体" w:eastAsia="宋体"/>
          <w:b/>
          <w:bCs/>
          <w:sz w:val="21"/>
          <w:szCs w:val="21"/>
        </w:rPr>
        <w:t>5.1 磋商时间和地点</w:t>
      </w:r>
      <w:bookmarkEnd w:id="613"/>
      <w:bookmarkEnd w:id="614"/>
      <w:bookmarkEnd w:id="615"/>
      <w:bookmarkEnd w:id="616"/>
      <w:bookmarkEnd w:id="617"/>
      <w:bookmarkEnd w:id="618"/>
    </w:p>
    <w:p w14:paraId="041AD8CE">
      <w:pPr>
        <w:spacing w:line="360" w:lineRule="auto"/>
        <w:ind w:firstLine="420" w:firstLineChars="200"/>
        <w:rPr>
          <w:rFonts w:ascii="宋体" w:hAnsi="宋体"/>
        </w:rPr>
      </w:pPr>
      <w:bookmarkStart w:id="619" w:name="_Toc318450704"/>
      <w:bookmarkEnd w:id="619"/>
      <w:bookmarkStart w:id="620" w:name="_Toc30965"/>
      <w:bookmarkEnd w:id="620"/>
      <w:bookmarkStart w:id="621" w:name="_Toc3865"/>
      <w:bookmarkEnd w:id="621"/>
      <w:bookmarkStart w:id="622" w:name="_Toc144974529"/>
      <w:bookmarkEnd w:id="622"/>
      <w:bookmarkStart w:id="623" w:name="_Toc11148"/>
      <w:bookmarkEnd w:id="623"/>
      <w:bookmarkStart w:id="624" w:name="_Toc152045561"/>
      <w:bookmarkEnd w:id="624"/>
      <w:bookmarkStart w:id="625" w:name="_Toc455080137"/>
      <w:bookmarkEnd w:id="625"/>
      <w:bookmarkStart w:id="626" w:name="_Toc30074"/>
      <w:bookmarkEnd w:id="626"/>
      <w:bookmarkStart w:id="627" w:name="_Toc25911"/>
      <w:bookmarkEnd w:id="627"/>
      <w:bookmarkStart w:id="628" w:name="_Toc152042337"/>
      <w:bookmarkEnd w:id="628"/>
      <w:bookmarkStart w:id="629" w:name="_Toc17491"/>
      <w:r>
        <w:rPr>
          <w:rFonts w:hint="eastAsia" w:ascii="宋体" w:hAnsi="宋体"/>
        </w:rPr>
        <w:t>采购人在规定的响应文件递交截止时间和供应商须知前附表规定的地点进行磋商，本项目采用“远程不见面”开标方式，供应商无需到河南省公共资源交易中心现场参加开标会议。供应商应当在响应文件递交截止时间前，登录远程开标大厅，在线准时参加开标活动并进行文件解密等。在规定时间内响应文件未解密的供应商，视为放弃磋商投标。</w:t>
      </w:r>
      <w:bookmarkEnd w:id="629"/>
    </w:p>
    <w:p w14:paraId="59961B17">
      <w:pPr>
        <w:spacing w:line="360" w:lineRule="auto"/>
        <w:ind w:firstLine="422" w:firstLineChars="200"/>
        <w:rPr>
          <w:rFonts w:ascii="宋体" w:hAnsi="宋体"/>
          <w:b/>
          <w:bCs/>
        </w:rPr>
      </w:pPr>
      <w:r>
        <w:rPr>
          <w:rFonts w:hint="eastAsia" w:ascii="宋体" w:hAnsi="宋体"/>
          <w:b/>
          <w:bCs/>
        </w:rPr>
        <w:t>5.2 磋商会议程序（按河南省公共资源交易中心“远程不见面”开标程序进行）</w:t>
      </w:r>
    </w:p>
    <w:p w14:paraId="54878AB3">
      <w:pPr>
        <w:spacing w:line="440" w:lineRule="exact"/>
        <w:ind w:firstLine="420" w:firstLineChars="200"/>
        <w:rPr>
          <w:rStyle w:val="70"/>
          <w:rFonts w:ascii="宋体" w:hAnsi="宋体" w:cs="宋体"/>
        </w:rPr>
      </w:pPr>
      <w:r>
        <w:rPr>
          <w:rStyle w:val="70"/>
          <w:rFonts w:hint="eastAsia" w:ascii="宋体" w:hAnsi="宋体" w:cs="宋体"/>
        </w:rPr>
        <w:t>（1）公布投标单位；</w:t>
      </w:r>
    </w:p>
    <w:p w14:paraId="47BF42E4">
      <w:pPr>
        <w:spacing w:line="440" w:lineRule="exact"/>
        <w:ind w:firstLine="420" w:firstLineChars="200"/>
        <w:rPr>
          <w:rStyle w:val="70"/>
          <w:rFonts w:ascii="宋体" w:hAnsi="宋体" w:cs="宋体"/>
        </w:rPr>
      </w:pPr>
      <w:r>
        <w:rPr>
          <w:rStyle w:val="70"/>
          <w:rFonts w:hint="eastAsia" w:ascii="宋体" w:hAnsi="宋体" w:cs="宋体"/>
        </w:rPr>
        <w:t>（2）投标人远程解密投标文件；</w:t>
      </w:r>
    </w:p>
    <w:p w14:paraId="34986CB8">
      <w:pPr>
        <w:spacing w:line="440" w:lineRule="exact"/>
        <w:ind w:firstLine="420" w:firstLineChars="200"/>
        <w:rPr>
          <w:rStyle w:val="70"/>
          <w:rFonts w:ascii="宋体" w:hAnsi="宋体" w:cs="宋体"/>
        </w:rPr>
      </w:pPr>
      <w:r>
        <w:rPr>
          <w:rStyle w:val="70"/>
          <w:rFonts w:hint="eastAsia" w:ascii="宋体" w:hAnsi="宋体" w:cs="宋体"/>
        </w:rPr>
        <w:t>（3）投标文件导入；</w:t>
      </w:r>
    </w:p>
    <w:p w14:paraId="4779AC71">
      <w:pPr>
        <w:spacing w:line="440" w:lineRule="exact"/>
        <w:ind w:firstLine="420" w:firstLineChars="200"/>
        <w:rPr>
          <w:rStyle w:val="70"/>
          <w:rFonts w:ascii="宋体" w:hAnsi="宋体" w:cs="宋体"/>
        </w:rPr>
      </w:pPr>
      <w:r>
        <w:rPr>
          <w:rStyle w:val="70"/>
          <w:rFonts w:hint="eastAsia" w:ascii="宋体" w:hAnsi="宋体" w:cs="宋体"/>
        </w:rPr>
        <w:t>（4）电子唱标；</w:t>
      </w:r>
    </w:p>
    <w:p w14:paraId="00042F5C">
      <w:pPr>
        <w:spacing w:line="440" w:lineRule="exact"/>
        <w:ind w:firstLine="420" w:firstLineChars="200"/>
        <w:rPr>
          <w:rStyle w:val="70"/>
          <w:rFonts w:ascii="宋体" w:hAnsi="宋体" w:cs="宋体"/>
        </w:rPr>
      </w:pPr>
      <w:r>
        <w:rPr>
          <w:rStyle w:val="70"/>
          <w:rFonts w:hint="eastAsia" w:ascii="宋体" w:hAnsi="宋体" w:cs="宋体"/>
        </w:rPr>
        <w:t>（5）异议与回复；</w:t>
      </w:r>
    </w:p>
    <w:p w14:paraId="31D5FBD6">
      <w:pPr>
        <w:spacing w:line="440" w:lineRule="exact"/>
        <w:ind w:firstLine="420" w:firstLineChars="200"/>
        <w:rPr>
          <w:rStyle w:val="70"/>
          <w:rFonts w:ascii="宋体" w:hAnsi="宋体" w:cs="宋体"/>
        </w:rPr>
      </w:pPr>
      <w:r>
        <w:rPr>
          <w:rStyle w:val="70"/>
          <w:rFonts w:hint="eastAsia" w:ascii="宋体" w:hAnsi="宋体" w:cs="宋体"/>
        </w:rPr>
        <w:t>（6）开标结束。</w:t>
      </w:r>
    </w:p>
    <w:p w14:paraId="70D705E4">
      <w:pPr>
        <w:spacing w:line="440" w:lineRule="exact"/>
        <w:ind w:firstLine="422" w:firstLineChars="200"/>
        <w:rPr>
          <w:rFonts w:ascii="宋体" w:hAnsi="宋体" w:cs="宋体"/>
          <w:b/>
          <w:bCs/>
          <w:snapToGrid w:val="0"/>
        </w:rPr>
      </w:pPr>
      <w:r>
        <w:rPr>
          <w:rFonts w:hint="eastAsia" w:ascii="宋体" w:hAnsi="宋体" w:cs="宋体"/>
          <w:b/>
          <w:bCs/>
          <w:snapToGrid w:val="0"/>
        </w:rPr>
        <w:t>5.3 开标异议</w:t>
      </w:r>
    </w:p>
    <w:p w14:paraId="00B87B5B">
      <w:pPr>
        <w:spacing w:line="440" w:lineRule="exact"/>
        <w:ind w:firstLine="420" w:firstLineChars="200"/>
        <w:rPr>
          <w:rFonts w:ascii="宋体" w:hAnsi="宋体" w:cs="宋体"/>
          <w:snapToGrid w:val="0"/>
        </w:rPr>
      </w:pPr>
      <w:r>
        <w:rPr>
          <w:rFonts w:ascii="宋体" w:hAnsi="宋体" w:cs="宋体"/>
          <w:snapToGrid w:val="0"/>
        </w:rPr>
        <w:t>供应商对开标过程有异议的，应当在开标现场提出，采购人当场作出答复。供应商未参加开标的，视同认可开标结果。</w:t>
      </w:r>
    </w:p>
    <w:p w14:paraId="774EDBC1">
      <w:pPr>
        <w:spacing w:line="440" w:lineRule="exact"/>
        <w:ind w:firstLine="422" w:firstLineChars="200"/>
        <w:rPr>
          <w:rFonts w:ascii="宋体" w:hAnsi="宋体" w:cs="宋体"/>
          <w:b/>
          <w:bCs/>
          <w:snapToGrid w:val="0"/>
        </w:rPr>
      </w:pPr>
      <w:r>
        <w:rPr>
          <w:rFonts w:hint="eastAsia" w:ascii="宋体" w:hAnsi="宋体" w:cs="宋体"/>
          <w:b/>
          <w:bCs/>
          <w:snapToGrid w:val="0"/>
        </w:rPr>
        <w:t>5.4异常情况处理</w:t>
      </w:r>
    </w:p>
    <w:p w14:paraId="06E8BF83">
      <w:pPr>
        <w:spacing w:line="440" w:lineRule="exact"/>
        <w:ind w:firstLine="420" w:firstLineChars="200"/>
        <w:rPr>
          <w:rFonts w:ascii="宋体" w:hAnsi="宋体" w:cs="宋体"/>
          <w:snapToGrid w:val="0"/>
        </w:rPr>
      </w:pPr>
      <w:r>
        <w:rPr>
          <w:rFonts w:hint="eastAsia" w:ascii="宋体" w:hAnsi="宋体" w:cs="宋体"/>
          <w:snapToGrid w:val="0"/>
        </w:rPr>
        <w:t>在开标、评标过程中，若出现异常情况导致无法正常采用电子开标时，如出现网络中断、服务器发生故障或停电等其它不可抗力情形，导致电子交易系统无法正常运行的，应由采购人、采购代理机构视情况提出解决方案，及时通报监管部门和交易中心研究处理。</w:t>
      </w:r>
    </w:p>
    <w:p w14:paraId="5DD13DD3">
      <w:pPr>
        <w:pStyle w:val="58"/>
        <w:ind w:firstLine="420"/>
      </w:pPr>
      <w:bookmarkStart w:id="630" w:name="_Toc466298120"/>
      <w:bookmarkEnd w:id="630"/>
      <w:bookmarkStart w:id="631" w:name="_Toc152045562"/>
      <w:bookmarkEnd w:id="631"/>
      <w:bookmarkStart w:id="632" w:name="_Toc144974530"/>
      <w:bookmarkEnd w:id="632"/>
      <w:bookmarkStart w:id="633" w:name="_Toc509667288"/>
      <w:bookmarkEnd w:id="633"/>
      <w:bookmarkStart w:id="634" w:name="_Toc152042338"/>
      <w:bookmarkEnd w:id="634"/>
      <w:bookmarkStart w:id="635" w:name="_Toc13397"/>
      <w:bookmarkEnd w:id="635"/>
      <w:bookmarkStart w:id="636" w:name="_Toc490667857"/>
      <w:bookmarkEnd w:id="636"/>
      <w:bookmarkStart w:id="637" w:name="_Toc455080138"/>
      <w:bookmarkEnd w:id="637"/>
      <w:bookmarkStart w:id="638" w:name="_Toc509667289"/>
      <w:bookmarkEnd w:id="638"/>
      <w:bookmarkStart w:id="639" w:name="_Toc17080"/>
      <w:bookmarkStart w:id="640" w:name="_Toc26210"/>
      <w:bookmarkStart w:id="641" w:name="_Toc2321"/>
      <w:bookmarkStart w:id="642" w:name="_Toc15429"/>
      <w:bookmarkStart w:id="643" w:name="_Toc21073"/>
      <w:bookmarkStart w:id="644" w:name="_Toc8265"/>
      <w:bookmarkStart w:id="645" w:name="_Toc29816"/>
      <w:bookmarkStart w:id="646" w:name="_Toc30088"/>
      <w:bookmarkStart w:id="647" w:name="_Toc2688"/>
      <w:bookmarkStart w:id="648" w:name="_Toc129073488"/>
      <w:bookmarkStart w:id="649" w:name="_Toc17596"/>
      <w:r>
        <w:rPr>
          <w:rFonts w:hint="eastAsia"/>
        </w:rPr>
        <w:t>6. 磋商</w:t>
      </w:r>
      <w:bookmarkEnd w:id="639"/>
      <w:bookmarkEnd w:id="640"/>
      <w:bookmarkEnd w:id="641"/>
      <w:bookmarkEnd w:id="642"/>
      <w:bookmarkEnd w:id="643"/>
      <w:bookmarkEnd w:id="644"/>
      <w:bookmarkEnd w:id="645"/>
      <w:bookmarkEnd w:id="646"/>
      <w:bookmarkEnd w:id="647"/>
      <w:bookmarkEnd w:id="648"/>
      <w:bookmarkEnd w:id="649"/>
    </w:p>
    <w:p w14:paraId="6812233F">
      <w:pPr>
        <w:pStyle w:val="59"/>
        <w:keepNext w:val="0"/>
        <w:keepLines w:val="0"/>
        <w:spacing w:line="360" w:lineRule="auto"/>
        <w:ind w:firstLine="422" w:firstLineChars="200"/>
        <w:rPr>
          <w:rFonts w:ascii="宋体" w:hAnsi="宋体" w:eastAsia="宋体"/>
          <w:b/>
          <w:bCs/>
          <w:sz w:val="21"/>
          <w:szCs w:val="21"/>
        </w:rPr>
      </w:pPr>
      <w:bookmarkStart w:id="650" w:name="_Toc466298122"/>
      <w:bookmarkEnd w:id="650"/>
      <w:bookmarkStart w:id="651" w:name="_Toc18985"/>
      <w:bookmarkEnd w:id="651"/>
      <w:bookmarkStart w:id="652" w:name="_Toc9808"/>
      <w:bookmarkEnd w:id="652"/>
      <w:bookmarkStart w:id="653" w:name="_Toc22250"/>
      <w:bookmarkEnd w:id="653"/>
      <w:bookmarkStart w:id="654" w:name="_Toc490667859"/>
      <w:bookmarkEnd w:id="654"/>
      <w:bookmarkStart w:id="655" w:name="_Toc509667290"/>
      <w:bookmarkEnd w:id="655"/>
      <w:bookmarkStart w:id="656" w:name="_Toc455080139"/>
      <w:bookmarkEnd w:id="656"/>
      <w:bookmarkStart w:id="657" w:name="_Toc26098"/>
      <w:bookmarkEnd w:id="657"/>
      <w:bookmarkStart w:id="658" w:name="_Toc455867799"/>
      <w:bookmarkEnd w:id="658"/>
      <w:bookmarkStart w:id="659" w:name="_Toc318450706"/>
      <w:bookmarkEnd w:id="659"/>
      <w:bookmarkStart w:id="660" w:name="_Toc144974531"/>
      <w:bookmarkEnd w:id="660"/>
      <w:bookmarkStart w:id="661" w:name="_Toc1574"/>
      <w:bookmarkEnd w:id="661"/>
      <w:bookmarkStart w:id="662" w:name="_Toc152042339"/>
      <w:bookmarkEnd w:id="662"/>
      <w:bookmarkStart w:id="663" w:name="_Toc152045563"/>
      <w:bookmarkEnd w:id="663"/>
      <w:bookmarkStart w:id="664" w:name="_Toc1546"/>
      <w:bookmarkStart w:id="665" w:name="_Toc19107"/>
      <w:bookmarkStart w:id="666" w:name="_Toc7092"/>
      <w:bookmarkStart w:id="667" w:name="_Toc129073489"/>
      <w:bookmarkStart w:id="668" w:name="_Toc26340"/>
      <w:bookmarkStart w:id="669" w:name="_Toc28471"/>
      <w:r>
        <w:rPr>
          <w:rFonts w:hint="eastAsia" w:ascii="宋体" w:hAnsi="宋体" w:eastAsia="宋体"/>
          <w:b/>
          <w:bCs/>
          <w:sz w:val="21"/>
          <w:szCs w:val="21"/>
        </w:rPr>
        <w:t>6.1</w:t>
      </w:r>
      <w:bookmarkEnd w:id="664"/>
      <w:r>
        <w:rPr>
          <w:rFonts w:hint="eastAsia" w:ascii="宋体" w:hAnsi="宋体" w:eastAsia="宋体"/>
          <w:b/>
          <w:bCs/>
          <w:sz w:val="21"/>
          <w:szCs w:val="21"/>
        </w:rPr>
        <w:t>磋商小组</w:t>
      </w:r>
      <w:bookmarkEnd w:id="665"/>
      <w:bookmarkEnd w:id="666"/>
      <w:bookmarkEnd w:id="667"/>
      <w:bookmarkEnd w:id="668"/>
      <w:bookmarkEnd w:id="669"/>
    </w:p>
    <w:p w14:paraId="3A8F097D">
      <w:pPr>
        <w:spacing w:line="360" w:lineRule="auto"/>
        <w:ind w:firstLine="420" w:firstLineChars="200"/>
        <w:rPr>
          <w:rFonts w:ascii="宋体" w:hAnsi="宋体"/>
        </w:rPr>
      </w:pPr>
      <w:r>
        <w:rPr>
          <w:rFonts w:hint="eastAsia" w:ascii="宋体" w:hAnsi="宋体"/>
        </w:rPr>
        <w:t>6.1.1 磋商由采购人依法组建的磋商小组负责。磋商小组由采购人代表以及有关专家组成。磋商小组成员人数以及专家的确定方式见供应商须知前附表。</w:t>
      </w:r>
    </w:p>
    <w:p w14:paraId="79A61DC7">
      <w:pPr>
        <w:spacing w:line="360" w:lineRule="auto"/>
        <w:ind w:firstLine="420" w:firstLineChars="200"/>
        <w:rPr>
          <w:rFonts w:ascii="宋体" w:hAnsi="宋体"/>
        </w:rPr>
      </w:pPr>
      <w:r>
        <w:rPr>
          <w:rFonts w:hint="eastAsia" w:ascii="宋体" w:hAnsi="宋体"/>
        </w:rPr>
        <w:t>6.1.2评审专家与参加采购活动的供应商存在下列利害关系之一的，应当回避：</w:t>
      </w:r>
    </w:p>
    <w:p w14:paraId="2A0B0445">
      <w:pPr>
        <w:spacing w:line="360" w:lineRule="auto"/>
        <w:ind w:firstLine="420" w:firstLineChars="200"/>
        <w:rPr>
          <w:rFonts w:ascii="宋体" w:hAnsi="宋体"/>
        </w:rPr>
      </w:pPr>
      <w:r>
        <w:rPr>
          <w:rFonts w:hint="eastAsia" w:ascii="宋体" w:hAnsi="宋体"/>
        </w:rPr>
        <w:t>(一)参加采购活动前三年内,与供应商存在劳动关系，或者担任过供应商的董事、监事，或者是供应商的控股股东或实际控制人；</w:t>
      </w:r>
    </w:p>
    <w:p w14:paraId="156789A3">
      <w:pPr>
        <w:spacing w:line="360" w:lineRule="auto"/>
        <w:ind w:firstLine="420" w:firstLineChars="200"/>
        <w:rPr>
          <w:rFonts w:ascii="宋体" w:hAnsi="宋体"/>
        </w:rPr>
      </w:pPr>
      <w:r>
        <w:rPr>
          <w:rFonts w:hint="eastAsia" w:ascii="宋体" w:hAnsi="宋体"/>
        </w:rPr>
        <w:t>(二)与供应商的法定代表人或者负责人有夫妻、直系血亲、三代以内旁系血亲或者近姻亲关系；</w:t>
      </w:r>
    </w:p>
    <w:p w14:paraId="28A5E09C">
      <w:pPr>
        <w:spacing w:line="360" w:lineRule="auto"/>
        <w:ind w:firstLine="420" w:firstLineChars="200"/>
        <w:rPr>
          <w:rFonts w:ascii="宋体" w:hAnsi="宋体"/>
        </w:rPr>
      </w:pPr>
      <w:r>
        <w:rPr>
          <w:rFonts w:hint="eastAsia" w:ascii="宋体" w:hAnsi="宋体"/>
        </w:rPr>
        <w:t>(三)与供应商有其他可能影响政府采购活动公平、公正进行的关系。</w:t>
      </w:r>
    </w:p>
    <w:p w14:paraId="40BE0792">
      <w:pPr>
        <w:spacing w:line="360" w:lineRule="auto"/>
        <w:ind w:firstLine="420" w:firstLineChars="200"/>
        <w:rPr>
          <w:rFonts w:ascii="宋体" w:hAnsi="宋体"/>
        </w:rPr>
      </w:pPr>
      <w:r>
        <w:rPr>
          <w:rFonts w:hint="eastAsia" w:ascii="宋体" w:hAnsi="宋体"/>
        </w:rPr>
        <w:t>评审专家发现本人与参加采购活动的供应商有利害关系的，应当主动提出回避。采购人或者采购代理机构发现评审专家与参加采购活动的供应商有利害关系的，应当要求其回避。</w:t>
      </w:r>
    </w:p>
    <w:p w14:paraId="4DE723E7">
      <w:pPr>
        <w:spacing w:line="360" w:lineRule="auto"/>
        <w:ind w:firstLine="420" w:firstLineChars="200"/>
        <w:rPr>
          <w:rFonts w:ascii="宋体" w:hAnsi="宋体"/>
        </w:rPr>
      </w:pPr>
      <w:r>
        <w:rPr>
          <w:rFonts w:hint="eastAsia" w:ascii="宋体" w:hAnsi="宋体"/>
        </w:rPr>
        <w:t>6.1.3磋商小组履行下列义务：</w:t>
      </w:r>
    </w:p>
    <w:p w14:paraId="6D92B295">
      <w:pPr>
        <w:spacing w:line="360" w:lineRule="auto"/>
        <w:ind w:firstLine="420" w:firstLineChars="200"/>
        <w:rPr>
          <w:rFonts w:ascii="宋体" w:hAnsi="宋体"/>
        </w:rPr>
      </w:pPr>
      <w:r>
        <w:rPr>
          <w:rFonts w:hint="eastAsia" w:ascii="宋体" w:hAnsi="宋体"/>
        </w:rPr>
        <w:t>（1）遵纪守法，客观、公正、廉洁地履行职责；</w:t>
      </w:r>
    </w:p>
    <w:p w14:paraId="46804EF6">
      <w:pPr>
        <w:spacing w:line="360" w:lineRule="auto"/>
        <w:ind w:firstLine="420" w:firstLineChars="200"/>
        <w:rPr>
          <w:rFonts w:ascii="宋体" w:hAnsi="宋体"/>
        </w:rPr>
      </w:pPr>
      <w:r>
        <w:rPr>
          <w:rFonts w:hint="eastAsia" w:ascii="宋体" w:hAnsi="宋体"/>
        </w:rPr>
        <w:t>（2）根据竞争性磋商文件的规定独立进行评审，对个人的评审意见承担法律责任；</w:t>
      </w:r>
    </w:p>
    <w:p w14:paraId="5687F56C">
      <w:pPr>
        <w:spacing w:line="360" w:lineRule="auto"/>
        <w:ind w:firstLine="420" w:firstLineChars="200"/>
        <w:rPr>
          <w:rFonts w:ascii="宋体" w:hAnsi="宋体"/>
        </w:rPr>
      </w:pPr>
      <w:r>
        <w:rPr>
          <w:rFonts w:hint="eastAsia" w:ascii="宋体" w:hAnsi="宋体"/>
        </w:rPr>
        <w:t>（3）参与评审报告的起草；</w:t>
      </w:r>
    </w:p>
    <w:p w14:paraId="5D4440B7">
      <w:pPr>
        <w:spacing w:line="360" w:lineRule="auto"/>
        <w:ind w:firstLine="420" w:firstLineChars="200"/>
        <w:rPr>
          <w:rFonts w:ascii="宋体" w:hAnsi="宋体"/>
        </w:rPr>
      </w:pPr>
      <w:r>
        <w:rPr>
          <w:rFonts w:hint="eastAsia" w:ascii="宋体" w:hAnsi="宋体"/>
        </w:rPr>
        <w:t>（4）配合采购人、采购代理机构答复供应商提出的质疑；</w:t>
      </w:r>
    </w:p>
    <w:p w14:paraId="556D042C">
      <w:pPr>
        <w:spacing w:line="360" w:lineRule="auto"/>
        <w:ind w:firstLine="420" w:firstLineChars="200"/>
        <w:rPr>
          <w:rFonts w:ascii="宋体" w:hAnsi="宋体"/>
        </w:rPr>
      </w:pPr>
      <w:r>
        <w:rPr>
          <w:rFonts w:hint="eastAsia" w:ascii="宋体" w:hAnsi="宋体"/>
        </w:rPr>
        <w:t>（5）配合监督部门的投诉处理和监督检查工作。</w:t>
      </w:r>
    </w:p>
    <w:p w14:paraId="7BC4CE24">
      <w:pPr>
        <w:spacing w:line="360" w:lineRule="auto"/>
        <w:ind w:firstLine="420" w:firstLineChars="200"/>
        <w:rPr>
          <w:rFonts w:ascii="宋体" w:hAnsi="宋体"/>
        </w:rPr>
      </w:pPr>
      <w:r>
        <w:rPr>
          <w:rFonts w:hint="eastAsia" w:ascii="宋体" w:hAnsi="宋体"/>
        </w:rPr>
        <w:t>6.1.4评标过程中，磋商小组成员有回避事由、擅离职守或者因健康等原因不能继续评审的，采购人有权更换。被更换的磋商小组成员作出的评审结论无效，由更换后的磋商小组成员重新进行评审。</w:t>
      </w:r>
    </w:p>
    <w:p w14:paraId="0A5BF9CA">
      <w:pPr>
        <w:pStyle w:val="59"/>
        <w:keepNext w:val="0"/>
        <w:keepLines w:val="0"/>
        <w:spacing w:line="360" w:lineRule="auto"/>
        <w:ind w:firstLine="422" w:firstLineChars="200"/>
        <w:rPr>
          <w:rFonts w:ascii="宋体" w:hAnsi="宋体" w:eastAsia="宋体"/>
          <w:b/>
          <w:bCs/>
          <w:sz w:val="21"/>
          <w:szCs w:val="21"/>
        </w:rPr>
      </w:pPr>
      <w:bookmarkStart w:id="670" w:name="_Toc22143"/>
      <w:bookmarkEnd w:id="670"/>
      <w:bookmarkStart w:id="671" w:name="_Toc152045564"/>
      <w:bookmarkEnd w:id="671"/>
      <w:bookmarkStart w:id="672" w:name="_Toc4435"/>
      <w:bookmarkEnd w:id="672"/>
      <w:bookmarkStart w:id="673" w:name="_Toc152042340"/>
      <w:bookmarkEnd w:id="673"/>
      <w:bookmarkStart w:id="674" w:name="_Toc466298123"/>
      <w:bookmarkEnd w:id="674"/>
      <w:bookmarkStart w:id="675" w:name="_Toc509667291"/>
      <w:bookmarkEnd w:id="675"/>
      <w:bookmarkStart w:id="676" w:name="_Toc455080140"/>
      <w:bookmarkEnd w:id="676"/>
      <w:bookmarkStart w:id="677" w:name="_Toc490667860"/>
      <w:bookmarkEnd w:id="677"/>
      <w:bookmarkStart w:id="678" w:name="_Toc25721"/>
      <w:bookmarkEnd w:id="678"/>
      <w:bookmarkStart w:id="679" w:name="_Toc455867800"/>
      <w:bookmarkEnd w:id="679"/>
      <w:bookmarkStart w:id="680" w:name="_Toc144974532"/>
      <w:bookmarkEnd w:id="680"/>
      <w:bookmarkStart w:id="681" w:name="_Toc318450707"/>
      <w:bookmarkEnd w:id="681"/>
      <w:bookmarkStart w:id="682" w:name="_Toc21102"/>
      <w:bookmarkEnd w:id="682"/>
      <w:bookmarkStart w:id="683" w:name="_Toc8248"/>
      <w:bookmarkEnd w:id="683"/>
      <w:bookmarkStart w:id="684" w:name="_Toc26637"/>
      <w:bookmarkStart w:id="685" w:name="_Toc8240"/>
      <w:bookmarkStart w:id="686" w:name="_Toc11456"/>
      <w:bookmarkStart w:id="687" w:name="_Toc24346"/>
      <w:bookmarkStart w:id="688" w:name="_Toc129073490"/>
      <w:bookmarkStart w:id="689" w:name="_Toc13472"/>
      <w:r>
        <w:rPr>
          <w:rFonts w:hint="eastAsia" w:ascii="宋体" w:hAnsi="宋体" w:eastAsia="宋体"/>
          <w:b/>
          <w:bCs/>
          <w:sz w:val="21"/>
          <w:szCs w:val="21"/>
        </w:rPr>
        <w:t>6.2 磋商原则</w:t>
      </w:r>
      <w:bookmarkEnd w:id="684"/>
      <w:bookmarkEnd w:id="685"/>
      <w:bookmarkEnd w:id="686"/>
      <w:bookmarkEnd w:id="687"/>
      <w:bookmarkEnd w:id="688"/>
      <w:bookmarkEnd w:id="689"/>
    </w:p>
    <w:p w14:paraId="50DFC288">
      <w:pPr>
        <w:spacing w:line="360" w:lineRule="auto"/>
        <w:ind w:firstLine="420" w:firstLineChars="200"/>
        <w:rPr>
          <w:rFonts w:ascii="宋体" w:hAnsi="宋体"/>
        </w:rPr>
      </w:pPr>
      <w:r>
        <w:rPr>
          <w:rFonts w:hint="eastAsia" w:ascii="宋体" w:hAnsi="宋体"/>
        </w:rPr>
        <w:t>磋商活动遵循客观、公正、审慎的原则。</w:t>
      </w:r>
    </w:p>
    <w:p w14:paraId="36F19D0E">
      <w:pPr>
        <w:pStyle w:val="59"/>
        <w:keepNext w:val="0"/>
        <w:keepLines w:val="0"/>
        <w:spacing w:line="360" w:lineRule="auto"/>
        <w:ind w:firstLine="422" w:firstLineChars="200"/>
        <w:rPr>
          <w:rFonts w:ascii="宋体" w:hAnsi="宋体" w:eastAsia="宋体"/>
          <w:b/>
          <w:bCs/>
          <w:sz w:val="21"/>
          <w:szCs w:val="21"/>
        </w:rPr>
      </w:pPr>
      <w:bookmarkStart w:id="690" w:name="_Toc27036"/>
      <w:bookmarkEnd w:id="690"/>
      <w:bookmarkStart w:id="691" w:name="_Toc509667292"/>
      <w:bookmarkEnd w:id="691"/>
      <w:bookmarkStart w:id="692" w:name="_Toc15595"/>
      <w:bookmarkEnd w:id="692"/>
      <w:bookmarkStart w:id="693" w:name="_Toc152045565"/>
      <w:bookmarkEnd w:id="693"/>
      <w:bookmarkStart w:id="694" w:name="_Toc152042341"/>
      <w:bookmarkEnd w:id="694"/>
      <w:bookmarkStart w:id="695" w:name="_Toc18756"/>
      <w:bookmarkEnd w:id="695"/>
      <w:bookmarkStart w:id="696" w:name="_Toc466298124"/>
      <w:bookmarkEnd w:id="696"/>
      <w:bookmarkStart w:id="697" w:name="_Toc455080141"/>
      <w:bookmarkEnd w:id="697"/>
      <w:bookmarkStart w:id="698" w:name="_Toc8705"/>
      <w:bookmarkEnd w:id="698"/>
      <w:bookmarkStart w:id="699" w:name="_Toc318450708"/>
      <w:bookmarkEnd w:id="699"/>
      <w:bookmarkStart w:id="700" w:name="_Toc455867801"/>
      <w:bookmarkEnd w:id="700"/>
      <w:bookmarkStart w:id="701" w:name="_Toc16725"/>
      <w:bookmarkEnd w:id="701"/>
      <w:bookmarkStart w:id="702" w:name="_Toc24358"/>
      <w:bookmarkEnd w:id="702"/>
      <w:bookmarkStart w:id="703" w:name="_Toc144974533"/>
      <w:bookmarkEnd w:id="703"/>
      <w:bookmarkStart w:id="704" w:name="_Toc129073491"/>
      <w:bookmarkStart w:id="705" w:name="_Toc490667861"/>
      <w:bookmarkStart w:id="706" w:name="_Toc159"/>
      <w:bookmarkStart w:id="707" w:name="_Toc12976"/>
      <w:bookmarkStart w:id="708" w:name="_Toc17205"/>
      <w:bookmarkStart w:id="709" w:name="_Toc10123"/>
      <w:r>
        <w:rPr>
          <w:rFonts w:hint="eastAsia" w:ascii="宋体" w:hAnsi="宋体" w:eastAsia="宋体"/>
          <w:b/>
          <w:bCs/>
          <w:sz w:val="21"/>
          <w:szCs w:val="21"/>
        </w:rPr>
        <w:t>6.3</w:t>
      </w:r>
      <w:bookmarkEnd w:id="704"/>
      <w:bookmarkEnd w:id="705"/>
      <w:r>
        <w:rPr>
          <w:rFonts w:hint="eastAsia" w:ascii="宋体" w:hAnsi="宋体" w:eastAsia="宋体"/>
          <w:b/>
          <w:bCs/>
          <w:sz w:val="21"/>
          <w:szCs w:val="21"/>
        </w:rPr>
        <w:t>磋商</w:t>
      </w:r>
      <w:bookmarkEnd w:id="706"/>
      <w:bookmarkEnd w:id="707"/>
      <w:bookmarkEnd w:id="708"/>
      <w:bookmarkEnd w:id="709"/>
    </w:p>
    <w:p w14:paraId="27A650DC">
      <w:pPr>
        <w:pStyle w:val="59"/>
        <w:keepNext w:val="0"/>
        <w:keepLines w:val="0"/>
        <w:spacing w:line="360" w:lineRule="auto"/>
        <w:ind w:firstLine="420" w:firstLineChars="200"/>
        <w:outlineLvl w:val="9"/>
        <w:rPr>
          <w:rFonts w:ascii="宋体" w:hAnsi="宋体" w:eastAsia="宋体"/>
          <w:sz w:val="21"/>
          <w:szCs w:val="21"/>
        </w:rPr>
      </w:pPr>
      <w:bookmarkStart w:id="710" w:name="_Toc31190"/>
      <w:r>
        <w:rPr>
          <w:rFonts w:hint="eastAsia" w:ascii="宋体" w:hAnsi="宋体" w:eastAsia="宋体"/>
          <w:sz w:val="21"/>
          <w:szCs w:val="21"/>
        </w:rPr>
        <w:t>6.3.1磋商小组按照第三章“评标办法”规定的方法、评审因素、标准和程序对响应文件进行评审。第三章“评标办法”没有规定的方法、评审因素和标准，不作为评标依据。</w:t>
      </w:r>
      <w:bookmarkEnd w:id="710"/>
    </w:p>
    <w:p w14:paraId="61144D79">
      <w:pPr>
        <w:pStyle w:val="59"/>
        <w:keepNext w:val="0"/>
        <w:keepLines w:val="0"/>
        <w:spacing w:line="360" w:lineRule="auto"/>
        <w:ind w:firstLine="420" w:firstLineChars="200"/>
        <w:outlineLvl w:val="9"/>
        <w:rPr>
          <w:rFonts w:ascii="宋体" w:hAnsi="宋体" w:eastAsia="宋体"/>
          <w:sz w:val="21"/>
          <w:szCs w:val="21"/>
        </w:rPr>
      </w:pPr>
      <w:bookmarkStart w:id="711" w:name="_Toc19699"/>
      <w:r>
        <w:rPr>
          <w:rFonts w:hint="eastAsia" w:ascii="宋体" w:hAnsi="宋体" w:eastAsia="宋体"/>
          <w:sz w:val="21"/>
          <w:szCs w:val="21"/>
        </w:rPr>
        <w:t>6.3.2磋商过程中，磋商小组可以根据竞争性磋商文件和磋商情况实质性变动采购需求中的技术、服务要求以及合同草案条款，但不得变动竞争性磋商文件中的其他内容。实质性变动的内容，须经采购人代表确认。该变动是竞争性磋商文件的有效组成部分。对竞争性磋商文件作出的实质性变动是竞争性磋商文件的有效组成部分，磋商小组以书面形式同时通知所有参加磋商的供应商，并要求所有实质性响应的供应商在规定时间内提交最后报价，未提交最终报价的作为无效响应处理。提交最终报价的供应商不得少于3家。</w:t>
      </w:r>
      <w:bookmarkEnd w:id="711"/>
    </w:p>
    <w:p w14:paraId="0CD04DDB">
      <w:pPr>
        <w:pStyle w:val="59"/>
        <w:keepNext w:val="0"/>
        <w:keepLines w:val="0"/>
        <w:spacing w:line="360" w:lineRule="auto"/>
        <w:ind w:firstLine="420" w:firstLineChars="200"/>
        <w:outlineLvl w:val="9"/>
        <w:rPr>
          <w:rFonts w:ascii="宋体" w:hAnsi="宋体" w:eastAsia="宋体"/>
          <w:sz w:val="21"/>
          <w:szCs w:val="21"/>
        </w:rPr>
      </w:pPr>
      <w:bookmarkStart w:id="712" w:name="_Toc32675"/>
      <w:r>
        <w:rPr>
          <w:rFonts w:hint="eastAsia" w:ascii="宋体" w:hAnsi="宋体" w:eastAsia="宋体"/>
          <w:sz w:val="21"/>
          <w:szCs w:val="21"/>
        </w:rPr>
        <w:t>6.3.3已提交响应文件的供应商，在提交最后报价之前，可以根据磋商情况退出磋商。</w:t>
      </w:r>
      <w:bookmarkEnd w:id="712"/>
    </w:p>
    <w:p w14:paraId="60BB0776">
      <w:pPr>
        <w:pStyle w:val="59"/>
        <w:keepNext w:val="0"/>
        <w:keepLines w:val="0"/>
        <w:spacing w:line="360" w:lineRule="auto"/>
        <w:ind w:firstLine="420" w:firstLineChars="200"/>
        <w:outlineLvl w:val="9"/>
        <w:rPr>
          <w:rFonts w:ascii="宋体" w:hAnsi="宋体" w:eastAsia="宋体"/>
          <w:sz w:val="21"/>
          <w:szCs w:val="21"/>
        </w:rPr>
      </w:pPr>
      <w:bookmarkStart w:id="713" w:name="_Toc12910"/>
      <w:r>
        <w:rPr>
          <w:rFonts w:hint="eastAsia" w:ascii="宋体" w:hAnsi="宋体" w:eastAsia="宋体"/>
          <w:sz w:val="21"/>
          <w:szCs w:val="21"/>
        </w:rPr>
        <w:t>6.3.4经磋商确定最终采购需求和提交最后报价的供应商后，由磋商小组采用综合评分法对提交最后报价的供应商的响应文件和最后报价进行综合评分。</w:t>
      </w:r>
      <w:bookmarkEnd w:id="713"/>
    </w:p>
    <w:p w14:paraId="01A2E494">
      <w:pPr>
        <w:pStyle w:val="59"/>
        <w:keepNext w:val="0"/>
        <w:keepLines w:val="0"/>
        <w:spacing w:line="360" w:lineRule="auto"/>
        <w:ind w:firstLine="420" w:firstLineChars="200"/>
        <w:outlineLvl w:val="9"/>
        <w:rPr>
          <w:rFonts w:ascii="宋体" w:hAnsi="宋体" w:eastAsia="宋体"/>
          <w:sz w:val="21"/>
          <w:szCs w:val="21"/>
        </w:rPr>
      </w:pPr>
      <w:bookmarkStart w:id="714" w:name="_Toc3244"/>
      <w:r>
        <w:rPr>
          <w:rFonts w:hint="eastAsia" w:ascii="宋体" w:hAnsi="宋体" w:eastAsia="宋体"/>
          <w:sz w:val="21"/>
          <w:szCs w:val="21"/>
        </w:rPr>
        <w:t>6.3.5评审完成后，磋商小组应当向采购人提交书面评标报告和成交候选供应商名单。磋商小组推荐成交候选供应商数量见供应商须知前附表。</w:t>
      </w:r>
      <w:bookmarkEnd w:id="714"/>
    </w:p>
    <w:p w14:paraId="20D2D8C2">
      <w:pPr>
        <w:pStyle w:val="58"/>
        <w:ind w:firstLine="420"/>
      </w:pPr>
      <w:bookmarkStart w:id="715" w:name="_Toc509667293"/>
      <w:bookmarkEnd w:id="715"/>
      <w:bookmarkStart w:id="716" w:name="_Toc152042342"/>
      <w:bookmarkEnd w:id="716"/>
      <w:bookmarkStart w:id="717" w:name="_Toc455080142"/>
      <w:bookmarkEnd w:id="717"/>
      <w:bookmarkStart w:id="718" w:name="_Toc144974534"/>
      <w:bookmarkEnd w:id="718"/>
      <w:bookmarkStart w:id="719" w:name="_Toc152045566"/>
      <w:bookmarkEnd w:id="719"/>
      <w:bookmarkStart w:id="720" w:name="_Toc20633"/>
      <w:bookmarkStart w:id="721" w:name="_Toc25268"/>
      <w:bookmarkStart w:id="722" w:name="_Toc3314"/>
      <w:bookmarkStart w:id="723" w:name="_Toc27580"/>
      <w:bookmarkStart w:id="724" w:name="_Toc14781"/>
      <w:bookmarkStart w:id="725" w:name="_Toc19595"/>
      <w:bookmarkStart w:id="726" w:name="_Toc2213"/>
      <w:bookmarkStart w:id="727" w:name="_Toc16704"/>
      <w:bookmarkStart w:id="728" w:name="_Toc2433"/>
      <w:bookmarkStart w:id="729" w:name="_Toc27782"/>
      <w:bookmarkStart w:id="730" w:name="_Toc20034"/>
      <w:bookmarkStart w:id="731" w:name="_Toc129073493"/>
      <w:r>
        <w:rPr>
          <w:rFonts w:hint="eastAsia"/>
        </w:rPr>
        <w:t>7. 合同授予</w:t>
      </w:r>
      <w:bookmarkEnd w:id="720"/>
      <w:bookmarkEnd w:id="721"/>
      <w:bookmarkEnd w:id="722"/>
      <w:bookmarkEnd w:id="723"/>
      <w:bookmarkEnd w:id="724"/>
      <w:bookmarkEnd w:id="725"/>
      <w:bookmarkEnd w:id="726"/>
      <w:bookmarkEnd w:id="727"/>
      <w:bookmarkEnd w:id="728"/>
      <w:bookmarkEnd w:id="729"/>
      <w:bookmarkEnd w:id="730"/>
      <w:bookmarkEnd w:id="731"/>
    </w:p>
    <w:p w14:paraId="2DFE1283">
      <w:pPr>
        <w:pStyle w:val="59"/>
        <w:keepNext w:val="0"/>
        <w:keepLines w:val="0"/>
        <w:spacing w:line="360" w:lineRule="auto"/>
        <w:ind w:firstLine="422" w:firstLineChars="200"/>
        <w:rPr>
          <w:rFonts w:ascii="宋体" w:hAnsi="宋体" w:eastAsia="宋体"/>
          <w:b/>
          <w:bCs/>
          <w:sz w:val="21"/>
          <w:szCs w:val="21"/>
        </w:rPr>
      </w:pPr>
      <w:bookmarkStart w:id="732" w:name="_Toc455080143"/>
      <w:bookmarkEnd w:id="732"/>
      <w:bookmarkStart w:id="733" w:name="_Toc490667863"/>
      <w:bookmarkEnd w:id="733"/>
      <w:bookmarkStart w:id="734" w:name="_Toc509667294"/>
      <w:bookmarkEnd w:id="734"/>
      <w:bookmarkStart w:id="735" w:name="_Toc318450710"/>
      <w:bookmarkEnd w:id="735"/>
      <w:bookmarkStart w:id="736" w:name="_Toc14528"/>
      <w:bookmarkEnd w:id="736"/>
      <w:bookmarkStart w:id="737" w:name="_Toc455867803"/>
      <w:bookmarkEnd w:id="737"/>
      <w:bookmarkStart w:id="738" w:name="_Toc466298126"/>
      <w:bookmarkEnd w:id="738"/>
      <w:bookmarkStart w:id="739" w:name="_Toc29664"/>
      <w:bookmarkEnd w:id="739"/>
      <w:bookmarkStart w:id="740" w:name="_Toc144974535"/>
      <w:bookmarkEnd w:id="740"/>
      <w:bookmarkStart w:id="741" w:name="_Toc152042343"/>
      <w:bookmarkEnd w:id="741"/>
      <w:bookmarkStart w:id="742" w:name="_Toc11409"/>
      <w:bookmarkEnd w:id="742"/>
      <w:bookmarkStart w:id="743" w:name="_Toc152045567"/>
      <w:bookmarkEnd w:id="743"/>
      <w:bookmarkStart w:id="744" w:name="_Toc7358"/>
      <w:bookmarkEnd w:id="744"/>
      <w:bookmarkStart w:id="745" w:name="_Toc28919"/>
      <w:bookmarkEnd w:id="745"/>
      <w:bookmarkStart w:id="746" w:name="_Toc28142"/>
      <w:bookmarkStart w:id="747" w:name="_Toc17934"/>
      <w:bookmarkStart w:id="748" w:name="_Toc19462"/>
      <w:bookmarkStart w:id="749" w:name="_Toc25316"/>
      <w:bookmarkStart w:id="750" w:name="_Toc16628"/>
      <w:bookmarkStart w:id="751" w:name="_Toc129073494"/>
      <w:r>
        <w:rPr>
          <w:rFonts w:hint="eastAsia" w:ascii="宋体" w:hAnsi="宋体" w:eastAsia="宋体"/>
          <w:b/>
          <w:bCs/>
          <w:sz w:val="21"/>
          <w:szCs w:val="21"/>
        </w:rPr>
        <w:t>7.1 定标方式</w:t>
      </w:r>
      <w:bookmarkEnd w:id="746"/>
      <w:bookmarkEnd w:id="747"/>
      <w:bookmarkEnd w:id="748"/>
      <w:bookmarkEnd w:id="749"/>
      <w:bookmarkEnd w:id="750"/>
      <w:bookmarkEnd w:id="751"/>
    </w:p>
    <w:p w14:paraId="3077F593">
      <w:pPr>
        <w:spacing w:line="360" w:lineRule="auto"/>
        <w:ind w:firstLine="420" w:firstLineChars="200"/>
        <w:rPr>
          <w:rFonts w:ascii="宋体" w:hAnsi="宋体"/>
        </w:rPr>
      </w:pPr>
      <w:bookmarkStart w:id="752" w:name="_Toc28254"/>
      <w:bookmarkEnd w:id="752"/>
      <w:bookmarkStart w:id="753" w:name="_Toc152045568"/>
      <w:bookmarkEnd w:id="753"/>
      <w:bookmarkStart w:id="754" w:name="_Toc152042344"/>
      <w:bookmarkEnd w:id="754"/>
      <w:bookmarkStart w:id="755" w:name="_Toc318450711"/>
      <w:bookmarkEnd w:id="755"/>
      <w:bookmarkStart w:id="756" w:name="_Toc7066"/>
      <w:bookmarkEnd w:id="756"/>
      <w:bookmarkStart w:id="757" w:name="_Toc144974536"/>
      <w:bookmarkEnd w:id="757"/>
      <w:bookmarkStart w:id="758" w:name="_Toc10868"/>
      <w:r>
        <w:rPr>
          <w:rFonts w:hint="eastAsia" w:ascii="宋体" w:hAnsi="宋体"/>
        </w:rPr>
        <w:t>除供应商须知前附表规定磋商小组直接确定成交人外，采购人依据磋商小组推荐的成交候选人确定成交人，磋商小组推荐成交候选人的人数见供应商须知前附表。采购人将依序确定排名第一的供应商为成交人，成交供应商拒绝与采购人签订合同的，采购人可以按照评审报告推荐的中标或者成交候选人名单排序，确定下一候选人为中标或者成交供应商，也可以重新开展政府采购活动。</w:t>
      </w:r>
      <w:bookmarkEnd w:id="758"/>
    </w:p>
    <w:p w14:paraId="40BD2DD9">
      <w:pPr>
        <w:spacing w:line="440" w:lineRule="exact"/>
        <w:ind w:firstLine="422" w:firstLineChars="200"/>
        <w:textAlignment w:val="baseline"/>
        <w:rPr>
          <w:rStyle w:val="70"/>
          <w:rFonts w:ascii="宋体" w:hAnsi="宋体" w:cs="宋体"/>
          <w:b/>
          <w:bCs/>
        </w:rPr>
      </w:pPr>
      <w:bookmarkStart w:id="759" w:name="_Toc509667297"/>
      <w:bookmarkEnd w:id="759"/>
      <w:bookmarkStart w:id="760" w:name="_Toc9897"/>
      <w:bookmarkEnd w:id="760"/>
      <w:bookmarkStart w:id="761" w:name="_Toc144974542"/>
      <w:bookmarkEnd w:id="761"/>
      <w:bookmarkStart w:id="762" w:name="_Toc5428"/>
      <w:bookmarkEnd w:id="762"/>
      <w:bookmarkStart w:id="763" w:name="_Toc31386"/>
      <w:bookmarkEnd w:id="763"/>
      <w:bookmarkStart w:id="764" w:name="_Toc455867804"/>
      <w:bookmarkEnd w:id="764"/>
      <w:bookmarkStart w:id="765" w:name="_Toc455080146"/>
      <w:bookmarkEnd w:id="765"/>
      <w:bookmarkStart w:id="766" w:name="_Toc490667864"/>
      <w:bookmarkEnd w:id="766"/>
      <w:bookmarkStart w:id="767" w:name="_Toc466298127"/>
      <w:bookmarkEnd w:id="767"/>
      <w:bookmarkStart w:id="768" w:name="_Toc152045574"/>
      <w:bookmarkEnd w:id="768"/>
      <w:bookmarkStart w:id="769" w:name="_Toc15825"/>
      <w:bookmarkEnd w:id="769"/>
      <w:bookmarkStart w:id="770" w:name="_Toc152042350"/>
      <w:bookmarkEnd w:id="770"/>
      <w:bookmarkStart w:id="771" w:name="_Toc455080144"/>
      <w:bookmarkEnd w:id="771"/>
      <w:bookmarkStart w:id="772" w:name="_Toc129073498"/>
      <w:r>
        <w:rPr>
          <w:rStyle w:val="70"/>
          <w:rFonts w:hint="eastAsia" w:ascii="宋体" w:hAnsi="宋体" w:cs="宋体"/>
          <w:b/>
          <w:bCs/>
        </w:rPr>
        <w:t>7.2成交公告及成交通知</w:t>
      </w:r>
    </w:p>
    <w:p w14:paraId="30E697DD">
      <w:pPr>
        <w:spacing w:line="440" w:lineRule="exact"/>
        <w:ind w:firstLine="420" w:firstLineChars="200"/>
        <w:textAlignment w:val="baseline"/>
        <w:rPr>
          <w:rStyle w:val="70"/>
          <w:rFonts w:ascii="宋体" w:hAnsi="宋体" w:cs="宋体"/>
        </w:rPr>
      </w:pPr>
      <w:r>
        <w:rPr>
          <w:rFonts w:hint="eastAsia" w:ascii="宋体" w:hAnsi="宋体" w:cs="宋体"/>
        </w:rPr>
        <w:t>采购代理机构应当自评审结束之日起 2 个工作日内将评审报告送交采购人。采购人应当自收到评审报告之日起 5 个工作日内按评审报告中推荐的成交候选人顺序确定成交人。采购人或者采购代理机构应当自成交人确定之日起 2 个工作日内在省级以上人民政府财政部门指定的媒体上公告成交结果。</w:t>
      </w:r>
    </w:p>
    <w:p w14:paraId="701B8CCB">
      <w:pPr>
        <w:spacing w:line="440" w:lineRule="exact"/>
        <w:ind w:firstLine="420" w:firstLineChars="200"/>
        <w:textAlignment w:val="baseline"/>
        <w:rPr>
          <w:rStyle w:val="70"/>
          <w:rFonts w:ascii="宋体" w:hAnsi="宋体" w:cs="宋体"/>
          <w:kern w:val="0"/>
        </w:rPr>
      </w:pPr>
      <w:r>
        <w:rPr>
          <w:rStyle w:val="70"/>
          <w:rFonts w:hint="eastAsia" w:ascii="宋体" w:hAnsi="宋体" w:cs="宋体"/>
          <w:kern w:val="0"/>
        </w:rPr>
        <w:t>在公告成交结果的同时，采购人或者采购代理机构应当向成交供应商发出成交通知书，对未通过资格审查的供应商，告知其未通过的原因并公告成交人得分及排序。</w:t>
      </w:r>
    </w:p>
    <w:p w14:paraId="2796224E">
      <w:pPr>
        <w:pStyle w:val="72"/>
        <w:keepNext w:val="0"/>
        <w:keepLines w:val="0"/>
        <w:spacing w:line="440" w:lineRule="exact"/>
        <w:ind w:firstLine="422" w:firstLineChars="200"/>
        <w:rPr>
          <w:rStyle w:val="70"/>
          <w:rFonts w:ascii="宋体" w:hAnsi="宋体" w:cs="宋体"/>
        </w:rPr>
      </w:pPr>
      <w:r>
        <w:rPr>
          <w:rStyle w:val="70"/>
          <w:rFonts w:hint="eastAsia" w:ascii="宋体" w:hAnsi="宋体" w:cs="宋体"/>
        </w:rPr>
        <w:t>7.3 履约保证金</w:t>
      </w:r>
    </w:p>
    <w:p w14:paraId="4D6F24F3">
      <w:pPr>
        <w:spacing w:line="440" w:lineRule="exact"/>
        <w:ind w:firstLine="420" w:firstLineChars="200"/>
        <w:rPr>
          <w:rStyle w:val="70"/>
          <w:rFonts w:ascii="宋体" w:hAnsi="宋体" w:cs="宋体"/>
          <w:kern w:val="0"/>
        </w:rPr>
      </w:pPr>
      <w:r>
        <w:rPr>
          <w:rStyle w:val="70"/>
          <w:rFonts w:hint="eastAsia" w:ascii="宋体" w:hAnsi="宋体" w:cs="宋体"/>
          <w:kern w:val="0"/>
        </w:rPr>
        <w:t>7.3.1 在签订合同前，成交供应商应按供应商须知前附表规定的金额、担保形式和竞争性磋商文件第四章“合同条款及格式”规定的履约担保格式向采购人提交履约担保。</w:t>
      </w:r>
    </w:p>
    <w:p w14:paraId="5A504EE7">
      <w:pPr>
        <w:spacing w:line="440" w:lineRule="exact"/>
        <w:ind w:firstLine="420" w:firstLineChars="200"/>
        <w:rPr>
          <w:rStyle w:val="70"/>
          <w:rFonts w:ascii="宋体" w:hAnsi="宋体" w:cs="宋体"/>
          <w:kern w:val="0"/>
        </w:rPr>
      </w:pPr>
      <w:r>
        <w:rPr>
          <w:rStyle w:val="70"/>
          <w:rFonts w:hint="eastAsia" w:ascii="宋体" w:hAnsi="宋体" w:cs="宋体"/>
          <w:kern w:val="0"/>
        </w:rPr>
        <w:t>7.3.2 成交供应商不能按本章第7.3.1 项要求提交履约担保的，视为放弃中标，给采购人造成的损失较大的，成交供应商还应当对超过部分予以赔偿。</w:t>
      </w:r>
    </w:p>
    <w:p w14:paraId="62637768">
      <w:pPr>
        <w:pStyle w:val="72"/>
        <w:keepNext w:val="0"/>
        <w:keepLines w:val="0"/>
        <w:spacing w:line="440" w:lineRule="exact"/>
        <w:ind w:firstLine="422" w:firstLineChars="200"/>
        <w:rPr>
          <w:rStyle w:val="70"/>
          <w:rFonts w:ascii="宋体" w:hAnsi="宋体" w:cs="宋体"/>
        </w:rPr>
      </w:pPr>
      <w:r>
        <w:rPr>
          <w:rStyle w:val="70"/>
          <w:rFonts w:hint="eastAsia" w:ascii="宋体" w:hAnsi="宋体" w:cs="宋体"/>
        </w:rPr>
        <w:t>7.4 签订合同</w:t>
      </w:r>
    </w:p>
    <w:p w14:paraId="28BB8D89">
      <w:pPr>
        <w:spacing w:line="440" w:lineRule="exact"/>
        <w:ind w:firstLine="420" w:firstLineChars="200"/>
        <w:jc w:val="left"/>
        <w:rPr>
          <w:rStyle w:val="70"/>
          <w:rFonts w:ascii="宋体" w:hAnsi="宋体" w:cs="宋体"/>
          <w:kern w:val="0"/>
        </w:rPr>
      </w:pPr>
      <w:r>
        <w:rPr>
          <w:rStyle w:val="70"/>
          <w:rFonts w:hint="eastAsia" w:ascii="宋体" w:hAnsi="宋体" w:cs="宋体"/>
          <w:kern w:val="0"/>
        </w:rPr>
        <w:t>7.4.1 采购人应当自成交通知书发出之日起15日内，按照竞争性磋商文件和成交供应商响应文件的规定，与成交供应商签订书面合同。所签订的合同不得对竞争性磋商文件确定的事项和成交供应商响应文件作实质性修改。采购人不得向成交供应商提出任何不合理的要求作为签订合同的条件。</w:t>
      </w:r>
    </w:p>
    <w:p w14:paraId="5811A2C3">
      <w:pPr>
        <w:spacing w:line="440" w:lineRule="exact"/>
        <w:ind w:firstLine="420" w:firstLineChars="200"/>
        <w:jc w:val="left"/>
        <w:rPr>
          <w:rStyle w:val="70"/>
          <w:rFonts w:hint="eastAsia" w:ascii="宋体" w:hAnsi="宋体" w:eastAsia="宋体" w:cs="宋体"/>
          <w:kern w:val="0"/>
        </w:rPr>
      </w:pPr>
      <w:bookmarkStart w:id="773" w:name="_Toc12552"/>
      <w:bookmarkStart w:id="774" w:name="_Toc32361"/>
      <w:bookmarkStart w:id="775" w:name="_Toc2060"/>
      <w:bookmarkStart w:id="776" w:name="_Toc196"/>
      <w:bookmarkStart w:id="777" w:name="_Toc20362"/>
      <w:bookmarkStart w:id="778" w:name="_Toc2288"/>
      <w:bookmarkStart w:id="779" w:name="_Toc32531"/>
      <w:bookmarkStart w:id="780" w:name="_Toc5586"/>
      <w:r>
        <w:rPr>
          <w:rStyle w:val="70"/>
          <w:rFonts w:hint="eastAsia" w:ascii="宋体" w:hAnsi="宋体" w:eastAsia="宋体" w:cs="宋体"/>
          <w:kern w:val="0"/>
        </w:rPr>
        <w:t>7.4.2 发出成交通知书后，成交供应商无正当理由拒签合同的，采购人取消其中标资格；给采购人造成的损失较大的，成交供应商还应当予以赔偿；采购人无正当理由拒签合同，给成交供应商造成损失的，还应当赔偿损失。</w:t>
      </w:r>
      <w:bookmarkEnd w:id="773"/>
      <w:bookmarkEnd w:id="774"/>
      <w:bookmarkEnd w:id="775"/>
      <w:bookmarkEnd w:id="776"/>
      <w:bookmarkEnd w:id="777"/>
      <w:bookmarkEnd w:id="778"/>
      <w:bookmarkEnd w:id="779"/>
      <w:bookmarkEnd w:id="780"/>
    </w:p>
    <w:p w14:paraId="06C41048">
      <w:pPr>
        <w:spacing w:line="440" w:lineRule="exact"/>
        <w:ind w:firstLine="420" w:firstLineChars="200"/>
        <w:jc w:val="left"/>
        <w:rPr>
          <w:rStyle w:val="70"/>
          <w:rFonts w:hint="eastAsia" w:ascii="宋体" w:hAnsi="宋体" w:eastAsia="宋体" w:cs="宋体"/>
          <w:kern w:val="0"/>
        </w:rPr>
      </w:pPr>
      <w:bookmarkStart w:id="781" w:name="_Toc21762"/>
      <w:bookmarkStart w:id="782" w:name="_Toc8969"/>
      <w:bookmarkStart w:id="783" w:name="_Toc18081"/>
      <w:bookmarkStart w:id="784" w:name="_Toc1419"/>
      <w:bookmarkStart w:id="785" w:name="_Toc9074"/>
      <w:bookmarkStart w:id="786" w:name="_Toc21827"/>
      <w:bookmarkStart w:id="787" w:name="_Toc19495"/>
      <w:bookmarkStart w:id="788" w:name="_Toc21057"/>
      <w:r>
        <w:rPr>
          <w:rStyle w:val="70"/>
          <w:rFonts w:hint="eastAsia" w:ascii="宋体" w:hAnsi="宋体" w:eastAsia="宋体" w:cs="宋体"/>
          <w:kern w:val="0"/>
        </w:rPr>
        <w:t>7.4.3</w:t>
      </w:r>
      <w:bookmarkEnd w:id="781"/>
      <w:bookmarkEnd w:id="782"/>
      <w:bookmarkEnd w:id="783"/>
      <w:bookmarkEnd w:id="784"/>
      <w:bookmarkEnd w:id="785"/>
      <w:bookmarkEnd w:id="786"/>
      <w:bookmarkEnd w:id="787"/>
      <w:r>
        <w:rPr>
          <w:rStyle w:val="70"/>
          <w:rFonts w:hint="eastAsia" w:ascii="宋体" w:hAnsi="宋体" w:eastAsia="宋体" w:cs="宋体"/>
          <w:kern w:val="0"/>
        </w:rPr>
        <w:t>采购人需追加（或减少）与合同标的相同的服务的，在不改变合同其它条款的前提下，可以与供应商签订补充合同，但所有补充合同的采购金额不得超过原合同金额的百分之十，且合并不得超过预算总额。补充合同不得对服务内容、单价或其它实质性条款和条件做任何改变。</w:t>
      </w:r>
      <w:bookmarkEnd w:id="788"/>
    </w:p>
    <w:p w14:paraId="0167AA69">
      <w:pPr>
        <w:pStyle w:val="58"/>
        <w:ind w:firstLine="420"/>
      </w:pPr>
      <w:bookmarkStart w:id="789" w:name="_Toc31853"/>
      <w:bookmarkStart w:id="790" w:name="_Toc25664"/>
      <w:bookmarkStart w:id="791" w:name="_Toc7671"/>
      <w:bookmarkStart w:id="792" w:name="_Toc31275"/>
      <w:bookmarkStart w:id="793" w:name="_Toc11357"/>
      <w:bookmarkStart w:id="794" w:name="_Toc30194"/>
      <w:bookmarkStart w:id="795" w:name="_Toc23422"/>
      <w:bookmarkStart w:id="796" w:name="_Toc4164"/>
      <w:bookmarkStart w:id="797" w:name="_Toc30753"/>
      <w:bookmarkStart w:id="798" w:name="_Toc10895"/>
      <w:r>
        <w:rPr>
          <w:rFonts w:hint="eastAsia"/>
        </w:rPr>
        <w:t>8. 重新招标</w:t>
      </w:r>
      <w:bookmarkEnd w:id="772"/>
      <w:bookmarkEnd w:id="789"/>
      <w:bookmarkEnd w:id="790"/>
      <w:bookmarkEnd w:id="791"/>
      <w:bookmarkEnd w:id="792"/>
      <w:bookmarkEnd w:id="793"/>
      <w:bookmarkEnd w:id="794"/>
      <w:bookmarkEnd w:id="795"/>
      <w:bookmarkEnd w:id="796"/>
      <w:bookmarkEnd w:id="797"/>
      <w:bookmarkEnd w:id="798"/>
    </w:p>
    <w:p w14:paraId="71506D52">
      <w:pPr>
        <w:spacing w:line="360" w:lineRule="auto"/>
        <w:ind w:firstLine="420" w:firstLineChars="200"/>
        <w:rPr>
          <w:rFonts w:ascii="宋体" w:hAnsi="宋体"/>
        </w:rPr>
      </w:pPr>
      <w:bookmarkStart w:id="799" w:name="_Toc16556"/>
      <w:bookmarkEnd w:id="799"/>
      <w:r>
        <w:rPr>
          <w:rFonts w:hint="eastAsia" w:ascii="宋体" w:hAnsi="宋体"/>
        </w:rPr>
        <w:t>出现下列情形之一的，采购人或者采购代理机构应当终止竞争性磋商采购活动，发布项目终止公告并说明原因，重新开展采购活动：</w:t>
      </w:r>
    </w:p>
    <w:p w14:paraId="3ACE441A">
      <w:pPr>
        <w:spacing w:line="360" w:lineRule="auto"/>
        <w:ind w:firstLine="420" w:firstLineChars="200"/>
        <w:rPr>
          <w:rFonts w:ascii="宋体" w:hAnsi="宋体"/>
        </w:rPr>
      </w:pPr>
      <w:r>
        <w:rPr>
          <w:rFonts w:hint="eastAsia" w:ascii="宋体" w:hAnsi="宋体"/>
        </w:rPr>
        <w:t>（一）因情况变化，不再符合规定的竞争性磋商采购方式适用情形的；</w:t>
      </w:r>
    </w:p>
    <w:p w14:paraId="1078E7DC">
      <w:pPr>
        <w:spacing w:line="360" w:lineRule="auto"/>
        <w:ind w:firstLine="420" w:firstLineChars="200"/>
        <w:rPr>
          <w:rFonts w:ascii="宋体" w:hAnsi="宋体"/>
        </w:rPr>
      </w:pPr>
      <w:r>
        <w:rPr>
          <w:rFonts w:hint="eastAsia" w:ascii="宋体" w:hAnsi="宋体"/>
        </w:rPr>
        <w:t>（二）出现影响采购公正的违法、违规行为的；</w:t>
      </w:r>
    </w:p>
    <w:p w14:paraId="7A05BDB1">
      <w:pPr>
        <w:spacing w:line="360" w:lineRule="auto"/>
        <w:ind w:firstLine="420" w:firstLineChars="200"/>
        <w:rPr>
          <w:rFonts w:ascii="宋体" w:hAnsi="宋体"/>
        </w:rPr>
      </w:pPr>
      <w:r>
        <w:rPr>
          <w:rFonts w:hint="eastAsia" w:ascii="宋体" w:hAnsi="宋体"/>
        </w:rPr>
        <w:t>（三）除《政府采购竞争性磋商采购方式管理暂行办法》第二十一条第三款规定的情形外，在采购过程中符合要求的供应商或者报价未超过采购预算的供应商不足</w:t>
      </w:r>
      <w:r>
        <w:rPr>
          <w:rFonts w:hint="eastAsia" w:ascii="宋体" w:hAnsi="宋体"/>
          <w:lang w:val="en-US" w:eastAsia="zh-CN"/>
        </w:rPr>
        <w:t>3</w:t>
      </w:r>
      <w:r>
        <w:rPr>
          <w:rFonts w:hint="eastAsia" w:ascii="宋体" w:hAnsi="宋体"/>
        </w:rPr>
        <w:t>家的。</w:t>
      </w:r>
    </w:p>
    <w:p w14:paraId="386435F7">
      <w:pPr>
        <w:pStyle w:val="58"/>
        <w:ind w:firstLine="420"/>
      </w:pPr>
      <w:bookmarkStart w:id="800" w:name="_Toc509667298"/>
      <w:bookmarkEnd w:id="800"/>
      <w:bookmarkStart w:id="801" w:name="_Toc16204"/>
      <w:bookmarkEnd w:id="801"/>
      <w:bookmarkStart w:id="802" w:name="_Toc27461"/>
      <w:bookmarkStart w:id="803" w:name="_Toc129073499"/>
      <w:bookmarkStart w:id="804" w:name="_Toc4212"/>
      <w:bookmarkStart w:id="805" w:name="_Toc12463"/>
      <w:bookmarkStart w:id="806" w:name="_Toc455080147"/>
      <w:bookmarkStart w:id="807" w:name="_Toc3885"/>
      <w:bookmarkStart w:id="808" w:name="_Toc28113"/>
      <w:bookmarkStart w:id="809" w:name="_Toc20734"/>
      <w:bookmarkStart w:id="810" w:name="_Toc28192"/>
      <w:bookmarkStart w:id="811" w:name="_Toc26441"/>
      <w:bookmarkStart w:id="812" w:name="_Toc27285"/>
      <w:bookmarkStart w:id="813" w:name="_Toc2036"/>
      <w:r>
        <w:rPr>
          <w:rFonts w:hint="eastAsia"/>
        </w:rPr>
        <w:t>9. 纪律和监督</w:t>
      </w:r>
      <w:bookmarkEnd w:id="802"/>
      <w:bookmarkEnd w:id="803"/>
      <w:bookmarkEnd w:id="804"/>
      <w:bookmarkEnd w:id="805"/>
      <w:bookmarkEnd w:id="806"/>
      <w:bookmarkEnd w:id="807"/>
      <w:bookmarkEnd w:id="808"/>
      <w:bookmarkEnd w:id="809"/>
      <w:bookmarkEnd w:id="810"/>
      <w:bookmarkEnd w:id="811"/>
      <w:bookmarkEnd w:id="812"/>
      <w:bookmarkEnd w:id="813"/>
    </w:p>
    <w:p w14:paraId="2D28FD9F">
      <w:pPr>
        <w:pStyle w:val="72"/>
        <w:keepNext w:val="0"/>
        <w:keepLines w:val="0"/>
        <w:spacing w:line="440" w:lineRule="exact"/>
        <w:ind w:firstLine="422" w:firstLineChars="200"/>
        <w:rPr>
          <w:rStyle w:val="70"/>
          <w:rFonts w:ascii="宋体" w:hAnsi="宋体" w:cs="宋体"/>
        </w:rPr>
      </w:pPr>
      <w:bookmarkStart w:id="814" w:name="_Toc152042356"/>
      <w:bookmarkEnd w:id="814"/>
      <w:bookmarkStart w:id="815" w:name="_Toc1282"/>
      <w:bookmarkEnd w:id="815"/>
      <w:bookmarkStart w:id="816" w:name="_Toc13970"/>
      <w:bookmarkEnd w:id="816"/>
      <w:bookmarkStart w:id="817" w:name="_Toc455080152"/>
      <w:bookmarkEnd w:id="817"/>
      <w:bookmarkStart w:id="818" w:name="_Toc17735"/>
      <w:bookmarkEnd w:id="818"/>
      <w:bookmarkStart w:id="819" w:name="_Toc455867808"/>
      <w:bookmarkEnd w:id="819"/>
      <w:bookmarkStart w:id="820" w:name="_Toc490667868"/>
      <w:bookmarkEnd w:id="820"/>
      <w:bookmarkStart w:id="821" w:name="_Toc152045575"/>
      <w:bookmarkEnd w:id="821"/>
      <w:bookmarkStart w:id="822" w:name="_Toc8074"/>
      <w:bookmarkEnd w:id="822"/>
      <w:bookmarkStart w:id="823" w:name="_Toc455867812"/>
      <w:bookmarkEnd w:id="823"/>
      <w:bookmarkStart w:id="824" w:name="_Toc19159"/>
      <w:bookmarkEnd w:id="824"/>
      <w:bookmarkStart w:id="825" w:name="_Toc144974543"/>
      <w:bookmarkEnd w:id="825"/>
      <w:bookmarkStart w:id="826" w:name="_Toc152045579"/>
      <w:bookmarkEnd w:id="826"/>
      <w:bookmarkStart w:id="827" w:name="_Toc509667303"/>
      <w:bookmarkEnd w:id="827"/>
      <w:bookmarkStart w:id="828" w:name="_Toc318450714"/>
      <w:bookmarkEnd w:id="828"/>
      <w:bookmarkStart w:id="829" w:name="_Toc455080148"/>
      <w:bookmarkEnd w:id="829"/>
      <w:bookmarkStart w:id="830" w:name="_Toc1820"/>
      <w:bookmarkEnd w:id="830"/>
      <w:bookmarkStart w:id="831" w:name="_Toc20009"/>
      <w:bookmarkEnd w:id="831"/>
      <w:bookmarkStart w:id="832" w:name="_Toc509667299"/>
      <w:bookmarkEnd w:id="832"/>
      <w:bookmarkStart w:id="833" w:name="_Toc3303"/>
      <w:bookmarkEnd w:id="833"/>
      <w:bookmarkStart w:id="834" w:name="_Toc490667872"/>
      <w:bookmarkEnd w:id="834"/>
      <w:bookmarkStart w:id="835" w:name="_Toc152042351"/>
      <w:bookmarkEnd w:id="835"/>
      <w:bookmarkStart w:id="836" w:name="_Toc318450718"/>
      <w:bookmarkEnd w:id="836"/>
      <w:bookmarkStart w:id="837" w:name="_Toc12992"/>
      <w:bookmarkEnd w:id="837"/>
      <w:bookmarkStart w:id="838" w:name="_Toc466298135"/>
      <w:bookmarkEnd w:id="838"/>
      <w:bookmarkStart w:id="839" w:name="_Toc25751"/>
      <w:bookmarkEnd w:id="839"/>
      <w:bookmarkStart w:id="840" w:name="_Toc15592"/>
      <w:bookmarkEnd w:id="840"/>
      <w:bookmarkStart w:id="841" w:name="_Toc3617"/>
      <w:bookmarkStart w:id="842" w:name="_Toc129073504"/>
      <w:r>
        <w:rPr>
          <w:rStyle w:val="70"/>
          <w:rFonts w:hint="eastAsia" w:ascii="宋体" w:hAnsi="宋体" w:cs="宋体"/>
        </w:rPr>
        <w:t>9.1 对采购人的纪律要求</w:t>
      </w:r>
    </w:p>
    <w:p w14:paraId="0C0ABCC9">
      <w:pPr>
        <w:spacing w:line="440" w:lineRule="exact"/>
        <w:ind w:firstLine="420" w:firstLineChars="200"/>
        <w:rPr>
          <w:rStyle w:val="70"/>
          <w:rFonts w:ascii="宋体" w:hAnsi="宋体" w:cs="宋体"/>
        </w:rPr>
      </w:pPr>
      <w:r>
        <w:rPr>
          <w:rStyle w:val="70"/>
          <w:rFonts w:hint="eastAsia" w:ascii="宋体" w:hAnsi="宋体" w:cs="宋体"/>
        </w:rPr>
        <w:t>采购人不得泄漏招标投标活动中应当保密的情况和资料，不得与供应商串通损害国家利益、社会公共利益或者他人合法权益。</w:t>
      </w:r>
    </w:p>
    <w:p w14:paraId="0DCA161A">
      <w:pPr>
        <w:spacing w:line="440" w:lineRule="exact"/>
        <w:ind w:firstLine="420" w:firstLineChars="200"/>
        <w:rPr>
          <w:rStyle w:val="70"/>
          <w:rFonts w:ascii="宋体" w:hAnsi="宋体" w:cs="宋体"/>
        </w:rPr>
      </w:pPr>
      <w:r>
        <w:rPr>
          <w:rStyle w:val="70"/>
          <w:rFonts w:hint="eastAsia" w:ascii="宋体" w:hAnsi="宋体" w:cs="宋体"/>
        </w:rPr>
        <w:t>有下列情形之一的，属于采购人与供应商串通投标：</w:t>
      </w:r>
    </w:p>
    <w:p w14:paraId="45DDCAF7">
      <w:pPr>
        <w:spacing w:line="440" w:lineRule="exact"/>
        <w:ind w:firstLine="420" w:firstLineChars="200"/>
        <w:rPr>
          <w:rStyle w:val="70"/>
          <w:rFonts w:ascii="宋体" w:hAnsi="宋体" w:cs="宋体"/>
        </w:rPr>
      </w:pPr>
      <w:r>
        <w:rPr>
          <w:rStyle w:val="70"/>
          <w:rFonts w:hint="eastAsia" w:ascii="宋体" w:hAnsi="宋体" w:cs="宋体"/>
        </w:rPr>
        <w:t>（一）采购人在开标前开启响应文件并将有关信息泄露给其他供应商；</w:t>
      </w:r>
    </w:p>
    <w:p w14:paraId="64C02610">
      <w:pPr>
        <w:spacing w:line="440" w:lineRule="exact"/>
        <w:ind w:firstLine="420" w:firstLineChars="200"/>
        <w:rPr>
          <w:rStyle w:val="70"/>
          <w:rFonts w:ascii="宋体" w:hAnsi="宋体" w:cs="宋体"/>
        </w:rPr>
      </w:pPr>
      <w:r>
        <w:rPr>
          <w:rStyle w:val="70"/>
          <w:rFonts w:hint="eastAsia" w:ascii="宋体" w:hAnsi="宋体" w:cs="宋体"/>
        </w:rPr>
        <w:t>（二）采购人直接或者间接向供应商泄露标底、磋商小组成员等信息；</w:t>
      </w:r>
    </w:p>
    <w:p w14:paraId="2A00A328">
      <w:pPr>
        <w:spacing w:line="440" w:lineRule="exact"/>
        <w:ind w:firstLine="420" w:firstLineChars="200"/>
        <w:rPr>
          <w:rStyle w:val="70"/>
          <w:rFonts w:ascii="宋体" w:hAnsi="宋体" w:cs="宋体"/>
        </w:rPr>
      </w:pPr>
      <w:r>
        <w:rPr>
          <w:rStyle w:val="70"/>
          <w:rFonts w:hint="eastAsia" w:ascii="宋体" w:hAnsi="宋体" w:cs="宋体"/>
        </w:rPr>
        <w:t>（三）采购人明示或者暗示供应商压低或者抬高磋商报价；</w:t>
      </w:r>
    </w:p>
    <w:p w14:paraId="6C8DDCB6">
      <w:pPr>
        <w:spacing w:line="440" w:lineRule="exact"/>
        <w:ind w:firstLine="420" w:firstLineChars="200"/>
        <w:rPr>
          <w:rStyle w:val="70"/>
          <w:rFonts w:ascii="宋体" w:hAnsi="宋体" w:cs="宋体"/>
        </w:rPr>
      </w:pPr>
      <w:r>
        <w:rPr>
          <w:rStyle w:val="70"/>
          <w:rFonts w:hint="eastAsia" w:ascii="宋体" w:hAnsi="宋体" w:cs="宋体"/>
        </w:rPr>
        <w:t>（四）采购人授意供应商撤换、修改响应文件；</w:t>
      </w:r>
    </w:p>
    <w:p w14:paraId="23CBC1CD">
      <w:pPr>
        <w:spacing w:line="440" w:lineRule="exact"/>
        <w:ind w:firstLine="420" w:firstLineChars="200"/>
        <w:rPr>
          <w:rStyle w:val="70"/>
          <w:rFonts w:ascii="宋体" w:hAnsi="宋体" w:cs="宋体"/>
        </w:rPr>
      </w:pPr>
      <w:r>
        <w:rPr>
          <w:rStyle w:val="70"/>
          <w:rFonts w:hint="eastAsia" w:ascii="宋体" w:hAnsi="宋体" w:cs="宋体"/>
        </w:rPr>
        <w:t>（五）采购人明示或者暗示供应商为特定供应商中标提供方便；</w:t>
      </w:r>
    </w:p>
    <w:p w14:paraId="58B12D6E">
      <w:pPr>
        <w:spacing w:line="440" w:lineRule="exact"/>
        <w:ind w:firstLine="420" w:firstLineChars="200"/>
        <w:rPr>
          <w:rStyle w:val="70"/>
          <w:rFonts w:ascii="宋体" w:hAnsi="宋体" w:cs="宋体"/>
        </w:rPr>
      </w:pPr>
      <w:r>
        <w:rPr>
          <w:rStyle w:val="70"/>
          <w:rFonts w:hint="eastAsia" w:ascii="宋体" w:hAnsi="宋体" w:cs="宋体"/>
        </w:rPr>
        <w:t>（六）采购人与供应商为谋求特定供应商中标而采取的其他串通行为。</w:t>
      </w:r>
    </w:p>
    <w:p w14:paraId="64136438">
      <w:pPr>
        <w:pStyle w:val="72"/>
        <w:keepNext w:val="0"/>
        <w:keepLines w:val="0"/>
        <w:spacing w:line="440" w:lineRule="exact"/>
        <w:ind w:firstLine="422" w:firstLineChars="200"/>
        <w:rPr>
          <w:rStyle w:val="70"/>
          <w:rFonts w:ascii="宋体" w:hAnsi="宋体" w:cs="宋体"/>
        </w:rPr>
      </w:pPr>
      <w:r>
        <w:rPr>
          <w:rStyle w:val="70"/>
          <w:rFonts w:hint="eastAsia" w:ascii="宋体" w:hAnsi="宋体" w:cs="宋体"/>
        </w:rPr>
        <w:t>9.2 对供应商的纪律要求</w:t>
      </w:r>
    </w:p>
    <w:p w14:paraId="655888B1">
      <w:pPr>
        <w:spacing w:line="440" w:lineRule="exact"/>
        <w:ind w:firstLine="420" w:firstLineChars="200"/>
        <w:rPr>
          <w:rStyle w:val="70"/>
          <w:rFonts w:ascii="宋体" w:hAnsi="宋体" w:cs="宋体"/>
        </w:rPr>
      </w:pPr>
      <w:r>
        <w:rPr>
          <w:rStyle w:val="70"/>
          <w:rFonts w:hint="eastAsia" w:ascii="宋体" w:hAnsi="宋体" w:cs="宋体"/>
        </w:rPr>
        <w:t>供应商不得相互串通投标或者与采购人串通投标，不得向采购人或者磋商小组成员行贿谋取中标，不得以他人名义投标或者以其他方式弄虚作假骗取中标；供应商不得以任何方式干扰、影响评审工作。</w:t>
      </w:r>
    </w:p>
    <w:p w14:paraId="2BE80CCB">
      <w:pPr>
        <w:spacing w:line="440" w:lineRule="exact"/>
        <w:ind w:firstLine="422" w:firstLineChars="200"/>
        <w:rPr>
          <w:rStyle w:val="70"/>
          <w:rFonts w:ascii="宋体" w:hAnsi="宋体" w:cs="宋体"/>
          <w:b/>
          <w:bCs/>
        </w:rPr>
      </w:pPr>
      <w:r>
        <w:rPr>
          <w:rStyle w:val="70"/>
          <w:rFonts w:hint="eastAsia" w:ascii="宋体" w:hAnsi="宋体" w:cs="宋体"/>
          <w:b/>
          <w:bCs/>
        </w:rPr>
        <w:t>9.2.1 有下列情形之一的，视为供应商相互串通投标，其投标无效：</w:t>
      </w:r>
    </w:p>
    <w:p w14:paraId="7F86CAB6">
      <w:pPr>
        <w:spacing w:line="440" w:lineRule="exact"/>
        <w:ind w:firstLine="422" w:firstLineChars="200"/>
        <w:rPr>
          <w:rStyle w:val="70"/>
          <w:rFonts w:ascii="宋体" w:hAnsi="宋体" w:cs="宋体"/>
          <w:b/>
          <w:bCs/>
        </w:rPr>
      </w:pPr>
      <w:r>
        <w:rPr>
          <w:rStyle w:val="70"/>
          <w:rFonts w:hint="eastAsia" w:ascii="宋体" w:hAnsi="宋体" w:cs="宋体"/>
          <w:b/>
          <w:bCs/>
        </w:rPr>
        <w:t>（一）不同供应商的电子投标（响应）文件上传计算机的网卡MAC地址、CPU序列号和硬盘序列号等硬件信息相同的；</w:t>
      </w:r>
    </w:p>
    <w:p w14:paraId="7A701860">
      <w:pPr>
        <w:spacing w:line="440" w:lineRule="exact"/>
        <w:ind w:firstLine="422" w:firstLineChars="200"/>
        <w:rPr>
          <w:rStyle w:val="70"/>
          <w:rFonts w:ascii="宋体" w:hAnsi="宋体" w:cs="宋体"/>
          <w:b/>
          <w:bCs/>
        </w:rPr>
      </w:pPr>
      <w:r>
        <w:rPr>
          <w:rStyle w:val="70"/>
          <w:rFonts w:hint="eastAsia" w:ascii="宋体" w:hAnsi="宋体" w:cs="宋体"/>
          <w:b/>
          <w:bCs/>
        </w:rPr>
        <w:t>（二）不同供应商的投标（响应）文件由同一电子设备编制、打印加密或者上传；</w:t>
      </w:r>
    </w:p>
    <w:p w14:paraId="5623D9C6">
      <w:pPr>
        <w:spacing w:line="440" w:lineRule="exact"/>
        <w:ind w:firstLine="422" w:firstLineChars="200"/>
        <w:rPr>
          <w:rStyle w:val="70"/>
          <w:rFonts w:ascii="宋体" w:hAnsi="宋体" w:cs="宋体"/>
          <w:b/>
          <w:bCs/>
        </w:rPr>
      </w:pPr>
      <w:r>
        <w:rPr>
          <w:rStyle w:val="70"/>
          <w:rFonts w:hint="eastAsia" w:ascii="宋体" w:hAnsi="宋体" w:cs="宋体"/>
          <w:b/>
          <w:bCs/>
        </w:rPr>
        <w:t>（三）不同供应商的投标（响应）文件由同一电子设备打印、复印；</w:t>
      </w:r>
    </w:p>
    <w:p w14:paraId="5FE680B2">
      <w:pPr>
        <w:spacing w:line="440" w:lineRule="exact"/>
        <w:ind w:firstLine="422" w:firstLineChars="200"/>
        <w:rPr>
          <w:rStyle w:val="70"/>
          <w:rFonts w:ascii="宋体" w:hAnsi="宋体" w:cs="宋体"/>
          <w:b/>
          <w:bCs/>
        </w:rPr>
      </w:pPr>
      <w:r>
        <w:rPr>
          <w:rStyle w:val="70"/>
          <w:rFonts w:hint="eastAsia" w:ascii="宋体" w:hAnsi="宋体" w:cs="宋体"/>
          <w:b/>
          <w:bCs/>
        </w:rPr>
        <w:t>（四）不同供应商的投标（响应）文件由同一人送达或者分发，或者不同供应商联系人为同一人或不同联系人的联系电话一致的；</w:t>
      </w:r>
    </w:p>
    <w:p w14:paraId="5CE06EB8">
      <w:pPr>
        <w:spacing w:line="440" w:lineRule="exact"/>
        <w:ind w:firstLine="422" w:firstLineChars="200"/>
        <w:rPr>
          <w:rStyle w:val="70"/>
          <w:rFonts w:ascii="宋体" w:hAnsi="宋体" w:cs="宋体"/>
          <w:b/>
          <w:bCs/>
        </w:rPr>
      </w:pPr>
      <w:r>
        <w:rPr>
          <w:rStyle w:val="70"/>
          <w:rFonts w:hint="eastAsia" w:ascii="宋体" w:hAnsi="宋体" w:cs="宋体"/>
          <w:b/>
          <w:bCs/>
        </w:rPr>
        <w:t>（五）不同供应商的投标（响应）文件的内容存在两处以上细节错误一致；</w:t>
      </w:r>
    </w:p>
    <w:p w14:paraId="6E83A4C4">
      <w:pPr>
        <w:spacing w:line="440" w:lineRule="exact"/>
        <w:ind w:firstLine="422" w:firstLineChars="200"/>
        <w:rPr>
          <w:rStyle w:val="70"/>
          <w:rFonts w:ascii="宋体" w:hAnsi="宋体" w:cs="宋体"/>
          <w:b/>
          <w:bCs/>
        </w:rPr>
      </w:pPr>
      <w:r>
        <w:rPr>
          <w:rStyle w:val="70"/>
          <w:rFonts w:hint="eastAsia" w:ascii="宋体" w:hAnsi="宋体" w:cs="宋体"/>
          <w:b/>
          <w:bCs/>
        </w:rPr>
        <w:t>（六）不同供应商的法定代表人、委托代理人、项目经理、项目经理等由同一个单位缴纳社会保险或者领取报酬的；</w:t>
      </w:r>
    </w:p>
    <w:p w14:paraId="76660CE6">
      <w:pPr>
        <w:spacing w:line="440" w:lineRule="exact"/>
        <w:ind w:firstLine="422" w:firstLineChars="200"/>
        <w:rPr>
          <w:rStyle w:val="70"/>
          <w:rFonts w:ascii="宋体" w:hAnsi="宋体" w:cs="宋体"/>
          <w:b/>
          <w:bCs/>
        </w:rPr>
      </w:pPr>
      <w:r>
        <w:rPr>
          <w:rStyle w:val="70"/>
          <w:rFonts w:hint="eastAsia" w:ascii="宋体" w:hAnsi="宋体" w:cs="宋体"/>
          <w:b/>
          <w:bCs/>
        </w:rPr>
        <w:t>（七）不同供应商投标（响应）文件中法定代表人或者负责人签字出自同一人之手；</w:t>
      </w:r>
    </w:p>
    <w:p w14:paraId="4BE068B9">
      <w:pPr>
        <w:spacing w:line="440" w:lineRule="exact"/>
        <w:ind w:firstLine="422" w:firstLineChars="200"/>
        <w:rPr>
          <w:rStyle w:val="70"/>
          <w:rFonts w:ascii="宋体" w:hAnsi="宋体" w:cs="宋体"/>
          <w:b/>
          <w:bCs/>
        </w:rPr>
      </w:pPr>
      <w:r>
        <w:rPr>
          <w:rStyle w:val="70"/>
          <w:rFonts w:hint="eastAsia" w:ascii="宋体" w:hAnsi="宋体" w:cs="宋体"/>
          <w:b/>
          <w:bCs/>
        </w:rPr>
        <w:t>（八）其它涉嫌串通的情形。</w:t>
      </w:r>
    </w:p>
    <w:p w14:paraId="4D45DBC8">
      <w:pPr>
        <w:spacing w:line="440" w:lineRule="exact"/>
        <w:ind w:firstLine="420" w:firstLineChars="200"/>
        <w:rPr>
          <w:rStyle w:val="70"/>
          <w:rFonts w:ascii="宋体" w:hAnsi="宋体" w:cs="宋体"/>
        </w:rPr>
      </w:pPr>
      <w:r>
        <w:rPr>
          <w:rStyle w:val="70"/>
          <w:rFonts w:hint="eastAsia" w:ascii="宋体" w:hAnsi="宋体" w:cs="宋体"/>
        </w:rPr>
        <w:t>9.2.2 有下列情形之一的，属于以他人名义投标：</w:t>
      </w:r>
    </w:p>
    <w:p w14:paraId="686FAAEC">
      <w:pPr>
        <w:spacing w:line="440" w:lineRule="exact"/>
        <w:ind w:firstLine="420" w:firstLineChars="200"/>
        <w:rPr>
          <w:rStyle w:val="70"/>
          <w:rFonts w:ascii="宋体" w:hAnsi="宋体" w:cs="宋体"/>
        </w:rPr>
      </w:pPr>
      <w:r>
        <w:rPr>
          <w:rStyle w:val="70"/>
          <w:rFonts w:hint="eastAsia" w:ascii="宋体" w:hAnsi="宋体" w:cs="宋体"/>
        </w:rPr>
        <w:t>（一）使用通过受让或者租借等方式获取的资格、资质证书投标的。</w:t>
      </w:r>
    </w:p>
    <w:p w14:paraId="3B0879A1">
      <w:pPr>
        <w:spacing w:line="440" w:lineRule="exact"/>
        <w:ind w:firstLine="420" w:firstLineChars="200"/>
        <w:rPr>
          <w:rStyle w:val="70"/>
          <w:rFonts w:ascii="宋体" w:hAnsi="宋体" w:cs="宋体"/>
        </w:rPr>
      </w:pPr>
      <w:r>
        <w:rPr>
          <w:rStyle w:val="70"/>
          <w:rFonts w:hint="eastAsia" w:ascii="宋体" w:hAnsi="宋体" w:cs="宋体"/>
        </w:rPr>
        <w:t>9.2.3有下列情形之一的，属于以其他方式弄虚作假的行为：</w:t>
      </w:r>
    </w:p>
    <w:p w14:paraId="69F7AD6C">
      <w:pPr>
        <w:spacing w:line="440" w:lineRule="exact"/>
        <w:ind w:firstLine="420" w:firstLineChars="200"/>
        <w:rPr>
          <w:rStyle w:val="70"/>
          <w:rFonts w:ascii="宋体" w:hAnsi="宋体" w:cs="宋体"/>
        </w:rPr>
      </w:pPr>
      <w:r>
        <w:rPr>
          <w:rStyle w:val="70"/>
          <w:rFonts w:hint="eastAsia" w:ascii="宋体" w:hAnsi="宋体" w:cs="宋体"/>
        </w:rPr>
        <w:t>（一）使用伪造、变造的许可证件；</w:t>
      </w:r>
    </w:p>
    <w:p w14:paraId="1F3D57DB">
      <w:pPr>
        <w:spacing w:line="440" w:lineRule="exact"/>
        <w:ind w:firstLine="420" w:firstLineChars="200"/>
        <w:rPr>
          <w:rStyle w:val="70"/>
          <w:rFonts w:ascii="宋体" w:hAnsi="宋体" w:cs="宋体"/>
        </w:rPr>
      </w:pPr>
      <w:r>
        <w:rPr>
          <w:rStyle w:val="70"/>
          <w:rFonts w:hint="eastAsia" w:ascii="宋体" w:hAnsi="宋体" w:cs="宋体"/>
        </w:rPr>
        <w:t>（二）提供虚假的财务状况或者业绩；</w:t>
      </w:r>
    </w:p>
    <w:p w14:paraId="7358ED44">
      <w:pPr>
        <w:spacing w:line="440" w:lineRule="exact"/>
        <w:ind w:firstLine="420" w:firstLineChars="200"/>
        <w:rPr>
          <w:rStyle w:val="70"/>
          <w:rFonts w:ascii="宋体" w:hAnsi="宋体" w:cs="宋体"/>
        </w:rPr>
      </w:pPr>
      <w:r>
        <w:rPr>
          <w:rStyle w:val="70"/>
          <w:rFonts w:hint="eastAsia" w:ascii="宋体" w:hAnsi="宋体" w:cs="宋体"/>
        </w:rPr>
        <w:t>（三）提供虚假的项目经理或者主要技术人员简历、劳动关系证明；</w:t>
      </w:r>
    </w:p>
    <w:p w14:paraId="2F5A6874">
      <w:pPr>
        <w:spacing w:line="440" w:lineRule="exact"/>
        <w:ind w:firstLine="420" w:firstLineChars="200"/>
        <w:rPr>
          <w:rStyle w:val="70"/>
          <w:rFonts w:ascii="宋体" w:hAnsi="宋体" w:cs="宋体"/>
        </w:rPr>
      </w:pPr>
      <w:r>
        <w:rPr>
          <w:rStyle w:val="70"/>
          <w:rFonts w:hint="eastAsia" w:ascii="宋体" w:hAnsi="宋体" w:cs="宋体"/>
        </w:rPr>
        <w:t>（四）提供虚假的信用状况；</w:t>
      </w:r>
    </w:p>
    <w:p w14:paraId="0700B079">
      <w:pPr>
        <w:spacing w:line="440" w:lineRule="exact"/>
        <w:ind w:firstLine="420" w:firstLineChars="200"/>
        <w:rPr>
          <w:rStyle w:val="70"/>
          <w:rFonts w:ascii="宋体" w:hAnsi="宋体" w:cs="宋体"/>
        </w:rPr>
      </w:pPr>
      <w:r>
        <w:rPr>
          <w:rStyle w:val="70"/>
          <w:rFonts w:hint="eastAsia" w:ascii="宋体" w:hAnsi="宋体" w:cs="宋体"/>
        </w:rPr>
        <w:t>（五）其他弄虚作假的行为。</w:t>
      </w:r>
    </w:p>
    <w:p w14:paraId="4621BA96">
      <w:pPr>
        <w:pStyle w:val="72"/>
        <w:keepNext w:val="0"/>
        <w:keepLines w:val="0"/>
        <w:spacing w:line="440" w:lineRule="exact"/>
        <w:ind w:firstLine="422" w:firstLineChars="200"/>
        <w:rPr>
          <w:rStyle w:val="70"/>
          <w:rFonts w:ascii="宋体" w:hAnsi="宋体" w:cs="宋体"/>
        </w:rPr>
      </w:pPr>
      <w:r>
        <w:rPr>
          <w:rStyle w:val="70"/>
          <w:rFonts w:hint="eastAsia" w:ascii="宋体" w:hAnsi="宋体" w:cs="宋体"/>
        </w:rPr>
        <w:t>9.3 对磋商小组成员的纪律要求</w:t>
      </w:r>
    </w:p>
    <w:p w14:paraId="756212DF">
      <w:pPr>
        <w:spacing w:line="440" w:lineRule="exact"/>
        <w:ind w:firstLine="420" w:firstLineChars="200"/>
        <w:rPr>
          <w:rStyle w:val="70"/>
          <w:rFonts w:ascii="宋体" w:hAnsi="宋体" w:cs="宋体"/>
        </w:rPr>
      </w:pPr>
      <w:r>
        <w:rPr>
          <w:rStyle w:val="70"/>
          <w:rFonts w:hint="eastAsia" w:ascii="宋体" w:hAnsi="宋体" w:cs="宋体"/>
        </w:rPr>
        <w:t>（一）确定参与评审至评审结束前私自接触供应商；</w:t>
      </w:r>
    </w:p>
    <w:p w14:paraId="0D311E8E">
      <w:pPr>
        <w:spacing w:line="440" w:lineRule="exact"/>
        <w:ind w:firstLine="420" w:firstLineChars="200"/>
        <w:rPr>
          <w:rStyle w:val="70"/>
          <w:rFonts w:ascii="宋体" w:hAnsi="宋体" w:cs="宋体"/>
        </w:rPr>
      </w:pPr>
      <w:r>
        <w:rPr>
          <w:rStyle w:val="70"/>
          <w:rFonts w:hint="eastAsia" w:ascii="宋体" w:hAnsi="宋体" w:cs="宋体"/>
        </w:rPr>
        <w:t>（二）接受供应商提出的与响应文件不一致的澄清或者说明；</w:t>
      </w:r>
    </w:p>
    <w:p w14:paraId="27A6DE8F">
      <w:pPr>
        <w:spacing w:line="440" w:lineRule="exact"/>
        <w:ind w:firstLine="420" w:firstLineChars="200"/>
        <w:rPr>
          <w:rStyle w:val="70"/>
          <w:rFonts w:ascii="宋体" w:hAnsi="宋体" w:cs="宋体"/>
        </w:rPr>
      </w:pPr>
      <w:r>
        <w:rPr>
          <w:rStyle w:val="70"/>
          <w:rFonts w:hint="eastAsia" w:ascii="宋体" w:hAnsi="宋体" w:cs="宋体"/>
        </w:rPr>
        <w:t>（三）违反评审纪律发表倾向性意见或者征询采购人的倾向性意见；</w:t>
      </w:r>
    </w:p>
    <w:p w14:paraId="164CF00E">
      <w:pPr>
        <w:spacing w:line="440" w:lineRule="exact"/>
        <w:ind w:firstLine="420" w:firstLineChars="200"/>
        <w:rPr>
          <w:rStyle w:val="70"/>
          <w:rFonts w:ascii="宋体" w:hAnsi="宋体" w:cs="宋体"/>
        </w:rPr>
      </w:pPr>
      <w:r>
        <w:rPr>
          <w:rStyle w:val="70"/>
          <w:rFonts w:hint="eastAsia" w:ascii="宋体" w:hAnsi="宋体" w:cs="宋体"/>
        </w:rPr>
        <w:t>（四）对需要专业判断的主观评审因素协商评分；</w:t>
      </w:r>
    </w:p>
    <w:p w14:paraId="63DAC960">
      <w:pPr>
        <w:spacing w:line="440" w:lineRule="exact"/>
        <w:ind w:firstLine="420" w:firstLineChars="200"/>
        <w:rPr>
          <w:rStyle w:val="70"/>
          <w:rFonts w:ascii="宋体" w:hAnsi="宋体" w:cs="宋体"/>
        </w:rPr>
      </w:pPr>
      <w:r>
        <w:rPr>
          <w:rStyle w:val="70"/>
          <w:rFonts w:hint="eastAsia" w:ascii="宋体" w:hAnsi="宋体" w:cs="宋体"/>
        </w:rPr>
        <w:t>（五）在评审过程中擅离职守，影响评审程序正常进行的；</w:t>
      </w:r>
    </w:p>
    <w:p w14:paraId="60E04635">
      <w:pPr>
        <w:spacing w:line="440" w:lineRule="exact"/>
        <w:ind w:firstLine="420" w:firstLineChars="200"/>
        <w:rPr>
          <w:rStyle w:val="70"/>
          <w:rFonts w:ascii="宋体" w:hAnsi="宋体" w:cs="宋体"/>
        </w:rPr>
      </w:pPr>
      <w:r>
        <w:rPr>
          <w:rStyle w:val="70"/>
          <w:rFonts w:hint="eastAsia" w:ascii="宋体" w:hAnsi="宋体" w:cs="宋体"/>
        </w:rPr>
        <w:t>（六）记录、复制或者带走任何评审资料；</w:t>
      </w:r>
    </w:p>
    <w:p w14:paraId="4CD14A5A">
      <w:pPr>
        <w:spacing w:line="440" w:lineRule="exact"/>
        <w:ind w:firstLine="420" w:firstLineChars="200"/>
        <w:rPr>
          <w:rStyle w:val="70"/>
          <w:rFonts w:ascii="宋体" w:hAnsi="宋体" w:cs="宋体"/>
        </w:rPr>
      </w:pPr>
      <w:r>
        <w:rPr>
          <w:rStyle w:val="70"/>
          <w:rFonts w:hint="eastAsia" w:ascii="宋体" w:hAnsi="宋体" w:cs="宋体"/>
        </w:rPr>
        <w:t>（七）其他不遵守评审纪律的行为。</w:t>
      </w:r>
    </w:p>
    <w:p w14:paraId="02C7B08B">
      <w:pPr>
        <w:spacing w:line="440" w:lineRule="exact"/>
        <w:ind w:firstLine="420" w:firstLineChars="200"/>
        <w:rPr>
          <w:rStyle w:val="70"/>
          <w:rFonts w:ascii="宋体" w:hAnsi="宋体" w:cs="宋体"/>
        </w:rPr>
      </w:pPr>
      <w:r>
        <w:rPr>
          <w:rStyle w:val="70"/>
          <w:rFonts w:hint="eastAsia" w:ascii="宋体" w:hAnsi="宋体" w:cs="宋体"/>
        </w:rPr>
        <w:t>磋商小组成员有前款第一至五项行为之一的，其评审意见无效，并不得获取评审劳务报酬和报销异地评审差旅费。</w:t>
      </w:r>
    </w:p>
    <w:p w14:paraId="12176A4E">
      <w:pPr>
        <w:pStyle w:val="72"/>
        <w:keepNext w:val="0"/>
        <w:keepLines w:val="0"/>
        <w:spacing w:line="440" w:lineRule="exact"/>
        <w:ind w:firstLine="422" w:firstLineChars="200"/>
        <w:rPr>
          <w:rStyle w:val="70"/>
          <w:rFonts w:ascii="宋体" w:hAnsi="宋体" w:cs="宋体"/>
        </w:rPr>
      </w:pPr>
      <w:r>
        <w:rPr>
          <w:rStyle w:val="70"/>
          <w:rFonts w:hint="eastAsia" w:ascii="宋体" w:hAnsi="宋体" w:cs="宋体"/>
        </w:rPr>
        <w:t>9.4 对与评审活动有关的工作人员的纪律要求</w:t>
      </w:r>
    </w:p>
    <w:p w14:paraId="462F8C83">
      <w:pPr>
        <w:spacing w:line="440" w:lineRule="exact"/>
        <w:ind w:firstLine="420" w:firstLineChars="200"/>
        <w:rPr>
          <w:rStyle w:val="70"/>
          <w:rFonts w:ascii="宋体" w:hAnsi="宋体" w:cs="宋体"/>
        </w:rPr>
      </w:pPr>
      <w:r>
        <w:rPr>
          <w:rStyle w:val="70"/>
          <w:rFonts w:hint="eastAsia" w:ascii="宋体" w:hAnsi="宋体" w:cs="宋体"/>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14:paraId="1A0BED93">
      <w:pPr>
        <w:spacing w:line="360" w:lineRule="auto"/>
        <w:ind w:firstLine="422" w:firstLineChars="200"/>
        <w:rPr>
          <w:rFonts w:ascii="宋体" w:hAnsi="宋体"/>
          <w:b/>
          <w:bCs/>
        </w:rPr>
      </w:pPr>
      <w:r>
        <w:rPr>
          <w:rFonts w:hint="eastAsia" w:ascii="宋体" w:hAnsi="宋体"/>
          <w:b/>
          <w:bCs/>
        </w:rPr>
        <w:t xml:space="preserve">9.5 </w:t>
      </w:r>
      <w:bookmarkEnd w:id="841"/>
      <w:bookmarkEnd w:id="842"/>
      <w:r>
        <w:rPr>
          <w:rFonts w:hint="eastAsia" w:ascii="宋体" w:hAnsi="宋体"/>
          <w:b/>
          <w:bCs/>
        </w:rPr>
        <w:t>质疑和投诉</w:t>
      </w:r>
    </w:p>
    <w:p w14:paraId="4BE7504B">
      <w:pPr>
        <w:spacing w:line="360" w:lineRule="auto"/>
        <w:ind w:firstLine="420" w:firstLineChars="200"/>
        <w:rPr>
          <w:rFonts w:ascii="宋体" w:hAnsi="宋体"/>
        </w:rPr>
      </w:pPr>
      <w:r>
        <w:rPr>
          <w:rFonts w:hint="eastAsia" w:ascii="宋体" w:hAnsi="宋体"/>
        </w:rPr>
        <w:t>9.5.1供应商认为竞争性磋商文件、采购过程和成交结果使自己的权益受到损害的，可以在知道或者应知其权益受到损害之日起七个工作日内，以书面形式向采购代理机构提出质疑。（格式见本章附件1）</w:t>
      </w:r>
    </w:p>
    <w:p w14:paraId="09729A6A">
      <w:pPr>
        <w:spacing w:line="360" w:lineRule="auto"/>
        <w:ind w:firstLine="420" w:firstLineChars="200"/>
        <w:rPr>
          <w:rFonts w:ascii="宋体" w:hAnsi="宋体"/>
        </w:rPr>
      </w:pPr>
      <w:r>
        <w:rPr>
          <w:rFonts w:hint="eastAsia" w:ascii="宋体" w:hAnsi="宋体"/>
        </w:rPr>
        <w:t>9.5.2供应商应知其权益受到损害之日，是指：</w:t>
      </w:r>
    </w:p>
    <w:p w14:paraId="1C35BE56">
      <w:pPr>
        <w:spacing w:line="360" w:lineRule="auto"/>
        <w:ind w:firstLine="420" w:firstLineChars="200"/>
        <w:rPr>
          <w:rFonts w:ascii="宋体" w:hAnsi="宋体"/>
        </w:rPr>
      </w:pPr>
      <w:r>
        <w:rPr>
          <w:rFonts w:hint="eastAsia" w:ascii="宋体" w:hAnsi="宋体"/>
        </w:rPr>
        <w:t>（1）对可以质疑的竞争性磋商文件提出质疑的，为收到竞争性磋商文件之日或者竞争性磋商文件公告期限届满之日；</w:t>
      </w:r>
    </w:p>
    <w:p w14:paraId="77501C68">
      <w:pPr>
        <w:spacing w:line="360" w:lineRule="auto"/>
        <w:ind w:firstLine="420" w:firstLineChars="200"/>
        <w:rPr>
          <w:rFonts w:ascii="宋体" w:hAnsi="宋体"/>
        </w:rPr>
      </w:pPr>
      <w:r>
        <w:rPr>
          <w:rFonts w:hint="eastAsia" w:ascii="宋体" w:hAnsi="宋体"/>
        </w:rPr>
        <w:t>（2）对采购过程提出质疑的，为各采购程序环节结束之日；</w:t>
      </w:r>
    </w:p>
    <w:p w14:paraId="3088AA4C">
      <w:pPr>
        <w:spacing w:line="360" w:lineRule="auto"/>
        <w:ind w:firstLine="420" w:firstLineChars="200"/>
        <w:rPr>
          <w:rFonts w:ascii="宋体" w:hAnsi="宋体"/>
        </w:rPr>
      </w:pPr>
      <w:r>
        <w:rPr>
          <w:rFonts w:hint="eastAsia" w:ascii="宋体" w:hAnsi="宋体"/>
        </w:rPr>
        <w:t>（3）对成交结果提出质疑的，为成交结果公告期限届满之日。</w:t>
      </w:r>
    </w:p>
    <w:p w14:paraId="5E987817">
      <w:pPr>
        <w:spacing w:line="360" w:lineRule="auto"/>
        <w:ind w:firstLine="420" w:firstLineChars="200"/>
        <w:rPr>
          <w:rFonts w:ascii="宋体" w:hAnsi="宋体"/>
        </w:rPr>
      </w:pPr>
      <w:r>
        <w:rPr>
          <w:rFonts w:hint="eastAsia" w:ascii="宋体" w:hAnsi="宋体"/>
        </w:rPr>
        <w:t>9.5.3质疑供应商应按照财政部制定的《政府采购质疑函范本》格式（可从财政部官方网站下载）或《政府采购质疑和投诉办法》的要求，以书面形式提出质疑，针对同一采购程序环节的质疑次数应符合供应商须知前附表的规定。</w:t>
      </w:r>
    </w:p>
    <w:p w14:paraId="58791D4B">
      <w:pPr>
        <w:spacing w:line="360" w:lineRule="auto"/>
        <w:ind w:firstLine="420" w:firstLineChars="200"/>
        <w:rPr>
          <w:rFonts w:ascii="宋体" w:hAnsi="宋体"/>
        </w:rPr>
      </w:pPr>
      <w:r>
        <w:rPr>
          <w:rFonts w:hint="eastAsia" w:ascii="宋体" w:hAnsi="宋体"/>
        </w:rPr>
        <w:t>9.5.4超出法定质疑期提交的质疑将被拒绝。重复或分次提出的、内容或形式不符合《政府采购质疑和投诉办法》的，质疑供应商将依法承担不利后果。</w:t>
      </w:r>
    </w:p>
    <w:p w14:paraId="7BCE38B7">
      <w:pPr>
        <w:spacing w:line="360" w:lineRule="auto"/>
        <w:ind w:firstLine="420" w:firstLineChars="200"/>
        <w:rPr>
          <w:rFonts w:ascii="宋体" w:hAnsi="宋体"/>
        </w:rPr>
      </w:pPr>
      <w:r>
        <w:rPr>
          <w:rFonts w:hint="eastAsia" w:ascii="宋体" w:hAnsi="宋体"/>
        </w:rPr>
        <w:t>9.5.5质疑函接收部门、联系电话和通讯地址，见供应商须知前附表。</w:t>
      </w:r>
    </w:p>
    <w:p w14:paraId="6E874CC2">
      <w:pPr>
        <w:spacing w:line="360" w:lineRule="auto"/>
        <w:ind w:firstLine="420" w:firstLineChars="200"/>
        <w:rPr>
          <w:rFonts w:ascii="宋体" w:hAnsi="宋体"/>
        </w:rPr>
      </w:pPr>
      <w:r>
        <w:rPr>
          <w:rFonts w:hint="eastAsia" w:ascii="宋体" w:hAnsi="宋体"/>
        </w:rPr>
        <w:t>9.5.6采购人或采购代理机构在收到供应商的书面质疑后七个工作日内作出答复，并以书面形式通知质疑供应商和其他有关供应商，答复内容不涉及商业秘密。</w:t>
      </w:r>
    </w:p>
    <w:p w14:paraId="3EB62CC0">
      <w:pPr>
        <w:pStyle w:val="58"/>
        <w:ind w:firstLine="420"/>
      </w:pPr>
      <w:bookmarkStart w:id="843" w:name="_Toc509667304"/>
      <w:bookmarkEnd w:id="843"/>
      <w:bookmarkStart w:id="844" w:name="_Toc152042357"/>
      <w:bookmarkEnd w:id="844"/>
      <w:bookmarkStart w:id="845" w:name="_Toc152045580"/>
      <w:bookmarkEnd w:id="845"/>
      <w:bookmarkStart w:id="846" w:name="_Toc144974547"/>
      <w:bookmarkEnd w:id="846"/>
      <w:bookmarkStart w:id="847" w:name="_Toc455080153"/>
      <w:bookmarkEnd w:id="847"/>
      <w:bookmarkStart w:id="848" w:name="_Toc90653427"/>
      <w:bookmarkStart w:id="849" w:name="_Toc2534"/>
      <w:bookmarkStart w:id="850" w:name="_Toc15772"/>
      <w:bookmarkStart w:id="851" w:name="_Toc4944"/>
      <w:bookmarkStart w:id="852" w:name="_Toc1802"/>
      <w:bookmarkStart w:id="853" w:name="_Toc18843"/>
      <w:bookmarkStart w:id="854" w:name="_Toc32264"/>
      <w:bookmarkStart w:id="855" w:name="_Toc10975"/>
      <w:bookmarkStart w:id="856" w:name="_Toc11205"/>
      <w:bookmarkStart w:id="857" w:name="_Toc129073505"/>
      <w:bookmarkStart w:id="858" w:name="_Toc4838"/>
      <w:bookmarkStart w:id="859" w:name="_Toc25505"/>
      <w:bookmarkStart w:id="860" w:name="_Toc21637"/>
      <w:r>
        <w:rPr>
          <w:rFonts w:hint="eastAsia"/>
        </w:rPr>
        <w:t>10.</w:t>
      </w:r>
      <w:bookmarkEnd w:id="848"/>
      <w:r>
        <w:rPr>
          <w:rFonts w:hint="eastAsia"/>
        </w:rPr>
        <w:t>需要补充的其他内容</w:t>
      </w:r>
      <w:bookmarkEnd w:id="849"/>
      <w:bookmarkEnd w:id="850"/>
      <w:bookmarkEnd w:id="851"/>
      <w:bookmarkEnd w:id="852"/>
      <w:bookmarkEnd w:id="853"/>
      <w:bookmarkEnd w:id="854"/>
      <w:bookmarkEnd w:id="855"/>
      <w:bookmarkEnd w:id="856"/>
      <w:bookmarkEnd w:id="857"/>
      <w:bookmarkEnd w:id="858"/>
      <w:bookmarkEnd w:id="859"/>
      <w:bookmarkEnd w:id="860"/>
    </w:p>
    <w:p w14:paraId="0B131BE0">
      <w:pPr>
        <w:spacing w:line="360" w:lineRule="auto"/>
        <w:ind w:firstLine="420" w:firstLineChars="200"/>
        <w:rPr>
          <w:rFonts w:ascii="宋体" w:hAnsi="宋体"/>
        </w:rPr>
      </w:pPr>
      <w:bookmarkStart w:id="861" w:name="_Toc490667874"/>
      <w:bookmarkEnd w:id="861"/>
      <w:bookmarkStart w:id="862" w:name="_Toc455867814"/>
      <w:bookmarkEnd w:id="862"/>
      <w:bookmarkStart w:id="863" w:name="_Toc509667305"/>
      <w:bookmarkEnd w:id="863"/>
      <w:bookmarkStart w:id="864" w:name="_Toc466298137"/>
      <w:bookmarkEnd w:id="864"/>
      <w:bookmarkStart w:id="865" w:name="_Toc455080154"/>
      <w:r>
        <w:rPr>
          <w:rFonts w:hint="eastAsia" w:ascii="宋体" w:hAnsi="宋体"/>
        </w:rPr>
        <w:t>需要补充的其他内容：见供应商须知前附表。</w:t>
      </w:r>
      <w:bookmarkEnd w:id="865"/>
      <w:bookmarkStart w:id="866" w:name="_Toc152042375"/>
      <w:bookmarkEnd w:id="866"/>
      <w:bookmarkStart w:id="867" w:name="_Toc144974565"/>
      <w:bookmarkEnd w:id="867"/>
      <w:bookmarkStart w:id="868" w:name="_Toc152045598"/>
      <w:bookmarkEnd w:id="868"/>
    </w:p>
    <w:p w14:paraId="0A168064">
      <w:pPr>
        <w:rPr>
          <w:rFonts w:ascii="宋体" w:hAnsi="宋体"/>
        </w:rPr>
      </w:pPr>
      <w:r>
        <w:rPr>
          <w:rFonts w:hint="eastAsia" w:ascii="宋体" w:hAnsi="宋体"/>
        </w:rPr>
        <w:br w:type="page"/>
      </w:r>
    </w:p>
    <w:p w14:paraId="0AE18396">
      <w:pPr>
        <w:ind w:firstLine="422" w:firstLineChars="200"/>
        <w:rPr>
          <w:rFonts w:hint="eastAsia" w:ascii="宋体" w:hAnsi="宋体" w:cs="宋体"/>
          <w:b/>
          <w:bCs/>
          <w:kern w:val="0"/>
        </w:rPr>
        <w:sectPr>
          <w:pgSz w:w="11906" w:h="16838"/>
          <w:pgMar w:top="1440" w:right="1429" w:bottom="1440" w:left="1451" w:header="851" w:footer="992" w:gutter="0"/>
          <w:cols w:space="425" w:num="1"/>
          <w:docGrid w:type="lines" w:linePitch="312" w:charSpace="0"/>
        </w:sectPr>
      </w:pPr>
    </w:p>
    <w:p w14:paraId="5EB03920">
      <w:pPr>
        <w:spacing w:line="360" w:lineRule="auto"/>
        <w:jc w:val="left"/>
        <w:rPr>
          <w:rFonts w:hint="eastAsia" w:ascii="宋体" w:hAnsi="宋体" w:eastAsia="宋体" w:cs="宋体"/>
          <w:b/>
          <w:bCs/>
          <w:color w:val="auto"/>
          <w:sz w:val="21"/>
          <w:szCs w:val="21"/>
          <w14:ligatures w14:val="none"/>
        </w:rPr>
      </w:pPr>
      <w:bookmarkStart w:id="869" w:name="_Toc134452819"/>
      <w:r>
        <w:rPr>
          <w:rFonts w:hint="eastAsia" w:ascii="宋体" w:hAnsi="宋体" w:eastAsia="宋体" w:cs="宋体"/>
          <w:b/>
          <w:bCs/>
          <w:color w:val="auto"/>
          <w:sz w:val="21"/>
          <w:szCs w:val="21"/>
          <w14:ligatures w14:val="none"/>
        </w:rPr>
        <w:t>附件1：质疑函格式（统一格式，需提供原件）</w:t>
      </w:r>
      <w:bookmarkEnd w:id="869"/>
    </w:p>
    <w:p w14:paraId="36AB4809">
      <w:pPr>
        <w:autoSpaceDE w:val="0"/>
        <w:autoSpaceDN w:val="0"/>
        <w:adjustRightInd w:val="0"/>
        <w:jc w:val="center"/>
        <w:rPr>
          <w:rFonts w:eastAsia="宋体" w:cs="宋体"/>
          <w:b/>
          <w:color w:val="auto"/>
          <w:kern w:val="0"/>
          <w:sz w:val="21"/>
          <w:szCs w:val="21"/>
          <w14:ligatures w14:val="none"/>
        </w:rPr>
      </w:pPr>
    </w:p>
    <w:p w14:paraId="694E9036">
      <w:pPr>
        <w:autoSpaceDE w:val="0"/>
        <w:autoSpaceDN w:val="0"/>
        <w:adjustRightInd w:val="0"/>
        <w:jc w:val="center"/>
        <w:rPr>
          <w:rFonts w:eastAsia="宋体" w:cs="宋体"/>
          <w:b/>
          <w:color w:val="auto"/>
          <w:kern w:val="0"/>
          <w:sz w:val="21"/>
          <w:szCs w:val="21"/>
          <w14:ligatures w14:val="none"/>
        </w:rPr>
      </w:pPr>
      <w:r>
        <w:rPr>
          <w:rFonts w:hint="eastAsia" w:eastAsia="宋体" w:cs="宋体"/>
          <w:b/>
          <w:color w:val="auto"/>
          <w:kern w:val="0"/>
          <w:sz w:val="21"/>
          <w:szCs w:val="21"/>
          <w14:ligatures w14:val="none"/>
        </w:rPr>
        <w:t>质 疑 函</w:t>
      </w:r>
    </w:p>
    <w:p w14:paraId="6FD7963E">
      <w:pPr>
        <w:autoSpaceDE w:val="0"/>
        <w:autoSpaceDN w:val="0"/>
        <w:adjustRightInd w:val="0"/>
        <w:spacing w:line="480" w:lineRule="auto"/>
        <w:jc w:val="left"/>
        <w:rPr>
          <w:rFonts w:eastAsia="宋体" w:cs="宋体"/>
          <w:color w:val="auto"/>
          <w:kern w:val="0"/>
          <w:sz w:val="21"/>
          <w:szCs w:val="21"/>
          <w14:ligatures w14:val="none"/>
        </w:rPr>
      </w:pPr>
      <w:r>
        <w:rPr>
          <w:rFonts w:hint="eastAsia" w:eastAsia="宋体" w:cs="宋体"/>
          <w:color w:val="auto"/>
          <w:kern w:val="0"/>
          <w:sz w:val="21"/>
          <w:szCs w:val="21"/>
          <w14:ligatures w14:val="none"/>
        </w:rPr>
        <w:t>一、质疑供应商基本信息</w:t>
      </w:r>
    </w:p>
    <w:p w14:paraId="2F15BEF2">
      <w:pPr>
        <w:autoSpaceDE w:val="0"/>
        <w:autoSpaceDN w:val="0"/>
        <w:adjustRightInd w:val="0"/>
        <w:spacing w:line="480" w:lineRule="auto"/>
        <w:jc w:val="left"/>
        <w:rPr>
          <w:rFonts w:eastAsia="宋体" w:cs="宋体"/>
          <w:color w:val="auto"/>
          <w:kern w:val="0"/>
          <w:sz w:val="21"/>
          <w:szCs w:val="21"/>
          <w14:ligatures w14:val="none"/>
        </w:rPr>
      </w:pPr>
      <w:r>
        <w:rPr>
          <w:rFonts w:hint="eastAsia" w:eastAsia="宋体" w:cs="宋体"/>
          <w:color w:val="auto"/>
          <w:kern w:val="0"/>
          <w:sz w:val="21"/>
          <w:szCs w:val="21"/>
          <w14:ligatures w14:val="none"/>
        </w:rPr>
        <w:t>质疑供应商：</w:t>
      </w:r>
    </w:p>
    <w:p w14:paraId="02FA05FF">
      <w:pPr>
        <w:autoSpaceDE w:val="0"/>
        <w:autoSpaceDN w:val="0"/>
        <w:adjustRightInd w:val="0"/>
        <w:spacing w:line="480" w:lineRule="auto"/>
        <w:jc w:val="left"/>
        <w:rPr>
          <w:rFonts w:eastAsia="宋体" w:cs="宋体"/>
          <w:color w:val="auto"/>
          <w:kern w:val="0"/>
          <w:sz w:val="21"/>
          <w:szCs w:val="21"/>
          <w14:ligatures w14:val="none"/>
        </w:rPr>
      </w:pPr>
      <w:r>
        <w:rPr>
          <w:rFonts w:hint="eastAsia" w:eastAsia="宋体" w:cs="宋体"/>
          <w:color w:val="auto"/>
          <w:kern w:val="0"/>
          <w:sz w:val="21"/>
          <w:szCs w:val="21"/>
          <w14:ligatures w14:val="none"/>
        </w:rPr>
        <w:t>地址：               邮编：</w:t>
      </w:r>
    </w:p>
    <w:p w14:paraId="51AD6FD4">
      <w:pPr>
        <w:autoSpaceDE w:val="0"/>
        <w:autoSpaceDN w:val="0"/>
        <w:adjustRightInd w:val="0"/>
        <w:spacing w:line="480" w:lineRule="auto"/>
        <w:jc w:val="left"/>
        <w:rPr>
          <w:rFonts w:eastAsia="宋体" w:cs="宋体"/>
          <w:color w:val="auto"/>
          <w:kern w:val="0"/>
          <w:sz w:val="21"/>
          <w:szCs w:val="21"/>
          <w14:ligatures w14:val="none"/>
        </w:rPr>
      </w:pPr>
      <w:r>
        <w:rPr>
          <w:rFonts w:hint="eastAsia" w:eastAsia="宋体" w:cs="宋体"/>
          <w:color w:val="auto"/>
          <w:kern w:val="0"/>
          <w:sz w:val="21"/>
          <w:szCs w:val="21"/>
          <w14:ligatures w14:val="none"/>
        </w:rPr>
        <w:t>联系人：           联系电话：</w:t>
      </w:r>
    </w:p>
    <w:p w14:paraId="627619C4">
      <w:pPr>
        <w:autoSpaceDE w:val="0"/>
        <w:autoSpaceDN w:val="0"/>
        <w:adjustRightInd w:val="0"/>
        <w:spacing w:line="480" w:lineRule="auto"/>
        <w:jc w:val="left"/>
        <w:rPr>
          <w:rFonts w:eastAsia="宋体" w:cs="宋体"/>
          <w:color w:val="auto"/>
          <w:kern w:val="0"/>
          <w:sz w:val="21"/>
          <w:szCs w:val="21"/>
          <w14:ligatures w14:val="none"/>
        </w:rPr>
      </w:pPr>
      <w:r>
        <w:rPr>
          <w:rFonts w:hint="eastAsia" w:eastAsia="宋体" w:cs="宋体"/>
          <w:color w:val="auto"/>
          <w:kern w:val="0"/>
          <w:sz w:val="21"/>
          <w:szCs w:val="21"/>
          <w14:ligatures w14:val="none"/>
        </w:rPr>
        <w:t>授权代表：</w:t>
      </w:r>
    </w:p>
    <w:p w14:paraId="27CFBA01">
      <w:pPr>
        <w:autoSpaceDE w:val="0"/>
        <w:autoSpaceDN w:val="0"/>
        <w:adjustRightInd w:val="0"/>
        <w:spacing w:line="480" w:lineRule="auto"/>
        <w:jc w:val="left"/>
        <w:rPr>
          <w:rFonts w:eastAsia="宋体" w:cs="宋体"/>
          <w:color w:val="auto"/>
          <w:kern w:val="0"/>
          <w:sz w:val="21"/>
          <w:szCs w:val="21"/>
          <w14:ligatures w14:val="none"/>
        </w:rPr>
      </w:pPr>
      <w:r>
        <w:rPr>
          <w:rFonts w:hint="eastAsia" w:eastAsia="宋体" w:cs="宋体"/>
          <w:color w:val="auto"/>
          <w:kern w:val="0"/>
          <w:sz w:val="21"/>
          <w:szCs w:val="21"/>
          <w14:ligatures w14:val="none"/>
        </w:rPr>
        <w:t>联系电话：</w:t>
      </w:r>
    </w:p>
    <w:p w14:paraId="19CFB517">
      <w:pPr>
        <w:autoSpaceDE w:val="0"/>
        <w:autoSpaceDN w:val="0"/>
        <w:adjustRightInd w:val="0"/>
        <w:spacing w:line="480" w:lineRule="auto"/>
        <w:jc w:val="left"/>
        <w:rPr>
          <w:rFonts w:eastAsia="宋体" w:cs="宋体"/>
          <w:color w:val="auto"/>
          <w:kern w:val="0"/>
          <w:sz w:val="21"/>
          <w:szCs w:val="21"/>
          <w14:ligatures w14:val="none"/>
        </w:rPr>
      </w:pPr>
      <w:r>
        <w:rPr>
          <w:rFonts w:hint="eastAsia" w:eastAsia="宋体" w:cs="宋体"/>
          <w:color w:val="auto"/>
          <w:kern w:val="0"/>
          <w:sz w:val="21"/>
          <w:szCs w:val="21"/>
          <w14:ligatures w14:val="none"/>
        </w:rPr>
        <w:t>地址：             邮编：</w:t>
      </w:r>
    </w:p>
    <w:p w14:paraId="42F680EE">
      <w:pPr>
        <w:autoSpaceDE w:val="0"/>
        <w:autoSpaceDN w:val="0"/>
        <w:adjustRightInd w:val="0"/>
        <w:spacing w:line="480" w:lineRule="auto"/>
        <w:jc w:val="left"/>
        <w:rPr>
          <w:rFonts w:eastAsia="宋体" w:cs="宋体"/>
          <w:color w:val="auto"/>
          <w:kern w:val="0"/>
          <w:sz w:val="21"/>
          <w:szCs w:val="21"/>
          <w14:ligatures w14:val="none"/>
        </w:rPr>
      </w:pPr>
      <w:r>
        <w:rPr>
          <w:rFonts w:hint="eastAsia" w:eastAsia="宋体" w:cs="宋体"/>
          <w:color w:val="auto"/>
          <w:kern w:val="0"/>
          <w:sz w:val="21"/>
          <w:szCs w:val="21"/>
          <w14:ligatures w14:val="none"/>
        </w:rPr>
        <w:t>二、质疑项目基本信息</w:t>
      </w:r>
    </w:p>
    <w:p w14:paraId="10D3996A">
      <w:pPr>
        <w:autoSpaceDE w:val="0"/>
        <w:autoSpaceDN w:val="0"/>
        <w:adjustRightInd w:val="0"/>
        <w:spacing w:line="480" w:lineRule="auto"/>
        <w:jc w:val="left"/>
        <w:rPr>
          <w:rFonts w:eastAsia="宋体" w:cs="宋体"/>
          <w:color w:val="auto"/>
          <w:kern w:val="0"/>
          <w:sz w:val="21"/>
          <w:szCs w:val="21"/>
          <w14:ligatures w14:val="none"/>
        </w:rPr>
      </w:pPr>
      <w:r>
        <w:rPr>
          <w:rFonts w:hint="eastAsia" w:eastAsia="宋体" w:cs="宋体"/>
          <w:color w:val="auto"/>
          <w:kern w:val="0"/>
          <w:sz w:val="21"/>
          <w:szCs w:val="21"/>
          <w14:ligatures w14:val="none"/>
        </w:rPr>
        <w:t>质疑项目的名称：</w:t>
      </w:r>
    </w:p>
    <w:p w14:paraId="7AE63DE1">
      <w:pPr>
        <w:autoSpaceDE w:val="0"/>
        <w:autoSpaceDN w:val="0"/>
        <w:adjustRightInd w:val="0"/>
        <w:spacing w:line="480" w:lineRule="auto"/>
        <w:jc w:val="left"/>
        <w:rPr>
          <w:rFonts w:eastAsia="宋体" w:cs="宋体"/>
          <w:color w:val="auto"/>
          <w:kern w:val="0"/>
          <w:sz w:val="21"/>
          <w:szCs w:val="21"/>
          <w14:ligatures w14:val="none"/>
        </w:rPr>
      </w:pPr>
      <w:r>
        <w:rPr>
          <w:rFonts w:hint="eastAsia" w:eastAsia="宋体" w:cs="宋体"/>
          <w:color w:val="auto"/>
          <w:kern w:val="0"/>
          <w:sz w:val="21"/>
          <w:szCs w:val="21"/>
          <w14:ligatures w14:val="none"/>
        </w:rPr>
        <w:t>质疑项目的编号：</w:t>
      </w:r>
    </w:p>
    <w:p w14:paraId="6CFA4AC0">
      <w:pPr>
        <w:autoSpaceDE w:val="0"/>
        <w:autoSpaceDN w:val="0"/>
        <w:adjustRightInd w:val="0"/>
        <w:spacing w:line="480" w:lineRule="auto"/>
        <w:jc w:val="left"/>
        <w:rPr>
          <w:rFonts w:eastAsia="宋体" w:cs="宋体"/>
          <w:color w:val="auto"/>
          <w:kern w:val="0"/>
          <w:sz w:val="21"/>
          <w:szCs w:val="21"/>
          <w14:ligatures w14:val="none"/>
        </w:rPr>
      </w:pPr>
      <w:r>
        <w:rPr>
          <w:rFonts w:hint="eastAsia" w:eastAsia="宋体" w:cs="宋体"/>
          <w:color w:val="auto"/>
          <w:kern w:val="0"/>
          <w:sz w:val="21"/>
          <w:szCs w:val="21"/>
          <w14:ligatures w14:val="none"/>
        </w:rPr>
        <w:t>包号：</w:t>
      </w:r>
    </w:p>
    <w:p w14:paraId="5D6DB8E6">
      <w:pPr>
        <w:autoSpaceDE w:val="0"/>
        <w:autoSpaceDN w:val="0"/>
        <w:adjustRightInd w:val="0"/>
        <w:spacing w:line="480" w:lineRule="auto"/>
        <w:jc w:val="left"/>
        <w:rPr>
          <w:rFonts w:eastAsia="宋体" w:cs="宋体"/>
          <w:color w:val="auto"/>
          <w:kern w:val="0"/>
          <w:sz w:val="21"/>
          <w:szCs w:val="21"/>
          <w14:ligatures w14:val="none"/>
        </w:rPr>
      </w:pPr>
      <w:r>
        <w:rPr>
          <w:rFonts w:hint="eastAsia" w:eastAsia="宋体" w:cs="宋体"/>
          <w:color w:val="auto"/>
          <w:kern w:val="0"/>
          <w:sz w:val="21"/>
          <w:szCs w:val="21"/>
          <w14:ligatures w14:val="none"/>
        </w:rPr>
        <w:t>采购人名称：</w:t>
      </w:r>
    </w:p>
    <w:p w14:paraId="03A42FBC">
      <w:pPr>
        <w:autoSpaceDE w:val="0"/>
        <w:autoSpaceDN w:val="0"/>
        <w:adjustRightInd w:val="0"/>
        <w:spacing w:line="480" w:lineRule="auto"/>
        <w:jc w:val="left"/>
        <w:rPr>
          <w:rFonts w:eastAsia="宋体" w:cs="宋体"/>
          <w:color w:val="auto"/>
          <w:kern w:val="0"/>
          <w:sz w:val="21"/>
          <w:szCs w:val="21"/>
          <w14:ligatures w14:val="none"/>
        </w:rPr>
      </w:pPr>
      <w:r>
        <w:rPr>
          <w:rFonts w:hint="eastAsia" w:eastAsia="宋体" w:cs="宋体"/>
          <w:color w:val="auto"/>
          <w:kern w:val="0"/>
          <w:sz w:val="21"/>
          <w:szCs w:val="21"/>
          <w14:ligatures w14:val="none"/>
        </w:rPr>
        <w:t>竞争性磋商文件获取日期：</w:t>
      </w:r>
    </w:p>
    <w:p w14:paraId="25441638">
      <w:pPr>
        <w:autoSpaceDE w:val="0"/>
        <w:autoSpaceDN w:val="0"/>
        <w:adjustRightInd w:val="0"/>
        <w:spacing w:line="480" w:lineRule="auto"/>
        <w:jc w:val="left"/>
        <w:rPr>
          <w:rFonts w:eastAsia="宋体" w:cs="宋体"/>
          <w:color w:val="auto"/>
          <w:kern w:val="0"/>
          <w:sz w:val="21"/>
          <w:szCs w:val="21"/>
          <w14:ligatures w14:val="none"/>
        </w:rPr>
      </w:pPr>
      <w:r>
        <w:rPr>
          <w:rFonts w:hint="eastAsia" w:eastAsia="宋体" w:cs="宋体"/>
          <w:color w:val="auto"/>
          <w:kern w:val="0"/>
          <w:sz w:val="21"/>
          <w:szCs w:val="21"/>
          <w14:ligatures w14:val="none"/>
        </w:rPr>
        <w:t>三、质疑事项具体内容</w:t>
      </w:r>
    </w:p>
    <w:p w14:paraId="6919B56E">
      <w:pPr>
        <w:autoSpaceDE w:val="0"/>
        <w:autoSpaceDN w:val="0"/>
        <w:adjustRightInd w:val="0"/>
        <w:spacing w:line="480" w:lineRule="auto"/>
        <w:jc w:val="left"/>
        <w:rPr>
          <w:rFonts w:eastAsia="宋体" w:cs="宋体"/>
          <w:color w:val="auto"/>
          <w:kern w:val="0"/>
          <w:sz w:val="21"/>
          <w:szCs w:val="21"/>
          <w14:ligatures w14:val="none"/>
        </w:rPr>
      </w:pPr>
      <w:r>
        <w:rPr>
          <w:rFonts w:hint="eastAsia" w:eastAsia="宋体" w:cs="宋体"/>
          <w:color w:val="auto"/>
          <w:kern w:val="0"/>
          <w:sz w:val="21"/>
          <w:szCs w:val="21"/>
          <w14:ligatures w14:val="none"/>
        </w:rPr>
        <w:t>质疑事项</w:t>
      </w:r>
      <w:r>
        <w:rPr>
          <w:rFonts w:eastAsia="宋体" w:cs="宋体"/>
          <w:color w:val="auto"/>
          <w:kern w:val="0"/>
          <w:sz w:val="21"/>
          <w:szCs w:val="21"/>
          <w14:ligatures w14:val="none"/>
        </w:rPr>
        <w:t>1</w:t>
      </w:r>
      <w:r>
        <w:rPr>
          <w:rFonts w:hint="eastAsia" w:eastAsia="宋体" w:cs="宋体"/>
          <w:color w:val="auto"/>
          <w:kern w:val="0"/>
          <w:sz w:val="21"/>
          <w:szCs w:val="21"/>
          <w14:ligatures w14:val="none"/>
        </w:rPr>
        <w:t>：</w:t>
      </w:r>
    </w:p>
    <w:p w14:paraId="08AAC0C3">
      <w:pPr>
        <w:autoSpaceDE w:val="0"/>
        <w:autoSpaceDN w:val="0"/>
        <w:adjustRightInd w:val="0"/>
        <w:spacing w:line="480" w:lineRule="auto"/>
        <w:jc w:val="left"/>
        <w:rPr>
          <w:rFonts w:eastAsia="宋体" w:cs="宋体"/>
          <w:color w:val="auto"/>
          <w:kern w:val="0"/>
          <w:sz w:val="21"/>
          <w:szCs w:val="21"/>
          <w14:ligatures w14:val="none"/>
        </w:rPr>
      </w:pPr>
      <w:r>
        <w:rPr>
          <w:rFonts w:hint="eastAsia" w:eastAsia="宋体" w:cs="宋体"/>
          <w:color w:val="auto"/>
          <w:kern w:val="0"/>
          <w:sz w:val="21"/>
          <w:szCs w:val="21"/>
          <w14:ligatures w14:val="none"/>
        </w:rPr>
        <w:t>事实依据：</w:t>
      </w:r>
    </w:p>
    <w:p w14:paraId="6A653D98">
      <w:pPr>
        <w:autoSpaceDE w:val="0"/>
        <w:autoSpaceDN w:val="0"/>
        <w:adjustRightInd w:val="0"/>
        <w:spacing w:line="480" w:lineRule="auto"/>
        <w:jc w:val="left"/>
        <w:rPr>
          <w:rFonts w:eastAsia="宋体" w:cs="宋体"/>
          <w:color w:val="auto"/>
          <w:kern w:val="0"/>
          <w:sz w:val="21"/>
          <w:szCs w:val="21"/>
          <w14:ligatures w14:val="none"/>
        </w:rPr>
      </w:pPr>
      <w:r>
        <w:rPr>
          <w:rFonts w:hint="eastAsia" w:eastAsia="宋体" w:cs="宋体"/>
          <w:color w:val="auto"/>
          <w:kern w:val="0"/>
          <w:sz w:val="21"/>
          <w:szCs w:val="21"/>
          <w14:ligatures w14:val="none"/>
        </w:rPr>
        <w:t>法律依据：</w:t>
      </w:r>
    </w:p>
    <w:p w14:paraId="2F3A05F4">
      <w:pPr>
        <w:autoSpaceDE w:val="0"/>
        <w:autoSpaceDN w:val="0"/>
        <w:adjustRightInd w:val="0"/>
        <w:spacing w:line="480" w:lineRule="auto"/>
        <w:jc w:val="left"/>
        <w:rPr>
          <w:rFonts w:eastAsia="宋体" w:cs="宋体"/>
          <w:color w:val="auto"/>
          <w:kern w:val="0"/>
          <w:sz w:val="21"/>
          <w:szCs w:val="21"/>
          <w14:ligatures w14:val="none"/>
        </w:rPr>
      </w:pPr>
      <w:r>
        <w:rPr>
          <w:rFonts w:hint="eastAsia" w:eastAsia="宋体" w:cs="宋体"/>
          <w:color w:val="auto"/>
          <w:kern w:val="0"/>
          <w:sz w:val="21"/>
          <w:szCs w:val="21"/>
          <w14:ligatures w14:val="none"/>
        </w:rPr>
        <w:t>质疑事项</w:t>
      </w:r>
      <w:r>
        <w:rPr>
          <w:rFonts w:eastAsia="宋体" w:cs="宋体"/>
          <w:color w:val="auto"/>
          <w:kern w:val="0"/>
          <w:sz w:val="21"/>
          <w:szCs w:val="21"/>
          <w14:ligatures w14:val="none"/>
        </w:rPr>
        <w:t>2</w:t>
      </w:r>
      <w:r>
        <w:rPr>
          <w:rFonts w:hint="eastAsia" w:eastAsia="宋体" w:cs="宋体"/>
          <w:color w:val="auto"/>
          <w:kern w:val="0"/>
          <w:sz w:val="21"/>
          <w:szCs w:val="21"/>
          <w14:ligatures w14:val="none"/>
        </w:rPr>
        <w:t>：</w:t>
      </w:r>
    </w:p>
    <w:p w14:paraId="63591141">
      <w:pPr>
        <w:autoSpaceDE w:val="0"/>
        <w:autoSpaceDN w:val="0"/>
        <w:adjustRightInd w:val="0"/>
        <w:spacing w:line="480" w:lineRule="auto"/>
        <w:jc w:val="left"/>
        <w:rPr>
          <w:rFonts w:eastAsia="宋体" w:cs="宋体"/>
          <w:color w:val="auto"/>
          <w:kern w:val="0"/>
          <w:sz w:val="21"/>
          <w:szCs w:val="21"/>
          <w14:ligatures w14:val="none"/>
        </w:rPr>
      </w:pPr>
      <w:r>
        <w:rPr>
          <w:rFonts w:hint="eastAsia" w:eastAsia="宋体" w:cs="宋体"/>
          <w:color w:val="auto"/>
          <w:kern w:val="0"/>
          <w:sz w:val="21"/>
          <w:szCs w:val="21"/>
          <w14:ligatures w14:val="none"/>
        </w:rPr>
        <w:t>……</w:t>
      </w:r>
    </w:p>
    <w:p w14:paraId="55749A0F">
      <w:pPr>
        <w:autoSpaceDE w:val="0"/>
        <w:autoSpaceDN w:val="0"/>
        <w:adjustRightInd w:val="0"/>
        <w:spacing w:line="480" w:lineRule="auto"/>
        <w:jc w:val="left"/>
        <w:rPr>
          <w:rFonts w:eastAsia="宋体" w:cs="宋体"/>
          <w:color w:val="auto"/>
          <w:kern w:val="0"/>
          <w:sz w:val="21"/>
          <w:szCs w:val="21"/>
          <w14:ligatures w14:val="none"/>
        </w:rPr>
      </w:pPr>
      <w:r>
        <w:rPr>
          <w:rFonts w:hint="eastAsia" w:eastAsia="宋体" w:cs="宋体"/>
          <w:color w:val="auto"/>
          <w:kern w:val="0"/>
          <w:sz w:val="21"/>
          <w:szCs w:val="21"/>
          <w14:ligatures w14:val="none"/>
        </w:rPr>
        <w:t>四、与质疑事项相关的质疑请求：</w:t>
      </w:r>
    </w:p>
    <w:p w14:paraId="2B1D6CB7">
      <w:pPr>
        <w:autoSpaceDE w:val="0"/>
        <w:autoSpaceDN w:val="0"/>
        <w:adjustRightInd w:val="0"/>
        <w:spacing w:line="480" w:lineRule="auto"/>
        <w:jc w:val="left"/>
        <w:rPr>
          <w:rFonts w:eastAsia="宋体" w:cs="宋体"/>
          <w:color w:val="auto"/>
          <w:kern w:val="0"/>
          <w:sz w:val="21"/>
          <w:szCs w:val="21"/>
          <w14:ligatures w14:val="none"/>
        </w:rPr>
      </w:pPr>
      <w:r>
        <w:rPr>
          <w:rFonts w:hint="eastAsia" w:eastAsia="宋体" w:cs="宋体"/>
          <w:color w:val="auto"/>
          <w:kern w:val="0"/>
          <w:sz w:val="21"/>
          <w:szCs w:val="21"/>
          <w14:ligatures w14:val="none"/>
        </w:rPr>
        <w:t>签字（签章）：</w:t>
      </w:r>
    </w:p>
    <w:p w14:paraId="65F4C27E">
      <w:pPr>
        <w:autoSpaceDE w:val="0"/>
        <w:autoSpaceDN w:val="0"/>
        <w:adjustRightInd w:val="0"/>
        <w:spacing w:line="480" w:lineRule="auto"/>
        <w:jc w:val="left"/>
        <w:rPr>
          <w:rFonts w:eastAsia="宋体" w:cs="宋体"/>
          <w:color w:val="auto"/>
          <w:kern w:val="0"/>
          <w:sz w:val="21"/>
          <w:szCs w:val="21"/>
          <w14:ligatures w14:val="none"/>
        </w:rPr>
      </w:pPr>
      <w:r>
        <w:rPr>
          <w:rFonts w:hint="eastAsia" w:eastAsia="宋体" w:cs="宋体"/>
          <w:color w:val="auto"/>
          <w:kern w:val="0"/>
          <w:sz w:val="21"/>
          <w:szCs w:val="21"/>
          <w14:ligatures w14:val="none"/>
        </w:rPr>
        <w:t>公章：</w:t>
      </w:r>
    </w:p>
    <w:p w14:paraId="3078FB55">
      <w:pPr>
        <w:spacing w:line="480" w:lineRule="auto"/>
        <w:jc w:val="left"/>
        <w:rPr>
          <w:rFonts w:eastAsia="宋体" w:cs="Times New Roman"/>
          <w:color w:val="auto"/>
          <w:sz w:val="21"/>
          <w:szCs w:val="21"/>
          <w14:ligatures w14:val="none"/>
        </w:rPr>
      </w:pPr>
      <w:r>
        <w:rPr>
          <w:rFonts w:hint="eastAsia" w:eastAsia="宋体" w:cs="Times New Roman"/>
          <w:color w:val="auto"/>
          <w:sz w:val="21"/>
          <w:szCs w:val="21"/>
          <w14:ligatures w14:val="none"/>
        </w:rPr>
        <w:t>日期：</w:t>
      </w:r>
    </w:p>
    <w:p w14:paraId="4BCA4CFF">
      <w:pPr>
        <w:spacing w:line="360" w:lineRule="auto"/>
        <w:jc w:val="left"/>
        <w:rPr>
          <w:rFonts w:eastAsia="宋体" w:cs="Times New Roman"/>
          <w:color w:val="auto"/>
          <w:sz w:val="21"/>
          <w:szCs w:val="21"/>
          <w14:ligatures w14:val="none"/>
        </w:rPr>
      </w:pPr>
    </w:p>
    <w:p w14:paraId="4A671CAD">
      <w:pPr>
        <w:spacing w:line="360" w:lineRule="auto"/>
        <w:jc w:val="left"/>
        <w:rPr>
          <w:rFonts w:eastAsia="宋体" w:cs="Times New Roman"/>
          <w:color w:val="auto"/>
          <w:sz w:val="21"/>
          <w:szCs w:val="21"/>
          <w14:ligatures w14:val="none"/>
        </w:rPr>
      </w:pPr>
    </w:p>
    <w:p w14:paraId="17656E71">
      <w:pPr>
        <w:spacing w:line="360" w:lineRule="auto"/>
        <w:jc w:val="left"/>
        <w:rPr>
          <w:rFonts w:eastAsia="宋体" w:cs="Times New Roman"/>
          <w:color w:val="auto"/>
          <w:sz w:val="21"/>
          <w:szCs w:val="21"/>
          <w14:ligatures w14:val="none"/>
        </w:rPr>
      </w:pPr>
    </w:p>
    <w:p w14:paraId="3974ECCA">
      <w:pPr>
        <w:spacing w:line="480" w:lineRule="auto"/>
        <w:jc w:val="left"/>
        <w:rPr>
          <w:rFonts w:eastAsia="宋体" w:cs="Times New Roman"/>
          <w:bCs/>
          <w:color w:val="auto"/>
          <w:sz w:val="21"/>
          <w:szCs w:val="21"/>
          <w14:ligatures w14:val="none"/>
        </w:rPr>
      </w:pPr>
      <w:r>
        <w:rPr>
          <w:rFonts w:hint="eastAsia" w:eastAsia="宋体" w:cs="Times New Roman"/>
          <w:bCs/>
          <w:color w:val="auto"/>
          <w:sz w:val="21"/>
          <w:szCs w:val="21"/>
          <w14:ligatures w14:val="none"/>
        </w:rPr>
        <w:t>质疑函制作说明：</w:t>
      </w:r>
    </w:p>
    <w:p w14:paraId="52429DAD">
      <w:pPr>
        <w:spacing w:line="480" w:lineRule="auto"/>
        <w:jc w:val="left"/>
        <w:rPr>
          <w:rFonts w:eastAsia="宋体" w:cs="Times New Roman"/>
          <w:bCs/>
          <w:color w:val="auto"/>
          <w:sz w:val="21"/>
          <w:szCs w:val="21"/>
          <w14:ligatures w14:val="none"/>
        </w:rPr>
      </w:pPr>
      <w:r>
        <w:rPr>
          <w:rFonts w:hint="eastAsia" w:eastAsia="宋体" w:cs="Times New Roman"/>
          <w:bCs/>
          <w:color w:val="auto"/>
          <w:sz w:val="21"/>
          <w:szCs w:val="21"/>
          <w14:ligatures w14:val="none"/>
        </w:rPr>
        <w:t>1.供应商提出质疑时，应提交质疑函和必要的证明材料。</w:t>
      </w:r>
    </w:p>
    <w:p w14:paraId="4E1C8A74">
      <w:pPr>
        <w:spacing w:line="480" w:lineRule="auto"/>
        <w:jc w:val="left"/>
        <w:rPr>
          <w:rFonts w:eastAsia="宋体" w:cs="Times New Roman"/>
          <w:bCs/>
          <w:color w:val="auto"/>
          <w:sz w:val="21"/>
          <w:szCs w:val="21"/>
          <w14:ligatures w14:val="none"/>
        </w:rPr>
      </w:pPr>
      <w:r>
        <w:rPr>
          <w:rFonts w:hint="eastAsia" w:eastAsia="宋体" w:cs="Times New Roman"/>
          <w:bCs/>
          <w:color w:val="auto"/>
          <w:sz w:val="21"/>
          <w:szCs w:val="21"/>
          <w14:ligatures w14: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A7D6FF7">
      <w:pPr>
        <w:spacing w:line="480" w:lineRule="auto"/>
        <w:jc w:val="left"/>
        <w:rPr>
          <w:rFonts w:eastAsia="宋体" w:cs="Times New Roman"/>
          <w:bCs/>
          <w:color w:val="auto"/>
          <w:sz w:val="21"/>
          <w:szCs w:val="21"/>
          <w14:ligatures w14:val="none"/>
        </w:rPr>
      </w:pPr>
      <w:r>
        <w:rPr>
          <w:rFonts w:eastAsia="宋体" w:cs="Times New Roman"/>
          <w:bCs/>
          <w:color w:val="auto"/>
          <w:sz w:val="21"/>
          <w:szCs w:val="21"/>
          <w14:ligatures w14:val="none"/>
        </w:rPr>
        <w:t>3</w:t>
      </w:r>
      <w:r>
        <w:rPr>
          <w:rFonts w:hint="eastAsia" w:eastAsia="宋体" w:cs="Times New Roman"/>
          <w:bCs/>
          <w:color w:val="auto"/>
          <w:sz w:val="21"/>
          <w:szCs w:val="21"/>
          <w14:ligatures w14:val="none"/>
        </w:rPr>
        <w:t>.质疑函的质疑事项应具体、明确，并有必要的事实依据和法律依据。</w:t>
      </w:r>
    </w:p>
    <w:p w14:paraId="7B8EBD0D">
      <w:pPr>
        <w:spacing w:line="480" w:lineRule="auto"/>
        <w:jc w:val="left"/>
        <w:rPr>
          <w:rFonts w:eastAsia="宋体" w:cs="Times New Roman"/>
          <w:bCs/>
          <w:color w:val="auto"/>
          <w:sz w:val="21"/>
          <w:szCs w:val="21"/>
          <w14:ligatures w14:val="none"/>
        </w:rPr>
      </w:pPr>
      <w:r>
        <w:rPr>
          <w:rFonts w:eastAsia="宋体" w:cs="Times New Roman"/>
          <w:bCs/>
          <w:color w:val="auto"/>
          <w:sz w:val="21"/>
          <w:szCs w:val="21"/>
          <w14:ligatures w14:val="none"/>
        </w:rPr>
        <w:t>4</w:t>
      </w:r>
      <w:r>
        <w:rPr>
          <w:rFonts w:hint="eastAsia" w:eastAsia="宋体" w:cs="Times New Roman"/>
          <w:bCs/>
          <w:color w:val="auto"/>
          <w:sz w:val="21"/>
          <w:szCs w:val="21"/>
          <w14:ligatures w14:val="none"/>
        </w:rPr>
        <w:t>.质疑函的质疑请求应与质疑事项相关。</w:t>
      </w:r>
    </w:p>
    <w:p w14:paraId="0762E4C5">
      <w:pPr>
        <w:spacing w:line="480" w:lineRule="auto"/>
        <w:jc w:val="left"/>
        <w:rPr>
          <w:rFonts w:eastAsia="宋体" w:cs="Times New Roman"/>
          <w:bCs/>
          <w:color w:val="auto"/>
          <w:sz w:val="21"/>
          <w:szCs w:val="21"/>
          <w14:ligatures w14:val="none"/>
        </w:rPr>
      </w:pPr>
      <w:r>
        <w:rPr>
          <w:rFonts w:eastAsia="宋体" w:cs="Times New Roman"/>
          <w:bCs/>
          <w:color w:val="auto"/>
          <w:sz w:val="21"/>
          <w:szCs w:val="21"/>
          <w14:ligatures w14:val="none"/>
        </w:rPr>
        <w:t>5</w:t>
      </w:r>
      <w:r>
        <w:rPr>
          <w:rFonts w:hint="eastAsia" w:eastAsia="宋体" w:cs="Times New Roman"/>
          <w:bCs/>
          <w:color w:val="auto"/>
          <w:sz w:val="21"/>
          <w:szCs w:val="21"/>
          <w14:ligatures w14:val="none"/>
        </w:rPr>
        <w:t>.质疑供应商为自然人的，质疑函应由本人签字；质疑供应商为法人或者其他组织的，质疑函应由法定代表人、主要负责人或者他授权代表签字或者盖章，并加盖公章。</w:t>
      </w:r>
    </w:p>
    <w:p w14:paraId="6EE3CF64">
      <w:pPr>
        <w:ind w:firstLine="422" w:firstLineChars="200"/>
        <w:rPr>
          <w:rFonts w:hint="eastAsia" w:ascii="宋体" w:hAnsi="宋体" w:cs="宋体"/>
          <w:b/>
          <w:bCs/>
          <w:kern w:val="0"/>
        </w:rPr>
        <w:sectPr>
          <w:pgSz w:w="11906" w:h="16838"/>
          <w:pgMar w:top="1440" w:right="1429" w:bottom="1440" w:left="1451" w:header="851" w:footer="992" w:gutter="0"/>
          <w:cols w:space="425" w:num="1"/>
          <w:docGrid w:type="lines" w:linePitch="312" w:charSpace="0"/>
        </w:sectPr>
      </w:pPr>
    </w:p>
    <w:p w14:paraId="7D3D104F">
      <w:pPr>
        <w:ind w:firstLine="422" w:firstLineChars="200"/>
      </w:pPr>
      <w:r>
        <w:rPr>
          <w:rFonts w:hint="eastAsia" w:ascii="宋体" w:hAnsi="宋体" w:cs="宋体"/>
          <w:b/>
          <w:bCs/>
          <w:kern w:val="0"/>
        </w:rPr>
        <w:t>附件</w:t>
      </w:r>
      <w:r>
        <w:rPr>
          <w:rFonts w:hint="eastAsia" w:ascii="宋体" w:hAnsi="宋体" w:cs="宋体"/>
          <w:b/>
          <w:bCs/>
          <w:kern w:val="0"/>
          <w:lang w:val="en-US" w:eastAsia="zh-CN"/>
        </w:rPr>
        <w:t>2</w:t>
      </w:r>
      <w:r>
        <w:rPr>
          <w:rFonts w:hint="eastAsia" w:ascii="宋体" w:hAnsi="宋体" w:eastAsia="宋体" w:cs="宋体"/>
          <w:b/>
          <w:bCs/>
          <w:kern w:val="0"/>
        </w:rPr>
        <w:t xml:space="preserve">                        </w:t>
      </w:r>
      <w:r>
        <w:rPr>
          <w:rFonts w:ascii="方正小标宋简体" w:hAnsi="方正小标宋简体" w:eastAsia="方正小标宋简体" w:cs="方正小标宋简体"/>
          <w:kern w:val="0"/>
          <w:sz w:val="28"/>
          <w:szCs w:val="28"/>
          <w:shd w:val="clear" w:color="auto" w:fill="F9F9F9"/>
        </w:rPr>
        <w:t>中小企业划型标准规定</w:t>
      </w:r>
    </w:p>
    <w:tbl>
      <w:tblPr>
        <w:tblStyle w:val="34"/>
        <w:tblW w:w="9896" w:type="dxa"/>
        <w:jc w:val="center"/>
        <w:shd w:val="clear" w:color="auto" w:fill="FFFFFF"/>
        <w:tblLayout w:type="autofit"/>
        <w:tblCellMar>
          <w:top w:w="0" w:type="dxa"/>
          <w:left w:w="0" w:type="dxa"/>
          <w:bottom w:w="0" w:type="dxa"/>
          <w:right w:w="0" w:type="dxa"/>
        </w:tblCellMar>
      </w:tblPr>
      <w:tblGrid>
        <w:gridCol w:w="1687"/>
        <w:gridCol w:w="1492"/>
        <w:gridCol w:w="728"/>
        <w:gridCol w:w="1245"/>
        <w:gridCol w:w="1965"/>
        <w:gridCol w:w="1756"/>
        <w:gridCol w:w="1023"/>
      </w:tblGrid>
      <w:tr w14:paraId="127F70F1">
        <w:tblPrEx>
          <w:shd w:val="clear" w:color="auto" w:fill="FFFFFF"/>
          <w:tblCellMar>
            <w:top w:w="0" w:type="dxa"/>
            <w:left w:w="0" w:type="dxa"/>
            <w:bottom w:w="0" w:type="dxa"/>
            <w:right w:w="0" w:type="dxa"/>
          </w:tblCellMar>
        </w:tblPrEx>
        <w:trPr>
          <w:trHeight w:val="653" w:hRule="atLeast"/>
          <w:jc w:val="center"/>
        </w:trPr>
        <w:tc>
          <w:tcPr>
            <w:tcW w:w="1687" w:type="dxa"/>
            <w:tcBorders>
              <w:top w:val="single" w:color="4F81BD" w:sz="6" w:space="0"/>
              <w:left w:val="single" w:color="4F81BD" w:sz="6" w:space="0"/>
              <w:bottom w:val="single" w:color="FFFFFF" w:sz="18" w:space="0"/>
              <w:right w:val="single" w:color="4F81BD" w:sz="6" w:space="0"/>
            </w:tcBorders>
            <w:shd w:val="clear" w:color="auto" w:fill="4F81BD"/>
            <w:tcMar>
              <w:left w:w="105" w:type="dxa"/>
              <w:right w:w="105" w:type="dxa"/>
            </w:tcMar>
            <w:vAlign w:val="center"/>
          </w:tcPr>
          <w:p w14:paraId="553A9664">
            <w:pPr>
              <w:pStyle w:val="31"/>
              <w:wordWrap w:val="0"/>
              <w:spacing w:line="240" w:lineRule="auto"/>
              <w:jc w:val="center"/>
              <w:rPr>
                <w:rFonts w:ascii="宋体" w:hAnsi="宋体" w:cs="宋体"/>
              </w:rPr>
            </w:pPr>
            <w:r>
              <w:rPr>
                <w:rStyle w:val="36"/>
                <w:rFonts w:hint="eastAsia" w:ascii="宋体" w:hAnsi="宋体" w:cs="宋体"/>
                <w:spacing w:val="8"/>
              </w:rPr>
              <w:t>行业名称</w:t>
            </w:r>
          </w:p>
        </w:tc>
        <w:tc>
          <w:tcPr>
            <w:tcW w:w="1492"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38EAB293">
            <w:pPr>
              <w:pStyle w:val="31"/>
              <w:wordWrap w:val="0"/>
              <w:spacing w:line="240" w:lineRule="auto"/>
              <w:jc w:val="center"/>
              <w:rPr>
                <w:rFonts w:ascii="宋体" w:hAnsi="宋体" w:cs="宋体"/>
              </w:rPr>
            </w:pPr>
            <w:r>
              <w:rPr>
                <w:rStyle w:val="36"/>
                <w:rFonts w:hint="eastAsia" w:ascii="宋体" w:hAnsi="宋体" w:cs="宋体"/>
                <w:spacing w:val="8"/>
              </w:rPr>
              <w:t>指标名称</w:t>
            </w:r>
          </w:p>
        </w:tc>
        <w:tc>
          <w:tcPr>
            <w:tcW w:w="728"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0BA155A0">
            <w:pPr>
              <w:pStyle w:val="31"/>
              <w:wordWrap w:val="0"/>
              <w:spacing w:line="240" w:lineRule="auto"/>
              <w:jc w:val="center"/>
              <w:rPr>
                <w:rFonts w:ascii="宋体" w:hAnsi="宋体" w:cs="宋体"/>
              </w:rPr>
            </w:pPr>
            <w:r>
              <w:rPr>
                <w:rStyle w:val="36"/>
                <w:rFonts w:hint="eastAsia" w:ascii="宋体" w:hAnsi="宋体" w:cs="宋体"/>
                <w:spacing w:val="8"/>
              </w:rPr>
              <w:t>计量单位</w:t>
            </w:r>
          </w:p>
        </w:tc>
        <w:tc>
          <w:tcPr>
            <w:tcW w:w="1245"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7A4BFB55">
            <w:pPr>
              <w:pStyle w:val="31"/>
              <w:wordWrap w:val="0"/>
              <w:spacing w:line="240" w:lineRule="auto"/>
              <w:jc w:val="center"/>
              <w:rPr>
                <w:rFonts w:ascii="宋体" w:hAnsi="宋体" w:cs="宋体"/>
              </w:rPr>
            </w:pPr>
            <w:r>
              <w:rPr>
                <w:rStyle w:val="36"/>
                <w:rFonts w:hint="eastAsia" w:ascii="宋体" w:hAnsi="宋体" w:cs="宋体"/>
                <w:spacing w:val="8"/>
              </w:rPr>
              <w:t>大型</w:t>
            </w:r>
          </w:p>
        </w:tc>
        <w:tc>
          <w:tcPr>
            <w:tcW w:w="1965"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1F702C55">
            <w:pPr>
              <w:pStyle w:val="31"/>
              <w:wordWrap w:val="0"/>
              <w:spacing w:line="240" w:lineRule="auto"/>
              <w:jc w:val="center"/>
              <w:rPr>
                <w:rFonts w:ascii="宋体" w:hAnsi="宋体" w:cs="宋体"/>
              </w:rPr>
            </w:pPr>
            <w:r>
              <w:rPr>
                <w:rStyle w:val="36"/>
                <w:rFonts w:hint="eastAsia" w:ascii="宋体" w:hAnsi="宋体" w:cs="宋体"/>
                <w:spacing w:val="8"/>
              </w:rPr>
              <w:t>中型</w:t>
            </w:r>
          </w:p>
        </w:tc>
        <w:tc>
          <w:tcPr>
            <w:tcW w:w="1756"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6A3531E8">
            <w:pPr>
              <w:pStyle w:val="31"/>
              <w:wordWrap w:val="0"/>
              <w:spacing w:line="240" w:lineRule="auto"/>
              <w:jc w:val="center"/>
              <w:rPr>
                <w:rFonts w:ascii="宋体" w:hAnsi="宋体" w:cs="宋体"/>
              </w:rPr>
            </w:pPr>
            <w:r>
              <w:rPr>
                <w:rStyle w:val="36"/>
                <w:rFonts w:hint="eastAsia" w:ascii="宋体" w:hAnsi="宋体" w:cs="宋体"/>
                <w:spacing w:val="8"/>
              </w:rPr>
              <w:t>小型</w:t>
            </w:r>
          </w:p>
        </w:tc>
        <w:tc>
          <w:tcPr>
            <w:tcW w:w="1023"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1CE3C470">
            <w:pPr>
              <w:pStyle w:val="31"/>
              <w:wordWrap w:val="0"/>
              <w:spacing w:line="240" w:lineRule="auto"/>
              <w:jc w:val="center"/>
              <w:rPr>
                <w:rFonts w:ascii="宋体" w:hAnsi="宋体" w:cs="宋体"/>
              </w:rPr>
            </w:pPr>
            <w:r>
              <w:rPr>
                <w:rStyle w:val="36"/>
                <w:rFonts w:hint="eastAsia" w:ascii="宋体" w:hAnsi="宋体" w:cs="宋体"/>
                <w:spacing w:val="8"/>
              </w:rPr>
              <w:t>微型</w:t>
            </w:r>
          </w:p>
        </w:tc>
      </w:tr>
      <w:tr w14:paraId="67BBCBAE">
        <w:tblPrEx>
          <w:tblCellMar>
            <w:top w:w="0" w:type="dxa"/>
            <w:left w:w="0" w:type="dxa"/>
            <w:bottom w:w="0" w:type="dxa"/>
            <w:right w:w="0" w:type="dxa"/>
          </w:tblCellMar>
        </w:tblPrEx>
        <w:trPr>
          <w:trHeight w:val="682" w:hRule="atLeast"/>
          <w:jc w:val="center"/>
        </w:trPr>
        <w:tc>
          <w:tcPr>
            <w:tcW w:w="1687" w:type="dxa"/>
            <w:tcBorders>
              <w:top w:val="nil"/>
              <w:left w:val="single" w:color="4F81BD" w:sz="6" w:space="0"/>
              <w:bottom w:val="single" w:color="4F81BD" w:sz="6" w:space="0"/>
              <w:right w:val="single" w:color="4F81BD" w:sz="6" w:space="0"/>
            </w:tcBorders>
            <w:shd w:val="clear" w:color="auto" w:fill="B8CCE4"/>
            <w:tcMar>
              <w:left w:w="105" w:type="dxa"/>
              <w:right w:w="105" w:type="dxa"/>
            </w:tcMar>
            <w:vAlign w:val="center"/>
          </w:tcPr>
          <w:p w14:paraId="217C023C">
            <w:pPr>
              <w:pStyle w:val="31"/>
              <w:wordWrap w:val="0"/>
              <w:spacing w:line="240" w:lineRule="atLeast"/>
              <w:jc w:val="center"/>
              <w:rPr>
                <w:rFonts w:ascii="宋体" w:hAnsi="宋体" w:cs="宋体"/>
              </w:rPr>
            </w:pPr>
            <w:r>
              <w:rPr>
                <w:rFonts w:hint="eastAsia" w:ascii="宋体" w:hAnsi="宋体" w:cs="宋体"/>
                <w:spacing w:val="8"/>
              </w:rPr>
              <w:t>农、林、牧、渔业</w:t>
            </w: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BFD8D9E">
            <w:pPr>
              <w:pStyle w:val="31"/>
              <w:wordWrap w:val="0"/>
              <w:jc w:val="center"/>
              <w:rPr>
                <w:rFonts w:ascii="宋体" w:hAnsi="宋体" w:cs="宋体"/>
              </w:rPr>
            </w:pPr>
            <w:r>
              <w:rPr>
                <w:rFonts w:hint="eastAsia" w:ascii="宋体" w:hAnsi="宋体" w:cs="宋体"/>
                <w:spacing w:val="8"/>
              </w:rPr>
              <w:t>营业收入(Y)</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2A304D3">
            <w:pPr>
              <w:pStyle w:val="31"/>
              <w:wordWrap w:val="0"/>
              <w:jc w:val="center"/>
              <w:rPr>
                <w:rFonts w:ascii="宋体" w:hAnsi="宋体" w:cs="宋体"/>
              </w:rPr>
            </w:pPr>
            <w:r>
              <w:rPr>
                <w:rFonts w:hint="eastAsia" w:ascii="宋体" w:hAnsi="宋体" w:cs="宋体"/>
                <w:spacing w:val="8"/>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BA61751">
            <w:pPr>
              <w:pStyle w:val="31"/>
              <w:wordWrap w:val="0"/>
              <w:jc w:val="center"/>
              <w:rPr>
                <w:rFonts w:ascii="宋体" w:hAnsi="宋体" w:cs="宋体"/>
              </w:rPr>
            </w:pPr>
            <w:r>
              <w:rPr>
                <w:rFonts w:hint="eastAsia" w:ascii="宋体" w:hAnsi="宋体" w:cs="宋体"/>
                <w:spacing w:val="8"/>
              </w:rPr>
              <w:t>Y≥20000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F5153FB">
            <w:pPr>
              <w:pStyle w:val="31"/>
              <w:wordWrap w:val="0"/>
              <w:jc w:val="center"/>
              <w:rPr>
                <w:rFonts w:ascii="宋体" w:hAnsi="宋体" w:cs="宋体"/>
              </w:rPr>
            </w:pPr>
            <w:r>
              <w:rPr>
                <w:rFonts w:hint="eastAsia" w:ascii="宋体" w:hAnsi="宋体" w:cs="宋体"/>
                <w:spacing w:val="8"/>
              </w:rPr>
              <w:t>500≤Y＜20000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5ABCB27">
            <w:pPr>
              <w:pStyle w:val="31"/>
              <w:wordWrap w:val="0"/>
              <w:jc w:val="center"/>
              <w:rPr>
                <w:rFonts w:ascii="宋体" w:hAnsi="宋体" w:cs="宋体"/>
              </w:rPr>
            </w:pPr>
            <w:r>
              <w:rPr>
                <w:rFonts w:hint="eastAsia" w:ascii="宋体" w:hAnsi="宋体" w:cs="宋体"/>
                <w:spacing w:val="8"/>
              </w:rPr>
              <w:t>50≤Y＜500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2FBD29A">
            <w:pPr>
              <w:pStyle w:val="31"/>
              <w:wordWrap w:val="0"/>
              <w:jc w:val="center"/>
              <w:rPr>
                <w:rFonts w:ascii="宋体" w:hAnsi="宋体" w:cs="宋体"/>
              </w:rPr>
            </w:pPr>
            <w:r>
              <w:rPr>
                <w:rFonts w:hint="eastAsia" w:ascii="宋体" w:hAnsi="宋体" w:cs="宋体"/>
                <w:spacing w:val="8"/>
              </w:rPr>
              <w:t>Y＜50</w:t>
            </w:r>
          </w:p>
        </w:tc>
      </w:tr>
      <w:tr w14:paraId="4E8418BF">
        <w:tblPrEx>
          <w:tblCellMar>
            <w:top w:w="0" w:type="dxa"/>
            <w:left w:w="0" w:type="dxa"/>
            <w:bottom w:w="0" w:type="dxa"/>
            <w:right w:w="0" w:type="dxa"/>
          </w:tblCellMar>
        </w:tblPrEx>
        <w:trPr>
          <w:trHeight w:val="589" w:hRule="atLeast"/>
          <w:jc w:val="center"/>
        </w:trPr>
        <w:tc>
          <w:tcPr>
            <w:tcW w:w="1687"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365B566F">
            <w:pPr>
              <w:pStyle w:val="31"/>
              <w:wordWrap w:val="0"/>
              <w:spacing w:line="240" w:lineRule="atLeast"/>
              <w:jc w:val="center"/>
              <w:rPr>
                <w:rFonts w:ascii="宋体" w:hAnsi="宋体" w:cs="宋体"/>
              </w:rPr>
            </w:pPr>
            <w:r>
              <w:rPr>
                <w:rFonts w:hint="eastAsia" w:ascii="宋体" w:hAnsi="宋体" w:cs="宋体"/>
                <w:spacing w:val="8"/>
              </w:rPr>
              <w:t>工业 *</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A3C54CB">
            <w:pPr>
              <w:pStyle w:val="31"/>
              <w:wordWrap w:val="0"/>
              <w:jc w:val="center"/>
              <w:rPr>
                <w:rFonts w:ascii="宋体" w:hAnsi="宋体" w:cs="宋体"/>
              </w:rPr>
            </w:pPr>
            <w:r>
              <w:rPr>
                <w:rFonts w:hint="eastAsia" w:ascii="宋体" w:hAnsi="宋体" w:cs="宋体"/>
                <w:spacing w:val="8"/>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203F28D">
            <w:pPr>
              <w:pStyle w:val="31"/>
              <w:wordWrap w:val="0"/>
              <w:jc w:val="center"/>
              <w:rPr>
                <w:rFonts w:ascii="宋体" w:hAnsi="宋体" w:cs="宋体"/>
              </w:rPr>
            </w:pPr>
            <w:r>
              <w:rPr>
                <w:rFonts w:hint="eastAsia" w:ascii="宋体" w:hAnsi="宋体" w:cs="宋体"/>
                <w:spacing w:val="8"/>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E65C601">
            <w:pPr>
              <w:pStyle w:val="31"/>
              <w:wordWrap w:val="0"/>
              <w:jc w:val="center"/>
              <w:rPr>
                <w:rFonts w:ascii="宋体" w:hAnsi="宋体" w:cs="宋体"/>
              </w:rPr>
            </w:pPr>
            <w:r>
              <w:rPr>
                <w:rFonts w:hint="eastAsia" w:ascii="宋体" w:hAnsi="宋体" w:cs="宋体"/>
                <w:spacing w:val="8"/>
              </w:rPr>
              <w:t>X≥1000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C6E8787">
            <w:pPr>
              <w:pStyle w:val="31"/>
              <w:wordWrap w:val="0"/>
              <w:jc w:val="center"/>
              <w:rPr>
                <w:rFonts w:ascii="宋体" w:hAnsi="宋体" w:cs="宋体"/>
              </w:rPr>
            </w:pPr>
            <w:r>
              <w:rPr>
                <w:rFonts w:hint="eastAsia" w:ascii="宋体" w:hAnsi="宋体" w:cs="宋体"/>
                <w:spacing w:val="8"/>
              </w:rPr>
              <w:t>300≤X＜1000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8371F7E">
            <w:pPr>
              <w:pStyle w:val="31"/>
              <w:wordWrap w:val="0"/>
              <w:jc w:val="center"/>
              <w:rPr>
                <w:rFonts w:ascii="宋体" w:hAnsi="宋体" w:cs="宋体"/>
              </w:rPr>
            </w:pPr>
            <w:r>
              <w:rPr>
                <w:rFonts w:hint="eastAsia" w:ascii="宋体" w:hAnsi="宋体" w:cs="宋体"/>
                <w:spacing w:val="8"/>
              </w:rPr>
              <w:t>20≤X＜300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D2D5BAD">
            <w:pPr>
              <w:pStyle w:val="31"/>
              <w:wordWrap w:val="0"/>
              <w:jc w:val="center"/>
              <w:rPr>
                <w:rFonts w:ascii="宋体" w:hAnsi="宋体" w:cs="宋体"/>
              </w:rPr>
            </w:pPr>
            <w:r>
              <w:rPr>
                <w:rFonts w:hint="eastAsia" w:ascii="宋体" w:hAnsi="宋体" w:cs="宋体"/>
                <w:spacing w:val="8"/>
              </w:rPr>
              <w:t>X＜20</w:t>
            </w:r>
          </w:p>
        </w:tc>
      </w:tr>
      <w:tr w14:paraId="364E6EF9">
        <w:tblPrEx>
          <w:tblCellMar>
            <w:top w:w="0" w:type="dxa"/>
            <w:left w:w="0" w:type="dxa"/>
            <w:bottom w:w="0" w:type="dxa"/>
            <w:right w:w="0" w:type="dxa"/>
          </w:tblCellMar>
        </w:tblPrEx>
        <w:trPr>
          <w:trHeight w:val="589" w:hRule="atLeast"/>
          <w:jc w:val="center"/>
        </w:trPr>
        <w:tc>
          <w:tcPr>
            <w:tcW w:w="1687"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83C5826">
            <w:pPr>
              <w:jc w:val="center"/>
              <w:rPr>
                <w:rFonts w:ascii="宋体" w:hAnsi="宋体" w:cs="宋体"/>
                <w:spacing w:val="8"/>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C731102">
            <w:pPr>
              <w:pStyle w:val="31"/>
              <w:wordWrap w:val="0"/>
              <w:spacing w:line="240" w:lineRule="atLeast"/>
              <w:jc w:val="center"/>
              <w:rPr>
                <w:rFonts w:ascii="宋体" w:hAnsi="宋体" w:cs="宋体"/>
              </w:rPr>
            </w:pPr>
            <w:r>
              <w:rPr>
                <w:rFonts w:hint="eastAsia" w:ascii="宋体" w:hAnsi="宋体" w:cs="宋体"/>
                <w:spacing w:val="8"/>
              </w:rPr>
              <w:t>营业收入(Y)</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FF20E26">
            <w:pPr>
              <w:pStyle w:val="31"/>
              <w:wordWrap w:val="0"/>
              <w:jc w:val="center"/>
              <w:rPr>
                <w:rFonts w:ascii="宋体" w:hAnsi="宋体" w:cs="宋体"/>
              </w:rPr>
            </w:pPr>
            <w:r>
              <w:rPr>
                <w:rFonts w:hint="eastAsia" w:ascii="宋体" w:hAnsi="宋体" w:cs="宋体"/>
                <w:spacing w:val="8"/>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653C829">
            <w:pPr>
              <w:pStyle w:val="31"/>
              <w:wordWrap w:val="0"/>
              <w:jc w:val="center"/>
              <w:rPr>
                <w:rFonts w:ascii="宋体" w:hAnsi="宋体" w:cs="宋体"/>
              </w:rPr>
            </w:pPr>
            <w:r>
              <w:rPr>
                <w:rFonts w:hint="eastAsia" w:ascii="宋体" w:hAnsi="宋体" w:cs="宋体"/>
                <w:spacing w:val="8"/>
              </w:rPr>
              <w:t>Y≥40000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B6C1BC8">
            <w:pPr>
              <w:pStyle w:val="31"/>
              <w:wordWrap w:val="0"/>
              <w:jc w:val="center"/>
              <w:rPr>
                <w:rFonts w:ascii="宋体" w:hAnsi="宋体" w:cs="宋体"/>
              </w:rPr>
            </w:pPr>
            <w:r>
              <w:rPr>
                <w:rFonts w:hint="eastAsia" w:ascii="宋体" w:hAnsi="宋体" w:cs="宋体"/>
                <w:spacing w:val="8"/>
              </w:rPr>
              <w:t>2000≤Y＜40000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C90A13C">
            <w:pPr>
              <w:pStyle w:val="31"/>
              <w:wordWrap w:val="0"/>
              <w:jc w:val="center"/>
              <w:rPr>
                <w:rFonts w:ascii="宋体" w:hAnsi="宋体" w:cs="宋体"/>
              </w:rPr>
            </w:pPr>
            <w:r>
              <w:rPr>
                <w:rFonts w:hint="eastAsia" w:ascii="宋体" w:hAnsi="宋体" w:cs="宋体"/>
                <w:spacing w:val="8"/>
              </w:rPr>
              <w:t>300≤Y＜2000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1C304FA">
            <w:pPr>
              <w:pStyle w:val="31"/>
              <w:wordWrap w:val="0"/>
              <w:jc w:val="center"/>
              <w:rPr>
                <w:rFonts w:ascii="宋体" w:hAnsi="宋体" w:cs="宋体"/>
              </w:rPr>
            </w:pPr>
            <w:r>
              <w:rPr>
                <w:rFonts w:hint="eastAsia" w:ascii="宋体" w:hAnsi="宋体" w:cs="宋体"/>
                <w:spacing w:val="8"/>
              </w:rPr>
              <w:t>Y＜300</w:t>
            </w:r>
          </w:p>
        </w:tc>
      </w:tr>
      <w:tr w14:paraId="4C300A20">
        <w:tblPrEx>
          <w:tblCellMar>
            <w:top w:w="0" w:type="dxa"/>
            <w:left w:w="0" w:type="dxa"/>
            <w:bottom w:w="0" w:type="dxa"/>
            <w:right w:w="0" w:type="dxa"/>
          </w:tblCellMar>
        </w:tblPrEx>
        <w:trPr>
          <w:trHeight w:val="589" w:hRule="atLeast"/>
          <w:jc w:val="center"/>
        </w:trPr>
        <w:tc>
          <w:tcPr>
            <w:tcW w:w="1687"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F0D38C1">
            <w:pPr>
              <w:pStyle w:val="31"/>
              <w:wordWrap w:val="0"/>
              <w:spacing w:line="240" w:lineRule="atLeast"/>
              <w:jc w:val="center"/>
              <w:rPr>
                <w:rFonts w:ascii="宋体" w:hAnsi="宋体" w:cs="宋体"/>
              </w:rPr>
            </w:pPr>
            <w:r>
              <w:rPr>
                <w:rFonts w:hint="eastAsia" w:ascii="宋体" w:hAnsi="宋体" w:cs="宋体"/>
                <w:spacing w:val="8"/>
              </w:rPr>
              <w:t>建筑业</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5AAC5A6">
            <w:pPr>
              <w:pStyle w:val="31"/>
              <w:wordWrap w:val="0"/>
              <w:jc w:val="center"/>
              <w:rPr>
                <w:rFonts w:ascii="宋体" w:hAnsi="宋体" w:cs="宋体"/>
              </w:rPr>
            </w:pPr>
            <w:r>
              <w:rPr>
                <w:rFonts w:hint="eastAsia" w:ascii="宋体" w:hAnsi="宋体" w:cs="宋体"/>
                <w:spacing w:val="8"/>
              </w:rPr>
              <w:t>营业收入(Y)</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131C217">
            <w:pPr>
              <w:pStyle w:val="31"/>
              <w:wordWrap w:val="0"/>
              <w:jc w:val="center"/>
              <w:rPr>
                <w:rFonts w:ascii="宋体" w:hAnsi="宋体" w:cs="宋体"/>
              </w:rPr>
            </w:pPr>
            <w:r>
              <w:rPr>
                <w:rFonts w:hint="eastAsia" w:ascii="宋体" w:hAnsi="宋体" w:cs="宋体"/>
                <w:spacing w:val="8"/>
              </w:rPr>
              <w:t>万元</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73AEF5C">
            <w:pPr>
              <w:pStyle w:val="31"/>
              <w:wordWrap w:val="0"/>
              <w:jc w:val="center"/>
              <w:rPr>
                <w:rFonts w:ascii="宋体" w:hAnsi="宋体" w:cs="宋体"/>
              </w:rPr>
            </w:pPr>
            <w:r>
              <w:rPr>
                <w:rFonts w:hint="eastAsia" w:ascii="宋体" w:hAnsi="宋体" w:cs="宋体"/>
                <w:spacing w:val="8"/>
              </w:rPr>
              <w:t>Y≥80000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EFCE77D">
            <w:pPr>
              <w:pStyle w:val="31"/>
              <w:wordWrap w:val="0"/>
              <w:jc w:val="center"/>
              <w:rPr>
                <w:rFonts w:ascii="宋体" w:hAnsi="宋体" w:cs="宋体"/>
              </w:rPr>
            </w:pPr>
            <w:r>
              <w:rPr>
                <w:rFonts w:hint="eastAsia" w:ascii="宋体" w:hAnsi="宋体" w:cs="宋体"/>
                <w:spacing w:val="8"/>
              </w:rPr>
              <w:t>6000≤Y＜80000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3E80021">
            <w:pPr>
              <w:pStyle w:val="31"/>
              <w:wordWrap w:val="0"/>
              <w:jc w:val="center"/>
              <w:rPr>
                <w:rFonts w:ascii="宋体" w:hAnsi="宋体" w:cs="宋体"/>
              </w:rPr>
            </w:pPr>
            <w:r>
              <w:rPr>
                <w:rFonts w:hint="eastAsia" w:ascii="宋体" w:hAnsi="宋体" w:cs="宋体"/>
                <w:spacing w:val="8"/>
              </w:rPr>
              <w:t>300≤Y＜6000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E2F110A">
            <w:pPr>
              <w:pStyle w:val="31"/>
              <w:wordWrap w:val="0"/>
              <w:jc w:val="center"/>
              <w:rPr>
                <w:rFonts w:ascii="宋体" w:hAnsi="宋体" w:cs="宋体"/>
              </w:rPr>
            </w:pPr>
            <w:r>
              <w:rPr>
                <w:rFonts w:hint="eastAsia" w:ascii="宋体" w:hAnsi="宋体" w:cs="宋体"/>
                <w:spacing w:val="8"/>
              </w:rPr>
              <w:t>Y＜300</w:t>
            </w:r>
          </w:p>
        </w:tc>
      </w:tr>
      <w:tr w14:paraId="7C216829">
        <w:tblPrEx>
          <w:tblCellMar>
            <w:top w:w="0" w:type="dxa"/>
            <w:left w:w="0" w:type="dxa"/>
            <w:bottom w:w="0" w:type="dxa"/>
            <w:right w:w="0" w:type="dxa"/>
          </w:tblCellMar>
        </w:tblPrEx>
        <w:trPr>
          <w:trHeight w:val="589" w:hRule="atLeast"/>
          <w:jc w:val="center"/>
        </w:trPr>
        <w:tc>
          <w:tcPr>
            <w:tcW w:w="1687"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18E9E8F">
            <w:pPr>
              <w:jc w:val="center"/>
              <w:rPr>
                <w:rFonts w:ascii="宋体" w:hAnsi="宋体" w:cs="宋体"/>
                <w:spacing w:val="8"/>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F772B98">
            <w:pPr>
              <w:pStyle w:val="31"/>
              <w:wordWrap w:val="0"/>
              <w:spacing w:line="240" w:lineRule="atLeast"/>
              <w:jc w:val="center"/>
              <w:rPr>
                <w:rFonts w:ascii="宋体" w:hAnsi="宋体" w:cs="宋体"/>
              </w:rPr>
            </w:pPr>
            <w:r>
              <w:rPr>
                <w:rFonts w:hint="eastAsia" w:ascii="宋体" w:hAnsi="宋体" w:cs="宋体"/>
                <w:spacing w:val="8"/>
              </w:rPr>
              <w:t>资产总额(Z)</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55181AD">
            <w:pPr>
              <w:pStyle w:val="31"/>
              <w:wordWrap w:val="0"/>
              <w:jc w:val="center"/>
              <w:rPr>
                <w:rFonts w:ascii="宋体" w:hAnsi="宋体" w:cs="宋体"/>
              </w:rPr>
            </w:pPr>
            <w:r>
              <w:rPr>
                <w:rFonts w:hint="eastAsia" w:ascii="宋体" w:hAnsi="宋体" w:cs="宋体"/>
                <w:spacing w:val="8"/>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798E434">
            <w:pPr>
              <w:pStyle w:val="31"/>
              <w:wordWrap w:val="0"/>
              <w:jc w:val="center"/>
              <w:rPr>
                <w:rFonts w:ascii="宋体" w:hAnsi="宋体" w:cs="宋体"/>
              </w:rPr>
            </w:pPr>
            <w:r>
              <w:rPr>
                <w:rFonts w:hint="eastAsia" w:ascii="宋体" w:hAnsi="宋体" w:cs="宋体"/>
                <w:spacing w:val="8"/>
              </w:rPr>
              <w:t>Z≥80000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183A57A">
            <w:pPr>
              <w:pStyle w:val="31"/>
              <w:wordWrap w:val="0"/>
              <w:jc w:val="center"/>
              <w:rPr>
                <w:rFonts w:ascii="宋体" w:hAnsi="宋体" w:cs="宋体"/>
              </w:rPr>
            </w:pPr>
            <w:r>
              <w:rPr>
                <w:rFonts w:hint="eastAsia" w:ascii="宋体" w:hAnsi="宋体" w:cs="宋体"/>
                <w:spacing w:val="8"/>
              </w:rPr>
              <w:t>5000≤Z＜80000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644E63C">
            <w:pPr>
              <w:pStyle w:val="31"/>
              <w:wordWrap w:val="0"/>
              <w:jc w:val="center"/>
              <w:rPr>
                <w:rFonts w:ascii="宋体" w:hAnsi="宋体" w:cs="宋体"/>
              </w:rPr>
            </w:pPr>
            <w:r>
              <w:rPr>
                <w:rFonts w:hint="eastAsia" w:ascii="宋体" w:hAnsi="宋体" w:cs="宋体"/>
                <w:spacing w:val="8"/>
              </w:rPr>
              <w:t>300≤Z＜5000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B1BBD71">
            <w:pPr>
              <w:pStyle w:val="31"/>
              <w:wordWrap w:val="0"/>
              <w:jc w:val="center"/>
              <w:rPr>
                <w:rFonts w:ascii="宋体" w:hAnsi="宋体" w:cs="宋体"/>
              </w:rPr>
            </w:pPr>
            <w:r>
              <w:rPr>
                <w:rFonts w:hint="eastAsia" w:ascii="宋体" w:hAnsi="宋体" w:cs="宋体"/>
                <w:spacing w:val="8"/>
              </w:rPr>
              <w:t>Z＜300</w:t>
            </w:r>
          </w:p>
        </w:tc>
      </w:tr>
      <w:tr w14:paraId="2383866B">
        <w:tblPrEx>
          <w:tblCellMar>
            <w:top w:w="0" w:type="dxa"/>
            <w:left w:w="0" w:type="dxa"/>
            <w:bottom w:w="0" w:type="dxa"/>
            <w:right w:w="0" w:type="dxa"/>
          </w:tblCellMar>
        </w:tblPrEx>
        <w:trPr>
          <w:trHeight w:val="589" w:hRule="atLeast"/>
          <w:jc w:val="center"/>
        </w:trPr>
        <w:tc>
          <w:tcPr>
            <w:tcW w:w="1687"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ED96A66">
            <w:pPr>
              <w:pStyle w:val="31"/>
              <w:wordWrap w:val="0"/>
              <w:spacing w:line="240" w:lineRule="atLeast"/>
              <w:jc w:val="center"/>
              <w:rPr>
                <w:rFonts w:ascii="宋体" w:hAnsi="宋体" w:cs="宋体"/>
              </w:rPr>
            </w:pPr>
            <w:r>
              <w:rPr>
                <w:rFonts w:hint="eastAsia" w:ascii="宋体" w:hAnsi="宋体" w:cs="宋体"/>
                <w:spacing w:val="8"/>
              </w:rPr>
              <w:t>批发业</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657125B">
            <w:pPr>
              <w:pStyle w:val="31"/>
              <w:wordWrap w:val="0"/>
              <w:jc w:val="center"/>
              <w:rPr>
                <w:rFonts w:ascii="宋体" w:hAnsi="宋体" w:cs="宋体"/>
              </w:rPr>
            </w:pPr>
            <w:r>
              <w:rPr>
                <w:rFonts w:hint="eastAsia" w:ascii="宋体" w:hAnsi="宋体" w:cs="宋体"/>
                <w:spacing w:val="8"/>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0A7617F">
            <w:pPr>
              <w:pStyle w:val="31"/>
              <w:wordWrap w:val="0"/>
              <w:jc w:val="center"/>
              <w:rPr>
                <w:rFonts w:ascii="宋体" w:hAnsi="宋体" w:cs="宋体"/>
              </w:rPr>
            </w:pPr>
            <w:r>
              <w:rPr>
                <w:rFonts w:hint="eastAsia" w:ascii="宋体" w:hAnsi="宋体" w:cs="宋体"/>
                <w:spacing w:val="8"/>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1741257">
            <w:pPr>
              <w:pStyle w:val="31"/>
              <w:wordWrap w:val="0"/>
              <w:jc w:val="center"/>
              <w:rPr>
                <w:rFonts w:ascii="宋体" w:hAnsi="宋体" w:cs="宋体"/>
              </w:rPr>
            </w:pPr>
            <w:r>
              <w:rPr>
                <w:rFonts w:hint="eastAsia" w:ascii="宋体" w:hAnsi="宋体" w:cs="宋体"/>
                <w:spacing w:val="8"/>
              </w:rPr>
              <w:t>X≥200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ED1926B">
            <w:pPr>
              <w:pStyle w:val="31"/>
              <w:wordWrap w:val="0"/>
              <w:jc w:val="center"/>
              <w:rPr>
                <w:rFonts w:ascii="宋体" w:hAnsi="宋体" w:cs="宋体"/>
              </w:rPr>
            </w:pPr>
            <w:r>
              <w:rPr>
                <w:rFonts w:hint="eastAsia" w:ascii="宋体" w:hAnsi="宋体" w:cs="宋体"/>
                <w:spacing w:val="8"/>
              </w:rPr>
              <w:t>20≤X＜200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C3EBD7B">
            <w:pPr>
              <w:pStyle w:val="31"/>
              <w:wordWrap w:val="0"/>
              <w:jc w:val="center"/>
              <w:rPr>
                <w:rFonts w:ascii="宋体" w:hAnsi="宋体" w:cs="宋体"/>
              </w:rPr>
            </w:pPr>
            <w:r>
              <w:rPr>
                <w:rFonts w:hint="eastAsia" w:ascii="宋体" w:hAnsi="宋体" w:cs="宋体"/>
                <w:spacing w:val="8"/>
              </w:rPr>
              <w:t>5≤X＜20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0E64F2E">
            <w:pPr>
              <w:pStyle w:val="31"/>
              <w:wordWrap w:val="0"/>
              <w:jc w:val="center"/>
              <w:rPr>
                <w:rFonts w:ascii="宋体" w:hAnsi="宋体" w:cs="宋体"/>
              </w:rPr>
            </w:pPr>
            <w:r>
              <w:rPr>
                <w:rFonts w:hint="eastAsia" w:ascii="宋体" w:hAnsi="宋体" w:cs="宋体"/>
                <w:spacing w:val="8"/>
              </w:rPr>
              <w:t>X＜5</w:t>
            </w:r>
          </w:p>
        </w:tc>
      </w:tr>
      <w:tr w14:paraId="0D4090C9">
        <w:tblPrEx>
          <w:tblCellMar>
            <w:top w:w="0" w:type="dxa"/>
            <w:left w:w="0" w:type="dxa"/>
            <w:bottom w:w="0" w:type="dxa"/>
            <w:right w:w="0" w:type="dxa"/>
          </w:tblCellMar>
        </w:tblPrEx>
        <w:trPr>
          <w:trHeight w:val="589" w:hRule="atLeast"/>
          <w:jc w:val="center"/>
        </w:trPr>
        <w:tc>
          <w:tcPr>
            <w:tcW w:w="1687"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B11AA8D">
            <w:pPr>
              <w:jc w:val="center"/>
              <w:rPr>
                <w:rFonts w:ascii="宋体" w:hAnsi="宋体" w:cs="宋体"/>
                <w:spacing w:val="8"/>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648C9F0">
            <w:pPr>
              <w:pStyle w:val="31"/>
              <w:wordWrap w:val="0"/>
              <w:spacing w:line="240" w:lineRule="atLeast"/>
              <w:jc w:val="center"/>
              <w:rPr>
                <w:rFonts w:ascii="宋体" w:hAnsi="宋体" w:cs="宋体"/>
              </w:rPr>
            </w:pPr>
            <w:r>
              <w:rPr>
                <w:rFonts w:hint="eastAsia" w:ascii="宋体" w:hAnsi="宋体" w:cs="宋体"/>
                <w:spacing w:val="8"/>
              </w:rPr>
              <w:t>营业收入(Y)</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2135EF0">
            <w:pPr>
              <w:pStyle w:val="31"/>
              <w:wordWrap w:val="0"/>
              <w:jc w:val="center"/>
              <w:rPr>
                <w:rFonts w:ascii="宋体" w:hAnsi="宋体" w:cs="宋体"/>
              </w:rPr>
            </w:pPr>
            <w:r>
              <w:rPr>
                <w:rFonts w:hint="eastAsia" w:ascii="宋体" w:hAnsi="宋体" w:cs="宋体"/>
                <w:spacing w:val="8"/>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2807EE4">
            <w:pPr>
              <w:pStyle w:val="31"/>
              <w:wordWrap w:val="0"/>
              <w:jc w:val="center"/>
              <w:rPr>
                <w:rFonts w:ascii="宋体" w:hAnsi="宋体" w:cs="宋体"/>
              </w:rPr>
            </w:pPr>
            <w:r>
              <w:rPr>
                <w:rFonts w:hint="eastAsia" w:ascii="宋体" w:hAnsi="宋体" w:cs="宋体"/>
                <w:spacing w:val="8"/>
              </w:rPr>
              <w:t>Y≥40000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427406F">
            <w:pPr>
              <w:pStyle w:val="31"/>
              <w:wordWrap w:val="0"/>
              <w:jc w:val="center"/>
              <w:rPr>
                <w:rFonts w:ascii="宋体" w:hAnsi="宋体" w:cs="宋体"/>
              </w:rPr>
            </w:pPr>
            <w:r>
              <w:rPr>
                <w:rFonts w:hint="eastAsia" w:ascii="宋体" w:hAnsi="宋体" w:cs="宋体"/>
                <w:spacing w:val="8"/>
              </w:rPr>
              <w:t>5000≤Y＜40000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001458E">
            <w:pPr>
              <w:pStyle w:val="31"/>
              <w:wordWrap w:val="0"/>
              <w:jc w:val="center"/>
              <w:rPr>
                <w:rFonts w:ascii="宋体" w:hAnsi="宋体" w:cs="宋体"/>
              </w:rPr>
            </w:pPr>
            <w:r>
              <w:rPr>
                <w:rFonts w:hint="eastAsia" w:ascii="宋体" w:hAnsi="宋体" w:cs="宋体"/>
                <w:spacing w:val="8"/>
              </w:rPr>
              <w:t>1000≤Y＜5000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91DD501">
            <w:pPr>
              <w:pStyle w:val="31"/>
              <w:wordWrap w:val="0"/>
              <w:jc w:val="center"/>
              <w:rPr>
                <w:rFonts w:ascii="宋体" w:hAnsi="宋体" w:cs="宋体"/>
              </w:rPr>
            </w:pPr>
            <w:r>
              <w:rPr>
                <w:rFonts w:hint="eastAsia" w:ascii="宋体" w:hAnsi="宋体" w:cs="宋体"/>
                <w:spacing w:val="8"/>
              </w:rPr>
              <w:t>Y＜1000</w:t>
            </w:r>
          </w:p>
        </w:tc>
      </w:tr>
      <w:tr w14:paraId="4ED18267">
        <w:tblPrEx>
          <w:tblCellMar>
            <w:top w:w="0" w:type="dxa"/>
            <w:left w:w="0" w:type="dxa"/>
            <w:bottom w:w="0" w:type="dxa"/>
            <w:right w:w="0" w:type="dxa"/>
          </w:tblCellMar>
        </w:tblPrEx>
        <w:trPr>
          <w:trHeight w:val="589" w:hRule="atLeast"/>
          <w:jc w:val="center"/>
        </w:trPr>
        <w:tc>
          <w:tcPr>
            <w:tcW w:w="1687"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4BC1A89">
            <w:pPr>
              <w:pStyle w:val="31"/>
              <w:wordWrap w:val="0"/>
              <w:spacing w:line="240" w:lineRule="atLeast"/>
              <w:jc w:val="center"/>
              <w:rPr>
                <w:rFonts w:ascii="宋体" w:hAnsi="宋体" w:cs="宋体"/>
              </w:rPr>
            </w:pPr>
            <w:r>
              <w:rPr>
                <w:rFonts w:hint="eastAsia" w:ascii="宋体" w:hAnsi="宋体" w:cs="宋体"/>
                <w:spacing w:val="8"/>
              </w:rPr>
              <w:t>零售业</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7762398">
            <w:pPr>
              <w:pStyle w:val="31"/>
              <w:wordWrap w:val="0"/>
              <w:jc w:val="center"/>
              <w:rPr>
                <w:rFonts w:ascii="宋体" w:hAnsi="宋体" w:cs="宋体"/>
              </w:rPr>
            </w:pPr>
            <w:r>
              <w:rPr>
                <w:rFonts w:hint="eastAsia" w:ascii="宋体" w:hAnsi="宋体" w:cs="宋体"/>
                <w:spacing w:val="8"/>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EA9E9FA">
            <w:pPr>
              <w:pStyle w:val="31"/>
              <w:wordWrap w:val="0"/>
              <w:jc w:val="center"/>
              <w:rPr>
                <w:rFonts w:ascii="宋体" w:hAnsi="宋体" w:cs="宋体"/>
              </w:rPr>
            </w:pPr>
            <w:r>
              <w:rPr>
                <w:rFonts w:hint="eastAsia" w:ascii="宋体" w:hAnsi="宋体" w:cs="宋体"/>
                <w:spacing w:val="8"/>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C7FC26E">
            <w:pPr>
              <w:pStyle w:val="31"/>
              <w:wordWrap w:val="0"/>
              <w:jc w:val="center"/>
              <w:rPr>
                <w:rFonts w:ascii="宋体" w:hAnsi="宋体" w:cs="宋体"/>
              </w:rPr>
            </w:pPr>
            <w:r>
              <w:rPr>
                <w:rFonts w:hint="eastAsia" w:ascii="宋体" w:hAnsi="宋体" w:cs="宋体"/>
                <w:spacing w:val="8"/>
              </w:rPr>
              <w:t>X≥300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DA81031">
            <w:pPr>
              <w:pStyle w:val="31"/>
              <w:wordWrap w:val="0"/>
              <w:jc w:val="center"/>
              <w:rPr>
                <w:rFonts w:ascii="宋体" w:hAnsi="宋体" w:cs="宋体"/>
              </w:rPr>
            </w:pPr>
            <w:r>
              <w:rPr>
                <w:rFonts w:hint="eastAsia" w:ascii="宋体" w:hAnsi="宋体" w:cs="宋体"/>
                <w:spacing w:val="8"/>
              </w:rPr>
              <w:t>50≤X＜300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E42BD62">
            <w:pPr>
              <w:pStyle w:val="31"/>
              <w:wordWrap w:val="0"/>
              <w:jc w:val="center"/>
              <w:rPr>
                <w:rFonts w:ascii="宋体" w:hAnsi="宋体" w:cs="宋体"/>
              </w:rPr>
            </w:pPr>
            <w:r>
              <w:rPr>
                <w:rFonts w:hint="eastAsia" w:ascii="宋体" w:hAnsi="宋体" w:cs="宋体"/>
                <w:spacing w:val="8"/>
              </w:rPr>
              <w:t>10≤X＜50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5E430E0">
            <w:pPr>
              <w:pStyle w:val="31"/>
              <w:wordWrap w:val="0"/>
              <w:jc w:val="center"/>
              <w:rPr>
                <w:rFonts w:ascii="宋体" w:hAnsi="宋体" w:cs="宋体"/>
              </w:rPr>
            </w:pPr>
            <w:r>
              <w:rPr>
                <w:rFonts w:hint="eastAsia" w:ascii="宋体" w:hAnsi="宋体" w:cs="宋体"/>
                <w:spacing w:val="8"/>
              </w:rPr>
              <w:t>X＜10</w:t>
            </w:r>
          </w:p>
        </w:tc>
      </w:tr>
      <w:tr w14:paraId="2780F7AF">
        <w:tblPrEx>
          <w:tblCellMar>
            <w:top w:w="0" w:type="dxa"/>
            <w:left w:w="0" w:type="dxa"/>
            <w:bottom w:w="0" w:type="dxa"/>
            <w:right w:w="0" w:type="dxa"/>
          </w:tblCellMar>
        </w:tblPrEx>
        <w:trPr>
          <w:trHeight w:val="589" w:hRule="atLeast"/>
          <w:jc w:val="center"/>
        </w:trPr>
        <w:tc>
          <w:tcPr>
            <w:tcW w:w="1687"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17302BC">
            <w:pPr>
              <w:jc w:val="center"/>
              <w:rPr>
                <w:rFonts w:ascii="宋体" w:hAnsi="宋体" w:cs="宋体"/>
                <w:spacing w:val="8"/>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1EBBB10">
            <w:pPr>
              <w:pStyle w:val="31"/>
              <w:wordWrap w:val="0"/>
              <w:spacing w:line="240" w:lineRule="atLeast"/>
              <w:jc w:val="center"/>
              <w:rPr>
                <w:rFonts w:ascii="宋体" w:hAnsi="宋体" w:cs="宋体"/>
              </w:rPr>
            </w:pPr>
            <w:r>
              <w:rPr>
                <w:rFonts w:hint="eastAsia" w:ascii="宋体" w:hAnsi="宋体" w:cs="宋体"/>
                <w:spacing w:val="8"/>
              </w:rPr>
              <w:t>营业收入(Y)</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5DED7B4">
            <w:pPr>
              <w:pStyle w:val="31"/>
              <w:wordWrap w:val="0"/>
              <w:jc w:val="center"/>
              <w:rPr>
                <w:rFonts w:ascii="宋体" w:hAnsi="宋体" w:cs="宋体"/>
              </w:rPr>
            </w:pPr>
            <w:r>
              <w:rPr>
                <w:rFonts w:hint="eastAsia" w:ascii="宋体" w:hAnsi="宋体" w:cs="宋体"/>
                <w:spacing w:val="8"/>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30A7DBB">
            <w:pPr>
              <w:pStyle w:val="31"/>
              <w:wordWrap w:val="0"/>
              <w:jc w:val="center"/>
              <w:rPr>
                <w:rFonts w:ascii="宋体" w:hAnsi="宋体" w:cs="宋体"/>
              </w:rPr>
            </w:pPr>
            <w:r>
              <w:rPr>
                <w:rFonts w:hint="eastAsia" w:ascii="宋体" w:hAnsi="宋体" w:cs="宋体"/>
                <w:spacing w:val="8"/>
              </w:rPr>
              <w:t>Y≥20000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C322C48">
            <w:pPr>
              <w:pStyle w:val="31"/>
              <w:wordWrap w:val="0"/>
              <w:jc w:val="center"/>
              <w:rPr>
                <w:rFonts w:ascii="宋体" w:hAnsi="宋体" w:cs="宋体"/>
              </w:rPr>
            </w:pPr>
            <w:r>
              <w:rPr>
                <w:rFonts w:hint="eastAsia" w:ascii="宋体" w:hAnsi="宋体" w:cs="宋体"/>
                <w:spacing w:val="8"/>
              </w:rPr>
              <w:t>500≤Y＜20000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5510E0D">
            <w:pPr>
              <w:pStyle w:val="31"/>
              <w:wordWrap w:val="0"/>
              <w:jc w:val="center"/>
              <w:rPr>
                <w:rFonts w:ascii="宋体" w:hAnsi="宋体" w:cs="宋体"/>
              </w:rPr>
            </w:pPr>
            <w:r>
              <w:rPr>
                <w:rFonts w:hint="eastAsia" w:ascii="宋体" w:hAnsi="宋体" w:cs="宋体"/>
                <w:spacing w:val="8"/>
              </w:rPr>
              <w:t>100≤Y＜500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31306A5">
            <w:pPr>
              <w:pStyle w:val="31"/>
              <w:wordWrap w:val="0"/>
              <w:jc w:val="center"/>
              <w:rPr>
                <w:rFonts w:ascii="宋体" w:hAnsi="宋体" w:cs="宋体"/>
              </w:rPr>
            </w:pPr>
            <w:r>
              <w:rPr>
                <w:rFonts w:hint="eastAsia" w:ascii="宋体" w:hAnsi="宋体" w:cs="宋体"/>
                <w:spacing w:val="8"/>
              </w:rPr>
              <w:t>Y＜100</w:t>
            </w:r>
          </w:p>
        </w:tc>
      </w:tr>
      <w:tr w14:paraId="7D289B60">
        <w:tblPrEx>
          <w:tblCellMar>
            <w:top w:w="0" w:type="dxa"/>
            <w:left w:w="0" w:type="dxa"/>
            <w:bottom w:w="0" w:type="dxa"/>
            <w:right w:w="0" w:type="dxa"/>
          </w:tblCellMar>
        </w:tblPrEx>
        <w:trPr>
          <w:trHeight w:val="589" w:hRule="atLeast"/>
          <w:jc w:val="center"/>
        </w:trPr>
        <w:tc>
          <w:tcPr>
            <w:tcW w:w="1687"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D823798">
            <w:pPr>
              <w:pStyle w:val="31"/>
              <w:wordWrap w:val="0"/>
              <w:spacing w:line="240" w:lineRule="atLeast"/>
              <w:jc w:val="center"/>
              <w:rPr>
                <w:rFonts w:ascii="宋体" w:hAnsi="宋体" w:cs="宋体"/>
              </w:rPr>
            </w:pPr>
            <w:r>
              <w:rPr>
                <w:rFonts w:hint="eastAsia" w:ascii="宋体" w:hAnsi="宋体" w:cs="宋体"/>
                <w:spacing w:val="8"/>
              </w:rPr>
              <w:t>交通运输业 *</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19703CF">
            <w:pPr>
              <w:pStyle w:val="31"/>
              <w:wordWrap w:val="0"/>
              <w:jc w:val="center"/>
              <w:rPr>
                <w:rFonts w:ascii="宋体" w:hAnsi="宋体" w:cs="宋体"/>
              </w:rPr>
            </w:pPr>
            <w:r>
              <w:rPr>
                <w:rFonts w:hint="eastAsia" w:ascii="宋体" w:hAnsi="宋体" w:cs="宋体"/>
                <w:spacing w:val="8"/>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8065428">
            <w:pPr>
              <w:pStyle w:val="31"/>
              <w:wordWrap w:val="0"/>
              <w:jc w:val="center"/>
              <w:rPr>
                <w:rFonts w:ascii="宋体" w:hAnsi="宋体" w:cs="宋体"/>
              </w:rPr>
            </w:pPr>
            <w:r>
              <w:rPr>
                <w:rFonts w:hint="eastAsia" w:ascii="宋体" w:hAnsi="宋体" w:cs="宋体"/>
                <w:spacing w:val="8"/>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300756A">
            <w:pPr>
              <w:pStyle w:val="31"/>
              <w:wordWrap w:val="0"/>
              <w:jc w:val="center"/>
              <w:rPr>
                <w:rFonts w:ascii="宋体" w:hAnsi="宋体" w:cs="宋体"/>
              </w:rPr>
            </w:pPr>
            <w:r>
              <w:rPr>
                <w:rFonts w:hint="eastAsia" w:ascii="宋体" w:hAnsi="宋体" w:cs="宋体"/>
                <w:spacing w:val="8"/>
              </w:rPr>
              <w:t>X≥1000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AC6ECB1">
            <w:pPr>
              <w:pStyle w:val="31"/>
              <w:wordWrap w:val="0"/>
              <w:jc w:val="center"/>
              <w:rPr>
                <w:rFonts w:ascii="宋体" w:hAnsi="宋体" w:cs="宋体"/>
              </w:rPr>
            </w:pPr>
            <w:r>
              <w:rPr>
                <w:rFonts w:hint="eastAsia" w:ascii="宋体" w:hAnsi="宋体" w:cs="宋体"/>
                <w:spacing w:val="8"/>
              </w:rPr>
              <w:t>300≤X＜1000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31F4935">
            <w:pPr>
              <w:pStyle w:val="31"/>
              <w:wordWrap w:val="0"/>
              <w:jc w:val="center"/>
              <w:rPr>
                <w:rFonts w:ascii="宋体" w:hAnsi="宋体" w:cs="宋体"/>
              </w:rPr>
            </w:pPr>
            <w:r>
              <w:rPr>
                <w:rFonts w:hint="eastAsia" w:ascii="宋体" w:hAnsi="宋体" w:cs="宋体"/>
                <w:spacing w:val="8"/>
              </w:rPr>
              <w:t>20≤X＜300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973066D">
            <w:pPr>
              <w:pStyle w:val="31"/>
              <w:wordWrap w:val="0"/>
              <w:jc w:val="center"/>
              <w:rPr>
                <w:rFonts w:ascii="宋体" w:hAnsi="宋体" w:cs="宋体"/>
              </w:rPr>
            </w:pPr>
            <w:r>
              <w:rPr>
                <w:rFonts w:hint="eastAsia" w:ascii="宋体" w:hAnsi="宋体" w:cs="宋体"/>
                <w:spacing w:val="8"/>
              </w:rPr>
              <w:t>X＜20</w:t>
            </w:r>
          </w:p>
        </w:tc>
      </w:tr>
      <w:tr w14:paraId="77D76CE4">
        <w:tblPrEx>
          <w:tblCellMar>
            <w:top w:w="0" w:type="dxa"/>
            <w:left w:w="0" w:type="dxa"/>
            <w:bottom w:w="0" w:type="dxa"/>
            <w:right w:w="0" w:type="dxa"/>
          </w:tblCellMar>
        </w:tblPrEx>
        <w:trPr>
          <w:trHeight w:val="589" w:hRule="atLeast"/>
          <w:jc w:val="center"/>
        </w:trPr>
        <w:tc>
          <w:tcPr>
            <w:tcW w:w="1687"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4A2C2ED">
            <w:pPr>
              <w:jc w:val="center"/>
              <w:rPr>
                <w:rFonts w:ascii="宋体" w:hAnsi="宋体" w:cs="宋体"/>
                <w:spacing w:val="8"/>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FD1713B">
            <w:pPr>
              <w:pStyle w:val="31"/>
              <w:wordWrap w:val="0"/>
              <w:spacing w:line="240" w:lineRule="atLeast"/>
              <w:jc w:val="center"/>
              <w:rPr>
                <w:rFonts w:ascii="宋体" w:hAnsi="宋体" w:cs="宋体"/>
              </w:rPr>
            </w:pPr>
            <w:r>
              <w:rPr>
                <w:rFonts w:hint="eastAsia" w:ascii="宋体" w:hAnsi="宋体" w:cs="宋体"/>
                <w:spacing w:val="8"/>
              </w:rPr>
              <w:t>营业收入(Y)</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D1E5058">
            <w:pPr>
              <w:pStyle w:val="31"/>
              <w:wordWrap w:val="0"/>
              <w:jc w:val="center"/>
              <w:rPr>
                <w:rFonts w:ascii="宋体" w:hAnsi="宋体" w:cs="宋体"/>
              </w:rPr>
            </w:pPr>
            <w:r>
              <w:rPr>
                <w:rFonts w:hint="eastAsia" w:ascii="宋体" w:hAnsi="宋体" w:cs="宋体"/>
                <w:spacing w:val="8"/>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4662672">
            <w:pPr>
              <w:pStyle w:val="31"/>
              <w:wordWrap w:val="0"/>
              <w:jc w:val="center"/>
              <w:rPr>
                <w:rFonts w:ascii="宋体" w:hAnsi="宋体" w:cs="宋体"/>
              </w:rPr>
            </w:pPr>
            <w:r>
              <w:rPr>
                <w:rFonts w:hint="eastAsia" w:ascii="宋体" w:hAnsi="宋体" w:cs="宋体"/>
                <w:spacing w:val="8"/>
              </w:rPr>
              <w:t>Y≥30000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CE90261">
            <w:pPr>
              <w:pStyle w:val="31"/>
              <w:wordWrap w:val="0"/>
              <w:jc w:val="center"/>
              <w:rPr>
                <w:rFonts w:ascii="宋体" w:hAnsi="宋体" w:cs="宋体"/>
              </w:rPr>
            </w:pPr>
            <w:r>
              <w:rPr>
                <w:rFonts w:hint="eastAsia" w:ascii="宋体" w:hAnsi="宋体" w:cs="宋体"/>
                <w:spacing w:val="8"/>
              </w:rPr>
              <w:t>3000≤Y＜30000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2D388B9">
            <w:pPr>
              <w:pStyle w:val="31"/>
              <w:wordWrap w:val="0"/>
              <w:jc w:val="center"/>
              <w:rPr>
                <w:rFonts w:ascii="宋体" w:hAnsi="宋体" w:cs="宋体"/>
              </w:rPr>
            </w:pPr>
            <w:r>
              <w:rPr>
                <w:rFonts w:hint="eastAsia" w:ascii="宋体" w:hAnsi="宋体" w:cs="宋体"/>
                <w:spacing w:val="8"/>
              </w:rPr>
              <w:t>200≤Y＜3000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74684D8">
            <w:pPr>
              <w:pStyle w:val="31"/>
              <w:wordWrap w:val="0"/>
              <w:jc w:val="center"/>
              <w:rPr>
                <w:rFonts w:ascii="宋体" w:hAnsi="宋体" w:cs="宋体"/>
              </w:rPr>
            </w:pPr>
            <w:r>
              <w:rPr>
                <w:rFonts w:hint="eastAsia" w:ascii="宋体" w:hAnsi="宋体" w:cs="宋体"/>
                <w:spacing w:val="8"/>
              </w:rPr>
              <w:t>Y＜200</w:t>
            </w:r>
          </w:p>
        </w:tc>
      </w:tr>
      <w:tr w14:paraId="6AD3AA38">
        <w:tblPrEx>
          <w:tblCellMar>
            <w:top w:w="0" w:type="dxa"/>
            <w:left w:w="0" w:type="dxa"/>
            <w:bottom w:w="0" w:type="dxa"/>
            <w:right w:w="0" w:type="dxa"/>
          </w:tblCellMar>
        </w:tblPrEx>
        <w:trPr>
          <w:trHeight w:val="589" w:hRule="atLeast"/>
          <w:jc w:val="center"/>
        </w:trPr>
        <w:tc>
          <w:tcPr>
            <w:tcW w:w="1687"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3970E88C">
            <w:pPr>
              <w:pStyle w:val="31"/>
              <w:wordWrap w:val="0"/>
              <w:spacing w:line="240" w:lineRule="atLeast"/>
              <w:jc w:val="center"/>
              <w:rPr>
                <w:rFonts w:ascii="宋体" w:hAnsi="宋体" w:cs="宋体"/>
              </w:rPr>
            </w:pPr>
            <w:r>
              <w:rPr>
                <w:rFonts w:hint="eastAsia" w:ascii="宋体" w:hAnsi="宋体" w:cs="宋体"/>
                <w:spacing w:val="8"/>
              </w:rPr>
              <w:t>仓储业*</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E5B3346">
            <w:pPr>
              <w:pStyle w:val="31"/>
              <w:wordWrap w:val="0"/>
              <w:jc w:val="center"/>
              <w:rPr>
                <w:rFonts w:ascii="宋体" w:hAnsi="宋体" w:cs="宋体"/>
              </w:rPr>
            </w:pPr>
            <w:r>
              <w:rPr>
                <w:rFonts w:hint="eastAsia" w:ascii="宋体" w:hAnsi="宋体" w:cs="宋体"/>
                <w:spacing w:val="8"/>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D72D128">
            <w:pPr>
              <w:pStyle w:val="31"/>
              <w:wordWrap w:val="0"/>
              <w:jc w:val="center"/>
              <w:rPr>
                <w:rFonts w:ascii="宋体" w:hAnsi="宋体" w:cs="宋体"/>
              </w:rPr>
            </w:pPr>
            <w:r>
              <w:rPr>
                <w:rFonts w:hint="eastAsia" w:ascii="宋体" w:hAnsi="宋体" w:cs="宋体"/>
                <w:spacing w:val="8"/>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FF86292">
            <w:pPr>
              <w:pStyle w:val="31"/>
              <w:wordWrap w:val="0"/>
              <w:jc w:val="center"/>
              <w:rPr>
                <w:rFonts w:ascii="宋体" w:hAnsi="宋体" w:cs="宋体"/>
              </w:rPr>
            </w:pPr>
            <w:r>
              <w:rPr>
                <w:rFonts w:hint="eastAsia" w:ascii="宋体" w:hAnsi="宋体" w:cs="宋体"/>
                <w:spacing w:val="8"/>
              </w:rPr>
              <w:t>X≥200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F354C8C">
            <w:pPr>
              <w:pStyle w:val="31"/>
              <w:wordWrap w:val="0"/>
              <w:jc w:val="center"/>
              <w:rPr>
                <w:rFonts w:ascii="宋体" w:hAnsi="宋体" w:cs="宋体"/>
              </w:rPr>
            </w:pPr>
            <w:r>
              <w:rPr>
                <w:rFonts w:hint="eastAsia" w:ascii="宋体" w:hAnsi="宋体" w:cs="宋体"/>
                <w:spacing w:val="8"/>
              </w:rPr>
              <w:t>100≤X＜200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F493A49">
            <w:pPr>
              <w:pStyle w:val="31"/>
              <w:wordWrap w:val="0"/>
              <w:jc w:val="center"/>
              <w:rPr>
                <w:rFonts w:ascii="宋体" w:hAnsi="宋体" w:cs="宋体"/>
              </w:rPr>
            </w:pPr>
            <w:r>
              <w:rPr>
                <w:rFonts w:hint="eastAsia" w:ascii="宋体" w:hAnsi="宋体" w:cs="宋体"/>
                <w:spacing w:val="8"/>
              </w:rPr>
              <w:t>20≤X＜100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5BFC128">
            <w:pPr>
              <w:pStyle w:val="31"/>
              <w:wordWrap w:val="0"/>
              <w:jc w:val="center"/>
              <w:rPr>
                <w:rFonts w:ascii="宋体" w:hAnsi="宋体" w:cs="宋体"/>
              </w:rPr>
            </w:pPr>
            <w:r>
              <w:rPr>
                <w:rFonts w:hint="eastAsia" w:ascii="宋体" w:hAnsi="宋体" w:cs="宋体"/>
                <w:spacing w:val="8"/>
              </w:rPr>
              <w:t>X＜20</w:t>
            </w:r>
          </w:p>
        </w:tc>
      </w:tr>
      <w:tr w14:paraId="2D4E6138">
        <w:tblPrEx>
          <w:tblCellMar>
            <w:top w:w="0" w:type="dxa"/>
            <w:left w:w="0" w:type="dxa"/>
            <w:bottom w:w="0" w:type="dxa"/>
            <w:right w:w="0" w:type="dxa"/>
          </w:tblCellMar>
        </w:tblPrEx>
        <w:trPr>
          <w:trHeight w:val="589" w:hRule="atLeast"/>
          <w:jc w:val="center"/>
        </w:trPr>
        <w:tc>
          <w:tcPr>
            <w:tcW w:w="1687"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2959C843">
            <w:pPr>
              <w:jc w:val="center"/>
              <w:rPr>
                <w:rFonts w:ascii="宋体" w:hAnsi="宋体" w:cs="宋体"/>
                <w:spacing w:val="8"/>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96626C4">
            <w:pPr>
              <w:pStyle w:val="31"/>
              <w:wordWrap w:val="0"/>
              <w:spacing w:line="240" w:lineRule="atLeast"/>
              <w:jc w:val="center"/>
              <w:rPr>
                <w:rFonts w:ascii="宋体" w:hAnsi="宋体" w:cs="宋体"/>
              </w:rPr>
            </w:pPr>
            <w:r>
              <w:rPr>
                <w:rFonts w:hint="eastAsia" w:ascii="宋体" w:hAnsi="宋体" w:cs="宋体"/>
                <w:spacing w:val="8"/>
              </w:rPr>
              <w:t>营业收入(Y)</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1B91F6B">
            <w:pPr>
              <w:pStyle w:val="31"/>
              <w:wordWrap w:val="0"/>
              <w:jc w:val="center"/>
              <w:rPr>
                <w:rFonts w:ascii="宋体" w:hAnsi="宋体" w:cs="宋体"/>
              </w:rPr>
            </w:pPr>
            <w:r>
              <w:rPr>
                <w:rFonts w:hint="eastAsia" w:ascii="宋体" w:hAnsi="宋体" w:cs="宋体"/>
                <w:spacing w:val="8"/>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F51DFD1">
            <w:pPr>
              <w:pStyle w:val="31"/>
              <w:wordWrap w:val="0"/>
              <w:jc w:val="center"/>
              <w:rPr>
                <w:rFonts w:ascii="宋体" w:hAnsi="宋体" w:cs="宋体"/>
              </w:rPr>
            </w:pPr>
            <w:r>
              <w:rPr>
                <w:rFonts w:hint="eastAsia" w:ascii="宋体" w:hAnsi="宋体" w:cs="宋体"/>
                <w:spacing w:val="8"/>
              </w:rPr>
              <w:t>Y≥30000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15E913B">
            <w:pPr>
              <w:pStyle w:val="31"/>
              <w:wordWrap w:val="0"/>
              <w:jc w:val="center"/>
              <w:rPr>
                <w:rFonts w:ascii="宋体" w:hAnsi="宋体" w:cs="宋体"/>
              </w:rPr>
            </w:pPr>
            <w:r>
              <w:rPr>
                <w:rFonts w:hint="eastAsia" w:ascii="宋体" w:hAnsi="宋体" w:cs="宋体"/>
                <w:spacing w:val="8"/>
              </w:rPr>
              <w:t>1000≤Y＜30000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8D236DA">
            <w:pPr>
              <w:pStyle w:val="31"/>
              <w:wordWrap w:val="0"/>
              <w:jc w:val="center"/>
              <w:rPr>
                <w:rFonts w:ascii="宋体" w:hAnsi="宋体" w:cs="宋体"/>
              </w:rPr>
            </w:pPr>
            <w:r>
              <w:rPr>
                <w:rFonts w:hint="eastAsia" w:ascii="宋体" w:hAnsi="宋体" w:cs="宋体"/>
                <w:spacing w:val="8"/>
              </w:rPr>
              <w:t>100≤Y＜1000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AE67FA1">
            <w:pPr>
              <w:pStyle w:val="31"/>
              <w:wordWrap w:val="0"/>
              <w:jc w:val="center"/>
              <w:rPr>
                <w:rFonts w:ascii="宋体" w:hAnsi="宋体" w:cs="宋体"/>
              </w:rPr>
            </w:pPr>
            <w:r>
              <w:rPr>
                <w:rFonts w:hint="eastAsia" w:ascii="宋体" w:hAnsi="宋体" w:cs="宋体"/>
                <w:spacing w:val="8"/>
              </w:rPr>
              <w:t>Y＜100</w:t>
            </w:r>
          </w:p>
        </w:tc>
      </w:tr>
      <w:tr w14:paraId="179E3F5A">
        <w:tblPrEx>
          <w:tblCellMar>
            <w:top w:w="0" w:type="dxa"/>
            <w:left w:w="0" w:type="dxa"/>
            <w:bottom w:w="0" w:type="dxa"/>
            <w:right w:w="0" w:type="dxa"/>
          </w:tblCellMar>
        </w:tblPrEx>
        <w:trPr>
          <w:trHeight w:val="589" w:hRule="atLeast"/>
          <w:jc w:val="center"/>
        </w:trPr>
        <w:tc>
          <w:tcPr>
            <w:tcW w:w="1687"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5FEA7D7B">
            <w:pPr>
              <w:pStyle w:val="31"/>
              <w:wordWrap w:val="0"/>
              <w:spacing w:line="240" w:lineRule="atLeast"/>
              <w:jc w:val="center"/>
              <w:rPr>
                <w:rFonts w:ascii="宋体" w:hAnsi="宋体" w:cs="宋体"/>
              </w:rPr>
            </w:pPr>
            <w:r>
              <w:rPr>
                <w:rFonts w:hint="eastAsia" w:ascii="宋体" w:hAnsi="宋体" w:cs="宋体"/>
                <w:spacing w:val="8"/>
              </w:rPr>
              <w:t>邮政业</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1A7DC35">
            <w:pPr>
              <w:pStyle w:val="31"/>
              <w:wordWrap w:val="0"/>
              <w:jc w:val="center"/>
              <w:rPr>
                <w:rFonts w:ascii="宋体" w:hAnsi="宋体" w:cs="宋体"/>
              </w:rPr>
            </w:pPr>
            <w:r>
              <w:rPr>
                <w:rFonts w:hint="eastAsia" w:ascii="宋体" w:hAnsi="宋体" w:cs="宋体"/>
                <w:spacing w:val="8"/>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80C676D">
            <w:pPr>
              <w:pStyle w:val="31"/>
              <w:wordWrap w:val="0"/>
              <w:jc w:val="center"/>
              <w:rPr>
                <w:rFonts w:ascii="宋体" w:hAnsi="宋体" w:cs="宋体"/>
              </w:rPr>
            </w:pPr>
            <w:r>
              <w:rPr>
                <w:rFonts w:hint="eastAsia" w:ascii="宋体" w:hAnsi="宋体" w:cs="宋体"/>
                <w:spacing w:val="8"/>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70283F8">
            <w:pPr>
              <w:pStyle w:val="31"/>
              <w:wordWrap w:val="0"/>
              <w:jc w:val="center"/>
              <w:rPr>
                <w:rFonts w:ascii="宋体" w:hAnsi="宋体" w:cs="宋体"/>
              </w:rPr>
            </w:pPr>
            <w:r>
              <w:rPr>
                <w:rFonts w:hint="eastAsia" w:ascii="宋体" w:hAnsi="宋体" w:cs="宋体"/>
                <w:spacing w:val="8"/>
              </w:rPr>
              <w:t>X≥1000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3BC98C5">
            <w:pPr>
              <w:pStyle w:val="31"/>
              <w:wordWrap w:val="0"/>
              <w:jc w:val="center"/>
              <w:rPr>
                <w:rFonts w:ascii="宋体" w:hAnsi="宋体" w:cs="宋体"/>
              </w:rPr>
            </w:pPr>
            <w:r>
              <w:rPr>
                <w:rFonts w:hint="eastAsia" w:ascii="宋体" w:hAnsi="宋体" w:cs="宋体"/>
                <w:spacing w:val="8"/>
              </w:rPr>
              <w:t>300≤X＜1000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8D464D4">
            <w:pPr>
              <w:pStyle w:val="31"/>
              <w:wordWrap w:val="0"/>
              <w:jc w:val="center"/>
              <w:rPr>
                <w:rFonts w:ascii="宋体" w:hAnsi="宋体" w:cs="宋体"/>
              </w:rPr>
            </w:pPr>
            <w:r>
              <w:rPr>
                <w:rFonts w:hint="eastAsia" w:ascii="宋体" w:hAnsi="宋体" w:cs="宋体"/>
                <w:spacing w:val="8"/>
              </w:rPr>
              <w:t>20≤X＜300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6A7811A">
            <w:pPr>
              <w:pStyle w:val="31"/>
              <w:wordWrap w:val="0"/>
              <w:jc w:val="center"/>
              <w:rPr>
                <w:rFonts w:ascii="宋体" w:hAnsi="宋体" w:cs="宋体"/>
              </w:rPr>
            </w:pPr>
            <w:r>
              <w:rPr>
                <w:rFonts w:hint="eastAsia" w:ascii="宋体" w:hAnsi="宋体" w:cs="宋体"/>
                <w:spacing w:val="8"/>
              </w:rPr>
              <w:t>X＜20</w:t>
            </w:r>
          </w:p>
        </w:tc>
      </w:tr>
      <w:tr w14:paraId="6CAC915D">
        <w:tblPrEx>
          <w:tblCellMar>
            <w:top w:w="0" w:type="dxa"/>
            <w:left w:w="0" w:type="dxa"/>
            <w:bottom w:w="0" w:type="dxa"/>
            <w:right w:w="0" w:type="dxa"/>
          </w:tblCellMar>
        </w:tblPrEx>
        <w:trPr>
          <w:trHeight w:val="589" w:hRule="atLeast"/>
          <w:jc w:val="center"/>
        </w:trPr>
        <w:tc>
          <w:tcPr>
            <w:tcW w:w="1687"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DD15AB5">
            <w:pPr>
              <w:jc w:val="center"/>
              <w:rPr>
                <w:rFonts w:ascii="宋体" w:hAnsi="宋体" w:cs="宋体"/>
                <w:spacing w:val="8"/>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5030FF5">
            <w:pPr>
              <w:pStyle w:val="31"/>
              <w:wordWrap w:val="0"/>
              <w:spacing w:line="240" w:lineRule="atLeast"/>
              <w:jc w:val="center"/>
              <w:rPr>
                <w:rFonts w:ascii="宋体" w:hAnsi="宋体" w:cs="宋体"/>
              </w:rPr>
            </w:pPr>
            <w:r>
              <w:rPr>
                <w:rFonts w:hint="eastAsia" w:ascii="宋体" w:hAnsi="宋体" w:cs="宋体"/>
                <w:spacing w:val="8"/>
              </w:rPr>
              <w:t>营业收入(Y)</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B2F5FEA">
            <w:pPr>
              <w:pStyle w:val="31"/>
              <w:wordWrap w:val="0"/>
              <w:jc w:val="center"/>
              <w:rPr>
                <w:rFonts w:ascii="宋体" w:hAnsi="宋体" w:cs="宋体"/>
              </w:rPr>
            </w:pPr>
            <w:r>
              <w:rPr>
                <w:rFonts w:hint="eastAsia" w:ascii="宋体" w:hAnsi="宋体" w:cs="宋体"/>
                <w:spacing w:val="8"/>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886B56E">
            <w:pPr>
              <w:pStyle w:val="31"/>
              <w:wordWrap w:val="0"/>
              <w:jc w:val="center"/>
              <w:rPr>
                <w:rFonts w:ascii="宋体" w:hAnsi="宋体" w:cs="宋体"/>
              </w:rPr>
            </w:pPr>
            <w:r>
              <w:rPr>
                <w:rFonts w:hint="eastAsia" w:ascii="宋体" w:hAnsi="宋体" w:cs="宋体"/>
                <w:spacing w:val="8"/>
              </w:rPr>
              <w:t>Y≥30000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33D2DCC">
            <w:pPr>
              <w:pStyle w:val="31"/>
              <w:wordWrap w:val="0"/>
              <w:jc w:val="center"/>
              <w:rPr>
                <w:rFonts w:ascii="宋体" w:hAnsi="宋体" w:cs="宋体"/>
              </w:rPr>
            </w:pPr>
            <w:r>
              <w:rPr>
                <w:rFonts w:hint="eastAsia" w:ascii="宋体" w:hAnsi="宋体" w:cs="宋体"/>
                <w:spacing w:val="8"/>
              </w:rPr>
              <w:t>2000≤Y＜30000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E46AD2C">
            <w:pPr>
              <w:pStyle w:val="31"/>
              <w:wordWrap w:val="0"/>
              <w:jc w:val="center"/>
              <w:rPr>
                <w:rFonts w:ascii="宋体" w:hAnsi="宋体" w:cs="宋体"/>
              </w:rPr>
            </w:pPr>
            <w:r>
              <w:rPr>
                <w:rFonts w:hint="eastAsia" w:ascii="宋体" w:hAnsi="宋体" w:cs="宋体"/>
                <w:spacing w:val="8"/>
              </w:rPr>
              <w:t>100≤Y＜2000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0E2513C">
            <w:pPr>
              <w:pStyle w:val="31"/>
              <w:wordWrap w:val="0"/>
              <w:jc w:val="center"/>
              <w:rPr>
                <w:rFonts w:ascii="宋体" w:hAnsi="宋体" w:cs="宋体"/>
              </w:rPr>
            </w:pPr>
            <w:r>
              <w:rPr>
                <w:rFonts w:hint="eastAsia" w:ascii="宋体" w:hAnsi="宋体" w:cs="宋体"/>
                <w:spacing w:val="8"/>
              </w:rPr>
              <w:t>Y＜100</w:t>
            </w:r>
          </w:p>
        </w:tc>
      </w:tr>
      <w:tr w14:paraId="155C1D7C">
        <w:tblPrEx>
          <w:tblCellMar>
            <w:top w:w="0" w:type="dxa"/>
            <w:left w:w="0" w:type="dxa"/>
            <w:bottom w:w="0" w:type="dxa"/>
            <w:right w:w="0" w:type="dxa"/>
          </w:tblCellMar>
        </w:tblPrEx>
        <w:trPr>
          <w:trHeight w:val="589" w:hRule="atLeast"/>
          <w:jc w:val="center"/>
        </w:trPr>
        <w:tc>
          <w:tcPr>
            <w:tcW w:w="1687"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7B66075">
            <w:pPr>
              <w:pStyle w:val="31"/>
              <w:wordWrap w:val="0"/>
              <w:spacing w:line="240" w:lineRule="atLeast"/>
              <w:jc w:val="center"/>
              <w:rPr>
                <w:rFonts w:ascii="宋体" w:hAnsi="宋体" w:cs="宋体"/>
              </w:rPr>
            </w:pPr>
            <w:r>
              <w:rPr>
                <w:rFonts w:hint="eastAsia" w:ascii="宋体" w:hAnsi="宋体" w:cs="宋体"/>
                <w:spacing w:val="8"/>
              </w:rPr>
              <w:t>住宿业</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CA2DA2A">
            <w:pPr>
              <w:pStyle w:val="31"/>
              <w:wordWrap w:val="0"/>
              <w:jc w:val="center"/>
              <w:rPr>
                <w:rFonts w:ascii="宋体" w:hAnsi="宋体" w:cs="宋体"/>
              </w:rPr>
            </w:pPr>
            <w:r>
              <w:rPr>
                <w:rFonts w:hint="eastAsia" w:ascii="宋体" w:hAnsi="宋体" w:cs="宋体"/>
                <w:spacing w:val="8"/>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D6A18C3">
            <w:pPr>
              <w:pStyle w:val="31"/>
              <w:wordWrap w:val="0"/>
              <w:jc w:val="center"/>
              <w:rPr>
                <w:rFonts w:ascii="宋体" w:hAnsi="宋体" w:cs="宋体"/>
              </w:rPr>
            </w:pPr>
            <w:r>
              <w:rPr>
                <w:rFonts w:hint="eastAsia" w:ascii="宋体" w:hAnsi="宋体" w:cs="宋体"/>
                <w:spacing w:val="8"/>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2617676">
            <w:pPr>
              <w:pStyle w:val="31"/>
              <w:wordWrap w:val="0"/>
              <w:jc w:val="center"/>
              <w:rPr>
                <w:rFonts w:ascii="宋体" w:hAnsi="宋体" w:cs="宋体"/>
              </w:rPr>
            </w:pPr>
            <w:r>
              <w:rPr>
                <w:rFonts w:hint="eastAsia" w:ascii="宋体" w:hAnsi="宋体" w:cs="宋体"/>
                <w:spacing w:val="8"/>
              </w:rPr>
              <w:t>X≥300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7724935">
            <w:pPr>
              <w:pStyle w:val="31"/>
              <w:wordWrap w:val="0"/>
              <w:jc w:val="center"/>
              <w:rPr>
                <w:rFonts w:ascii="宋体" w:hAnsi="宋体" w:cs="宋体"/>
              </w:rPr>
            </w:pPr>
            <w:r>
              <w:rPr>
                <w:rFonts w:hint="eastAsia" w:ascii="宋体" w:hAnsi="宋体" w:cs="宋体"/>
                <w:spacing w:val="8"/>
              </w:rPr>
              <w:t>100≤X＜300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7F689BE">
            <w:pPr>
              <w:pStyle w:val="31"/>
              <w:wordWrap w:val="0"/>
              <w:jc w:val="center"/>
              <w:rPr>
                <w:rFonts w:ascii="宋体" w:hAnsi="宋体" w:cs="宋体"/>
              </w:rPr>
            </w:pPr>
            <w:r>
              <w:rPr>
                <w:rFonts w:hint="eastAsia" w:ascii="宋体" w:hAnsi="宋体" w:cs="宋体"/>
                <w:spacing w:val="8"/>
              </w:rPr>
              <w:t>10≤X＜100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AF78990">
            <w:pPr>
              <w:pStyle w:val="31"/>
              <w:wordWrap w:val="0"/>
              <w:jc w:val="center"/>
              <w:rPr>
                <w:rFonts w:ascii="宋体" w:hAnsi="宋体" w:cs="宋体"/>
              </w:rPr>
            </w:pPr>
            <w:r>
              <w:rPr>
                <w:rFonts w:hint="eastAsia" w:ascii="宋体" w:hAnsi="宋体" w:cs="宋体"/>
                <w:spacing w:val="8"/>
              </w:rPr>
              <w:t>X＜10</w:t>
            </w:r>
          </w:p>
        </w:tc>
      </w:tr>
      <w:tr w14:paraId="7BD27621">
        <w:tblPrEx>
          <w:tblCellMar>
            <w:top w:w="0" w:type="dxa"/>
            <w:left w:w="0" w:type="dxa"/>
            <w:bottom w:w="0" w:type="dxa"/>
            <w:right w:w="0" w:type="dxa"/>
          </w:tblCellMar>
        </w:tblPrEx>
        <w:trPr>
          <w:trHeight w:val="589" w:hRule="atLeast"/>
          <w:jc w:val="center"/>
        </w:trPr>
        <w:tc>
          <w:tcPr>
            <w:tcW w:w="1687"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6FC01AB">
            <w:pPr>
              <w:jc w:val="center"/>
              <w:rPr>
                <w:rFonts w:ascii="宋体" w:hAnsi="宋体" w:cs="宋体"/>
                <w:spacing w:val="8"/>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47F4829">
            <w:pPr>
              <w:pStyle w:val="31"/>
              <w:wordWrap w:val="0"/>
              <w:spacing w:line="240" w:lineRule="atLeast"/>
              <w:jc w:val="center"/>
              <w:rPr>
                <w:rFonts w:ascii="宋体" w:hAnsi="宋体" w:cs="宋体"/>
              </w:rPr>
            </w:pPr>
            <w:r>
              <w:rPr>
                <w:rFonts w:hint="eastAsia" w:ascii="宋体" w:hAnsi="宋体" w:cs="宋体"/>
                <w:spacing w:val="8"/>
              </w:rPr>
              <w:t>营业收入(Y)</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CD158AB">
            <w:pPr>
              <w:pStyle w:val="31"/>
              <w:wordWrap w:val="0"/>
              <w:jc w:val="center"/>
              <w:rPr>
                <w:rFonts w:ascii="宋体" w:hAnsi="宋体" w:cs="宋体"/>
              </w:rPr>
            </w:pPr>
            <w:r>
              <w:rPr>
                <w:rFonts w:hint="eastAsia" w:ascii="宋体" w:hAnsi="宋体" w:cs="宋体"/>
                <w:spacing w:val="8"/>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58EC1A5">
            <w:pPr>
              <w:pStyle w:val="31"/>
              <w:wordWrap w:val="0"/>
              <w:jc w:val="center"/>
              <w:rPr>
                <w:rFonts w:ascii="宋体" w:hAnsi="宋体" w:cs="宋体"/>
              </w:rPr>
            </w:pPr>
            <w:r>
              <w:rPr>
                <w:rFonts w:hint="eastAsia" w:ascii="宋体" w:hAnsi="宋体" w:cs="宋体"/>
                <w:spacing w:val="8"/>
              </w:rPr>
              <w:t>Y≥10000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9C556E0">
            <w:pPr>
              <w:pStyle w:val="31"/>
              <w:wordWrap w:val="0"/>
              <w:jc w:val="center"/>
              <w:rPr>
                <w:rFonts w:ascii="宋体" w:hAnsi="宋体" w:cs="宋体"/>
              </w:rPr>
            </w:pPr>
            <w:r>
              <w:rPr>
                <w:rFonts w:hint="eastAsia" w:ascii="宋体" w:hAnsi="宋体" w:cs="宋体"/>
                <w:spacing w:val="8"/>
              </w:rPr>
              <w:t>2000≤Y＜10000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412A7CF">
            <w:pPr>
              <w:pStyle w:val="31"/>
              <w:wordWrap w:val="0"/>
              <w:jc w:val="center"/>
              <w:rPr>
                <w:rFonts w:ascii="宋体" w:hAnsi="宋体" w:cs="宋体"/>
              </w:rPr>
            </w:pPr>
            <w:r>
              <w:rPr>
                <w:rFonts w:hint="eastAsia" w:ascii="宋体" w:hAnsi="宋体" w:cs="宋体"/>
                <w:spacing w:val="8"/>
              </w:rPr>
              <w:t>100≤Y＜2000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4DA759E">
            <w:pPr>
              <w:pStyle w:val="31"/>
              <w:wordWrap w:val="0"/>
              <w:jc w:val="center"/>
              <w:rPr>
                <w:rFonts w:ascii="宋体" w:hAnsi="宋体" w:cs="宋体"/>
              </w:rPr>
            </w:pPr>
            <w:r>
              <w:rPr>
                <w:rFonts w:hint="eastAsia" w:ascii="宋体" w:hAnsi="宋体" w:cs="宋体"/>
                <w:spacing w:val="8"/>
              </w:rPr>
              <w:t>Y＜100</w:t>
            </w:r>
          </w:p>
        </w:tc>
      </w:tr>
      <w:tr w14:paraId="237A943F">
        <w:tblPrEx>
          <w:tblCellMar>
            <w:top w:w="0" w:type="dxa"/>
            <w:left w:w="0" w:type="dxa"/>
            <w:bottom w:w="0" w:type="dxa"/>
            <w:right w:w="0" w:type="dxa"/>
          </w:tblCellMar>
        </w:tblPrEx>
        <w:trPr>
          <w:trHeight w:val="589" w:hRule="atLeast"/>
          <w:jc w:val="center"/>
        </w:trPr>
        <w:tc>
          <w:tcPr>
            <w:tcW w:w="1687"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6D859DC">
            <w:pPr>
              <w:pStyle w:val="31"/>
              <w:wordWrap w:val="0"/>
              <w:spacing w:line="240" w:lineRule="atLeast"/>
              <w:jc w:val="center"/>
              <w:rPr>
                <w:rFonts w:ascii="宋体" w:hAnsi="宋体" w:cs="宋体"/>
              </w:rPr>
            </w:pPr>
            <w:r>
              <w:rPr>
                <w:rFonts w:hint="eastAsia" w:ascii="宋体" w:hAnsi="宋体" w:cs="宋体"/>
                <w:spacing w:val="8"/>
              </w:rPr>
              <w:t>餐饮业</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A07A686">
            <w:pPr>
              <w:pStyle w:val="31"/>
              <w:wordWrap w:val="0"/>
              <w:jc w:val="center"/>
              <w:rPr>
                <w:rFonts w:ascii="宋体" w:hAnsi="宋体" w:cs="宋体"/>
              </w:rPr>
            </w:pPr>
            <w:r>
              <w:rPr>
                <w:rFonts w:hint="eastAsia" w:ascii="宋体" w:hAnsi="宋体" w:cs="宋体"/>
                <w:spacing w:val="8"/>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3DC9F19">
            <w:pPr>
              <w:pStyle w:val="31"/>
              <w:wordWrap w:val="0"/>
              <w:jc w:val="center"/>
              <w:rPr>
                <w:rFonts w:ascii="宋体" w:hAnsi="宋体" w:cs="宋体"/>
              </w:rPr>
            </w:pPr>
            <w:r>
              <w:rPr>
                <w:rFonts w:hint="eastAsia" w:ascii="宋体" w:hAnsi="宋体" w:cs="宋体"/>
                <w:spacing w:val="8"/>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2BEAD23">
            <w:pPr>
              <w:pStyle w:val="31"/>
              <w:wordWrap w:val="0"/>
              <w:jc w:val="center"/>
              <w:rPr>
                <w:rFonts w:ascii="宋体" w:hAnsi="宋体" w:cs="宋体"/>
              </w:rPr>
            </w:pPr>
            <w:r>
              <w:rPr>
                <w:rFonts w:hint="eastAsia" w:ascii="宋体" w:hAnsi="宋体" w:cs="宋体"/>
                <w:spacing w:val="8"/>
              </w:rPr>
              <w:t>X≥300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862290C">
            <w:pPr>
              <w:pStyle w:val="31"/>
              <w:wordWrap w:val="0"/>
              <w:jc w:val="center"/>
              <w:rPr>
                <w:rFonts w:ascii="宋体" w:hAnsi="宋体" w:cs="宋体"/>
              </w:rPr>
            </w:pPr>
            <w:r>
              <w:rPr>
                <w:rFonts w:hint="eastAsia" w:ascii="宋体" w:hAnsi="宋体" w:cs="宋体"/>
                <w:spacing w:val="8"/>
              </w:rPr>
              <w:t>100≤X＜300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0A14F4E">
            <w:pPr>
              <w:pStyle w:val="31"/>
              <w:wordWrap w:val="0"/>
              <w:jc w:val="center"/>
              <w:rPr>
                <w:rFonts w:ascii="宋体" w:hAnsi="宋体" w:cs="宋体"/>
              </w:rPr>
            </w:pPr>
            <w:r>
              <w:rPr>
                <w:rFonts w:hint="eastAsia" w:ascii="宋体" w:hAnsi="宋体" w:cs="宋体"/>
                <w:spacing w:val="8"/>
              </w:rPr>
              <w:t>10≤X＜100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70ADAB1">
            <w:pPr>
              <w:pStyle w:val="31"/>
              <w:wordWrap w:val="0"/>
              <w:jc w:val="center"/>
              <w:rPr>
                <w:rFonts w:ascii="宋体" w:hAnsi="宋体" w:cs="宋体"/>
              </w:rPr>
            </w:pPr>
            <w:r>
              <w:rPr>
                <w:rFonts w:hint="eastAsia" w:ascii="宋体" w:hAnsi="宋体" w:cs="宋体"/>
                <w:spacing w:val="8"/>
              </w:rPr>
              <w:t>X＜10</w:t>
            </w:r>
          </w:p>
        </w:tc>
      </w:tr>
      <w:tr w14:paraId="53B03A09">
        <w:tblPrEx>
          <w:tblCellMar>
            <w:top w:w="0" w:type="dxa"/>
            <w:left w:w="0" w:type="dxa"/>
            <w:bottom w:w="0" w:type="dxa"/>
            <w:right w:w="0" w:type="dxa"/>
          </w:tblCellMar>
        </w:tblPrEx>
        <w:trPr>
          <w:trHeight w:val="589" w:hRule="atLeast"/>
          <w:jc w:val="center"/>
        </w:trPr>
        <w:tc>
          <w:tcPr>
            <w:tcW w:w="1687"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5A6F42A2">
            <w:pPr>
              <w:jc w:val="center"/>
              <w:rPr>
                <w:rFonts w:ascii="宋体" w:hAnsi="宋体" w:cs="宋体"/>
                <w:spacing w:val="8"/>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96408A8">
            <w:pPr>
              <w:pStyle w:val="31"/>
              <w:wordWrap w:val="0"/>
              <w:spacing w:line="240" w:lineRule="atLeast"/>
              <w:jc w:val="center"/>
              <w:rPr>
                <w:rFonts w:ascii="宋体" w:hAnsi="宋体" w:cs="宋体"/>
              </w:rPr>
            </w:pPr>
            <w:r>
              <w:rPr>
                <w:rFonts w:hint="eastAsia" w:ascii="宋体" w:hAnsi="宋体" w:cs="宋体"/>
                <w:spacing w:val="8"/>
              </w:rPr>
              <w:t>营业收入(Y)</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83DDEB1">
            <w:pPr>
              <w:pStyle w:val="31"/>
              <w:wordWrap w:val="0"/>
              <w:jc w:val="center"/>
              <w:rPr>
                <w:rFonts w:ascii="宋体" w:hAnsi="宋体" w:cs="宋体"/>
              </w:rPr>
            </w:pPr>
            <w:r>
              <w:rPr>
                <w:rFonts w:hint="eastAsia" w:ascii="宋体" w:hAnsi="宋体" w:cs="宋体"/>
                <w:spacing w:val="8"/>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0D277DE">
            <w:pPr>
              <w:pStyle w:val="31"/>
              <w:wordWrap w:val="0"/>
              <w:jc w:val="center"/>
              <w:rPr>
                <w:rFonts w:ascii="宋体" w:hAnsi="宋体" w:cs="宋体"/>
              </w:rPr>
            </w:pPr>
            <w:r>
              <w:rPr>
                <w:rFonts w:hint="eastAsia" w:ascii="宋体" w:hAnsi="宋体" w:cs="宋体"/>
                <w:spacing w:val="8"/>
              </w:rPr>
              <w:t>Y≥10000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DF09E19">
            <w:pPr>
              <w:pStyle w:val="31"/>
              <w:wordWrap w:val="0"/>
              <w:jc w:val="center"/>
              <w:rPr>
                <w:rFonts w:ascii="宋体" w:hAnsi="宋体" w:cs="宋体"/>
              </w:rPr>
            </w:pPr>
            <w:r>
              <w:rPr>
                <w:rFonts w:hint="eastAsia" w:ascii="宋体" w:hAnsi="宋体" w:cs="宋体"/>
                <w:spacing w:val="8"/>
              </w:rPr>
              <w:t>2000≤Y＜10000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37D8BDA">
            <w:pPr>
              <w:pStyle w:val="31"/>
              <w:wordWrap w:val="0"/>
              <w:jc w:val="center"/>
              <w:rPr>
                <w:rFonts w:ascii="宋体" w:hAnsi="宋体" w:cs="宋体"/>
              </w:rPr>
            </w:pPr>
            <w:r>
              <w:rPr>
                <w:rFonts w:hint="eastAsia" w:ascii="宋体" w:hAnsi="宋体" w:cs="宋体"/>
                <w:spacing w:val="8"/>
              </w:rPr>
              <w:t>100≤Y＜2000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75FA25B">
            <w:pPr>
              <w:pStyle w:val="31"/>
              <w:wordWrap w:val="0"/>
              <w:jc w:val="center"/>
              <w:rPr>
                <w:rFonts w:ascii="宋体" w:hAnsi="宋体" w:cs="宋体"/>
              </w:rPr>
            </w:pPr>
            <w:r>
              <w:rPr>
                <w:rFonts w:hint="eastAsia" w:ascii="宋体" w:hAnsi="宋体" w:cs="宋体"/>
                <w:spacing w:val="8"/>
              </w:rPr>
              <w:t>Y＜100</w:t>
            </w:r>
          </w:p>
        </w:tc>
      </w:tr>
      <w:tr w14:paraId="444963B7">
        <w:tblPrEx>
          <w:tblCellMar>
            <w:top w:w="0" w:type="dxa"/>
            <w:left w:w="0" w:type="dxa"/>
            <w:bottom w:w="0" w:type="dxa"/>
            <w:right w:w="0" w:type="dxa"/>
          </w:tblCellMar>
        </w:tblPrEx>
        <w:trPr>
          <w:trHeight w:val="589" w:hRule="atLeast"/>
          <w:jc w:val="center"/>
        </w:trPr>
        <w:tc>
          <w:tcPr>
            <w:tcW w:w="1687"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44A7F24">
            <w:pPr>
              <w:pStyle w:val="31"/>
              <w:wordWrap w:val="0"/>
              <w:spacing w:line="240" w:lineRule="atLeast"/>
              <w:jc w:val="center"/>
              <w:rPr>
                <w:rFonts w:ascii="宋体" w:hAnsi="宋体" w:cs="宋体"/>
              </w:rPr>
            </w:pPr>
            <w:r>
              <w:rPr>
                <w:rFonts w:hint="eastAsia" w:ascii="宋体" w:hAnsi="宋体" w:cs="宋体"/>
                <w:spacing w:val="8"/>
              </w:rPr>
              <w:t>信息传输业 *</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BA19471">
            <w:pPr>
              <w:pStyle w:val="31"/>
              <w:wordWrap w:val="0"/>
              <w:jc w:val="center"/>
              <w:rPr>
                <w:rFonts w:ascii="宋体" w:hAnsi="宋体" w:cs="宋体"/>
              </w:rPr>
            </w:pPr>
            <w:r>
              <w:rPr>
                <w:rFonts w:hint="eastAsia" w:ascii="宋体" w:hAnsi="宋体" w:cs="宋体"/>
                <w:spacing w:val="8"/>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ABC2208">
            <w:pPr>
              <w:pStyle w:val="31"/>
              <w:wordWrap w:val="0"/>
              <w:jc w:val="center"/>
              <w:rPr>
                <w:rFonts w:ascii="宋体" w:hAnsi="宋体" w:cs="宋体"/>
              </w:rPr>
            </w:pPr>
            <w:r>
              <w:rPr>
                <w:rFonts w:hint="eastAsia" w:ascii="宋体" w:hAnsi="宋体" w:cs="宋体"/>
                <w:spacing w:val="8"/>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0916691">
            <w:pPr>
              <w:pStyle w:val="31"/>
              <w:wordWrap w:val="0"/>
              <w:jc w:val="center"/>
              <w:rPr>
                <w:rFonts w:ascii="宋体" w:hAnsi="宋体" w:cs="宋体"/>
              </w:rPr>
            </w:pPr>
            <w:r>
              <w:rPr>
                <w:rFonts w:hint="eastAsia" w:ascii="宋体" w:hAnsi="宋体" w:cs="宋体"/>
                <w:spacing w:val="8"/>
              </w:rPr>
              <w:t>X≥2000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AE5E4D0">
            <w:pPr>
              <w:pStyle w:val="31"/>
              <w:wordWrap w:val="0"/>
              <w:jc w:val="center"/>
              <w:rPr>
                <w:rFonts w:ascii="宋体" w:hAnsi="宋体" w:cs="宋体"/>
              </w:rPr>
            </w:pPr>
            <w:r>
              <w:rPr>
                <w:rFonts w:hint="eastAsia" w:ascii="宋体" w:hAnsi="宋体" w:cs="宋体"/>
                <w:spacing w:val="8"/>
              </w:rPr>
              <w:t>100≤X＜2000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EF6976F">
            <w:pPr>
              <w:pStyle w:val="31"/>
              <w:wordWrap w:val="0"/>
              <w:jc w:val="center"/>
              <w:rPr>
                <w:rFonts w:ascii="宋体" w:hAnsi="宋体" w:cs="宋体"/>
              </w:rPr>
            </w:pPr>
            <w:r>
              <w:rPr>
                <w:rFonts w:hint="eastAsia" w:ascii="宋体" w:hAnsi="宋体" w:cs="宋体"/>
                <w:spacing w:val="8"/>
              </w:rPr>
              <w:t>10≤X＜100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837399A">
            <w:pPr>
              <w:pStyle w:val="31"/>
              <w:wordWrap w:val="0"/>
              <w:jc w:val="center"/>
              <w:rPr>
                <w:rFonts w:ascii="宋体" w:hAnsi="宋体" w:cs="宋体"/>
              </w:rPr>
            </w:pPr>
            <w:r>
              <w:rPr>
                <w:rFonts w:hint="eastAsia" w:ascii="宋体" w:hAnsi="宋体" w:cs="宋体"/>
                <w:spacing w:val="8"/>
              </w:rPr>
              <w:t>X＜10</w:t>
            </w:r>
          </w:p>
        </w:tc>
      </w:tr>
      <w:tr w14:paraId="2AA03C7B">
        <w:tblPrEx>
          <w:tblCellMar>
            <w:top w:w="0" w:type="dxa"/>
            <w:left w:w="0" w:type="dxa"/>
            <w:bottom w:w="0" w:type="dxa"/>
            <w:right w:w="0" w:type="dxa"/>
          </w:tblCellMar>
        </w:tblPrEx>
        <w:trPr>
          <w:trHeight w:val="589" w:hRule="atLeast"/>
          <w:jc w:val="center"/>
        </w:trPr>
        <w:tc>
          <w:tcPr>
            <w:tcW w:w="1687"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292A0A07">
            <w:pPr>
              <w:jc w:val="center"/>
              <w:rPr>
                <w:rFonts w:ascii="宋体" w:hAnsi="宋体" w:cs="宋体"/>
                <w:spacing w:val="8"/>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7334131">
            <w:pPr>
              <w:pStyle w:val="31"/>
              <w:wordWrap w:val="0"/>
              <w:spacing w:line="240" w:lineRule="atLeast"/>
              <w:jc w:val="center"/>
              <w:rPr>
                <w:rFonts w:ascii="宋体" w:hAnsi="宋体" w:cs="宋体"/>
              </w:rPr>
            </w:pPr>
            <w:r>
              <w:rPr>
                <w:rFonts w:hint="eastAsia" w:ascii="宋体" w:hAnsi="宋体" w:cs="宋体"/>
                <w:spacing w:val="8"/>
              </w:rPr>
              <w:t>营业收入(Y)</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125785C">
            <w:pPr>
              <w:pStyle w:val="31"/>
              <w:wordWrap w:val="0"/>
              <w:jc w:val="center"/>
              <w:rPr>
                <w:rFonts w:ascii="宋体" w:hAnsi="宋体" w:cs="宋体"/>
              </w:rPr>
            </w:pPr>
            <w:r>
              <w:rPr>
                <w:rFonts w:hint="eastAsia" w:ascii="宋体" w:hAnsi="宋体" w:cs="宋体"/>
                <w:spacing w:val="8"/>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C9335C9">
            <w:pPr>
              <w:pStyle w:val="31"/>
              <w:wordWrap w:val="0"/>
              <w:jc w:val="center"/>
              <w:rPr>
                <w:rFonts w:ascii="宋体" w:hAnsi="宋体" w:cs="宋体"/>
              </w:rPr>
            </w:pPr>
            <w:r>
              <w:rPr>
                <w:rFonts w:hint="eastAsia" w:ascii="宋体" w:hAnsi="宋体" w:cs="宋体"/>
                <w:spacing w:val="8"/>
              </w:rPr>
              <w:t>Y≥100000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1E9729F">
            <w:pPr>
              <w:pStyle w:val="31"/>
              <w:wordWrap w:val="0"/>
              <w:jc w:val="center"/>
              <w:rPr>
                <w:rFonts w:ascii="宋体" w:hAnsi="宋体" w:cs="宋体"/>
              </w:rPr>
            </w:pPr>
            <w:r>
              <w:rPr>
                <w:rFonts w:hint="eastAsia" w:ascii="宋体" w:hAnsi="宋体" w:cs="宋体"/>
                <w:spacing w:val="8"/>
              </w:rPr>
              <w:t>1000≤Y＜100000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26DF53A">
            <w:pPr>
              <w:pStyle w:val="31"/>
              <w:wordWrap w:val="0"/>
              <w:jc w:val="center"/>
              <w:rPr>
                <w:rFonts w:ascii="宋体" w:hAnsi="宋体" w:cs="宋体"/>
              </w:rPr>
            </w:pPr>
            <w:r>
              <w:rPr>
                <w:rFonts w:hint="eastAsia" w:ascii="宋体" w:hAnsi="宋体" w:cs="宋体"/>
                <w:spacing w:val="8"/>
              </w:rPr>
              <w:t>100≤Y＜1000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0CBD3C1">
            <w:pPr>
              <w:pStyle w:val="31"/>
              <w:wordWrap w:val="0"/>
              <w:jc w:val="center"/>
              <w:rPr>
                <w:rFonts w:ascii="宋体" w:hAnsi="宋体" w:cs="宋体"/>
              </w:rPr>
            </w:pPr>
            <w:r>
              <w:rPr>
                <w:rFonts w:hint="eastAsia" w:ascii="宋体" w:hAnsi="宋体" w:cs="宋体"/>
                <w:spacing w:val="8"/>
              </w:rPr>
              <w:t>Y＜100</w:t>
            </w:r>
          </w:p>
        </w:tc>
      </w:tr>
      <w:tr w14:paraId="00FEFC40">
        <w:tblPrEx>
          <w:tblCellMar>
            <w:top w:w="0" w:type="dxa"/>
            <w:left w:w="0" w:type="dxa"/>
            <w:bottom w:w="0" w:type="dxa"/>
            <w:right w:w="0" w:type="dxa"/>
          </w:tblCellMar>
        </w:tblPrEx>
        <w:trPr>
          <w:trHeight w:val="589" w:hRule="atLeast"/>
          <w:jc w:val="center"/>
        </w:trPr>
        <w:tc>
          <w:tcPr>
            <w:tcW w:w="1687"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512A8020">
            <w:pPr>
              <w:pStyle w:val="31"/>
              <w:wordWrap w:val="0"/>
              <w:spacing w:line="240" w:lineRule="atLeast"/>
              <w:jc w:val="center"/>
              <w:rPr>
                <w:rFonts w:ascii="宋体" w:hAnsi="宋体" w:cs="宋体"/>
              </w:rPr>
            </w:pPr>
            <w:r>
              <w:rPr>
                <w:rFonts w:hint="eastAsia" w:ascii="宋体" w:hAnsi="宋体" w:cs="宋体"/>
                <w:spacing w:val="-15"/>
              </w:rPr>
              <w:t>软件和信息技术服</w:t>
            </w:r>
            <w:r>
              <w:rPr>
                <w:rFonts w:hint="eastAsia" w:ascii="宋体" w:hAnsi="宋体" w:cs="宋体"/>
                <w:spacing w:val="8"/>
              </w:rPr>
              <w:t>务业</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F1906FB">
            <w:pPr>
              <w:pStyle w:val="31"/>
              <w:wordWrap w:val="0"/>
              <w:jc w:val="center"/>
              <w:rPr>
                <w:rFonts w:ascii="宋体" w:hAnsi="宋体" w:cs="宋体"/>
              </w:rPr>
            </w:pPr>
            <w:r>
              <w:rPr>
                <w:rFonts w:hint="eastAsia" w:ascii="宋体" w:hAnsi="宋体" w:cs="宋体"/>
                <w:spacing w:val="8"/>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E8A6C6E">
            <w:pPr>
              <w:pStyle w:val="31"/>
              <w:wordWrap w:val="0"/>
              <w:jc w:val="center"/>
              <w:rPr>
                <w:rFonts w:ascii="宋体" w:hAnsi="宋体" w:cs="宋体"/>
              </w:rPr>
            </w:pPr>
            <w:r>
              <w:rPr>
                <w:rFonts w:hint="eastAsia" w:ascii="宋体" w:hAnsi="宋体" w:cs="宋体"/>
                <w:spacing w:val="8"/>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6C06EF6">
            <w:pPr>
              <w:pStyle w:val="31"/>
              <w:wordWrap w:val="0"/>
              <w:jc w:val="center"/>
              <w:rPr>
                <w:rFonts w:ascii="宋体" w:hAnsi="宋体" w:cs="宋体"/>
              </w:rPr>
            </w:pPr>
            <w:r>
              <w:rPr>
                <w:rFonts w:hint="eastAsia" w:ascii="宋体" w:hAnsi="宋体" w:cs="宋体"/>
                <w:spacing w:val="8"/>
              </w:rPr>
              <w:t>X≥300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BFAD40B">
            <w:pPr>
              <w:pStyle w:val="31"/>
              <w:wordWrap w:val="0"/>
              <w:jc w:val="center"/>
              <w:rPr>
                <w:rFonts w:ascii="宋体" w:hAnsi="宋体" w:cs="宋体"/>
              </w:rPr>
            </w:pPr>
            <w:r>
              <w:rPr>
                <w:rFonts w:hint="eastAsia" w:ascii="宋体" w:hAnsi="宋体" w:cs="宋体"/>
                <w:spacing w:val="8"/>
              </w:rPr>
              <w:t>100≤X＜300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BA66D25">
            <w:pPr>
              <w:pStyle w:val="31"/>
              <w:wordWrap w:val="0"/>
              <w:jc w:val="center"/>
              <w:rPr>
                <w:rFonts w:ascii="宋体" w:hAnsi="宋体" w:cs="宋体"/>
              </w:rPr>
            </w:pPr>
            <w:r>
              <w:rPr>
                <w:rFonts w:hint="eastAsia" w:ascii="宋体" w:hAnsi="宋体" w:cs="宋体"/>
                <w:spacing w:val="8"/>
              </w:rPr>
              <w:t>10≤X＜100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8573F9A">
            <w:pPr>
              <w:pStyle w:val="31"/>
              <w:wordWrap w:val="0"/>
              <w:jc w:val="center"/>
              <w:rPr>
                <w:rFonts w:ascii="宋体" w:hAnsi="宋体" w:cs="宋体"/>
              </w:rPr>
            </w:pPr>
            <w:r>
              <w:rPr>
                <w:rFonts w:hint="eastAsia" w:ascii="宋体" w:hAnsi="宋体" w:cs="宋体"/>
                <w:spacing w:val="8"/>
              </w:rPr>
              <w:t>X＜10</w:t>
            </w:r>
          </w:p>
        </w:tc>
      </w:tr>
      <w:tr w14:paraId="35B66A9E">
        <w:tblPrEx>
          <w:tblCellMar>
            <w:top w:w="0" w:type="dxa"/>
            <w:left w:w="0" w:type="dxa"/>
            <w:bottom w:w="0" w:type="dxa"/>
            <w:right w:w="0" w:type="dxa"/>
          </w:tblCellMar>
        </w:tblPrEx>
        <w:trPr>
          <w:trHeight w:val="589" w:hRule="atLeast"/>
          <w:jc w:val="center"/>
        </w:trPr>
        <w:tc>
          <w:tcPr>
            <w:tcW w:w="1687"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8972E47">
            <w:pPr>
              <w:jc w:val="center"/>
              <w:rPr>
                <w:rFonts w:ascii="宋体" w:hAnsi="宋体" w:cs="宋体"/>
                <w:spacing w:val="8"/>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BF2F47D">
            <w:pPr>
              <w:pStyle w:val="31"/>
              <w:wordWrap w:val="0"/>
              <w:jc w:val="center"/>
              <w:rPr>
                <w:rFonts w:ascii="宋体" w:hAnsi="宋体" w:cs="宋体"/>
              </w:rPr>
            </w:pPr>
            <w:r>
              <w:rPr>
                <w:rFonts w:hint="eastAsia" w:ascii="宋体" w:hAnsi="宋体" w:cs="宋体"/>
                <w:spacing w:val="8"/>
              </w:rPr>
              <w:t>营业收入(Y)</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51AACD7">
            <w:pPr>
              <w:pStyle w:val="31"/>
              <w:wordWrap w:val="0"/>
              <w:jc w:val="center"/>
              <w:rPr>
                <w:rFonts w:ascii="宋体" w:hAnsi="宋体" w:cs="宋体"/>
              </w:rPr>
            </w:pPr>
            <w:r>
              <w:rPr>
                <w:rFonts w:hint="eastAsia" w:ascii="宋体" w:hAnsi="宋体" w:cs="宋体"/>
                <w:spacing w:val="8"/>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989E1A6">
            <w:pPr>
              <w:pStyle w:val="31"/>
              <w:wordWrap w:val="0"/>
              <w:jc w:val="center"/>
              <w:rPr>
                <w:rFonts w:ascii="宋体" w:hAnsi="宋体" w:cs="宋体"/>
              </w:rPr>
            </w:pPr>
            <w:r>
              <w:rPr>
                <w:rFonts w:hint="eastAsia" w:ascii="宋体" w:hAnsi="宋体" w:cs="宋体"/>
                <w:spacing w:val="8"/>
              </w:rPr>
              <w:t>Y≥10000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F38840F">
            <w:pPr>
              <w:pStyle w:val="31"/>
              <w:wordWrap w:val="0"/>
              <w:jc w:val="center"/>
              <w:rPr>
                <w:rFonts w:ascii="宋体" w:hAnsi="宋体" w:cs="宋体"/>
              </w:rPr>
            </w:pPr>
            <w:r>
              <w:rPr>
                <w:rFonts w:hint="eastAsia" w:ascii="宋体" w:hAnsi="宋体" w:cs="宋体"/>
                <w:spacing w:val="8"/>
              </w:rPr>
              <w:t>1000≤Y＜10000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8A9778A">
            <w:pPr>
              <w:pStyle w:val="31"/>
              <w:wordWrap w:val="0"/>
              <w:jc w:val="center"/>
              <w:rPr>
                <w:rFonts w:ascii="宋体" w:hAnsi="宋体" w:cs="宋体"/>
              </w:rPr>
            </w:pPr>
            <w:r>
              <w:rPr>
                <w:rFonts w:hint="eastAsia" w:ascii="宋体" w:hAnsi="宋体" w:cs="宋体"/>
                <w:spacing w:val="8"/>
              </w:rPr>
              <w:t>50≤Y＜1000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7A860EF">
            <w:pPr>
              <w:pStyle w:val="31"/>
              <w:wordWrap w:val="0"/>
              <w:jc w:val="center"/>
              <w:rPr>
                <w:rFonts w:ascii="宋体" w:hAnsi="宋体" w:cs="宋体"/>
              </w:rPr>
            </w:pPr>
            <w:r>
              <w:rPr>
                <w:rFonts w:hint="eastAsia" w:ascii="宋体" w:hAnsi="宋体" w:cs="宋体"/>
                <w:spacing w:val="8"/>
              </w:rPr>
              <w:t>Y＜50</w:t>
            </w:r>
          </w:p>
        </w:tc>
      </w:tr>
      <w:tr w14:paraId="0C67EA55">
        <w:tblPrEx>
          <w:tblCellMar>
            <w:top w:w="0" w:type="dxa"/>
            <w:left w:w="0" w:type="dxa"/>
            <w:bottom w:w="0" w:type="dxa"/>
            <w:right w:w="0" w:type="dxa"/>
          </w:tblCellMar>
        </w:tblPrEx>
        <w:trPr>
          <w:trHeight w:val="589" w:hRule="atLeast"/>
          <w:jc w:val="center"/>
        </w:trPr>
        <w:tc>
          <w:tcPr>
            <w:tcW w:w="1687"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07DF8E5">
            <w:pPr>
              <w:pStyle w:val="31"/>
              <w:wordWrap w:val="0"/>
              <w:spacing w:line="240" w:lineRule="atLeast"/>
              <w:jc w:val="center"/>
              <w:rPr>
                <w:rFonts w:ascii="宋体" w:hAnsi="宋体" w:cs="宋体"/>
              </w:rPr>
            </w:pPr>
            <w:r>
              <w:rPr>
                <w:rFonts w:hint="eastAsia" w:ascii="宋体" w:hAnsi="宋体" w:cs="宋体"/>
                <w:spacing w:val="8"/>
              </w:rPr>
              <w:t>房地产开发经营</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35A478B">
            <w:pPr>
              <w:pStyle w:val="31"/>
              <w:wordWrap w:val="0"/>
              <w:jc w:val="center"/>
              <w:rPr>
                <w:rFonts w:ascii="宋体" w:hAnsi="宋体" w:cs="宋体"/>
              </w:rPr>
            </w:pPr>
            <w:r>
              <w:rPr>
                <w:rFonts w:hint="eastAsia" w:ascii="宋体" w:hAnsi="宋体" w:cs="宋体"/>
                <w:spacing w:val="8"/>
              </w:rPr>
              <w:t>营业收入(Y)</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FA63C35">
            <w:pPr>
              <w:pStyle w:val="31"/>
              <w:wordWrap w:val="0"/>
              <w:jc w:val="center"/>
              <w:rPr>
                <w:rFonts w:ascii="宋体" w:hAnsi="宋体" w:cs="宋体"/>
              </w:rPr>
            </w:pPr>
            <w:r>
              <w:rPr>
                <w:rFonts w:hint="eastAsia" w:ascii="宋体" w:hAnsi="宋体" w:cs="宋体"/>
                <w:spacing w:val="8"/>
              </w:rPr>
              <w:t>万元</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C6DF95E">
            <w:pPr>
              <w:pStyle w:val="31"/>
              <w:wordWrap w:val="0"/>
              <w:jc w:val="center"/>
              <w:rPr>
                <w:rFonts w:ascii="宋体" w:hAnsi="宋体" w:cs="宋体"/>
              </w:rPr>
            </w:pPr>
            <w:r>
              <w:rPr>
                <w:rFonts w:hint="eastAsia" w:ascii="宋体" w:hAnsi="宋体" w:cs="宋体"/>
                <w:spacing w:val="8"/>
              </w:rPr>
              <w:t>Y≥200000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91A6378">
            <w:pPr>
              <w:pStyle w:val="31"/>
              <w:wordWrap w:val="0"/>
              <w:jc w:val="center"/>
              <w:rPr>
                <w:rFonts w:ascii="宋体" w:hAnsi="宋体" w:cs="宋体"/>
              </w:rPr>
            </w:pPr>
            <w:r>
              <w:rPr>
                <w:rFonts w:hint="eastAsia" w:ascii="宋体" w:hAnsi="宋体" w:cs="宋体"/>
                <w:spacing w:val="8"/>
              </w:rPr>
              <w:t>1000≤Y＜200000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65C556F">
            <w:pPr>
              <w:pStyle w:val="31"/>
              <w:wordWrap w:val="0"/>
              <w:jc w:val="center"/>
              <w:rPr>
                <w:rFonts w:ascii="宋体" w:hAnsi="宋体" w:cs="宋体"/>
              </w:rPr>
            </w:pPr>
            <w:r>
              <w:rPr>
                <w:rFonts w:hint="eastAsia" w:ascii="宋体" w:hAnsi="宋体" w:cs="宋体"/>
                <w:spacing w:val="8"/>
              </w:rPr>
              <w:t>100≤Y＜1000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E6CA9E6">
            <w:pPr>
              <w:pStyle w:val="31"/>
              <w:wordWrap w:val="0"/>
              <w:jc w:val="center"/>
              <w:rPr>
                <w:rFonts w:ascii="宋体" w:hAnsi="宋体" w:cs="宋体"/>
              </w:rPr>
            </w:pPr>
            <w:r>
              <w:rPr>
                <w:rFonts w:hint="eastAsia" w:ascii="宋体" w:hAnsi="宋体" w:cs="宋体"/>
                <w:spacing w:val="8"/>
              </w:rPr>
              <w:t>Y＜100</w:t>
            </w:r>
          </w:p>
        </w:tc>
      </w:tr>
      <w:tr w14:paraId="2D87044D">
        <w:tblPrEx>
          <w:tblCellMar>
            <w:top w:w="0" w:type="dxa"/>
            <w:left w:w="0" w:type="dxa"/>
            <w:bottom w:w="0" w:type="dxa"/>
            <w:right w:w="0" w:type="dxa"/>
          </w:tblCellMar>
        </w:tblPrEx>
        <w:trPr>
          <w:trHeight w:val="589" w:hRule="atLeast"/>
          <w:jc w:val="center"/>
        </w:trPr>
        <w:tc>
          <w:tcPr>
            <w:tcW w:w="1687"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384B2E5">
            <w:pPr>
              <w:jc w:val="center"/>
              <w:rPr>
                <w:rFonts w:ascii="宋体" w:hAnsi="宋体" w:cs="宋体"/>
                <w:spacing w:val="8"/>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6E1AD33">
            <w:pPr>
              <w:pStyle w:val="31"/>
              <w:wordWrap w:val="0"/>
              <w:spacing w:line="240" w:lineRule="atLeast"/>
              <w:jc w:val="center"/>
              <w:rPr>
                <w:rFonts w:ascii="宋体" w:hAnsi="宋体" w:cs="宋体"/>
              </w:rPr>
            </w:pPr>
            <w:r>
              <w:rPr>
                <w:rFonts w:hint="eastAsia" w:ascii="宋体" w:hAnsi="宋体" w:cs="宋体"/>
                <w:spacing w:val="8"/>
              </w:rPr>
              <w:t>资产总额(Z)</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E192AC5">
            <w:pPr>
              <w:pStyle w:val="31"/>
              <w:wordWrap w:val="0"/>
              <w:jc w:val="center"/>
              <w:rPr>
                <w:rFonts w:ascii="宋体" w:hAnsi="宋体" w:cs="宋体"/>
              </w:rPr>
            </w:pPr>
            <w:r>
              <w:rPr>
                <w:rFonts w:hint="eastAsia" w:ascii="宋体" w:hAnsi="宋体" w:cs="宋体"/>
                <w:spacing w:val="8"/>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410ED79">
            <w:pPr>
              <w:pStyle w:val="31"/>
              <w:wordWrap w:val="0"/>
              <w:jc w:val="center"/>
              <w:rPr>
                <w:rFonts w:ascii="宋体" w:hAnsi="宋体" w:cs="宋体"/>
              </w:rPr>
            </w:pPr>
            <w:r>
              <w:rPr>
                <w:rFonts w:hint="eastAsia" w:ascii="宋体" w:hAnsi="宋体" w:cs="宋体"/>
                <w:spacing w:val="8"/>
              </w:rPr>
              <w:t>Z≥10000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13CDE98">
            <w:pPr>
              <w:pStyle w:val="31"/>
              <w:wordWrap w:val="0"/>
              <w:jc w:val="center"/>
              <w:rPr>
                <w:rFonts w:ascii="宋体" w:hAnsi="宋体" w:cs="宋体"/>
              </w:rPr>
            </w:pPr>
            <w:r>
              <w:rPr>
                <w:rFonts w:hint="eastAsia" w:ascii="宋体" w:hAnsi="宋体" w:cs="宋体"/>
                <w:spacing w:val="8"/>
              </w:rPr>
              <w:t>5000≤Z＜10000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C8890B2">
            <w:pPr>
              <w:pStyle w:val="31"/>
              <w:wordWrap w:val="0"/>
              <w:jc w:val="center"/>
              <w:rPr>
                <w:rFonts w:ascii="宋体" w:hAnsi="宋体" w:cs="宋体"/>
              </w:rPr>
            </w:pPr>
            <w:r>
              <w:rPr>
                <w:rFonts w:hint="eastAsia" w:ascii="宋体" w:hAnsi="宋体" w:cs="宋体"/>
                <w:spacing w:val="8"/>
              </w:rPr>
              <w:t>2000≤Z＜5000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DAF2D7C">
            <w:pPr>
              <w:pStyle w:val="31"/>
              <w:wordWrap w:val="0"/>
              <w:jc w:val="center"/>
              <w:rPr>
                <w:rFonts w:ascii="宋体" w:hAnsi="宋体" w:cs="宋体"/>
              </w:rPr>
            </w:pPr>
            <w:r>
              <w:rPr>
                <w:rFonts w:hint="eastAsia" w:ascii="宋体" w:hAnsi="宋体" w:cs="宋体"/>
                <w:spacing w:val="8"/>
              </w:rPr>
              <w:t>Z＜2000</w:t>
            </w:r>
          </w:p>
        </w:tc>
      </w:tr>
      <w:tr w14:paraId="3E9EF6FC">
        <w:tblPrEx>
          <w:tblCellMar>
            <w:top w:w="0" w:type="dxa"/>
            <w:left w:w="0" w:type="dxa"/>
            <w:bottom w:w="0" w:type="dxa"/>
            <w:right w:w="0" w:type="dxa"/>
          </w:tblCellMar>
        </w:tblPrEx>
        <w:trPr>
          <w:trHeight w:val="589" w:hRule="atLeast"/>
          <w:jc w:val="center"/>
        </w:trPr>
        <w:tc>
          <w:tcPr>
            <w:tcW w:w="1687"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AFD52E3">
            <w:pPr>
              <w:pStyle w:val="31"/>
              <w:wordWrap w:val="0"/>
              <w:spacing w:line="240" w:lineRule="atLeast"/>
              <w:jc w:val="center"/>
              <w:rPr>
                <w:rFonts w:ascii="宋体" w:hAnsi="宋体" w:cs="宋体"/>
              </w:rPr>
            </w:pPr>
            <w:r>
              <w:rPr>
                <w:rFonts w:hint="eastAsia" w:ascii="宋体" w:hAnsi="宋体" w:cs="宋体"/>
                <w:spacing w:val="8"/>
              </w:rPr>
              <w:t>物业管理</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D9FC45C">
            <w:pPr>
              <w:pStyle w:val="31"/>
              <w:wordWrap w:val="0"/>
              <w:jc w:val="center"/>
              <w:rPr>
                <w:rFonts w:ascii="宋体" w:hAnsi="宋体" w:cs="宋体"/>
              </w:rPr>
            </w:pPr>
            <w:r>
              <w:rPr>
                <w:rFonts w:hint="eastAsia" w:ascii="宋体" w:hAnsi="宋体" w:cs="宋体"/>
                <w:spacing w:val="8"/>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C0C1C9A">
            <w:pPr>
              <w:pStyle w:val="31"/>
              <w:wordWrap w:val="0"/>
              <w:jc w:val="center"/>
              <w:rPr>
                <w:rFonts w:ascii="宋体" w:hAnsi="宋体" w:cs="宋体"/>
              </w:rPr>
            </w:pPr>
            <w:r>
              <w:rPr>
                <w:rFonts w:hint="eastAsia" w:ascii="宋体" w:hAnsi="宋体" w:cs="宋体"/>
                <w:spacing w:val="8"/>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FEF482D">
            <w:pPr>
              <w:pStyle w:val="31"/>
              <w:wordWrap w:val="0"/>
              <w:jc w:val="center"/>
              <w:rPr>
                <w:rFonts w:ascii="宋体" w:hAnsi="宋体" w:cs="宋体"/>
              </w:rPr>
            </w:pPr>
            <w:r>
              <w:rPr>
                <w:rFonts w:hint="eastAsia" w:ascii="宋体" w:hAnsi="宋体" w:cs="宋体"/>
                <w:spacing w:val="8"/>
              </w:rPr>
              <w:t>X≥1000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08EDE48">
            <w:pPr>
              <w:pStyle w:val="31"/>
              <w:wordWrap w:val="0"/>
              <w:jc w:val="center"/>
              <w:rPr>
                <w:rFonts w:ascii="宋体" w:hAnsi="宋体" w:cs="宋体"/>
              </w:rPr>
            </w:pPr>
            <w:r>
              <w:rPr>
                <w:rFonts w:hint="eastAsia" w:ascii="宋体" w:hAnsi="宋体" w:cs="宋体"/>
                <w:spacing w:val="8"/>
              </w:rPr>
              <w:t>300≤X＜1000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541B5E5">
            <w:pPr>
              <w:pStyle w:val="31"/>
              <w:wordWrap w:val="0"/>
              <w:jc w:val="center"/>
              <w:rPr>
                <w:rFonts w:ascii="宋体" w:hAnsi="宋体" w:cs="宋体"/>
              </w:rPr>
            </w:pPr>
            <w:r>
              <w:rPr>
                <w:rFonts w:hint="eastAsia" w:ascii="宋体" w:hAnsi="宋体" w:cs="宋体"/>
                <w:spacing w:val="8"/>
              </w:rPr>
              <w:t>100≤X＜300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AF9BE34">
            <w:pPr>
              <w:pStyle w:val="31"/>
              <w:wordWrap w:val="0"/>
              <w:jc w:val="center"/>
              <w:rPr>
                <w:rFonts w:ascii="宋体" w:hAnsi="宋体" w:cs="宋体"/>
              </w:rPr>
            </w:pPr>
            <w:r>
              <w:rPr>
                <w:rFonts w:hint="eastAsia" w:ascii="宋体" w:hAnsi="宋体" w:cs="宋体"/>
                <w:spacing w:val="8"/>
              </w:rPr>
              <w:t>X＜100</w:t>
            </w:r>
          </w:p>
        </w:tc>
      </w:tr>
      <w:tr w14:paraId="5CD4DB61">
        <w:tblPrEx>
          <w:tblCellMar>
            <w:top w:w="0" w:type="dxa"/>
            <w:left w:w="0" w:type="dxa"/>
            <w:bottom w:w="0" w:type="dxa"/>
            <w:right w:w="0" w:type="dxa"/>
          </w:tblCellMar>
        </w:tblPrEx>
        <w:trPr>
          <w:trHeight w:val="589" w:hRule="atLeast"/>
          <w:jc w:val="center"/>
        </w:trPr>
        <w:tc>
          <w:tcPr>
            <w:tcW w:w="1687"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2F19B8A1">
            <w:pPr>
              <w:jc w:val="center"/>
              <w:rPr>
                <w:rFonts w:ascii="宋体" w:hAnsi="宋体" w:cs="宋体"/>
                <w:spacing w:val="8"/>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0F892F9">
            <w:pPr>
              <w:pStyle w:val="31"/>
              <w:wordWrap w:val="0"/>
              <w:spacing w:line="240" w:lineRule="atLeast"/>
              <w:jc w:val="center"/>
              <w:rPr>
                <w:rFonts w:ascii="宋体" w:hAnsi="宋体" w:cs="宋体"/>
              </w:rPr>
            </w:pPr>
            <w:r>
              <w:rPr>
                <w:rFonts w:hint="eastAsia" w:ascii="宋体" w:hAnsi="宋体" w:cs="宋体"/>
                <w:spacing w:val="8"/>
              </w:rPr>
              <w:t>营业收入(Y)</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40AAE7B">
            <w:pPr>
              <w:pStyle w:val="31"/>
              <w:wordWrap w:val="0"/>
              <w:jc w:val="center"/>
              <w:rPr>
                <w:rFonts w:ascii="宋体" w:hAnsi="宋体" w:cs="宋体"/>
              </w:rPr>
            </w:pPr>
            <w:r>
              <w:rPr>
                <w:rFonts w:hint="eastAsia" w:ascii="宋体" w:hAnsi="宋体" w:cs="宋体"/>
                <w:spacing w:val="8"/>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AEAD2B3">
            <w:pPr>
              <w:pStyle w:val="31"/>
              <w:wordWrap w:val="0"/>
              <w:jc w:val="center"/>
              <w:rPr>
                <w:rFonts w:ascii="宋体" w:hAnsi="宋体" w:cs="宋体"/>
              </w:rPr>
            </w:pPr>
            <w:r>
              <w:rPr>
                <w:rFonts w:hint="eastAsia" w:ascii="宋体" w:hAnsi="宋体" w:cs="宋体"/>
                <w:spacing w:val="8"/>
              </w:rPr>
              <w:t>Y≥5000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267E448">
            <w:pPr>
              <w:pStyle w:val="31"/>
              <w:wordWrap w:val="0"/>
              <w:jc w:val="center"/>
              <w:rPr>
                <w:rFonts w:ascii="宋体" w:hAnsi="宋体" w:cs="宋体"/>
              </w:rPr>
            </w:pPr>
            <w:r>
              <w:rPr>
                <w:rFonts w:hint="eastAsia" w:ascii="宋体" w:hAnsi="宋体" w:cs="宋体"/>
                <w:spacing w:val="8"/>
              </w:rPr>
              <w:t>1000≤Y＜5000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7AFCFB1">
            <w:pPr>
              <w:pStyle w:val="31"/>
              <w:wordWrap w:val="0"/>
              <w:jc w:val="center"/>
              <w:rPr>
                <w:rFonts w:ascii="宋体" w:hAnsi="宋体" w:cs="宋体"/>
              </w:rPr>
            </w:pPr>
            <w:r>
              <w:rPr>
                <w:rFonts w:hint="eastAsia" w:ascii="宋体" w:hAnsi="宋体" w:cs="宋体"/>
                <w:spacing w:val="8"/>
              </w:rPr>
              <w:t>500≤Y＜1000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759B25A">
            <w:pPr>
              <w:pStyle w:val="31"/>
              <w:wordWrap w:val="0"/>
              <w:jc w:val="center"/>
              <w:rPr>
                <w:rFonts w:ascii="宋体" w:hAnsi="宋体" w:cs="宋体"/>
              </w:rPr>
            </w:pPr>
            <w:r>
              <w:rPr>
                <w:rFonts w:hint="eastAsia" w:ascii="宋体" w:hAnsi="宋体" w:cs="宋体"/>
                <w:spacing w:val="8"/>
              </w:rPr>
              <w:t>Y＜500</w:t>
            </w:r>
          </w:p>
        </w:tc>
      </w:tr>
      <w:tr w14:paraId="79F07CD5">
        <w:tblPrEx>
          <w:tblCellMar>
            <w:top w:w="0" w:type="dxa"/>
            <w:left w:w="0" w:type="dxa"/>
            <w:bottom w:w="0" w:type="dxa"/>
            <w:right w:w="0" w:type="dxa"/>
          </w:tblCellMar>
        </w:tblPrEx>
        <w:trPr>
          <w:trHeight w:val="589" w:hRule="atLeast"/>
          <w:jc w:val="center"/>
        </w:trPr>
        <w:tc>
          <w:tcPr>
            <w:tcW w:w="1687"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5F6E6471">
            <w:pPr>
              <w:pStyle w:val="31"/>
              <w:wordWrap w:val="0"/>
              <w:spacing w:line="240" w:lineRule="atLeast"/>
              <w:jc w:val="center"/>
              <w:rPr>
                <w:rFonts w:ascii="宋体" w:hAnsi="宋体" w:cs="宋体"/>
              </w:rPr>
            </w:pPr>
            <w:r>
              <w:rPr>
                <w:rFonts w:hint="eastAsia" w:ascii="宋体" w:hAnsi="宋体" w:cs="宋体"/>
                <w:spacing w:val="8"/>
              </w:rPr>
              <w:t>租赁和商务服务业</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BC67A93">
            <w:pPr>
              <w:pStyle w:val="31"/>
              <w:wordWrap w:val="0"/>
              <w:jc w:val="center"/>
              <w:rPr>
                <w:rFonts w:ascii="宋体" w:hAnsi="宋体" w:cs="宋体"/>
              </w:rPr>
            </w:pPr>
            <w:r>
              <w:rPr>
                <w:rFonts w:hint="eastAsia" w:ascii="宋体" w:hAnsi="宋体" w:cs="宋体"/>
                <w:spacing w:val="8"/>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9F9DDF2">
            <w:pPr>
              <w:pStyle w:val="31"/>
              <w:wordWrap w:val="0"/>
              <w:jc w:val="center"/>
              <w:rPr>
                <w:rFonts w:ascii="宋体" w:hAnsi="宋体" w:cs="宋体"/>
              </w:rPr>
            </w:pPr>
            <w:r>
              <w:rPr>
                <w:rFonts w:hint="eastAsia" w:ascii="宋体" w:hAnsi="宋体" w:cs="宋体"/>
                <w:spacing w:val="8"/>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3D446A7">
            <w:pPr>
              <w:pStyle w:val="31"/>
              <w:wordWrap w:val="0"/>
              <w:jc w:val="center"/>
              <w:rPr>
                <w:rFonts w:ascii="宋体" w:hAnsi="宋体" w:cs="宋体"/>
              </w:rPr>
            </w:pPr>
            <w:r>
              <w:rPr>
                <w:rFonts w:hint="eastAsia" w:ascii="宋体" w:hAnsi="宋体" w:cs="宋体"/>
                <w:spacing w:val="8"/>
              </w:rPr>
              <w:t>X≥300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682C49D">
            <w:pPr>
              <w:pStyle w:val="31"/>
              <w:wordWrap w:val="0"/>
              <w:jc w:val="center"/>
              <w:rPr>
                <w:rFonts w:ascii="宋体" w:hAnsi="宋体" w:cs="宋体"/>
              </w:rPr>
            </w:pPr>
            <w:r>
              <w:rPr>
                <w:rFonts w:hint="eastAsia" w:ascii="宋体" w:hAnsi="宋体" w:cs="宋体"/>
                <w:spacing w:val="8"/>
              </w:rPr>
              <w:t>100≤X＜300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8AC98D7">
            <w:pPr>
              <w:pStyle w:val="31"/>
              <w:wordWrap w:val="0"/>
              <w:jc w:val="center"/>
              <w:rPr>
                <w:rFonts w:ascii="宋体" w:hAnsi="宋体" w:cs="宋体"/>
              </w:rPr>
            </w:pPr>
            <w:r>
              <w:rPr>
                <w:rFonts w:hint="eastAsia" w:ascii="宋体" w:hAnsi="宋体" w:cs="宋体"/>
                <w:spacing w:val="8"/>
              </w:rPr>
              <w:t>10≤X＜100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433935B">
            <w:pPr>
              <w:pStyle w:val="31"/>
              <w:wordWrap w:val="0"/>
              <w:jc w:val="center"/>
              <w:rPr>
                <w:rFonts w:ascii="宋体" w:hAnsi="宋体" w:cs="宋体"/>
              </w:rPr>
            </w:pPr>
            <w:r>
              <w:rPr>
                <w:rFonts w:hint="eastAsia" w:ascii="宋体" w:hAnsi="宋体" w:cs="宋体"/>
                <w:spacing w:val="8"/>
              </w:rPr>
              <w:t>X＜10</w:t>
            </w:r>
          </w:p>
        </w:tc>
      </w:tr>
      <w:tr w14:paraId="5152DD7D">
        <w:tblPrEx>
          <w:tblCellMar>
            <w:top w:w="0" w:type="dxa"/>
            <w:left w:w="0" w:type="dxa"/>
            <w:bottom w:w="0" w:type="dxa"/>
            <w:right w:w="0" w:type="dxa"/>
          </w:tblCellMar>
        </w:tblPrEx>
        <w:trPr>
          <w:trHeight w:val="589" w:hRule="atLeast"/>
          <w:jc w:val="center"/>
        </w:trPr>
        <w:tc>
          <w:tcPr>
            <w:tcW w:w="1687"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753FA43C">
            <w:pPr>
              <w:jc w:val="center"/>
              <w:rPr>
                <w:rFonts w:ascii="宋体" w:hAnsi="宋体" w:cs="宋体"/>
                <w:spacing w:val="8"/>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D0FE1F1">
            <w:pPr>
              <w:pStyle w:val="31"/>
              <w:wordWrap w:val="0"/>
              <w:spacing w:line="240" w:lineRule="atLeast"/>
              <w:jc w:val="center"/>
              <w:rPr>
                <w:rFonts w:ascii="宋体" w:hAnsi="宋体" w:cs="宋体"/>
              </w:rPr>
            </w:pPr>
            <w:r>
              <w:rPr>
                <w:rFonts w:hint="eastAsia" w:ascii="宋体" w:hAnsi="宋体" w:cs="宋体"/>
                <w:spacing w:val="8"/>
              </w:rPr>
              <w:t>资产总额(Z)</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33F8894">
            <w:pPr>
              <w:pStyle w:val="31"/>
              <w:wordWrap w:val="0"/>
              <w:jc w:val="center"/>
              <w:rPr>
                <w:rFonts w:ascii="宋体" w:hAnsi="宋体" w:cs="宋体"/>
              </w:rPr>
            </w:pPr>
            <w:r>
              <w:rPr>
                <w:rFonts w:hint="eastAsia" w:ascii="宋体" w:hAnsi="宋体" w:cs="宋体"/>
                <w:spacing w:val="8"/>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FB57024">
            <w:pPr>
              <w:pStyle w:val="31"/>
              <w:wordWrap w:val="0"/>
              <w:jc w:val="center"/>
              <w:rPr>
                <w:rFonts w:ascii="宋体" w:hAnsi="宋体" w:cs="宋体"/>
              </w:rPr>
            </w:pPr>
            <w:r>
              <w:rPr>
                <w:rFonts w:hint="eastAsia" w:ascii="宋体" w:hAnsi="宋体" w:cs="宋体"/>
                <w:spacing w:val="8"/>
              </w:rPr>
              <w:t>Z≥120000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9DA04CF">
            <w:pPr>
              <w:pStyle w:val="31"/>
              <w:wordWrap w:val="0"/>
              <w:jc w:val="center"/>
              <w:rPr>
                <w:rFonts w:ascii="宋体" w:hAnsi="宋体" w:cs="宋体"/>
              </w:rPr>
            </w:pPr>
            <w:r>
              <w:rPr>
                <w:rFonts w:hint="eastAsia" w:ascii="宋体" w:hAnsi="宋体" w:cs="宋体"/>
                <w:spacing w:val="8"/>
              </w:rPr>
              <w:t>8000≤Z＜120000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262D26D">
            <w:pPr>
              <w:pStyle w:val="31"/>
              <w:wordWrap w:val="0"/>
              <w:jc w:val="center"/>
              <w:rPr>
                <w:rFonts w:ascii="宋体" w:hAnsi="宋体" w:cs="宋体"/>
              </w:rPr>
            </w:pPr>
            <w:r>
              <w:rPr>
                <w:rFonts w:hint="eastAsia" w:ascii="宋体" w:hAnsi="宋体" w:cs="宋体"/>
                <w:spacing w:val="8"/>
              </w:rPr>
              <w:t>100≤Z＜8000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BDEC7EB">
            <w:pPr>
              <w:pStyle w:val="31"/>
              <w:wordWrap w:val="0"/>
              <w:jc w:val="center"/>
              <w:rPr>
                <w:rFonts w:ascii="宋体" w:hAnsi="宋体" w:cs="宋体"/>
              </w:rPr>
            </w:pPr>
            <w:r>
              <w:rPr>
                <w:rFonts w:hint="eastAsia" w:ascii="宋体" w:hAnsi="宋体" w:cs="宋体"/>
                <w:spacing w:val="8"/>
              </w:rPr>
              <w:t>Z＜100</w:t>
            </w:r>
          </w:p>
        </w:tc>
      </w:tr>
      <w:tr w14:paraId="40B026FD">
        <w:tblPrEx>
          <w:tblCellMar>
            <w:top w:w="0" w:type="dxa"/>
            <w:left w:w="0" w:type="dxa"/>
            <w:bottom w:w="0" w:type="dxa"/>
            <w:right w:w="0" w:type="dxa"/>
          </w:tblCellMar>
        </w:tblPrEx>
        <w:trPr>
          <w:trHeight w:val="668" w:hRule="atLeast"/>
          <w:jc w:val="center"/>
        </w:trPr>
        <w:tc>
          <w:tcPr>
            <w:tcW w:w="1687" w:type="dxa"/>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29064D86">
            <w:pPr>
              <w:pStyle w:val="31"/>
              <w:wordWrap w:val="0"/>
              <w:spacing w:line="240" w:lineRule="atLeast"/>
              <w:jc w:val="center"/>
              <w:rPr>
                <w:rFonts w:ascii="宋体" w:hAnsi="宋体" w:cs="宋体"/>
              </w:rPr>
            </w:pPr>
            <w:r>
              <w:rPr>
                <w:rFonts w:hint="eastAsia" w:ascii="宋体" w:hAnsi="宋体" w:cs="宋体"/>
                <w:spacing w:val="8"/>
              </w:rPr>
              <w:t>其他未列明行业*</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C9C8EB6">
            <w:pPr>
              <w:pStyle w:val="31"/>
              <w:wordWrap w:val="0"/>
              <w:jc w:val="center"/>
              <w:rPr>
                <w:rFonts w:ascii="宋体" w:hAnsi="宋体" w:cs="宋体"/>
              </w:rPr>
            </w:pPr>
            <w:r>
              <w:rPr>
                <w:rFonts w:hint="eastAsia" w:ascii="宋体" w:hAnsi="宋体" w:cs="宋体"/>
                <w:spacing w:val="8"/>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27867BB">
            <w:pPr>
              <w:pStyle w:val="31"/>
              <w:wordWrap w:val="0"/>
              <w:jc w:val="center"/>
              <w:rPr>
                <w:rFonts w:ascii="宋体" w:hAnsi="宋体" w:cs="宋体"/>
              </w:rPr>
            </w:pPr>
            <w:r>
              <w:rPr>
                <w:rFonts w:hint="eastAsia" w:ascii="宋体" w:hAnsi="宋体" w:cs="宋体"/>
                <w:spacing w:val="8"/>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4A81A13">
            <w:pPr>
              <w:pStyle w:val="31"/>
              <w:wordWrap w:val="0"/>
              <w:jc w:val="center"/>
              <w:rPr>
                <w:rFonts w:ascii="宋体" w:hAnsi="宋体" w:cs="宋体"/>
              </w:rPr>
            </w:pPr>
            <w:r>
              <w:rPr>
                <w:rFonts w:hint="eastAsia" w:ascii="宋体" w:hAnsi="宋体" w:cs="宋体"/>
                <w:spacing w:val="8"/>
              </w:rPr>
              <w:t>X≥300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2DBA27E">
            <w:pPr>
              <w:pStyle w:val="31"/>
              <w:wordWrap w:val="0"/>
              <w:jc w:val="center"/>
              <w:rPr>
                <w:rFonts w:ascii="宋体" w:hAnsi="宋体" w:cs="宋体"/>
              </w:rPr>
            </w:pPr>
            <w:r>
              <w:rPr>
                <w:rFonts w:hint="eastAsia" w:ascii="宋体" w:hAnsi="宋体" w:cs="宋体"/>
                <w:spacing w:val="8"/>
              </w:rPr>
              <w:t>100≤X＜300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00CA0B5">
            <w:pPr>
              <w:pStyle w:val="31"/>
              <w:wordWrap w:val="0"/>
              <w:jc w:val="center"/>
              <w:rPr>
                <w:rFonts w:ascii="宋体" w:hAnsi="宋体" w:cs="宋体"/>
              </w:rPr>
            </w:pPr>
            <w:r>
              <w:rPr>
                <w:rFonts w:hint="eastAsia" w:ascii="宋体" w:hAnsi="宋体" w:cs="宋体"/>
                <w:spacing w:val="8"/>
              </w:rPr>
              <w:t>10≤X＜100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117D2F6">
            <w:pPr>
              <w:pStyle w:val="31"/>
              <w:wordWrap w:val="0"/>
              <w:jc w:val="center"/>
              <w:rPr>
                <w:rFonts w:ascii="宋体" w:hAnsi="宋体" w:cs="宋体"/>
              </w:rPr>
            </w:pPr>
            <w:r>
              <w:rPr>
                <w:rFonts w:hint="eastAsia" w:ascii="宋体" w:hAnsi="宋体" w:cs="宋体"/>
                <w:spacing w:val="8"/>
              </w:rPr>
              <w:t>X＜10</w:t>
            </w:r>
          </w:p>
        </w:tc>
      </w:tr>
    </w:tbl>
    <w:p w14:paraId="7B954E21">
      <w:pPr>
        <w:spacing w:line="420" w:lineRule="exact"/>
        <w:ind w:firstLine="420" w:firstLineChars="200"/>
        <w:rPr>
          <w:rFonts w:ascii="宋体" w:hAnsi="宋体" w:cs="宋体"/>
          <w:kern w:val="0"/>
        </w:rPr>
      </w:pPr>
      <w:r>
        <w:rPr>
          <w:rFonts w:hint="eastAsia" w:ascii="宋体" w:hAnsi="宋体" w:cs="宋体"/>
          <w:kern w:val="0"/>
        </w:rPr>
        <w:t>说明：1.大型、中型和小型企业须</w:t>
      </w:r>
      <w:r>
        <w:rPr>
          <w:rFonts w:hint="eastAsia" w:ascii="宋体" w:hAnsi="宋体" w:cs="宋体"/>
          <w:b/>
          <w:bCs/>
          <w:kern w:val="0"/>
        </w:rPr>
        <w:t>同时满足所列指标的下限</w:t>
      </w:r>
      <w:r>
        <w:rPr>
          <w:rFonts w:hint="eastAsia" w:ascii="宋体" w:hAnsi="宋体" w:cs="宋体"/>
          <w:kern w:val="0"/>
        </w:rPr>
        <w:t>；微型企业只须满足所列指标中的一项即可。</w:t>
      </w:r>
    </w:p>
    <w:p w14:paraId="378A1233">
      <w:pPr>
        <w:numPr>
          <w:ilvl w:val="0"/>
          <w:numId w:val="2"/>
        </w:numPr>
        <w:spacing w:line="420" w:lineRule="exact"/>
        <w:ind w:firstLine="420" w:firstLineChars="200"/>
        <w:rPr>
          <w:rFonts w:ascii="宋体" w:hAnsi="宋体" w:cs="宋体"/>
          <w:kern w:val="0"/>
        </w:rPr>
      </w:pPr>
      <w:r>
        <w:rPr>
          <w:rFonts w:hint="eastAsia" w:ascii="宋体" w:hAnsi="宋体" w:cs="宋体"/>
          <w:kern w:val="0"/>
        </w:rPr>
        <w:t>附表中各行业的范围以《国民经济行业分类》（GB/T4754-2017）为准。</w:t>
      </w:r>
      <w:r>
        <w:rPr>
          <w:rFonts w:hint="eastAsia" w:ascii="宋体" w:hAnsi="宋体" w:cs="宋体"/>
          <w:b/>
          <w:bCs/>
          <w:kern w:val="0"/>
        </w:rPr>
        <w:t>带*的项为行业组合类别</w:t>
      </w:r>
      <w:r>
        <w:rPr>
          <w:rFonts w:hint="eastAsia" w:ascii="宋体" w:hAnsi="宋体" w:cs="宋体"/>
          <w:kern w:val="0"/>
        </w:rPr>
        <w:t>，其中，</w:t>
      </w:r>
      <w:r>
        <w:rPr>
          <w:rFonts w:hint="eastAsia" w:ascii="宋体" w:hAnsi="宋体" w:cs="宋体"/>
          <w:b/>
          <w:bCs/>
          <w:kern w:val="0"/>
        </w:rPr>
        <w:t>工业</w:t>
      </w:r>
      <w:r>
        <w:rPr>
          <w:rFonts w:hint="eastAsia" w:ascii="宋体" w:hAnsi="宋体" w:cs="宋体"/>
          <w:kern w:val="0"/>
        </w:rPr>
        <w:t>包括采矿业，制造业，电力、热力、燃气及水生产和供应业；</w:t>
      </w:r>
      <w:r>
        <w:rPr>
          <w:rFonts w:hint="eastAsia" w:ascii="宋体" w:hAnsi="宋体" w:cs="宋体"/>
          <w:b/>
          <w:bCs/>
          <w:kern w:val="0"/>
        </w:rPr>
        <w:t>交通运输业</w:t>
      </w:r>
      <w:r>
        <w:rPr>
          <w:rFonts w:hint="eastAsia" w:ascii="宋体" w:hAnsi="宋体" w:cs="宋体"/>
          <w:kern w:val="0"/>
        </w:rPr>
        <w:t>包括道路运输业，水上运输业，航空运输业，管道运输业，多式联运和运输代理业、装卸搬运，不包括铁路运输业；</w:t>
      </w:r>
      <w:r>
        <w:rPr>
          <w:rFonts w:hint="eastAsia" w:ascii="宋体" w:hAnsi="宋体" w:cs="宋体"/>
          <w:b/>
          <w:bCs/>
          <w:kern w:val="0"/>
        </w:rPr>
        <w:t>仓储业</w:t>
      </w:r>
      <w:r>
        <w:rPr>
          <w:rFonts w:hint="eastAsia" w:ascii="宋体" w:hAnsi="宋体" w:cs="宋体"/>
          <w:kern w:val="0"/>
        </w:rPr>
        <w:t>包括通用仓储，低温仓储，危险品仓储，谷物、棉花等农产品仓储，中药材仓储和其他仓储业；</w:t>
      </w:r>
      <w:r>
        <w:rPr>
          <w:rFonts w:hint="eastAsia" w:ascii="宋体" w:hAnsi="宋体" w:cs="宋体"/>
          <w:b/>
          <w:bCs/>
          <w:kern w:val="0"/>
        </w:rPr>
        <w:t>信息传输业</w:t>
      </w:r>
      <w:r>
        <w:rPr>
          <w:rFonts w:hint="eastAsia" w:ascii="宋体" w:hAnsi="宋体" w:cs="宋体"/>
          <w:kern w:val="0"/>
        </w:rPr>
        <w:t>包括电信、广播电视和卫星传输服务，互联网和相关服务；</w:t>
      </w:r>
      <w:r>
        <w:rPr>
          <w:rFonts w:hint="eastAsia" w:ascii="宋体" w:hAnsi="宋体" w:cs="宋体"/>
          <w:b/>
          <w:bCs/>
          <w:kern w:val="0"/>
        </w:rPr>
        <w:t>其他未列明行业</w:t>
      </w:r>
      <w:r>
        <w:rPr>
          <w:rFonts w:hint="eastAsia" w:ascii="宋体" w:hAnsi="宋体" w:cs="宋体"/>
          <w:kern w:val="0"/>
        </w:rPr>
        <w:t>包括科学研究和技术服务业，水利、环境和公共设施管理业，居民服务、修理和其他服务业，社会工作，文化、体育和娱乐业，以及房地产中介服务，其他房地产业等，不包括自有房地产经营活动。</w:t>
      </w:r>
    </w:p>
    <w:p w14:paraId="3B3C1CBE">
      <w:pPr>
        <w:numPr>
          <w:ilvl w:val="0"/>
          <w:numId w:val="2"/>
        </w:numPr>
        <w:spacing w:line="420" w:lineRule="exact"/>
        <w:ind w:firstLine="420" w:firstLineChars="200"/>
        <w:rPr>
          <w:rFonts w:hint="eastAsia" w:ascii="宋体" w:hAnsi="宋体" w:eastAsia="宋体" w:cs="宋体"/>
          <w:kern w:val="0"/>
        </w:rPr>
      </w:pPr>
      <w:bookmarkStart w:id="870" w:name="_Toc18253"/>
      <w:bookmarkStart w:id="871" w:name="_Toc20472"/>
      <w:bookmarkStart w:id="872" w:name="_Toc26011"/>
      <w:bookmarkStart w:id="873" w:name="_Toc28330"/>
      <w:bookmarkStart w:id="874" w:name="_Toc12457"/>
      <w:r>
        <w:rPr>
          <w:rFonts w:hint="eastAsia" w:ascii="宋体" w:hAnsi="宋体" w:eastAsia="宋体" w:cs="宋体"/>
          <w:kern w:val="0"/>
        </w:rPr>
        <w:t>企业划分指标以现行统计制度为准。</w:t>
      </w:r>
      <w:bookmarkEnd w:id="870"/>
      <w:bookmarkEnd w:id="871"/>
      <w:bookmarkEnd w:id="872"/>
      <w:bookmarkEnd w:id="873"/>
      <w:bookmarkEnd w:id="874"/>
    </w:p>
    <w:p w14:paraId="6689E4F3">
      <w:pPr>
        <w:spacing w:line="420" w:lineRule="exact"/>
        <w:ind w:firstLine="420" w:firstLineChars="200"/>
        <w:rPr>
          <w:rFonts w:ascii="宋体" w:hAnsi="宋体" w:cs="宋体"/>
          <w:kern w:val="0"/>
        </w:rPr>
      </w:pPr>
      <w:r>
        <w:rPr>
          <w:rFonts w:hint="eastAsia" w:ascii="宋体" w:hAnsi="宋体" w:cs="宋体"/>
          <w:kern w:val="0"/>
        </w:rPr>
        <w:t>（1）从业人员，是指期末从业人员数，没有期末从业人员数的，采用全年平均人员数代替。</w:t>
      </w:r>
    </w:p>
    <w:p w14:paraId="4929F5CB">
      <w:pPr>
        <w:spacing w:line="420" w:lineRule="exact"/>
        <w:ind w:firstLine="420" w:firstLineChars="200"/>
        <w:rPr>
          <w:rFonts w:ascii="宋体" w:hAnsi="宋体" w:cs="宋体"/>
          <w:kern w:val="0"/>
        </w:rPr>
      </w:pPr>
      <w:r>
        <w:rPr>
          <w:rFonts w:hint="eastAsia" w:ascii="宋体" w:hAnsi="宋体" w:cs="宋体"/>
          <w:kern w:val="0"/>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7154D35A">
      <w:pPr>
        <w:spacing w:line="420" w:lineRule="exact"/>
        <w:ind w:left="420" w:leftChars="200"/>
        <w:rPr>
          <w:rFonts w:ascii="宋体" w:hAnsi="宋体" w:cs="宋体"/>
          <w:kern w:val="0"/>
        </w:rPr>
      </w:pPr>
      <w:r>
        <w:rPr>
          <w:rFonts w:hint="eastAsia" w:ascii="宋体" w:hAnsi="宋体" w:cs="宋体"/>
          <w:kern w:val="0"/>
        </w:rPr>
        <w:t>（3）资产总额，采用资产总计代替。</w:t>
      </w:r>
    </w:p>
    <w:p w14:paraId="667ABFC2">
      <w:pPr>
        <w:jc w:val="center"/>
        <w:outlineLvl w:val="0"/>
        <w:rPr>
          <w:rFonts w:ascii="宋体" w:hAnsi="宋体"/>
          <w:bCs/>
          <w:sz w:val="32"/>
          <w:szCs w:val="32"/>
        </w:rPr>
      </w:pPr>
      <w:r>
        <w:rPr>
          <w:rFonts w:hint="eastAsia" w:ascii="宋体" w:hAnsi="宋体"/>
        </w:rPr>
        <w:br w:type="page"/>
      </w:r>
      <w:bookmarkStart w:id="875" w:name="_Toc509667306"/>
      <w:bookmarkEnd w:id="875"/>
      <w:bookmarkStart w:id="876" w:name="_Toc129073506"/>
      <w:bookmarkStart w:id="877" w:name="_Toc20530"/>
      <w:bookmarkStart w:id="878" w:name="_Toc23578"/>
      <w:bookmarkStart w:id="879" w:name="_Toc31069"/>
      <w:bookmarkStart w:id="880" w:name="_Toc13881"/>
      <w:bookmarkStart w:id="881" w:name="_Toc283"/>
      <w:bookmarkStart w:id="882" w:name="_Toc9601"/>
      <w:r>
        <w:rPr>
          <w:rFonts w:hint="eastAsia" w:ascii="宋体" w:hAnsi="宋体"/>
          <w:b/>
          <w:kern w:val="44"/>
          <w:sz w:val="36"/>
          <w:szCs w:val="36"/>
        </w:rPr>
        <w:t>第三章  评审办法（综合评分法）</w:t>
      </w:r>
      <w:bookmarkEnd w:id="876"/>
      <w:bookmarkEnd w:id="877"/>
      <w:bookmarkEnd w:id="878"/>
      <w:bookmarkEnd w:id="879"/>
      <w:bookmarkEnd w:id="880"/>
      <w:bookmarkEnd w:id="881"/>
      <w:bookmarkEnd w:id="882"/>
    </w:p>
    <w:p w14:paraId="65A2D314">
      <w:pPr>
        <w:pStyle w:val="58"/>
        <w:ind w:firstLine="316"/>
        <w:rPr>
          <w:rFonts w:ascii="宋体" w:hAnsi="宋体" w:eastAsia="宋体"/>
          <w:b/>
          <w:bCs w:val="0"/>
          <w:sz w:val="21"/>
          <w:szCs w:val="21"/>
        </w:rPr>
      </w:pPr>
      <w:bookmarkStart w:id="883" w:name="_Toc455080160"/>
      <w:bookmarkEnd w:id="883"/>
      <w:bookmarkStart w:id="884" w:name="_Toc281405532"/>
      <w:bookmarkEnd w:id="884"/>
      <w:bookmarkStart w:id="885" w:name="_Toc318450726"/>
      <w:bookmarkEnd w:id="885"/>
      <w:bookmarkStart w:id="886" w:name="_Toc17308"/>
      <w:bookmarkEnd w:id="886"/>
      <w:bookmarkStart w:id="887" w:name="_Toc318450721"/>
      <w:bookmarkEnd w:id="887"/>
      <w:bookmarkStart w:id="888" w:name="_Toc509667310"/>
      <w:bookmarkEnd w:id="888"/>
      <w:bookmarkStart w:id="889" w:name="_Toc455867820"/>
      <w:bookmarkEnd w:id="889"/>
      <w:bookmarkStart w:id="890" w:name="_Toc455867816"/>
      <w:bookmarkEnd w:id="890"/>
      <w:bookmarkStart w:id="891" w:name="_Toc455080156"/>
      <w:bookmarkEnd w:id="891"/>
      <w:bookmarkStart w:id="892" w:name="_Toc466298143"/>
      <w:bookmarkEnd w:id="892"/>
      <w:bookmarkStart w:id="893" w:name="_Toc4489"/>
      <w:bookmarkEnd w:id="893"/>
      <w:bookmarkStart w:id="894" w:name="_Toc19682"/>
      <w:bookmarkEnd w:id="894"/>
      <w:bookmarkStart w:id="895" w:name="_Toc152045599"/>
      <w:bookmarkEnd w:id="895"/>
      <w:bookmarkStart w:id="896" w:name="_Toc152042376"/>
      <w:bookmarkEnd w:id="896"/>
      <w:bookmarkStart w:id="897" w:name="_Toc281405527"/>
      <w:bookmarkEnd w:id="897"/>
      <w:bookmarkStart w:id="898" w:name="_Toc490667879"/>
      <w:bookmarkEnd w:id="898"/>
      <w:bookmarkStart w:id="899" w:name="_Toc466298139"/>
      <w:bookmarkEnd w:id="899"/>
      <w:bookmarkStart w:id="900" w:name="_Toc144974566"/>
      <w:bookmarkEnd w:id="900"/>
      <w:bookmarkStart w:id="901" w:name="_Toc7129"/>
      <w:bookmarkStart w:id="902" w:name="_Toc22044"/>
      <w:bookmarkStart w:id="903" w:name="_Toc26583"/>
      <w:bookmarkStart w:id="904" w:name="_Toc2105"/>
      <w:bookmarkStart w:id="905" w:name="_Toc6467"/>
      <w:bookmarkStart w:id="906" w:name="_Toc268"/>
      <w:bookmarkStart w:id="907" w:name="_Toc22524"/>
      <w:bookmarkStart w:id="908" w:name="_Toc3577"/>
      <w:bookmarkStart w:id="909" w:name="_Toc21426"/>
      <w:bookmarkStart w:id="910" w:name="_Toc23309"/>
      <w:bookmarkStart w:id="911" w:name="_Toc28368"/>
      <w:bookmarkStart w:id="912" w:name="_Toc2271"/>
      <w:r>
        <w:rPr>
          <w:rFonts w:hint="eastAsia" w:ascii="宋体" w:hAnsi="宋体" w:eastAsia="宋体"/>
          <w:b/>
          <w:bCs w:val="0"/>
          <w:sz w:val="21"/>
          <w:szCs w:val="21"/>
        </w:rPr>
        <w:t>1. 评审方法</w:t>
      </w:r>
      <w:bookmarkEnd w:id="901"/>
      <w:bookmarkEnd w:id="902"/>
      <w:bookmarkEnd w:id="903"/>
      <w:bookmarkEnd w:id="904"/>
      <w:bookmarkEnd w:id="905"/>
      <w:bookmarkEnd w:id="906"/>
      <w:bookmarkEnd w:id="907"/>
      <w:bookmarkEnd w:id="908"/>
      <w:bookmarkEnd w:id="909"/>
      <w:bookmarkEnd w:id="910"/>
      <w:bookmarkEnd w:id="911"/>
      <w:bookmarkEnd w:id="912"/>
    </w:p>
    <w:p w14:paraId="7FCCCF47">
      <w:pPr>
        <w:spacing w:line="500" w:lineRule="exact"/>
        <w:ind w:firstLine="420" w:firstLineChars="200"/>
        <w:rPr>
          <w:rFonts w:ascii="宋体" w:hAnsi="宋体" w:cs="宋体"/>
        </w:rPr>
      </w:pPr>
      <w:r>
        <w:rPr>
          <w:rFonts w:hint="eastAsia" w:ascii="宋体" w:hAnsi="宋体" w:cs="宋体"/>
        </w:rPr>
        <w:t>本次评审采用综合评分法。磋商小组对满足磋商文件实质性要求的响应文件，按照本章规定的评分标准进行打分，并按得分由高到低顺序推荐成交候选人，</w:t>
      </w:r>
      <w:r>
        <w:rPr>
          <w:rFonts w:hint="eastAsia" w:ascii="宋体" w:hAnsi="宋体" w:cs="宋体"/>
          <w:kern w:val="0"/>
        </w:rPr>
        <w:t>综合评分相等时，以报价得分高的优先；报价得分也相等的，</w:t>
      </w:r>
      <w:r>
        <w:rPr>
          <w:rFonts w:hint="eastAsia" w:ascii="宋体" w:hAnsi="宋体" w:cs="宋体"/>
          <w:kern w:val="0"/>
          <w:lang w:eastAsia="zh-CN"/>
        </w:rPr>
        <w:t>由采购人自主确定</w:t>
      </w:r>
      <w:r>
        <w:rPr>
          <w:rFonts w:hint="eastAsia" w:ascii="宋体" w:hAnsi="宋体" w:cs="宋体"/>
          <w:kern w:val="0"/>
        </w:rPr>
        <w:t>。响应文件满足竞争性磋商文件全部实质性要求，且按照评审因素的量化指标评审得分由高到低推荐3名成交候选人。</w:t>
      </w:r>
    </w:p>
    <w:p w14:paraId="74593118">
      <w:pPr>
        <w:pStyle w:val="58"/>
        <w:ind w:firstLine="316"/>
        <w:rPr>
          <w:rFonts w:ascii="宋体" w:hAnsi="宋体" w:eastAsia="宋体"/>
          <w:b/>
          <w:bCs w:val="0"/>
          <w:sz w:val="21"/>
          <w:szCs w:val="21"/>
        </w:rPr>
      </w:pPr>
      <w:bookmarkStart w:id="913" w:name="_Toc31929"/>
      <w:bookmarkStart w:id="914" w:name="_Toc23609"/>
      <w:bookmarkStart w:id="915" w:name="_Toc30489"/>
      <w:bookmarkStart w:id="916" w:name="_Toc26740"/>
      <w:bookmarkStart w:id="917" w:name="_Toc28356"/>
      <w:bookmarkStart w:id="918" w:name="_Toc4481"/>
      <w:bookmarkStart w:id="919" w:name="_Toc27453"/>
      <w:bookmarkStart w:id="920" w:name="_Toc3394"/>
      <w:bookmarkStart w:id="921" w:name="_Toc28707"/>
      <w:bookmarkStart w:id="922" w:name="_Toc8131"/>
      <w:bookmarkStart w:id="923" w:name="_Toc25996"/>
      <w:bookmarkStart w:id="924" w:name="_Toc14899"/>
      <w:r>
        <w:rPr>
          <w:rFonts w:hint="eastAsia" w:ascii="宋体" w:hAnsi="宋体" w:eastAsia="宋体"/>
          <w:b/>
          <w:bCs w:val="0"/>
          <w:sz w:val="21"/>
          <w:szCs w:val="21"/>
        </w:rPr>
        <w:t>2. 评审标准</w:t>
      </w:r>
      <w:bookmarkEnd w:id="913"/>
      <w:bookmarkEnd w:id="914"/>
      <w:bookmarkEnd w:id="915"/>
      <w:bookmarkEnd w:id="916"/>
      <w:bookmarkEnd w:id="917"/>
      <w:bookmarkEnd w:id="918"/>
      <w:bookmarkEnd w:id="919"/>
      <w:bookmarkEnd w:id="920"/>
      <w:bookmarkEnd w:id="921"/>
      <w:bookmarkEnd w:id="922"/>
      <w:bookmarkEnd w:id="923"/>
      <w:bookmarkEnd w:id="924"/>
    </w:p>
    <w:p w14:paraId="34873EDC">
      <w:pPr>
        <w:spacing w:line="500" w:lineRule="exact"/>
        <w:ind w:firstLine="422" w:firstLineChars="200"/>
        <w:rPr>
          <w:rFonts w:ascii="宋体" w:hAnsi="宋体" w:cs="宋体"/>
          <w:b/>
          <w:bCs/>
        </w:rPr>
      </w:pPr>
      <w:bookmarkStart w:id="925" w:name="_Toc19151"/>
      <w:r>
        <w:rPr>
          <w:rFonts w:hint="eastAsia" w:ascii="宋体" w:hAnsi="宋体" w:cs="宋体"/>
          <w:b/>
          <w:bCs/>
        </w:rPr>
        <w:t>2.1 初步评审标准</w:t>
      </w:r>
      <w:bookmarkEnd w:id="925"/>
    </w:p>
    <w:p w14:paraId="49B22C6A">
      <w:pPr>
        <w:spacing w:line="500" w:lineRule="exact"/>
        <w:ind w:firstLine="420" w:firstLineChars="200"/>
        <w:rPr>
          <w:rFonts w:ascii="宋体" w:hAnsi="宋体" w:cs="宋体"/>
        </w:rPr>
      </w:pPr>
      <w:r>
        <w:rPr>
          <w:rFonts w:hint="eastAsia" w:ascii="宋体" w:hAnsi="宋体" w:cs="宋体"/>
        </w:rPr>
        <w:t>2.1.1 资格性检查评审标准：见评审办法前附表。</w:t>
      </w:r>
    </w:p>
    <w:p w14:paraId="09A008F9">
      <w:pPr>
        <w:spacing w:line="500" w:lineRule="exact"/>
        <w:ind w:firstLine="420" w:firstLineChars="200"/>
        <w:rPr>
          <w:rFonts w:ascii="宋体" w:hAnsi="宋体" w:cs="宋体"/>
        </w:rPr>
      </w:pPr>
      <w:r>
        <w:rPr>
          <w:rFonts w:hint="eastAsia" w:ascii="宋体" w:hAnsi="宋体" w:cs="宋体"/>
        </w:rPr>
        <w:t>2.1.2 符合性检查评审标准：见评审办法前附表。</w:t>
      </w:r>
    </w:p>
    <w:p w14:paraId="645320B9">
      <w:pPr>
        <w:spacing w:line="500" w:lineRule="exact"/>
        <w:ind w:firstLine="422" w:firstLineChars="200"/>
        <w:rPr>
          <w:rFonts w:ascii="宋体" w:hAnsi="宋体" w:cs="宋体"/>
          <w:b/>
          <w:bCs/>
        </w:rPr>
      </w:pPr>
      <w:bookmarkStart w:id="926" w:name="_Toc7450"/>
      <w:r>
        <w:rPr>
          <w:rFonts w:hint="eastAsia" w:ascii="宋体" w:hAnsi="宋体" w:cs="宋体"/>
          <w:b/>
          <w:bCs/>
        </w:rPr>
        <w:t>2.2 分值构成与评分标准</w:t>
      </w:r>
      <w:bookmarkEnd w:id="926"/>
    </w:p>
    <w:p w14:paraId="0E31F1D2">
      <w:pPr>
        <w:spacing w:line="500" w:lineRule="exact"/>
        <w:ind w:firstLine="420" w:firstLineChars="200"/>
        <w:rPr>
          <w:rFonts w:ascii="宋体" w:hAnsi="宋体" w:cs="宋体"/>
        </w:rPr>
      </w:pPr>
      <w:r>
        <w:rPr>
          <w:rFonts w:hint="eastAsia" w:ascii="宋体" w:hAnsi="宋体" w:cs="宋体"/>
        </w:rPr>
        <w:t>（1）磋商报价：见评审办法前附表</w:t>
      </w:r>
    </w:p>
    <w:p w14:paraId="06CE966F">
      <w:pPr>
        <w:spacing w:line="500" w:lineRule="exact"/>
        <w:ind w:firstLine="420" w:firstLineChars="200"/>
        <w:rPr>
          <w:rFonts w:ascii="宋体" w:hAnsi="宋体" w:cs="宋体"/>
        </w:rPr>
      </w:pPr>
      <w:r>
        <w:rPr>
          <w:rFonts w:hint="eastAsia" w:ascii="宋体" w:hAnsi="宋体" w:cs="宋体"/>
        </w:rPr>
        <w:t>（2）技术部分：见评审办法前附表；</w:t>
      </w:r>
    </w:p>
    <w:p w14:paraId="2F46923B">
      <w:pPr>
        <w:spacing w:line="500" w:lineRule="exact"/>
        <w:ind w:firstLine="420" w:firstLineChars="200"/>
        <w:rPr>
          <w:rFonts w:ascii="宋体" w:hAnsi="宋体" w:cs="宋体"/>
        </w:rPr>
      </w:pPr>
      <w:r>
        <w:rPr>
          <w:rFonts w:hint="eastAsia" w:ascii="宋体" w:hAnsi="宋体" w:cs="宋体"/>
        </w:rPr>
        <w:t>（3）商务部分：见评审办法前附表；</w:t>
      </w:r>
    </w:p>
    <w:p w14:paraId="23B90DEA">
      <w:pPr>
        <w:ind w:firstLine="422"/>
        <w:jc w:val="center"/>
        <w:outlineLvl w:val="1"/>
        <w:rPr>
          <w:rFonts w:ascii="宋体" w:hAnsi="宋体"/>
          <w:b/>
          <w:bCs/>
          <w:sz w:val="28"/>
          <w:szCs w:val="28"/>
        </w:rPr>
      </w:pPr>
      <w:bookmarkStart w:id="927" w:name="_Toc12183"/>
      <w:bookmarkStart w:id="928" w:name="_Toc20489"/>
      <w:bookmarkStart w:id="929" w:name="_Toc32260"/>
      <w:bookmarkStart w:id="930" w:name="_Toc27806"/>
      <w:bookmarkStart w:id="931" w:name="_Toc129073507"/>
      <w:bookmarkStart w:id="932" w:name="_Toc1879"/>
      <w:bookmarkStart w:id="933" w:name="_Toc3402"/>
      <w:bookmarkStart w:id="934" w:name="_Toc289"/>
      <w:bookmarkStart w:id="935" w:name="_Toc18998"/>
      <w:bookmarkStart w:id="936" w:name="_Toc16853"/>
      <w:bookmarkStart w:id="937" w:name="_Toc2305"/>
      <w:bookmarkStart w:id="938" w:name="_Toc3562"/>
      <w:bookmarkStart w:id="939" w:name="_Toc129073512"/>
      <w:bookmarkStart w:id="940" w:name="_Toc25244"/>
      <w:bookmarkStart w:id="941" w:name="_Toc4465"/>
      <w:bookmarkStart w:id="942" w:name="_Toc21079"/>
      <w:bookmarkStart w:id="943" w:name="_Toc15775"/>
      <w:bookmarkStart w:id="944" w:name="_Toc8466"/>
      <w:bookmarkStart w:id="945" w:name="_Toc21981"/>
      <w:bookmarkStart w:id="946" w:name="_Toc15428"/>
      <w:bookmarkStart w:id="947" w:name="_Toc21026"/>
      <w:bookmarkStart w:id="948" w:name="_Toc31301"/>
      <w:r>
        <w:rPr>
          <w:rFonts w:hint="eastAsia" w:ascii="宋体" w:hAnsi="宋体"/>
          <w:b/>
          <w:bCs/>
          <w:sz w:val="28"/>
          <w:szCs w:val="28"/>
        </w:rPr>
        <w:t>评审办法前附表</w:t>
      </w:r>
      <w:bookmarkEnd w:id="927"/>
      <w:bookmarkEnd w:id="928"/>
      <w:bookmarkEnd w:id="929"/>
      <w:bookmarkEnd w:id="930"/>
      <w:bookmarkEnd w:id="931"/>
      <w:bookmarkEnd w:id="932"/>
      <w:bookmarkEnd w:id="933"/>
      <w:bookmarkEnd w:id="934"/>
    </w:p>
    <w:tbl>
      <w:tblPr>
        <w:tblStyle w:val="34"/>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3"/>
        <w:gridCol w:w="640"/>
        <w:gridCol w:w="1097"/>
        <w:gridCol w:w="748"/>
        <w:gridCol w:w="6057"/>
      </w:tblGrid>
      <w:tr w14:paraId="2197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34" w:type="dxa"/>
            <w:gridSpan w:val="3"/>
            <w:vAlign w:val="center"/>
          </w:tcPr>
          <w:p w14:paraId="602F4903">
            <w:pPr>
              <w:adjustRightInd w:val="0"/>
              <w:snapToGrid w:val="0"/>
              <w:spacing w:line="360" w:lineRule="auto"/>
              <w:jc w:val="center"/>
              <w:textAlignment w:val="baseline"/>
              <w:rPr>
                <w:rFonts w:ascii="宋体" w:hAnsi="宋体"/>
                <w:b/>
                <w:bCs/>
              </w:rPr>
            </w:pPr>
            <w:bookmarkStart w:id="949" w:name="_Toc152042377"/>
            <w:bookmarkEnd w:id="949"/>
            <w:bookmarkStart w:id="950" w:name="_Toc318450722"/>
            <w:bookmarkEnd w:id="950"/>
            <w:bookmarkStart w:id="951" w:name="_Toc152045600"/>
            <w:bookmarkEnd w:id="951"/>
            <w:bookmarkStart w:id="952" w:name="_Toc144974567"/>
            <w:bookmarkEnd w:id="952"/>
            <w:bookmarkStart w:id="953" w:name="_Toc281405528"/>
            <w:r>
              <w:rPr>
                <w:rFonts w:hint="eastAsia" w:ascii="宋体" w:hAnsi="宋体"/>
                <w:b/>
                <w:bCs/>
              </w:rPr>
              <w:t>条款号</w:t>
            </w:r>
          </w:p>
        </w:tc>
        <w:tc>
          <w:tcPr>
            <w:tcW w:w="1845" w:type="dxa"/>
            <w:gridSpan w:val="2"/>
            <w:vAlign w:val="center"/>
          </w:tcPr>
          <w:p w14:paraId="50F114F0">
            <w:pPr>
              <w:adjustRightInd w:val="0"/>
              <w:snapToGrid w:val="0"/>
              <w:spacing w:line="360" w:lineRule="auto"/>
              <w:jc w:val="center"/>
              <w:textAlignment w:val="baseline"/>
              <w:rPr>
                <w:rFonts w:ascii="宋体" w:hAnsi="宋体"/>
                <w:b/>
                <w:bCs/>
              </w:rPr>
            </w:pPr>
            <w:r>
              <w:rPr>
                <w:rFonts w:hint="eastAsia" w:ascii="宋体" w:hAnsi="宋体"/>
                <w:b/>
                <w:bCs/>
              </w:rPr>
              <w:t>评审因素</w:t>
            </w:r>
          </w:p>
        </w:tc>
        <w:tc>
          <w:tcPr>
            <w:tcW w:w="6057" w:type="dxa"/>
            <w:vAlign w:val="center"/>
          </w:tcPr>
          <w:p w14:paraId="1A7226E4">
            <w:pPr>
              <w:adjustRightInd w:val="0"/>
              <w:snapToGrid w:val="0"/>
              <w:spacing w:line="360" w:lineRule="auto"/>
              <w:jc w:val="center"/>
              <w:textAlignment w:val="baseline"/>
              <w:rPr>
                <w:rFonts w:ascii="宋体" w:hAnsi="宋体"/>
                <w:b/>
                <w:bCs/>
              </w:rPr>
            </w:pPr>
            <w:r>
              <w:rPr>
                <w:rFonts w:hint="eastAsia" w:ascii="宋体" w:hAnsi="宋体"/>
                <w:b/>
                <w:bCs/>
              </w:rPr>
              <w:t>评审标准</w:t>
            </w:r>
          </w:p>
        </w:tc>
      </w:tr>
      <w:tr w14:paraId="356E4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894" w:type="dxa"/>
            <w:gridSpan w:val="2"/>
            <w:vMerge w:val="restart"/>
            <w:vAlign w:val="center"/>
          </w:tcPr>
          <w:p w14:paraId="3AFE29D5">
            <w:pPr>
              <w:pStyle w:val="43"/>
              <w:snapToGrid w:val="0"/>
              <w:spacing w:line="360" w:lineRule="auto"/>
              <w:jc w:val="center"/>
              <w:rPr>
                <w:rFonts w:cs="Times New Roman"/>
                <w:color w:val="auto"/>
                <w:sz w:val="21"/>
                <w:szCs w:val="21"/>
              </w:rPr>
            </w:pPr>
            <w:r>
              <w:rPr>
                <w:rFonts w:hint="eastAsia" w:cs="Times New Roman"/>
                <w:color w:val="auto"/>
                <w:sz w:val="21"/>
                <w:szCs w:val="21"/>
              </w:rPr>
              <w:t>2.1.1</w:t>
            </w:r>
          </w:p>
        </w:tc>
        <w:tc>
          <w:tcPr>
            <w:tcW w:w="640" w:type="dxa"/>
            <w:vMerge w:val="restart"/>
            <w:vAlign w:val="center"/>
          </w:tcPr>
          <w:p w14:paraId="2EC425B0">
            <w:pPr>
              <w:pStyle w:val="43"/>
              <w:snapToGrid w:val="0"/>
              <w:spacing w:line="360" w:lineRule="auto"/>
              <w:jc w:val="center"/>
              <w:rPr>
                <w:rFonts w:cs="Times New Roman"/>
                <w:color w:val="auto"/>
                <w:sz w:val="21"/>
                <w:szCs w:val="21"/>
              </w:rPr>
            </w:pPr>
            <w:r>
              <w:rPr>
                <w:rFonts w:hint="eastAsia" w:cs="Times New Roman"/>
                <w:color w:val="auto"/>
                <w:sz w:val="21"/>
                <w:szCs w:val="21"/>
              </w:rPr>
              <w:t>资</w:t>
            </w:r>
          </w:p>
          <w:p w14:paraId="106FC2DE">
            <w:pPr>
              <w:pStyle w:val="43"/>
              <w:snapToGrid w:val="0"/>
              <w:spacing w:line="360" w:lineRule="auto"/>
              <w:jc w:val="center"/>
              <w:rPr>
                <w:rFonts w:cs="Times New Roman"/>
                <w:color w:val="auto"/>
                <w:sz w:val="21"/>
                <w:szCs w:val="21"/>
              </w:rPr>
            </w:pPr>
            <w:r>
              <w:rPr>
                <w:rFonts w:hint="eastAsia" w:cs="Times New Roman"/>
                <w:color w:val="auto"/>
                <w:sz w:val="21"/>
                <w:szCs w:val="21"/>
              </w:rPr>
              <w:t>格</w:t>
            </w:r>
          </w:p>
          <w:p w14:paraId="42F883D5">
            <w:pPr>
              <w:pStyle w:val="43"/>
              <w:snapToGrid w:val="0"/>
              <w:spacing w:line="360" w:lineRule="auto"/>
              <w:jc w:val="center"/>
              <w:rPr>
                <w:rFonts w:cs="Times New Roman"/>
                <w:color w:val="auto"/>
                <w:sz w:val="21"/>
                <w:szCs w:val="21"/>
              </w:rPr>
            </w:pPr>
            <w:r>
              <w:rPr>
                <w:rFonts w:hint="eastAsia" w:cs="Times New Roman"/>
                <w:color w:val="auto"/>
                <w:sz w:val="21"/>
                <w:szCs w:val="21"/>
              </w:rPr>
              <w:t>评</w:t>
            </w:r>
          </w:p>
          <w:p w14:paraId="17A41DFC">
            <w:pPr>
              <w:pStyle w:val="43"/>
              <w:snapToGrid w:val="0"/>
              <w:spacing w:line="360" w:lineRule="auto"/>
              <w:jc w:val="center"/>
              <w:rPr>
                <w:rFonts w:cs="Times New Roman"/>
                <w:color w:val="auto"/>
                <w:sz w:val="21"/>
                <w:szCs w:val="21"/>
              </w:rPr>
            </w:pPr>
            <w:r>
              <w:rPr>
                <w:rFonts w:hint="eastAsia" w:cs="Times New Roman"/>
                <w:color w:val="auto"/>
                <w:sz w:val="21"/>
                <w:szCs w:val="21"/>
              </w:rPr>
              <w:t>审</w:t>
            </w:r>
          </w:p>
          <w:p w14:paraId="51DC0C79">
            <w:pPr>
              <w:pStyle w:val="43"/>
              <w:snapToGrid w:val="0"/>
              <w:spacing w:line="360" w:lineRule="auto"/>
              <w:jc w:val="center"/>
              <w:rPr>
                <w:rFonts w:cs="Times New Roman"/>
                <w:color w:val="auto"/>
                <w:sz w:val="21"/>
                <w:szCs w:val="21"/>
              </w:rPr>
            </w:pPr>
            <w:r>
              <w:rPr>
                <w:rFonts w:hint="eastAsia" w:cs="Times New Roman"/>
                <w:color w:val="auto"/>
                <w:sz w:val="21"/>
                <w:szCs w:val="21"/>
              </w:rPr>
              <w:t>标</w:t>
            </w:r>
          </w:p>
          <w:p w14:paraId="3FF48FB3">
            <w:pPr>
              <w:pStyle w:val="43"/>
              <w:snapToGrid w:val="0"/>
              <w:spacing w:line="360" w:lineRule="auto"/>
              <w:jc w:val="center"/>
              <w:rPr>
                <w:rFonts w:cs="Times New Roman"/>
                <w:color w:val="auto"/>
                <w:sz w:val="21"/>
                <w:szCs w:val="21"/>
              </w:rPr>
            </w:pPr>
            <w:r>
              <w:rPr>
                <w:rFonts w:hint="eastAsia" w:cs="Times New Roman"/>
                <w:color w:val="auto"/>
                <w:sz w:val="21"/>
                <w:szCs w:val="21"/>
              </w:rPr>
              <w:t>准</w:t>
            </w:r>
          </w:p>
        </w:tc>
        <w:tc>
          <w:tcPr>
            <w:tcW w:w="1845" w:type="dxa"/>
            <w:gridSpan w:val="2"/>
            <w:vAlign w:val="center"/>
          </w:tcPr>
          <w:p w14:paraId="75448C70">
            <w:pPr>
              <w:pStyle w:val="60"/>
              <w:widowControl/>
              <w:adjustRightInd w:val="0"/>
              <w:snapToGrid w:val="0"/>
              <w:spacing w:line="360" w:lineRule="auto"/>
              <w:jc w:val="center"/>
              <w:rPr>
                <w:rFonts w:ascii="宋体" w:hAnsi="宋体"/>
              </w:rPr>
            </w:pPr>
            <w:r>
              <w:rPr>
                <w:rFonts w:hint="eastAsia" w:ascii="宋体" w:hAnsi="宋体"/>
              </w:rPr>
              <w:t>具有独立承担民事责任的能力</w:t>
            </w:r>
          </w:p>
        </w:tc>
        <w:tc>
          <w:tcPr>
            <w:tcW w:w="6057" w:type="dxa"/>
            <w:vAlign w:val="center"/>
          </w:tcPr>
          <w:p w14:paraId="26C33F91">
            <w:pPr>
              <w:pStyle w:val="43"/>
              <w:snapToGrid w:val="0"/>
              <w:spacing w:line="360" w:lineRule="auto"/>
              <w:rPr>
                <w:rFonts w:cs="Times New Roman"/>
                <w:color w:val="auto"/>
                <w:sz w:val="21"/>
                <w:szCs w:val="21"/>
              </w:rPr>
            </w:pPr>
            <w:r>
              <w:rPr>
                <w:rFonts w:hint="eastAsia" w:cs="Times New Roman"/>
                <w:color w:val="auto"/>
                <w:sz w:val="21"/>
                <w:szCs w:val="21"/>
              </w:rPr>
              <w:t>提供法人或者其它组织的营业执照等证明文件</w:t>
            </w:r>
          </w:p>
        </w:tc>
      </w:tr>
      <w:tr w14:paraId="4A32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894" w:type="dxa"/>
            <w:gridSpan w:val="2"/>
            <w:vMerge w:val="continue"/>
            <w:vAlign w:val="center"/>
          </w:tcPr>
          <w:p w14:paraId="3E6792A4">
            <w:pPr>
              <w:widowControl/>
              <w:adjustRightInd w:val="0"/>
              <w:snapToGrid w:val="0"/>
              <w:spacing w:line="360" w:lineRule="auto"/>
              <w:jc w:val="left"/>
              <w:rPr>
                <w:rFonts w:ascii="宋体" w:hAnsi="宋体"/>
                <w:kern w:val="0"/>
              </w:rPr>
            </w:pPr>
          </w:p>
        </w:tc>
        <w:tc>
          <w:tcPr>
            <w:tcW w:w="640" w:type="dxa"/>
            <w:vMerge w:val="continue"/>
            <w:vAlign w:val="center"/>
          </w:tcPr>
          <w:p w14:paraId="521EE8A5">
            <w:pPr>
              <w:widowControl/>
              <w:adjustRightInd w:val="0"/>
              <w:snapToGrid w:val="0"/>
              <w:spacing w:line="360" w:lineRule="auto"/>
              <w:jc w:val="left"/>
              <w:rPr>
                <w:rFonts w:ascii="宋体" w:hAnsi="宋体"/>
                <w:kern w:val="0"/>
              </w:rPr>
            </w:pPr>
          </w:p>
        </w:tc>
        <w:tc>
          <w:tcPr>
            <w:tcW w:w="1845" w:type="dxa"/>
            <w:gridSpan w:val="2"/>
            <w:vAlign w:val="center"/>
          </w:tcPr>
          <w:p w14:paraId="30896688">
            <w:pPr>
              <w:pStyle w:val="60"/>
              <w:widowControl/>
              <w:adjustRightInd w:val="0"/>
              <w:snapToGrid w:val="0"/>
              <w:spacing w:line="360" w:lineRule="auto"/>
              <w:jc w:val="center"/>
              <w:rPr>
                <w:rFonts w:ascii="宋体" w:hAnsi="宋体"/>
                <w:kern w:val="0"/>
              </w:rPr>
            </w:pPr>
            <w:r>
              <w:rPr>
                <w:rFonts w:hint="eastAsia" w:ascii="宋体" w:hAnsi="宋体"/>
                <w:kern w:val="0"/>
              </w:rPr>
              <w:t>具有良好的商业信誉和健全的财务会计制度</w:t>
            </w:r>
          </w:p>
        </w:tc>
        <w:tc>
          <w:tcPr>
            <w:tcW w:w="6057" w:type="dxa"/>
            <w:vAlign w:val="center"/>
          </w:tcPr>
          <w:p w14:paraId="0F6A89D4">
            <w:pPr>
              <w:adjustRightInd w:val="0"/>
              <w:snapToGrid w:val="0"/>
              <w:spacing w:line="360" w:lineRule="auto"/>
              <w:rPr>
                <w:rFonts w:ascii="宋体" w:hAnsi="宋体"/>
                <w:kern w:val="0"/>
              </w:rPr>
            </w:pPr>
            <w:r>
              <w:rPr>
                <w:rFonts w:hint="eastAsia" w:ascii="宋体" w:hAnsi="宋体"/>
                <w:kern w:val="0"/>
                <w:lang w:eastAsia="zh-CN"/>
              </w:rPr>
              <w:t>提供2024年度经第三方审计机构出具的审计报告</w:t>
            </w:r>
            <w:r>
              <w:rPr>
                <w:rFonts w:hint="eastAsia" w:ascii="宋体" w:hAnsi="宋体"/>
                <w:kern w:val="0"/>
              </w:rPr>
              <w:t>或基本户银行资信证明</w:t>
            </w:r>
          </w:p>
        </w:tc>
      </w:tr>
      <w:tr w14:paraId="63954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894" w:type="dxa"/>
            <w:gridSpan w:val="2"/>
            <w:vMerge w:val="continue"/>
            <w:vAlign w:val="center"/>
          </w:tcPr>
          <w:p w14:paraId="4294AE38">
            <w:pPr>
              <w:widowControl/>
              <w:adjustRightInd w:val="0"/>
              <w:snapToGrid w:val="0"/>
              <w:spacing w:line="360" w:lineRule="auto"/>
              <w:jc w:val="left"/>
              <w:rPr>
                <w:rFonts w:ascii="宋体" w:hAnsi="宋体"/>
                <w:kern w:val="0"/>
              </w:rPr>
            </w:pPr>
          </w:p>
        </w:tc>
        <w:tc>
          <w:tcPr>
            <w:tcW w:w="640" w:type="dxa"/>
            <w:vMerge w:val="continue"/>
            <w:vAlign w:val="center"/>
          </w:tcPr>
          <w:p w14:paraId="0705DB52">
            <w:pPr>
              <w:widowControl/>
              <w:adjustRightInd w:val="0"/>
              <w:snapToGrid w:val="0"/>
              <w:spacing w:line="360" w:lineRule="auto"/>
              <w:jc w:val="left"/>
              <w:rPr>
                <w:rFonts w:ascii="宋体" w:hAnsi="宋体"/>
                <w:kern w:val="0"/>
              </w:rPr>
            </w:pPr>
          </w:p>
        </w:tc>
        <w:tc>
          <w:tcPr>
            <w:tcW w:w="1845" w:type="dxa"/>
            <w:gridSpan w:val="2"/>
            <w:vAlign w:val="center"/>
          </w:tcPr>
          <w:p w14:paraId="43B15CB0">
            <w:pPr>
              <w:pStyle w:val="60"/>
              <w:widowControl/>
              <w:adjustRightInd w:val="0"/>
              <w:snapToGrid w:val="0"/>
              <w:spacing w:line="360" w:lineRule="auto"/>
              <w:jc w:val="center"/>
              <w:rPr>
                <w:rFonts w:ascii="宋体" w:hAnsi="宋体"/>
                <w:kern w:val="0"/>
              </w:rPr>
            </w:pPr>
            <w:r>
              <w:rPr>
                <w:rFonts w:hint="eastAsia" w:ascii="宋体" w:hAnsi="宋体"/>
                <w:kern w:val="0"/>
              </w:rPr>
              <w:t>具有履行合同所必需的设备和专业技术能力</w:t>
            </w:r>
          </w:p>
        </w:tc>
        <w:tc>
          <w:tcPr>
            <w:tcW w:w="6057" w:type="dxa"/>
            <w:vAlign w:val="center"/>
          </w:tcPr>
          <w:p w14:paraId="72B67C44">
            <w:pPr>
              <w:adjustRightInd w:val="0"/>
              <w:snapToGrid w:val="0"/>
              <w:spacing w:line="360" w:lineRule="auto"/>
              <w:rPr>
                <w:rFonts w:ascii="宋体" w:hAnsi="宋体"/>
                <w:kern w:val="0"/>
              </w:rPr>
            </w:pPr>
            <w:r>
              <w:rPr>
                <w:rFonts w:hint="eastAsia" w:ascii="宋体" w:hAnsi="宋体"/>
                <w:kern w:val="0"/>
              </w:rPr>
              <w:t>具有履行合同所必需的设备和专业技术能力（自行承诺，格式自拟）</w:t>
            </w:r>
          </w:p>
        </w:tc>
      </w:tr>
      <w:tr w14:paraId="5A7BF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4" w:type="dxa"/>
            <w:gridSpan w:val="2"/>
            <w:vMerge w:val="continue"/>
            <w:vAlign w:val="center"/>
          </w:tcPr>
          <w:p w14:paraId="164C640B">
            <w:pPr>
              <w:widowControl/>
              <w:adjustRightInd w:val="0"/>
              <w:snapToGrid w:val="0"/>
              <w:spacing w:line="360" w:lineRule="auto"/>
              <w:jc w:val="left"/>
              <w:rPr>
                <w:rFonts w:ascii="宋体" w:hAnsi="宋体"/>
                <w:kern w:val="0"/>
              </w:rPr>
            </w:pPr>
          </w:p>
        </w:tc>
        <w:tc>
          <w:tcPr>
            <w:tcW w:w="640" w:type="dxa"/>
            <w:vMerge w:val="continue"/>
            <w:vAlign w:val="center"/>
          </w:tcPr>
          <w:p w14:paraId="4A35FEC4">
            <w:pPr>
              <w:widowControl/>
              <w:adjustRightInd w:val="0"/>
              <w:snapToGrid w:val="0"/>
              <w:spacing w:line="360" w:lineRule="auto"/>
              <w:jc w:val="left"/>
              <w:rPr>
                <w:rFonts w:ascii="宋体" w:hAnsi="宋体"/>
                <w:kern w:val="0"/>
              </w:rPr>
            </w:pPr>
          </w:p>
        </w:tc>
        <w:tc>
          <w:tcPr>
            <w:tcW w:w="1845" w:type="dxa"/>
            <w:gridSpan w:val="2"/>
            <w:vAlign w:val="center"/>
          </w:tcPr>
          <w:p w14:paraId="46D8F1CA">
            <w:pPr>
              <w:pStyle w:val="60"/>
              <w:widowControl/>
              <w:adjustRightInd w:val="0"/>
              <w:snapToGrid w:val="0"/>
              <w:spacing w:line="360" w:lineRule="auto"/>
              <w:jc w:val="center"/>
              <w:rPr>
                <w:rFonts w:ascii="宋体" w:hAnsi="宋体"/>
                <w:kern w:val="0"/>
              </w:rPr>
            </w:pPr>
            <w:r>
              <w:rPr>
                <w:rFonts w:hint="eastAsia" w:ascii="宋体" w:hAnsi="宋体"/>
              </w:rPr>
              <w:t>具有依法缴纳税收和社会保障资金的良好记录</w:t>
            </w:r>
          </w:p>
        </w:tc>
        <w:tc>
          <w:tcPr>
            <w:tcW w:w="6057" w:type="dxa"/>
            <w:vAlign w:val="center"/>
          </w:tcPr>
          <w:p w14:paraId="5E9A28F7">
            <w:pPr>
              <w:adjustRightInd w:val="0"/>
              <w:snapToGrid w:val="0"/>
              <w:spacing w:line="360" w:lineRule="auto"/>
              <w:rPr>
                <w:rFonts w:ascii="宋体" w:hAnsi="宋体"/>
                <w:kern w:val="0"/>
              </w:rPr>
            </w:pPr>
            <w:r>
              <w:rPr>
                <w:rFonts w:hint="eastAsia" w:ascii="宋体" w:hAnsi="宋体"/>
                <w:kern w:val="0"/>
              </w:rPr>
              <w:t>提供202</w:t>
            </w:r>
            <w:r>
              <w:rPr>
                <w:rFonts w:hint="eastAsia" w:ascii="宋体" w:hAnsi="宋体"/>
                <w:kern w:val="0"/>
                <w:lang w:val="en-US" w:eastAsia="zh-CN"/>
              </w:rPr>
              <w:t>5</w:t>
            </w:r>
            <w:r>
              <w:rPr>
                <w:rFonts w:hint="eastAsia" w:ascii="宋体" w:hAnsi="宋体"/>
                <w:kern w:val="0"/>
              </w:rPr>
              <w:t>年1月以来任意</w:t>
            </w:r>
            <w:r>
              <w:rPr>
                <w:rFonts w:hint="eastAsia" w:ascii="宋体" w:hAnsi="宋体"/>
                <w:kern w:val="0"/>
                <w:lang w:val="en-US" w:eastAsia="zh-CN"/>
              </w:rPr>
              <w:t>1</w:t>
            </w:r>
            <w:r>
              <w:rPr>
                <w:rFonts w:hint="eastAsia" w:ascii="宋体" w:hAnsi="宋体"/>
                <w:kern w:val="0"/>
              </w:rPr>
              <w:t>月依法缴纳税收和社会保障资金的证明资料，依法免税或免缴社会保障资金的供应商，应提供相应文件证明其依法免税或免缴社会保障资金</w:t>
            </w:r>
          </w:p>
        </w:tc>
      </w:tr>
      <w:tr w14:paraId="1037F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4" w:type="dxa"/>
            <w:gridSpan w:val="2"/>
            <w:vMerge w:val="continue"/>
            <w:vAlign w:val="center"/>
          </w:tcPr>
          <w:p w14:paraId="03871FB6">
            <w:pPr>
              <w:widowControl/>
              <w:adjustRightInd w:val="0"/>
              <w:snapToGrid w:val="0"/>
              <w:spacing w:line="360" w:lineRule="auto"/>
              <w:jc w:val="left"/>
              <w:rPr>
                <w:rFonts w:ascii="宋体" w:hAnsi="宋体"/>
                <w:kern w:val="0"/>
              </w:rPr>
            </w:pPr>
          </w:p>
        </w:tc>
        <w:tc>
          <w:tcPr>
            <w:tcW w:w="640" w:type="dxa"/>
            <w:vMerge w:val="continue"/>
            <w:vAlign w:val="center"/>
          </w:tcPr>
          <w:p w14:paraId="6409A427">
            <w:pPr>
              <w:widowControl/>
              <w:adjustRightInd w:val="0"/>
              <w:snapToGrid w:val="0"/>
              <w:spacing w:line="360" w:lineRule="auto"/>
              <w:jc w:val="left"/>
              <w:rPr>
                <w:rFonts w:ascii="宋体" w:hAnsi="宋体"/>
                <w:kern w:val="0"/>
              </w:rPr>
            </w:pPr>
          </w:p>
        </w:tc>
        <w:tc>
          <w:tcPr>
            <w:tcW w:w="1845" w:type="dxa"/>
            <w:gridSpan w:val="2"/>
            <w:vAlign w:val="center"/>
          </w:tcPr>
          <w:p w14:paraId="4C25596B">
            <w:pPr>
              <w:pStyle w:val="60"/>
              <w:widowControl/>
              <w:adjustRightInd w:val="0"/>
              <w:snapToGrid w:val="0"/>
              <w:spacing w:line="360" w:lineRule="auto"/>
              <w:jc w:val="center"/>
              <w:rPr>
                <w:rFonts w:ascii="宋体" w:hAnsi="宋体"/>
              </w:rPr>
            </w:pPr>
            <w:r>
              <w:rPr>
                <w:rFonts w:hint="eastAsia" w:ascii="宋体" w:hAnsi="宋体"/>
              </w:rPr>
              <w:t>参加政府采购活动前三年内，在经营活动中没有违法记录</w:t>
            </w:r>
          </w:p>
        </w:tc>
        <w:tc>
          <w:tcPr>
            <w:tcW w:w="6057" w:type="dxa"/>
            <w:vAlign w:val="center"/>
          </w:tcPr>
          <w:p w14:paraId="6B9B8776">
            <w:pPr>
              <w:adjustRightInd w:val="0"/>
              <w:snapToGrid w:val="0"/>
              <w:spacing w:line="360" w:lineRule="auto"/>
              <w:rPr>
                <w:rFonts w:ascii="宋体" w:hAnsi="宋体"/>
                <w:kern w:val="0"/>
              </w:rPr>
            </w:pPr>
            <w:r>
              <w:rPr>
                <w:rFonts w:hint="eastAsia" w:ascii="宋体" w:hAnsi="宋体"/>
              </w:rPr>
              <w:t>参加政府采购活动前三年内，在经营活动中没有违法记录（自行承诺，</w:t>
            </w:r>
            <w:r>
              <w:rPr>
                <w:rFonts w:hint="eastAsia" w:ascii="宋体" w:hAnsi="宋体"/>
                <w:kern w:val="0"/>
              </w:rPr>
              <w:t>格式自拟</w:t>
            </w:r>
            <w:r>
              <w:rPr>
                <w:rFonts w:hint="eastAsia" w:ascii="宋体" w:hAnsi="宋体"/>
              </w:rPr>
              <w:t>）</w:t>
            </w:r>
          </w:p>
        </w:tc>
      </w:tr>
      <w:tr w14:paraId="2496A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4" w:type="dxa"/>
            <w:gridSpan w:val="2"/>
            <w:vMerge w:val="continue"/>
            <w:vAlign w:val="center"/>
          </w:tcPr>
          <w:p w14:paraId="226F01E9">
            <w:pPr>
              <w:widowControl/>
              <w:adjustRightInd w:val="0"/>
              <w:snapToGrid w:val="0"/>
              <w:spacing w:line="360" w:lineRule="auto"/>
              <w:jc w:val="left"/>
              <w:rPr>
                <w:rFonts w:ascii="宋体" w:hAnsi="宋体"/>
                <w:kern w:val="0"/>
              </w:rPr>
            </w:pPr>
          </w:p>
        </w:tc>
        <w:tc>
          <w:tcPr>
            <w:tcW w:w="640" w:type="dxa"/>
            <w:vMerge w:val="continue"/>
            <w:vAlign w:val="center"/>
          </w:tcPr>
          <w:p w14:paraId="1B81E5A7">
            <w:pPr>
              <w:widowControl/>
              <w:adjustRightInd w:val="0"/>
              <w:snapToGrid w:val="0"/>
              <w:spacing w:line="360" w:lineRule="auto"/>
              <w:jc w:val="left"/>
              <w:rPr>
                <w:rFonts w:ascii="宋体" w:hAnsi="宋体"/>
                <w:kern w:val="0"/>
              </w:rPr>
            </w:pPr>
          </w:p>
        </w:tc>
        <w:tc>
          <w:tcPr>
            <w:tcW w:w="1845" w:type="dxa"/>
            <w:gridSpan w:val="2"/>
            <w:vAlign w:val="center"/>
          </w:tcPr>
          <w:p w14:paraId="337D9C11">
            <w:pPr>
              <w:pStyle w:val="60"/>
              <w:widowControl/>
              <w:adjustRightInd w:val="0"/>
              <w:snapToGrid w:val="0"/>
              <w:spacing w:line="360" w:lineRule="auto"/>
              <w:jc w:val="center"/>
              <w:rPr>
                <w:rFonts w:ascii="宋体" w:hAnsi="宋体"/>
                <w:color w:val="auto"/>
              </w:rPr>
            </w:pPr>
            <w:r>
              <w:rPr>
                <w:rFonts w:hint="eastAsia" w:ascii="宋体" w:hAnsi="宋体"/>
                <w:color w:val="auto"/>
              </w:rPr>
              <w:t>企业资质</w:t>
            </w:r>
          </w:p>
        </w:tc>
        <w:tc>
          <w:tcPr>
            <w:tcW w:w="6057" w:type="dxa"/>
            <w:vAlign w:val="center"/>
          </w:tcPr>
          <w:p w14:paraId="4F6E1373">
            <w:pPr>
              <w:widowControl/>
              <w:spacing w:line="360" w:lineRule="auto"/>
              <w:jc w:val="left"/>
              <w:rPr>
                <w:rFonts w:hint="eastAsia" w:ascii="宋体" w:hAnsi="宋体" w:eastAsia="宋体"/>
                <w:color w:val="auto"/>
                <w:lang w:eastAsia="zh-CN"/>
              </w:rPr>
            </w:pPr>
            <w:r>
              <w:rPr>
                <w:rFonts w:hint="eastAsia" w:ascii="宋体" w:hAnsi="宋体"/>
              </w:rPr>
              <w:t>供应商具有建设行政主管部门</w:t>
            </w:r>
            <w:r>
              <w:rPr>
                <w:rFonts w:hint="eastAsia" w:ascii="宋体" w:hAnsi="宋体"/>
                <w:color w:val="auto"/>
              </w:rPr>
              <w:t>颁发的建筑施工总承包</w:t>
            </w:r>
            <w:r>
              <w:rPr>
                <w:rFonts w:hint="eastAsia" w:ascii="宋体" w:hAnsi="宋体"/>
                <w:color w:val="auto"/>
                <w:lang w:eastAsia="zh-CN"/>
              </w:rPr>
              <w:t>叁</w:t>
            </w:r>
            <w:r>
              <w:rPr>
                <w:rFonts w:hint="eastAsia" w:ascii="宋体" w:hAnsi="宋体"/>
                <w:color w:val="auto"/>
              </w:rPr>
              <w:t>级</w:t>
            </w:r>
            <w:r>
              <w:rPr>
                <w:rFonts w:hint="eastAsia" w:ascii="宋体" w:hAnsi="宋体"/>
                <w:color w:val="auto"/>
                <w:lang w:val="en-US" w:eastAsia="zh-CN"/>
              </w:rPr>
              <w:t>或</w:t>
            </w:r>
            <w:r>
              <w:rPr>
                <w:rFonts w:hint="eastAsia" w:ascii="宋体" w:hAnsi="宋体"/>
                <w:color w:val="auto"/>
                <w:lang w:eastAsia="zh-CN"/>
              </w:rPr>
              <w:t>建筑装修装饰工程专业承包贰级</w:t>
            </w:r>
            <w:r>
              <w:rPr>
                <w:rFonts w:hint="eastAsia" w:ascii="宋体" w:hAnsi="宋体"/>
                <w:color w:val="auto"/>
              </w:rPr>
              <w:t>及以上资质，并</w:t>
            </w:r>
            <w:r>
              <w:rPr>
                <w:rFonts w:hint="eastAsia" w:ascii="宋体" w:hAnsi="宋体"/>
              </w:rPr>
              <w:t>具有有效的安全生产许可证，并在人员、设备、资金等方面具备相应的施工能力</w:t>
            </w:r>
            <w:r>
              <w:rPr>
                <w:rFonts w:hint="eastAsia" w:ascii="宋体" w:hAnsi="宋体"/>
                <w:lang w:eastAsia="zh-CN"/>
              </w:rPr>
              <w:t>；</w:t>
            </w:r>
          </w:p>
        </w:tc>
      </w:tr>
      <w:tr w14:paraId="5384C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94" w:type="dxa"/>
            <w:gridSpan w:val="2"/>
            <w:vMerge w:val="continue"/>
            <w:vAlign w:val="center"/>
          </w:tcPr>
          <w:p w14:paraId="3873324D">
            <w:pPr>
              <w:widowControl/>
              <w:adjustRightInd w:val="0"/>
              <w:snapToGrid w:val="0"/>
              <w:spacing w:line="360" w:lineRule="auto"/>
              <w:jc w:val="left"/>
              <w:rPr>
                <w:rFonts w:ascii="宋体" w:hAnsi="宋体"/>
                <w:kern w:val="0"/>
              </w:rPr>
            </w:pPr>
          </w:p>
        </w:tc>
        <w:tc>
          <w:tcPr>
            <w:tcW w:w="640" w:type="dxa"/>
            <w:vMerge w:val="continue"/>
            <w:vAlign w:val="center"/>
          </w:tcPr>
          <w:p w14:paraId="3372E0AC">
            <w:pPr>
              <w:widowControl/>
              <w:adjustRightInd w:val="0"/>
              <w:snapToGrid w:val="0"/>
              <w:spacing w:line="360" w:lineRule="auto"/>
              <w:jc w:val="left"/>
              <w:rPr>
                <w:rFonts w:ascii="宋体" w:hAnsi="宋体"/>
                <w:kern w:val="0"/>
              </w:rPr>
            </w:pPr>
          </w:p>
        </w:tc>
        <w:tc>
          <w:tcPr>
            <w:tcW w:w="1845" w:type="dxa"/>
            <w:gridSpan w:val="2"/>
            <w:vAlign w:val="center"/>
          </w:tcPr>
          <w:p w14:paraId="0C8EFC76">
            <w:pPr>
              <w:pStyle w:val="60"/>
              <w:widowControl/>
              <w:adjustRightInd w:val="0"/>
              <w:snapToGrid w:val="0"/>
              <w:spacing w:line="360" w:lineRule="auto"/>
              <w:jc w:val="center"/>
              <w:rPr>
                <w:rFonts w:ascii="宋体" w:hAnsi="宋体"/>
                <w:color w:val="auto"/>
              </w:rPr>
            </w:pPr>
            <w:r>
              <w:rPr>
                <w:rFonts w:hint="eastAsia" w:ascii="宋体" w:hAnsi="宋体"/>
                <w:color w:val="auto"/>
              </w:rPr>
              <w:t>项目经理资格</w:t>
            </w:r>
          </w:p>
        </w:tc>
        <w:tc>
          <w:tcPr>
            <w:tcW w:w="6057" w:type="dxa"/>
            <w:vAlign w:val="center"/>
          </w:tcPr>
          <w:p w14:paraId="1428B0FB">
            <w:pPr>
              <w:adjustRightInd w:val="0"/>
              <w:snapToGrid w:val="0"/>
              <w:spacing w:line="360" w:lineRule="auto"/>
              <w:rPr>
                <w:rFonts w:hint="eastAsia" w:ascii="宋体" w:hAnsi="宋体"/>
                <w:color w:val="auto"/>
              </w:rPr>
            </w:pPr>
            <w:r>
              <w:rPr>
                <w:rFonts w:hint="eastAsia" w:ascii="宋体" w:hAnsi="宋体"/>
                <w:lang w:val="en-US" w:eastAsia="zh-CN"/>
              </w:rPr>
              <w:t>1、</w:t>
            </w:r>
            <w:r>
              <w:rPr>
                <w:rFonts w:hint="eastAsia" w:ascii="宋体" w:hAnsi="宋体"/>
              </w:rPr>
              <w:t>拟派项目经理须具有建筑专业二级及以上注册建造师资格和有效的安全生产考核合格证，须提供</w:t>
            </w:r>
            <w:r>
              <w:rPr>
                <w:rFonts w:hint="eastAsia" w:ascii="宋体" w:hAnsi="宋体"/>
                <w:lang w:eastAsia="zh-CN"/>
              </w:rPr>
              <w:t>2025年1月以来供应商为其缴纳的</w:t>
            </w:r>
            <w:r>
              <w:rPr>
                <w:rFonts w:hint="eastAsia" w:ascii="宋体" w:hAnsi="宋体"/>
              </w:rPr>
              <w:t>任意3个月养老保险证明，且同时未在其他在建施工项目担任项目经理（自行承诺）</w:t>
            </w:r>
            <w:r>
              <w:rPr>
                <w:rFonts w:hint="eastAsia" w:ascii="宋体" w:hAnsi="宋体"/>
                <w:color w:val="auto"/>
              </w:rPr>
              <w:t>；</w:t>
            </w:r>
          </w:p>
          <w:p w14:paraId="24639625">
            <w:pPr>
              <w:adjustRightInd w:val="0"/>
              <w:snapToGrid w:val="0"/>
              <w:spacing w:line="360" w:lineRule="auto"/>
              <w:rPr>
                <w:rFonts w:hint="eastAsia" w:ascii="宋体" w:hAnsi="宋体" w:eastAsia="宋体"/>
                <w:color w:val="auto"/>
                <w:lang w:val="en-US" w:eastAsia="zh-CN"/>
              </w:rPr>
            </w:pPr>
            <w:r>
              <w:rPr>
                <w:rFonts w:hint="eastAsia" w:ascii="宋体" w:hAnsi="宋体"/>
                <w:color w:val="auto"/>
                <w:lang w:val="en-US" w:eastAsia="zh-CN"/>
              </w:rPr>
              <w:t>2、</w:t>
            </w:r>
            <w:r>
              <w:rPr>
                <w:rFonts w:hint="eastAsia" w:ascii="宋体" w:hAnsi="宋体"/>
                <w:color w:val="auto"/>
              </w:rPr>
              <w:t>项目经理在中国执行信息公开网未被列入“失信被执行人”名单（自行承诺）</w:t>
            </w:r>
          </w:p>
        </w:tc>
      </w:tr>
      <w:tr w14:paraId="0BAC8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4" w:type="dxa"/>
            <w:gridSpan w:val="2"/>
            <w:vMerge w:val="continue"/>
            <w:vAlign w:val="center"/>
          </w:tcPr>
          <w:p w14:paraId="5F899A14">
            <w:pPr>
              <w:widowControl/>
              <w:adjustRightInd w:val="0"/>
              <w:snapToGrid w:val="0"/>
              <w:spacing w:line="360" w:lineRule="auto"/>
              <w:jc w:val="left"/>
              <w:rPr>
                <w:rFonts w:ascii="宋体" w:hAnsi="宋体"/>
                <w:kern w:val="0"/>
              </w:rPr>
            </w:pPr>
          </w:p>
        </w:tc>
        <w:tc>
          <w:tcPr>
            <w:tcW w:w="640" w:type="dxa"/>
            <w:vMerge w:val="continue"/>
            <w:vAlign w:val="center"/>
          </w:tcPr>
          <w:p w14:paraId="50525775">
            <w:pPr>
              <w:widowControl/>
              <w:adjustRightInd w:val="0"/>
              <w:snapToGrid w:val="0"/>
              <w:spacing w:line="360" w:lineRule="auto"/>
              <w:jc w:val="left"/>
              <w:rPr>
                <w:rFonts w:ascii="宋体" w:hAnsi="宋体"/>
                <w:kern w:val="0"/>
              </w:rPr>
            </w:pPr>
          </w:p>
        </w:tc>
        <w:tc>
          <w:tcPr>
            <w:tcW w:w="1845" w:type="dxa"/>
            <w:gridSpan w:val="2"/>
            <w:vAlign w:val="center"/>
          </w:tcPr>
          <w:p w14:paraId="6D1743B6">
            <w:pPr>
              <w:pStyle w:val="60"/>
              <w:widowControl/>
              <w:adjustRightInd w:val="0"/>
              <w:snapToGrid w:val="0"/>
              <w:spacing w:line="360" w:lineRule="auto"/>
              <w:jc w:val="center"/>
              <w:rPr>
                <w:rFonts w:ascii="宋体" w:hAnsi="宋体"/>
              </w:rPr>
            </w:pPr>
            <w:r>
              <w:rPr>
                <w:rFonts w:hint="eastAsia" w:ascii="宋体" w:hAnsi="宋体"/>
              </w:rPr>
              <w:t>信用查询</w:t>
            </w:r>
          </w:p>
        </w:tc>
        <w:tc>
          <w:tcPr>
            <w:tcW w:w="6057" w:type="dxa"/>
            <w:vAlign w:val="center"/>
          </w:tcPr>
          <w:p w14:paraId="24B3203F">
            <w:pPr>
              <w:adjustRightInd w:val="0"/>
              <w:snapToGrid w:val="0"/>
              <w:spacing w:line="360" w:lineRule="auto"/>
              <w:rPr>
                <w:rFonts w:hint="eastAsia" w:ascii="宋体" w:hAnsi="宋体"/>
              </w:rPr>
            </w:pPr>
            <w:r>
              <w:rPr>
                <w:rFonts w:hint="eastAsia" w:ascii="宋体" w:hAnsi="宋体"/>
              </w:rPr>
              <w:t>根据《关于在政府采购活动中查询及使用信用记录有关问题的通知》(财库[2016]125号) 和豫财购【2016】15 号的规定，对列入失信被执行人、重大税收违法失信主体、政府采购严重违法失信行为记录名单的供应商，拒绝参与本项目政府采购活动。【查询渠道：“信用中国”网站（www.creditchina.gov.cn）、中国政府采购网（www.ccgp.gov.cn）】；</w:t>
            </w:r>
          </w:p>
          <w:p w14:paraId="6BF26CB8">
            <w:pPr>
              <w:adjustRightInd w:val="0"/>
              <w:snapToGrid w:val="0"/>
              <w:spacing w:line="360" w:lineRule="auto"/>
            </w:pPr>
            <w:r>
              <w:rPr>
                <w:rFonts w:hint="eastAsia" w:ascii="宋体" w:hAnsi="宋体"/>
              </w:rPr>
              <w:t>注：建议供应商附入响应文件内查询记录，未附入的不得作为无效响应处理，采购人或采购代理机构开标后对所有供应商信用记录进行查询，以开标后查询结果为</w:t>
            </w:r>
            <w:r>
              <w:rPr>
                <w:rFonts w:hint="eastAsia" w:ascii="宋体" w:hAnsi="宋体"/>
                <w:lang w:eastAsia="zh-CN"/>
              </w:rPr>
              <w:t>评审依据</w:t>
            </w:r>
            <w:r>
              <w:rPr>
                <w:rFonts w:hint="eastAsia" w:ascii="宋体" w:hAnsi="宋体"/>
              </w:rPr>
              <w:t>，经查询之后，网站信息发生的任何变更均不再作为评审依据</w:t>
            </w:r>
            <w:r>
              <w:rPr>
                <w:rFonts w:hint="eastAsia" w:ascii="宋体" w:hAnsi="宋体"/>
                <w:lang w:eastAsia="zh-CN"/>
              </w:rPr>
              <w:t>。</w:t>
            </w:r>
          </w:p>
        </w:tc>
      </w:tr>
      <w:tr w14:paraId="7122D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4" w:type="dxa"/>
            <w:gridSpan w:val="2"/>
            <w:vMerge w:val="continue"/>
            <w:vAlign w:val="center"/>
          </w:tcPr>
          <w:p w14:paraId="394A22A1">
            <w:pPr>
              <w:widowControl/>
              <w:adjustRightInd w:val="0"/>
              <w:snapToGrid w:val="0"/>
              <w:spacing w:line="360" w:lineRule="auto"/>
              <w:jc w:val="left"/>
              <w:rPr>
                <w:rFonts w:ascii="宋体" w:hAnsi="宋体"/>
                <w:kern w:val="0"/>
              </w:rPr>
            </w:pPr>
          </w:p>
        </w:tc>
        <w:tc>
          <w:tcPr>
            <w:tcW w:w="640" w:type="dxa"/>
            <w:vMerge w:val="continue"/>
            <w:vAlign w:val="center"/>
          </w:tcPr>
          <w:p w14:paraId="147DA388">
            <w:pPr>
              <w:widowControl/>
              <w:adjustRightInd w:val="0"/>
              <w:snapToGrid w:val="0"/>
              <w:spacing w:line="360" w:lineRule="auto"/>
              <w:jc w:val="left"/>
              <w:rPr>
                <w:rFonts w:ascii="宋体" w:hAnsi="宋体"/>
                <w:kern w:val="0"/>
              </w:rPr>
            </w:pPr>
          </w:p>
        </w:tc>
        <w:tc>
          <w:tcPr>
            <w:tcW w:w="1845" w:type="dxa"/>
            <w:gridSpan w:val="2"/>
            <w:vAlign w:val="center"/>
          </w:tcPr>
          <w:p w14:paraId="794A45DC">
            <w:pPr>
              <w:pStyle w:val="60"/>
              <w:widowControl/>
              <w:adjustRightInd w:val="0"/>
              <w:snapToGrid w:val="0"/>
              <w:spacing w:line="360" w:lineRule="auto"/>
              <w:jc w:val="center"/>
              <w:rPr>
                <w:rFonts w:ascii="宋体" w:hAnsi="宋体"/>
              </w:rPr>
            </w:pPr>
            <w:r>
              <w:rPr>
                <w:rFonts w:hint="eastAsia" w:ascii="宋体" w:hAnsi="宋体"/>
              </w:rPr>
              <w:t>其他要求</w:t>
            </w:r>
          </w:p>
        </w:tc>
        <w:tc>
          <w:tcPr>
            <w:tcW w:w="6057" w:type="dxa"/>
            <w:vAlign w:val="center"/>
          </w:tcPr>
          <w:p w14:paraId="4F843444">
            <w:pPr>
              <w:adjustRightInd w:val="0"/>
              <w:snapToGrid w:val="0"/>
              <w:spacing w:line="360" w:lineRule="auto"/>
              <w:rPr>
                <w:rFonts w:hint="eastAsia" w:ascii="宋体" w:hAnsi="宋体"/>
              </w:rPr>
            </w:pPr>
            <w:r>
              <w:rPr>
                <w:rFonts w:hint="eastAsia" w:ascii="宋体" w:hAnsi="宋体"/>
                <w:lang w:val="en-US" w:eastAsia="zh-CN"/>
              </w:rPr>
              <w:t>1、</w:t>
            </w:r>
            <w:r>
              <w:rPr>
                <w:rFonts w:hint="eastAsia" w:ascii="宋体" w:hAnsi="宋体"/>
              </w:rPr>
              <w:t>单位负责人为同一人或者存在直接控股关系、管理关系的不同供应商，不得参加同一合同项下的政府采购活动，提供声明函。</w:t>
            </w:r>
          </w:p>
          <w:p w14:paraId="00E2A076">
            <w:pPr>
              <w:adjustRightInd w:val="0"/>
              <w:snapToGrid w:val="0"/>
              <w:spacing w:line="360" w:lineRule="auto"/>
              <w:rPr>
                <w:rFonts w:hint="eastAsia" w:ascii="宋体" w:hAnsi="宋体"/>
                <w:b/>
                <w:bCs/>
                <w:lang w:val="en-US" w:eastAsia="zh-CN"/>
              </w:rPr>
            </w:pPr>
            <w:r>
              <w:rPr>
                <w:rFonts w:hint="eastAsia" w:ascii="宋体" w:hAnsi="宋体"/>
                <w:lang w:val="en-US" w:eastAsia="zh-CN"/>
              </w:rPr>
              <w:t>为采购项目提供整体设计、规范编制或者项目管理、监理、检测等服务的供应商，不得再参加该次采购项目的其他采购活动</w:t>
            </w:r>
            <w:r>
              <w:rPr>
                <w:rFonts w:hint="eastAsia" w:ascii="宋体" w:hAnsi="宋体"/>
                <w:b/>
                <w:bCs/>
                <w:lang w:val="en-US" w:eastAsia="zh-CN"/>
              </w:rPr>
              <w:t>（自行承诺）</w:t>
            </w:r>
          </w:p>
          <w:p w14:paraId="614EC381">
            <w:pPr>
              <w:adjustRightInd w:val="0"/>
              <w:snapToGrid w:val="0"/>
              <w:spacing w:line="360" w:lineRule="auto"/>
              <w:rPr>
                <w:rFonts w:hint="default" w:ascii="宋体" w:hAnsi="宋体"/>
                <w:lang w:val="en-US" w:eastAsia="zh-CN"/>
              </w:rPr>
            </w:pPr>
            <w:r>
              <w:rPr>
                <w:rFonts w:hint="eastAsia" w:ascii="宋体" w:hAnsi="宋体"/>
                <w:lang w:val="en-US" w:eastAsia="zh-CN"/>
              </w:rPr>
              <w:t>2、根据《河南省住房和城乡建设厅关于进一步规范建设工程企业资质管理的通知》（豫建行规〔2024〕7 号）规定，被全国和河南省建筑市场监管公共服务平台标注为资质异常的，不能使用标注异常资质承揽本工程</w:t>
            </w:r>
            <w:r>
              <w:rPr>
                <w:rFonts w:hint="eastAsia" w:ascii="宋体" w:hAnsi="宋体"/>
                <w:b/>
                <w:bCs/>
                <w:lang w:val="en-US" w:eastAsia="zh-CN"/>
              </w:rPr>
              <w:t>（响应文件中须提供全国和河南省建筑市场监管公共服务平台查询截图）</w:t>
            </w:r>
            <w:r>
              <w:rPr>
                <w:rFonts w:hint="eastAsia" w:ascii="宋体" w:hAnsi="宋体"/>
                <w:lang w:val="en-US" w:eastAsia="zh-CN"/>
              </w:rPr>
              <w:t>。</w:t>
            </w:r>
          </w:p>
          <w:p w14:paraId="6C47E5D8">
            <w:pPr>
              <w:adjustRightInd w:val="0"/>
              <w:snapToGrid w:val="0"/>
              <w:spacing w:line="360" w:lineRule="auto"/>
              <w:rPr>
                <w:color w:val="auto"/>
                <w:sz w:val="21"/>
                <w:szCs w:val="21"/>
              </w:rPr>
            </w:pPr>
            <w:r>
              <w:rPr>
                <w:rFonts w:hint="eastAsia" w:ascii="宋体" w:hAnsi="宋体"/>
                <w:lang w:val="en-US" w:eastAsia="zh-CN"/>
              </w:rPr>
              <w:t>3、</w:t>
            </w:r>
            <w:r>
              <w:rPr>
                <w:rFonts w:hint="eastAsia" w:ascii="宋体" w:hAnsi="宋体"/>
              </w:rPr>
              <w:t>不存在供应商须知“1.4.3”及“9.2.1”规定的情形</w:t>
            </w:r>
          </w:p>
        </w:tc>
      </w:tr>
      <w:tr w14:paraId="208FA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4" w:type="dxa"/>
            <w:gridSpan w:val="2"/>
            <w:vMerge w:val="restart"/>
            <w:vAlign w:val="center"/>
          </w:tcPr>
          <w:p w14:paraId="3B7F400C">
            <w:pPr>
              <w:pStyle w:val="43"/>
              <w:snapToGrid w:val="0"/>
              <w:spacing w:line="360" w:lineRule="auto"/>
              <w:jc w:val="center"/>
              <w:rPr>
                <w:rFonts w:cs="Times New Roman"/>
                <w:color w:val="auto"/>
                <w:sz w:val="21"/>
                <w:szCs w:val="21"/>
              </w:rPr>
            </w:pPr>
            <w:r>
              <w:rPr>
                <w:rFonts w:hint="eastAsia" w:cs="Times New Roman"/>
                <w:color w:val="auto"/>
                <w:sz w:val="21"/>
                <w:szCs w:val="21"/>
              </w:rPr>
              <w:t>2.1.2</w:t>
            </w:r>
          </w:p>
        </w:tc>
        <w:tc>
          <w:tcPr>
            <w:tcW w:w="640" w:type="dxa"/>
            <w:vMerge w:val="restart"/>
            <w:vAlign w:val="center"/>
          </w:tcPr>
          <w:p w14:paraId="55441F45">
            <w:pPr>
              <w:pStyle w:val="43"/>
              <w:snapToGrid w:val="0"/>
              <w:spacing w:line="360" w:lineRule="auto"/>
              <w:jc w:val="center"/>
              <w:rPr>
                <w:rFonts w:cs="Times New Roman"/>
                <w:color w:val="auto"/>
                <w:sz w:val="21"/>
                <w:szCs w:val="21"/>
              </w:rPr>
            </w:pPr>
            <w:r>
              <w:rPr>
                <w:rFonts w:hint="eastAsia" w:cs="Times New Roman"/>
                <w:color w:val="auto"/>
                <w:sz w:val="21"/>
                <w:szCs w:val="21"/>
              </w:rPr>
              <w:t>符合性评审标准</w:t>
            </w:r>
          </w:p>
        </w:tc>
        <w:tc>
          <w:tcPr>
            <w:tcW w:w="1845" w:type="dxa"/>
            <w:gridSpan w:val="2"/>
            <w:vAlign w:val="center"/>
          </w:tcPr>
          <w:p w14:paraId="4350BE27">
            <w:pPr>
              <w:adjustRightInd w:val="0"/>
              <w:snapToGrid w:val="0"/>
              <w:spacing w:line="360" w:lineRule="auto"/>
              <w:jc w:val="center"/>
              <w:rPr>
                <w:rFonts w:ascii="宋体" w:hAnsi="宋体"/>
              </w:rPr>
            </w:pPr>
            <w:r>
              <w:rPr>
                <w:rFonts w:hint="eastAsia" w:ascii="宋体" w:hAnsi="宋体"/>
              </w:rPr>
              <w:t>标书雷同性分析</w:t>
            </w:r>
          </w:p>
        </w:tc>
        <w:tc>
          <w:tcPr>
            <w:tcW w:w="6057" w:type="dxa"/>
            <w:vAlign w:val="center"/>
          </w:tcPr>
          <w:p w14:paraId="77BAF33E">
            <w:pPr>
              <w:adjustRightInd w:val="0"/>
              <w:snapToGrid w:val="0"/>
              <w:spacing w:line="360" w:lineRule="auto"/>
              <w:jc w:val="left"/>
              <w:textAlignment w:val="baseline"/>
              <w:rPr>
                <w:rFonts w:ascii="宋体" w:hAnsi="宋体"/>
              </w:rPr>
            </w:pPr>
            <w:r>
              <w:rPr>
                <w:rFonts w:hint="eastAsia" w:ascii="宋体" w:hAnsi="宋体"/>
              </w:rPr>
              <w:t>响应文件制作机器码不能一致，电子响应文件上传计算机的网卡MAC地址、CPU序列号和硬盘序列号等硬件信息不能相同</w:t>
            </w:r>
          </w:p>
        </w:tc>
      </w:tr>
      <w:tr w14:paraId="7360C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4" w:type="dxa"/>
            <w:gridSpan w:val="2"/>
            <w:vMerge w:val="continue"/>
            <w:vAlign w:val="center"/>
          </w:tcPr>
          <w:p w14:paraId="60A31DDD">
            <w:pPr>
              <w:widowControl/>
              <w:adjustRightInd w:val="0"/>
              <w:snapToGrid w:val="0"/>
              <w:spacing w:line="360" w:lineRule="auto"/>
              <w:jc w:val="left"/>
              <w:rPr>
                <w:rFonts w:ascii="宋体" w:hAnsi="宋体"/>
                <w:kern w:val="0"/>
              </w:rPr>
            </w:pPr>
          </w:p>
        </w:tc>
        <w:tc>
          <w:tcPr>
            <w:tcW w:w="640" w:type="dxa"/>
            <w:vMerge w:val="continue"/>
            <w:vAlign w:val="center"/>
          </w:tcPr>
          <w:p w14:paraId="762494F7">
            <w:pPr>
              <w:widowControl/>
              <w:adjustRightInd w:val="0"/>
              <w:snapToGrid w:val="0"/>
              <w:spacing w:line="360" w:lineRule="auto"/>
              <w:jc w:val="left"/>
              <w:rPr>
                <w:rFonts w:ascii="宋体" w:hAnsi="宋体"/>
                <w:kern w:val="0"/>
              </w:rPr>
            </w:pPr>
          </w:p>
        </w:tc>
        <w:tc>
          <w:tcPr>
            <w:tcW w:w="1845" w:type="dxa"/>
            <w:gridSpan w:val="2"/>
            <w:vAlign w:val="center"/>
          </w:tcPr>
          <w:p w14:paraId="4F34F97B">
            <w:pPr>
              <w:adjustRightInd w:val="0"/>
              <w:snapToGrid w:val="0"/>
              <w:spacing w:line="360" w:lineRule="auto"/>
              <w:jc w:val="center"/>
              <w:rPr>
                <w:rFonts w:ascii="宋体" w:hAnsi="宋体"/>
              </w:rPr>
            </w:pPr>
            <w:r>
              <w:rPr>
                <w:rFonts w:hint="eastAsia" w:ascii="宋体" w:hAnsi="宋体"/>
              </w:rPr>
              <w:t>磋商内容及范围</w:t>
            </w:r>
          </w:p>
        </w:tc>
        <w:tc>
          <w:tcPr>
            <w:tcW w:w="6057" w:type="dxa"/>
            <w:vAlign w:val="center"/>
          </w:tcPr>
          <w:p w14:paraId="29348B29">
            <w:pPr>
              <w:adjustRightInd w:val="0"/>
              <w:snapToGrid w:val="0"/>
              <w:spacing w:line="360" w:lineRule="auto"/>
              <w:jc w:val="left"/>
              <w:textAlignment w:val="baseline"/>
              <w:rPr>
                <w:rFonts w:ascii="宋体" w:hAnsi="宋体"/>
              </w:rPr>
            </w:pPr>
            <w:r>
              <w:rPr>
                <w:rFonts w:hint="eastAsia" w:ascii="宋体" w:hAnsi="宋体"/>
              </w:rPr>
              <w:t>符合第二章“供应商须知前附表”第1.3.1项规定</w:t>
            </w:r>
          </w:p>
        </w:tc>
      </w:tr>
      <w:tr w14:paraId="5DC5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4" w:type="dxa"/>
            <w:gridSpan w:val="2"/>
            <w:vMerge w:val="continue"/>
            <w:vAlign w:val="center"/>
          </w:tcPr>
          <w:p w14:paraId="47D63F78">
            <w:pPr>
              <w:widowControl/>
              <w:adjustRightInd w:val="0"/>
              <w:snapToGrid w:val="0"/>
              <w:spacing w:line="360" w:lineRule="auto"/>
              <w:jc w:val="left"/>
              <w:rPr>
                <w:rFonts w:ascii="宋体" w:hAnsi="宋体"/>
                <w:kern w:val="0"/>
              </w:rPr>
            </w:pPr>
          </w:p>
        </w:tc>
        <w:tc>
          <w:tcPr>
            <w:tcW w:w="640" w:type="dxa"/>
            <w:vMerge w:val="continue"/>
            <w:vAlign w:val="center"/>
          </w:tcPr>
          <w:p w14:paraId="69BA39EB">
            <w:pPr>
              <w:widowControl/>
              <w:adjustRightInd w:val="0"/>
              <w:snapToGrid w:val="0"/>
              <w:spacing w:line="360" w:lineRule="auto"/>
              <w:jc w:val="left"/>
              <w:rPr>
                <w:rFonts w:ascii="宋体" w:hAnsi="宋体"/>
                <w:kern w:val="0"/>
              </w:rPr>
            </w:pPr>
          </w:p>
        </w:tc>
        <w:tc>
          <w:tcPr>
            <w:tcW w:w="1845" w:type="dxa"/>
            <w:gridSpan w:val="2"/>
            <w:vAlign w:val="center"/>
          </w:tcPr>
          <w:p w14:paraId="55212144">
            <w:pPr>
              <w:adjustRightInd w:val="0"/>
              <w:snapToGrid w:val="0"/>
              <w:spacing w:line="360" w:lineRule="auto"/>
              <w:jc w:val="center"/>
              <w:rPr>
                <w:rFonts w:ascii="宋体" w:hAnsi="宋体"/>
              </w:rPr>
            </w:pPr>
            <w:r>
              <w:rPr>
                <w:rFonts w:hint="eastAsia" w:ascii="宋体" w:hAnsi="宋体"/>
              </w:rPr>
              <w:t>建设地点</w:t>
            </w:r>
          </w:p>
        </w:tc>
        <w:tc>
          <w:tcPr>
            <w:tcW w:w="6057" w:type="dxa"/>
            <w:vAlign w:val="center"/>
          </w:tcPr>
          <w:p w14:paraId="492131B1">
            <w:pPr>
              <w:adjustRightInd w:val="0"/>
              <w:snapToGrid w:val="0"/>
              <w:spacing w:line="360" w:lineRule="auto"/>
              <w:jc w:val="left"/>
              <w:textAlignment w:val="baseline"/>
              <w:rPr>
                <w:rFonts w:ascii="宋体" w:hAnsi="宋体"/>
              </w:rPr>
            </w:pPr>
            <w:r>
              <w:rPr>
                <w:rFonts w:hint="eastAsia" w:ascii="宋体" w:hAnsi="宋体"/>
              </w:rPr>
              <w:t>符合第二章“供应商须知前附表”第1.3.2项规定</w:t>
            </w:r>
          </w:p>
        </w:tc>
      </w:tr>
      <w:tr w14:paraId="2946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4" w:type="dxa"/>
            <w:gridSpan w:val="2"/>
            <w:vMerge w:val="continue"/>
            <w:vAlign w:val="center"/>
          </w:tcPr>
          <w:p w14:paraId="0F8AD291">
            <w:pPr>
              <w:widowControl/>
              <w:adjustRightInd w:val="0"/>
              <w:snapToGrid w:val="0"/>
              <w:spacing w:line="360" w:lineRule="auto"/>
              <w:jc w:val="left"/>
              <w:rPr>
                <w:rFonts w:ascii="宋体" w:hAnsi="宋体"/>
                <w:kern w:val="0"/>
              </w:rPr>
            </w:pPr>
          </w:p>
        </w:tc>
        <w:tc>
          <w:tcPr>
            <w:tcW w:w="640" w:type="dxa"/>
            <w:vMerge w:val="continue"/>
            <w:vAlign w:val="center"/>
          </w:tcPr>
          <w:p w14:paraId="736D0570">
            <w:pPr>
              <w:widowControl/>
              <w:adjustRightInd w:val="0"/>
              <w:snapToGrid w:val="0"/>
              <w:spacing w:line="360" w:lineRule="auto"/>
              <w:jc w:val="left"/>
              <w:rPr>
                <w:rFonts w:ascii="宋体" w:hAnsi="宋体"/>
                <w:kern w:val="0"/>
              </w:rPr>
            </w:pPr>
          </w:p>
        </w:tc>
        <w:tc>
          <w:tcPr>
            <w:tcW w:w="1845" w:type="dxa"/>
            <w:gridSpan w:val="2"/>
            <w:vAlign w:val="center"/>
          </w:tcPr>
          <w:p w14:paraId="1F5BBF3A">
            <w:pPr>
              <w:adjustRightInd w:val="0"/>
              <w:snapToGrid w:val="0"/>
              <w:spacing w:line="360" w:lineRule="auto"/>
              <w:jc w:val="center"/>
              <w:rPr>
                <w:rFonts w:ascii="宋体" w:hAnsi="宋体"/>
              </w:rPr>
            </w:pPr>
            <w:r>
              <w:rPr>
                <w:rFonts w:hint="eastAsia" w:ascii="宋体" w:hAnsi="宋体"/>
              </w:rPr>
              <w:t>工期要求</w:t>
            </w:r>
          </w:p>
        </w:tc>
        <w:tc>
          <w:tcPr>
            <w:tcW w:w="6057" w:type="dxa"/>
            <w:vAlign w:val="center"/>
          </w:tcPr>
          <w:p w14:paraId="3C63090B">
            <w:pPr>
              <w:adjustRightInd w:val="0"/>
              <w:snapToGrid w:val="0"/>
              <w:spacing w:line="360" w:lineRule="auto"/>
              <w:jc w:val="left"/>
              <w:textAlignment w:val="baseline"/>
              <w:rPr>
                <w:rFonts w:ascii="宋体" w:hAnsi="宋体"/>
              </w:rPr>
            </w:pPr>
            <w:r>
              <w:rPr>
                <w:rFonts w:hint="eastAsia" w:ascii="宋体" w:hAnsi="宋体"/>
              </w:rPr>
              <w:t>符合第二章“供应商须知前附表”第1.3.3项规定</w:t>
            </w:r>
          </w:p>
        </w:tc>
      </w:tr>
      <w:tr w14:paraId="3B077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4" w:type="dxa"/>
            <w:gridSpan w:val="2"/>
            <w:vMerge w:val="continue"/>
            <w:vAlign w:val="center"/>
          </w:tcPr>
          <w:p w14:paraId="08D4A098">
            <w:pPr>
              <w:widowControl/>
              <w:adjustRightInd w:val="0"/>
              <w:snapToGrid w:val="0"/>
              <w:spacing w:line="360" w:lineRule="auto"/>
              <w:jc w:val="left"/>
              <w:rPr>
                <w:rFonts w:ascii="宋体" w:hAnsi="宋体"/>
                <w:kern w:val="0"/>
              </w:rPr>
            </w:pPr>
          </w:p>
        </w:tc>
        <w:tc>
          <w:tcPr>
            <w:tcW w:w="640" w:type="dxa"/>
            <w:vMerge w:val="continue"/>
            <w:vAlign w:val="center"/>
          </w:tcPr>
          <w:p w14:paraId="42BDC0B3">
            <w:pPr>
              <w:widowControl/>
              <w:adjustRightInd w:val="0"/>
              <w:snapToGrid w:val="0"/>
              <w:spacing w:line="360" w:lineRule="auto"/>
              <w:jc w:val="left"/>
              <w:rPr>
                <w:rFonts w:ascii="宋体" w:hAnsi="宋体"/>
                <w:kern w:val="0"/>
              </w:rPr>
            </w:pPr>
          </w:p>
        </w:tc>
        <w:tc>
          <w:tcPr>
            <w:tcW w:w="1845" w:type="dxa"/>
            <w:gridSpan w:val="2"/>
            <w:vAlign w:val="center"/>
          </w:tcPr>
          <w:p w14:paraId="6F716B35">
            <w:pPr>
              <w:adjustRightInd w:val="0"/>
              <w:snapToGrid w:val="0"/>
              <w:spacing w:line="360" w:lineRule="auto"/>
              <w:jc w:val="center"/>
              <w:rPr>
                <w:rFonts w:ascii="宋体" w:hAnsi="宋体"/>
              </w:rPr>
            </w:pPr>
            <w:r>
              <w:rPr>
                <w:rFonts w:hint="eastAsia" w:ascii="宋体" w:hAnsi="宋体"/>
              </w:rPr>
              <w:t>质量要求</w:t>
            </w:r>
          </w:p>
        </w:tc>
        <w:tc>
          <w:tcPr>
            <w:tcW w:w="6057" w:type="dxa"/>
            <w:vAlign w:val="center"/>
          </w:tcPr>
          <w:p w14:paraId="783A1BEB">
            <w:pPr>
              <w:adjustRightInd w:val="0"/>
              <w:snapToGrid w:val="0"/>
              <w:spacing w:line="360" w:lineRule="auto"/>
              <w:jc w:val="left"/>
              <w:textAlignment w:val="baseline"/>
              <w:rPr>
                <w:rFonts w:ascii="宋体" w:hAnsi="宋体"/>
              </w:rPr>
            </w:pPr>
            <w:r>
              <w:rPr>
                <w:rFonts w:hint="eastAsia" w:ascii="宋体" w:hAnsi="宋体"/>
              </w:rPr>
              <w:t>符合第二章“供应商须知前附表”第1.3.4项规定</w:t>
            </w:r>
          </w:p>
        </w:tc>
      </w:tr>
      <w:tr w14:paraId="5AC9C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4" w:type="dxa"/>
            <w:gridSpan w:val="2"/>
            <w:vMerge w:val="continue"/>
            <w:vAlign w:val="center"/>
          </w:tcPr>
          <w:p w14:paraId="03AA5A9C">
            <w:pPr>
              <w:widowControl/>
              <w:adjustRightInd w:val="0"/>
              <w:snapToGrid w:val="0"/>
              <w:spacing w:line="360" w:lineRule="auto"/>
              <w:jc w:val="left"/>
              <w:rPr>
                <w:rFonts w:ascii="宋体" w:hAnsi="宋体"/>
                <w:kern w:val="0"/>
              </w:rPr>
            </w:pPr>
          </w:p>
        </w:tc>
        <w:tc>
          <w:tcPr>
            <w:tcW w:w="640" w:type="dxa"/>
            <w:vMerge w:val="continue"/>
            <w:vAlign w:val="center"/>
          </w:tcPr>
          <w:p w14:paraId="2C547437">
            <w:pPr>
              <w:widowControl/>
              <w:adjustRightInd w:val="0"/>
              <w:snapToGrid w:val="0"/>
              <w:spacing w:line="360" w:lineRule="auto"/>
              <w:jc w:val="left"/>
              <w:rPr>
                <w:rFonts w:ascii="宋体" w:hAnsi="宋体"/>
                <w:kern w:val="0"/>
              </w:rPr>
            </w:pPr>
          </w:p>
        </w:tc>
        <w:tc>
          <w:tcPr>
            <w:tcW w:w="1845" w:type="dxa"/>
            <w:gridSpan w:val="2"/>
            <w:vAlign w:val="center"/>
          </w:tcPr>
          <w:p w14:paraId="0458BCE3">
            <w:pPr>
              <w:adjustRightInd w:val="0"/>
              <w:snapToGrid w:val="0"/>
              <w:spacing w:line="360" w:lineRule="auto"/>
              <w:jc w:val="center"/>
              <w:rPr>
                <w:rFonts w:ascii="宋体" w:hAnsi="宋体"/>
              </w:rPr>
            </w:pPr>
            <w:r>
              <w:rPr>
                <w:rFonts w:hint="eastAsia" w:ascii="宋体" w:hAnsi="宋体"/>
              </w:rPr>
              <w:t>缺陷责任期</w:t>
            </w:r>
          </w:p>
        </w:tc>
        <w:tc>
          <w:tcPr>
            <w:tcW w:w="6057" w:type="dxa"/>
            <w:vAlign w:val="center"/>
          </w:tcPr>
          <w:p w14:paraId="5D4C83D2">
            <w:pPr>
              <w:adjustRightInd w:val="0"/>
              <w:snapToGrid w:val="0"/>
              <w:spacing w:line="360" w:lineRule="auto"/>
              <w:jc w:val="left"/>
              <w:textAlignment w:val="baseline"/>
              <w:rPr>
                <w:rFonts w:ascii="宋体" w:hAnsi="宋体"/>
              </w:rPr>
            </w:pPr>
            <w:r>
              <w:rPr>
                <w:rFonts w:hint="eastAsia" w:ascii="宋体" w:hAnsi="宋体"/>
              </w:rPr>
              <w:t>符合第二章“供应商须知前附表”第1.3.5项规定</w:t>
            </w:r>
          </w:p>
        </w:tc>
      </w:tr>
      <w:tr w14:paraId="2D59E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4" w:type="dxa"/>
            <w:gridSpan w:val="2"/>
            <w:vMerge w:val="continue"/>
            <w:vAlign w:val="center"/>
          </w:tcPr>
          <w:p w14:paraId="260BBA4C">
            <w:pPr>
              <w:widowControl/>
              <w:adjustRightInd w:val="0"/>
              <w:snapToGrid w:val="0"/>
              <w:spacing w:line="360" w:lineRule="auto"/>
              <w:jc w:val="left"/>
              <w:rPr>
                <w:rFonts w:ascii="宋体" w:hAnsi="宋体"/>
                <w:kern w:val="0"/>
              </w:rPr>
            </w:pPr>
          </w:p>
        </w:tc>
        <w:tc>
          <w:tcPr>
            <w:tcW w:w="640" w:type="dxa"/>
            <w:vMerge w:val="continue"/>
            <w:vAlign w:val="center"/>
          </w:tcPr>
          <w:p w14:paraId="006DA899">
            <w:pPr>
              <w:widowControl/>
              <w:adjustRightInd w:val="0"/>
              <w:snapToGrid w:val="0"/>
              <w:spacing w:line="360" w:lineRule="auto"/>
              <w:jc w:val="left"/>
              <w:rPr>
                <w:rFonts w:ascii="宋体" w:hAnsi="宋体"/>
                <w:kern w:val="0"/>
              </w:rPr>
            </w:pPr>
          </w:p>
        </w:tc>
        <w:tc>
          <w:tcPr>
            <w:tcW w:w="1845" w:type="dxa"/>
            <w:gridSpan w:val="2"/>
            <w:vAlign w:val="center"/>
          </w:tcPr>
          <w:p w14:paraId="0E63B252">
            <w:pPr>
              <w:adjustRightInd w:val="0"/>
              <w:snapToGrid w:val="0"/>
              <w:spacing w:line="360" w:lineRule="auto"/>
              <w:jc w:val="center"/>
              <w:rPr>
                <w:rFonts w:ascii="宋体" w:hAnsi="宋体"/>
              </w:rPr>
            </w:pPr>
            <w:r>
              <w:rPr>
                <w:rFonts w:hint="eastAsia" w:ascii="宋体" w:hAnsi="宋体"/>
              </w:rPr>
              <w:t>保修期</w:t>
            </w:r>
          </w:p>
        </w:tc>
        <w:tc>
          <w:tcPr>
            <w:tcW w:w="6057" w:type="dxa"/>
            <w:vAlign w:val="center"/>
          </w:tcPr>
          <w:p w14:paraId="57E1F6E6">
            <w:pPr>
              <w:adjustRightInd w:val="0"/>
              <w:snapToGrid w:val="0"/>
              <w:spacing w:line="360" w:lineRule="auto"/>
              <w:jc w:val="left"/>
              <w:textAlignment w:val="baseline"/>
              <w:rPr>
                <w:rFonts w:ascii="宋体" w:hAnsi="宋体"/>
              </w:rPr>
            </w:pPr>
            <w:r>
              <w:rPr>
                <w:rFonts w:hint="eastAsia" w:ascii="宋体" w:hAnsi="宋体"/>
              </w:rPr>
              <w:t>符合第二章“供应商须知前附表”第1.3.6项规定</w:t>
            </w:r>
          </w:p>
        </w:tc>
      </w:tr>
      <w:tr w14:paraId="2575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4" w:type="dxa"/>
            <w:gridSpan w:val="2"/>
            <w:vMerge w:val="continue"/>
            <w:vAlign w:val="center"/>
          </w:tcPr>
          <w:p w14:paraId="3E4AE754">
            <w:pPr>
              <w:widowControl/>
              <w:adjustRightInd w:val="0"/>
              <w:snapToGrid w:val="0"/>
              <w:spacing w:line="360" w:lineRule="auto"/>
              <w:jc w:val="left"/>
              <w:rPr>
                <w:rFonts w:ascii="宋体" w:hAnsi="宋体"/>
                <w:kern w:val="0"/>
              </w:rPr>
            </w:pPr>
          </w:p>
        </w:tc>
        <w:tc>
          <w:tcPr>
            <w:tcW w:w="640" w:type="dxa"/>
            <w:vMerge w:val="continue"/>
            <w:vAlign w:val="center"/>
          </w:tcPr>
          <w:p w14:paraId="3F271296">
            <w:pPr>
              <w:widowControl/>
              <w:adjustRightInd w:val="0"/>
              <w:snapToGrid w:val="0"/>
              <w:spacing w:line="360" w:lineRule="auto"/>
              <w:jc w:val="left"/>
              <w:rPr>
                <w:rFonts w:ascii="宋体" w:hAnsi="宋体"/>
                <w:kern w:val="0"/>
              </w:rPr>
            </w:pPr>
          </w:p>
        </w:tc>
        <w:tc>
          <w:tcPr>
            <w:tcW w:w="1845" w:type="dxa"/>
            <w:gridSpan w:val="2"/>
            <w:vAlign w:val="center"/>
          </w:tcPr>
          <w:p w14:paraId="1B0F5562">
            <w:pPr>
              <w:adjustRightInd w:val="0"/>
              <w:snapToGrid w:val="0"/>
              <w:spacing w:line="360" w:lineRule="auto"/>
              <w:jc w:val="center"/>
              <w:rPr>
                <w:rFonts w:ascii="宋体" w:hAnsi="宋体"/>
              </w:rPr>
            </w:pPr>
            <w:r>
              <w:rPr>
                <w:rFonts w:hint="eastAsia" w:ascii="宋体" w:hAnsi="宋体"/>
              </w:rPr>
              <w:t>磋商有效期</w:t>
            </w:r>
          </w:p>
        </w:tc>
        <w:tc>
          <w:tcPr>
            <w:tcW w:w="6057" w:type="dxa"/>
            <w:vAlign w:val="center"/>
          </w:tcPr>
          <w:p w14:paraId="46C0DE78">
            <w:pPr>
              <w:adjustRightInd w:val="0"/>
              <w:snapToGrid w:val="0"/>
              <w:spacing w:line="360" w:lineRule="auto"/>
              <w:jc w:val="left"/>
              <w:textAlignment w:val="baseline"/>
              <w:rPr>
                <w:rFonts w:ascii="宋体" w:hAnsi="宋体"/>
              </w:rPr>
            </w:pPr>
            <w:r>
              <w:rPr>
                <w:rFonts w:hint="eastAsia" w:ascii="宋体" w:hAnsi="宋体"/>
              </w:rPr>
              <w:t>符合第二章“供应商须知前附表”第3.3.1项规定</w:t>
            </w:r>
          </w:p>
        </w:tc>
      </w:tr>
      <w:tr w14:paraId="093AC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4" w:type="dxa"/>
            <w:gridSpan w:val="2"/>
            <w:vMerge w:val="continue"/>
            <w:vAlign w:val="center"/>
          </w:tcPr>
          <w:p w14:paraId="0875D469">
            <w:pPr>
              <w:widowControl/>
              <w:adjustRightInd w:val="0"/>
              <w:snapToGrid w:val="0"/>
              <w:spacing w:line="360" w:lineRule="auto"/>
              <w:jc w:val="left"/>
              <w:rPr>
                <w:rFonts w:ascii="宋体" w:hAnsi="宋体"/>
                <w:kern w:val="0"/>
              </w:rPr>
            </w:pPr>
          </w:p>
        </w:tc>
        <w:tc>
          <w:tcPr>
            <w:tcW w:w="640" w:type="dxa"/>
            <w:vMerge w:val="continue"/>
            <w:vAlign w:val="center"/>
          </w:tcPr>
          <w:p w14:paraId="532F19D6">
            <w:pPr>
              <w:widowControl/>
              <w:adjustRightInd w:val="0"/>
              <w:snapToGrid w:val="0"/>
              <w:spacing w:line="360" w:lineRule="auto"/>
              <w:jc w:val="left"/>
              <w:rPr>
                <w:rFonts w:ascii="宋体" w:hAnsi="宋体"/>
                <w:kern w:val="0"/>
              </w:rPr>
            </w:pPr>
          </w:p>
        </w:tc>
        <w:tc>
          <w:tcPr>
            <w:tcW w:w="1845" w:type="dxa"/>
            <w:gridSpan w:val="2"/>
            <w:vAlign w:val="center"/>
          </w:tcPr>
          <w:p w14:paraId="67B1482B">
            <w:pPr>
              <w:pStyle w:val="43"/>
              <w:snapToGrid w:val="0"/>
              <w:spacing w:line="360" w:lineRule="auto"/>
              <w:jc w:val="center"/>
              <w:rPr>
                <w:rFonts w:cs="Times New Roman"/>
                <w:color w:val="auto"/>
                <w:sz w:val="21"/>
                <w:szCs w:val="21"/>
              </w:rPr>
            </w:pPr>
            <w:r>
              <w:rPr>
                <w:rFonts w:hint="eastAsia" w:cs="Times New Roman"/>
                <w:color w:val="auto"/>
                <w:sz w:val="21"/>
                <w:szCs w:val="21"/>
              </w:rPr>
              <w:t>签字盖章</w:t>
            </w:r>
          </w:p>
        </w:tc>
        <w:tc>
          <w:tcPr>
            <w:tcW w:w="6057" w:type="dxa"/>
            <w:vAlign w:val="center"/>
          </w:tcPr>
          <w:p w14:paraId="2819C6A3">
            <w:pPr>
              <w:pStyle w:val="43"/>
              <w:snapToGrid w:val="0"/>
              <w:spacing w:line="360" w:lineRule="auto"/>
              <w:rPr>
                <w:rFonts w:cs="Times New Roman"/>
                <w:color w:val="auto"/>
                <w:sz w:val="21"/>
                <w:szCs w:val="21"/>
              </w:rPr>
            </w:pPr>
            <w:r>
              <w:rPr>
                <w:rFonts w:hint="eastAsia" w:cs="Times New Roman"/>
                <w:color w:val="auto"/>
                <w:sz w:val="21"/>
                <w:szCs w:val="21"/>
              </w:rPr>
              <w:t>符合第二章“供应商须知</w:t>
            </w:r>
            <w:r>
              <w:rPr>
                <w:rFonts w:hint="eastAsia"/>
                <w:color w:val="auto"/>
                <w:sz w:val="21"/>
                <w:szCs w:val="21"/>
              </w:rPr>
              <w:t>前附表</w:t>
            </w:r>
            <w:r>
              <w:rPr>
                <w:rFonts w:hint="eastAsia" w:cs="Times New Roman"/>
                <w:color w:val="auto"/>
                <w:sz w:val="21"/>
                <w:szCs w:val="21"/>
              </w:rPr>
              <w:t>”第3.7.3项规定</w:t>
            </w:r>
          </w:p>
        </w:tc>
      </w:tr>
      <w:tr w14:paraId="3F760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4" w:type="dxa"/>
            <w:gridSpan w:val="2"/>
            <w:vMerge w:val="continue"/>
            <w:vAlign w:val="center"/>
          </w:tcPr>
          <w:p w14:paraId="32FF5D0C">
            <w:pPr>
              <w:widowControl/>
              <w:adjustRightInd w:val="0"/>
              <w:snapToGrid w:val="0"/>
              <w:spacing w:line="360" w:lineRule="auto"/>
              <w:jc w:val="left"/>
              <w:rPr>
                <w:rFonts w:ascii="宋体" w:hAnsi="宋体"/>
                <w:kern w:val="0"/>
              </w:rPr>
            </w:pPr>
          </w:p>
        </w:tc>
        <w:tc>
          <w:tcPr>
            <w:tcW w:w="640" w:type="dxa"/>
            <w:vMerge w:val="continue"/>
            <w:vAlign w:val="center"/>
          </w:tcPr>
          <w:p w14:paraId="19BD42CF">
            <w:pPr>
              <w:widowControl/>
              <w:adjustRightInd w:val="0"/>
              <w:snapToGrid w:val="0"/>
              <w:spacing w:line="360" w:lineRule="auto"/>
              <w:jc w:val="left"/>
              <w:rPr>
                <w:rFonts w:ascii="宋体" w:hAnsi="宋体"/>
                <w:kern w:val="0"/>
              </w:rPr>
            </w:pPr>
          </w:p>
        </w:tc>
        <w:tc>
          <w:tcPr>
            <w:tcW w:w="1845" w:type="dxa"/>
            <w:gridSpan w:val="2"/>
            <w:vAlign w:val="center"/>
          </w:tcPr>
          <w:p w14:paraId="52602D48">
            <w:pPr>
              <w:adjustRightInd w:val="0"/>
              <w:snapToGrid w:val="0"/>
              <w:spacing w:line="360" w:lineRule="auto"/>
              <w:jc w:val="center"/>
              <w:rPr>
                <w:rFonts w:ascii="宋体" w:hAnsi="宋体"/>
              </w:rPr>
            </w:pPr>
            <w:r>
              <w:rPr>
                <w:rFonts w:hint="eastAsia" w:ascii="宋体" w:hAnsi="宋体"/>
              </w:rPr>
              <w:t>已标价工程量清单</w:t>
            </w:r>
          </w:p>
        </w:tc>
        <w:tc>
          <w:tcPr>
            <w:tcW w:w="6057" w:type="dxa"/>
            <w:vAlign w:val="center"/>
          </w:tcPr>
          <w:p w14:paraId="3E8BDEBC">
            <w:pPr>
              <w:adjustRightInd w:val="0"/>
              <w:snapToGrid w:val="0"/>
              <w:spacing w:line="360" w:lineRule="auto"/>
              <w:rPr>
                <w:rFonts w:ascii="宋体" w:hAnsi="宋体"/>
              </w:rPr>
            </w:pPr>
            <w:r>
              <w:rPr>
                <w:rFonts w:hint="eastAsia" w:ascii="宋体" w:hAnsi="宋体"/>
              </w:rPr>
              <w:t>符合第五章“工程量清单”给出的子目编码、子目名称、子目特征、计量单位和工程量。</w:t>
            </w:r>
          </w:p>
        </w:tc>
      </w:tr>
      <w:tr w14:paraId="1D049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4" w:type="dxa"/>
            <w:gridSpan w:val="2"/>
            <w:vMerge w:val="continue"/>
            <w:vAlign w:val="center"/>
          </w:tcPr>
          <w:p w14:paraId="13099AF6">
            <w:pPr>
              <w:widowControl/>
              <w:adjustRightInd w:val="0"/>
              <w:snapToGrid w:val="0"/>
              <w:spacing w:line="360" w:lineRule="auto"/>
              <w:jc w:val="left"/>
              <w:rPr>
                <w:rFonts w:ascii="宋体" w:hAnsi="宋体"/>
                <w:kern w:val="0"/>
              </w:rPr>
            </w:pPr>
          </w:p>
        </w:tc>
        <w:tc>
          <w:tcPr>
            <w:tcW w:w="640" w:type="dxa"/>
            <w:vMerge w:val="continue"/>
            <w:vAlign w:val="center"/>
          </w:tcPr>
          <w:p w14:paraId="60BEA7C2">
            <w:pPr>
              <w:widowControl/>
              <w:adjustRightInd w:val="0"/>
              <w:snapToGrid w:val="0"/>
              <w:spacing w:line="360" w:lineRule="auto"/>
              <w:jc w:val="left"/>
              <w:rPr>
                <w:rFonts w:ascii="宋体" w:hAnsi="宋体"/>
                <w:kern w:val="0"/>
              </w:rPr>
            </w:pPr>
          </w:p>
        </w:tc>
        <w:tc>
          <w:tcPr>
            <w:tcW w:w="1845" w:type="dxa"/>
            <w:gridSpan w:val="2"/>
            <w:vAlign w:val="center"/>
          </w:tcPr>
          <w:p w14:paraId="0BA972D4">
            <w:pPr>
              <w:adjustRightInd w:val="0"/>
              <w:snapToGrid w:val="0"/>
              <w:spacing w:line="360" w:lineRule="auto"/>
              <w:jc w:val="center"/>
              <w:rPr>
                <w:rFonts w:ascii="宋体" w:hAnsi="宋体"/>
              </w:rPr>
            </w:pPr>
            <w:r>
              <w:rPr>
                <w:rFonts w:hint="eastAsia" w:ascii="宋体" w:hAnsi="宋体"/>
              </w:rPr>
              <w:t>农民工工资支付承诺</w:t>
            </w:r>
          </w:p>
        </w:tc>
        <w:tc>
          <w:tcPr>
            <w:tcW w:w="6057" w:type="dxa"/>
            <w:vAlign w:val="center"/>
          </w:tcPr>
          <w:p w14:paraId="69D7B014">
            <w:pPr>
              <w:adjustRightInd w:val="0"/>
              <w:snapToGrid w:val="0"/>
              <w:spacing w:line="360" w:lineRule="auto"/>
              <w:rPr>
                <w:rFonts w:ascii="宋体" w:hAnsi="宋体"/>
              </w:rPr>
            </w:pPr>
            <w:r>
              <w:rPr>
                <w:rFonts w:hint="eastAsia" w:ascii="宋体" w:hAnsi="宋体"/>
              </w:rPr>
              <w:t>承诺根据国家规定按期向农民工支付工资</w:t>
            </w:r>
          </w:p>
        </w:tc>
      </w:tr>
      <w:tr w14:paraId="657C3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4" w:type="dxa"/>
            <w:gridSpan w:val="2"/>
            <w:vMerge w:val="continue"/>
            <w:vAlign w:val="center"/>
          </w:tcPr>
          <w:p w14:paraId="4F0180F4">
            <w:pPr>
              <w:widowControl/>
              <w:adjustRightInd w:val="0"/>
              <w:snapToGrid w:val="0"/>
              <w:spacing w:line="360" w:lineRule="auto"/>
              <w:jc w:val="left"/>
              <w:rPr>
                <w:rFonts w:ascii="宋体" w:hAnsi="宋体"/>
                <w:kern w:val="0"/>
              </w:rPr>
            </w:pPr>
          </w:p>
        </w:tc>
        <w:tc>
          <w:tcPr>
            <w:tcW w:w="640" w:type="dxa"/>
            <w:vMerge w:val="continue"/>
            <w:vAlign w:val="center"/>
          </w:tcPr>
          <w:p w14:paraId="6F60E7E1">
            <w:pPr>
              <w:widowControl/>
              <w:adjustRightInd w:val="0"/>
              <w:snapToGrid w:val="0"/>
              <w:spacing w:line="360" w:lineRule="auto"/>
              <w:jc w:val="left"/>
              <w:rPr>
                <w:rFonts w:ascii="宋体" w:hAnsi="宋体"/>
                <w:kern w:val="0"/>
              </w:rPr>
            </w:pPr>
          </w:p>
        </w:tc>
        <w:tc>
          <w:tcPr>
            <w:tcW w:w="1845" w:type="dxa"/>
            <w:gridSpan w:val="2"/>
            <w:vAlign w:val="center"/>
          </w:tcPr>
          <w:p w14:paraId="3A212D7F">
            <w:pPr>
              <w:adjustRightInd w:val="0"/>
              <w:snapToGrid w:val="0"/>
              <w:spacing w:line="360" w:lineRule="auto"/>
              <w:jc w:val="center"/>
              <w:rPr>
                <w:rFonts w:ascii="宋体" w:hAnsi="宋体"/>
              </w:rPr>
            </w:pPr>
            <w:r>
              <w:rPr>
                <w:rFonts w:hint="eastAsia" w:ascii="宋体" w:hAnsi="宋体"/>
              </w:rPr>
              <w:t>磋商报价</w:t>
            </w:r>
          </w:p>
        </w:tc>
        <w:tc>
          <w:tcPr>
            <w:tcW w:w="6057" w:type="dxa"/>
            <w:vAlign w:val="center"/>
          </w:tcPr>
          <w:p w14:paraId="34178836">
            <w:pPr>
              <w:adjustRightInd w:val="0"/>
              <w:snapToGrid w:val="0"/>
              <w:spacing w:line="360" w:lineRule="auto"/>
              <w:textAlignment w:val="baseline"/>
              <w:rPr>
                <w:rFonts w:ascii="宋体" w:hAnsi="宋体"/>
              </w:rPr>
            </w:pPr>
            <w:r>
              <w:rPr>
                <w:rFonts w:hint="eastAsia" w:ascii="宋体" w:hAnsi="宋体"/>
                <w:lang w:eastAsia="zh-CN"/>
              </w:rPr>
              <w:t>每轮</w:t>
            </w:r>
            <w:r>
              <w:rPr>
                <w:rFonts w:hint="eastAsia" w:ascii="宋体" w:hAnsi="宋体"/>
              </w:rPr>
              <w:t>磋商报价不得高于本项目最高限价</w:t>
            </w:r>
          </w:p>
        </w:tc>
      </w:tr>
      <w:tr w14:paraId="6AA8B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4" w:type="dxa"/>
            <w:gridSpan w:val="2"/>
            <w:vMerge w:val="continue"/>
            <w:vAlign w:val="center"/>
          </w:tcPr>
          <w:p w14:paraId="766CC6BC">
            <w:pPr>
              <w:widowControl/>
              <w:adjustRightInd w:val="0"/>
              <w:snapToGrid w:val="0"/>
              <w:spacing w:line="360" w:lineRule="auto"/>
              <w:jc w:val="left"/>
              <w:rPr>
                <w:rFonts w:ascii="宋体" w:hAnsi="宋体"/>
                <w:kern w:val="0"/>
              </w:rPr>
            </w:pPr>
          </w:p>
        </w:tc>
        <w:tc>
          <w:tcPr>
            <w:tcW w:w="640" w:type="dxa"/>
            <w:vMerge w:val="continue"/>
            <w:vAlign w:val="center"/>
          </w:tcPr>
          <w:p w14:paraId="17D4C3A4">
            <w:pPr>
              <w:widowControl/>
              <w:adjustRightInd w:val="0"/>
              <w:snapToGrid w:val="0"/>
              <w:spacing w:line="360" w:lineRule="auto"/>
              <w:jc w:val="left"/>
              <w:rPr>
                <w:rFonts w:ascii="宋体" w:hAnsi="宋体"/>
                <w:kern w:val="0"/>
              </w:rPr>
            </w:pPr>
          </w:p>
        </w:tc>
        <w:tc>
          <w:tcPr>
            <w:tcW w:w="1845" w:type="dxa"/>
            <w:gridSpan w:val="2"/>
            <w:vAlign w:val="center"/>
          </w:tcPr>
          <w:p w14:paraId="0689EDB0">
            <w:pPr>
              <w:adjustRightInd w:val="0"/>
              <w:snapToGrid w:val="0"/>
              <w:spacing w:line="360" w:lineRule="auto"/>
              <w:jc w:val="center"/>
              <w:rPr>
                <w:rFonts w:hint="eastAsia" w:ascii="宋体" w:hAnsi="宋体" w:eastAsia="宋体"/>
                <w:lang w:eastAsia="zh-CN"/>
              </w:rPr>
            </w:pPr>
            <w:r>
              <w:rPr>
                <w:rFonts w:hint="eastAsia" w:ascii="宋体" w:hAnsi="宋体"/>
                <w:lang w:eastAsia="zh-CN"/>
              </w:rPr>
              <w:t>其他情形</w:t>
            </w:r>
          </w:p>
        </w:tc>
        <w:tc>
          <w:tcPr>
            <w:tcW w:w="6057" w:type="dxa"/>
            <w:vAlign w:val="center"/>
          </w:tcPr>
          <w:p w14:paraId="35D2F4DE">
            <w:pPr>
              <w:adjustRightInd w:val="0"/>
              <w:snapToGrid w:val="0"/>
              <w:spacing w:line="360" w:lineRule="auto"/>
              <w:textAlignment w:val="baseline"/>
              <w:rPr>
                <w:rFonts w:hint="eastAsia" w:ascii="宋体" w:hAnsi="宋体"/>
                <w:lang w:eastAsia="zh-CN"/>
              </w:rPr>
            </w:pPr>
            <w:r>
              <w:rPr>
                <w:rFonts w:hint="eastAsia"/>
                <w:color w:val="auto"/>
                <w:sz w:val="21"/>
                <w:szCs w:val="21"/>
                <w:lang w:eastAsia="zh-CN"/>
              </w:rPr>
              <w:t>符合</w:t>
            </w:r>
            <w:r>
              <w:rPr>
                <w:rFonts w:hint="eastAsia"/>
                <w:color w:val="auto"/>
                <w:sz w:val="21"/>
                <w:szCs w:val="21"/>
              </w:rPr>
              <w:t>磋商文件及国家法律法规规定的其他情形</w:t>
            </w:r>
          </w:p>
        </w:tc>
      </w:tr>
      <w:tr w14:paraId="7501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34" w:type="dxa"/>
            <w:gridSpan w:val="3"/>
            <w:vAlign w:val="center"/>
          </w:tcPr>
          <w:p w14:paraId="11F2D15C">
            <w:pPr>
              <w:widowControl/>
              <w:adjustRightInd w:val="0"/>
              <w:snapToGrid w:val="0"/>
              <w:spacing w:line="360" w:lineRule="auto"/>
              <w:jc w:val="center"/>
              <w:rPr>
                <w:rFonts w:ascii="宋体" w:hAnsi="宋体"/>
                <w:kern w:val="0"/>
              </w:rPr>
            </w:pPr>
            <w:r>
              <w:rPr>
                <w:rFonts w:hint="eastAsia" w:ascii="宋体" w:hAnsi="宋体"/>
              </w:rPr>
              <w:t>2.2磋商</w:t>
            </w:r>
          </w:p>
        </w:tc>
        <w:tc>
          <w:tcPr>
            <w:tcW w:w="7902" w:type="dxa"/>
            <w:gridSpan w:val="3"/>
            <w:vAlign w:val="center"/>
          </w:tcPr>
          <w:p w14:paraId="000D5EEE">
            <w:pPr>
              <w:adjustRightInd w:val="0"/>
              <w:snapToGrid w:val="0"/>
              <w:spacing w:line="360" w:lineRule="auto"/>
              <w:textAlignment w:val="baseline"/>
              <w:rPr>
                <w:rFonts w:ascii="宋体" w:hAnsi="宋体"/>
              </w:rPr>
            </w:pPr>
            <w:r>
              <w:rPr>
                <w:rFonts w:hint="eastAsia" w:ascii="宋体" w:hAnsi="宋体"/>
              </w:rPr>
              <w:t>1.磋商小组应根据磋商文件内容集中与通过以上评审的供应商分别进行磋商，磋商结束后，要求其在规定时间内提交最后报价。</w:t>
            </w:r>
            <w:r>
              <w:rPr>
                <w:rFonts w:hint="eastAsia" w:ascii="宋体" w:hAnsi="宋体"/>
                <w:lang w:eastAsia="zh-CN"/>
              </w:rPr>
              <w:t>建议</w:t>
            </w:r>
            <w:r>
              <w:rPr>
                <w:rFonts w:hint="eastAsia" w:ascii="宋体" w:hAnsi="宋体"/>
              </w:rPr>
              <w:t>“规定时间”为30分钟，若交易系统故障导致供应商无法上传报价的情况除外。</w:t>
            </w:r>
          </w:p>
          <w:p w14:paraId="1FACD178">
            <w:pPr>
              <w:adjustRightInd w:val="0"/>
              <w:snapToGrid w:val="0"/>
              <w:spacing w:line="360" w:lineRule="auto"/>
              <w:textAlignment w:val="baseline"/>
              <w:rPr>
                <w:rFonts w:ascii="宋体" w:hAnsi="宋体"/>
              </w:rPr>
            </w:pPr>
            <w:r>
              <w:rPr>
                <w:rFonts w:hint="eastAsia" w:ascii="宋体" w:hAnsi="宋体"/>
              </w:rPr>
              <w:t>2.供应商对所参加磋商项目根据市场行情自主报价，分</w:t>
            </w:r>
            <w:r>
              <w:rPr>
                <w:rFonts w:hint="eastAsia" w:ascii="宋体" w:hAnsi="宋体"/>
                <w:lang w:eastAsia="zh-CN"/>
              </w:rPr>
              <w:t>两</w:t>
            </w:r>
            <w:r>
              <w:rPr>
                <w:rFonts w:hint="eastAsia" w:ascii="宋体" w:hAnsi="宋体"/>
              </w:rPr>
              <w:t>次报价，</w:t>
            </w:r>
            <w:r>
              <w:rPr>
                <w:rFonts w:hint="eastAsia" w:ascii="宋体" w:hAnsi="宋体"/>
                <w:lang w:eastAsia="zh-CN"/>
              </w:rPr>
              <w:t>第</w:t>
            </w:r>
            <w:r>
              <w:rPr>
                <w:rFonts w:hint="eastAsia" w:ascii="宋体" w:hAnsi="宋体"/>
              </w:rPr>
              <w:t>一次报价须按照磋商文件要求在响应文件中填报，第二次报价在磋商中填报。磋商小组可根据磋商情况增加磋商轮数（不超过3轮次），但应给予所有参加磋商的供应商平等的磋商机会。响应性文件中报价为第一轮次报价，以后轮次报价不得高于上一轮次报价（除竞争性磋商文件有实质性变动外），否则将被视为未实质性响应竞争性磋商文件。</w:t>
            </w:r>
            <w:r>
              <w:rPr>
                <w:rFonts w:hint="eastAsia" w:ascii="宋体" w:hAnsi="宋体"/>
                <w:b/>
                <w:bCs/>
              </w:rPr>
              <w:t>供应商</w:t>
            </w:r>
            <w:r>
              <w:rPr>
                <w:rFonts w:hint="eastAsia" w:ascii="宋体" w:hAnsi="宋体"/>
                <w:b/>
                <w:bCs/>
                <w:lang w:eastAsia="zh-CN"/>
              </w:rPr>
              <w:t>自行关注系统二次报价发起时间，</w:t>
            </w:r>
            <w:r>
              <w:rPr>
                <w:rFonts w:hint="eastAsia" w:ascii="宋体" w:hAnsi="宋体"/>
                <w:b/>
                <w:bCs/>
              </w:rPr>
              <w:t>未在规定时间提交最后报价的，视为退出磋商。</w:t>
            </w:r>
          </w:p>
          <w:p w14:paraId="7A69F1D5">
            <w:pPr>
              <w:adjustRightInd w:val="0"/>
              <w:snapToGrid w:val="0"/>
              <w:spacing w:line="360" w:lineRule="auto"/>
              <w:textAlignment w:val="baseline"/>
              <w:rPr>
                <w:rFonts w:ascii="宋体" w:hAnsi="宋体"/>
              </w:rPr>
            </w:pPr>
            <w:r>
              <w:rPr>
                <w:rFonts w:hint="eastAsia" w:ascii="宋体" w:hAnsi="宋体"/>
              </w:rPr>
              <w:t>3.经磋商确定最终采购需求（若有变动）和提交最后报价的供应商后，由磋商小组采用综合评分法对提交最后报价的供应商的响应文件和最后报价按照本章第2.3款内容进行详细性评审。</w:t>
            </w:r>
          </w:p>
        </w:tc>
      </w:tr>
      <w:bookmarkEnd w:id="953"/>
      <w:tr w14:paraId="1A613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1" w:type="dxa"/>
            <w:tcBorders>
              <w:top w:val="single" w:color="auto" w:sz="4" w:space="0"/>
              <w:left w:val="single" w:color="auto" w:sz="4" w:space="0"/>
              <w:bottom w:val="single" w:color="auto" w:sz="4" w:space="0"/>
              <w:right w:val="single" w:color="auto" w:sz="4" w:space="0"/>
            </w:tcBorders>
            <w:vAlign w:val="center"/>
          </w:tcPr>
          <w:p w14:paraId="58DBB20E">
            <w:pPr>
              <w:adjustRightInd w:val="0"/>
              <w:spacing w:line="360" w:lineRule="auto"/>
              <w:jc w:val="center"/>
              <w:rPr>
                <w:rFonts w:ascii="宋体" w:hAnsi="宋体"/>
                <w:b/>
              </w:rPr>
            </w:pPr>
            <w:bookmarkStart w:id="954" w:name="_Hlk129683989"/>
            <w:r>
              <w:rPr>
                <w:rFonts w:hint="eastAsia" w:ascii="宋体" w:hAnsi="宋体"/>
                <w:b/>
              </w:rPr>
              <w:t>条款号</w:t>
            </w:r>
          </w:p>
        </w:tc>
        <w:tc>
          <w:tcPr>
            <w:tcW w:w="1760" w:type="dxa"/>
            <w:gridSpan w:val="3"/>
            <w:tcBorders>
              <w:top w:val="single" w:color="auto" w:sz="4" w:space="0"/>
              <w:left w:val="single" w:color="auto" w:sz="4" w:space="0"/>
              <w:bottom w:val="single" w:color="auto" w:sz="4" w:space="0"/>
              <w:right w:val="single" w:color="auto" w:sz="4" w:space="0"/>
            </w:tcBorders>
            <w:vAlign w:val="center"/>
          </w:tcPr>
          <w:p w14:paraId="003A15B9">
            <w:pPr>
              <w:adjustRightInd w:val="0"/>
              <w:spacing w:line="360" w:lineRule="auto"/>
              <w:jc w:val="center"/>
              <w:rPr>
                <w:rFonts w:ascii="宋体" w:hAnsi="宋体"/>
                <w:b/>
              </w:rPr>
            </w:pPr>
            <w:r>
              <w:rPr>
                <w:rFonts w:hint="eastAsia" w:ascii="宋体" w:hAnsi="宋体"/>
                <w:b/>
              </w:rPr>
              <w:t>条款内容</w:t>
            </w:r>
          </w:p>
        </w:tc>
        <w:tc>
          <w:tcPr>
            <w:tcW w:w="6805" w:type="dxa"/>
            <w:gridSpan w:val="2"/>
            <w:tcBorders>
              <w:top w:val="single" w:color="auto" w:sz="4" w:space="0"/>
              <w:left w:val="single" w:color="auto" w:sz="4" w:space="0"/>
              <w:bottom w:val="single" w:color="auto" w:sz="4" w:space="0"/>
              <w:right w:val="single" w:color="auto" w:sz="4" w:space="0"/>
            </w:tcBorders>
            <w:vAlign w:val="center"/>
          </w:tcPr>
          <w:p w14:paraId="568FEE59">
            <w:pPr>
              <w:adjustRightInd w:val="0"/>
              <w:spacing w:line="360" w:lineRule="auto"/>
              <w:jc w:val="center"/>
              <w:rPr>
                <w:rFonts w:ascii="宋体" w:hAnsi="宋体"/>
                <w:b/>
              </w:rPr>
            </w:pPr>
            <w:r>
              <w:rPr>
                <w:rFonts w:hint="eastAsia" w:ascii="宋体" w:hAnsi="宋体"/>
                <w:b/>
              </w:rPr>
              <w:t>编列内容</w:t>
            </w:r>
          </w:p>
        </w:tc>
      </w:tr>
      <w:tr w14:paraId="64D76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1" w:type="dxa"/>
            <w:tcBorders>
              <w:top w:val="single" w:color="auto" w:sz="4" w:space="0"/>
              <w:left w:val="single" w:color="auto" w:sz="4" w:space="0"/>
              <w:bottom w:val="single" w:color="auto" w:sz="4" w:space="0"/>
              <w:right w:val="single" w:color="auto" w:sz="4" w:space="0"/>
            </w:tcBorders>
            <w:vAlign w:val="center"/>
          </w:tcPr>
          <w:p w14:paraId="3EF37943">
            <w:pPr>
              <w:adjustRightInd w:val="0"/>
              <w:spacing w:line="360" w:lineRule="auto"/>
              <w:jc w:val="center"/>
              <w:rPr>
                <w:rFonts w:ascii="宋体" w:hAnsi="宋体"/>
                <w:b/>
              </w:rPr>
            </w:pPr>
            <w:r>
              <w:rPr>
                <w:rFonts w:hint="eastAsia" w:ascii="宋体" w:hAnsi="宋体"/>
                <w:b/>
              </w:rPr>
              <w:t>2.3</w:t>
            </w:r>
          </w:p>
        </w:tc>
        <w:tc>
          <w:tcPr>
            <w:tcW w:w="1760" w:type="dxa"/>
            <w:gridSpan w:val="3"/>
            <w:tcBorders>
              <w:top w:val="single" w:color="auto" w:sz="4" w:space="0"/>
              <w:left w:val="single" w:color="auto" w:sz="4" w:space="0"/>
              <w:bottom w:val="single" w:color="auto" w:sz="4" w:space="0"/>
              <w:right w:val="single" w:color="auto" w:sz="4" w:space="0"/>
            </w:tcBorders>
            <w:vAlign w:val="center"/>
          </w:tcPr>
          <w:p w14:paraId="0BA627AE">
            <w:pPr>
              <w:widowControl/>
              <w:spacing w:line="360" w:lineRule="auto"/>
              <w:jc w:val="center"/>
              <w:rPr>
                <w:rFonts w:ascii="宋体" w:hAnsi="宋体"/>
              </w:rPr>
            </w:pPr>
            <w:r>
              <w:rPr>
                <w:rFonts w:hint="eastAsia" w:ascii="宋体" w:hAnsi="宋体"/>
                <w:kern w:val="0"/>
              </w:rPr>
              <w:t>分值构成</w:t>
            </w:r>
          </w:p>
          <w:p w14:paraId="49E26632">
            <w:pPr>
              <w:widowControl/>
              <w:spacing w:line="360" w:lineRule="auto"/>
              <w:jc w:val="center"/>
              <w:rPr>
                <w:rFonts w:ascii="宋体" w:hAnsi="宋体"/>
                <w:b/>
              </w:rPr>
            </w:pPr>
            <w:r>
              <w:rPr>
                <w:rFonts w:hint="eastAsia" w:ascii="宋体" w:hAnsi="宋体"/>
                <w:kern w:val="0"/>
              </w:rPr>
              <w:t>(总分100分)</w:t>
            </w:r>
          </w:p>
        </w:tc>
        <w:tc>
          <w:tcPr>
            <w:tcW w:w="6805" w:type="dxa"/>
            <w:gridSpan w:val="2"/>
            <w:tcBorders>
              <w:top w:val="single" w:color="auto" w:sz="4" w:space="0"/>
              <w:left w:val="single" w:color="auto" w:sz="4" w:space="0"/>
              <w:bottom w:val="single" w:color="auto" w:sz="4" w:space="0"/>
              <w:right w:val="single" w:color="auto" w:sz="4" w:space="0"/>
            </w:tcBorders>
            <w:vAlign w:val="center"/>
          </w:tcPr>
          <w:p w14:paraId="56D188D6">
            <w:pPr>
              <w:adjustRightInd w:val="0"/>
              <w:spacing w:line="360" w:lineRule="auto"/>
              <w:jc w:val="left"/>
              <w:rPr>
                <w:rFonts w:ascii="宋体" w:hAnsi="宋体"/>
                <w:bCs/>
                <w:kern w:val="0"/>
              </w:rPr>
            </w:pPr>
            <w:r>
              <w:rPr>
                <w:rFonts w:hint="eastAsia" w:ascii="宋体" w:hAnsi="宋体"/>
                <w:bCs/>
                <w:kern w:val="0"/>
              </w:rPr>
              <w:t>磋商报价：</w:t>
            </w:r>
            <w:r>
              <w:rPr>
                <w:rFonts w:hint="eastAsia" w:ascii="宋体" w:hAnsi="宋体"/>
                <w:bCs/>
                <w:kern w:val="0"/>
                <w:lang w:val="en-US" w:eastAsia="zh-CN"/>
              </w:rPr>
              <w:t>40</w:t>
            </w:r>
            <w:r>
              <w:rPr>
                <w:rFonts w:hint="eastAsia" w:ascii="宋体" w:hAnsi="宋体"/>
                <w:bCs/>
                <w:kern w:val="0"/>
              </w:rPr>
              <w:t>分</w:t>
            </w:r>
          </w:p>
          <w:p w14:paraId="46355E70">
            <w:pPr>
              <w:adjustRightInd w:val="0"/>
              <w:spacing w:line="360" w:lineRule="auto"/>
              <w:jc w:val="left"/>
              <w:rPr>
                <w:rFonts w:ascii="宋体" w:hAnsi="宋体"/>
                <w:bCs/>
                <w:kern w:val="0"/>
              </w:rPr>
            </w:pPr>
            <w:r>
              <w:rPr>
                <w:rFonts w:hint="eastAsia" w:ascii="宋体" w:hAnsi="宋体"/>
                <w:bCs/>
                <w:kern w:val="0"/>
              </w:rPr>
              <w:t>技术部分：</w:t>
            </w:r>
            <w:r>
              <w:rPr>
                <w:rFonts w:hint="eastAsia" w:ascii="宋体" w:hAnsi="宋体"/>
                <w:bCs/>
                <w:kern w:val="0"/>
                <w:lang w:val="en-US" w:eastAsia="zh-CN"/>
              </w:rPr>
              <w:t>35</w:t>
            </w:r>
            <w:r>
              <w:rPr>
                <w:rFonts w:hint="eastAsia" w:ascii="宋体" w:hAnsi="宋体"/>
                <w:bCs/>
                <w:kern w:val="0"/>
              </w:rPr>
              <w:t>分</w:t>
            </w:r>
          </w:p>
          <w:p w14:paraId="6C595499">
            <w:pPr>
              <w:adjustRightInd w:val="0"/>
              <w:spacing w:line="360" w:lineRule="auto"/>
              <w:jc w:val="left"/>
              <w:rPr>
                <w:rFonts w:ascii="宋体" w:hAnsi="宋体"/>
                <w:b/>
              </w:rPr>
            </w:pPr>
            <w:r>
              <w:rPr>
                <w:rFonts w:hint="eastAsia" w:ascii="宋体" w:hAnsi="宋体"/>
                <w:bCs/>
                <w:kern w:val="0"/>
              </w:rPr>
              <w:t>商务部分：</w:t>
            </w:r>
            <w:r>
              <w:rPr>
                <w:rFonts w:ascii="宋体" w:hAnsi="宋体"/>
                <w:bCs/>
                <w:kern w:val="0"/>
              </w:rPr>
              <w:t>25</w:t>
            </w:r>
            <w:r>
              <w:rPr>
                <w:rFonts w:hint="eastAsia" w:ascii="宋体" w:hAnsi="宋体"/>
                <w:bCs/>
                <w:kern w:val="0"/>
              </w:rPr>
              <w:t>分</w:t>
            </w:r>
          </w:p>
        </w:tc>
      </w:tr>
      <w:tr w14:paraId="793C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1" w:type="dxa"/>
            <w:tcBorders>
              <w:top w:val="single" w:color="auto" w:sz="4" w:space="0"/>
              <w:left w:val="single" w:color="auto" w:sz="4" w:space="0"/>
              <w:bottom w:val="single" w:color="auto" w:sz="4" w:space="0"/>
              <w:right w:val="single" w:color="auto" w:sz="4" w:space="0"/>
            </w:tcBorders>
            <w:vAlign w:val="center"/>
          </w:tcPr>
          <w:p w14:paraId="336B9F3C">
            <w:pPr>
              <w:adjustRightInd w:val="0"/>
              <w:spacing w:line="360" w:lineRule="auto"/>
              <w:jc w:val="center"/>
              <w:rPr>
                <w:rFonts w:ascii="宋体" w:hAnsi="宋体"/>
                <w:bCs/>
              </w:rPr>
            </w:pPr>
            <w:r>
              <w:rPr>
                <w:rFonts w:hint="eastAsia" w:ascii="宋体" w:hAnsi="宋体"/>
                <w:bCs/>
              </w:rPr>
              <w:t>2.3.1（1）</w:t>
            </w:r>
          </w:p>
        </w:tc>
        <w:tc>
          <w:tcPr>
            <w:tcW w:w="1760" w:type="dxa"/>
            <w:gridSpan w:val="3"/>
            <w:tcBorders>
              <w:top w:val="single" w:color="auto" w:sz="4" w:space="0"/>
              <w:left w:val="single" w:color="auto" w:sz="4" w:space="0"/>
              <w:bottom w:val="single" w:color="auto" w:sz="4" w:space="0"/>
              <w:right w:val="single" w:color="auto" w:sz="4" w:space="0"/>
            </w:tcBorders>
            <w:vAlign w:val="center"/>
          </w:tcPr>
          <w:p w14:paraId="04274044">
            <w:pPr>
              <w:adjustRightInd w:val="0"/>
              <w:spacing w:line="360" w:lineRule="auto"/>
              <w:jc w:val="center"/>
              <w:rPr>
                <w:rFonts w:ascii="宋体" w:hAnsi="宋体"/>
                <w:bCs/>
              </w:rPr>
            </w:pPr>
            <w:r>
              <w:rPr>
                <w:rFonts w:hint="eastAsia" w:ascii="宋体" w:hAnsi="宋体"/>
                <w:bCs/>
              </w:rPr>
              <w:t>磋商报价</w:t>
            </w:r>
          </w:p>
          <w:p w14:paraId="5827321F">
            <w:pPr>
              <w:adjustRightInd w:val="0"/>
              <w:spacing w:line="360" w:lineRule="auto"/>
              <w:jc w:val="center"/>
              <w:rPr>
                <w:rFonts w:ascii="宋体" w:hAnsi="宋体"/>
                <w:bCs/>
              </w:rPr>
            </w:pPr>
            <w:r>
              <w:rPr>
                <w:rFonts w:hint="eastAsia" w:ascii="宋体" w:hAnsi="宋体"/>
                <w:bCs/>
                <w:lang w:val="en-US" w:eastAsia="zh-CN"/>
              </w:rPr>
              <w:t>40</w:t>
            </w:r>
            <w:r>
              <w:rPr>
                <w:rFonts w:hint="eastAsia" w:ascii="宋体" w:hAnsi="宋体"/>
                <w:bCs/>
              </w:rPr>
              <w:t>分</w:t>
            </w:r>
          </w:p>
        </w:tc>
        <w:tc>
          <w:tcPr>
            <w:tcW w:w="6805" w:type="dxa"/>
            <w:gridSpan w:val="2"/>
            <w:tcBorders>
              <w:top w:val="single" w:color="auto" w:sz="4" w:space="0"/>
              <w:left w:val="single" w:color="auto" w:sz="4" w:space="0"/>
              <w:bottom w:val="single" w:color="auto" w:sz="4" w:space="0"/>
              <w:right w:val="single" w:color="auto" w:sz="4" w:space="0"/>
            </w:tcBorders>
            <w:vAlign w:val="center"/>
          </w:tcPr>
          <w:p w14:paraId="47904672">
            <w:pPr>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Times New Roman"/>
                <w:bCs/>
                <w:lang w:eastAsia="zh-CN"/>
              </w:rPr>
            </w:pPr>
            <w:r>
              <w:rPr>
                <w:rFonts w:hint="eastAsia" w:ascii="宋体" w:hAnsi="宋体" w:eastAsia="宋体" w:cs="Times New Roman"/>
                <w:bCs/>
                <w:lang w:eastAsia="zh-CN"/>
              </w:rPr>
              <w:t>价格分统一采用低价优先法，即满足竞争性磋商文件要求且磋商报价最低的磋商报价为评标基准价，其价格分为满分</w:t>
            </w:r>
            <w:r>
              <w:rPr>
                <w:rFonts w:hint="eastAsia" w:ascii="宋体" w:hAnsi="宋体" w:cs="Times New Roman"/>
                <w:bCs/>
                <w:lang w:val="en-US" w:eastAsia="zh-CN"/>
              </w:rPr>
              <w:t>40</w:t>
            </w:r>
            <w:r>
              <w:rPr>
                <w:rFonts w:hint="eastAsia" w:ascii="宋体" w:hAnsi="宋体" w:eastAsia="宋体" w:cs="Times New Roman"/>
                <w:bCs/>
                <w:lang w:eastAsia="zh-CN"/>
              </w:rPr>
              <w:t>分。其他供应商的价格分统一按照下列公式计算：</w:t>
            </w:r>
          </w:p>
          <w:p w14:paraId="745CFBD7">
            <w:pPr>
              <w:pageBreakBefore w:val="0"/>
              <w:widowControl w:val="0"/>
              <w:kinsoku/>
              <w:wordWrap/>
              <w:overflowPunct/>
              <w:topLinePunct w:val="0"/>
              <w:autoSpaceDE/>
              <w:autoSpaceDN/>
              <w:bidi w:val="0"/>
              <w:adjustRightInd w:val="0"/>
              <w:snapToGrid w:val="0"/>
              <w:spacing w:line="360" w:lineRule="auto"/>
              <w:jc w:val="left"/>
              <w:textAlignment w:val="auto"/>
              <w:rPr>
                <w:rFonts w:hint="default" w:ascii="宋体" w:hAnsi="宋体" w:eastAsia="宋体" w:cs="Times New Roman"/>
                <w:bCs/>
                <w:lang w:val="en-US" w:eastAsia="zh-CN"/>
              </w:rPr>
            </w:pPr>
            <w:r>
              <w:rPr>
                <w:rFonts w:hint="eastAsia" w:ascii="宋体" w:hAnsi="宋体" w:eastAsia="宋体" w:cs="Times New Roman"/>
                <w:bCs/>
                <w:lang w:eastAsia="zh-CN"/>
              </w:rPr>
              <w:t>磋商报价得分＝（评标基准价/磋商报价）×</w:t>
            </w:r>
            <w:r>
              <w:rPr>
                <w:rFonts w:hint="eastAsia" w:ascii="宋体" w:hAnsi="宋体" w:cs="Times New Roman"/>
                <w:bCs/>
                <w:lang w:val="en-US" w:eastAsia="zh-CN"/>
              </w:rPr>
              <w:t>40</w:t>
            </w:r>
            <w:r>
              <w:rPr>
                <w:rFonts w:hint="eastAsia" w:ascii="宋体" w:hAnsi="宋体" w:eastAsia="宋体" w:cs="Times New Roman"/>
                <w:bCs/>
                <w:lang w:eastAsia="zh-CN"/>
              </w:rPr>
              <w:t>×</w:t>
            </w:r>
            <w:r>
              <w:rPr>
                <w:rFonts w:hint="eastAsia" w:ascii="宋体" w:hAnsi="宋体" w:cs="Times New Roman"/>
                <w:bCs/>
                <w:lang w:val="en-US" w:eastAsia="zh-CN"/>
              </w:rPr>
              <w:t>100%</w:t>
            </w:r>
          </w:p>
          <w:p w14:paraId="51EE409C">
            <w:pPr>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Times New Roman"/>
                <w:b/>
                <w:bCs w:val="0"/>
                <w:lang w:val="en-US" w:eastAsia="zh-CN"/>
              </w:rPr>
            </w:pPr>
            <w:bookmarkStart w:id="955" w:name="_Toc7071"/>
            <w:r>
              <w:rPr>
                <w:rFonts w:hint="eastAsia" w:ascii="宋体" w:hAnsi="宋体" w:eastAsia="宋体" w:cs="Times New Roman"/>
                <w:b/>
                <w:bCs w:val="0"/>
                <w:lang w:val="en-US" w:eastAsia="zh-CN"/>
              </w:rPr>
              <w:t>本项目专门面向中小企业采购，投标价格不予扣除。</w:t>
            </w:r>
            <w:bookmarkEnd w:id="955"/>
          </w:p>
          <w:p w14:paraId="04E3231F">
            <w:pPr>
              <w:pageBreakBefore w:val="0"/>
              <w:widowControl w:val="0"/>
              <w:kinsoku/>
              <w:wordWrap/>
              <w:overflowPunct/>
              <w:topLinePunct w:val="0"/>
              <w:autoSpaceDE/>
              <w:autoSpaceDN/>
              <w:bidi w:val="0"/>
              <w:adjustRightInd w:val="0"/>
              <w:snapToGrid w:val="0"/>
              <w:spacing w:line="360" w:lineRule="auto"/>
              <w:jc w:val="left"/>
              <w:textAlignment w:val="auto"/>
              <w:rPr>
                <w:rFonts w:ascii="宋体" w:hAnsi="宋体"/>
                <w:bCs/>
              </w:rPr>
            </w:pPr>
            <w:r>
              <w:rPr>
                <w:rFonts w:hint="eastAsia" w:ascii="宋体" w:hAnsi="宋体" w:eastAsia="宋体" w:cs="Times New Roman"/>
                <w:bCs/>
                <w:lang w:eastAsia="zh-CN"/>
              </w:rPr>
              <w:t>注：评审小组认为供应商的报价明显低于其他通过初步审查供应商的报价，有可能影响工程质量或者不能诚信履约的，应当要求其在评审过程中合理的时间内提供书面说明，必要时提交相关证明材料；供应商不能证明其报价合理性的，评审小组应当将其作为无效响应处理。</w:t>
            </w:r>
          </w:p>
        </w:tc>
      </w:tr>
      <w:tr w14:paraId="35256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871" w:type="dxa"/>
            <w:vMerge w:val="restart"/>
            <w:tcBorders>
              <w:top w:val="nil"/>
              <w:left w:val="single" w:color="auto" w:sz="4" w:space="0"/>
              <w:bottom w:val="single" w:color="auto" w:sz="4" w:space="0"/>
              <w:right w:val="single" w:color="auto" w:sz="4" w:space="0"/>
            </w:tcBorders>
            <w:vAlign w:val="center"/>
          </w:tcPr>
          <w:p w14:paraId="4F0E8031">
            <w:pPr>
              <w:adjustRightInd w:val="0"/>
              <w:spacing w:line="360" w:lineRule="auto"/>
              <w:jc w:val="center"/>
              <w:rPr>
                <w:rFonts w:ascii="宋体" w:hAnsi="宋体"/>
                <w:bCs/>
              </w:rPr>
            </w:pPr>
            <w:r>
              <w:rPr>
                <w:rFonts w:hint="eastAsia" w:ascii="宋体" w:hAnsi="宋体"/>
                <w:bCs/>
              </w:rPr>
              <w:t>2.3.1（2）</w:t>
            </w:r>
          </w:p>
        </w:tc>
        <w:tc>
          <w:tcPr>
            <w:tcW w:w="663" w:type="dxa"/>
            <w:gridSpan w:val="2"/>
            <w:vMerge w:val="restart"/>
            <w:tcBorders>
              <w:top w:val="nil"/>
              <w:left w:val="single" w:color="auto" w:sz="4" w:space="0"/>
              <w:bottom w:val="single" w:color="auto" w:sz="4" w:space="0"/>
              <w:right w:val="single" w:color="auto" w:sz="4" w:space="0"/>
            </w:tcBorders>
            <w:vAlign w:val="center"/>
          </w:tcPr>
          <w:p w14:paraId="42582998">
            <w:pPr>
              <w:adjustRightInd w:val="0"/>
              <w:spacing w:line="360" w:lineRule="auto"/>
              <w:jc w:val="center"/>
              <w:rPr>
                <w:rFonts w:ascii="宋体" w:hAnsi="宋体"/>
                <w:bCs/>
              </w:rPr>
            </w:pPr>
            <w:r>
              <w:rPr>
                <w:rFonts w:hint="eastAsia" w:ascii="宋体" w:hAnsi="宋体"/>
                <w:bCs/>
              </w:rPr>
              <w:t>技术评分标准</w:t>
            </w:r>
            <w:r>
              <w:rPr>
                <w:rFonts w:hint="eastAsia" w:ascii="宋体" w:hAnsi="宋体"/>
                <w:bCs/>
                <w:lang w:val="en-US" w:eastAsia="zh-CN"/>
              </w:rPr>
              <w:t>35</w:t>
            </w:r>
            <w:r>
              <w:rPr>
                <w:rFonts w:hint="eastAsia" w:ascii="宋体" w:hAnsi="宋体"/>
                <w:bCs/>
              </w:rPr>
              <w:t>分</w:t>
            </w:r>
          </w:p>
        </w:tc>
        <w:tc>
          <w:tcPr>
            <w:tcW w:w="1097" w:type="dxa"/>
            <w:tcBorders>
              <w:top w:val="single" w:color="auto" w:sz="4" w:space="0"/>
              <w:left w:val="single" w:color="auto" w:sz="4" w:space="0"/>
              <w:bottom w:val="single" w:color="auto" w:sz="4" w:space="0"/>
              <w:right w:val="single" w:color="auto" w:sz="4" w:space="0"/>
            </w:tcBorders>
            <w:vAlign w:val="center"/>
          </w:tcPr>
          <w:p w14:paraId="705A68B6">
            <w:pPr>
              <w:adjustRightInd w:val="0"/>
              <w:spacing w:line="360" w:lineRule="auto"/>
              <w:jc w:val="center"/>
              <w:textAlignment w:val="baseline"/>
              <w:rPr>
                <w:rFonts w:ascii="宋体" w:hAnsi="宋体" w:cs="宋体"/>
              </w:rPr>
            </w:pPr>
            <w:r>
              <w:rPr>
                <w:rFonts w:hint="eastAsia" w:ascii="宋体" w:hAnsi="宋体" w:cs="宋体"/>
              </w:rPr>
              <w:t>1、内容完整性和编制水平</w:t>
            </w:r>
          </w:p>
          <w:p w14:paraId="113BCCD8">
            <w:pPr>
              <w:adjustRightInd w:val="0"/>
              <w:spacing w:line="360" w:lineRule="auto"/>
              <w:jc w:val="center"/>
              <w:textAlignment w:val="baseline"/>
              <w:rPr>
                <w:rFonts w:ascii="宋体" w:hAnsi="宋体" w:cs="宋体"/>
              </w:rPr>
            </w:pPr>
            <w:r>
              <w:rPr>
                <w:rFonts w:hint="eastAsia" w:ascii="宋体" w:hAnsi="宋体" w:cs="宋体"/>
                <w:lang w:val="en-US" w:eastAsia="zh-CN"/>
              </w:rPr>
              <w:t>4</w:t>
            </w:r>
            <w:r>
              <w:rPr>
                <w:rFonts w:hint="eastAsia" w:ascii="宋体" w:hAnsi="宋体" w:cs="宋体"/>
              </w:rPr>
              <w:t>分</w:t>
            </w:r>
          </w:p>
        </w:tc>
        <w:tc>
          <w:tcPr>
            <w:tcW w:w="6805" w:type="dxa"/>
            <w:gridSpan w:val="2"/>
            <w:tcBorders>
              <w:top w:val="single" w:color="auto" w:sz="4" w:space="0"/>
              <w:left w:val="single" w:color="auto" w:sz="4" w:space="0"/>
              <w:bottom w:val="single" w:color="auto" w:sz="4" w:space="0"/>
              <w:right w:val="single" w:color="auto" w:sz="4" w:space="0"/>
            </w:tcBorders>
            <w:vAlign w:val="center"/>
          </w:tcPr>
          <w:p w14:paraId="3060F9D5">
            <w:pPr>
              <w:widowControl/>
              <w:spacing w:line="360" w:lineRule="auto"/>
              <w:rPr>
                <w:rFonts w:ascii="宋体" w:hAnsi="宋体" w:cs="宋体"/>
              </w:rPr>
            </w:pPr>
            <w:r>
              <w:rPr>
                <w:rFonts w:hint="eastAsia" w:ascii="宋体" w:hAnsi="宋体" w:cs="宋体"/>
              </w:rPr>
              <w:t>施工组织设计整体编制及管理程序安排是否完整，科学合理。</w:t>
            </w:r>
          </w:p>
          <w:p w14:paraId="43C8B91E">
            <w:pPr>
              <w:widowControl/>
              <w:spacing w:line="360" w:lineRule="auto"/>
              <w:rPr>
                <w:rFonts w:ascii="宋体" w:hAnsi="宋体"/>
              </w:rPr>
            </w:pPr>
            <w:r>
              <w:rPr>
                <w:rFonts w:hint="eastAsia" w:ascii="宋体" w:hAnsi="宋体"/>
              </w:rPr>
              <w:t>内容详实，科学、合理，完全满足项目要求，得</w:t>
            </w:r>
            <w:r>
              <w:rPr>
                <w:rFonts w:hint="eastAsia" w:ascii="宋体" w:hAnsi="宋体"/>
                <w:lang w:val="en-US" w:eastAsia="zh-CN"/>
              </w:rPr>
              <w:t>4</w:t>
            </w:r>
            <w:r>
              <w:rPr>
                <w:rFonts w:hint="eastAsia" w:ascii="宋体" w:hAnsi="宋体"/>
              </w:rPr>
              <w:t>分；</w:t>
            </w:r>
          </w:p>
          <w:p w14:paraId="5C08A610">
            <w:pPr>
              <w:widowControl/>
              <w:spacing w:line="360" w:lineRule="auto"/>
              <w:rPr>
                <w:rFonts w:ascii="宋体" w:hAnsi="宋体"/>
              </w:rPr>
            </w:pPr>
            <w:r>
              <w:rPr>
                <w:rFonts w:hint="eastAsia" w:ascii="宋体" w:hAnsi="宋体"/>
              </w:rPr>
              <w:t>内容完整，基本科学、合理，基本考虑周全，得</w:t>
            </w:r>
            <w:r>
              <w:rPr>
                <w:rFonts w:hint="eastAsia" w:ascii="宋体" w:hAnsi="宋体"/>
                <w:lang w:val="en-US" w:eastAsia="zh-CN"/>
              </w:rPr>
              <w:t>2</w:t>
            </w:r>
            <w:r>
              <w:rPr>
                <w:rFonts w:hint="eastAsia" w:ascii="宋体" w:hAnsi="宋体"/>
              </w:rPr>
              <w:t>分；</w:t>
            </w:r>
          </w:p>
          <w:p w14:paraId="4CE50AA7">
            <w:pPr>
              <w:widowControl/>
              <w:spacing w:line="360" w:lineRule="auto"/>
              <w:rPr>
                <w:rFonts w:ascii="宋体" w:hAnsi="宋体"/>
              </w:rPr>
            </w:pPr>
            <w:r>
              <w:rPr>
                <w:rFonts w:hint="eastAsia" w:ascii="宋体" w:hAnsi="宋体"/>
              </w:rPr>
              <w:t>内容较完整，基本满足项目要求，得1分；</w:t>
            </w:r>
          </w:p>
          <w:p w14:paraId="5073F802">
            <w:pPr>
              <w:adjustRightInd w:val="0"/>
              <w:spacing w:line="360" w:lineRule="auto"/>
              <w:jc w:val="left"/>
              <w:textAlignment w:val="baseline"/>
              <w:rPr>
                <w:rFonts w:ascii="宋体" w:hAnsi="宋体" w:cs="宋体"/>
              </w:rPr>
            </w:pPr>
            <w:r>
              <w:rPr>
                <w:rFonts w:hint="eastAsia" w:ascii="宋体" w:hAnsi="宋体"/>
              </w:rPr>
              <w:t>缺项得</w:t>
            </w:r>
            <w:r>
              <w:rPr>
                <w:rFonts w:hint="eastAsia"/>
              </w:rPr>
              <w:t>0</w:t>
            </w:r>
            <w:r>
              <w:rPr>
                <w:rFonts w:hint="eastAsia" w:ascii="宋体" w:hAnsi="宋体"/>
              </w:rPr>
              <w:t>分。</w:t>
            </w:r>
          </w:p>
        </w:tc>
      </w:tr>
      <w:tr w14:paraId="1FE65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1" w:type="dxa"/>
            <w:vMerge w:val="continue"/>
            <w:tcBorders>
              <w:top w:val="nil"/>
              <w:left w:val="single" w:color="auto" w:sz="4" w:space="0"/>
              <w:bottom w:val="single" w:color="auto" w:sz="4" w:space="0"/>
              <w:right w:val="single" w:color="auto" w:sz="4" w:space="0"/>
            </w:tcBorders>
            <w:vAlign w:val="center"/>
          </w:tcPr>
          <w:p w14:paraId="332FFC87">
            <w:pPr>
              <w:widowControl/>
              <w:spacing w:line="360" w:lineRule="auto"/>
              <w:jc w:val="left"/>
              <w:rPr>
                <w:rFonts w:ascii="宋体" w:hAnsi="宋体"/>
                <w:bCs/>
              </w:rPr>
            </w:pPr>
          </w:p>
        </w:tc>
        <w:tc>
          <w:tcPr>
            <w:tcW w:w="663" w:type="dxa"/>
            <w:gridSpan w:val="2"/>
            <w:vMerge w:val="continue"/>
            <w:tcBorders>
              <w:top w:val="nil"/>
              <w:left w:val="single" w:color="auto" w:sz="4" w:space="0"/>
              <w:bottom w:val="single" w:color="auto" w:sz="4" w:space="0"/>
              <w:right w:val="single" w:color="auto" w:sz="4" w:space="0"/>
            </w:tcBorders>
            <w:vAlign w:val="center"/>
          </w:tcPr>
          <w:p w14:paraId="20CA83B6">
            <w:pPr>
              <w:widowControl/>
              <w:spacing w:line="360" w:lineRule="auto"/>
              <w:jc w:val="left"/>
              <w:rPr>
                <w:rFonts w:ascii="宋体" w:hAnsi="宋体"/>
                <w:bCs/>
              </w:rPr>
            </w:pPr>
          </w:p>
        </w:tc>
        <w:tc>
          <w:tcPr>
            <w:tcW w:w="1097" w:type="dxa"/>
            <w:tcBorders>
              <w:top w:val="single" w:color="auto" w:sz="4" w:space="0"/>
              <w:left w:val="single" w:color="auto" w:sz="4" w:space="0"/>
              <w:bottom w:val="single" w:color="auto" w:sz="4" w:space="0"/>
              <w:right w:val="single" w:color="auto" w:sz="4" w:space="0"/>
            </w:tcBorders>
            <w:vAlign w:val="center"/>
          </w:tcPr>
          <w:p w14:paraId="201E9728">
            <w:pPr>
              <w:spacing w:line="360" w:lineRule="auto"/>
              <w:jc w:val="center"/>
              <w:rPr>
                <w:rFonts w:ascii="宋体" w:hAnsi="宋体" w:cs="宋体"/>
              </w:rPr>
            </w:pPr>
            <w:r>
              <w:rPr>
                <w:rFonts w:hint="eastAsia" w:ascii="宋体" w:hAnsi="宋体" w:cs="宋体"/>
              </w:rPr>
              <w:t>2、施工方案与技术措施5分</w:t>
            </w:r>
          </w:p>
        </w:tc>
        <w:tc>
          <w:tcPr>
            <w:tcW w:w="6805" w:type="dxa"/>
            <w:gridSpan w:val="2"/>
            <w:tcBorders>
              <w:top w:val="single" w:color="auto" w:sz="4" w:space="0"/>
              <w:left w:val="single" w:color="auto" w:sz="4" w:space="0"/>
              <w:bottom w:val="single" w:color="auto" w:sz="4" w:space="0"/>
              <w:right w:val="single" w:color="auto" w:sz="4" w:space="0"/>
            </w:tcBorders>
            <w:vAlign w:val="center"/>
          </w:tcPr>
          <w:p w14:paraId="0C590892">
            <w:pPr>
              <w:widowControl/>
              <w:spacing w:line="360" w:lineRule="auto"/>
              <w:rPr>
                <w:rFonts w:hint="eastAsia" w:ascii="宋体" w:hAnsi="宋体" w:cs="宋体"/>
              </w:rPr>
            </w:pPr>
            <w:r>
              <w:rPr>
                <w:rFonts w:hint="eastAsia" w:ascii="宋体" w:hAnsi="宋体" w:cs="宋体"/>
              </w:rPr>
              <w:t>施工方案（含工程特点、施工重点与难点及绿色施工）总体安排合理，运用先进、合理的施工工艺、施工机械；对施工难点有先进和合理的建议。</w:t>
            </w:r>
          </w:p>
          <w:p w14:paraId="6653903F">
            <w:pPr>
              <w:widowControl/>
              <w:spacing w:line="360" w:lineRule="auto"/>
              <w:rPr>
                <w:rFonts w:ascii="宋体" w:hAnsi="宋体"/>
              </w:rPr>
            </w:pPr>
            <w:r>
              <w:rPr>
                <w:rFonts w:hint="eastAsia" w:ascii="宋体" w:hAnsi="宋体"/>
              </w:rPr>
              <w:t>内容详实，方案科学、合理，针对性强，完全满足项目要求，得5分；内容完整，方案基本科学、合理，基本考虑周全，得3分；</w:t>
            </w:r>
          </w:p>
          <w:p w14:paraId="0635A54A">
            <w:pPr>
              <w:widowControl/>
              <w:spacing w:line="360" w:lineRule="auto"/>
              <w:rPr>
                <w:rFonts w:hint="eastAsia" w:ascii="宋体" w:hAnsi="宋体"/>
              </w:rPr>
            </w:pPr>
            <w:r>
              <w:rPr>
                <w:rFonts w:hint="eastAsia" w:ascii="宋体" w:hAnsi="宋体"/>
              </w:rPr>
              <w:t>方案基本满足项目要求，得1分；</w:t>
            </w:r>
          </w:p>
          <w:p w14:paraId="55A29DB5">
            <w:pPr>
              <w:widowControl/>
              <w:spacing w:line="360" w:lineRule="auto"/>
              <w:rPr>
                <w:rFonts w:ascii="宋体" w:hAnsi="宋体" w:cs="宋体"/>
              </w:rPr>
            </w:pPr>
            <w:r>
              <w:rPr>
                <w:rFonts w:hint="eastAsia" w:ascii="宋体" w:hAnsi="宋体"/>
              </w:rPr>
              <w:t>缺项得</w:t>
            </w:r>
            <w:r>
              <w:rPr>
                <w:rFonts w:hint="eastAsia"/>
              </w:rPr>
              <w:t>0</w:t>
            </w:r>
            <w:r>
              <w:rPr>
                <w:rFonts w:hint="eastAsia" w:ascii="宋体" w:hAnsi="宋体"/>
              </w:rPr>
              <w:t>分。</w:t>
            </w:r>
          </w:p>
        </w:tc>
      </w:tr>
      <w:tr w14:paraId="3FCE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1" w:type="dxa"/>
            <w:vMerge w:val="continue"/>
            <w:tcBorders>
              <w:top w:val="nil"/>
              <w:left w:val="single" w:color="auto" w:sz="4" w:space="0"/>
              <w:bottom w:val="single" w:color="auto" w:sz="4" w:space="0"/>
              <w:right w:val="single" w:color="auto" w:sz="4" w:space="0"/>
            </w:tcBorders>
            <w:vAlign w:val="center"/>
          </w:tcPr>
          <w:p w14:paraId="2F26E206">
            <w:pPr>
              <w:widowControl/>
              <w:spacing w:line="360" w:lineRule="auto"/>
              <w:jc w:val="left"/>
              <w:rPr>
                <w:rFonts w:ascii="宋体" w:hAnsi="宋体"/>
                <w:bCs/>
              </w:rPr>
            </w:pPr>
          </w:p>
        </w:tc>
        <w:tc>
          <w:tcPr>
            <w:tcW w:w="663" w:type="dxa"/>
            <w:gridSpan w:val="2"/>
            <w:vMerge w:val="continue"/>
            <w:tcBorders>
              <w:top w:val="nil"/>
              <w:left w:val="single" w:color="auto" w:sz="4" w:space="0"/>
              <w:bottom w:val="single" w:color="auto" w:sz="4" w:space="0"/>
              <w:right w:val="single" w:color="auto" w:sz="4" w:space="0"/>
            </w:tcBorders>
            <w:vAlign w:val="center"/>
          </w:tcPr>
          <w:p w14:paraId="0B5325EB">
            <w:pPr>
              <w:widowControl/>
              <w:spacing w:line="360" w:lineRule="auto"/>
              <w:jc w:val="left"/>
              <w:rPr>
                <w:rFonts w:ascii="宋体" w:hAnsi="宋体"/>
                <w:bCs/>
              </w:rPr>
            </w:pPr>
          </w:p>
        </w:tc>
        <w:tc>
          <w:tcPr>
            <w:tcW w:w="1097" w:type="dxa"/>
            <w:tcBorders>
              <w:top w:val="single" w:color="auto" w:sz="4" w:space="0"/>
              <w:left w:val="single" w:color="auto" w:sz="4" w:space="0"/>
              <w:bottom w:val="single" w:color="auto" w:sz="4" w:space="0"/>
              <w:right w:val="single" w:color="auto" w:sz="4" w:space="0"/>
            </w:tcBorders>
            <w:vAlign w:val="center"/>
          </w:tcPr>
          <w:p w14:paraId="1949A082">
            <w:pPr>
              <w:spacing w:line="360" w:lineRule="auto"/>
              <w:jc w:val="center"/>
              <w:rPr>
                <w:rFonts w:ascii="宋体" w:hAnsi="宋体" w:cs="宋体"/>
              </w:rPr>
            </w:pPr>
            <w:r>
              <w:rPr>
                <w:rFonts w:hint="eastAsia" w:ascii="宋体" w:hAnsi="宋体" w:cs="宋体"/>
              </w:rPr>
              <w:t>3、质量保证措施</w:t>
            </w:r>
            <w:r>
              <w:rPr>
                <w:rFonts w:hint="default" w:ascii="宋体" w:hAnsi="宋体" w:cs="宋体"/>
                <w:lang w:val="en-US"/>
              </w:rPr>
              <w:t>5</w:t>
            </w:r>
            <w:r>
              <w:rPr>
                <w:rFonts w:hint="eastAsia" w:ascii="宋体" w:hAnsi="宋体" w:cs="宋体"/>
              </w:rPr>
              <w:t>分</w:t>
            </w:r>
          </w:p>
        </w:tc>
        <w:tc>
          <w:tcPr>
            <w:tcW w:w="6805" w:type="dxa"/>
            <w:gridSpan w:val="2"/>
            <w:tcBorders>
              <w:top w:val="single" w:color="auto" w:sz="4" w:space="0"/>
              <w:left w:val="single" w:color="auto" w:sz="4" w:space="0"/>
              <w:bottom w:val="single" w:color="auto" w:sz="4" w:space="0"/>
              <w:right w:val="single" w:color="auto" w:sz="4" w:space="0"/>
            </w:tcBorders>
            <w:vAlign w:val="center"/>
          </w:tcPr>
          <w:p w14:paraId="169400C9">
            <w:pPr>
              <w:widowControl/>
              <w:spacing w:line="360" w:lineRule="auto"/>
              <w:rPr>
                <w:rFonts w:ascii="宋体" w:hAnsi="宋体" w:cs="宋体"/>
              </w:rPr>
            </w:pPr>
            <w:r>
              <w:rPr>
                <w:rFonts w:hint="eastAsia" w:ascii="宋体" w:hAnsi="宋体" w:cs="宋体"/>
              </w:rPr>
              <w:t>组织机构形式合理，有完善的指挥系统、质量监控系统、联络协调系统，对项目提出先进、可行、具体的保证措施。质量保证措施完整得力、经济、安全、切实可行。按照工程建设强制性标准和其他技术标准施工，不得偷工减料。</w:t>
            </w:r>
          </w:p>
          <w:p w14:paraId="17A52DBA">
            <w:pPr>
              <w:widowControl/>
              <w:spacing w:line="360" w:lineRule="auto"/>
              <w:rPr>
                <w:rFonts w:ascii="宋体" w:hAnsi="宋体"/>
              </w:rPr>
            </w:pPr>
            <w:r>
              <w:rPr>
                <w:rFonts w:hint="eastAsia" w:ascii="宋体" w:hAnsi="宋体"/>
              </w:rPr>
              <w:t>内容详实，措施到位，针对性强，完全满足招标要求，得5分；</w:t>
            </w:r>
          </w:p>
          <w:p w14:paraId="26934BA8">
            <w:pPr>
              <w:widowControl/>
              <w:spacing w:line="360" w:lineRule="auto"/>
              <w:rPr>
                <w:rFonts w:ascii="宋体" w:hAnsi="宋体"/>
              </w:rPr>
            </w:pPr>
            <w:r>
              <w:rPr>
                <w:rFonts w:hint="eastAsia" w:ascii="宋体" w:hAnsi="宋体"/>
              </w:rPr>
              <w:t>内容完整，措施基本到位，针对性较强，得3分；</w:t>
            </w:r>
          </w:p>
          <w:p w14:paraId="6311718C">
            <w:pPr>
              <w:widowControl/>
              <w:spacing w:line="360" w:lineRule="auto"/>
              <w:rPr>
                <w:rFonts w:ascii="宋体" w:hAnsi="宋体"/>
              </w:rPr>
            </w:pPr>
            <w:r>
              <w:rPr>
                <w:rFonts w:hint="eastAsia" w:ascii="宋体" w:hAnsi="宋体"/>
              </w:rPr>
              <w:t>内容基本满足项目要求，得1分；</w:t>
            </w:r>
          </w:p>
          <w:p w14:paraId="2352E25E">
            <w:pPr>
              <w:spacing w:line="360" w:lineRule="auto"/>
              <w:jc w:val="left"/>
              <w:rPr>
                <w:rFonts w:ascii="宋体" w:hAnsi="宋体" w:cs="宋体"/>
              </w:rPr>
            </w:pPr>
            <w:r>
              <w:rPr>
                <w:rFonts w:hint="eastAsia" w:ascii="宋体" w:hAnsi="宋体"/>
              </w:rPr>
              <w:t>缺项得</w:t>
            </w:r>
            <w:r>
              <w:rPr>
                <w:rFonts w:hint="eastAsia"/>
              </w:rPr>
              <w:t>0</w:t>
            </w:r>
            <w:r>
              <w:rPr>
                <w:rFonts w:hint="eastAsia" w:ascii="宋体" w:hAnsi="宋体"/>
              </w:rPr>
              <w:t>分。</w:t>
            </w:r>
          </w:p>
        </w:tc>
      </w:tr>
      <w:tr w14:paraId="30786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1" w:type="dxa"/>
            <w:vMerge w:val="continue"/>
            <w:tcBorders>
              <w:top w:val="nil"/>
              <w:left w:val="single" w:color="auto" w:sz="4" w:space="0"/>
              <w:bottom w:val="single" w:color="auto" w:sz="4" w:space="0"/>
              <w:right w:val="single" w:color="auto" w:sz="4" w:space="0"/>
            </w:tcBorders>
            <w:vAlign w:val="center"/>
          </w:tcPr>
          <w:p w14:paraId="26E8FE00">
            <w:pPr>
              <w:widowControl/>
              <w:spacing w:line="360" w:lineRule="auto"/>
              <w:jc w:val="left"/>
              <w:rPr>
                <w:rFonts w:ascii="宋体" w:hAnsi="宋体"/>
                <w:bCs/>
              </w:rPr>
            </w:pPr>
          </w:p>
        </w:tc>
        <w:tc>
          <w:tcPr>
            <w:tcW w:w="663" w:type="dxa"/>
            <w:gridSpan w:val="2"/>
            <w:vMerge w:val="continue"/>
            <w:tcBorders>
              <w:top w:val="nil"/>
              <w:left w:val="single" w:color="auto" w:sz="4" w:space="0"/>
              <w:bottom w:val="single" w:color="auto" w:sz="4" w:space="0"/>
              <w:right w:val="single" w:color="auto" w:sz="4" w:space="0"/>
            </w:tcBorders>
            <w:vAlign w:val="center"/>
          </w:tcPr>
          <w:p w14:paraId="3310EA97">
            <w:pPr>
              <w:widowControl/>
              <w:spacing w:line="360" w:lineRule="auto"/>
              <w:jc w:val="left"/>
              <w:rPr>
                <w:rFonts w:ascii="宋体" w:hAnsi="宋体"/>
                <w:bCs/>
              </w:rPr>
            </w:pPr>
          </w:p>
        </w:tc>
        <w:tc>
          <w:tcPr>
            <w:tcW w:w="1097" w:type="dxa"/>
            <w:tcBorders>
              <w:top w:val="single" w:color="auto" w:sz="4" w:space="0"/>
              <w:left w:val="single" w:color="auto" w:sz="4" w:space="0"/>
              <w:bottom w:val="single" w:color="auto" w:sz="4" w:space="0"/>
              <w:right w:val="single" w:color="auto" w:sz="4" w:space="0"/>
            </w:tcBorders>
            <w:vAlign w:val="center"/>
          </w:tcPr>
          <w:p w14:paraId="47E44867">
            <w:pPr>
              <w:spacing w:line="360" w:lineRule="auto"/>
              <w:rPr>
                <w:rFonts w:ascii="宋体" w:hAnsi="宋体" w:cs="宋体"/>
              </w:rPr>
            </w:pPr>
            <w:r>
              <w:rPr>
                <w:rFonts w:hint="eastAsia" w:ascii="宋体" w:hAnsi="宋体" w:cs="宋体"/>
              </w:rPr>
              <w:t>4、工程进度计划与措施5分</w:t>
            </w:r>
          </w:p>
        </w:tc>
        <w:tc>
          <w:tcPr>
            <w:tcW w:w="6805" w:type="dxa"/>
            <w:gridSpan w:val="2"/>
            <w:tcBorders>
              <w:top w:val="single" w:color="auto" w:sz="4" w:space="0"/>
              <w:left w:val="single" w:color="auto" w:sz="4" w:space="0"/>
              <w:bottom w:val="single" w:color="auto" w:sz="4" w:space="0"/>
              <w:right w:val="single" w:color="auto" w:sz="4" w:space="0"/>
            </w:tcBorders>
            <w:vAlign w:val="center"/>
          </w:tcPr>
          <w:p w14:paraId="07493FDF">
            <w:pPr>
              <w:widowControl/>
              <w:spacing w:line="360" w:lineRule="auto"/>
              <w:rPr>
                <w:rFonts w:ascii="宋体" w:hAnsi="宋体" w:cs="宋体"/>
              </w:rPr>
            </w:pPr>
            <w:r>
              <w:rPr>
                <w:rFonts w:hint="eastAsia" w:ascii="宋体" w:hAnsi="宋体" w:cs="宋体"/>
              </w:rPr>
              <w:t>工程进度计划与措施合理可行，各阶段劳动力安排合理可行，各阶段施工进度计划明确，关键线路清晰具体、可靠、得当。</w:t>
            </w:r>
          </w:p>
          <w:p w14:paraId="4C58D2BA">
            <w:pPr>
              <w:widowControl/>
              <w:spacing w:line="360" w:lineRule="auto"/>
              <w:rPr>
                <w:rFonts w:ascii="宋体" w:hAnsi="宋体"/>
              </w:rPr>
            </w:pPr>
            <w:r>
              <w:rPr>
                <w:rFonts w:hint="eastAsia" w:ascii="宋体" w:hAnsi="宋体"/>
              </w:rPr>
              <w:t>内容详实，计划科学、合理，措施到位，针对性强，完全满足招标要求，得5分；</w:t>
            </w:r>
          </w:p>
          <w:p w14:paraId="0B2BCA83">
            <w:pPr>
              <w:widowControl/>
              <w:spacing w:line="360" w:lineRule="auto"/>
              <w:rPr>
                <w:rFonts w:ascii="宋体" w:hAnsi="宋体"/>
              </w:rPr>
            </w:pPr>
            <w:r>
              <w:rPr>
                <w:rFonts w:hint="eastAsia" w:ascii="宋体" w:hAnsi="宋体"/>
              </w:rPr>
              <w:t>内容完整，计划及措施合理，针对性较强，得3分；</w:t>
            </w:r>
          </w:p>
          <w:p w14:paraId="0DAAD5E6">
            <w:pPr>
              <w:widowControl/>
              <w:spacing w:line="360" w:lineRule="auto"/>
              <w:rPr>
                <w:rFonts w:ascii="宋体" w:hAnsi="宋体"/>
              </w:rPr>
            </w:pPr>
            <w:r>
              <w:rPr>
                <w:rFonts w:hint="eastAsia" w:ascii="宋体" w:hAnsi="宋体"/>
              </w:rPr>
              <w:t>内容基本满足项目需求，得1分；</w:t>
            </w:r>
          </w:p>
          <w:p w14:paraId="21D1E047">
            <w:pPr>
              <w:spacing w:line="360" w:lineRule="auto"/>
              <w:jc w:val="left"/>
              <w:rPr>
                <w:rFonts w:ascii="宋体" w:hAnsi="宋体" w:cs="宋体"/>
              </w:rPr>
            </w:pPr>
            <w:r>
              <w:rPr>
                <w:rFonts w:hint="eastAsia" w:ascii="宋体" w:hAnsi="宋体"/>
              </w:rPr>
              <w:t>缺项得</w:t>
            </w:r>
            <w:r>
              <w:rPr>
                <w:rFonts w:hint="eastAsia"/>
              </w:rPr>
              <w:t>0</w:t>
            </w:r>
            <w:r>
              <w:rPr>
                <w:rFonts w:hint="eastAsia" w:ascii="宋体" w:hAnsi="宋体"/>
              </w:rPr>
              <w:t>分。</w:t>
            </w:r>
          </w:p>
        </w:tc>
      </w:tr>
      <w:tr w14:paraId="40D2F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1" w:type="dxa"/>
            <w:vMerge w:val="continue"/>
            <w:tcBorders>
              <w:top w:val="nil"/>
              <w:left w:val="single" w:color="auto" w:sz="4" w:space="0"/>
              <w:bottom w:val="single" w:color="auto" w:sz="4" w:space="0"/>
              <w:right w:val="single" w:color="auto" w:sz="4" w:space="0"/>
            </w:tcBorders>
            <w:vAlign w:val="center"/>
          </w:tcPr>
          <w:p w14:paraId="3BE28034">
            <w:pPr>
              <w:widowControl/>
              <w:spacing w:line="360" w:lineRule="auto"/>
              <w:jc w:val="left"/>
              <w:rPr>
                <w:rFonts w:ascii="宋体" w:hAnsi="宋体"/>
                <w:bCs/>
              </w:rPr>
            </w:pPr>
          </w:p>
        </w:tc>
        <w:tc>
          <w:tcPr>
            <w:tcW w:w="663" w:type="dxa"/>
            <w:gridSpan w:val="2"/>
            <w:vMerge w:val="continue"/>
            <w:tcBorders>
              <w:top w:val="nil"/>
              <w:left w:val="single" w:color="auto" w:sz="4" w:space="0"/>
              <w:bottom w:val="single" w:color="auto" w:sz="4" w:space="0"/>
              <w:right w:val="single" w:color="auto" w:sz="4" w:space="0"/>
            </w:tcBorders>
            <w:vAlign w:val="center"/>
          </w:tcPr>
          <w:p w14:paraId="540C6397">
            <w:pPr>
              <w:widowControl/>
              <w:spacing w:line="360" w:lineRule="auto"/>
              <w:jc w:val="left"/>
              <w:rPr>
                <w:rFonts w:ascii="宋体" w:hAnsi="宋体"/>
                <w:bCs/>
              </w:rPr>
            </w:pPr>
          </w:p>
        </w:tc>
        <w:tc>
          <w:tcPr>
            <w:tcW w:w="1097" w:type="dxa"/>
            <w:tcBorders>
              <w:top w:val="single" w:color="auto" w:sz="4" w:space="0"/>
              <w:left w:val="single" w:color="auto" w:sz="4" w:space="0"/>
              <w:bottom w:val="single" w:color="auto" w:sz="4" w:space="0"/>
              <w:right w:val="single" w:color="auto" w:sz="4" w:space="0"/>
            </w:tcBorders>
            <w:vAlign w:val="center"/>
          </w:tcPr>
          <w:p w14:paraId="062F2ECD">
            <w:pPr>
              <w:spacing w:line="360" w:lineRule="auto"/>
              <w:jc w:val="center"/>
              <w:rPr>
                <w:rFonts w:ascii="宋体" w:hAnsi="宋体" w:cs="宋体"/>
              </w:rPr>
            </w:pPr>
            <w:r>
              <w:rPr>
                <w:rFonts w:hint="eastAsia" w:ascii="宋体" w:hAnsi="宋体" w:cs="宋体"/>
              </w:rPr>
              <w:t>5、安全管理体系与措施</w:t>
            </w:r>
            <w:r>
              <w:rPr>
                <w:rFonts w:hint="eastAsia" w:ascii="宋体" w:hAnsi="宋体" w:cs="宋体"/>
                <w:lang w:val="en-US" w:eastAsia="zh-CN"/>
              </w:rPr>
              <w:t>4</w:t>
            </w:r>
            <w:r>
              <w:rPr>
                <w:rFonts w:hint="eastAsia" w:ascii="宋体" w:hAnsi="宋体" w:cs="宋体"/>
              </w:rPr>
              <w:t>分</w:t>
            </w:r>
          </w:p>
        </w:tc>
        <w:tc>
          <w:tcPr>
            <w:tcW w:w="6805" w:type="dxa"/>
            <w:gridSpan w:val="2"/>
            <w:tcBorders>
              <w:top w:val="single" w:color="auto" w:sz="4" w:space="0"/>
              <w:left w:val="single" w:color="auto" w:sz="4" w:space="0"/>
              <w:bottom w:val="single" w:color="auto" w:sz="4" w:space="0"/>
              <w:right w:val="single" w:color="auto" w:sz="4" w:space="0"/>
            </w:tcBorders>
            <w:vAlign w:val="center"/>
          </w:tcPr>
          <w:p w14:paraId="69DBFB06">
            <w:pPr>
              <w:widowControl/>
              <w:spacing w:line="360" w:lineRule="auto"/>
              <w:rPr>
                <w:rFonts w:ascii="宋体" w:hAnsi="宋体" w:cs="宋体"/>
              </w:rPr>
            </w:pPr>
            <w:r>
              <w:rPr>
                <w:rFonts w:hint="eastAsia" w:ascii="宋体" w:hAnsi="宋体" w:cs="宋体"/>
                <w:kern w:val="0"/>
              </w:rPr>
              <w:t>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措施。安全技术方案措施科学合理、先进可行</w:t>
            </w:r>
            <w:r>
              <w:rPr>
                <w:rFonts w:hint="eastAsia" w:ascii="宋体" w:hAnsi="宋体" w:cs="宋体"/>
              </w:rPr>
              <w:t>。</w:t>
            </w:r>
          </w:p>
          <w:p w14:paraId="1E41BFE5">
            <w:pPr>
              <w:widowControl/>
              <w:spacing w:line="360" w:lineRule="auto"/>
              <w:rPr>
                <w:rFonts w:ascii="宋体" w:hAnsi="宋体"/>
              </w:rPr>
            </w:pPr>
            <w:r>
              <w:rPr>
                <w:rFonts w:hint="eastAsia" w:ascii="宋体" w:hAnsi="宋体"/>
              </w:rPr>
              <w:t>内容详实，科学、合理，措施到位，针对性强，完全满足招标要求，得</w:t>
            </w:r>
            <w:r>
              <w:rPr>
                <w:rFonts w:hint="eastAsia" w:ascii="宋体" w:hAnsi="宋体"/>
                <w:lang w:val="en-US" w:eastAsia="zh-CN"/>
              </w:rPr>
              <w:t>4</w:t>
            </w:r>
            <w:r>
              <w:rPr>
                <w:rFonts w:hint="eastAsia" w:ascii="宋体" w:hAnsi="宋体"/>
              </w:rPr>
              <w:t>分；</w:t>
            </w:r>
          </w:p>
          <w:p w14:paraId="632D0193">
            <w:pPr>
              <w:widowControl/>
              <w:spacing w:line="360" w:lineRule="auto"/>
              <w:rPr>
                <w:rFonts w:ascii="宋体" w:hAnsi="宋体"/>
              </w:rPr>
            </w:pPr>
            <w:r>
              <w:rPr>
                <w:rFonts w:hint="eastAsia" w:ascii="宋体" w:hAnsi="宋体"/>
              </w:rPr>
              <w:t>内容完整，措施合理，针对性较强，得</w:t>
            </w:r>
            <w:r>
              <w:rPr>
                <w:rFonts w:hint="eastAsia" w:ascii="宋体" w:hAnsi="宋体"/>
                <w:lang w:val="en-US" w:eastAsia="zh-CN"/>
              </w:rPr>
              <w:t>2</w:t>
            </w:r>
            <w:r>
              <w:rPr>
                <w:rFonts w:hint="eastAsia" w:ascii="宋体" w:hAnsi="宋体"/>
              </w:rPr>
              <w:t>分；</w:t>
            </w:r>
          </w:p>
          <w:p w14:paraId="72363ED3">
            <w:pPr>
              <w:widowControl/>
              <w:spacing w:line="360" w:lineRule="auto"/>
              <w:rPr>
                <w:rFonts w:ascii="宋体" w:hAnsi="宋体"/>
              </w:rPr>
            </w:pPr>
            <w:r>
              <w:rPr>
                <w:rFonts w:hint="eastAsia" w:ascii="宋体" w:hAnsi="宋体"/>
              </w:rPr>
              <w:t>内容基本满足项目要求，得1分；</w:t>
            </w:r>
          </w:p>
          <w:p w14:paraId="6B826D82">
            <w:pPr>
              <w:widowControl/>
              <w:spacing w:line="360" w:lineRule="auto"/>
              <w:jc w:val="left"/>
              <w:rPr>
                <w:rFonts w:ascii="宋体" w:hAnsi="宋体" w:cs="宋体"/>
              </w:rPr>
            </w:pPr>
            <w:r>
              <w:rPr>
                <w:rFonts w:hint="eastAsia" w:ascii="宋体" w:hAnsi="宋体"/>
              </w:rPr>
              <w:t>缺项得</w:t>
            </w:r>
            <w:r>
              <w:rPr>
                <w:rFonts w:hint="eastAsia"/>
              </w:rPr>
              <w:t>0</w:t>
            </w:r>
            <w:r>
              <w:rPr>
                <w:rFonts w:hint="eastAsia" w:ascii="宋体" w:hAnsi="宋体"/>
              </w:rPr>
              <w:t>分。</w:t>
            </w:r>
          </w:p>
        </w:tc>
      </w:tr>
      <w:tr w14:paraId="4A8F9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871" w:type="dxa"/>
            <w:vMerge w:val="continue"/>
            <w:tcBorders>
              <w:top w:val="nil"/>
              <w:left w:val="single" w:color="auto" w:sz="4" w:space="0"/>
              <w:bottom w:val="single" w:color="auto" w:sz="4" w:space="0"/>
              <w:right w:val="single" w:color="auto" w:sz="4" w:space="0"/>
            </w:tcBorders>
            <w:vAlign w:val="center"/>
          </w:tcPr>
          <w:p w14:paraId="79111F84">
            <w:pPr>
              <w:widowControl/>
              <w:spacing w:line="360" w:lineRule="auto"/>
              <w:jc w:val="left"/>
              <w:rPr>
                <w:rFonts w:ascii="宋体" w:hAnsi="宋体"/>
                <w:bCs/>
              </w:rPr>
            </w:pPr>
          </w:p>
        </w:tc>
        <w:tc>
          <w:tcPr>
            <w:tcW w:w="663" w:type="dxa"/>
            <w:gridSpan w:val="2"/>
            <w:vMerge w:val="continue"/>
            <w:tcBorders>
              <w:top w:val="nil"/>
              <w:left w:val="single" w:color="auto" w:sz="4" w:space="0"/>
              <w:bottom w:val="single" w:color="auto" w:sz="4" w:space="0"/>
              <w:right w:val="single" w:color="auto" w:sz="4" w:space="0"/>
            </w:tcBorders>
            <w:vAlign w:val="center"/>
          </w:tcPr>
          <w:p w14:paraId="68118E3A">
            <w:pPr>
              <w:widowControl/>
              <w:spacing w:line="360" w:lineRule="auto"/>
              <w:jc w:val="left"/>
              <w:rPr>
                <w:rFonts w:ascii="宋体" w:hAnsi="宋体"/>
                <w:bCs/>
              </w:rPr>
            </w:pPr>
          </w:p>
        </w:tc>
        <w:tc>
          <w:tcPr>
            <w:tcW w:w="1097" w:type="dxa"/>
            <w:tcBorders>
              <w:top w:val="single" w:color="auto" w:sz="4" w:space="0"/>
              <w:left w:val="single" w:color="auto" w:sz="4" w:space="0"/>
              <w:right w:val="single" w:color="auto" w:sz="4" w:space="0"/>
            </w:tcBorders>
            <w:vAlign w:val="center"/>
          </w:tcPr>
          <w:p w14:paraId="7B88523F">
            <w:pPr>
              <w:widowControl/>
              <w:spacing w:line="360" w:lineRule="auto"/>
              <w:jc w:val="left"/>
              <w:rPr>
                <w:rFonts w:ascii="宋体" w:hAnsi="宋体" w:cs="宋体"/>
              </w:rPr>
            </w:pPr>
            <w:r>
              <w:rPr>
                <w:rFonts w:hint="eastAsia" w:ascii="宋体" w:hAnsi="宋体" w:cs="宋体"/>
                <w:kern w:val="0"/>
              </w:rPr>
              <w:t>6、文明施工、环境保护管理体系与措施</w:t>
            </w:r>
            <w:r>
              <w:rPr>
                <w:rFonts w:hint="eastAsia" w:ascii="宋体" w:hAnsi="宋体" w:cs="宋体"/>
                <w:kern w:val="0"/>
                <w:lang w:val="en-US" w:eastAsia="zh-CN"/>
              </w:rPr>
              <w:t>4</w:t>
            </w:r>
            <w:r>
              <w:rPr>
                <w:rFonts w:hint="eastAsia" w:ascii="宋体" w:hAnsi="宋体" w:cs="宋体"/>
                <w:kern w:val="0"/>
              </w:rPr>
              <w:t>分</w:t>
            </w:r>
          </w:p>
        </w:tc>
        <w:tc>
          <w:tcPr>
            <w:tcW w:w="6805" w:type="dxa"/>
            <w:gridSpan w:val="2"/>
            <w:tcBorders>
              <w:top w:val="single" w:color="auto" w:sz="4" w:space="0"/>
              <w:left w:val="single" w:color="auto" w:sz="4" w:space="0"/>
              <w:bottom w:val="single" w:color="auto" w:sz="4" w:space="0"/>
              <w:right w:val="single" w:color="auto" w:sz="4" w:space="0"/>
            </w:tcBorders>
            <w:vAlign w:val="center"/>
          </w:tcPr>
          <w:p w14:paraId="3E8A88FF">
            <w:pPr>
              <w:widowControl/>
              <w:spacing w:line="360" w:lineRule="auto"/>
              <w:rPr>
                <w:rFonts w:ascii="宋体" w:hAnsi="宋体" w:cs="宋体"/>
              </w:rPr>
            </w:pPr>
            <w:r>
              <w:rPr>
                <w:rFonts w:hint="eastAsia" w:ascii="宋体" w:hAnsi="宋体" w:cs="宋体"/>
              </w:rPr>
              <w:t>创建安全文明标准化工地目标明确,有针对项目实际情况、科学可行的创建计划和符合相关标准、规范、规程的创建保证措施以及安全文明措施费用投入使用计划,现场施工区、生活区、办公区等设置科学规范,符合有关文明施工、健康卫生的规定。 施工现场扬尘治理措施符合河南省扬尘污染防治的</w:t>
            </w:r>
            <w:r>
              <w:rPr>
                <w:rFonts w:hint="eastAsia" w:ascii="宋体" w:hAnsi="宋体" w:cs="宋体"/>
                <w:lang w:eastAsia="zh-CN"/>
              </w:rPr>
              <w:t>最新</w:t>
            </w:r>
            <w:r>
              <w:rPr>
                <w:rFonts w:hint="eastAsia" w:ascii="宋体" w:hAnsi="宋体" w:cs="宋体"/>
              </w:rPr>
              <w:t>规定,防治方案科学、先进。</w:t>
            </w:r>
          </w:p>
          <w:p w14:paraId="2C68AC7B">
            <w:pPr>
              <w:widowControl/>
              <w:spacing w:line="360" w:lineRule="auto"/>
              <w:rPr>
                <w:rFonts w:ascii="宋体" w:hAnsi="宋体"/>
              </w:rPr>
            </w:pPr>
            <w:r>
              <w:rPr>
                <w:rFonts w:hint="eastAsia" w:ascii="宋体" w:hAnsi="宋体"/>
              </w:rPr>
              <w:t>内容详实，科学、合理，措施到位，针对性强，完全满足项目要求，得</w:t>
            </w:r>
            <w:r>
              <w:rPr>
                <w:rFonts w:hint="eastAsia" w:ascii="宋体" w:hAnsi="宋体"/>
                <w:lang w:val="en-US" w:eastAsia="zh-CN"/>
              </w:rPr>
              <w:t>4</w:t>
            </w:r>
            <w:r>
              <w:rPr>
                <w:rFonts w:hint="eastAsia" w:ascii="宋体" w:hAnsi="宋体"/>
              </w:rPr>
              <w:t>分；</w:t>
            </w:r>
          </w:p>
          <w:p w14:paraId="3EDAD4A5">
            <w:pPr>
              <w:widowControl/>
              <w:spacing w:line="360" w:lineRule="auto"/>
              <w:rPr>
                <w:rFonts w:ascii="宋体" w:hAnsi="宋体"/>
              </w:rPr>
            </w:pPr>
            <w:r>
              <w:rPr>
                <w:rFonts w:hint="eastAsia" w:ascii="宋体" w:hAnsi="宋体"/>
              </w:rPr>
              <w:t>内容完整，措施合理，针对性较强，得</w:t>
            </w:r>
            <w:r>
              <w:rPr>
                <w:rFonts w:hint="eastAsia" w:ascii="宋体" w:hAnsi="宋体"/>
                <w:lang w:val="en-US" w:eastAsia="zh-CN"/>
              </w:rPr>
              <w:t>2</w:t>
            </w:r>
            <w:r>
              <w:rPr>
                <w:rFonts w:hint="eastAsia" w:ascii="宋体" w:hAnsi="宋体"/>
              </w:rPr>
              <w:t>分；</w:t>
            </w:r>
          </w:p>
          <w:p w14:paraId="65DF636D">
            <w:pPr>
              <w:widowControl/>
              <w:spacing w:line="360" w:lineRule="auto"/>
              <w:rPr>
                <w:rFonts w:ascii="宋体" w:hAnsi="宋体"/>
              </w:rPr>
            </w:pPr>
            <w:r>
              <w:rPr>
                <w:rFonts w:hint="eastAsia" w:ascii="宋体" w:hAnsi="宋体"/>
              </w:rPr>
              <w:t>内容基本满足项目要求，得1分；</w:t>
            </w:r>
          </w:p>
          <w:p w14:paraId="0FEABBA7">
            <w:pPr>
              <w:spacing w:line="360" w:lineRule="auto"/>
              <w:jc w:val="left"/>
              <w:rPr>
                <w:rFonts w:ascii="宋体" w:hAnsi="宋体" w:cs="宋体"/>
              </w:rPr>
            </w:pPr>
            <w:r>
              <w:rPr>
                <w:rFonts w:hint="eastAsia" w:ascii="宋体" w:hAnsi="宋体"/>
              </w:rPr>
              <w:t>缺项得</w:t>
            </w:r>
            <w:r>
              <w:rPr>
                <w:rFonts w:hint="eastAsia"/>
              </w:rPr>
              <w:t>0</w:t>
            </w:r>
            <w:r>
              <w:rPr>
                <w:rFonts w:hint="eastAsia" w:ascii="宋体" w:hAnsi="宋体"/>
              </w:rPr>
              <w:t>分。</w:t>
            </w:r>
          </w:p>
        </w:tc>
      </w:tr>
      <w:tr w14:paraId="319E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1" w:type="dxa"/>
            <w:vMerge w:val="continue"/>
            <w:tcBorders>
              <w:top w:val="nil"/>
              <w:left w:val="single" w:color="auto" w:sz="4" w:space="0"/>
              <w:bottom w:val="single" w:color="auto" w:sz="4" w:space="0"/>
              <w:right w:val="single" w:color="auto" w:sz="4" w:space="0"/>
            </w:tcBorders>
            <w:vAlign w:val="center"/>
          </w:tcPr>
          <w:p w14:paraId="53558DF4">
            <w:pPr>
              <w:widowControl/>
              <w:spacing w:line="360" w:lineRule="auto"/>
              <w:jc w:val="left"/>
              <w:rPr>
                <w:rFonts w:ascii="宋体" w:hAnsi="宋体"/>
                <w:bCs/>
              </w:rPr>
            </w:pPr>
          </w:p>
        </w:tc>
        <w:tc>
          <w:tcPr>
            <w:tcW w:w="663" w:type="dxa"/>
            <w:gridSpan w:val="2"/>
            <w:vMerge w:val="continue"/>
            <w:tcBorders>
              <w:top w:val="nil"/>
              <w:left w:val="single" w:color="auto" w:sz="4" w:space="0"/>
              <w:bottom w:val="single" w:color="auto" w:sz="4" w:space="0"/>
              <w:right w:val="single" w:color="auto" w:sz="4" w:space="0"/>
            </w:tcBorders>
            <w:vAlign w:val="center"/>
          </w:tcPr>
          <w:p w14:paraId="484D46C7">
            <w:pPr>
              <w:widowControl/>
              <w:spacing w:line="360" w:lineRule="auto"/>
              <w:jc w:val="left"/>
              <w:rPr>
                <w:rFonts w:ascii="宋体" w:hAnsi="宋体"/>
                <w:bCs/>
              </w:rPr>
            </w:pPr>
          </w:p>
        </w:tc>
        <w:tc>
          <w:tcPr>
            <w:tcW w:w="1097" w:type="dxa"/>
            <w:tcBorders>
              <w:top w:val="single" w:color="auto" w:sz="4" w:space="0"/>
              <w:left w:val="single" w:color="auto" w:sz="4" w:space="0"/>
              <w:bottom w:val="single" w:color="auto" w:sz="4" w:space="0"/>
              <w:right w:val="single" w:color="auto" w:sz="4" w:space="0"/>
            </w:tcBorders>
            <w:vAlign w:val="center"/>
          </w:tcPr>
          <w:p w14:paraId="26769CCE">
            <w:pPr>
              <w:spacing w:line="360" w:lineRule="auto"/>
              <w:jc w:val="center"/>
              <w:rPr>
                <w:rFonts w:ascii="宋体" w:hAnsi="宋体" w:cs="宋体"/>
              </w:rPr>
            </w:pPr>
            <w:r>
              <w:rPr>
                <w:rFonts w:hint="eastAsia" w:ascii="宋体" w:hAnsi="宋体" w:cs="宋体"/>
              </w:rPr>
              <w:t>7、资源配备计划</w:t>
            </w:r>
            <w:r>
              <w:rPr>
                <w:rFonts w:hint="eastAsia" w:ascii="宋体" w:hAnsi="宋体" w:cs="宋体"/>
                <w:lang w:val="en-US" w:eastAsia="zh-CN"/>
              </w:rPr>
              <w:t>4</w:t>
            </w:r>
            <w:r>
              <w:rPr>
                <w:rFonts w:hint="eastAsia" w:ascii="宋体" w:hAnsi="宋体" w:cs="宋体"/>
              </w:rPr>
              <w:t>分</w:t>
            </w:r>
          </w:p>
        </w:tc>
        <w:tc>
          <w:tcPr>
            <w:tcW w:w="6805" w:type="dxa"/>
            <w:gridSpan w:val="2"/>
            <w:tcBorders>
              <w:top w:val="single" w:color="auto" w:sz="4" w:space="0"/>
              <w:left w:val="single" w:color="auto" w:sz="4" w:space="0"/>
              <w:bottom w:val="single" w:color="auto" w:sz="4" w:space="0"/>
              <w:right w:val="single" w:color="auto" w:sz="4" w:space="0"/>
            </w:tcBorders>
            <w:vAlign w:val="center"/>
          </w:tcPr>
          <w:p w14:paraId="24EB1B92">
            <w:pPr>
              <w:widowControl/>
              <w:numPr>
                <w:ilvl w:val="0"/>
                <w:numId w:val="3"/>
              </w:numPr>
              <w:spacing w:line="360" w:lineRule="auto"/>
              <w:jc w:val="left"/>
              <w:rPr>
                <w:rFonts w:ascii="宋体" w:hAnsi="宋体" w:cs="宋体"/>
                <w:kern w:val="0"/>
              </w:rPr>
            </w:pPr>
            <w:r>
              <w:rPr>
                <w:rFonts w:hint="eastAsia" w:ascii="宋体" w:hAnsi="宋体" w:cs="宋体"/>
                <w:kern w:val="0"/>
              </w:rPr>
              <w:t>机械:投入计划与进度计划呼应,采用先进机械设备且配置合理、先进,满足安全技术规范和施工进度需要；</w:t>
            </w:r>
          </w:p>
          <w:p w14:paraId="02DC8B66">
            <w:pPr>
              <w:widowControl/>
              <w:spacing w:line="360" w:lineRule="auto"/>
              <w:jc w:val="left"/>
              <w:rPr>
                <w:rFonts w:ascii="宋体" w:hAnsi="宋体" w:cs="宋体"/>
                <w:kern w:val="0"/>
              </w:rPr>
            </w:pPr>
            <w:r>
              <w:rPr>
                <w:rFonts w:hint="eastAsia" w:ascii="宋体" w:hAnsi="宋体" w:cs="宋体"/>
                <w:kern w:val="0"/>
              </w:rPr>
              <w:t>2.劳动力:投入计划与进度计划呼应,较好满足施工需要,调配投入计划合理、准确；</w:t>
            </w:r>
          </w:p>
          <w:p w14:paraId="5024DD1C">
            <w:pPr>
              <w:spacing w:line="360" w:lineRule="auto"/>
              <w:rPr>
                <w:rFonts w:ascii="宋体" w:hAnsi="宋体" w:cs="宋体"/>
              </w:rPr>
            </w:pPr>
            <w:r>
              <w:rPr>
                <w:rFonts w:hint="eastAsia" w:ascii="宋体" w:hAnsi="宋体" w:cs="宋体"/>
              </w:rPr>
              <w:t>3．主要物资计划:主要物资投入计划与进度计划呼应,较好满足施工需要,调配投入计划合理、准确。</w:t>
            </w:r>
          </w:p>
          <w:p w14:paraId="53C7242B">
            <w:pPr>
              <w:widowControl/>
              <w:spacing w:line="360" w:lineRule="auto"/>
              <w:rPr>
                <w:rFonts w:ascii="宋体" w:hAnsi="宋体"/>
              </w:rPr>
            </w:pPr>
            <w:r>
              <w:rPr>
                <w:rFonts w:hint="eastAsia" w:ascii="宋体" w:hAnsi="宋体"/>
              </w:rPr>
              <w:t>内容详实，计划科学、合理，完全满足项目要求，得</w:t>
            </w:r>
            <w:r>
              <w:rPr>
                <w:rFonts w:hint="eastAsia" w:ascii="宋体" w:hAnsi="宋体"/>
                <w:lang w:val="en-US" w:eastAsia="zh-CN"/>
              </w:rPr>
              <w:t>4</w:t>
            </w:r>
            <w:r>
              <w:rPr>
                <w:rFonts w:hint="eastAsia" w:ascii="宋体" w:hAnsi="宋体"/>
              </w:rPr>
              <w:t>分；</w:t>
            </w:r>
          </w:p>
          <w:p w14:paraId="3693B52F">
            <w:pPr>
              <w:widowControl/>
              <w:spacing w:line="360" w:lineRule="auto"/>
              <w:rPr>
                <w:rFonts w:ascii="宋体" w:hAnsi="宋体"/>
              </w:rPr>
            </w:pPr>
            <w:r>
              <w:rPr>
                <w:rFonts w:hint="eastAsia" w:ascii="宋体" w:hAnsi="宋体"/>
              </w:rPr>
              <w:t>内容完整，计划合理，得</w:t>
            </w:r>
            <w:r>
              <w:rPr>
                <w:rFonts w:hint="eastAsia" w:ascii="宋体" w:hAnsi="宋体"/>
                <w:lang w:val="en-US" w:eastAsia="zh-CN"/>
              </w:rPr>
              <w:t>2</w:t>
            </w:r>
            <w:r>
              <w:rPr>
                <w:rFonts w:hint="eastAsia" w:ascii="宋体" w:hAnsi="宋体"/>
              </w:rPr>
              <w:t>分；</w:t>
            </w:r>
          </w:p>
          <w:p w14:paraId="74DC5A80">
            <w:pPr>
              <w:widowControl/>
              <w:spacing w:line="360" w:lineRule="auto"/>
              <w:rPr>
                <w:rFonts w:ascii="宋体" w:hAnsi="宋体"/>
              </w:rPr>
            </w:pPr>
            <w:r>
              <w:rPr>
                <w:rFonts w:hint="eastAsia" w:ascii="宋体" w:hAnsi="宋体"/>
              </w:rPr>
              <w:t>内容基本满足项目要求，得1分；</w:t>
            </w:r>
          </w:p>
          <w:p w14:paraId="4A0B83A5">
            <w:pPr>
              <w:widowControl/>
              <w:spacing w:line="360" w:lineRule="auto"/>
              <w:jc w:val="left"/>
              <w:rPr>
                <w:rFonts w:ascii="宋体" w:hAnsi="宋体" w:cs="宋体"/>
              </w:rPr>
            </w:pPr>
            <w:r>
              <w:rPr>
                <w:rFonts w:hint="eastAsia" w:ascii="宋体" w:hAnsi="宋体"/>
              </w:rPr>
              <w:t>缺项得</w:t>
            </w:r>
            <w:r>
              <w:rPr>
                <w:rFonts w:hint="eastAsia"/>
              </w:rPr>
              <w:t>0</w:t>
            </w:r>
            <w:r>
              <w:rPr>
                <w:rFonts w:hint="eastAsia" w:ascii="宋体" w:hAnsi="宋体"/>
              </w:rPr>
              <w:t>分。</w:t>
            </w:r>
          </w:p>
        </w:tc>
      </w:tr>
      <w:tr w14:paraId="5333E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1" w:type="dxa"/>
            <w:vMerge w:val="continue"/>
            <w:tcBorders>
              <w:top w:val="nil"/>
              <w:left w:val="single" w:color="auto" w:sz="4" w:space="0"/>
              <w:bottom w:val="single" w:color="auto" w:sz="4" w:space="0"/>
              <w:right w:val="single" w:color="auto" w:sz="4" w:space="0"/>
            </w:tcBorders>
            <w:vAlign w:val="center"/>
          </w:tcPr>
          <w:p w14:paraId="6FB0E2F8">
            <w:pPr>
              <w:widowControl/>
              <w:spacing w:line="360" w:lineRule="auto"/>
              <w:jc w:val="left"/>
              <w:rPr>
                <w:rFonts w:ascii="宋体" w:hAnsi="宋体"/>
                <w:bCs/>
              </w:rPr>
            </w:pPr>
          </w:p>
        </w:tc>
        <w:tc>
          <w:tcPr>
            <w:tcW w:w="663" w:type="dxa"/>
            <w:gridSpan w:val="2"/>
            <w:vMerge w:val="continue"/>
            <w:tcBorders>
              <w:top w:val="nil"/>
              <w:left w:val="single" w:color="auto" w:sz="4" w:space="0"/>
              <w:bottom w:val="single" w:color="auto" w:sz="4" w:space="0"/>
              <w:right w:val="single" w:color="auto" w:sz="4" w:space="0"/>
            </w:tcBorders>
            <w:vAlign w:val="center"/>
          </w:tcPr>
          <w:p w14:paraId="3AB4DFD2">
            <w:pPr>
              <w:widowControl/>
              <w:spacing w:line="360" w:lineRule="auto"/>
              <w:jc w:val="left"/>
              <w:rPr>
                <w:rFonts w:ascii="宋体" w:hAnsi="宋体"/>
                <w:bCs/>
              </w:rPr>
            </w:pPr>
          </w:p>
        </w:tc>
        <w:tc>
          <w:tcPr>
            <w:tcW w:w="1097" w:type="dxa"/>
            <w:tcBorders>
              <w:top w:val="single" w:color="auto" w:sz="4" w:space="0"/>
              <w:left w:val="single" w:color="auto" w:sz="4" w:space="0"/>
              <w:bottom w:val="single" w:color="auto" w:sz="4" w:space="0"/>
              <w:right w:val="single" w:color="auto" w:sz="4" w:space="0"/>
            </w:tcBorders>
            <w:vAlign w:val="center"/>
          </w:tcPr>
          <w:p w14:paraId="1C1FE68A">
            <w:pPr>
              <w:spacing w:line="360" w:lineRule="auto"/>
              <w:jc w:val="center"/>
              <w:rPr>
                <w:rFonts w:ascii="宋体" w:hAnsi="宋体" w:cs="宋体"/>
              </w:rPr>
            </w:pPr>
            <w:r>
              <w:rPr>
                <w:rFonts w:hint="eastAsia" w:ascii="宋体" w:hAnsi="宋体" w:cs="宋体"/>
              </w:rPr>
              <w:t>8、紧急情况的处理措施、应急预案以及风险控制措施</w:t>
            </w:r>
            <w:r>
              <w:rPr>
                <w:rFonts w:hint="eastAsia" w:ascii="宋体" w:hAnsi="宋体" w:cs="宋体"/>
                <w:lang w:val="en-US" w:eastAsia="zh-CN"/>
              </w:rPr>
              <w:t>4</w:t>
            </w:r>
            <w:r>
              <w:rPr>
                <w:rFonts w:hint="eastAsia" w:ascii="宋体" w:hAnsi="宋体" w:cs="宋体"/>
              </w:rPr>
              <w:t>分</w:t>
            </w:r>
          </w:p>
        </w:tc>
        <w:tc>
          <w:tcPr>
            <w:tcW w:w="6805" w:type="dxa"/>
            <w:gridSpan w:val="2"/>
            <w:tcBorders>
              <w:top w:val="single" w:color="auto" w:sz="4" w:space="0"/>
              <w:left w:val="single" w:color="auto" w:sz="4" w:space="0"/>
              <w:bottom w:val="single" w:color="auto" w:sz="4" w:space="0"/>
              <w:right w:val="single" w:color="auto" w:sz="4" w:space="0"/>
            </w:tcBorders>
            <w:vAlign w:val="center"/>
          </w:tcPr>
          <w:p w14:paraId="57BAA57A">
            <w:pPr>
              <w:widowControl/>
              <w:spacing w:line="360" w:lineRule="auto"/>
              <w:rPr>
                <w:rFonts w:ascii="宋体" w:hAnsi="宋体" w:cs="宋体"/>
                <w:kern w:val="0"/>
              </w:rPr>
            </w:pPr>
            <w:r>
              <w:rPr>
                <w:rFonts w:hint="eastAsia" w:ascii="宋体" w:hAnsi="宋体" w:cs="宋体"/>
              </w:rPr>
              <w:t>制定详细的应急预案，紧急情况的处理</w:t>
            </w:r>
            <w:r>
              <w:rPr>
                <w:rFonts w:hint="eastAsia" w:ascii="宋体" w:hAnsi="宋体" w:cs="宋体"/>
                <w:kern w:val="0"/>
              </w:rPr>
              <w:t>措施齐全</w:t>
            </w:r>
            <w:r>
              <w:rPr>
                <w:rFonts w:hint="eastAsia" w:ascii="宋体" w:hAnsi="宋体" w:cs="宋体"/>
              </w:rPr>
              <w:t>、</w:t>
            </w:r>
            <w:r>
              <w:rPr>
                <w:rFonts w:hint="eastAsia" w:ascii="宋体" w:hAnsi="宋体" w:cs="宋体"/>
                <w:kern w:val="0"/>
              </w:rPr>
              <w:t>风险防控管理措施齐全,</w:t>
            </w:r>
            <w:r>
              <w:rPr>
                <w:rFonts w:hint="eastAsia" w:ascii="宋体" w:hAnsi="宋体" w:cs="宋体"/>
              </w:rPr>
              <w:t>紧急情况的处理、</w:t>
            </w:r>
            <w:r>
              <w:rPr>
                <w:rFonts w:hint="eastAsia" w:ascii="宋体" w:hAnsi="宋体" w:cs="宋体"/>
                <w:kern w:val="0"/>
              </w:rPr>
              <w:t xml:space="preserve">风险预控符合规范要求, </w:t>
            </w:r>
            <w:r>
              <w:rPr>
                <w:rFonts w:hint="eastAsia" w:ascii="宋体" w:hAnsi="宋体" w:cs="宋体"/>
              </w:rPr>
              <w:t>紧急情况的处理、</w:t>
            </w:r>
            <w:r>
              <w:rPr>
                <w:rFonts w:hint="eastAsia" w:ascii="宋体" w:hAnsi="宋体" w:cs="宋体"/>
                <w:kern w:val="0"/>
              </w:rPr>
              <w:t>风险控制要点定位准确,各阶段</w:t>
            </w:r>
            <w:r>
              <w:rPr>
                <w:rFonts w:hint="eastAsia" w:ascii="宋体" w:hAnsi="宋体" w:cs="宋体"/>
              </w:rPr>
              <w:t>紧急情况的处理、</w:t>
            </w:r>
            <w:r>
              <w:rPr>
                <w:rFonts w:hint="eastAsia" w:ascii="宋体" w:hAnsi="宋体" w:cs="宋体"/>
                <w:kern w:val="0"/>
              </w:rPr>
              <w:t>风险控制及应急措施得力。</w:t>
            </w:r>
          </w:p>
          <w:p w14:paraId="4408E738">
            <w:pPr>
              <w:widowControl/>
              <w:spacing w:line="360" w:lineRule="auto"/>
              <w:rPr>
                <w:rFonts w:ascii="宋体" w:hAnsi="宋体"/>
              </w:rPr>
            </w:pPr>
            <w:r>
              <w:rPr>
                <w:rFonts w:hint="eastAsia" w:ascii="宋体" w:hAnsi="宋体"/>
              </w:rPr>
              <w:t>内容详实，科学、合理，措施到位，针对性强，完全满足项目要求，得</w:t>
            </w:r>
            <w:r>
              <w:rPr>
                <w:rFonts w:hint="eastAsia" w:ascii="宋体" w:hAnsi="宋体"/>
                <w:lang w:val="en-US" w:eastAsia="zh-CN"/>
              </w:rPr>
              <w:t>4</w:t>
            </w:r>
            <w:r>
              <w:rPr>
                <w:rFonts w:hint="eastAsia" w:ascii="宋体" w:hAnsi="宋体"/>
              </w:rPr>
              <w:t>分；</w:t>
            </w:r>
          </w:p>
          <w:p w14:paraId="241A9112">
            <w:pPr>
              <w:widowControl/>
              <w:spacing w:line="360" w:lineRule="auto"/>
              <w:rPr>
                <w:rFonts w:ascii="宋体" w:hAnsi="宋体"/>
              </w:rPr>
            </w:pPr>
            <w:r>
              <w:rPr>
                <w:rFonts w:hint="eastAsia" w:ascii="宋体" w:hAnsi="宋体"/>
              </w:rPr>
              <w:t>内容完整，措施合理，针对性较强，得</w:t>
            </w:r>
            <w:r>
              <w:rPr>
                <w:rFonts w:hint="eastAsia" w:ascii="宋体" w:hAnsi="宋体"/>
                <w:lang w:val="en-US" w:eastAsia="zh-CN"/>
              </w:rPr>
              <w:t>2</w:t>
            </w:r>
            <w:r>
              <w:rPr>
                <w:rFonts w:hint="eastAsia" w:ascii="宋体" w:hAnsi="宋体"/>
              </w:rPr>
              <w:t>分；</w:t>
            </w:r>
          </w:p>
          <w:p w14:paraId="64D4C309">
            <w:pPr>
              <w:widowControl/>
              <w:spacing w:line="360" w:lineRule="auto"/>
              <w:rPr>
                <w:rFonts w:ascii="宋体" w:hAnsi="宋体"/>
              </w:rPr>
            </w:pPr>
            <w:r>
              <w:rPr>
                <w:rFonts w:hint="eastAsia" w:ascii="宋体" w:hAnsi="宋体"/>
              </w:rPr>
              <w:t>内容基本满足项目要求，得1分；</w:t>
            </w:r>
          </w:p>
          <w:p w14:paraId="70F1F810">
            <w:pPr>
              <w:widowControl/>
              <w:spacing w:line="360" w:lineRule="auto"/>
              <w:jc w:val="left"/>
              <w:rPr>
                <w:rFonts w:ascii="宋体" w:hAnsi="宋体" w:cs="宋体"/>
              </w:rPr>
            </w:pPr>
            <w:r>
              <w:rPr>
                <w:rFonts w:hint="eastAsia" w:ascii="宋体" w:hAnsi="宋体"/>
              </w:rPr>
              <w:t>缺项得</w:t>
            </w:r>
            <w:r>
              <w:rPr>
                <w:rFonts w:hint="eastAsia"/>
              </w:rPr>
              <w:t>0</w:t>
            </w:r>
            <w:r>
              <w:rPr>
                <w:rFonts w:hint="eastAsia" w:ascii="宋体" w:hAnsi="宋体"/>
              </w:rPr>
              <w:t>分。</w:t>
            </w:r>
          </w:p>
        </w:tc>
      </w:tr>
      <w:tr w14:paraId="028EC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871" w:type="dxa"/>
            <w:vMerge w:val="restart"/>
            <w:tcBorders>
              <w:top w:val="nil"/>
              <w:left w:val="single" w:color="auto" w:sz="4" w:space="0"/>
              <w:bottom w:val="single" w:color="auto" w:sz="4" w:space="0"/>
              <w:right w:val="single" w:color="auto" w:sz="4" w:space="0"/>
            </w:tcBorders>
            <w:vAlign w:val="center"/>
          </w:tcPr>
          <w:p w14:paraId="573945F4">
            <w:pPr>
              <w:adjustRightInd w:val="0"/>
              <w:spacing w:line="360" w:lineRule="auto"/>
              <w:jc w:val="center"/>
              <w:rPr>
                <w:rFonts w:ascii="宋体" w:hAnsi="宋体"/>
                <w:bCs/>
              </w:rPr>
            </w:pPr>
            <w:r>
              <w:rPr>
                <w:rFonts w:hint="eastAsia" w:ascii="宋体" w:hAnsi="宋体"/>
                <w:bCs/>
              </w:rPr>
              <w:t>2.3.1（3）</w:t>
            </w:r>
          </w:p>
        </w:tc>
        <w:tc>
          <w:tcPr>
            <w:tcW w:w="663" w:type="dxa"/>
            <w:gridSpan w:val="2"/>
            <w:vMerge w:val="restart"/>
            <w:tcBorders>
              <w:top w:val="nil"/>
              <w:left w:val="single" w:color="auto" w:sz="4" w:space="0"/>
              <w:bottom w:val="single" w:color="auto" w:sz="4" w:space="0"/>
              <w:right w:val="single" w:color="auto" w:sz="4" w:space="0"/>
            </w:tcBorders>
            <w:vAlign w:val="center"/>
          </w:tcPr>
          <w:p w14:paraId="37D4E00F">
            <w:pPr>
              <w:widowControl/>
              <w:spacing w:line="360" w:lineRule="auto"/>
              <w:jc w:val="center"/>
              <w:rPr>
                <w:rFonts w:ascii="宋体" w:hAnsi="宋体"/>
                <w:bCs/>
              </w:rPr>
            </w:pPr>
            <w:r>
              <w:rPr>
                <w:rFonts w:hint="eastAsia" w:ascii="宋体" w:hAnsi="宋体"/>
                <w:bCs/>
                <w:kern w:val="0"/>
              </w:rPr>
              <w:t>商务部分</w:t>
            </w:r>
          </w:p>
          <w:p w14:paraId="0D5D8526">
            <w:pPr>
              <w:adjustRightInd w:val="0"/>
              <w:spacing w:line="360" w:lineRule="auto"/>
              <w:jc w:val="center"/>
              <w:rPr>
                <w:rFonts w:ascii="宋体" w:hAnsi="宋体"/>
                <w:bCs/>
              </w:rPr>
            </w:pPr>
            <w:r>
              <w:rPr>
                <w:rFonts w:hint="eastAsia" w:ascii="宋体" w:hAnsi="宋体"/>
                <w:bCs/>
              </w:rPr>
              <w:t>标准</w:t>
            </w:r>
            <w:r>
              <w:rPr>
                <w:rFonts w:ascii="宋体" w:hAnsi="宋体"/>
                <w:bCs/>
              </w:rPr>
              <w:t>25</w:t>
            </w:r>
            <w:r>
              <w:rPr>
                <w:rFonts w:hint="eastAsia" w:ascii="宋体" w:hAnsi="宋体"/>
                <w:bCs/>
              </w:rPr>
              <w:t>分</w:t>
            </w:r>
          </w:p>
        </w:tc>
        <w:tc>
          <w:tcPr>
            <w:tcW w:w="1097" w:type="dxa"/>
            <w:tcBorders>
              <w:top w:val="single" w:color="auto" w:sz="4" w:space="0"/>
              <w:left w:val="single" w:color="auto" w:sz="4" w:space="0"/>
              <w:bottom w:val="single" w:color="auto" w:sz="4" w:space="0"/>
              <w:right w:val="single" w:color="auto" w:sz="4" w:space="0"/>
            </w:tcBorders>
            <w:vAlign w:val="center"/>
          </w:tcPr>
          <w:p w14:paraId="5D7E663F">
            <w:pPr>
              <w:widowControl/>
              <w:spacing w:line="360" w:lineRule="auto"/>
              <w:jc w:val="center"/>
              <w:rPr>
                <w:rFonts w:ascii="宋体" w:hAnsi="宋体" w:cs="宋体"/>
                <w:bCs/>
                <w:color w:val="auto"/>
              </w:rPr>
            </w:pPr>
            <w:r>
              <w:rPr>
                <w:rFonts w:hint="eastAsia" w:ascii="宋体" w:hAnsi="宋体" w:cs="宋体"/>
                <w:color w:val="auto"/>
              </w:rPr>
              <w:t>企业业绩（</w:t>
            </w:r>
            <w:r>
              <w:rPr>
                <w:rFonts w:hint="eastAsia" w:ascii="宋体" w:hAnsi="宋体" w:cs="宋体"/>
                <w:color w:val="auto"/>
                <w:lang w:val="en-US" w:eastAsia="zh-CN"/>
              </w:rPr>
              <w:t>6</w:t>
            </w:r>
            <w:r>
              <w:rPr>
                <w:rFonts w:hint="eastAsia" w:ascii="宋体" w:hAnsi="宋体" w:cs="宋体"/>
                <w:color w:val="auto"/>
              </w:rPr>
              <w:t>分）</w:t>
            </w:r>
          </w:p>
        </w:tc>
        <w:tc>
          <w:tcPr>
            <w:tcW w:w="6805" w:type="dxa"/>
            <w:gridSpan w:val="2"/>
            <w:tcBorders>
              <w:top w:val="single" w:color="auto" w:sz="4" w:space="0"/>
              <w:left w:val="single" w:color="auto" w:sz="4" w:space="0"/>
              <w:bottom w:val="single" w:color="auto" w:sz="4" w:space="0"/>
              <w:right w:val="single" w:color="auto" w:sz="4" w:space="0"/>
            </w:tcBorders>
            <w:vAlign w:val="center"/>
          </w:tcPr>
          <w:p w14:paraId="6F39D376">
            <w:pPr>
              <w:widowControl/>
              <w:spacing w:line="360" w:lineRule="auto"/>
              <w:jc w:val="left"/>
              <w:rPr>
                <w:rFonts w:hint="eastAsia" w:ascii="宋体" w:hAnsi="宋体" w:cs="宋体"/>
                <w:color w:val="auto"/>
                <w:shd w:val="clear" w:color="auto" w:fill="FFFFFF"/>
              </w:rPr>
            </w:pPr>
            <w:r>
              <w:rPr>
                <w:rFonts w:hint="eastAsia" w:ascii="宋体" w:hAnsi="宋体" w:cs="宋体"/>
                <w:color w:val="auto"/>
                <w:shd w:val="clear" w:color="auto" w:fill="FFFFFF"/>
              </w:rPr>
              <w:t>自 202</w:t>
            </w:r>
            <w:r>
              <w:rPr>
                <w:rFonts w:hint="eastAsia" w:ascii="宋体" w:hAnsi="宋体" w:cs="宋体"/>
                <w:color w:val="auto"/>
                <w:shd w:val="clear" w:color="auto" w:fill="FFFFFF"/>
                <w:lang w:val="en-US" w:eastAsia="zh-CN"/>
              </w:rPr>
              <w:t>2</w:t>
            </w:r>
            <w:r>
              <w:rPr>
                <w:rFonts w:hint="eastAsia" w:ascii="宋体" w:hAnsi="宋体" w:cs="宋体"/>
                <w:color w:val="auto"/>
                <w:shd w:val="clear" w:color="auto" w:fill="FFFFFF"/>
              </w:rPr>
              <w:t>年 1 月 1 日以来（以合同签订时间为准），供应商具有</w:t>
            </w:r>
            <w:r>
              <w:rPr>
                <w:rFonts w:hint="eastAsia" w:ascii="宋体" w:hAnsi="宋体" w:cs="宋体"/>
                <w:color w:val="auto"/>
                <w:shd w:val="clear" w:color="auto" w:fill="FFFFFF"/>
                <w:lang w:eastAsia="zh-CN"/>
              </w:rPr>
              <w:t>装饰装修类</w:t>
            </w:r>
            <w:r>
              <w:rPr>
                <w:rFonts w:hint="eastAsia" w:ascii="宋体" w:hAnsi="宋体" w:cs="宋体"/>
                <w:color w:val="auto"/>
                <w:shd w:val="clear" w:color="auto" w:fill="FFFFFF"/>
              </w:rPr>
              <w:t>项目业绩的，每提供一份得</w:t>
            </w:r>
            <w:r>
              <w:rPr>
                <w:rFonts w:hint="eastAsia" w:ascii="宋体" w:hAnsi="宋体" w:cs="宋体"/>
                <w:color w:val="auto"/>
                <w:shd w:val="clear" w:color="auto" w:fill="FFFFFF"/>
                <w:lang w:val="en-US" w:eastAsia="zh-CN"/>
              </w:rPr>
              <w:t>3</w:t>
            </w:r>
            <w:r>
              <w:rPr>
                <w:rFonts w:hint="eastAsia" w:ascii="宋体" w:hAnsi="宋体" w:cs="宋体"/>
                <w:color w:val="auto"/>
                <w:shd w:val="clear" w:color="auto" w:fill="FFFFFF"/>
              </w:rPr>
              <w:t>分，最高得</w:t>
            </w:r>
            <w:r>
              <w:rPr>
                <w:rFonts w:hint="eastAsia" w:ascii="宋体" w:hAnsi="宋体" w:cs="宋体"/>
                <w:color w:val="auto"/>
                <w:shd w:val="clear" w:color="auto" w:fill="FFFFFF"/>
                <w:lang w:val="en-US" w:eastAsia="zh-CN"/>
              </w:rPr>
              <w:t>6</w:t>
            </w:r>
            <w:r>
              <w:rPr>
                <w:rFonts w:hint="eastAsia" w:ascii="宋体" w:hAnsi="宋体" w:cs="宋体"/>
                <w:color w:val="auto"/>
                <w:shd w:val="clear" w:color="auto" w:fill="FFFFFF"/>
              </w:rPr>
              <w:t>分。</w:t>
            </w:r>
          </w:p>
          <w:p w14:paraId="3C975BDA">
            <w:pPr>
              <w:widowControl/>
              <w:spacing w:line="360" w:lineRule="auto"/>
              <w:jc w:val="left"/>
              <w:rPr>
                <w:rFonts w:hint="eastAsia" w:ascii="宋体" w:hAnsi="宋体" w:eastAsia="宋体" w:cs="宋体"/>
                <w:color w:val="auto"/>
                <w:lang w:eastAsia="zh-CN"/>
              </w:rPr>
            </w:pPr>
            <w:r>
              <w:rPr>
                <w:rFonts w:hint="eastAsia" w:ascii="宋体" w:hAnsi="宋体" w:cs="宋体"/>
                <w:b/>
                <w:bCs/>
                <w:color w:val="auto"/>
                <w:shd w:val="clear" w:color="auto" w:fill="FFFFFF"/>
              </w:rPr>
              <w:t>提供</w:t>
            </w:r>
            <w:r>
              <w:rPr>
                <w:rFonts w:hint="eastAsia" w:ascii="宋体" w:hAnsi="宋体" w:cs="宋体"/>
                <w:b/>
                <w:bCs/>
                <w:color w:val="auto"/>
                <w:shd w:val="clear" w:color="auto" w:fill="FFFFFF"/>
                <w:lang w:val="en-US" w:eastAsia="zh-CN"/>
              </w:rPr>
              <w:t>合同及项目验收报告扫描件。</w:t>
            </w:r>
          </w:p>
        </w:tc>
      </w:tr>
      <w:tr w14:paraId="0F29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871" w:type="dxa"/>
            <w:vMerge w:val="continue"/>
            <w:tcBorders>
              <w:left w:val="single" w:color="auto" w:sz="4" w:space="0"/>
              <w:right w:val="single" w:color="auto" w:sz="4" w:space="0"/>
            </w:tcBorders>
            <w:vAlign w:val="center"/>
          </w:tcPr>
          <w:p w14:paraId="1B9F5AEF">
            <w:pPr>
              <w:adjustRightInd w:val="0"/>
              <w:spacing w:line="360" w:lineRule="auto"/>
              <w:jc w:val="center"/>
              <w:rPr>
                <w:rFonts w:ascii="宋体" w:hAnsi="宋体"/>
                <w:bCs/>
              </w:rPr>
            </w:pPr>
          </w:p>
        </w:tc>
        <w:tc>
          <w:tcPr>
            <w:tcW w:w="663" w:type="dxa"/>
            <w:gridSpan w:val="2"/>
            <w:vMerge w:val="continue"/>
            <w:tcBorders>
              <w:left w:val="single" w:color="auto" w:sz="4" w:space="0"/>
              <w:right w:val="single" w:color="auto" w:sz="4" w:space="0"/>
            </w:tcBorders>
            <w:vAlign w:val="center"/>
          </w:tcPr>
          <w:p w14:paraId="68A3E533">
            <w:pPr>
              <w:adjustRightInd w:val="0"/>
              <w:spacing w:line="360" w:lineRule="auto"/>
              <w:jc w:val="center"/>
              <w:rPr>
                <w:rFonts w:ascii="宋体" w:hAnsi="宋体"/>
                <w:bCs/>
              </w:rPr>
            </w:pPr>
          </w:p>
        </w:tc>
        <w:tc>
          <w:tcPr>
            <w:tcW w:w="1097" w:type="dxa"/>
            <w:tcBorders>
              <w:top w:val="single" w:color="auto" w:sz="4" w:space="0"/>
              <w:left w:val="single" w:color="auto" w:sz="4" w:space="0"/>
              <w:bottom w:val="single" w:color="auto" w:sz="4" w:space="0"/>
              <w:right w:val="single" w:color="auto" w:sz="4" w:space="0"/>
            </w:tcBorders>
            <w:vAlign w:val="center"/>
          </w:tcPr>
          <w:p w14:paraId="7B63B693">
            <w:pPr>
              <w:widowControl/>
              <w:spacing w:line="360" w:lineRule="auto"/>
              <w:jc w:val="center"/>
              <w:rPr>
                <w:rFonts w:ascii="宋体" w:hAnsi="宋体" w:cs="宋体"/>
                <w:color w:val="auto"/>
              </w:rPr>
            </w:pPr>
            <w:r>
              <w:rPr>
                <w:rFonts w:hint="eastAsia" w:ascii="宋体" w:hAnsi="宋体" w:cs="宋体"/>
                <w:color w:val="auto"/>
              </w:rPr>
              <w:t>项目经理业绩（</w:t>
            </w:r>
            <w:r>
              <w:rPr>
                <w:rFonts w:hint="eastAsia" w:ascii="宋体" w:hAnsi="宋体" w:cs="宋体"/>
                <w:color w:val="auto"/>
                <w:lang w:val="en-US" w:eastAsia="zh-CN"/>
              </w:rPr>
              <w:t>3</w:t>
            </w:r>
            <w:r>
              <w:rPr>
                <w:rFonts w:hint="eastAsia" w:ascii="宋体" w:hAnsi="宋体" w:cs="宋体"/>
                <w:color w:val="auto"/>
              </w:rPr>
              <w:t>分）</w:t>
            </w:r>
          </w:p>
        </w:tc>
        <w:tc>
          <w:tcPr>
            <w:tcW w:w="6805" w:type="dxa"/>
            <w:gridSpan w:val="2"/>
            <w:tcBorders>
              <w:top w:val="single" w:color="auto" w:sz="4" w:space="0"/>
              <w:left w:val="single" w:color="auto" w:sz="4" w:space="0"/>
              <w:bottom w:val="single" w:color="auto" w:sz="4" w:space="0"/>
              <w:right w:val="single" w:color="auto" w:sz="4" w:space="0"/>
            </w:tcBorders>
            <w:vAlign w:val="center"/>
          </w:tcPr>
          <w:p w14:paraId="57A824A2">
            <w:pPr>
              <w:widowControl/>
              <w:spacing w:line="360" w:lineRule="auto"/>
              <w:rPr>
                <w:rFonts w:hint="eastAsia" w:ascii="宋体" w:hAnsi="宋体" w:eastAsia="宋体" w:cs="宋体"/>
              </w:rPr>
            </w:pPr>
            <w:r>
              <w:rPr>
                <w:rFonts w:hint="eastAsia" w:ascii="宋体" w:hAnsi="宋体" w:cs="宋体"/>
                <w:color w:val="auto"/>
                <w:shd w:val="clear" w:color="auto" w:fill="FFFFFF"/>
                <w:lang w:eastAsia="zh-CN"/>
              </w:rPr>
              <w:t>供应商拟派</w:t>
            </w:r>
            <w:r>
              <w:rPr>
                <w:rFonts w:hint="eastAsia" w:ascii="宋体" w:hAnsi="宋体" w:cs="宋体"/>
                <w:color w:val="auto"/>
                <w:shd w:val="clear" w:color="auto" w:fill="FFFFFF"/>
              </w:rPr>
              <w:t>项目经理具有自202</w:t>
            </w:r>
            <w:r>
              <w:rPr>
                <w:rFonts w:hint="eastAsia" w:ascii="宋体" w:hAnsi="宋体" w:cs="宋体"/>
                <w:color w:val="auto"/>
                <w:shd w:val="clear" w:color="auto" w:fill="FFFFFF"/>
                <w:lang w:val="en-US" w:eastAsia="zh-CN"/>
              </w:rPr>
              <w:t>2</w:t>
            </w:r>
            <w:r>
              <w:rPr>
                <w:rFonts w:hint="eastAsia" w:ascii="宋体" w:hAnsi="宋体" w:cs="宋体"/>
                <w:color w:val="auto"/>
                <w:shd w:val="clear" w:color="auto" w:fill="FFFFFF"/>
              </w:rPr>
              <w:t>年</w:t>
            </w:r>
            <w:r>
              <w:rPr>
                <w:rFonts w:hint="eastAsia" w:ascii="宋体" w:hAnsi="宋体" w:cs="宋体"/>
                <w:color w:val="auto"/>
                <w:shd w:val="clear" w:color="auto" w:fill="FFFFFF"/>
                <w:lang w:val="en-US" w:eastAsia="zh-CN"/>
              </w:rPr>
              <w:t>1月1日</w:t>
            </w:r>
            <w:r>
              <w:rPr>
                <w:rFonts w:hint="eastAsia" w:ascii="宋体" w:hAnsi="宋体" w:cs="宋体"/>
                <w:color w:val="auto"/>
                <w:shd w:val="clear" w:color="auto" w:fill="FFFFFF"/>
              </w:rPr>
              <w:t>以来（以合同签订时间为准）</w:t>
            </w:r>
            <w:r>
              <w:rPr>
                <w:rFonts w:hint="eastAsia" w:ascii="宋体" w:hAnsi="宋体" w:cs="宋体"/>
                <w:color w:val="auto"/>
                <w:shd w:val="clear" w:color="auto" w:fill="FFFFFF"/>
                <w:lang w:eastAsia="zh-CN"/>
              </w:rPr>
              <w:t>装饰装修类</w:t>
            </w:r>
            <w:r>
              <w:rPr>
                <w:rFonts w:hint="eastAsia" w:ascii="宋体" w:hAnsi="宋体" w:cs="宋体"/>
                <w:color w:val="auto"/>
                <w:shd w:val="clear" w:color="auto" w:fill="FFFFFF"/>
              </w:rPr>
              <w:t>项目业绩，每提供一份得</w:t>
            </w:r>
            <w:r>
              <w:rPr>
                <w:rFonts w:hint="eastAsia" w:ascii="宋体" w:hAnsi="宋体" w:cs="宋体"/>
                <w:color w:val="auto"/>
                <w:shd w:val="clear" w:color="auto" w:fill="FFFFFF"/>
                <w:lang w:val="en-US" w:eastAsia="zh-CN"/>
              </w:rPr>
              <w:t>3</w:t>
            </w:r>
            <w:r>
              <w:rPr>
                <w:rFonts w:hint="eastAsia" w:ascii="宋体" w:hAnsi="宋体" w:cs="宋体"/>
                <w:color w:val="auto"/>
                <w:shd w:val="clear" w:color="auto" w:fill="FFFFFF"/>
              </w:rPr>
              <w:t>分，最高得</w:t>
            </w:r>
            <w:r>
              <w:rPr>
                <w:rFonts w:hint="eastAsia" w:ascii="宋体" w:hAnsi="宋体" w:cs="宋体"/>
                <w:color w:val="auto"/>
                <w:shd w:val="clear" w:color="auto" w:fill="FFFFFF"/>
                <w:lang w:val="en-US" w:eastAsia="zh-CN"/>
              </w:rPr>
              <w:t>3</w:t>
            </w:r>
            <w:r>
              <w:rPr>
                <w:rFonts w:hint="eastAsia" w:ascii="宋体" w:hAnsi="宋体" w:cs="宋体"/>
                <w:color w:val="auto"/>
                <w:shd w:val="clear" w:color="auto" w:fill="FFFFFF"/>
              </w:rPr>
              <w:t>分。提供合同</w:t>
            </w:r>
            <w:r>
              <w:rPr>
                <w:rFonts w:hint="eastAsia" w:ascii="宋体" w:hAnsi="宋体" w:cs="宋体"/>
                <w:color w:val="auto"/>
                <w:shd w:val="clear" w:color="auto" w:fill="FFFFFF"/>
                <w:lang w:val="en-US" w:eastAsia="zh-CN"/>
              </w:rPr>
              <w:t>扫描</w:t>
            </w:r>
            <w:r>
              <w:rPr>
                <w:rFonts w:hint="eastAsia" w:ascii="宋体" w:hAnsi="宋体" w:eastAsia="宋体" w:cs="宋体"/>
                <w:lang w:val="en-US" w:eastAsia="zh-CN"/>
              </w:rPr>
              <w:t>件</w:t>
            </w:r>
            <w:r>
              <w:rPr>
                <w:rFonts w:hint="eastAsia" w:ascii="宋体" w:hAnsi="宋体" w:eastAsia="宋体" w:cs="宋体"/>
              </w:rPr>
              <w:t xml:space="preserve">； </w:t>
            </w:r>
          </w:p>
          <w:p w14:paraId="6908051E">
            <w:pPr>
              <w:widowControl/>
              <w:spacing w:line="360" w:lineRule="auto"/>
              <w:rPr>
                <w:rFonts w:hint="eastAsia" w:eastAsia="黑体"/>
                <w:lang w:eastAsia="zh-CN"/>
              </w:rPr>
            </w:pPr>
            <w:bookmarkStart w:id="956" w:name="_Toc18300"/>
            <w:r>
              <w:rPr>
                <w:rFonts w:hint="eastAsia" w:ascii="宋体" w:hAnsi="宋体" w:eastAsia="宋体" w:cs="宋体"/>
                <w:b/>
                <w:bCs/>
                <w:lang w:val="en-US" w:eastAsia="zh-CN"/>
              </w:rPr>
              <w:t>提供合同及项目验收报告扫描件，合同或验收报告中须体现项目经理姓名，企业业绩与项目经理业绩不可重复。</w:t>
            </w:r>
            <w:bookmarkEnd w:id="956"/>
          </w:p>
        </w:tc>
      </w:tr>
      <w:tr w14:paraId="146C6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871" w:type="dxa"/>
            <w:vMerge w:val="continue"/>
            <w:tcBorders>
              <w:left w:val="single" w:color="auto" w:sz="4" w:space="0"/>
              <w:right w:val="single" w:color="auto" w:sz="4" w:space="0"/>
            </w:tcBorders>
            <w:vAlign w:val="center"/>
          </w:tcPr>
          <w:p w14:paraId="63AD0887">
            <w:pPr>
              <w:adjustRightInd w:val="0"/>
              <w:spacing w:line="360" w:lineRule="auto"/>
              <w:jc w:val="center"/>
              <w:rPr>
                <w:rFonts w:ascii="宋体" w:hAnsi="宋体"/>
                <w:bCs/>
              </w:rPr>
            </w:pPr>
          </w:p>
        </w:tc>
        <w:tc>
          <w:tcPr>
            <w:tcW w:w="663" w:type="dxa"/>
            <w:gridSpan w:val="2"/>
            <w:vMerge w:val="continue"/>
            <w:tcBorders>
              <w:left w:val="single" w:color="auto" w:sz="4" w:space="0"/>
              <w:right w:val="single" w:color="auto" w:sz="4" w:space="0"/>
            </w:tcBorders>
            <w:vAlign w:val="center"/>
          </w:tcPr>
          <w:p w14:paraId="47BEACFF">
            <w:pPr>
              <w:adjustRightInd w:val="0"/>
              <w:spacing w:line="360" w:lineRule="auto"/>
              <w:jc w:val="center"/>
              <w:rPr>
                <w:rFonts w:ascii="宋体" w:hAnsi="宋体"/>
                <w:bCs/>
              </w:rPr>
            </w:pPr>
          </w:p>
        </w:tc>
        <w:tc>
          <w:tcPr>
            <w:tcW w:w="1097" w:type="dxa"/>
            <w:vMerge w:val="restart"/>
            <w:tcBorders>
              <w:top w:val="single" w:color="auto" w:sz="4" w:space="0"/>
              <w:left w:val="single" w:color="auto" w:sz="4" w:space="0"/>
              <w:right w:val="single" w:color="auto" w:sz="4" w:space="0"/>
            </w:tcBorders>
            <w:vAlign w:val="center"/>
          </w:tcPr>
          <w:p w14:paraId="1F2E5011">
            <w:pPr>
              <w:widowControl/>
              <w:spacing w:line="360" w:lineRule="auto"/>
              <w:jc w:val="center"/>
              <w:rPr>
                <w:rFonts w:ascii="宋体" w:hAnsi="宋体" w:cs="宋体"/>
                <w:color w:val="auto"/>
              </w:rPr>
            </w:pPr>
            <w:r>
              <w:rPr>
                <w:rFonts w:hint="eastAsia" w:ascii="宋体" w:hAnsi="宋体" w:cs="宋体"/>
                <w:color w:val="auto"/>
              </w:rPr>
              <w:t>项目管理机构（7分）</w:t>
            </w:r>
          </w:p>
        </w:tc>
        <w:tc>
          <w:tcPr>
            <w:tcW w:w="6805" w:type="dxa"/>
            <w:gridSpan w:val="2"/>
            <w:tcBorders>
              <w:top w:val="single" w:color="auto" w:sz="4" w:space="0"/>
              <w:left w:val="single" w:color="auto" w:sz="4" w:space="0"/>
              <w:bottom w:val="single" w:color="auto" w:sz="4" w:space="0"/>
              <w:right w:val="single" w:color="auto" w:sz="4" w:space="0"/>
            </w:tcBorders>
          </w:tcPr>
          <w:p w14:paraId="21A522E6">
            <w:pPr>
              <w:numPr>
                <w:ilvl w:val="0"/>
                <w:numId w:val="4"/>
              </w:numPr>
              <w:adjustRightInd w:val="0"/>
              <w:snapToGrid w:val="0"/>
              <w:spacing w:line="360" w:lineRule="auto"/>
              <w:jc w:val="left"/>
              <w:rPr>
                <w:rFonts w:hint="eastAsia" w:ascii="宋体" w:hAnsi="宋体" w:cs="宋体"/>
                <w:color w:val="auto"/>
                <w:highlight w:val="none"/>
                <w:u w:val="none"/>
                <w:shd w:val="clear" w:color="auto" w:fill="FFFFFF"/>
              </w:rPr>
            </w:pPr>
            <w:r>
              <w:rPr>
                <w:rFonts w:hint="eastAsia" w:ascii="宋体" w:hAnsi="宋体" w:cs="宋体"/>
                <w:color w:val="auto"/>
                <w:highlight w:val="none"/>
                <w:u w:val="none"/>
                <w:shd w:val="clear" w:color="auto" w:fill="FFFFFF"/>
              </w:rPr>
              <w:t>拟投入技术负责人具备建筑相关专业高级工程师及以上职称的得2分，未提供不得分。</w:t>
            </w:r>
          </w:p>
          <w:p w14:paraId="608D5E71">
            <w:pPr>
              <w:widowControl/>
              <w:spacing w:line="360" w:lineRule="auto"/>
              <w:rPr>
                <w:rFonts w:hint="eastAsia" w:ascii="宋体" w:hAnsi="宋体" w:eastAsia="宋体" w:cs="宋体"/>
                <w:color w:val="auto"/>
                <w:highlight w:val="none"/>
                <w:u w:val="none"/>
                <w:shd w:val="clear" w:color="auto" w:fill="FFFFFF"/>
                <w:lang w:eastAsia="zh-CN"/>
              </w:rPr>
            </w:pPr>
            <w:r>
              <w:rPr>
                <w:rFonts w:hint="eastAsia" w:ascii="宋体" w:hAnsi="宋体" w:eastAsia="宋体" w:cs="宋体"/>
                <w:b/>
                <w:bCs/>
                <w:lang w:val="en-US" w:eastAsia="zh-CN"/>
              </w:rPr>
              <w:t>提供技术负责人职称证和供应商为其缴纳的社保证明，否则不得分。</w:t>
            </w:r>
          </w:p>
        </w:tc>
      </w:tr>
      <w:tr w14:paraId="172C5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871" w:type="dxa"/>
            <w:vMerge w:val="continue"/>
            <w:tcBorders>
              <w:left w:val="single" w:color="auto" w:sz="4" w:space="0"/>
              <w:right w:val="single" w:color="auto" w:sz="4" w:space="0"/>
            </w:tcBorders>
            <w:vAlign w:val="center"/>
          </w:tcPr>
          <w:p w14:paraId="1866778A">
            <w:pPr>
              <w:adjustRightInd w:val="0"/>
              <w:spacing w:line="360" w:lineRule="auto"/>
              <w:jc w:val="center"/>
              <w:rPr>
                <w:rFonts w:ascii="宋体" w:hAnsi="宋体"/>
                <w:bCs/>
              </w:rPr>
            </w:pPr>
          </w:p>
        </w:tc>
        <w:tc>
          <w:tcPr>
            <w:tcW w:w="663" w:type="dxa"/>
            <w:gridSpan w:val="2"/>
            <w:vMerge w:val="continue"/>
            <w:tcBorders>
              <w:left w:val="single" w:color="auto" w:sz="4" w:space="0"/>
              <w:right w:val="single" w:color="auto" w:sz="4" w:space="0"/>
            </w:tcBorders>
            <w:vAlign w:val="center"/>
          </w:tcPr>
          <w:p w14:paraId="546E8D9D">
            <w:pPr>
              <w:adjustRightInd w:val="0"/>
              <w:spacing w:line="360" w:lineRule="auto"/>
              <w:jc w:val="center"/>
              <w:rPr>
                <w:rFonts w:ascii="宋体" w:hAnsi="宋体"/>
                <w:bCs/>
              </w:rPr>
            </w:pPr>
          </w:p>
        </w:tc>
        <w:tc>
          <w:tcPr>
            <w:tcW w:w="1097" w:type="dxa"/>
            <w:vMerge w:val="continue"/>
            <w:tcBorders>
              <w:left w:val="single" w:color="auto" w:sz="4" w:space="0"/>
              <w:bottom w:val="single" w:color="auto" w:sz="4" w:space="0"/>
              <w:right w:val="single" w:color="auto" w:sz="4" w:space="0"/>
            </w:tcBorders>
            <w:vAlign w:val="center"/>
          </w:tcPr>
          <w:p w14:paraId="64A1716F">
            <w:pPr>
              <w:widowControl/>
              <w:spacing w:line="360" w:lineRule="auto"/>
              <w:jc w:val="center"/>
              <w:rPr>
                <w:rFonts w:ascii="宋体" w:hAnsi="宋体" w:cs="宋体"/>
                <w:color w:val="auto"/>
              </w:rPr>
            </w:pPr>
          </w:p>
        </w:tc>
        <w:tc>
          <w:tcPr>
            <w:tcW w:w="6805" w:type="dxa"/>
            <w:gridSpan w:val="2"/>
            <w:tcBorders>
              <w:top w:val="single" w:color="auto" w:sz="4" w:space="0"/>
              <w:left w:val="single" w:color="auto" w:sz="4" w:space="0"/>
              <w:bottom w:val="single" w:color="auto" w:sz="4" w:space="0"/>
              <w:right w:val="single" w:color="auto" w:sz="4" w:space="0"/>
            </w:tcBorders>
          </w:tcPr>
          <w:p w14:paraId="664BE82C">
            <w:pPr>
              <w:adjustRightInd w:val="0"/>
              <w:snapToGrid w:val="0"/>
              <w:spacing w:line="360" w:lineRule="auto"/>
              <w:jc w:val="left"/>
              <w:rPr>
                <w:rFonts w:ascii="宋体" w:hAnsi="宋体" w:cs="宋体"/>
                <w:color w:val="auto"/>
                <w:shd w:val="clear" w:color="auto" w:fill="FFFFFF"/>
              </w:rPr>
            </w:pPr>
            <w:r>
              <w:rPr>
                <w:rFonts w:hint="eastAsia" w:ascii="宋体" w:hAnsi="宋体" w:cs="宋体"/>
                <w:color w:val="auto"/>
                <w:shd w:val="clear" w:color="auto" w:fill="FFFFFF"/>
                <w:lang w:val="en-US" w:eastAsia="zh-CN"/>
              </w:rPr>
              <w:t>2</w:t>
            </w:r>
            <w:r>
              <w:rPr>
                <w:rFonts w:hint="eastAsia" w:ascii="宋体" w:hAnsi="宋体" w:cs="宋体"/>
                <w:color w:val="auto"/>
                <w:shd w:val="clear" w:color="auto" w:fill="FFFFFF"/>
              </w:rPr>
              <w:t>、项目管理机构配备有五大员（施工员、造价人员、质量员（质检员）、安全员、材料员）齐全的，得</w:t>
            </w:r>
            <w:r>
              <w:rPr>
                <w:rFonts w:hint="eastAsia" w:ascii="宋体" w:hAnsi="宋体" w:cs="宋体"/>
                <w:color w:val="auto"/>
                <w:shd w:val="clear" w:color="auto" w:fill="FFFFFF"/>
                <w:lang w:val="en-US" w:eastAsia="zh-CN"/>
              </w:rPr>
              <w:t>5</w:t>
            </w:r>
            <w:r>
              <w:rPr>
                <w:rFonts w:hint="eastAsia" w:ascii="宋体" w:hAnsi="宋体" w:cs="宋体"/>
                <w:color w:val="auto"/>
                <w:shd w:val="clear" w:color="auto" w:fill="FFFFFF"/>
              </w:rPr>
              <w:t>分，缺一项扣1分，扣完为止。</w:t>
            </w:r>
          </w:p>
          <w:p w14:paraId="050B3E22">
            <w:pPr>
              <w:widowControl/>
              <w:spacing w:line="360" w:lineRule="auto"/>
              <w:rPr>
                <w:rFonts w:ascii="宋体" w:hAnsi="宋体" w:cs="宋体"/>
                <w:color w:val="auto"/>
                <w:shd w:val="clear" w:color="auto" w:fill="FFFFFF"/>
              </w:rPr>
            </w:pPr>
            <w:r>
              <w:rPr>
                <w:rFonts w:hint="eastAsia" w:ascii="宋体" w:hAnsi="宋体" w:eastAsia="宋体" w:cs="宋体"/>
                <w:b/>
                <w:bCs/>
                <w:lang w:val="en-US" w:eastAsia="zh-CN"/>
              </w:rPr>
              <w:t>提供人员岗位证书扫描件和供应商为其缴纳的社保证明，否则不得分。</w:t>
            </w:r>
          </w:p>
        </w:tc>
      </w:tr>
      <w:tr w14:paraId="7DA22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1" w:type="dxa"/>
            <w:vMerge w:val="continue"/>
            <w:tcBorders>
              <w:top w:val="nil"/>
              <w:left w:val="single" w:color="auto" w:sz="4" w:space="0"/>
              <w:bottom w:val="single" w:color="auto" w:sz="4" w:space="0"/>
              <w:right w:val="single" w:color="auto" w:sz="4" w:space="0"/>
            </w:tcBorders>
            <w:vAlign w:val="center"/>
          </w:tcPr>
          <w:p w14:paraId="1397B4E8">
            <w:pPr>
              <w:widowControl/>
              <w:spacing w:line="360" w:lineRule="auto"/>
              <w:jc w:val="left"/>
              <w:rPr>
                <w:rFonts w:ascii="宋体" w:hAnsi="宋体"/>
                <w:bCs/>
              </w:rPr>
            </w:pPr>
          </w:p>
        </w:tc>
        <w:tc>
          <w:tcPr>
            <w:tcW w:w="663" w:type="dxa"/>
            <w:gridSpan w:val="2"/>
            <w:vMerge w:val="continue"/>
            <w:tcBorders>
              <w:top w:val="nil"/>
              <w:left w:val="single" w:color="auto" w:sz="4" w:space="0"/>
              <w:bottom w:val="single" w:color="auto" w:sz="4" w:space="0"/>
              <w:right w:val="single" w:color="auto" w:sz="4" w:space="0"/>
            </w:tcBorders>
            <w:vAlign w:val="center"/>
          </w:tcPr>
          <w:p w14:paraId="1BD3C4C1">
            <w:pPr>
              <w:widowControl/>
              <w:spacing w:line="360" w:lineRule="auto"/>
              <w:jc w:val="left"/>
              <w:rPr>
                <w:rFonts w:ascii="宋体" w:hAnsi="宋体"/>
                <w:bCs/>
              </w:rPr>
            </w:pPr>
          </w:p>
        </w:tc>
        <w:tc>
          <w:tcPr>
            <w:tcW w:w="1097" w:type="dxa"/>
            <w:tcBorders>
              <w:top w:val="nil"/>
              <w:left w:val="single" w:color="auto" w:sz="4" w:space="0"/>
              <w:right w:val="single" w:color="auto" w:sz="4" w:space="0"/>
            </w:tcBorders>
          </w:tcPr>
          <w:p w14:paraId="3A97C521">
            <w:pPr>
              <w:spacing w:line="360" w:lineRule="auto"/>
              <w:jc w:val="center"/>
            </w:pPr>
            <w:r>
              <w:rPr>
                <w:rFonts w:hint="eastAsia"/>
              </w:rPr>
              <w:t>管理体系</w:t>
            </w:r>
          </w:p>
          <w:p w14:paraId="2417B5BC">
            <w:pPr>
              <w:spacing w:line="360" w:lineRule="auto"/>
              <w:jc w:val="center"/>
              <w:rPr>
                <w:rFonts w:ascii="宋体" w:hAnsi="宋体"/>
                <w:bCs/>
              </w:rPr>
            </w:pPr>
            <w:r>
              <w:rPr>
                <w:rFonts w:hint="eastAsia"/>
              </w:rPr>
              <w:t>（3分）</w:t>
            </w:r>
          </w:p>
        </w:tc>
        <w:tc>
          <w:tcPr>
            <w:tcW w:w="6805" w:type="dxa"/>
            <w:gridSpan w:val="2"/>
            <w:tcBorders>
              <w:top w:val="single" w:color="auto" w:sz="4" w:space="0"/>
              <w:left w:val="single" w:color="auto" w:sz="4" w:space="0"/>
              <w:bottom w:val="single" w:color="auto" w:sz="4" w:space="0"/>
              <w:right w:val="single" w:color="auto" w:sz="4" w:space="0"/>
            </w:tcBorders>
          </w:tcPr>
          <w:p w14:paraId="6BD8A8EE">
            <w:pPr>
              <w:spacing w:line="360" w:lineRule="auto"/>
              <w:rPr>
                <w:rFonts w:hint="default" w:ascii="宋体" w:hAnsi="宋体" w:eastAsia="宋体"/>
                <w:lang w:val="en-US" w:eastAsia="zh-CN"/>
              </w:rPr>
            </w:pPr>
            <w:r>
              <w:rPr>
                <w:rFonts w:hint="eastAsia" w:ascii="宋体" w:hAnsi="宋体"/>
              </w:rPr>
              <w:t>供应商具备有效期内的质量管理体系认证证书、环境管理体系认证证书、职业安全健康管理体系认证证书， 每提供一项得 1分，最高得 3分。</w:t>
            </w:r>
            <w:r>
              <w:rPr>
                <w:rFonts w:hint="eastAsia" w:ascii="宋体" w:hAnsi="宋体" w:eastAsia="宋体" w:cs="宋体"/>
                <w:b/>
                <w:bCs/>
                <w:lang w:val="en-US" w:eastAsia="zh-CN"/>
              </w:rPr>
              <w:t>提供证书扫描件。</w:t>
            </w:r>
          </w:p>
        </w:tc>
      </w:tr>
      <w:tr w14:paraId="0BE40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1" w:type="dxa"/>
            <w:vMerge w:val="continue"/>
            <w:tcBorders>
              <w:top w:val="nil"/>
              <w:left w:val="single" w:color="auto" w:sz="4" w:space="0"/>
              <w:bottom w:val="single" w:color="auto" w:sz="4" w:space="0"/>
              <w:right w:val="single" w:color="auto" w:sz="4" w:space="0"/>
            </w:tcBorders>
            <w:vAlign w:val="center"/>
          </w:tcPr>
          <w:p w14:paraId="79998614">
            <w:pPr>
              <w:widowControl/>
              <w:spacing w:line="360" w:lineRule="auto"/>
              <w:jc w:val="left"/>
              <w:rPr>
                <w:rFonts w:ascii="宋体" w:hAnsi="宋体"/>
                <w:bCs/>
              </w:rPr>
            </w:pPr>
          </w:p>
        </w:tc>
        <w:tc>
          <w:tcPr>
            <w:tcW w:w="663" w:type="dxa"/>
            <w:gridSpan w:val="2"/>
            <w:vMerge w:val="continue"/>
            <w:tcBorders>
              <w:top w:val="nil"/>
              <w:left w:val="single" w:color="auto" w:sz="4" w:space="0"/>
              <w:bottom w:val="single" w:color="auto" w:sz="4" w:space="0"/>
              <w:right w:val="single" w:color="auto" w:sz="4" w:space="0"/>
            </w:tcBorders>
            <w:vAlign w:val="center"/>
          </w:tcPr>
          <w:p w14:paraId="46553888">
            <w:pPr>
              <w:widowControl/>
              <w:spacing w:line="360" w:lineRule="auto"/>
              <w:jc w:val="left"/>
              <w:rPr>
                <w:rFonts w:ascii="宋体" w:hAnsi="宋体"/>
                <w:bCs/>
              </w:rPr>
            </w:pPr>
          </w:p>
        </w:tc>
        <w:tc>
          <w:tcPr>
            <w:tcW w:w="1097" w:type="dxa"/>
            <w:vMerge w:val="restart"/>
            <w:tcBorders>
              <w:top w:val="nil"/>
              <w:left w:val="single" w:color="auto" w:sz="4" w:space="0"/>
              <w:right w:val="single" w:color="auto" w:sz="4" w:space="0"/>
            </w:tcBorders>
            <w:vAlign w:val="center"/>
          </w:tcPr>
          <w:p w14:paraId="3B29A369">
            <w:pPr>
              <w:spacing w:line="360" w:lineRule="auto"/>
              <w:jc w:val="center"/>
              <w:rPr>
                <w:rFonts w:ascii="宋体" w:hAnsi="宋体"/>
                <w:bCs/>
              </w:rPr>
            </w:pPr>
            <w:r>
              <w:rPr>
                <w:rFonts w:hint="eastAsia" w:ascii="宋体" w:hAnsi="宋体"/>
                <w:bCs/>
              </w:rPr>
              <w:t>服务承诺6分</w:t>
            </w:r>
          </w:p>
          <w:p w14:paraId="703B795C">
            <w:pPr>
              <w:spacing w:line="360" w:lineRule="auto"/>
              <w:jc w:val="center"/>
              <w:rPr>
                <w:rFonts w:ascii="宋体" w:hAnsi="宋体"/>
                <w:bCs/>
              </w:rPr>
            </w:pPr>
          </w:p>
        </w:tc>
        <w:tc>
          <w:tcPr>
            <w:tcW w:w="6805" w:type="dxa"/>
            <w:gridSpan w:val="2"/>
            <w:tcBorders>
              <w:top w:val="single" w:color="auto" w:sz="4" w:space="0"/>
              <w:left w:val="single" w:color="auto" w:sz="4" w:space="0"/>
              <w:bottom w:val="single" w:color="auto" w:sz="4" w:space="0"/>
              <w:right w:val="single" w:color="auto" w:sz="4" w:space="0"/>
            </w:tcBorders>
            <w:vAlign w:val="center"/>
          </w:tcPr>
          <w:p w14:paraId="0A1156D3">
            <w:pPr>
              <w:spacing w:line="360" w:lineRule="auto"/>
            </w:pPr>
            <w:r>
              <w:rPr>
                <w:rFonts w:hint="eastAsia" w:ascii="宋体" w:hAnsi="宋体"/>
              </w:rPr>
              <w:t>（</w:t>
            </w:r>
            <w:r>
              <w:rPr>
                <w:rFonts w:hint="eastAsia"/>
              </w:rPr>
              <w:t>1</w:t>
            </w:r>
            <w:r>
              <w:rPr>
                <w:rFonts w:hint="eastAsia" w:ascii="宋体" w:hAnsi="宋体"/>
              </w:rPr>
              <w:t>）供应商针对招标工程的特点和要求，结合自身的条件和潜力，承诺加快工程进度及资金、技术、机械设备、劳务投入的承诺；</w:t>
            </w:r>
            <w:r>
              <w:t xml:space="preserve"> </w:t>
            </w:r>
          </w:p>
          <w:p w14:paraId="3D9F0B34">
            <w:pPr>
              <w:widowControl/>
              <w:spacing w:line="360" w:lineRule="auto"/>
              <w:rPr>
                <w:rFonts w:ascii="宋体" w:hAnsi="宋体"/>
              </w:rPr>
            </w:pPr>
            <w:r>
              <w:rPr>
                <w:rFonts w:hint="eastAsia" w:ascii="宋体" w:hAnsi="宋体"/>
              </w:rPr>
              <w:t>内容详实，方案科学、合理，考虑周全，措施到位，针对性强，完全满足招标要求，得2分；</w:t>
            </w:r>
          </w:p>
          <w:p w14:paraId="567AB951">
            <w:pPr>
              <w:widowControl/>
              <w:spacing w:line="360" w:lineRule="auto"/>
              <w:rPr>
                <w:rFonts w:ascii="宋体" w:hAnsi="宋体"/>
              </w:rPr>
            </w:pPr>
            <w:r>
              <w:rPr>
                <w:rFonts w:hint="eastAsia" w:ascii="宋体" w:hAnsi="宋体"/>
              </w:rPr>
              <w:t>内容完整，方案基本科学、合理，基本考虑周全，措施基本到位，针对性较强，基本满足招标需求，得1分；</w:t>
            </w:r>
          </w:p>
          <w:p w14:paraId="5EBA1798">
            <w:pPr>
              <w:widowControl/>
              <w:spacing w:line="360" w:lineRule="auto"/>
              <w:rPr>
                <w:rFonts w:ascii="宋体" w:hAnsi="宋体"/>
              </w:rPr>
            </w:pPr>
            <w:r>
              <w:rPr>
                <w:rFonts w:hint="eastAsia" w:ascii="宋体" w:hAnsi="宋体"/>
              </w:rPr>
              <w:t>内容较完整，方案基本科学、合理，基本考虑周全，措施基本，到位，针对性较强，基本满足招标需求，得0.5分；</w:t>
            </w:r>
          </w:p>
          <w:p w14:paraId="6E99CAD4">
            <w:pPr>
              <w:spacing w:line="360" w:lineRule="auto"/>
              <w:jc w:val="left"/>
              <w:rPr>
                <w:rFonts w:ascii="宋体" w:hAnsi="宋体"/>
                <w:bCs/>
              </w:rPr>
            </w:pPr>
            <w:r>
              <w:rPr>
                <w:rFonts w:hint="eastAsia" w:ascii="宋体" w:hAnsi="宋体"/>
              </w:rPr>
              <w:t>缺项得</w:t>
            </w:r>
            <w:r>
              <w:rPr>
                <w:rFonts w:hint="eastAsia"/>
              </w:rPr>
              <w:t>0</w:t>
            </w:r>
            <w:r>
              <w:rPr>
                <w:rFonts w:hint="eastAsia" w:ascii="宋体" w:hAnsi="宋体"/>
              </w:rPr>
              <w:t>分。</w:t>
            </w:r>
          </w:p>
        </w:tc>
      </w:tr>
      <w:tr w14:paraId="341D1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71" w:type="dxa"/>
            <w:vMerge w:val="continue"/>
            <w:tcBorders>
              <w:top w:val="nil"/>
              <w:left w:val="single" w:color="auto" w:sz="4" w:space="0"/>
              <w:bottom w:val="single" w:color="auto" w:sz="4" w:space="0"/>
              <w:right w:val="single" w:color="auto" w:sz="4" w:space="0"/>
            </w:tcBorders>
            <w:vAlign w:val="center"/>
          </w:tcPr>
          <w:p w14:paraId="63072134">
            <w:pPr>
              <w:widowControl/>
              <w:spacing w:line="360" w:lineRule="auto"/>
              <w:jc w:val="left"/>
              <w:rPr>
                <w:rFonts w:ascii="宋体" w:hAnsi="宋体"/>
                <w:bCs/>
              </w:rPr>
            </w:pPr>
          </w:p>
        </w:tc>
        <w:tc>
          <w:tcPr>
            <w:tcW w:w="663" w:type="dxa"/>
            <w:gridSpan w:val="2"/>
            <w:vMerge w:val="continue"/>
            <w:tcBorders>
              <w:top w:val="nil"/>
              <w:left w:val="single" w:color="auto" w:sz="4" w:space="0"/>
              <w:bottom w:val="single" w:color="auto" w:sz="4" w:space="0"/>
              <w:right w:val="single" w:color="auto" w:sz="4" w:space="0"/>
            </w:tcBorders>
            <w:vAlign w:val="center"/>
          </w:tcPr>
          <w:p w14:paraId="334C6ABE">
            <w:pPr>
              <w:widowControl/>
              <w:spacing w:line="360" w:lineRule="auto"/>
              <w:jc w:val="left"/>
              <w:rPr>
                <w:rFonts w:ascii="宋体" w:hAnsi="宋体"/>
                <w:bCs/>
              </w:rPr>
            </w:pPr>
          </w:p>
        </w:tc>
        <w:tc>
          <w:tcPr>
            <w:tcW w:w="1097" w:type="dxa"/>
            <w:vMerge w:val="continue"/>
            <w:tcBorders>
              <w:left w:val="single" w:color="auto" w:sz="4" w:space="0"/>
              <w:right w:val="single" w:color="auto" w:sz="4" w:space="0"/>
            </w:tcBorders>
            <w:vAlign w:val="center"/>
          </w:tcPr>
          <w:p w14:paraId="5835E186">
            <w:pPr>
              <w:widowControl/>
              <w:spacing w:line="360" w:lineRule="auto"/>
              <w:jc w:val="center"/>
              <w:rPr>
                <w:rFonts w:ascii="宋体" w:hAnsi="宋体"/>
                <w:bCs/>
              </w:rPr>
            </w:pPr>
          </w:p>
        </w:tc>
        <w:tc>
          <w:tcPr>
            <w:tcW w:w="6805" w:type="dxa"/>
            <w:gridSpan w:val="2"/>
            <w:tcBorders>
              <w:top w:val="single" w:color="auto" w:sz="4" w:space="0"/>
              <w:left w:val="single" w:color="auto" w:sz="4" w:space="0"/>
              <w:bottom w:val="single" w:color="auto" w:sz="4" w:space="0"/>
              <w:right w:val="single" w:color="auto" w:sz="4" w:space="0"/>
            </w:tcBorders>
            <w:vAlign w:val="center"/>
          </w:tcPr>
          <w:p w14:paraId="09F6E200">
            <w:pPr>
              <w:spacing w:line="360" w:lineRule="auto"/>
              <w:rPr>
                <w:rFonts w:hint="eastAsia"/>
                <w:lang w:eastAsia="zh-CN"/>
              </w:rPr>
            </w:pPr>
            <w:r>
              <w:rPr>
                <w:rFonts w:hint="eastAsia"/>
                <w:lang w:eastAsia="zh-CN"/>
              </w:rPr>
              <w:t>（</w:t>
            </w:r>
            <w:r>
              <w:rPr>
                <w:rFonts w:hint="eastAsia"/>
                <w:lang w:val="en-US" w:eastAsia="zh-CN"/>
              </w:rPr>
              <w:t>2</w:t>
            </w:r>
            <w:r>
              <w:rPr>
                <w:rFonts w:hint="eastAsia"/>
                <w:lang w:eastAsia="zh-CN"/>
              </w:rPr>
              <w:t>）</w:t>
            </w:r>
            <w:r>
              <w:rPr>
                <w:rFonts w:hint="eastAsia"/>
                <w:lang w:val="en-US" w:eastAsia="zh-CN"/>
              </w:rPr>
              <w:t>工程质量保修期内、外的服务承诺；</w:t>
            </w:r>
          </w:p>
          <w:p w14:paraId="7FFFE63D">
            <w:pPr>
              <w:spacing w:line="360" w:lineRule="auto"/>
              <w:rPr>
                <w:rFonts w:hint="eastAsia"/>
                <w:lang w:eastAsia="zh-CN"/>
              </w:rPr>
            </w:pPr>
            <w:r>
              <w:rPr>
                <w:rFonts w:hint="eastAsia"/>
                <w:lang w:val="en-US" w:eastAsia="zh-CN"/>
              </w:rPr>
              <w:t xml:space="preserve">供应商提供的保修期内、外服务承诺计划科学、合理、内容丰富的得2 分； </w:t>
            </w:r>
          </w:p>
          <w:p w14:paraId="6073269A">
            <w:pPr>
              <w:spacing w:line="360" w:lineRule="auto"/>
              <w:rPr>
                <w:rFonts w:hint="eastAsia"/>
                <w:lang w:val="en-US" w:eastAsia="zh-CN"/>
              </w:rPr>
            </w:pPr>
            <w:r>
              <w:rPr>
                <w:rFonts w:hint="eastAsia"/>
                <w:lang w:val="en-US" w:eastAsia="zh-CN"/>
              </w:rPr>
              <w:t>基本合理、基本满足要求，但内容不够丰富的得 1 分；</w:t>
            </w:r>
          </w:p>
          <w:p w14:paraId="2876BAF7">
            <w:pPr>
              <w:spacing w:line="360" w:lineRule="auto"/>
              <w:rPr>
                <w:rFonts w:hint="eastAsia" w:eastAsia="宋体"/>
                <w:lang w:eastAsia="zh-CN"/>
              </w:rPr>
            </w:pPr>
            <w:r>
              <w:rPr>
                <w:rFonts w:hint="eastAsia"/>
                <w:lang w:val="en-US" w:eastAsia="zh-CN"/>
              </w:rPr>
              <w:t>不提供不得分。</w:t>
            </w:r>
          </w:p>
        </w:tc>
      </w:tr>
      <w:tr w14:paraId="7A815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71" w:type="dxa"/>
            <w:vMerge w:val="continue"/>
            <w:tcBorders>
              <w:top w:val="nil"/>
              <w:left w:val="single" w:color="auto" w:sz="4" w:space="0"/>
              <w:bottom w:val="single" w:color="auto" w:sz="4" w:space="0"/>
              <w:right w:val="single" w:color="auto" w:sz="4" w:space="0"/>
            </w:tcBorders>
            <w:vAlign w:val="center"/>
          </w:tcPr>
          <w:p w14:paraId="0BB8745B">
            <w:pPr>
              <w:widowControl/>
              <w:spacing w:line="360" w:lineRule="auto"/>
              <w:jc w:val="left"/>
              <w:rPr>
                <w:rFonts w:ascii="宋体" w:hAnsi="宋体"/>
                <w:bCs/>
              </w:rPr>
            </w:pPr>
          </w:p>
        </w:tc>
        <w:tc>
          <w:tcPr>
            <w:tcW w:w="663" w:type="dxa"/>
            <w:gridSpan w:val="2"/>
            <w:vMerge w:val="continue"/>
            <w:tcBorders>
              <w:top w:val="nil"/>
              <w:left w:val="single" w:color="auto" w:sz="4" w:space="0"/>
              <w:bottom w:val="single" w:color="auto" w:sz="4" w:space="0"/>
              <w:right w:val="single" w:color="auto" w:sz="4" w:space="0"/>
            </w:tcBorders>
            <w:vAlign w:val="center"/>
          </w:tcPr>
          <w:p w14:paraId="7F948725">
            <w:pPr>
              <w:widowControl/>
              <w:spacing w:line="360" w:lineRule="auto"/>
              <w:jc w:val="left"/>
              <w:rPr>
                <w:rFonts w:ascii="宋体" w:hAnsi="宋体"/>
                <w:bCs/>
              </w:rPr>
            </w:pPr>
          </w:p>
        </w:tc>
        <w:tc>
          <w:tcPr>
            <w:tcW w:w="1097" w:type="dxa"/>
            <w:vMerge w:val="continue"/>
            <w:tcBorders>
              <w:left w:val="single" w:color="auto" w:sz="4" w:space="0"/>
              <w:right w:val="single" w:color="auto" w:sz="4" w:space="0"/>
            </w:tcBorders>
            <w:vAlign w:val="center"/>
          </w:tcPr>
          <w:p w14:paraId="6199080B">
            <w:pPr>
              <w:widowControl/>
              <w:spacing w:line="360" w:lineRule="auto"/>
              <w:jc w:val="left"/>
              <w:rPr>
                <w:rFonts w:ascii="宋体" w:hAnsi="宋体"/>
                <w:bCs/>
              </w:rPr>
            </w:pPr>
          </w:p>
        </w:tc>
        <w:tc>
          <w:tcPr>
            <w:tcW w:w="6805" w:type="dxa"/>
            <w:gridSpan w:val="2"/>
            <w:tcBorders>
              <w:top w:val="single" w:color="auto" w:sz="4" w:space="0"/>
              <w:left w:val="single" w:color="auto" w:sz="4" w:space="0"/>
              <w:bottom w:val="single" w:color="auto" w:sz="4" w:space="0"/>
              <w:right w:val="single" w:color="auto" w:sz="4" w:space="0"/>
            </w:tcBorders>
            <w:vAlign w:val="center"/>
          </w:tcPr>
          <w:p w14:paraId="6A83DCB9">
            <w:pPr>
              <w:numPr>
                <w:ilvl w:val="0"/>
                <w:numId w:val="5"/>
              </w:numPr>
              <w:spacing w:line="360" w:lineRule="auto"/>
              <w:rPr>
                <w:rFonts w:hint="eastAsia"/>
                <w:lang w:val="en-US" w:eastAsia="zh-CN"/>
              </w:rPr>
            </w:pPr>
            <w:r>
              <w:rPr>
                <w:rFonts w:hint="eastAsia"/>
                <w:lang w:val="en-US" w:eastAsia="zh-CN"/>
              </w:rPr>
              <w:t>关于成品保护、环境卫生、噪音、农民工工资方面的承诺；</w:t>
            </w:r>
          </w:p>
          <w:p w14:paraId="0051AC44">
            <w:pPr>
              <w:numPr>
                <w:ilvl w:val="0"/>
                <w:numId w:val="0"/>
              </w:numPr>
              <w:spacing w:line="360" w:lineRule="auto"/>
              <w:rPr>
                <w:rFonts w:hint="eastAsia"/>
                <w:lang w:val="en-US" w:eastAsia="zh-CN"/>
              </w:rPr>
            </w:pPr>
            <w:r>
              <w:rPr>
                <w:rFonts w:hint="eastAsia"/>
                <w:lang w:val="en-US" w:eastAsia="zh-CN"/>
              </w:rPr>
              <w:t>供应商针对成品保护范围、环境卫生、噪音、农民工工资保障方面提供完善妥帖方案的得2分；</w:t>
            </w:r>
          </w:p>
          <w:p w14:paraId="788673D6">
            <w:pPr>
              <w:numPr>
                <w:ilvl w:val="0"/>
                <w:numId w:val="0"/>
              </w:numPr>
              <w:spacing w:line="360" w:lineRule="auto"/>
              <w:rPr>
                <w:rFonts w:hint="eastAsia"/>
                <w:lang w:val="en-US" w:eastAsia="zh-CN"/>
              </w:rPr>
            </w:pPr>
            <w:r>
              <w:rPr>
                <w:rFonts w:hint="eastAsia"/>
                <w:lang w:val="en-US" w:eastAsia="zh-CN"/>
              </w:rPr>
              <w:t>基本合理、基本满足要求，但内容不够丰富的得 1 分；</w:t>
            </w:r>
          </w:p>
          <w:p w14:paraId="6B52F8C4">
            <w:pPr>
              <w:spacing w:line="360" w:lineRule="auto"/>
            </w:pPr>
            <w:r>
              <w:rPr>
                <w:rFonts w:hint="eastAsia"/>
                <w:lang w:val="en-US" w:eastAsia="zh-CN"/>
              </w:rPr>
              <w:t>未承诺或缺项不得分。</w:t>
            </w:r>
          </w:p>
        </w:tc>
      </w:tr>
      <w:bookmarkEnd w:id="954"/>
    </w:tbl>
    <w:p w14:paraId="6F208A4C">
      <w:pPr>
        <w:pStyle w:val="58"/>
        <w:ind w:firstLine="316"/>
        <w:rPr>
          <w:rFonts w:ascii="宋体" w:hAnsi="宋体" w:eastAsia="宋体"/>
          <w:b/>
          <w:bCs w:val="0"/>
          <w:sz w:val="21"/>
          <w:szCs w:val="21"/>
        </w:rPr>
      </w:pPr>
      <w:r>
        <w:rPr>
          <w:rFonts w:hint="eastAsia" w:ascii="宋体" w:hAnsi="宋体" w:eastAsia="宋体"/>
          <w:b/>
          <w:bCs w:val="0"/>
          <w:sz w:val="21"/>
          <w:szCs w:val="21"/>
        </w:rPr>
        <w:t xml:space="preserve">3. </w:t>
      </w:r>
      <w:bookmarkEnd w:id="935"/>
      <w:bookmarkEnd w:id="936"/>
      <w:bookmarkEnd w:id="937"/>
      <w:bookmarkEnd w:id="938"/>
      <w:bookmarkEnd w:id="939"/>
      <w:bookmarkEnd w:id="940"/>
      <w:bookmarkEnd w:id="941"/>
      <w:r>
        <w:rPr>
          <w:rFonts w:hint="eastAsia" w:ascii="宋体" w:hAnsi="宋体" w:eastAsia="宋体"/>
          <w:b/>
          <w:bCs w:val="0"/>
          <w:sz w:val="21"/>
          <w:szCs w:val="21"/>
        </w:rPr>
        <w:t>评审程序</w:t>
      </w:r>
      <w:bookmarkEnd w:id="942"/>
      <w:bookmarkEnd w:id="943"/>
      <w:bookmarkEnd w:id="944"/>
      <w:bookmarkEnd w:id="945"/>
      <w:bookmarkEnd w:id="946"/>
      <w:bookmarkEnd w:id="947"/>
      <w:bookmarkEnd w:id="948"/>
    </w:p>
    <w:p w14:paraId="280A22EE">
      <w:pPr>
        <w:spacing w:line="500" w:lineRule="exact"/>
        <w:ind w:firstLine="422" w:firstLineChars="200"/>
        <w:rPr>
          <w:rFonts w:ascii="宋体" w:hAnsi="宋体" w:cs="宋体"/>
          <w:b/>
          <w:bCs/>
        </w:rPr>
      </w:pPr>
      <w:bookmarkStart w:id="957" w:name="_Toc455867821"/>
      <w:bookmarkEnd w:id="957"/>
      <w:bookmarkStart w:id="958" w:name="_Toc30986"/>
      <w:bookmarkEnd w:id="958"/>
      <w:bookmarkStart w:id="959" w:name="_Toc455080161"/>
      <w:bookmarkEnd w:id="959"/>
      <w:bookmarkStart w:id="960" w:name="_Toc18886"/>
      <w:bookmarkEnd w:id="960"/>
      <w:bookmarkStart w:id="961" w:name="_Toc466298144"/>
      <w:bookmarkEnd w:id="961"/>
      <w:bookmarkStart w:id="962" w:name="_Toc318450727"/>
      <w:bookmarkEnd w:id="962"/>
      <w:bookmarkStart w:id="963" w:name="_Toc29614"/>
      <w:bookmarkEnd w:id="963"/>
      <w:bookmarkStart w:id="964" w:name="_Toc490667880"/>
      <w:bookmarkEnd w:id="964"/>
      <w:bookmarkStart w:id="965" w:name="_Toc281405533"/>
      <w:bookmarkEnd w:id="965"/>
      <w:bookmarkStart w:id="966" w:name="_Toc7272"/>
      <w:bookmarkEnd w:id="966"/>
      <w:bookmarkStart w:id="967" w:name="_Toc14633"/>
      <w:bookmarkEnd w:id="967"/>
      <w:bookmarkStart w:id="968" w:name="_Toc509667311"/>
      <w:bookmarkEnd w:id="968"/>
      <w:bookmarkStart w:id="969" w:name="_Toc29587"/>
      <w:bookmarkStart w:id="970" w:name="_Toc5427"/>
      <w:bookmarkStart w:id="971" w:name="_Toc129073513"/>
      <w:r>
        <w:rPr>
          <w:rFonts w:hint="eastAsia" w:ascii="宋体" w:hAnsi="宋体" w:cs="宋体"/>
          <w:b/>
          <w:bCs/>
        </w:rPr>
        <w:t>3.1 初步评审</w:t>
      </w:r>
      <w:bookmarkEnd w:id="969"/>
      <w:bookmarkEnd w:id="970"/>
      <w:bookmarkEnd w:id="971"/>
    </w:p>
    <w:p w14:paraId="2750F84E">
      <w:pPr>
        <w:spacing w:line="500" w:lineRule="exact"/>
        <w:ind w:firstLine="420" w:firstLineChars="200"/>
        <w:rPr>
          <w:rFonts w:ascii="宋体" w:hAnsi="宋体" w:cs="宋体"/>
        </w:rPr>
      </w:pPr>
      <w:r>
        <w:rPr>
          <w:rFonts w:hint="eastAsia" w:ascii="宋体" w:hAnsi="宋体" w:cs="宋体"/>
        </w:rPr>
        <w:t>3.1.1 磋商小组依据本章第2.1款规定的标准对响应文件进行初步评审（资格性审查、符合性审查）。有一项不符合评审标准的，作无效响应处理。</w:t>
      </w:r>
    </w:p>
    <w:p w14:paraId="1E927406">
      <w:pPr>
        <w:spacing w:line="500" w:lineRule="exact"/>
        <w:ind w:firstLine="420" w:firstLineChars="200"/>
        <w:rPr>
          <w:rFonts w:ascii="宋体" w:hAnsi="宋体" w:cs="宋体"/>
        </w:rPr>
      </w:pPr>
      <w:r>
        <w:rPr>
          <w:rFonts w:hint="eastAsia" w:ascii="宋体" w:hAnsi="宋体" w:cs="宋体"/>
        </w:rPr>
        <w:t>3.1.2 供应商有以下情形之一的，其响应文件作无效处理：</w:t>
      </w:r>
    </w:p>
    <w:p w14:paraId="0CA17002">
      <w:pPr>
        <w:spacing w:line="500" w:lineRule="exact"/>
        <w:ind w:firstLine="420" w:firstLineChars="200"/>
        <w:rPr>
          <w:rFonts w:ascii="宋体" w:hAnsi="宋体" w:cs="宋体"/>
        </w:rPr>
      </w:pPr>
      <w:r>
        <w:rPr>
          <w:rFonts w:hint="eastAsia" w:ascii="宋体" w:hAnsi="宋体" w:cs="宋体"/>
        </w:rPr>
        <w:t>（1）串通或弄虚作假或有其他违法行为的；</w:t>
      </w:r>
    </w:p>
    <w:p w14:paraId="72772BE1">
      <w:pPr>
        <w:spacing w:line="500" w:lineRule="exact"/>
        <w:ind w:firstLine="420" w:firstLineChars="200"/>
        <w:rPr>
          <w:rFonts w:ascii="宋体" w:hAnsi="宋体" w:cs="宋体"/>
        </w:rPr>
      </w:pPr>
      <w:r>
        <w:rPr>
          <w:rFonts w:hint="eastAsia" w:ascii="宋体" w:hAnsi="宋体" w:cs="宋体"/>
        </w:rPr>
        <w:t>（2）不按磋商小组要求澄清、说明或补正的；</w:t>
      </w:r>
    </w:p>
    <w:p w14:paraId="00D07656">
      <w:pPr>
        <w:spacing w:line="500" w:lineRule="exact"/>
        <w:ind w:firstLine="420" w:firstLineChars="200"/>
        <w:rPr>
          <w:rFonts w:ascii="宋体" w:hAnsi="宋体" w:cs="宋体"/>
        </w:rPr>
      </w:pPr>
      <w:r>
        <w:rPr>
          <w:rFonts w:hint="eastAsia" w:ascii="宋体" w:hAnsi="宋体" w:cs="宋体"/>
        </w:rPr>
        <w:t>（3）未按规定格式填写、内容不全或关键字迹模糊、无法辨认的；</w:t>
      </w:r>
    </w:p>
    <w:p w14:paraId="78F74795">
      <w:pPr>
        <w:spacing w:line="500" w:lineRule="exact"/>
        <w:ind w:firstLine="420" w:firstLineChars="200"/>
        <w:rPr>
          <w:rFonts w:ascii="宋体" w:hAnsi="宋体" w:cs="宋体"/>
        </w:rPr>
      </w:pPr>
      <w:r>
        <w:rPr>
          <w:rFonts w:hint="eastAsia" w:ascii="宋体" w:hAnsi="宋体" w:cs="宋体"/>
        </w:rPr>
        <w:t>（4）响应文件附有采购人不能接受的条件；</w:t>
      </w:r>
    </w:p>
    <w:p w14:paraId="13E76AEA">
      <w:pPr>
        <w:spacing w:line="500" w:lineRule="exact"/>
        <w:ind w:firstLine="420" w:firstLineChars="200"/>
        <w:rPr>
          <w:rFonts w:ascii="宋体" w:hAnsi="宋体" w:cs="宋体"/>
        </w:rPr>
      </w:pPr>
      <w:r>
        <w:rPr>
          <w:rFonts w:hint="eastAsia" w:ascii="宋体" w:hAnsi="宋体" w:cs="宋体"/>
        </w:rPr>
        <w:t>（5）不符合磋商文件规定的其他实质性要求。</w:t>
      </w:r>
    </w:p>
    <w:p w14:paraId="21B20E84">
      <w:pPr>
        <w:spacing w:line="500" w:lineRule="exact"/>
        <w:ind w:firstLine="420" w:firstLineChars="200"/>
        <w:rPr>
          <w:rFonts w:ascii="宋体" w:hAnsi="宋体" w:cs="宋体"/>
        </w:rPr>
      </w:pPr>
      <w:r>
        <w:rPr>
          <w:rFonts w:hint="eastAsia" w:ascii="宋体" w:hAnsi="宋体" w:cs="宋体"/>
        </w:rPr>
        <w:t>3.1.3 响应文件报价出现前后不一致的，按照下列规定修正：</w:t>
      </w:r>
    </w:p>
    <w:p w14:paraId="2D02053E">
      <w:pPr>
        <w:spacing w:line="500" w:lineRule="exact"/>
        <w:ind w:firstLine="420" w:firstLineChars="200"/>
        <w:rPr>
          <w:rFonts w:ascii="宋体" w:hAnsi="宋体" w:cs="宋体"/>
        </w:rPr>
      </w:pPr>
      <w:r>
        <w:rPr>
          <w:rFonts w:hint="eastAsia" w:ascii="宋体" w:hAnsi="宋体" w:cs="宋体"/>
        </w:rPr>
        <w:t>（一）响应文件中磋商函附录（报价表）内容与响应文件中相应内容不一致的，以磋商函附录（报价表）为准；</w:t>
      </w:r>
    </w:p>
    <w:p w14:paraId="10E64774">
      <w:pPr>
        <w:spacing w:line="500" w:lineRule="exact"/>
        <w:ind w:firstLine="420" w:firstLineChars="200"/>
        <w:rPr>
          <w:rFonts w:ascii="宋体" w:hAnsi="宋体" w:cs="宋体"/>
        </w:rPr>
      </w:pPr>
      <w:r>
        <w:rPr>
          <w:rFonts w:hint="eastAsia" w:ascii="宋体" w:hAnsi="宋体" w:cs="宋体"/>
        </w:rPr>
        <w:t>（二）大写金额和小写金额不一致的，以大写金额为准；</w:t>
      </w:r>
    </w:p>
    <w:p w14:paraId="07731E5A">
      <w:pPr>
        <w:spacing w:line="500" w:lineRule="exact"/>
        <w:ind w:firstLine="420" w:firstLineChars="200"/>
        <w:rPr>
          <w:rFonts w:ascii="宋体" w:hAnsi="宋体" w:cs="宋体"/>
        </w:rPr>
      </w:pPr>
      <w:r>
        <w:rPr>
          <w:rFonts w:hint="eastAsia" w:ascii="宋体" w:hAnsi="宋体" w:cs="宋体"/>
        </w:rPr>
        <w:t>（三）单价金额小数点或者百分比有明显错位的，以磋商函附录的总价为准，并修改单价；</w:t>
      </w:r>
    </w:p>
    <w:p w14:paraId="6AFEC318">
      <w:pPr>
        <w:spacing w:line="500" w:lineRule="exact"/>
        <w:ind w:firstLine="420" w:firstLineChars="200"/>
        <w:rPr>
          <w:rFonts w:ascii="宋体" w:hAnsi="宋体" w:cs="宋体"/>
        </w:rPr>
      </w:pPr>
      <w:r>
        <w:rPr>
          <w:rFonts w:hint="eastAsia" w:ascii="宋体" w:hAnsi="宋体" w:cs="宋体"/>
        </w:rPr>
        <w:t>（四）总价金额与按单价汇总金额不一致的，以单价金额计算结果为准。</w:t>
      </w:r>
    </w:p>
    <w:p w14:paraId="3D71E1EA">
      <w:pPr>
        <w:spacing w:line="500" w:lineRule="exact"/>
        <w:ind w:firstLine="420" w:firstLineChars="200"/>
        <w:rPr>
          <w:rFonts w:ascii="宋体" w:hAnsi="宋体" w:cs="宋体"/>
        </w:rPr>
      </w:pPr>
      <w:r>
        <w:rPr>
          <w:rFonts w:hint="eastAsia" w:ascii="宋体" w:hAnsi="宋体" w:cs="宋体"/>
        </w:rPr>
        <w:t>同时出现两种以上不一致的，按照前款规定的顺序修正。</w:t>
      </w:r>
    </w:p>
    <w:p w14:paraId="18B7B827">
      <w:pPr>
        <w:spacing w:line="500" w:lineRule="exact"/>
        <w:ind w:firstLine="422" w:firstLineChars="200"/>
        <w:rPr>
          <w:rFonts w:ascii="宋体" w:hAnsi="宋体" w:cs="宋体"/>
          <w:b/>
          <w:bCs/>
        </w:rPr>
      </w:pPr>
      <w:bookmarkStart w:id="972" w:name="_Toc281405534"/>
      <w:bookmarkEnd w:id="972"/>
      <w:bookmarkStart w:id="973" w:name="_Toc12406"/>
      <w:bookmarkEnd w:id="973"/>
      <w:bookmarkStart w:id="974" w:name="_Toc466298145"/>
      <w:bookmarkEnd w:id="974"/>
      <w:bookmarkStart w:id="975" w:name="_Toc7121"/>
      <w:bookmarkEnd w:id="975"/>
      <w:bookmarkStart w:id="976" w:name="_Toc455867822"/>
      <w:bookmarkEnd w:id="976"/>
      <w:bookmarkStart w:id="977" w:name="_Toc10692"/>
      <w:bookmarkEnd w:id="977"/>
      <w:bookmarkStart w:id="978" w:name="_Toc21032"/>
      <w:bookmarkEnd w:id="978"/>
      <w:bookmarkStart w:id="979" w:name="_Toc21570"/>
      <w:bookmarkEnd w:id="979"/>
      <w:bookmarkStart w:id="980" w:name="_Toc318450728"/>
      <w:bookmarkEnd w:id="980"/>
      <w:bookmarkStart w:id="981" w:name="_Toc490667881"/>
      <w:bookmarkEnd w:id="981"/>
      <w:bookmarkStart w:id="982" w:name="_Toc509667312"/>
      <w:bookmarkEnd w:id="982"/>
      <w:bookmarkStart w:id="983" w:name="_Toc455080162"/>
      <w:bookmarkEnd w:id="983"/>
      <w:bookmarkStart w:id="984" w:name="_Toc129073514"/>
      <w:bookmarkStart w:id="985" w:name="_Toc3258"/>
      <w:bookmarkStart w:id="986" w:name="_Toc26049"/>
      <w:r>
        <w:rPr>
          <w:rFonts w:hint="eastAsia" w:ascii="宋体" w:hAnsi="宋体" w:cs="宋体"/>
          <w:b/>
          <w:bCs/>
        </w:rPr>
        <w:t>3.2 磋商</w:t>
      </w:r>
    </w:p>
    <w:p w14:paraId="261F2177">
      <w:pPr>
        <w:spacing w:line="500" w:lineRule="exact"/>
        <w:ind w:firstLine="420" w:firstLineChars="200"/>
        <w:rPr>
          <w:rFonts w:ascii="宋体" w:hAnsi="宋体" w:cs="宋体"/>
        </w:rPr>
      </w:pPr>
      <w:r>
        <w:rPr>
          <w:rFonts w:hint="eastAsia" w:ascii="宋体" w:hAnsi="宋体" w:cs="宋体"/>
        </w:rPr>
        <w:t>3.2.1磋商小组集中与单一供应商分别进行磋商。磋商顺序按照交易平台默认顺序进行磋商，在磋商中，磋商双方可以就磋商项目所涉及的价格、技术、服务、合同草案条款等进行实质性磋商，但磋商的任何一方不得透露与磋商有关的其他供应商的商业秘密、技术资料、价格和其他信息。</w:t>
      </w:r>
    </w:p>
    <w:p w14:paraId="0F91C40C">
      <w:pPr>
        <w:spacing w:line="500" w:lineRule="exact"/>
        <w:ind w:firstLine="420" w:firstLineChars="200"/>
        <w:rPr>
          <w:rFonts w:ascii="宋体" w:hAnsi="宋体" w:cs="宋体"/>
        </w:rPr>
      </w:pPr>
      <w:r>
        <w:rPr>
          <w:rFonts w:hint="eastAsia" w:ascii="宋体" w:hAnsi="宋体" w:cs="宋体"/>
        </w:rPr>
        <w:t>3.2.2在磋商过程中，磋商小组可以根据竞争性磋商文件和磋商情况实质性变动采购需求中的技术、服务要求以及合同草案条款，但不得变动竞争性磋商文件中的其他内容。实质性变动的内容，须经采购人代表确认。</w:t>
      </w:r>
    </w:p>
    <w:p w14:paraId="0FF33AC0">
      <w:pPr>
        <w:spacing w:line="500" w:lineRule="exact"/>
        <w:ind w:firstLine="420" w:firstLineChars="200"/>
        <w:rPr>
          <w:rFonts w:ascii="宋体" w:hAnsi="宋体" w:cs="宋体"/>
        </w:rPr>
      </w:pPr>
      <w:r>
        <w:rPr>
          <w:rFonts w:hint="eastAsia" w:ascii="宋体" w:hAnsi="宋体" w:cs="宋体"/>
        </w:rPr>
        <w:t>3.2.3对竞争性磋商文件作出的实质性变动是竞争性磋商文件的有效组成部分，磋商小组应当以书面形式同时通知所有参加磋商的供应商。</w:t>
      </w:r>
    </w:p>
    <w:p w14:paraId="0214B161">
      <w:pPr>
        <w:spacing w:line="500" w:lineRule="exact"/>
        <w:ind w:firstLine="420" w:firstLineChars="200"/>
        <w:rPr>
          <w:rFonts w:ascii="宋体" w:hAnsi="宋体" w:cs="宋体"/>
        </w:rPr>
      </w:pPr>
      <w:r>
        <w:rPr>
          <w:rFonts w:hint="eastAsia" w:ascii="宋体" w:hAnsi="宋体" w:cs="宋体"/>
        </w:rPr>
        <w:t>3.2.4竞争性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440DDB48">
      <w:pPr>
        <w:spacing w:line="500" w:lineRule="exact"/>
        <w:ind w:firstLine="420" w:firstLineChars="200"/>
        <w:rPr>
          <w:rFonts w:ascii="宋体" w:hAnsi="宋体" w:cs="宋体"/>
        </w:rPr>
      </w:pPr>
      <w:r>
        <w:rPr>
          <w:rFonts w:hint="eastAsia" w:ascii="宋体" w:hAnsi="宋体" w:cs="宋体"/>
        </w:rPr>
        <w:t>3.2.5竞争性磋商文件能够详细列明采购标的的技术、服务要求的，磋商结束后，磋商小组应当要求所有实质性响应的供应商在规定时间内提交最后报价，未在规定时间内提交最后报价的供应商，视为退出磋商，作无效响应处理（系统故障除外），提交最后报价的供应商不得少于3家。</w:t>
      </w:r>
    </w:p>
    <w:p w14:paraId="73D7DF0A">
      <w:pPr>
        <w:spacing w:line="500" w:lineRule="exact"/>
        <w:ind w:firstLine="420" w:firstLineChars="200"/>
        <w:rPr>
          <w:rFonts w:ascii="宋体" w:hAnsi="宋体" w:cs="宋体"/>
        </w:rPr>
      </w:pPr>
      <w:r>
        <w:rPr>
          <w:rFonts w:hint="eastAsia" w:ascii="宋体" w:hAnsi="宋体" w:cs="宋体"/>
        </w:rPr>
        <w:t>3.2.6最后报价是供应商响应文件的有效组成部分【注：最后报价明显低于其他通过初步审查供应商的报价，有可能影响</w:t>
      </w:r>
      <w:r>
        <w:rPr>
          <w:rFonts w:hint="eastAsia" w:ascii="宋体" w:hAnsi="宋体" w:cs="宋体"/>
          <w:lang w:eastAsia="zh-CN"/>
        </w:rPr>
        <w:t>工程</w:t>
      </w:r>
      <w:r>
        <w:rPr>
          <w:rFonts w:hint="eastAsia" w:ascii="宋体" w:hAnsi="宋体" w:cs="宋体"/>
        </w:rPr>
        <w:t>质量或者不能诚信履约的，应当要求其在评审现场合理的时间内提供书面说明，必要时提交相关证明材料；供应商不能证明其报价合理性的，磋商小组应当认定其响应文件无效】。</w:t>
      </w:r>
    </w:p>
    <w:p w14:paraId="56B8AF9E">
      <w:pPr>
        <w:spacing w:line="500" w:lineRule="exact"/>
        <w:ind w:firstLine="420" w:firstLineChars="200"/>
        <w:rPr>
          <w:rFonts w:ascii="宋体" w:hAnsi="宋体" w:cs="宋体"/>
        </w:rPr>
      </w:pPr>
      <w:r>
        <w:rPr>
          <w:rFonts w:hint="eastAsia" w:ascii="宋体" w:hAnsi="宋体" w:cs="宋体"/>
        </w:rPr>
        <w:t>3.2.7情况特殊，经磋商小组根据磋商现场情况，可以要求供应商适当进行多轮报价。</w:t>
      </w:r>
    </w:p>
    <w:p w14:paraId="791E6F7E">
      <w:pPr>
        <w:spacing w:line="500" w:lineRule="exact"/>
        <w:ind w:firstLine="420" w:firstLineChars="200"/>
        <w:rPr>
          <w:rFonts w:ascii="宋体" w:hAnsi="宋体" w:cs="宋体"/>
        </w:rPr>
      </w:pPr>
      <w:r>
        <w:rPr>
          <w:rFonts w:hint="eastAsia" w:ascii="宋体" w:hAnsi="宋体" w:cs="宋体"/>
        </w:rPr>
        <w:t>3.2.8经磋商确定最终采购需求和提交最后报价的供应商后，由磋商小组采用综合评分法对提交最后报价的供应商的响应文件和最后报价进行综合评分。</w:t>
      </w:r>
    </w:p>
    <w:p w14:paraId="3E6D3F26">
      <w:pPr>
        <w:spacing w:line="500" w:lineRule="exact"/>
        <w:ind w:firstLine="422" w:firstLineChars="200"/>
        <w:rPr>
          <w:rFonts w:ascii="宋体" w:hAnsi="宋体" w:cs="宋体"/>
          <w:b/>
          <w:bCs/>
        </w:rPr>
      </w:pPr>
      <w:r>
        <w:rPr>
          <w:rFonts w:hint="eastAsia" w:ascii="宋体" w:hAnsi="宋体" w:cs="宋体"/>
          <w:b/>
          <w:bCs/>
        </w:rPr>
        <w:t>3.3详细评审</w:t>
      </w:r>
      <w:bookmarkEnd w:id="984"/>
      <w:bookmarkEnd w:id="985"/>
      <w:bookmarkEnd w:id="986"/>
    </w:p>
    <w:p w14:paraId="55706651">
      <w:pPr>
        <w:spacing w:line="500" w:lineRule="exact"/>
        <w:ind w:firstLine="420" w:firstLineChars="200"/>
        <w:rPr>
          <w:rFonts w:ascii="宋体" w:hAnsi="宋体" w:cs="宋体"/>
        </w:rPr>
      </w:pPr>
      <w:r>
        <w:rPr>
          <w:rFonts w:hint="eastAsia" w:ascii="宋体" w:hAnsi="宋体" w:cs="宋体"/>
        </w:rPr>
        <w:t>3.3.1磋商小组按本章第2.3款规定的量化因素和分值进行打分，并计算出综合评分得分。</w:t>
      </w:r>
    </w:p>
    <w:p w14:paraId="5824515C">
      <w:pPr>
        <w:spacing w:line="500" w:lineRule="exact"/>
        <w:ind w:firstLine="420" w:firstLineChars="200"/>
        <w:rPr>
          <w:rFonts w:ascii="宋体" w:hAnsi="宋体" w:cs="宋体"/>
        </w:rPr>
      </w:pPr>
      <w:r>
        <w:rPr>
          <w:rFonts w:hint="eastAsia" w:ascii="宋体" w:hAnsi="宋体" w:cs="宋体"/>
        </w:rPr>
        <w:t>（1）按本章第 2.3.1（1）目规定的评审因素和分值对磋商报价计算出得分 A；</w:t>
      </w:r>
    </w:p>
    <w:p w14:paraId="008046D6">
      <w:pPr>
        <w:spacing w:line="500" w:lineRule="exact"/>
        <w:ind w:firstLine="420" w:firstLineChars="200"/>
        <w:rPr>
          <w:rFonts w:ascii="宋体" w:hAnsi="宋体" w:cs="宋体"/>
        </w:rPr>
      </w:pPr>
      <w:r>
        <w:rPr>
          <w:rFonts w:hint="eastAsia" w:ascii="宋体" w:hAnsi="宋体" w:cs="宋体"/>
        </w:rPr>
        <w:t>（2）按本章第 2.3.1（2）目规定的评审因素和分值对技术部分计算出得分 B；</w:t>
      </w:r>
    </w:p>
    <w:p w14:paraId="4526B5C7">
      <w:pPr>
        <w:spacing w:line="500" w:lineRule="exact"/>
        <w:ind w:firstLine="420" w:firstLineChars="200"/>
        <w:rPr>
          <w:rFonts w:ascii="宋体" w:hAnsi="宋体" w:cs="宋体"/>
        </w:rPr>
      </w:pPr>
      <w:r>
        <w:rPr>
          <w:rFonts w:hint="eastAsia" w:ascii="宋体" w:hAnsi="宋体" w:cs="宋体"/>
        </w:rPr>
        <w:t>（3）按本章第 2.3.1（3）目规定的评审因素和分值对商务部分计算出得分 C；</w:t>
      </w:r>
    </w:p>
    <w:p w14:paraId="089D8105">
      <w:pPr>
        <w:spacing w:line="500" w:lineRule="exact"/>
        <w:ind w:firstLine="420" w:firstLineChars="200"/>
        <w:rPr>
          <w:rFonts w:ascii="宋体" w:hAnsi="宋体" w:cs="宋体"/>
        </w:rPr>
      </w:pPr>
      <w:r>
        <w:rPr>
          <w:rFonts w:hint="eastAsia" w:ascii="宋体" w:hAnsi="宋体" w:cs="宋体"/>
        </w:rPr>
        <w:t>3.3.2 评分分值计算保留小数点后两位，小数点后第三位“四舍五入”。</w:t>
      </w:r>
    </w:p>
    <w:p w14:paraId="558B041B">
      <w:pPr>
        <w:spacing w:line="500" w:lineRule="exact"/>
        <w:ind w:firstLine="420" w:firstLineChars="200"/>
        <w:rPr>
          <w:rFonts w:ascii="宋体" w:hAnsi="宋体" w:cs="宋体"/>
        </w:rPr>
      </w:pPr>
      <w:r>
        <w:rPr>
          <w:rFonts w:hint="eastAsia" w:ascii="宋体" w:hAnsi="宋体" w:cs="宋体"/>
        </w:rPr>
        <w:t>3.3.3 供应商得分=A+B+C。</w:t>
      </w:r>
    </w:p>
    <w:p w14:paraId="76D349CE">
      <w:pPr>
        <w:spacing w:line="500" w:lineRule="exact"/>
        <w:ind w:firstLine="420" w:firstLineChars="200"/>
        <w:rPr>
          <w:rFonts w:ascii="宋体" w:hAnsi="宋体" w:cs="宋体"/>
        </w:rPr>
      </w:pPr>
      <w:r>
        <w:rPr>
          <w:rFonts w:hint="eastAsia" w:ascii="宋体" w:hAnsi="宋体" w:cs="宋体"/>
        </w:rPr>
        <w:t>3.3.4在磋商过程中，凡遇到磋商文件中无界定或界定不清、前后不一致使磋商小组意见有分歧且又难以协商一致的问题，均由磋商小组予以表决，获半数以上同意的即为通过，未获半数同意的即为否决。</w:t>
      </w:r>
    </w:p>
    <w:p w14:paraId="3D01DBB9">
      <w:pPr>
        <w:spacing w:line="500" w:lineRule="exact"/>
        <w:ind w:firstLine="422" w:firstLineChars="200"/>
        <w:rPr>
          <w:rFonts w:ascii="宋体" w:hAnsi="宋体" w:cs="宋体"/>
          <w:b/>
          <w:bCs/>
        </w:rPr>
      </w:pPr>
      <w:bookmarkStart w:id="987" w:name="_Toc24862"/>
      <w:bookmarkEnd w:id="987"/>
      <w:bookmarkStart w:id="988" w:name="_Toc318450729"/>
      <w:bookmarkEnd w:id="988"/>
      <w:bookmarkStart w:id="989" w:name="_Toc8813"/>
      <w:bookmarkEnd w:id="989"/>
      <w:bookmarkStart w:id="990" w:name="_Toc466298146"/>
      <w:bookmarkEnd w:id="990"/>
      <w:bookmarkStart w:id="991" w:name="_Toc455080163"/>
      <w:bookmarkEnd w:id="991"/>
      <w:bookmarkStart w:id="992" w:name="_Toc10153"/>
      <w:bookmarkEnd w:id="992"/>
      <w:bookmarkStart w:id="993" w:name="_Toc509667313"/>
      <w:bookmarkEnd w:id="993"/>
      <w:bookmarkStart w:id="994" w:name="_Toc281405535"/>
      <w:bookmarkEnd w:id="994"/>
      <w:bookmarkStart w:id="995" w:name="_Toc455867823"/>
      <w:bookmarkEnd w:id="995"/>
      <w:bookmarkStart w:id="996" w:name="_Toc28633"/>
      <w:bookmarkEnd w:id="996"/>
      <w:bookmarkStart w:id="997" w:name="_Toc8342"/>
      <w:bookmarkEnd w:id="997"/>
      <w:bookmarkStart w:id="998" w:name="_Toc11958"/>
      <w:bookmarkEnd w:id="998"/>
      <w:bookmarkStart w:id="999" w:name="_Toc129073515"/>
      <w:bookmarkStart w:id="1000" w:name="_Toc490667882"/>
      <w:bookmarkStart w:id="1001" w:name="_Toc19344"/>
      <w:r>
        <w:rPr>
          <w:rFonts w:hint="eastAsia" w:ascii="宋体" w:hAnsi="宋体" w:cs="宋体"/>
          <w:b/>
          <w:bCs/>
        </w:rPr>
        <w:t>3.4 响应文件的澄清和补正</w:t>
      </w:r>
      <w:bookmarkEnd w:id="999"/>
      <w:bookmarkEnd w:id="1000"/>
      <w:bookmarkEnd w:id="1001"/>
    </w:p>
    <w:p w14:paraId="16BFC151">
      <w:pPr>
        <w:spacing w:line="500" w:lineRule="exact"/>
        <w:ind w:firstLine="420" w:firstLineChars="200"/>
        <w:rPr>
          <w:rFonts w:ascii="宋体" w:hAnsi="宋体" w:cs="宋体"/>
        </w:rPr>
      </w:pPr>
      <w:r>
        <w:rPr>
          <w:rFonts w:hint="eastAsia" w:ascii="宋体" w:hAnsi="宋体" w:cs="宋体"/>
        </w:rPr>
        <w:t>3.4.1在磋商过程中，磋商小组可以要求供应商对响应文件中含义不明确、同类问题表述不一致或者有明显文字和计算错误的内容或者对细微偏离等作出必要的澄清、说明或者更正。磋商小组不接受供应商主动提出的澄清、说明或补正。</w:t>
      </w:r>
    </w:p>
    <w:p w14:paraId="205F9F62">
      <w:pPr>
        <w:spacing w:line="500" w:lineRule="exact"/>
        <w:ind w:firstLine="420" w:firstLineChars="200"/>
        <w:rPr>
          <w:rFonts w:ascii="宋体" w:hAnsi="宋体" w:cs="宋体"/>
        </w:rPr>
      </w:pPr>
      <w:r>
        <w:rPr>
          <w:rFonts w:hint="eastAsia" w:ascii="宋体" w:hAnsi="宋体" w:cs="宋体"/>
        </w:rPr>
        <w:t>3.4.2 磋商小组对供应商提交的澄清、说明或补正有疑问的，可以要求供应商进一步澄清、说明或补正，直至满足磋商小组的要求。</w:t>
      </w:r>
    </w:p>
    <w:p w14:paraId="03CB2E79">
      <w:pPr>
        <w:spacing w:line="500" w:lineRule="exact"/>
        <w:ind w:firstLine="420" w:firstLineChars="200"/>
        <w:rPr>
          <w:rFonts w:ascii="宋体" w:hAnsi="宋体" w:cs="宋体"/>
        </w:rPr>
      </w:pPr>
      <w:bookmarkStart w:id="1002" w:name="_Toc30243"/>
      <w:r>
        <w:rPr>
          <w:rFonts w:hint="eastAsia" w:ascii="宋体" w:hAnsi="宋体" w:cs="宋体"/>
        </w:rPr>
        <w:t>3.4.4磋商小组要求供应商澄清、说明或者更正响应文件应当以书面形式作出。</w:t>
      </w:r>
      <w:bookmarkEnd w:id="1002"/>
    </w:p>
    <w:p w14:paraId="356869FE">
      <w:pPr>
        <w:spacing w:line="500" w:lineRule="exact"/>
        <w:ind w:firstLine="422" w:firstLineChars="200"/>
        <w:rPr>
          <w:rFonts w:ascii="宋体" w:hAnsi="宋体" w:cs="宋体"/>
          <w:b/>
          <w:bCs/>
        </w:rPr>
      </w:pPr>
      <w:bookmarkStart w:id="1003" w:name="_Toc490667883"/>
      <w:bookmarkEnd w:id="1003"/>
      <w:bookmarkStart w:id="1004" w:name="_Toc5903"/>
      <w:bookmarkEnd w:id="1004"/>
      <w:bookmarkStart w:id="1005" w:name="_Toc32183"/>
      <w:bookmarkEnd w:id="1005"/>
      <w:bookmarkStart w:id="1006" w:name="_Toc455080164"/>
      <w:bookmarkEnd w:id="1006"/>
      <w:bookmarkStart w:id="1007" w:name="_Toc509667314"/>
      <w:bookmarkEnd w:id="1007"/>
      <w:bookmarkStart w:id="1008" w:name="_Toc19453"/>
      <w:bookmarkEnd w:id="1008"/>
      <w:bookmarkStart w:id="1009" w:name="_Toc281405536"/>
      <w:bookmarkEnd w:id="1009"/>
      <w:bookmarkStart w:id="1010" w:name="_Toc455867824"/>
      <w:bookmarkEnd w:id="1010"/>
      <w:bookmarkStart w:id="1011" w:name="_Toc466298147"/>
      <w:bookmarkEnd w:id="1011"/>
      <w:bookmarkStart w:id="1012" w:name="_Toc22986"/>
      <w:bookmarkEnd w:id="1012"/>
      <w:bookmarkStart w:id="1013" w:name="_Toc26894"/>
      <w:bookmarkEnd w:id="1013"/>
      <w:bookmarkStart w:id="1014" w:name="_Toc318450730"/>
      <w:bookmarkEnd w:id="1014"/>
      <w:bookmarkStart w:id="1015" w:name="_Toc1857"/>
      <w:bookmarkStart w:id="1016" w:name="_Toc28505"/>
      <w:bookmarkStart w:id="1017" w:name="_Toc129073516"/>
      <w:r>
        <w:rPr>
          <w:rFonts w:hint="eastAsia" w:ascii="宋体" w:hAnsi="宋体" w:cs="宋体"/>
          <w:b/>
          <w:bCs/>
        </w:rPr>
        <w:t>3.5 评审结果</w:t>
      </w:r>
      <w:bookmarkEnd w:id="1015"/>
      <w:bookmarkEnd w:id="1016"/>
      <w:bookmarkEnd w:id="1017"/>
    </w:p>
    <w:p w14:paraId="3EB90BD1">
      <w:pPr>
        <w:spacing w:line="500" w:lineRule="exact"/>
        <w:ind w:firstLine="420" w:firstLineChars="200"/>
        <w:rPr>
          <w:rFonts w:ascii="宋体" w:hAnsi="宋体" w:cs="宋体"/>
        </w:rPr>
      </w:pPr>
      <w:r>
        <w:rPr>
          <w:rFonts w:hint="eastAsia" w:ascii="宋体" w:hAnsi="宋体" w:cs="宋体"/>
        </w:rPr>
        <w:t>3.5.1除第二章“供应商须知”前附表授权直接确定成交人外，磋商小组按照得分由高到低的顺序推荐成交候选人。</w:t>
      </w:r>
    </w:p>
    <w:p w14:paraId="4305FE87">
      <w:pPr>
        <w:spacing w:line="500" w:lineRule="exact"/>
        <w:ind w:firstLine="420" w:firstLineChars="200"/>
        <w:rPr>
          <w:rFonts w:ascii="宋体" w:hAnsi="宋体" w:cs="宋体"/>
        </w:rPr>
      </w:pPr>
      <w:r>
        <w:rPr>
          <w:rFonts w:hint="eastAsia" w:ascii="宋体" w:hAnsi="宋体" w:cs="宋体"/>
        </w:rPr>
        <w:t>3.5.2 磋商小组完成评审后，应当向采购人提交书面评审报告和成交候选人名单。磋商小组推荐成交候选人的人数见供应商须知前附表。</w:t>
      </w:r>
    </w:p>
    <w:p w14:paraId="1671A3EE">
      <w:pPr>
        <w:spacing w:line="500" w:lineRule="exact"/>
        <w:ind w:firstLine="420" w:firstLineChars="200"/>
        <w:rPr>
          <w:rFonts w:ascii="宋体" w:hAnsi="宋体" w:cs="宋体"/>
        </w:rPr>
      </w:pPr>
      <w:r>
        <w:rPr>
          <w:rFonts w:hint="eastAsia" w:ascii="宋体" w:hAnsi="宋体" w:cs="宋体"/>
        </w:rPr>
        <w:t>3.5.3评审报告应当由磋商小组全体人员签字认可。磋商小组成员对评审报告有异议的，磋商小组按照少数服从多数的原则推荐成交候选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55A1EBE">
      <w:pPr>
        <w:spacing w:line="500" w:lineRule="exact"/>
        <w:ind w:firstLine="420" w:firstLineChars="200"/>
        <w:rPr>
          <w:rFonts w:ascii="宋体" w:hAnsi="宋体" w:cs="宋体"/>
        </w:rPr>
      </w:pPr>
      <w:r>
        <w:rPr>
          <w:rFonts w:hint="eastAsia" w:ascii="宋体" w:hAnsi="宋体" w:cs="宋体"/>
        </w:rPr>
        <w:t>3.5.4未实质性响应磋商文件的响应文件作无效响应处理后，磋商小组应当在评审报告中详细的说明不响应的原因，应简单明了并说明不响应磋商文件中的具体条款。</w:t>
      </w:r>
    </w:p>
    <w:p w14:paraId="773E4FF3">
      <w:pPr>
        <w:spacing w:line="500" w:lineRule="exact"/>
        <w:ind w:firstLine="420" w:firstLineChars="200"/>
        <w:rPr>
          <w:rFonts w:ascii="宋体" w:hAnsi="宋体" w:cs="宋体"/>
        </w:rPr>
      </w:pPr>
      <w:r>
        <w:rPr>
          <w:rFonts w:hint="eastAsia" w:ascii="宋体" w:hAnsi="宋体" w:cs="宋体"/>
        </w:rPr>
        <w:t>3.6评标结果汇总完成后，除下列情形外，任何人不得修改评标结果：</w:t>
      </w:r>
    </w:p>
    <w:p w14:paraId="645C4F37">
      <w:pPr>
        <w:spacing w:line="500" w:lineRule="exact"/>
        <w:ind w:firstLine="420" w:firstLineChars="200"/>
        <w:rPr>
          <w:rFonts w:ascii="宋体" w:hAnsi="宋体" w:cs="宋体"/>
        </w:rPr>
      </w:pPr>
      <w:r>
        <w:rPr>
          <w:rFonts w:hint="eastAsia" w:ascii="宋体" w:hAnsi="宋体" w:cs="宋体"/>
        </w:rPr>
        <w:t>1）分值汇总计算错误的；</w:t>
      </w:r>
    </w:p>
    <w:p w14:paraId="1408E2C4">
      <w:pPr>
        <w:spacing w:line="500" w:lineRule="exact"/>
        <w:ind w:firstLine="420" w:firstLineChars="200"/>
        <w:rPr>
          <w:rFonts w:ascii="宋体" w:hAnsi="宋体" w:cs="宋体"/>
        </w:rPr>
      </w:pPr>
      <w:r>
        <w:rPr>
          <w:rFonts w:hint="eastAsia" w:ascii="宋体" w:hAnsi="宋体" w:cs="宋体"/>
        </w:rPr>
        <w:t>2）分项评分超出评分标准范围的；</w:t>
      </w:r>
    </w:p>
    <w:p w14:paraId="54DDEA58">
      <w:pPr>
        <w:spacing w:line="500" w:lineRule="exact"/>
        <w:ind w:firstLine="420" w:firstLineChars="200"/>
        <w:rPr>
          <w:rFonts w:ascii="宋体" w:hAnsi="宋体" w:cs="宋体"/>
        </w:rPr>
      </w:pPr>
      <w:r>
        <w:rPr>
          <w:rFonts w:hint="eastAsia" w:ascii="宋体" w:hAnsi="宋体" w:cs="宋体"/>
        </w:rPr>
        <w:t>3）磋商小组成员对客观评审因素评分不一致的；</w:t>
      </w:r>
    </w:p>
    <w:p w14:paraId="60F3A0B2">
      <w:pPr>
        <w:spacing w:line="500" w:lineRule="exact"/>
        <w:ind w:firstLine="420" w:firstLineChars="200"/>
        <w:rPr>
          <w:rFonts w:ascii="宋体" w:hAnsi="宋体" w:cs="宋体"/>
        </w:rPr>
      </w:pPr>
      <w:r>
        <w:rPr>
          <w:rFonts w:hint="eastAsia" w:ascii="宋体" w:hAnsi="宋体" w:cs="宋体"/>
        </w:rPr>
        <w:t>4）经磋商小组认定评分畸高、畸低的。</w:t>
      </w:r>
    </w:p>
    <w:p w14:paraId="6CEA4F4E">
      <w:pPr>
        <w:spacing w:line="500" w:lineRule="exact"/>
        <w:ind w:firstLine="420" w:firstLineChars="200"/>
        <w:rPr>
          <w:rFonts w:ascii="宋体" w:hAnsi="宋体" w:cs="宋体"/>
        </w:rPr>
      </w:pPr>
      <w:r>
        <w:rPr>
          <w:rFonts w:hint="eastAsia" w:ascii="宋体" w:hAnsi="宋体" w:cs="宋体"/>
        </w:rPr>
        <w:t>评标报告签署前，经复核发现存在以上情形之一的，磋商小组应当当场修改评标结果，并在评标报告中记载；评标报告签署后，采购人或者采购代理机构发现存在以上情形之一的，应当组织原磋商小组进行重新评审。</w:t>
      </w:r>
    </w:p>
    <w:p w14:paraId="4B2B2E40">
      <w:pPr>
        <w:spacing w:line="360" w:lineRule="auto"/>
        <w:rPr>
          <w:rFonts w:ascii="宋体" w:hAnsi="宋体"/>
        </w:rPr>
      </w:pPr>
    </w:p>
    <w:p w14:paraId="1974DD60">
      <w:pPr>
        <w:pStyle w:val="2"/>
        <w:spacing w:before="120" w:after="120" w:line="400" w:lineRule="exact"/>
        <w:ind w:firstLine="542"/>
        <w:jc w:val="center"/>
        <w:rPr>
          <w:rFonts w:ascii="宋体" w:hAnsi="宋体"/>
          <w:bCs w:val="0"/>
          <w:sz w:val="36"/>
          <w:szCs w:val="36"/>
        </w:rPr>
      </w:pPr>
      <w:r>
        <w:rPr>
          <w:rFonts w:hint="eastAsia" w:ascii="宋体" w:hAnsi="宋体"/>
          <w:bCs w:val="0"/>
          <w:sz w:val="36"/>
          <w:szCs w:val="36"/>
        </w:rPr>
        <w:br w:type="page"/>
      </w:r>
      <w:bookmarkStart w:id="1018" w:name="_Toc144974577"/>
      <w:bookmarkEnd w:id="1018"/>
      <w:bookmarkStart w:id="1019" w:name="_Toc152045609"/>
      <w:bookmarkEnd w:id="1019"/>
      <w:bookmarkStart w:id="1020" w:name="_Toc152042387"/>
      <w:bookmarkEnd w:id="1020"/>
      <w:bookmarkStart w:id="1021" w:name="_Toc2239"/>
      <w:bookmarkEnd w:id="1021"/>
      <w:bookmarkStart w:id="1022" w:name="_Toc5634"/>
      <w:bookmarkStart w:id="1023" w:name="_Toc129073517"/>
      <w:bookmarkStart w:id="1024" w:name="_Toc509667315"/>
      <w:bookmarkStart w:id="1025" w:name="_Toc10714"/>
      <w:bookmarkStart w:id="1026" w:name="_Toc10168"/>
      <w:bookmarkStart w:id="1027" w:name="_Toc5150"/>
      <w:bookmarkStart w:id="1028" w:name="_Toc24814"/>
      <w:r>
        <w:rPr>
          <w:rFonts w:hint="eastAsia" w:ascii="宋体" w:hAnsi="宋体"/>
          <w:bCs w:val="0"/>
          <w:sz w:val="28"/>
          <w:szCs w:val="28"/>
        </w:rPr>
        <w:t>第四章  合同条款及格式</w:t>
      </w:r>
      <w:bookmarkEnd w:id="1022"/>
      <w:bookmarkEnd w:id="1023"/>
      <w:bookmarkEnd w:id="1024"/>
      <w:bookmarkEnd w:id="1025"/>
      <w:bookmarkEnd w:id="1026"/>
      <w:bookmarkEnd w:id="1027"/>
      <w:bookmarkEnd w:id="1028"/>
    </w:p>
    <w:p w14:paraId="1AACBAAF">
      <w:pPr>
        <w:jc w:val="left"/>
        <w:rPr>
          <w:rFonts w:ascii="宋体" w:hAnsi="宋体"/>
          <w:b/>
          <w:sz w:val="28"/>
          <w:szCs w:val="28"/>
        </w:rPr>
      </w:pPr>
      <w:bookmarkStart w:id="1029" w:name="_Toc152042575"/>
      <w:bookmarkEnd w:id="1029"/>
      <w:bookmarkStart w:id="1030" w:name="_Toc152045786"/>
      <w:bookmarkEnd w:id="1030"/>
      <w:bookmarkStart w:id="1031" w:name="_Toc509667320"/>
      <w:bookmarkEnd w:id="1031"/>
      <w:bookmarkStart w:id="1032" w:name="_Toc144974855"/>
      <w:bookmarkEnd w:id="1032"/>
    </w:p>
    <w:p w14:paraId="51F3CBFD">
      <w:pPr>
        <w:jc w:val="left"/>
        <w:rPr>
          <w:rFonts w:ascii="宋体" w:hAnsi="宋体"/>
          <w:b/>
          <w:sz w:val="28"/>
          <w:szCs w:val="28"/>
        </w:rPr>
      </w:pPr>
      <w:r>
        <w:rPr>
          <w:rFonts w:hint="eastAsia" w:ascii="宋体" w:hAnsi="宋体"/>
          <w:b/>
          <w:sz w:val="28"/>
          <w:szCs w:val="28"/>
        </w:rPr>
        <w:t>（GF—2017—0201）</w:t>
      </w:r>
    </w:p>
    <w:p w14:paraId="2DD1A848">
      <w:pPr>
        <w:jc w:val="center"/>
        <w:rPr>
          <w:rFonts w:ascii="宋体" w:hAnsi="宋体"/>
          <w:b/>
          <w:sz w:val="52"/>
          <w:szCs w:val="52"/>
        </w:rPr>
      </w:pPr>
    </w:p>
    <w:p w14:paraId="4E40FCC0">
      <w:pPr>
        <w:jc w:val="center"/>
        <w:rPr>
          <w:rFonts w:ascii="宋体" w:hAnsi="宋体"/>
          <w:b/>
          <w:sz w:val="52"/>
          <w:szCs w:val="52"/>
        </w:rPr>
      </w:pPr>
    </w:p>
    <w:p w14:paraId="3538C355">
      <w:pPr>
        <w:jc w:val="center"/>
        <w:rPr>
          <w:rFonts w:ascii="宋体" w:hAnsi="宋体"/>
          <w:b/>
          <w:sz w:val="72"/>
          <w:szCs w:val="72"/>
        </w:rPr>
      </w:pPr>
      <w:r>
        <w:rPr>
          <w:rFonts w:hint="eastAsia" w:ascii="宋体" w:hAnsi="宋体"/>
          <w:b/>
          <w:sz w:val="72"/>
          <w:szCs w:val="72"/>
        </w:rPr>
        <w:t>建设工程施工合同</w:t>
      </w:r>
    </w:p>
    <w:p w14:paraId="3F4B96EE">
      <w:pPr>
        <w:jc w:val="center"/>
        <w:rPr>
          <w:rFonts w:ascii="宋体" w:hAnsi="宋体"/>
          <w:b/>
          <w:sz w:val="52"/>
          <w:szCs w:val="52"/>
        </w:rPr>
      </w:pPr>
    </w:p>
    <w:p w14:paraId="2EDC93A5">
      <w:pPr>
        <w:jc w:val="center"/>
        <w:rPr>
          <w:rFonts w:ascii="宋体" w:hAnsi="宋体"/>
          <w:b/>
          <w:sz w:val="72"/>
          <w:szCs w:val="72"/>
        </w:rPr>
      </w:pPr>
    </w:p>
    <w:p w14:paraId="671E354D">
      <w:pPr>
        <w:jc w:val="center"/>
        <w:rPr>
          <w:rFonts w:ascii="宋体" w:hAnsi="宋体"/>
          <w:b/>
          <w:sz w:val="72"/>
          <w:szCs w:val="72"/>
        </w:rPr>
      </w:pPr>
    </w:p>
    <w:p w14:paraId="6716EE4D">
      <w:pPr>
        <w:rPr>
          <w:rFonts w:ascii="宋体" w:hAnsi="宋体"/>
          <w:b/>
          <w:sz w:val="28"/>
          <w:szCs w:val="28"/>
        </w:rPr>
      </w:pPr>
    </w:p>
    <w:p w14:paraId="4E130375">
      <w:pPr>
        <w:rPr>
          <w:rFonts w:ascii="宋体" w:hAnsi="宋体"/>
          <w:b/>
          <w:sz w:val="28"/>
          <w:szCs w:val="28"/>
        </w:rPr>
      </w:pPr>
    </w:p>
    <w:p w14:paraId="65A6FAE7">
      <w:pPr>
        <w:rPr>
          <w:rFonts w:ascii="宋体" w:hAnsi="宋体"/>
          <w:b/>
          <w:sz w:val="28"/>
          <w:szCs w:val="28"/>
        </w:rPr>
      </w:pPr>
    </w:p>
    <w:p w14:paraId="545DD2F8">
      <w:pPr>
        <w:rPr>
          <w:rFonts w:ascii="宋体" w:hAnsi="宋体"/>
        </w:rPr>
      </w:pPr>
    </w:p>
    <w:p w14:paraId="73C267CE">
      <w:pPr>
        <w:rPr>
          <w:rFonts w:ascii="宋体" w:hAnsi="宋体"/>
          <w:b/>
          <w:sz w:val="28"/>
          <w:szCs w:val="28"/>
        </w:rPr>
      </w:pPr>
    </w:p>
    <w:p w14:paraId="46575EEB">
      <w:pPr>
        <w:rPr>
          <w:rFonts w:ascii="宋体" w:hAnsi="宋体"/>
          <w:b/>
          <w:sz w:val="28"/>
          <w:szCs w:val="28"/>
        </w:rPr>
      </w:pPr>
    </w:p>
    <w:p w14:paraId="4C8513B1">
      <w:pPr>
        <w:ind w:right="2719" w:rightChars="1295"/>
        <w:jc w:val="center"/>
        <w:rPr>
          <w:rFonts w:ascii="宋体" w:hAnsi="宋体"/>
          <w:b/>
          <w:sz w:val="32"/>
          <w:szCs w:val="32"/>
        </w:rPr>
      </w:pPr>
      <w:r>
        <w:rPr>
          <w:rFonts w:hint="eastAsia" w:ascii="宋体" w:hAnsi="宋体"/>
          <w:b/>
          <w:sz w:val="32"/>
          <w:szCs w:val="32"/>
        </w:rPr>
        <w:t>住房城乡建设部</w:t>
      </w:r>
    </w:p>
    <w:p w14:paraId="42395976">
      <w:pPr>
        <w:tabs>
          <w:tab w:val="left" w:pos="7980"/>
        </w:tabs>
        <w:ind w:right="1344" w:rightChars="640"/>
        <w:jc w:val="center"/>
        <w:rPr>
          <w:rFonts w:ascii="宋体" w:hAnsi="宋体"/>
          <w:b/>
          <w:sz w:val="32"/>
          <w:szCs w:val="32"/>
        </w:rPr>
      </w:pPr>
      <w:r>
        <w:rPr>
          <w:rFonts w:hint="eastAsia" w:ascii="宋体" w:hAnsi="宋体"/>
          <w:b/>
          <w:sz w:val="32"/>
          <w:szCs w:val="32"/>
        </w:rPr>
        <w:t xml:space="preserve">                         制定</w:t>
      </w:r>
    </w:p>
    <w:p w14:paraId="6BF78F0E">
      <w:pPr>
        <w:ind w:right="2203" w:rightChars="1049"/>
        <w:jc w:val="center"/>
        <w:rPr>
          <w:rFonts w:ascii="宋体" w:hAnsi="宋体"/>
          <w:b/>
          <w:sz w:val="32"/>
          <w:szCs w:val="32"/>
        </w:rPr>
      </w:pPr>
      <w:r>
        <w:rPr>
          <w:rFonts w:hint="eastAsia" w:ascii="宋体" w:hAnsi="宋体"/>
          <w:b/>
          <w:sz w:val="32"/>
          <w:szCs w:val="32"/>
        </w:rPr>
        <w:t>国家工商行政管理总局</w:t>
      </w:r>
    </w:p>
    <w:p w14:paraId="52A36C43">
      <w:pPr>
        <w:ind w:right="2203" w:rightChars="1049" w:firstLine="2750" w:firstLineChars="856"/>
        <w:jc w:val="distribute"/>
        <w:rPr>
          <w:rFonts w:ascii="宋体" w:hAnsi="宋体"/>
          <w:b/>
          <w:sz w:val="32"/>
          <w:szCs w:val="32"/>
        </w:rPr>
      </w:pPr>
    </w:p>
    <w:p w14:paraId="64D7A580">
      <w:pPr>
        <w:ind w:firstLine="450"/>
        <w:jc w:val="center"/>
        <w:rPr>
          <w:rFonts w:ascii="宋体" w:hAnsi="宋体"/>
          <w:sz w:val="30"/>
          <w:szCs w:val="30"/>
        </w:rPr>
      </w:pPr>
      <w:r>
        <w:rPr>
          <w:rFonts w:hint="eastAsia" w:ascii="宋体" w:hAnsi="宋体"/>
          <w:sz w:val="30"/>
          <w:szCs w:val="30"/>
        </w:rPr>
        <w:br w:type="page"/>
      </w:r>
    </w:p>
    <w:p w14:paraId="1A3B3BEE">
      <w:pPr>
        <w:pStyle w:val="3"/>
        <w:ind w:firstLine="422"/>
        <w:jc w:val="center"/>
        <w:rPr>
          <w:rFonts w:ascii="宋体" w:hAnsi="宋体" w:eastAsia="宋体"/>
          <w:b w:val="0"/>
          <w:bCs/>
          <w:sz w:val="28"/>
          <w:szCs w:val="28"/>
        </w:rPr>
      </w:pPr>
      <w:bookmarkStart w:id="1033" w:name="_Toc5114"/>
      <w:bookmarkEnd w:id="1033"/>
      <w:bookmarkStart w:id="1034" w:name="_Toc21843"/>
      <w:bookmarkEnd w:id="1034"/>
      <w:bookmarkStart w:id="1035" w:name="_Toc27318"/>
      <w:bookmarkStart w:id="1036" w:name="_Toc29852"/>
      <w:bookmarkStart w:id="1037" w:name="_Toc22275"/>
      <w:bookmarkStart w:id="1038" w:name="_Toc20536"/>
      <w:bookmarkStart w:id="1039" w:name="_Toc12317"/>
      <w:bookmarkStart w:id="1040" w:name="_Toc16272"/>
      <w:bookmarkStart w:id="1041" w:name="_Toc129073518"/>
      <w:bookmarkStart w:id="1042" w:name="_Toc3347"/>
      <w:r>
        <w:rPr>
          <w:rFonts w:hint="eastAsia" w:ascii="宋体" w:hAnsi="宋体" w:eastAsia="宋体"/>
          <w:sz w:val="28"/>
          <w:szCs w:val="28"/>
        </w:rPr>
        <w:t>第一部分 合同协议书</w:t>
      </w:r>
      <w:bookmarkEnd w:id="1035"/>
      <w:bookmarkEnd w:id="1036"/>
      <w:bookmarkEnd w:id="1037"/>
      <w:bookmarkEnd w:id="1038"/>
      <w:bookmarkEnd w:id="1039"/>
      <w:bookmarkEnd w:id="1040"/>
      <w:bookmarkEnd w:id="1041"/>
      <w:bookmarkEnd w:id="1042"/>
    </w:p>
    <w:p w14:paraId="72436F36">
      <w:pPr>
        <w:spacing w:line="360" w:lineRule="auto"/>
        <w:ind w:firstLine="361"/>
        <w:rPr>
          <w:rFonts w:ascii="宋体" w:hAnsi="宋体"/>
          <w:b/>
          <w:u w:val="single"/>
        </w:rPr>
      </w:pPr>
      <w:r>
        <w:rPr>
          <w:rFonts w:hint="eastAsia" w:ascii="宋体" w:hAnsi="宋体"/>
          <w:b/>
        </w:rPr>
        <w:t>发包人（全称）：</w:t>
      </w:r>
      <w:r>
        <w:rPr>
          <w:rFonts w:hint="eastAsia" w:ascii="宋体" w:hAnsi="宋体"/>
          <w:b/>
          <w:u w:val="single"/>
          <w:lang w:eastAsia="zh-CN"/>
        </w:rPr>
        <w:t>河南省科学院激光制造研究所</w:t>
      </w:r>
      <w:r>
        <w:rPr>
          <w:rFonts w:hint="eastAsia" w:ascii="宋体" w:hAnsi="宋体"/>
          <w:b/>
          <w:u w:val="single"/>
        </w:rPr>
        <w:t xml:space="preserve"> </w:t>
      </w:r>
    </w:p>
    <w:p w14:paraId="40AE2346">
      <w:pPr>
        <w:spacing w:line="360" w:lineRule="auto"/>
        <w:ind w:firstLine="361"/>
        <w:rPr>
          <w:rFonts w:ascii="宋体" w:hAnsi="宋体"/>
          <w:b/>
          <w:u w:val="single"/>
        </w:rPr>
      </w:pPr>
      <w:r>
        <w:rPr>
          <w:rFonts w:hint="eastAsia" w:ascii="宋体" w:hAnsi="宋体"/>
          <w:b/>
        </w:rPr>
        <w:t>承包人（全称）：</w:t>
      </w:r>
      <w:r>
        <w:rPr>
          <w:rFonts w:hint="eastAsia" w:ascii="宋体" w:hAnsi="宋体"/>
          <w:b/>
          <w:u w:val="single"/>
        </w:rPr>
        <w:t xml:space="preserve">                   </w:t>
      </w:r>
    </w:p>
    <w:p w14:paraId="38F1A0CD">
      <w:pPr>
        <w:spacing w:line="360" w:lineRule="auto"/>
        <w:ind w:firstLine="420" w:firstLineChars="200"/>
        <w:rPr>
          <w:rFonts w:ascii="宋体" w:hAnsi="宋体"/>
        </w:rPr>
      </w:pPr>
      <w:r>
        <w:rPr>
          <w:rFonts w:hint="eastAsia" w:ascii="宋体" w:hAnsi="宋体"/>
        </w:rPr>
        <w:t>根据《中华人民共和国民法典》、《中华人民共和国建筑法》及有关法律规定，遵循平等、自愿、公平和诚实信用的原则，双方就</w:t>
      </w:r>
      <w:r>
        <w:rPr>
          <w:rFonts w:hint="eastAsia" w:ascii="宋体" w:hAnsi="宋体"/>
          <w:u w:val="single"/>
        </w:rPr>
        <w:t xml:space="preserve"> </w:t>
      </w:r>
      <w:r>
        <w:rPr>
          <w:rFonts w:hint="eastAsia" w:ascii="宋体" w:hAnsi="宋体"/>
          <w:u w:val="single"/>
          <w:lang w:eastAsia="zh-CN"/>
        </w:rPr>
        <w:t>河南省科学院激光制造研究所中原量子谷大型仪器共享平台基础设施建设项目</w:t>
      </w:r>
      <w:r>
        <w:rPr>
          <w:rFonts w:hint="eastAsia" w:ascii="宋体" w:hAnsi="宋体"/>
          <w:u w:val="single"/>
        </w:rPr>
        <w:t xml:space="preserve"> </w:t>
      </w:r>
      <w:r>
        <w:rPr>
          <w:rFonts w:hint="eastAsia" w:ascii="宋体" w:hAnsi="宋体"/>
        </w:rPr>
        <w:t>及有关事项协商一致，共同达成如下协议：</w:t>
      </w:r>
    </w:p>
    <w:p w14:paraId="5AADD085">
      <w:pPr>
        <w:pStyle w:val="5"/>
        <w:spacing w:before="120" w:after="120" w:line="360" w:lineRule="auto"/>
        <w:ind w:firstLine="316"/>
        <w:rPr>
          <w:rFonts w:ascii="宋体" w:hAnsi="宋体" w:eastAsia="宋体"/>
          <w:bCs w:val="0"/>
          <w:sz w:val="21"/>
          <w:szCs w:val="21"/>
        </w:rPr>
      </w:pPr>
      <w:bookmarkStart w:id="1043" w:name="_Toc351203481"/>
      <w:bookmarkEnd w:id="1043"/>
      <w:r>
        <w:rPr>
          <w:rFonts w:hint="eastAsia" w:ascii="宋体" w:hAnsi="宋体" w:eastAsia="宋体"/>
          <w:bCs w:val="0"/>
          <w:sz w:val="21"/>
          <w:szCs w:val="21"/>
        </w:rPr>
        <w:t>一、工程概况</w:t>
      </w:r>
    </w:p>
    <w:p w14:paraId="01EA52F4">
      <w:pPr>
        <w:spacing w:line="360" w:lineRule="auto"/>
        <w:ind w:firstLine="411" w:firstLineChars="196"/>
        <w:rPr>
          <w:rFonts w:ascii="宋体" w:hAnsi="宋体"/>
          <w:u w:val="single"/>
        </w:rPr>
      </w:pPr>
      <w:r>
        <w:rPr>
          <w:rFonts w:hint="eastAsia" w:ascii="宋体" w:hAnsi="宋体"/>
          <w:bCs/>
        </w:rPr>
        <w:t>1.工程名称</w:t>
      </w:r>
      <w:r>
        <w:rPr>
          <w:rFonts w:hint="eastAsia" w:ascii="宋体" w:hAnsi="宋体"/>
        </w:rPr>
        <w:t>：</w:t>
      </w:r>
      <w:r>
        <w:rPr>
          <w:rFonts w:hint="eastAsia" w:ascii="宋体" w:hAnsi="宋体"/>
          <w:u w:val="single"/>
          <w:lang w:eastAsia="zh-CN"/>
        </w:rPr>
        <w:t>河南省科学院激光制造研究所中原量子谷大型仪器共享平台基础设施建设项目</w:t>
      </w:r>
      <w:r>
        <w:rPr>
          <w:rFonts w:hint="eastAsia" w:ascii="宋体" w:hAnsi="宋体"/>
        </w:rPr>
        <w:t>。</w:t>
      </w:r>
    </w:p>
    <w:p w14:paraId="29BE9155">
      <w:pPr>
        <w:spacing w:line="360" w:lineRule="auto"/>
        <w:ind w:firstLine="411" w:firstLineChars="196"/>
        <w:rPr>
          <w:rFonts w:ascii="宋体" w:hAnsi="宋体"/>
          <w:bCs/>
        </w:rPr>
      </w:pPr>
      <w:r>
        <w:rPr>
          <w:rFonts w:hint="eastAsia" w:ascii="宋体" w:hAnsi="宋体"/>
          <w:bCs/>
        </w:rPr>
        <w:t>2.工程地点：</w:t>
      </w:r>
      <w:r>
        <w:rPr>
          <w:rFonts w:hint="eastAsia" w:ascii="宋体" w:hAnsi="宋体"/>
          <w:u w:val="single"/>
        </w:rPr>
        <w:t xml:space="preserve">       </w:t>
      </w:r>
      <w:r>
        <w:rPr>
          <w:rFonts w:hint="eastAsia" w:ascii="宋体" w:hAnsi="宋体"/>
        </w:rPr>
        <w:t>。</w:t>
      </w:r>
    </w:p>
    <w:p w14:paraId="233917CF">
      <w:pPr>
        <w:spacing w:line="360" w:lineRule="auto"/>
        <w:ind w:firstLine="411" w:firstLineChars="196"/>
        <w:rPr>
          <w:rFonts w:ascii="宋体" w:hAnsi="宋体"/>
          <w:bCs/>
        </w:rPr>
      </w:pPr>
      <w:r>
        <w:rPr>
          <w:rFonts w:hint="eastAsia" w:ascii="宋体" w:hAnsi="宋体"/>
          <w:bCs/>
        </w:rPr>
        <w:t>3.工程立项批准文号：</w:t>
      </w:r>
      <w:r>
        <w:rPr>
          <w:rFonts w:hint="eastAsia" w:ascii="宋体" w:hAnsi="宋体"/>
          <w:u w:val="single"/>
        </w:rPr>
        <w:t xml:space="preserve">       </w:t>
      </w:r>
      <w:r>
        <w:rPr>
          <w:rFonts w:hint="eastAsia" w:ascii="宋体" w:hAnsi="宋体"/>
          <w:bCs/>
        </w:rPr>
        <w:t>。</w:t>
      </w:r>
    </w:p>
    <w:p w14:paraId="4AB0DCFB">
      <w:pPr>
        <w:spacing w:line="360" w:lineRule="auto"/>
        <w:ind w:firstLine="411" w:firstLineChars="196"/>
        <w:rPr>
          <w:rFonts w:ascii="宋体" w:hAnsi="宋体"/>
          <w:bCs/>
        </w:rPr>
      </w:pPr>
      <w:r>
        <w:rPr>
          <w:rFonts w:hint="eastAsia" w:ascii="宋体" w:hAnsi="宋体"/>
          <w:bCs/>
        </w:rPr>
        <w:t>4.资金来源：</w:t>
      </w:r>
      <w:r>
        <w:rPr>
          <w:rFonts w:hint="eastAsia" w:ascii="宋体" w:hAnsi="宋体"/>
          <w:u w:val="single"/>
        </w:rPr>
        <w:t xml:space="preserve">       </w:t>
      </w:r>
      <w:r>
        <w:rPr>
          <w:rFonts w:hint="eastAsia" w:ascii="宋体" w:hAnsi="宋体"/>
          <w:bCs/>
        </w:rPr>
        <w:t>。</w:t>
      </w:r>
    </w:p>
    <w:p w14:paraId="4823D7DA">
      <w:pPr>
        <w:spacing w:line="360" w:lineRule="auto"/>
        <w:ind w:firstLine="411" w:firstLineChars="196"/>
        <w:rPr>
          <w:rFonts w:ascii="宋体" w:hAnsi="宋体"/>
          <w:bCs/>
        </w:rPr>
      </w:pPr>
      <w:r>
        <w:rPr>
          <w:rFonts w:hint="eastAsia" w:ascii="宋体" w:hAnsi="宋体"/>
          <w:bCs/>
        </w:rPr>
        <w:t>5.工程内容：</w:t>
      </w:r>
      <w:r>
        <w:rPr>
          <w:rFonts w:hint="eastAsia" w:ascii="宋体" w:hAnsi="宋体"/>
          <w:u w:val="single"/>
        </w:rPr>
        <w:t xml:space="preserve">       </w:t>
      </w:r>
      <w:r>
        <w:rPr>
          <w:rFonts w:hint="eastAsia" w:ascii="宋体" w:hAnsi="宋体"/>
          <w:bCs/>
        </w:rPr>
        <w:t>。</w:t>
      </w:r>
    </w:p>
    <w:p w14:paraId="6FA84BAA">
      <w:pPr>
        <w:spacing w:line="360" w:lineRule="auto"/>
        <w:ind w:firstLine="411" w:firstLineChars="196"/>
        <w:rPr>
          <w:rFonts w:ascii="宋体" w:hAnsi="宋体"/>
          <w:bCs/>
        </w:rPr>
      </w:pPr>
      <w:r>
        <w:rPr>
          <w:rFonts w:hint="eastAsia" w:ascii="宋体" w:hAnsi="宋体"/>
        </w:rPr>
        <w:t>群体工程应附《承包人承揽工程项目一览表》（附件1）。</w:t>
      </w:r>
    </w:p>
    <w:p w14:paraId="0EB6F38F">
      <w:pPr>
        <w:spacing w:line="360" w:lineRule="auto"/>
        <w:ind w:firstLine="411" w:firstLineChars="196"/>
        <w:rPr>
          <w:rFonts w:ascii="宋体" w:hAnsi="宋体"/>
          <w:bCs/>
        </w:rPr>
      </w:pPr>
      <w:r>
        <w:rPr>
          <w:rFonts w:hint="eastAsia" w:ascii="宋体" w:hAnsi="宋体"/>
          <w:bCs/>
        </w:rPr>
        <w:t>6.工程承包范围：</w:t>
      </w:r>
      <w:r>
        <w:rPr>
          <w:rFonts w:hint="eastAsia" w:ascii="宋体" w:hAnsi="宋体"/>
          <w:u w:val="single"/>
        </w:rPr>
        <w:t xml:space="preserve">         </w:t>
      </w:r>
      <w:r>
        <w:rPr>
          <w:rFonts w:hint="eastAsia" w:ascii="宋体" w:hAnsi="宋体"/>
          <w:bCs/>
        </w:rPr>
        <w:t>。</w:t>
      </w:r>
    </w:p>
    <w:p w14:paraId="38570F98">
      <w:pPr>
        <w:pStyle w:val="5"/>
        <w:spacing w:before="120" w:after="120" w:line="360" w:lineRule="auto"/>
        <w:ind w:firstLine="316"/>
        <w:rPr>
          <w:rFonts w:ascii="宋体" w:hAnsi="宋体" w:eastAsia="宋体"/>
          <w:b w:val="0"/>
          <w:sz w:val="21"/>
          <w:szCs w:val="21"/>
        </w:rPr>
      </w:pPr>
      <w:bookmarkStart w:id="1044" w:name="_Toc351203482"/>
      <w:bookmarkEnd w:id="1044"/>
      <w:r>
        <w:rPr>
          <w:rFonts w:hint="eastAsia" w:ascii="宋体" w:hAnsi="宋体" w:eastAsia="宋体"/>
          <w:bCs w:val="0"/>
          <w:sz w:val="21"/>
          <w:szCs w:val="21"/>
        </w:rPr>
        <w:t>二、合同工期</w:t>
      </w:r>
    </w:p>
    <w:p w14:paraId="69676BA5">
      <w:pPr>
        <w:spacing w:line="360" w:lineRule="auto"/>
        <w:ind w:firstLine="360"/>
        <w:rPr>
          <w:rFonts w:ascii="宋体" w:hAnsi="宋体"/>
        </w:rPr>
      </w:pPr>
      <w:r>
        <w:rPr>
          <w:rFonts w:hint="eastAsia" w:ascii="宋体" w:hAnsi="宋体"/>
        </w:rPr>
        <w:t>计划开工日期：</w:t>
      </w:r>
      <w:r>
        <w:rPr>
          <w:rFonts w:hint="eastAsia" w:ascii="宋体" w:hAnsi="宋体"/>
          <w:u w:val="single"/>
        </w:rPr>
        <w:t></w:t>
      </w:r>
      <w:r>
        <w:rPr>
          <w:rFonts w:hint="eastAsia" w:ascii="宋体" w:hAnsi="宋体"/>
        </w:rPr>
        <w:t>年</w:t>
      </w:r>
      <w:r>
        <w:rPr>
          <w:rFonts w:hint="eastAsia" w:ascii="宋体" w:hAnsi="宋体"/>
          <w:u w:val="single"/>
        </w:rPr>
        <w:t></w:t>
      </w:r>
      <w:r>
        <w:rPr>
          <w:rFonts w:hint="eastAsia" w:ascii="宋体" w:hAnsi="宋体"/>
        </w:rPr>
        <w:t>月</w:t>
      </w:r>
      <w:r>
        <w:rPr>
          <w:rFonts w:hint="eastAsia" w:ascii="宋体" w:hAnsi="宋体"/>
          <w:u w:val="single"/>
        </w:rPr>
        <w:t></w:t>
      </w:r>
      <w:r>
        <w:rPr>
          <w:rFonts w:hint="eastAsia" w:ascii="宋体" w:hAnsi="宋体"/>
        </w:rPr>
        <w:t>日。</w:t>
      </w:r>
    </w:p>
    <w:p w14:paraId="041954A7">
      <w:pPr>
        <w:spacing w:line="360" w:lineRule="auto"/>
        <w:ind w:firstLine="360"/>
        <w:rPr>
          <w:rFonts w:ascii="宋体" w:hAnsi="宋体"/>
        </w:rPr>
      </w:pPr>
      <w:r>
        <w:rPr>
          <w:rFonts w:hint="eastAsia" w:ascii="宋体" w:hAnsi="宋体"/>
        </w:rPr>
        <w:t>计划竣工日期：</w:t>
      </w:r>
      <w:r>
        <w:rPr>
          <w:rFonts w:hint="eastAsia" w:ascii="宋体" w:hAnsi="宋体"/>
          <w:u w:val="single"/>
        </w:rPr>
        <w:t></w:t>
      </w:r>
      <w:r>
        <w:rPr>
          <w:rFonts w:hint="eastAsia" w:ascii="宋体" w:hAnsi="宋体"/>
        </w:rPr>
        <w:t>年</w:t>
      </w:r>
      <w:r>
        <w:rPr>
          <w:rFonts w:hint="eastAsia" w:ascii="宋体" w:hAnsi="宋体"/>
          <w:u w:val="single"/>
        </w:rPr>
        <w:t></w:t>
      </w:r>
      <w:r>
        <w:rPr>
          <w:rFonts w:hint="eastAsia" w:ascii="宋体" w:hAnsi="宋体"/>
        </w:rPr>
        <w:t>月</w:t>
      </w:r>
      <w:r>
        <w:rPr>
          <w:rFonts w:hint="eastAsia" w:ascii="宋体" w:hAnsi="宋体"/>
          <w:u w:val="single"/>
        </w:rPr>
        <w:t></w:t>
      </w:r>
      <w:r>
        <w:rPr>
          <w:rFonts w:hint="eastAsia" w:ascii="宋体" w:hAnsi="宋体"/>
        </w:rPr>
        <w:t>日。</w:t>
      </w:r>
    </w:p>
    <w:p w14:paraId="63B3069D">
      <w:pPr>
        <w:spacing w:line="360" w:lineRule="auto"/>
        <w:ind w:firstLine="360"/>
        <w:rPr>
          <w:rFonts w:ascii="宋体" w:hAnsi="宋体"/>
        </w:rPr>
      </w:pPr>
      <w:r>
        <w:rPr>
          <w:rFonts w:hint="eastAsia" w:ascii="宋体" w:hAnsi="宋体"/>
        </w:rPr>
        <w:t>工期总日历天数：</w:t>
      </w:r>
      <w:r>
        <w:rPr>
          <w:rFonts w:hint="eastAsia" w:ascii="宋体" w:hAnsi="宋体"/>
          <w:u w:val="single"/>
        </w:rPr>
        <w:t></w:t>
      </w:r>
      <w:r>
        <w:rPr>
          <w:rFonts w:hint="eastAsia" w:ascii="宋体" w:hAnsi="宋体"/>
        </w:rPr>
        <w:t>天。工期总日历天数与根据前述计划开竣工日期计算的工期天数不一致的，以工期总日历天数为准。</w:t>
      </w:r>
    </w:p>
    <w:p w14:paraId="43B3B49E">
      <w:pPr>
        <w:pStyle w:val="5"/>
        <w:spacing w:before="120" w:after="120" w:line="360" w:lineRule="auto"/>
        <w:ind w:firstLine="316"/>
        <w:rPr>
          <w:rFonts w:ascii="宋体" w:hAnsi="宋体" w:eastAsia="宋体"/>
          <w:bCs w:val="0"/>
          <w:sz w:val="21"/>
          <w:szCs w:val="21"/>
        </w:rPr>
      </w:pPr>
      <w:bookmarkStart w:id="1045" w:name="_Toc351203483"/>
      <w:bookmarkEnd w:id="1045"/>
      <w:r>
        <w:rPr>
          <w:rFonts w:hint="eastAsia" w:ascii="宋体" w:hAnsi="宋体" w:eastAsia="宋体"/>
          <w:bCs w:val="0"/>
          <w:sz w:val="21"/>
          <w:szCs w:val="21"/>
        </w:rPr>
        <w:t>三、质量标准</w:t>
      </w:r>
    </w:p>
    <w:p w14:paraId="69051CC9">
      <w:pPr>
        <w:spacing w:line="360" w:lineRule="auto"/>
        <w:ind w:firstLine="360"/>
        <w:rPr>
          <w:rFonts w:ascii="宋体" w:hAnsi="宋体"/>
        </w:rPr>
      </w:pPr>
      <w:r>
        <w:rPr>
          <w:rFonts w:hint="eastAsia" w:ascii="宋体" w:hAnsi="宋体"/>
        </w:rPr>
        <w:t>工程质量符合</w:t>
      </w:r>
      <w:r>
        <w:rPr>
          <w:rFonts w:hint="eastAsia" w:ascii="宋体" w:hAnsi="宋体"/>
          <w:u w:val="single"/>
        </w:rPr>
        <w:t></w:t>
      </w:r>
      <w:r>
        <w:rPr>
          <w:rFonts w:hint="eastAsia" w:ascii="宋体" w:hAnsi="宋体"/>
        </w:rPr>
        <w:t>标准。</w:t>
      </w:r>
    </w:p>
    <w:p w14:paraId="0C346DCF">
      <w:pPr>
        <w:pStyle w:val="5"/>
        <w:spacing w:before="120" w:after="120" w:line="360" w:lineRule="auto"/>
        <w:ind w:firstLine="316"/>
        <w:rPr>
          <w:rFonts w:ascii="宋体" w:hAnsi="宋体" w:eastAsia="宋体"/>
          <w:bCs w:val="0"/>
          <w:sz w:val="21"/>
          <w:szCs w:val="21"/>
        </w:rPr>
      </w:pPr>
      <w:bookmarkStart w:id="1046" w:name="_Toc351203484"/>
      <w:bookmarkEnd w:id="1046"/>
      <w:r>
        <w:rPr>
          <w:rFonts w:hint="eastAsia" w:ascii="宋体" w:hAnsi="宋体" w:eastAsia="宋体"/>
          <w:bCs w:val="0"/>
          <w:sz w:val="21"/>
          <w:szCs w:val="21"/>
        </w:rPr>
        <w:t>四、签约合同价与合同价格形式</w:t>
      </w:r>
      <w:r>
        <w:rPr>
          <w:rFonts w:hint="eastAsia" w:ascii="宋体" w:hAnsi="宋体" w:eastAsia="宋体"/>
          <w:b w:val="0"/>
          <w:sz w:val="21"/>
          <w:szCs w:val="21"/>
        </w:rPr>
        <w:tab/>
      </w:r>
    </w:p>
    <w:p w14:paraId="37E6C97E">
      <w:pPr>
        <w:spacing w:line="360" w:lineRule="auto"/>
        <w:ind w:firstLine="420" w:firstLineChars="200"/>
        <w:rPr>
          <w:rFonts w:ascii="宋体" w:hAnsi="宋体"/>
        </w:rPr>
      </w:pPr>
      <w:r>
        <w:rPr>
          <w:rFonts w:hint="eastAsia" w:ascii="宋体" w:hAnsi="宋体"/>
        </w:rPr>
        <w:t>1.签约合同价为：</w:t>
      </w:r>
    </w:p>
    <w:p w14:paraId="4E25271F">
      <w:pPr>
        <w:spacing w:line="360" w:lineRule="auto"/>
        <w:ind w:firstLine="525" w:firstLineChars="250"/>
        <w:rPr>
          <w:rFonts w:ascii="宋体" w:hAnsi="宋体"/>
        </w:rPr>
      </w:pPr>
      <w:r>
        <w:rPr>
          <w:rFonts w:hint="eastAsia" w:ascii="宋体" w:hAnsi="宋体"/>
        </w:rPr>
        <w:t>人民币（大写）(¥元)；</w:t>
      </w:r>
    </w:p>
    <w:p w14:paraId="252F332B">
      <w:pPr>
        <w:spacing w:line="360" w:lineRule="auto"/>
        <w:ind w:firstLine="420" w:firstLineChars="200"/>
        <w:rPr>
          <w:rFonts w:ascii="宋体" w:hAnsi="宋体"/>
        </w:rPr>
      </w:pPr>
      <w:r>
        <w:rPr>
          <w:rFonts w:hint="eastAsia" w:ascii="宋体" w:hAnsi="宋体"/>
        </w:rPr>
        <w:t>其中：</w:t>
      </w:r>
    </w:p>
    <w:p w14:paraId="1AB6E248">
      <w:pPr>
        <w:spacing w:line="360" w:lineRule="auto"/>
        <w:ind w:firstLine="420" w:firstLineChars="200"/>
        <w:rPr>
          <w:rFonts w:ascii="宋体" w:hAnsi="宋体"/>
        </w:rPr>
      </w:pPr>
      <w:r>
        <w:rPr>
          <w:rFonts w:hint="eastAsia" w:ascii="宋体" w:hAnsi="宋体"/>
        </w:rPr>
        <w:t>（1）安全文明施工费：</w:t>
      </w:r>
    </w:p>
    <w:p w14:paraId="2B302993">
      <w:pPr>
        <w:spacing w:line="360" w:lineRule="auto"/>
        <w:ind w:firstLine="945" w:firstLineChars="450"/>
        <w:rPr>
          <w:rFonts w:ascii="宋体" w:hAnsi="宋体"/>
        </w:rPr>
      </w:pPr>
      <w:r>
        <w:rPr>
          <w:rFonts w:hint="eastAsia" w:ascii="宋体" w:hAnsi="宋体"/>
        </w:rPr>
        <w:t>人民币（大写） (¥元)；</w:t>
      </w:r>
    </w:p>
    <w:p w14:paraId="37B9AF63">
      <w:pPr>
        <w:spacing w:line="360" w:lineRule="auto"/>
        <w:ind w:firstLine="420" w:firstLineChars="200"/>
        <w:rPr>
          <w:rFonts w:ascii="宋体" w:hAnsi="宋体"/>
        </w:rPr>
      </w:pPr>
      <w:r>
        <w:rPr>
          <w:rFonts w:hint="eastAsia" w:ascii="宋体" w:hAnsi="宋体"/>
        </w:rPr>
        <w:t>（2）材料和工程设备暂估价金额：</w:t>
      </w:r>
    </w:p>
    <w:p w14:paraId="12A3AB80">
      <w:pPr>
        <w:spacing w:line="360" w:lineRule="auto"/>
        <w:ind w:firstLine="945" w:firstLineChars="450"/>
        <w:rPr>
          <w:rFonts w:ascii="宋体" w:hAnsi="宋体"/>
        </w:rPr>
      </w:pPr>
      <w:r>
        <w:rPr>
          <w:rFonts w:hint="eastAsia" w:ascii="宋体" w:hAnsi="宋体"/>
        </w:rPr>
        <w:t>人民币（大写） (¥元)；</w:t>
      </w:r>
    </w:p>
    <w:p w14:paraId="1CFD8EEE">
      <w:pPr>
        <w:spacing w:line="360" w:lineRule="auto"/>
        <w:ind w:firstLine="420" w:firstLineChars="200"/>
        <w:rPr>
          <w:rFonts w:ascii="宋体" w:hAnsi="宋体"/>
        </w:rPr>
      </w:pPr>
      <w:r>
        <w:rPr>
          <w:rFonts w:hint="eastAsia" w:ascii="宋体" w:hAnsi="宋体"/>
        </w:rPr>
        <w:t>（3）专业工程暂估价金额：</w:t>
      </w:r>
    </w:p>
    <w:p w14:paraId="488D119F">
      <w:pPr>
        <w:spacing w:line="360" w:lineRule="auto"/>
        <w:ind w:firstLine="945" w:firstLineChars="450"/>
        <w:rPr>
          <w:rFonts w:ascii="宋体" w:hAnsi="宋体"/>
        </w:rPr>
      </w:pPr>
      <w:r>
        <w:rPr>
          <w:rFonts w:hint="eastAsia" w:ascii="宋体" w:hAnsi="宋体"/>
        </w:rPr>
        <w:t>人民币（大写） (¥元)；</w:t>
      </w:r>
    </w:p>
    <w:p w14:paraId="40983E4B">
      <w:pPr>
        <w:spacing w:line="360" w:lineRule="auto"/>
        <w:ind w:firstLine="420" w:firstLineChars="200"/>
        <w:rPr>
          <w:rFonts w:ascii="宋体" w:hAnsi="宋体"/>
        </w:rPr>
      </w:pPr>
      <w:r>
        <w:rPr>
          <w:rFonts w:hint="eastAsia" w:ascii="宋体" w:hAnsi="宋体"/>
        </w:rPr>
        <w:t>（4）暂列金额：</w:t>
      </w:r>
    </w:p>
    <w:p w14:paraId="73D3920C">
      <w:pPr>
        <w:spacing w:line="360" w:lineRule="auto"/>
        <w:ind w:firstLine="945" w:firstLineChars="450"/>
        <w:rPr>
          <w:rFonts w:ascii="宋体" w:hAnsi="宋体"/>
        </w:rPr>
      </w:pPr>
      <w:r>
        <w:rPr>
          <w:rFonts w:hint="eastAsia" w:ascii="宋体" w:hAnsi="宋体"/>
        </w:rPr>
        <w:t>人民币（大写） (¥元)。</w:t>
      </w:r>
    </w:p>
    <w:p w14:paraId="43EB3F6B">
      <w:pPr>
        <w:spacing w:line="360" w:lineRule="auto"/>
        <w:ind w:firstLine="420" w:firstLineChars="200"/>
        <w:rPr>
          <w:rFonts w:ascii="宋体" w:hAnsi="宋体"/>
        </w:rPr>
      </w:pPr>
      <w:r>
        <w:rPr>
          <w:rFonts w:hint="eastAsia" w:ascii="宋体" w:hAnsi="宋体"/>
        </w:rPr>
        <w:t>2.合同价格形式：</w:t>
      </w:r>
      <w:r>
        <w:rPr>
          <w:rFonts w:hint="eastAsia" w:ascii="宋体" w:hAnsi="宋体"/>
          <w:u w:val="single"/>
        </w:rPr>
        <w:t>                      </w:t>
      </w:r>
      <w:r>
        <w:rPr>
          <w:rFonts w:hint="eastAsia" w:ascii="宋体" w:hAnsi="宋体"/>
        </w:rPr>
        <w:t>。</w:t>
      </w:r>
    </w:p>
    <w:p w14:paraId="4364A4EC">
      <w:pPr>
        <w:pStyle w:val="5"/>
        <w:spacing w:before="120" w:after="120" w:line="360" w:lineRule="auto"/>
        <w:ind w:firstLine="316"/>
        <w:rPr>
          <w:rFonts w:ascii="宋体" w:hAnsi="宋体" w:eastAsia="宋体"/>
          <w:b w:val="0"/>
          <w:sz w:val="21"/>
          <w:szCs w:val="21"/>
        </w:rPr>
      </w:pPr>
      <w:bookmarkStart w:id="1047" w:name="_Toc351203485"/>
      <w:bookmarkEnd w:id="1047"/>
      <w:r>
        <w:rPr>
          <w:rFonts w:hint="eastAsia" w:ascii="宋体" w:hAnsi="宋体" w:eastAsia="宋体"/>
          <w:bCs w:val="0"/>
          <w:sz w:val="21"/>
          <w:szCs w:val="21"/>
        </w:rPr>
        <w:t>五、项目经理</w:t>
      </w:r>
    </w:p>
    <w:p w14:paraId="5FE8B150">
      <w:pPr>
        <w:spacing w:line="360" w:lineRule="auto"/>
        <w:ind w:firstLine="420" w:firstLineChars="200"/>
        <w:rPr>
          <w:rFonts w:ascii="宋体" w:hAnsi="宋体"/>
        </w:rPr>
      </w:pPr>
      <w:r>
        <w:rPr>
          <w:rFonts w:hint="eastAsia" w:ascii="宋体" w:hAnsi="宋体"/>
        </w:rPr>
        <w:t>承包人项目经理：</w:t>
      </w:r>
      <w:r>
        <w:rPr>
          <w:rFonts w:hint="eastAsia" w:ascii="宋体" w:hAnsi="宋体"/>
          <w:u w:val="single"/>
        </w:rPr>
        <w:t>                     </w:t>
      </w:r>
      <w:r>
        <w:rPr>
          <w:rFonts w:hint="eastAsia" w:ascii="宋体" w:hAnsi="宋体"/>
        </w:rPr>
        <w:t>。</w:t>
      </w:r>
    </w:p>
    <w:p w14:paraId="2431E9C2">
      <w:pPr>
        <w:pStyle w:val="5"/>
        <w:spacing w:before="120" w:after="120" w:line="360" w:lineRule="auto"/>
        <w:ind w:firstLine="316"/>
        <w:rPr>
          <w:rFonts w:ascii="宋体" w:hAnsi="宋体" w:eastAsia="宋体"/>
          <w:bCs w:val="0"/>
          <w:sz w:val="21"/>
          <w:szCs w:val="21"/>
        </w:rPr>
      </w:pPr>
      <w:bookmarkStart w:id="1048" w:name="_Toc351203486"/>
      <w:bookmarkEnd w:id="1048"/>
      <w:r>
        <w:rPr>
          <w:rFonts w:hint="eastAsia" w:ascii="宋体" w:hAnsi="宋体" w:eastAsia="宋体"/>
          <w:bCs w:val="0"/>
          <w:sz w:val="21"/>
          <w:szCs w:val="21"/>
        </w:rPr>
        <w:t>六、合同文件构成</w:t>
      </w:r>
    </w:p>
    <w:p w14:paraId="0ECC0D70">
      <w:pPr>
        <w:spacing w:line="360" w:lineRule="auto"/>
        <w:ind w:firstLine="420" w:firstLineChars="200"/>
        <w:rPr>
          <w:rFonts w:ascii="宋体" w:hAnsi="宋体"/>
          <w:bCs/>
        </w:rPr>
      </w:pPr>
      <w:r>
        <w:rPr>
          <w:rFonts w:hint="eastAsia" w:ascii="宋体" w:hAnsi="宋体"/>
          <w:bCs/>
        </w:rPr>
        <w:t>本协议书与下列文件一起构成合同文件：</w:t>
      </w:r>
    </w:p>
    <w:p w14:paraId="58E5D458">
      <w:pPr>
        <w:autoSpaceDE w:val="0"/>
        <w:autoSpaceDN w:val="0"/>
        <w:adjustRightInd w:val="0"/>
        <w:spacing w:line="360" w:lineRule="auto"/>
        <w:ind w:firstLine="420" w:firstLineChars="200"/>
        <w:jc w:val="left"/>
        <w:rPr>
          <w:rFonts w:ascii="宋体" w:hAnsi="宋体"/>
        </w:rPr>
      </w:pPr>
      <w:r>
        <w:rPr>
          <w:rFonts w:hint="eastAsia" w:ascii="宋体" w:hAnsi="宋体"/>
        </w:rPr>
        <w:t>（1）中标通知书（如果有）；</w:t>
      </w:r>
    </w:p>
    <w:p w14:paraId="73154329">
      <w:pPr>
        <w:autoSpaceDE w:val="0"/>
        <w:autoSpaceDN w:val="0"/>
        <w:adjustRightInd w:val="0"/>
        <w:spacing w:line="360" w:lineRule="auto"/>
        <w:ind w:firstLine="420" w:firstLineChars="200"/>
        <w:jc w:val="left"/>
        <w:rPr>
          <w:rFonts w:ascii="宋体" w:hAnsi="宋体"/>
        </w:rPr>
      </w:pPr>
      <w:r>
        <w:rPr>
          <w:rFonts w:hint="eastAsia" w:ascii="宋体" w:hAnsi="宋体"/>
        </w:rPr>
        <w:t xml:space="preserve">（2）投标函及其附录（如果有）； </w:t>
      </w:r>
    </w:p>
    <w:p w14:paraId="6C4D2E94">
      <w:pPr>
        <w:autoSpaceDE w:val="0"/>
        <w:autoSpaceDN w:val="0"/>
        <w:adjustRightInd w:val="0"/>
        <w:spacing w:line="360" w:lineRule="auto"/>
        <w:ind w:firstLine="420" w:firstLineChars="200"/>
        <w:jc w:val="left"/>
        <w:rPr>
          <w:rFonts w:ascii="宋体" w:hAnsi="宋体"/>
        </w:rPr>
      </w:pPr>
      <w:r>
        <w:rPr>
          <w:rFonts w:hint="eastAsia" w:ascii="宋体" w:hAnsi="宋体"/>
        </w:rPr>
        <w:t>（3）专用合同条款及其附件；</w:t>
      </w:r>
    </w:p>
    <w:p w14:paraId="5DBF7616">
      <w:pPr>
        <w:autoSpaceDE w:val="0"/>
        <w:autoSpaceDN w:val="0"/>
        <w:adjustRightInd w:val="0"/>
        <w:spacing w:line="360" w:lineRule="auto"/>
        <w:ind w:firstLine="420" w:firstLineChars="200"/>
        <w:jc w:val="left"/>
        <w:rPr>
          <w:rFonts w:ascii="宋体" w:hAnsi="宋体"/>
        </w:rPr>
      </w:pPr>
      <w:r>
        <w:rPr>
          <w:rFonts w:hint="eastAsia" w:ascii="宋体" w:hAnsi="宋体"/>
        </w:rPr>
        <w:t>（4）通用合同条款；</w:t>
      </w:r>
    </w:p>
    <w:p w14:paraId="5BF10999">
      <w:pPr>
        <w:autoSpaceDE w:val="0"/>
        <w:autoSpaceDN w:val="0"/>
        <w:adjustRightInd w:val="0"/>
        <w:spacing w:line="360" w:lineRule="auto"/>
        <w:ind w:firstLine="420" w:firstLineChars="200"/>
        <w:jc w:val="left"/>
        <w:rPr>
          <w:rFonts w:ascii="宋体" w:hAnsi="宋体"/>
        </w:rPr>
      </w:pPr>
      <w:r>
        <w:rPr>
          <w:rFonts w:hint="eastAsia" w:ascii="宋体" w:hAnsi="宋体"/>
        </w:rPr>
        <w:t>（5）技术标准和要求；</w:t>
      </w:r>
    </w:p>
    <w:p w14:paraId="031F13D5">
      <w:pPr>
        <w:autoSpaceDE w:val="0"/>
        <w:autoSpaceDN w:val="0"/>
        <w:adjustRightInd w:val="0"/>
        <w:spacing w:line="360" w:lineRule="auto"/>
        <w:ind w:firstLine="420" w:firstLineChars="200"/>
        <w:jc w:val="left"/>
        <w:rPr>
          <w:rFonts w:ascii="宋体" w:hAnsi="宋体"/>
        </w:rPr>
      </w:pPr>
      <w:r>
        <w:rPr>
          <w:rFonts w:hint="eastAsia" w:ascii="宋体" w:hAnsi="宋体"/>
        </w:rPr>
        <w:t>（6）图纸；</w:t>
      </w:r>
    </w:p>
    <w:p w14:paraId="72DB8B6D">
      <w:pPr>
        <w:autoSpaceDE w:val="0"/>
        <w:autoSpaceDN w:val="0"/>
        <w:adjustRightInd w:val="0"/>
        <w:spacing w:line="360" w:lineRule="auto"/>
        <w:ind w:firstLine="420" w:firstLineChars="200"/>
        <w:jc w:val="left"/>
        <w:rPr>
          <w:rFonts w:ascii="宋体" w:hAnsi="宋体"/>
        </w:rPr>
      </w:pPr>
      <w:r>
        <w:rPr>
          <w:rFonts w:hint="eastAsia" w:ascii="宋体" w:hAnsi="宋体"/>
        </w:rPr>
        <w:t>（7）已标价工程量清单；</w:t>
      </w:r>
    </w:p>
    <w:p w14:paraId="7A6EDD60">
      <w:pPr>
        <w:autoSpaceDE w:val="0"/>
        <w:autoSpaceDN w:val="0"/>
        <w:adjustRightInd w:val="0"/>
        <w:spacing w:line="360" w:lineRule="auto"/>
        <w:ind w:firstLine="420" w:firstLineChars="200"/>
        <w:jc w:val="left"/>
        <w:rPr>
          <w:rFonts w:ascii="宋体" w:hAnsi="宋体"/>
        </w:rPr>
      </w:pPr>
      <w:r>
        <w:rPr>
          <w:rFonts w:hint="eastAsia" w:ascii="宋体" w:hAnsi="宋体"/>
        </w:rPr>
        <w:t>（8）其他合同文件。</w:t>
      </w:r>
    </w:p>
    <w:p w14:paraId="4539AC92">
      <w:pPr>
        <w:autoSpaceDE w:val="0"/>
        <w:autoSpaceDN w:val="0"/>
        <w:adjustRightInd w:val="0"/>
        <w:spacing w:line="360" w:lineRule="auto"/>
        <w:ind w:firstLine="420" w:firstLineChars="200"/>
        <w:jc w:val="left"/>
        <w:rPr>
          <w:rFonts w:ascii="宋体" w:hAnsi="宋体"/>
        </w:rPr>
      </w:pPr>
      <w:r>
        <w:rPr>
          <w:rFonts w:hint="eastAsia" w:ascii="宋体" w:hAnsi="宋体"/>
        </w:rPr>
        <w:t>在合同订立及履行过程中形成的与合同有关的文件均构成合同文件组成部分。</w:t>
      </w:r>
    </w:p>
    <w:p w14:paraId="2B6A5638">
      <w:pPr>
        <w:autoSpaceDE w:val="0"/>
        <w:autoSpaceDN w:val="0"/>
        <w:adjustRightInd w:val="0"/>
        <w:spacing w:line="360" w:lineRule="auto"/>
        <w:ind w:firstLine="420" w:firstLineChars="200"/>
        <w:jc w:val="left"/>
        <w:rPr>
          <w:rFonts w:ascii="宋体" w:hAnsi="宋体"/>
        </w:rPr>
      </w:pPr>
      <w:r>
        <w:rPr>
          <w:rFonts w:hint="eastAsia" w:ascii="宋体" w:hAnsi="宋体"/>
        </w:rPr>
        <w:t>上述各项合同文件包括合同当事人就该项合同文件所作出的补充和修改，属于同一类内容的文件，应以最新签署的为准。专用合同条款及其附件须经合同当事人签字或盖章。</w:t>
      </w:r>
    </w:p>
    <w:p w14:paraId="5BDC73BE">
      <w:pPr>
        <w:pStyle w:val="5"/>
        <w:spacing w:before="120" w:after="120" w:line="360" w:lineRule="auto"/>
        <w:ind w:firstLine="316"/>
        <w:rPr>
          <w:rFonts w:ascii="宋体" w:hAnsi="宋体" w:eastAsia="宋体"/>
          <w:b w:val="0"/>
          <w:bCs w:val="0"/>
          <w:sz w:val="21"/>
          <w:szCs w:val="21"/>
        </w:rPr>
      </w:pPr>
      <w:bookmarkStart w:id="1049" w:name="_Toc351203487"/>
      <w:bookmarkEnd w:id="1049"/>
      <w:r>
        <w:rPr>
          <w:rFonts w:hint="eastAsia" w:ascii="宋体" w:hAnsi="宋体" w:eastAsia="宋体"/>
          <w:bCs w:val="0"/>
          <w:sz w:val="21"/>
          <w:szCs w:val="21"/>
        </w:rPr>
        <w:t>七、承诺</w:t>
      </w:r>
    </w:p>
    <w:p w14:paraId="3CB0F2BC">
      <w:pPr>
        <w:spacing w:line="360" w:lineRule="auto"/>
        <w:ind w:firstLine="420" w:firstLineChars="200"/>
        <w:rPr>
          <w:rFonts w:ascii="宋体" w:hAnsi="宋体"/>
          <w:bCs/>
        </w:rPr>
      </w:pPr>
      <w:r>
        <w:rPr>
          <w:rFonts w:hint="eastAsia" w:ascii="宋体" w:hAnsi="宋体"/>
          <w:bCs/>
        </w:rPr>
        <w:t>1.发包人承诺按照法律规定履行项目审批手续、筹集工程建设资金并按照合同约定的期限和方式支付合同价款。</w:t>
      </w:r>
    </w:p>
    <w:p w14:paraId="26F91EDE">
      <w:pPr>
        <w:spacing w:line="360" w:lineRule="auto"/>
        <w:ind w:firstLine="420" w:firstLineChars="200"/>
        <w:rPr>
          <w:rFonts w:ascii="宋体" w:hAnsi="宋体"/>
          <w:bCs/>
        </w:rPr>
      </w:pPr>
      <w:r>
        <w:rPr>
          <w:rFonts w:hint="eastAsia" w:ascii="宋体" w:hAnsi="宋体"/>
          <w:bCs/>
        </w:rPr>
        <w:t>2.承包人承诺按照法律规定及合同约定组织完成工程施工，确保工程质量和安全，不进行转包及违法分包，并在缺陷责任期及保修期内承担相应的工程维修责任。</w:t>
      </w:r>
    </w:p>
    <w:p w14:paraId="78351771">
      <w:pPr>
        <w:spacing w:line="360" w:lineRule="auto"/>
        <w:ind w:firstLine="420" w:firstLineChars="200"/>
        <w:rPr>
          <w:rFonts w:ascii="宋体" w:hAnsi="宋体"/>
          <w:bCs/>
        </w:rPr>
      </w:pPr>
      <w:r>
        <w:rPr>
          <w:rFonts w:hint="eastAsia" w:ascii="宋体" w:hAnsi="宋体"/>
          <w:bCs/>
        </w:rPr>
        <w:t>3.发包人和承包人通过招投标形式签订合同的，双方理解并承诺不再就同一工程另行签订与合同实质性内容相背离的协议。</w:t>
      </w:r>
    </w:p>
    <w:p w14:paraId="07A57890">
      <w:pPr>
        <w:pStyle w:val="5"/>
        <w:spacing w:before="120" w:after="120" w:line="360" w:lineRule="auto"/>
        <w:ind w:firstLine="316"/>
        <w:rPr>
          <w:rFonts w:ascii="宋体" w:hAnsi="宋体" w:eastAsia="宋体"/>
          <w:sz w:val="21"/>
          <w:szCs w:val="21"/>
        </w:rPr>
      </w:pPr>
      <w:bookmarkStart w:id="1050" w:name="_Toc351203488"/>
      <w:bookmarkEnd w:id="1050"/>
      <w:r>
        <w:rPr>
          <w:rFonts w:hint="eastAsia" w:ascii="宋体" w:hAnsi="宋体" w:eastAsia="宋体"/>
          <w:bCs w:val="0"/>
          <w:sz w:val="21"/>
          <w:szCs w:val="21"/>
        </w:rPr>
        <w:t>八、词语含义</w:t>
      </w:r>
    </w:p>
    <w:p w14:paraId="6A991819">
      <w:pPr>
        <w:spacing w:line="360" w:lineRule="auto"/>
        <w:ind w:firstLine="420" w:firstLineChars="200"/>
        <w:rPr>
          <w:rFonts w:ascii="宋体" w:hAnsi="宋体"/>
          <w:bCs/>
        </w:rPr>
      </w:pPr>
      <w:r>
        <w:rPr>
          <w:rFonts w:hint="eastAsia" w:ascii="宋体" w:hAnsi="宋体"/>
          <w:bCs/>
        </w:rPr>
        <w:t>本协议书中词语含义与第二部分通用合同条款中赋予的含义相同。</w:t>
      </w:r>
    </w:p>
    <w:p w14:paraId="64108D70">
      <w:pPr>
        <w:pStyle w:val="5"/>
        <w:spacing w:before="120" w:after="120" w:line="360" w:lineRule="auto"/>
        <w:ind w:firstLine="316"/>
        <w:rPr>
          <w:rFonts w:ascii="宋体" w:hAnsi="宋体" w:eastAsia="宋体"/>
          <w:bCs w:val="0"/>
          <w:sz w:val="21"/>
          <w:szCs w:val="21"/>
        </w:rPr>
      </w:pPr>
      <w:bookmarkStart w:id="1051" w:name="_Toc351203489"/>
      <w:bookmarkEnd w:id="1051"/>
      <w:r>
        <w:rPr>
          <w:rFonts w:hint="eastAsia" w:ascii="宋体" w:hAnsi="宋体" w:eastAsia="宋体"/>
          <w:bCs w:val="0"/>
          <w:sz w:val="21"/>
          <w:szCs w:val="21"/>
        </w:rPr>
        <w:t>九、签订时间</w:t>
      </w:r>
    </w:p>
    <w:p w14:paraId="073D9F11">
      <w:pPr>
        <w:spacing w:line="360" w:lineRule="auto"/>
        <w:ind w:firstLine="420" w:firstLineChars="200"/>
        <w:rPr>
          <w:rFonts w:ascii="宋体" w:hAnsi="宋体"/>
          <w:bCs/>
        </w:rPr>
      </w:pPr>
      <w:r>
        <w:rPr>
          <w:rFonts w:hint="eastAsia" w:ascii="宋体" w:hAnsi="宋体"/>
          <w:bCs/>
        </w:rPr>
        <w:t>本合同于   年  月  日签订。</w:t>
      </w:r>
    </w:p>
    <w:p w14:paraId="486B8607">
      <w:pPr>
        <w:pStyle w:val="5"/>
        <w:spacing w:before="120" w:after="120" w:line="360" w:lineRule="auto"/>
        <w:ind w:firstLine="316"/>
        <w:rPr>
          <w:rFonts w:ascii="宋体" w:hAnsi="宋体" w:eastAsia="宋体"/>
          <w:bCs w:val="0"/>
          <w:sz w:val="21"/>
          <w:szCs w:val="21"/>
        </w:rPr>
      </w:pPr>
      <w:bookmarkStart w:id="1052" w:name="_Toc351203490"/>
      <w:bookmarkEnd w:id="1052"/>
      <w:r>
        <w:rPr>
          <w:rFonts w:hint="eastAsia" w:ascii="宋体" w:hAnsi="宋体" w:eastAsia="宋体"/>
          <w:bCs w:val="0"/>
          <w:sz w:val="21"/>
          <w:szCs w:val="21"/>
        </w:rPr>
        <w:t>十、签订地点</w:t>
      </w:r>
    </w:p>
    <w:p w14:paraId="0C487B70">
      <w:pPr>
        <w:spacing w:line="360" w:lineRule="auto"/>
        <w:ind w:firstLine="420" w:firstLineChars="200"/>
        <w:rPr>
          <w:rFonts w:ascii="宋体" w:hAnsi="宋体"/>
          <w:bCs/>
        </w:rPr>
      </w:pPr>
      <w:r>
        <w:rPr>
          <w:rFonts w:hint="eastAsia" w:ascii="宋体" w:hAnsi="宋体"/>
          <w:bCs/>
        </w:rPr>
        <w:t>本合同在</w:t>
      </w:r>
      <w:r>
        <w:rPr>
          <w:rFonts w:hint="eastAsia" w:ascii="宋体" w:hAnsi="宋体"/>
          <w:bCs/>
          <w:u w:val="single"/>
          <w:lang w:val="en-US" w:eastAsia="zh-CN"/>
        </w:rPr>
        <w:t xml:space="preserve">    </w:t>
      </w:r>
      <w:r>
        <w:rPr>
          <w:rFonts w:hint="eastAsia" w:ascii="宋体" w:hAnsi="宋体"/>
          <w:bCs/>
        </w:rPr>
        <w:t>签订。</w:t>
      </w:r>
    </w:p>
    <w:p w14:paraId="55670931">
      <w:pPr>
        <w:pStyle w:val="5"/>
        <w:spacing w:before="120" w:after="120" w:line="360" w:lineRule="auto"/>
        <w:ind w:firstLine="316"/>
        <w:rPr>
          <w:rFonts w:ascii="宋体" w:hAnsi="宋体" w:eastAsia="宋体"/>
          <w:bCs w:val="0"/>
          <w:sz w:val="21"/>
          <w:szCs w:val="21"/>
        </w:rPr>
      </w:pPr>
      <w:bookmarkStart w:id="1053" w:name="_Toc351203491"/>
      <w:bookmarkEnd w:id="1053"/>
      <w:r>
        <w:rPr>
          <w:rFonts w:hint="eastAsia" w:ascii="宋体" w:hAnsi="宋体" w:eastAsia="宋体"/>
          <w:bCs w:val="0"/>
          <w:sz w:val="21"/>
          <w:szCs w:val="21"/>
        </w:rPr>
        <w:t>十一、补充协议</w:t>
      </w:r>
    </w:p>
    <w:p w14:paraId="2B62C2BB">
      <w:pPr>
        <w:spacing w:line="360" w:lineRule="auto"/>
        <w:ind w:firstLine="420" w:firstLineChars="200"/>
        <w:rPr>
          <w:rFonts w:ascii="宋体" w:hAnsi="宋体"/>
          <w:b/>
          <w:bCs/>
        </w:rPr>
      </w:pPr>
      <w:r>
        <w:rPr>
          <w:rFonts w:hint="eastAsia" w:ascii="宋体" w:hAnsi="宋体"/>
          <w:bCs/>
        </w:rPr>
        <w:t>合同未尽事宜，合同当事人另行签订补充协议，补充协议是合同的组成部分。</w:t>
      </w:r>
    </w:p>
    <w:p w14:paraId="4C0131C2">
      <w:pPr>
        <w:pStyle w:val="5"/>
        <w:spacing w:before="120" w:after="120" w:line="360" w:lineRule="auto"/>
        <w:ind w:firstLine="316"/>
        <w:rPr>
          <w:rFonts w:ascii="宋体" w:hAnsi="宋体" w:eastAsia="宋体"/>
          <w:bCs w:val="0"/>
          <w:sz w:val="21"/>
          <w:szCs w:val="21"/>
        </w:rPr>
      </w:pPr>
      <w:bookmarkStart w:id="1054" w:name="_Toc351203492"/>
      <w:bookmarkEnd w:id="1054"/>
      <w:r>
        <w:rPr>
          <w:rFonts w:hint="eastAsia" w:ascii="宋体" w:hAnsi="宋体" w:eastAsia="宋体"/>
          <w:bCs w:val="0"/>
          <w:sz w:val="21"/>
          <w:szCs w:val="21"/>
        </w:rPr>
        <w:t>十二、合同生效</w:t>
      </w:r>
    </w:p>
    <w:p w14:paraId="6C1F96FE">
      <w:pPr>
        <w:spacing w:line="360" w:lineRule="auto"/>
        <w:ind w:firstLine="420" w:firstLineChars="200"/>
        <w:rPr>
          <w:rFonts w:ascii="宋体" w:hAnsi="宋体"/>
          <w:bCs/>
        </w:rPr>
      </w:pPr>
      <w:r>
        <w:rPr>
          <w:rFonts w:hint="eastAsia" w:ascii="宋体" w:hAnsi="宋体"/>
          <w:bCs/>
        </w:rPr>
        <w:t>本合同自</w:t>
      </w:r>
      <w:r>
        <w:rPr>
          <w:rFonts w:hint="eastAsia" w:ascii="宋体" w:hAnsi="宋体"/>
          <w:bCs/>
          <w:u w:val="single"/>
        </w:rPr>
        <w:t xml:space="preserve">         </w:t>
      </w:r>
      <w:r>
        <w:rPr>
          <w:rFonts w:hint="eastAsia" w:ascii="宋体" w:hAnsi="宋体"/>
          <w:bCs/>
        </w:rPr>
        <w:t>生效。</w:t>
      </w:r>
    </w:p>
    <w:p w14:paraId="1F68D600">
      <w:pPr>
        <w:pStyle w:val="5"/>
        <w:spacing w:before="120" w:after="120" w:line="360" w:lineRule="auto"/>
        <w:ind w:firstLine="316"/>
        <w:rPr>
          <w:rFonts w:ascii="宋体" w:hAnsi="宋体" w:eastAsia="宋体"/>
          <w:bCs w:val="0"/>
          <w:sz w:val="21"/>
          <w:szCs w:val="21"/>
        </w:rPr>
      </w:pPr>
      <w:bookmarkStart w:id="1055" w:name="_Toc351203493"/>
      <w:bookmarkEnd w:id="1055"/>
      <w:r>
        <w:rPr>
          <w:rFonts w:hint="eastAsia" w:ascii="宋体" w:hAnsi="宋体" w:eastAsia="宋体"/>
          <w:bCs w:val="0"/>
          <w:sz w:val="21"/>
          <w:szCs w:val="21"/>
        </w:rPr>
        <w:t>十三、合同份数</w:t>
      </w:r>
    </w:p>
    <w:p w14:paraId="7182A957">
      <w:pPr>
        <w:spacing w:line="360" w:lineRule="auto"/>
        <w:ind w:firstLine="420" w:firstLineChars="200"/>
        <w:rPr>
          <w:rFonts w:ascii="宋体" w:hAnsi="宋体"/>
          <w:bCs/>
        </w:rPr>
      </w:pPr>
      <w:r>
        <w:rPr>
          <w:rFonts w:hint="eastAsia" w:ascii="宋体" w:hAnsi="宋体"/>
          <w:bCs/>
        </w:rPr>
        <w:t>本合同一式份，均具有同等法律效力，发包人执份，承包人执份。</w:t>
      </w:r>
    </w:p>
    <w:p w14:paraId="5966157D">
      <w:pPr>
        <w:spacing w:line="312" w:lineRule="auto"/>
        <w:ind w:firstLine="420" w:firstLineChars="200"/>
        <w:rPr>
          <w:rFonts w:ascii="宋体" w:hAnsi="宋体"/>
        </w:rPr>
      </w:pPr>
    </w:p>
    <w:p w14:paraId="326C146A">
      <w:pPr>
        <w:spacing w:line="288" w:lineRule="auto"/>
        <w:ind w:firstLine="420" w:firstLineChars="200"/>
        <w:rPr>
          <w:rFonts w:ascii="宋体" w:hAnsi="宋体"/>
        </w:rPr>
      </w:pPr>
      <w:r>
        <w:rPr>
          <w:rFonts w:hint="eastAsia" w:ascii="宋体" w:hAnsi="宋体"/>
        </w:rPr>
        <w:t>发包人：  (公章)             承包人：  (公章)</w:t>
      </w:r>
    </w:p>
    <w:p w14:paraId="27A00EA7">
      <w:pPr>
        <w:spacing w:line="288" w:lineRule="auto"/>
        <w:ind w:firstLine="420" w:firstLineChars="200"/>
        <w:rPr>
          <w:rFonts w:ascii="宋体" w:hAnsi="宋体"/>
        </w:rPr>
      </w:pPr>
      <w:r>
        <w:rPr>
          <w:rFonts w:hint="eastAsia" w:ascii="宋体" w:hAnsi="宋体"/>
        </w:rPr>
        <w:t>法定代表人或其委托代理人：  法定代表人或其委托代理人：</w:t>
      </w:r>
    </w:p>
    <w:p w14:paraId="6C4087DA">
      <w:pPr>
        <w:spacing w:line="288" w:lineRule="auto"/>
        <w:ind w:firstLine="420" w:firstLineChars="200"/>
        <w:rPr>
          <w:rFonts w:ascii="宋体" w:hAnsi="宋体"/>
        </w:rPr>
      </w:pPr>
      <w:r>
        <w:rPr>
          <w:rFonts w:hint="eastAsia" w:ascii="宋体" w:hAnsi="宋体"/>
        </w:rPr>
        <w:t>（签字）                    （签字）</w:t>
      </w:r>
    </w:p>
    <w:p w14:paraId="012D4B59">
      <w:pPr>
        <w:spacing w:line="288" w:lineRule="auto"/>
        <w:ind w:firstLine="420" w:firstLineChars="200"/>
        <w:rPr>
          <w:rFonts w:ascii="宋体" w:hAnsi="宋体"/>
        </w:rPr>
      </w:pPr>
      <w:r>
        <w:rPr>
          <w:rFonts w:hint="eastAsia" w:ascii="宋体" w:hAnsi="宋体"/>
        </w:rPr>
        <w:t>组织机构代码：</w:t>
      </w:r>
      <w:r>
        <w:rPr>
          <w:rFonts w:hint="eastAsia" w:ascii="宋体" w:hAnsi="宋体"/>
          <w:u w:val="single"/>
        </w:rPr>
        <w:t xml:space="preserve">       </w:t>
      </w:r>
      <w:r>
        <w:rPr>
          <w:rFonts w:hint="eastAsia" w:ascii="宋体" w:hAnsi="宋体"/>
        </w:rPr>
        <w:t xml:space="preserve">  组织机构代码：</w:t>
      </w:r>
      <w:r>
        <w:rPr>
          <w:rFonts w:hint="eastAsia" w:ascii="宋体" w:hAnsi="宋体"/>
          <w:u w:val="single"/>
        </w:rPr>
        <w:t xml:space="preserve">          </w:t>
      </w:r>
    </w:p>
    <w:p w14:paraId="70A38CDD">
      <w:pPr>
        <w:spacing w:line="288" w:lineRule="auto"/>
        <w:ind w:firstLine="420" w:firstLineChars="200"/>
        <w:rPr>
          <w:rFonts w:ascii="宋体" w:hAnsi="宋体"/>
        </w:rPr>
      </w:pPr>
      <w:r>
        <w:rPr>
          <w:rFonts w:hint="eastAsia" w:ascii="宋体" w:hAnsi="宋体"/>
        </w:rPr>
        <w:t>地  址：</w:t>
      </w:r>
      <w:r>
        <w:rPr>
          <w:rFonts w:hint="eastAsia" w:ascii="宋体" w:hAnsi="宋体"/>
          <w:u w:val="single"/>
        </w:rPr>
        <w:t xml:space="preserve">     </w:t>
      </w:r>
      <w:r>
        <w:rPr>
          <w:rFonts w:hint="eastAsia" w:ascii="宋体" w:hAnsi="宋体"/>
        </w:rPr>
        <w:t xml:space="preserve">  地  址：</w:t>
      </w:r>
      <w:r>
        <w:rPr>
          <w:rFonts w:hint="eastAsia" w:ascii="宋体" w:hAnsi="宋体"/>
          <w:u w:val="single"/>
        </w:rPr>
        <w:t xml:space="preserve">        </w:t>
      </w:r>
    </w:p>
    <w:p w14:paraId="70266340">
      <w:pPr>
        <w:spacing w:line="288" w:lineRule="auto"/>
        <w:ind w:firstLine="420" w:firstLineChars="200"/>
        <w:rPr>
          <w:rFonts w:ascii="宋体" w:hAnsi="宋体"/>
        </w:rPr>
      </w:pPr>
      <w:r>
        <w:rPr>
          <w:rFonts w:hint="eastAsia" w:ascii="宋体" w:hAnsi="宋体"/>
        </w:rPr>
        <w:t>邮政编码：</w:t>
      </w:r>
      <w:r>
        <w:rPr>
          <w:rFonts w:hint="eastAsia" w:ascii="宋体" w:hAnsi="宋体"/>
          <w:u w:val="single"/>
        </w:rPr>
        <w:t xml:space="preserve">      </w:t>
      </w:r>
      <w:r>
        <w:rPr>
          <w:rFonts w:hint="eastAsia" w:ascii="宋体" w:hAnsi="宋体"/>
        </w:rPr>
        <w:t xml:space="preserve">  邮政编码：</w:t>
      </w:r>
      <w:r>
        <w:rPr>
          <w:rFonts w:hint="eastAsia" w:ascii="宋体" w:hAnsi="宋体"/>
          <w:u w:val="single"/>
        </w:rPr>
        <w:t xml:space="preserve">   </w:t>
      </w:r>
    </w:p>
    <w:p w14:paraId="7F3EDC01">
      <w:pPr>
        <w:spacing w:line="288" w:lineRule="auto"/>
        <w:ind w:firstLine="420" w:firstLineChars="200"/>
        <w:rPr>
          <w:rFonts w:ascii="宋体" w:hAnsi="宋体"/>
        </w:rPr>
      </w:pPr>
      <w:r>
        <w:rPr>
          <w:rFonts w:hint="eastAsia" w:ascii="宋体" w:hAnsi="宋体"/>
        </w:rPr>
        <w:t>法定代表人：</w:t>
      </w:r>
      <w:r>
        <w:rPr>
          <w:rFonts w:hint="eastAsia" w:ascii="宋体" w:hAnsi="宋体"/>
          <w:u w:val="single"/>
        </w:rPr>
        <w:t xml:space="preserve">           </w:t>
      </w:r>
      <w:r>
        <w:rPr>
          <w:rFonts w:hint="eastAsia" w:ascii="宋体" w:hAnsi="宋体"/>
        </w:rPr>
        <w:t xml:space="preserve">  法定代表人：</w:t>
      </w:r>
      <w:r>
        <w:rPr>
          <w:rFonts w:hint="eastAsia" w:ascii="宋体" w:hAnsi="宋体"/>
          <w:u w:val="single"/>
        </w:rPr>
        <w:t xml:space="preserve">             </w:t>
      </w:r>
    </w:p>
    <w:p w14:paraId="4A4D3F06">
      <w:pPr>
        <w:spacing w:line="288" w:lineRule="auto"/>
        <w:ind w:firstLine="420" w:firstLineChars="200"/>
        <w:rPr>
          <w:rFonts w:ascii="宋体" w:hAnsi="宋体"/>
        </w:rPr>
      </w:pPr>
      <w:r>
        <w:rPr>
          <w:rFonts w:hint="eastAsia" w:ascii="宋体" w:hAnsi="宋体"/>
        </w:rPr>
        <w:t>委托代理人：</w:t>
      </w:r>
      <w:r>
        <w:rPr>
          <w:rFonts w:hint="eastAsia" w:ascii="宋体" w:hAnsi="宋体"/>
          <w:u w:val="single"/>
        </w:rPr>
        <w:t xml:space="preserve">           </w:t>
      </w:r>
      <w:r>
        <w:rPr>
          <w:rFonts w:hint="eastAsia" w:ascii="宋体" w:hAnsi="宋体"/>
        </w:rPr>
        <w:t xml:space="preserve">  委托代理人：</w:t>
      </w:r>
      <w:r>
        <w:rPr>
          <w:rFonts w:hint="eastAsia" w:ascii="宋体" w:hAnsi="宋体"/>
          <w:u w:val="single"/>
        </w:rPr>
        <w:t xml:space="preserve">             </w:t>
      </w:r>
    </w:p>
    <w:p w14:paraId="50EA28C7">
      <w:pPr>
        <w:spacing w:line="288" w:lineRule="auto"/>
        <w:ind w:firstLine="420" w:firstLineChars="200"/>
        <w:rPr>
          <w:rFonts w:ascii="宋体" w:hAnsi="宋体"/>
        </w:rPr>
      </w:pPr>
      <w:r>
        <w:rPr>
          <w:rFonts w:hint="eastAsia" w:ascii="宋体" w:hAnsi="宋体"/>
        </w:rPr>
        <w:t>电  话：</w:t>
      </w:r>
      <w:r>
        <w:rPr>
          <w:rFonts w:hint="eastAsia" w:ascii="宋体" w:hAnsi="宋体"/>
          <w:u w:val="single"/>
        </w:rPr>
        <w:t xml:space="preserve">   </w:t>
      </w:r>
      <w:r>
        <w:rPr>
          <w:rFonts w:hint="eastAsia" w:ascii="宋体" w:hAnsi="宋体"/>
        </w:rPr>
        <w:t xml:space="preserve">  电  话：</w:t>
      </w:r>
      <w:r>
        <w:rPr>
          <w:rFonts w:hint="eastAsia" w:ascii="宋体" w:hAnsi="宋体"/>
          <w:u w:val="single"/>
        </w:rPr>
        <w:t xml:space="preserve">     </w:t>
      </w:r>
    </w:p>
    <w:p w14:paraId="0F68B00D">
      <w:pPr>
        <w:spacing w:line="288" w:lineRule="auto"/>
        <w:ind w:firstLine="420" w:firstLineChars="200"/>
        <w:rPr>
          <w:rFonts w:ascii="宋体" w:hAnsi="宋体"/>
        </w:rPr>
      </w:pPr>
      <w:r>
        <w:rPr>
          <w:rFonts w:hint="eastAsia" w:ascii="宋体" w:hAnsi="宋体"/>
        </w:rPr>
        <w:t>传  真：</w:t>
      </w:r>
      <w:r>
        <w:rPr>
          <w:rFonts w:hint="eastAsia" w:ascii="宋体" w:hAnsi="宋体"/>
          <w:u w:val="single"/>
        </w:rPr>
        <w:t xml:space="preserve">   </w:t>
      </w:r>
      <w:r>
        <w:rPr>
          <w:rFonts w:hint="eastAsia" w:ascii="宋体" w:hAnsi="宋体"/>
        </w:rPr>
        <w:t xml:space="preserve">  传  真：</w:t>
      </w:r>
      <w:r>
        <w:rPr>
          <w:rFonts w:hint="eastAsia" w:ascii="宋体" w:hAnsi="宋体"/>
          <w:u w:val="single"/>
        </w:rPr>
        <w:t xml:space="preserve">     </w:t>
      </w:r>
    </w:p>
    <w:p w14:paraId="79BFA3BA">
      <w:pPr>
        <w:spacing w:line="288" w:lineRule="auto"/>
        <w:ind w:firstLine="420" w:firstLineChars="200"/>
        <w:rPr>
          <w:rFonts w:ascii="宋体" w:hAnsi="宋体"/>
        </w:rPr>
      </w:pPr>
      <w:r>
        <w:rPr>
          <w:rFonts w:hint="eastAsia" w:ascii="宋体" w:hAnsi="宋体"/>
        </w:rPr>
        <w:t>电子信箱：  电子信箱：</w:t>
      </w:r>
      <w:r>
        <w:rPr>
          <w:rFonts w:hint="eastAsia" w:ascii="宋体" w:hAnsi="宋体"/>
          <w:u w:val="single"/>
        </w:rPr>
        <w:t xml:space="preserve">   </w:t>
      </w:r>
    </w:p>
    <w:p w14:paraId="310B0F37">
      <w:pPr>
        <w:spacing w:line="288" w:lineRule="auto"/>
        <w:ind w:firstLine="420" w:firstLineChars="200"/>
        <w:rPr>
          <w:rFonts w:ascii="宋体" w:hAnsi="宋体"/>
        </w:rPr>
      </w:pPr>
      <w:r>
        <w:rPr>
          <w:rFonts w:hint="eastAsia" w:ascii="宋体" w:hAnsi="宋体"/>
        </w:rPr>
        <w:t>开户银行：</w:t>
      </w:r>
      <w:r>
        <w:rPr>
          <w:rFonts w:hint="eastAsia" w:ascii="宋体" w:hAnsi="宋体"/>
          <w:u w:val="single"/>
        </w:rPr>
        <w:t xml:space="preserve">   </w:t>
      </w:r>
      <w:r>
        <w:rPr>
          <w:rFonts w:hint="eastAsia" w:ascii="宋体" w:hAnsi="宋体"/>
        </w:rPr>
        <w:t xml:space="preserve">  开户银行：</w:t>
      </w:r>
      <w:r>
        <w:rPr>
          <w:rFonts w:hint="eastAsia" w:ascii="宋体" w:hAnsi="宋体"/>
          <w:u w:val="single"/>
        </w:rPr>
        <w:t xml:space="preserve">   </w:t>
      </w:r>
    </w:p>
    <w:p w14:paraId="1AD25891">
      <w:pPr>
        <w:spacing w:line="288" w:lineRule="auto"/>
        <w:ind w:firstLine="420" w:firstLineChars="200"/>
        <w:rPr>
          <w:rFonts w:ascii="宋体" w:hAnsi="宋体"/>
          <w:u w:val="single"/>
        </w:rPr>
      </w:pPr>
      <w:r>
        <w:rPr>
          <w:rFonts w:hint="eastAsia" w:ascii="宋体" w:hAnsi="宋体"/>
        </w:rPr>
        <w:t>账  号：</w:t>
      </w:r>
      <w:r>
        <w:rPr>
          <w:rFonts w:hint="eastAsia" w:ascii="宋体" w:hAnsi="宋体"/>
          <w:u w:val="single"/>
        </w:rPr>
        <w:t xml:space="preserve">       </w:t>
      </w:r>
      <w:r>
        <w:rPr>
          <w:rFonts w:hint="eastAsia" w:ascii="宋体" w:hAnsi="宋体"/>
        </w:rPr>
        <w:t xml:space="preserve">  账  号：</w:t>
      </w:r>
      <w:r>
        <w:rPr>
          <w:rFonts w:hint="eastAsia" w:ascii="宋体" w:hAnsi="宋体"/>
          <w:u w:val="single"/>
        </w:rPr>
        <w:t xml:space="preserve">     </w:t>
      </w:r>
    </w:p>
    <w:p w14:paraId="2441606F">
      <w:pPr>
        <w:spacing w:line="288" w:lineRule="auto"/>
        <w:ind w:firstLine="420" w:firstLineChars="200"/>
        <w:rPr>
          <w:rFonts w:ascii="宋体" w:hAnsi="宋体"/>
        </w:rPr>
      </w:pPr>
      <w:r>
        <w:rPr>
          <w:rFonts w:hint="eastAsia" w:ascii="宋体" w:hAnsi="宋体"/>
        </w:rPr>
        <w:t>日  期：</w:t>
      </w:r>
      <w:r>
        <w:rPr>
          <w:rFonts w:hint="eastAsia" w:ascii="宋体" w:hAnsi="宋体"/>
          <w:u w:val="single"/>
        </w:rPr>
        <w:t xml:space="preserve">   </w:t>
      </w:r>
      <w:r>
        <w:rPr>
          <w:rFonts w:hint="eastAsia" w:ascii="宋体" w:hAnsi="宋体"/>
        </w:rPr>
        <w:t xml:space="preserve">  日  期：</w:t>
      </w:r>
      <w:r>
        <w:rPr>
          <w:rFonts w:hint="eastAsia" w:ascii="宋体" w:hAnsi="宋体"/>
          <w:u w:val="single"/>
        </w:rPr>
        <w:t xml:space="preserve">     </w:t>
      </w:r>
    </w:p>
    <w:p w14:paraId="3DB32E21">
      <w:pPr>
        <w:spacing w:line="288" w:lineRule="auto"/>
        <w:ind w:firstLine="420" w:firstLineChars="200"/>
        <w:jc w:val="center"/>
        <w:outlineLvl w:val="1"/>
        <w:rPr>
          <w:rFonts w:ascii="宋体" w:hAnsi="宋体"/>
        </w:rPr>
      </w:pPr>
      <w:r>
        <w:rPr>
          <w:rFonts w:hint="eastAsia" w:ascii="宋体" w:hAnsi="宋体"/>
        </w:rPr>
        <w:br w:type="page"/>
      </w:r>
      <w:bookmarkStart w:id="1056" w:name="_Toc12478"/>
      <w:bookmarkEnd w:id="1056"/>
      <w:bookmarkStart w:id="1057" w:name="_Toc23161"/>
      <w:bookmarkEnd w:id="1057"/>
      <w:bookmarkStart w:id="1058" w:name="_Toc32534"/>
      <w:bookmarkEnd w:id="1058"/>
      <w:bookmarkStart w:id="1059" w:name="_Toc11278"/>
      <w:bookmarkEnd w:id="1059"/>
      <w:bookmarkStart w:id="1060" w:name="_Toc30396"/>
      <w:bookmarkStart w:id="1061" w:name="_Toc32129"/>
      <w:bookmarkStart w:id="1062" w:name="_Toc5111"/>
      <w:bookmarkStart w:id="1063" w:name="_Toc29120"/>
      <w:bookmarkStart w:id="1064" w:name="_Toc129073519"/>
      <w:bookmarkStart w:id="1065" w:name="_Toc31942"/>
      <w:bookmarkStart w:id="1066" w:name="_Toc351203494"/>
      <w:bookmarkStart w:id="1067" w:name="_Toc25870"/>
      <w:r>
        <w:rPr>
          <w:rFonts w:hint="eastAsia" w:ascii="宋体" w:hAnsi="宋体"/>
          <w:b/>
          <w:bCs/>
        </w:rPr>
        <w:t>第二部分 通用合同条款</w:t>
      </w:r>
      <w:bookmarkEnd w:id="1060"/>
      <w:bookmarkEnd w:id="1061"/>
      <w:bookmarkEnd w:id="1062"/>
      <w:bookmarkEnd w:id="1063"/>
      <w:bookmarkEnd w:id="1064"/>
      <w:bookmarkEnd w:id="1065"/>
      <w:bookmarkEnd w:id="1066"/>
      <w:bookmarkEnd w:id="1067"/>
      <w:bookmarkStart w:id="1068" w:name="_Toc337558727"/>
      <w:bookmarkEnd w:id="1068"/>
    </w:p>
    <w:p w14:paraId="48B67504">
      <w:pPr>
        <w:autoSpaceDE w:val="0"/>
        <w:autoSpaceDN w:val="0"/>
        <w:adjustRightInd w:val="0"/>
        <w:spacing w:line="360" w:lineRule="auto"/>
        <w:jc w:val="left"/>
        <w:rPr>
          <w:rFonts w:ascii="宋体" w:hAnsi="宋体"/>
          <w:kern w:val="0"/>
        </w:rPr>
      </w:pPr>
      <w:bookmarkStart w:id="1069" w:name="_Toc351203632"/>
      <w:bookmarkEnd w:id="1069"/>
      <w:r>
        <w:rPr>
          <w:rFonts w:hint="eastAsia" w:ascii="宋体" w:hAnsi="宋体"/>
          <w:kern w:val="0"/>
        </w:rPr>
        <w:t>通用合同条款内容请见中华人民共和国《建设工程施工合同（示范文本）》（GF-2017-0201）</w:t>
      </w:r>
    </w:p>
    <w:p w14:paraId="0EF9D59C">
      <w:pPr>
        <w:pStyle w:val="3"/>
        <w:spacing w:line="360" w:lineRule="auto"/>
        <w:ind w:firstLine="663"/>
        <w:rPr>
          <w:rFonts w:ascii="宋体" w:hAnsi="宋体" w:eastAsia="宋体"/>
          <w:sz w:val="21"/>
          <w:szCs w:val="21"/>
        </w:rPr>
      </w:pPr>
      <w:r>
        <w:rPr>
          <w:rFonts w:hint="eastAsia" w:ascii="宋体" w:hAnsi="宋体" w:eastAsia="宋体"/>
          <w:sz w:val="44"/>
          <w:szCs w:val="44"/>
        </w:rPr>
        <w:br w:type="page"/>
      </w:r>
      <w:bookmarkStart w:id="1070" w:name="_Toc18939"/>
      <w:bookmarkEnd w:id="1070"/>
      <w:bookmarkStart w:id="1071" w:name="_Toc8012"/>
      <w:bookmarkStart w:id="1072" w:name="_Toc28657"/>
      <w:bookmarkStart w:id="1073" w:name="_Toc14243"/>
      <w:bookmarkStart w:id="1074" w:name="_Toc129073520"/>
      <w:bookmarkStart w:id="1075" w:name="_Toc18611"/>
      <w:bookmarkStart w:id="1076" w:name="_Toc1601"/>
      <w:bookmarkStart w:id="1077" w:name="_Toc1891"/>
      <w:bookmarkStart w:id="1078" w:name="_Toc6947"/>
      <w:r>
        <w:rPr>
          <w:rFonts w:hint="eastAsia" w:ascii="宋体" w:hAnsi="宋体" w:eastAsia="宋体"/>
          <w:sz w:val="21"/>
          <w:szCs w:val="21"/>
        </w:rPr>
        <w:t>第三部分 专用合同条款</w:t>
      </w:r>
      <w:bookmarkEnd w:id="1071"/>
      <w:bookmarkEnd w:id="1072"/>
      <w:bookmarkEnd w:id="1073"/>
      <w:bookmarkEnd w:id="1074"/>
      <w:bookmarkEnd w:id="1075"/>
      <w:bookmarkEnd w:id="1076"/>
      <w:bookmarkEnd w:id="1077"/>
      <w:bookmarkEnd w:id="1078"/>
    </w:p>
    <w:p w14:paraId="6F064C6B">
      <w:pPr>
        <w:pStyle w:val="5"/>
        <w:spacing w:before="0" w:after="0" w:line="360" w:lineRule="auto"/>
        <w:ind w:firstLine="316"/>
        <w:rPr>
          <w:rFonts w:asciiTheme="minorEastAsia" w:hAnsiTheme="minorEastAsia" w:eastAsiaTheme="minorEastAsia" w:cstheme="minorEastAsia"/>
          <w:sz w:val="21"/>
          <w:szCs w:val="21"/>
        </w:rPr>
      </w:pPr>
      <w:bookmarkStart w:id="1079" w:name="_Toc351203633"/>
      <w:bookmarkEnd w:id="1079"/>
      <w:r>
        <w:rPr>
          <w:rFonts w:hint="eastAsia" w:asciiTheme="minorEastAsia" w:hAnsiTheme="minorEastAsia" w:eastAsiaTheme="minorEastAsia" w:cstheme="minorEastAsia"/>
          <w:sz w:val="21"/>
          <w:szCs w:val="21"/>
        </w:rPr>
        <w:t>1. 一般约定</w:t>
      </w:r>
    </w:p>
    <w:p w14:paraId="6960A257">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1.1 词语定义</w:t>
      </w:r>
    </w:p>
    <w:p w14:paraId="7894195E">
      <w:pPr>
        <w:spacing w:line="360" w:lineRule="auto"/>
        <w:ind w:firstLine="42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1.1.1合同</w:t>
      </w:r>
    </w:p>
    <w:p w14:paraId="32D49D49">
      <w:pPr>
        <w:spacing w:line="360" w:lineRule="auto"/>
        <w:ind w:firstLine="42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1.1.1.10其他合同文件包括：</w:t>
      </w:r>
      <w:r>
        <w:rPr>
          <w:rFonts w:hint="eastAsia" w:asciiTheme="minorEastAsia" w:hAnsiTheme="minorEastAsia" w:eastAsiaTheme="minorEastAsia" w:cstheme="minorEastAsia"/>
          <w:u w:val="single"/>
        </w:rPr>
        <w:t>履行合同过程中经双方书面确认的对合同内容有实质性影响的会议纪要、现场签证、设计变更单、技术核定单、往来函件等资料</w:t>
      </w:r>
      <w:r>
        <w:rPr>
          <w:rFonts w:hint="eastAsia" w:asciiTheme="minorEastAsia" w:hAnsiTheme="minorEastAsia" w:eastAsiaTheme="minorEastAsia" w:cstheme="minorEastAsia"/>
        </w:rPr>
        <w:t>。</w:t>
      </w:r>
    </w:p>
    <w:p w14:paraId="4F43C8FE">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1.1.2 合同当事人及其他相关方</w:t>
      </w:r>
    </w:p>
    <w:p w14:paraId="73DD5EA7">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1.1.2.4监理人：</w:t>
      </w:r>
    </w:p>
    <w:p w14:paraId="54532504">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名    称：</w:t>
      </w:r>
      <w:r>
        <w:rPr>
          <w:rFonts w:hint="eastAsia" w:asciiTheme="minorEastAsia" w:hAnsiTheme="minorEastAsia" w:eastAsiaTheme="minorEastAsia" w:cstheme="minorEastAsia"/>
          <w:u w:val="single"/>
        </w:rPr>
        <w:t xml:space="preserve">详见本工程监理合同   </w:t>
      </w:r>
      <w:r>
        <w:rPr>
          <w:rFonts w:hint="eastAsia" w:asciiTheme="minorEastAsia" w:hAnsiTheme="minorEastAsia" w:eastAsiaTheme="minorEastAsia" w:cstheme="minorEastAsia"/>
        </w:rPr>
        <w:t>；</w:t>
      </w:r>
    </w:p>
    <w:p w14:paraId="3548677E">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1.1.2.5 设计人：</w:t>
      </w:r>
    </w:p>
    <w:p w14:paraId="29B6C559">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名    称：</w:t>
      </w:r>
      <w:r>
        <w:rPr>
          <w:rFonts w:hint="eastAsia" w:asciiTheme="minorEastAsia" w:hAnsiTheme="minorEastAsia" w:eastAsiaTheme="minorEastAsia" w:cstheme="minorEastAsia"/>
          <w:u w:val="single"/>
        </w:rPr>
        <w:t xml:space="preserve">详见本工程设计合同  </w:t>
      </w:r>
      <w:r>
        <w:rPr>
          <w:rFonts w:hint="eastAsia" w:asciiTheme="minorEastAsia" w:hAnsiTheme="minorEastAsia" w:eastAsiaTheme="minorEastAsia" w:cstheme="minorEastAsia"/>
        </w:rPr>
        <w:t>；</w:t>
      </w:r>
    </w:p>
    <w:p w14:paraId="32E083FA">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1.1.3 工程和设备</w:t>
      </w:r>
    </w:p>
    <w:p w14:paraId="74706A7A">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1.1.3.7 作为施工现场组成部分的其他场所包括：</w:t>
      </w:r>
      <w:r>
        <w:rPr>
          <w:rFonts w:hint="eastAsia" w:asciiTheme="minorEastAsia" w:hAnsiTheme="minorEastAsia" w:eastAsiaTheme="minorEastAsia" w:cstheme="minorEastAsia"/>
          <w:u w:val="single"/>
        </w:rPr>
        <w:t>发包人因场地限制，无法在施工现场提供农民工宿舍、现场办公、材料堆放及加工等场地，需承包人在周边自行租赁，或租赁总包单位相关设施，所发生的费用承包人已综合考虑，发包人不再额外补偿此项费用</w:t>
      </w:r>
      <w:r>
        <w:rPr>
          <w:rFonts w:hint="eastAsia" w:asciiTheme="minorEastAsia" w:hAnsiTheme="minorEastAsia" w:eastAsiaTheme="minorEastAsia" w:cstheme="minorEastAsia"/>
        </w:rPr>
        <w:t>。</w:t>
      </w:r>
    </w:p>
    <w:p w14:paraId="51AE7BC8">
      <w:pPr>
        <w:spacing w:line="360" w:lineRule="auto"/>
        <w:ind w:firstLine="42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1.1.3.9 永久占地包括：</w:t>
      </w:r>
      <w:r>
        <w:rPr>
          <w:rFonts w:hint="eastAsia" w:asciiTheme="minorEastAsia" w:hAnsiTheme="minorEastAsia" w:eastAsiaTheme="minorEastAsia" w:cstheme="minorEastAsia"/>
          <w:u w:val="single"/>
        </w:rPr>
        <w:t>依据施工图纸确定</w:t>
      </w:r>
      <w:r>
        <w:rPr>
          <w:rFonts w:hint="eastAsia" w:asciiTheme="minorEastAsia" w:hAnsiTheme="minorEastAsia" w:eastAsiaTheme="minorEastAsia" w:cstheme="minorEastAsia"/>
          <w:kern w:val="0"/>
        </w:rPr>
        <w:t>。</w:t>
      </w:r>
    </w:p>
    <w:p w14:paraId="0DFF5505">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kern w:val="0"/>
        </w:rPr>
        <w:t>1.1.3.10 临时占地包括：</w:t>
      </w:r>
      <w:r>
        <w:rPr>
          <w:rFonts w:hint="eastAsia" w:asciiTheme="minorEastAsia" w:hAnsiTheme="minorEastAsia" w:eastAsiaTheme="minorEastAsia" w:cstheme="minorEastAsia"/>
          <w:u w:val="single"/>
        </w:rPr>
        <w:t>与总包单位在施工现场确定</w:t>
      </w:r>
      <w:r>
        <w:rPr>
          <w:rFonts w:hint="eastAsia" w:asciiTheme="minorEastAsia" w:hAnsiTheme="minorEastAsia" w:eastAsiaTheme="minorEastAsia" w:cstheme="minorEastAsia"/>
          <w:kern w:val="0"/>
        </w:rPr>
        <w:t>。</w:t>
      </w:r>
    </w:p>
    <w:p w14:paraId="326C2297">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1.3法律 </w:t>
      </w:r>
    </w:p>
    <w:p w14:paraId="744E1C32">
      <w:pPr>
        <w:autoSpaceDE w:val="0"/>
        <w:autoSpaceDN w:val="0"/>
        <w:adjustRightInd w:val="0"/>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适用于合同的其他规范性文件：</w:t>
      </w:r>
      <w:r>
        <w:rPr>
          <w:rFonts w:hint="eastAsia" w:asciiTheme="minorEastAsia" w:hAnsiTheme="minorEastAsia" w:eastAsiaTheme="minorEastAsia" w:cstheme="minorEastAsia"/>
          <w:u w:val="single"/>
        </w:rPr>
        <w:t>国家、河南省、郑州市有关主管部门制定的在本工程实施期间有效的规范性文件</w:t>
      </w:r>
      <w:r>
        <w:rPr>
          <w:rFonts w:hint="eastAsia" w:asciiTheme="minorEastAsia" w:hAnsiTheme="minorEastAsia" w:eastAsiaTheme="minorEastAsia" w:cstheme="minorEastAsia"/>
        </w:rPr>
        <w:t>。</w:t>
      </w:r>
    </w:p>
    <w:p w14:paraId="5A881D55">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1.4 标准和规范</w:t>
      </w:r>
    </w:p>
    <w:p w14:paraId="34867E79">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1.4.1适用于工程的标准规范包括：</w:t>
      </w:r>
      <w:r>
        <w:rPr>
          <w:rFonts w:hint="eastAsia" w:asciiTheme="minorEastAsia" w:hAnsiTheme="minorEastAsia" w:eastAsiaTheme="minorEastAsia" w:cstheme="minorEastAsia"/>
          <w:u w:val="single"/>
        </w:rPr>
        <w:t>国家、行业、河南省现行有效的规范、规程及标准</w:t>
      </w:r>
      <w:r>
        <w:rPr>
          <w:rFonts w:hint="eastAsia" w:asciiTheme="minorEastAsia" w:hAnsiTheme="minorEastAsia" w:eastAsiaTheme="minorEastAsia" w:cstheme="minorEastAsia"/>
        </w:rPr>
        <w:t>。</w:t>
      </w:r>
    </w:p>
    <w:p w14:paraId="3536E437">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1.4.2 发包人提供国外标准、规范的名称：         /        ；</w:t>
      </w:r>
    </w:p>
    <w:p w14:paraId="4B777AC7">
      <w:pPr>
        <w:spacing w:line="360" w:lineRule="auto"/>
        <w:ind w:firstLine="42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发包人提供国外标准、规范的份数：</w:t>
      </w:r>
      <w:r>
        <w:rPr>
          <w:rFonts w:hint="eastAsia" w:asciiTheme="minorEastAsia" w:hAnsiTheme="minorEastAsia" w:eastAsiaTheme="minorEastAsia" w:cstheme="minorEastAsia"/>
          <w:kern w:val="0"/>
          <w:u w:val="single"/>
        </w:rPr>
        <w:t xml:space="preserve">           /           </w:t>
      </w:r>
      <w:r>
        <w:rPr>
          <w:rFonts w:hint="eastAsia" w:asciiTheme="minorEastAsia" w:hAnsiTheme="minorEastAsia" w:eastAsiaTheme="minorEastAsia" w:cstheme="minorEastAsia"/>
          <w:kern w:val="0"/>
        </w:rPr>
        <w:t>；</w:t>
      </w:r>
    </w:p>
    <w:p w14:paraId="36D0226D">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kern w:val="0"/>
        </w:rPr>
        <w:t>发包人提供国外标准、规范的名称：</w:t>
      </w:r>
      <w:r>
        <w:rPr>
          <w:rFonts w:hint="eastAsia" w:asciiTheme="minorEastAsia" w:hAnsiTheme="minorEastAsia" w:eastAsiaTheme="minorEastAsia" w:cstheme="minorEastAsia"/>
          <w:kern w:val="0"/>
          <w:u w:val="single"/>
        </w:rPr>
        <w:t xml:space="preserve">           /           </w:t>
      </w:r>
      <w:r>
        <w:rPr>
          <w:rFonts w:hint="eastAsia" w:asciiTheme="minorEastAsia" w:hAnsiTheme="minorEastAsia" w:eastAsiaTheme="minorEastAsia" w:cstheme="minorEastAsia"/>
          <w:kern w:val="0"/>
        </w:rPr>
        <w:t>。</w:t>
      </w:r>
    </w:p>
    <w:p w14:paraId="7709A283">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1.4.3发包人对工程的技术标准和功能要求的特殊要求：</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634E74DF">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1.5 合同文件的优先顺序</w:t>
      </w:r>
    </w:p>
    <w:p w14:paraId="3A19D90F">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合同文件组成及优先顺序为：</w:t>
      </w:r>
      <w:r>
        <w:rPr>
          <w:rFonts w:hint="eastAsia" w:asciiTheme="minorEastAsia" w:hAnsiTheme="minorEastAsia" w:eastAsiaTheme="minorEastAsia" w:cstheme="minorEastAsia"/>
          <w:u w:val="single"/>
        </w:rPr>
        <w:t>执行通用合同条款</w:t>
      </w:r>
      <w:r>
        <w:rPr>
          <w:rFonts w:hint="eastAsia" w:asciiTheme="minorEastAsia" w:hAnsiTheme="minorEastAsia" w:eastAsiaTheme="minorEastAsia" w:cstheme="minorEastAsia"/>
        </w:rPr>
        <w:t>。</w:t>
      </w:r>
    </w:p>
    <w:p w14:paraId="049F3EA3">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1.6 图纸和承包人文件</w:t>
      </w:r>
      <w:r>
        <w:rPr>
          <w:rFonts w:hint="eastAsia" w:asciiTheme="minorEastAsia" w:hAnsiTheme="minorEastAsia" w:eastAsiaTheme="minorEastAsia" w:cstheme="minorEastAsia"/>
        </w:rPr>
        <w:tab/>
      </w:r>
    </w:p>
    <w:p w14:paraId="3FCC2533">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1.6.1 图纸的提供</w:t>
      </w:r>
    </w:p>
    <w:p w14:paraId="3B677771">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发包人向承包人提供图纸的期限：</w:t>
      </w:r>
      <w:r>
        <w:rPr>
          <w:rFonts w:hint="eastAsia" w:asciiTheme="minorEastAsia" w:hAnsiTheme="minorEastAsia" w:eastAsiaTheme="minorEastAsia" w:cstheme="minorEastAsia"/>
          <w:u w:val="single"/>
        </w:rPr>
        <w:t>签订合同后3日内</w:t>
      </w:r>
      <w:r>
        <w:rPr>
          <w:rFonts w:hint="eastAsia" w:asciiTheme="minorEastAsia" w:hAnsiTheme="minorEastAsia" w:eastAsiaTheme="minorEastAsia" w:cstheme="minorEastAsia"/>
        </w:rPr>
        <w:t>；</w:t>
      </w:r>
    </w:p>
    <w:p w14:paraId="0F0638F2">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发包人向承包人提供图纸的数量：</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7CBFD1E3">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发包人向承包人提供图纸的内容：。</w:t>
      </w:r>
    </w:p>
    <w:p w14:paraId="25FB3444">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1.6.4 承包人文件</w:t>
      </w:r>
    </w:p>
    <w:p w14:paraId="076F093E">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需要由承包人提供的文件，包括：</w:t>
      </w:r>
      <w:r>
        <w:rPr>
          <w:rFonts w:hint="eastAsia" w:asciiTheme="minorEastAsia" w:hAnsiTheme="minorEastAsia" w:eastAsiaTheme="minorEastAsia" w:cstheme="minorEastAsia"/>
          <w:u w:val="single"/>
        </w:rPr>
        <w:t>按有关规范、文件规定执行，并满足总包单位要求</w:t>
      </w:r>
      <w:r>
        <w:rPr>
          <w:rFonts w:hint="eastAsia" w:asciiTheme="minorEastAsia" w:hAnsiTheme="minorEastAsia" w:eastAsiaTheme="minorEastAsia" w:cstheme="minorEastAsia"/>
        </w:rPr>
        <w:t>；</w:t>
      </w:r>
    </w:p>
    <w:p w14:paraId="1BC0FE05">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承包人提供的文件的期限为：</w:t>
      </w:r>
      <w:r>
        <w:rPr>
          <w:rFonts w:hint="eastAsia" w:asciiTheme="minorEastAsia" w:hAnsiTheme="minorEastAsia" w:eastAsiaTheme="minorEastAsia" w:cstheme="minorEastAsia"/>
          <w:u w:val="single"/>
        </w:rPr>
        <w:t>按有关规范、文件规定执行</w:t>
      </w:r>
      <w:r>
        <w:rPr>
          <w:rFonts w:hint="eastAsia" w:asciiTheme="minorEastAsia" w:hAnsiTheme="minorEastAsia" w:eastAsiaTheme="minorEastAsia" w:cstheme="minorEastAsia"/>
        </w:rPr>
        <w:t>；</w:t>
      </w:r>
    </w:p>
    <w:p w14:paraId="63437D1A">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承包人提供的文件的数量为：</w:t>
      </w:r>
      <w:r>
        <w:rPr>
          <w:rFonts w:hint="eastAsia" w:asciiTheme="minorEastAsia" w:hAnsiTheme="minorEastAsia" w:eastAsiaTheme="minorEastAsia" w:cstheme="minorEastAsia"/>
          <w:u w:val="single"/>
        </w:rPr>
        <w:t>按有关规范、文件规定执行</w:t>
      </w:r>
      <w:r>
        <w:rPr>
          <w:rFonts w:hint="eastAsia" w:asciiTheme="minorEastAsia" w:hAnsiTheme="minorEastAsia" w:eastAsiaTheme="minorEastAsia" w:cstheme="minorEastAsia"/>
        </w:rPr>
        <w:t>；</w:t>
      </w:r>
    </w:p>
    <w:p w14:paraId="47E93CB5">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承包人提供的文件的形式为：</w:t>
      </w:r>
      <w:r>
        <w:rPr>
          <w:rFonts w:hint="eastAsia" w:asciiTheme="minorEastAsia" w:hAnsiTheme="minorEastAsia" w:eastAsiaTheme="minorEastAsia" w:cstheme="minorEastAsia"/>
          <w:u w:val="single"/>
        </w:rPr>
        <w:t>按有关规范、文件规定执行</w:t>
      </w:r>
      <w:r>
        <w:rPr>
          <w:rFonts w:hint="eastAsia" w:asciiTheme="minorEastAsia" w:hAnsiTheme="minorEastAsia" w:eastAsiaTheme="minorEastAsia" w:cstheme="minorEastAsia"/>
        </w:rPr>
        <w:t>；</w:t>
      </w:r>
    </w:p>
    <w:p w14:paraId="7B5AEC71">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发包人审批承包人文件的期限：</w:t>
      </w:r>
      <w:r>
        <w:rPr>
          <w:rFonts w:hint="eastAsia" w:asciiTheme="minorEastAsia" w:hAnsiTheme="minorEastAsia" w:eastAsiaTheme="minorEastAsia" w:cstheme="minorEastAsia"/>
          <w:u w:val="single"/>
        </w:rPr>
        <w:t>按有关规范、文件规定执行</w:t>
      </w:r>
      <w:r>
        <w:rPr>
          <w:rFonts w:hint="eastAsia" w:asciiTheme="minorEastAsia" w:hAnsiTheme="minorEastAsia" w:eastAsiaTheme="minorEastAsia" w:cstheme="minorEastAsia"/>
        </w:rPr>
        <w:t>。</w:t>
      </w:r>
    </w:p>
    <w:p w14:paraId="00697432">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1.6.5 现场图纸准备</w:t>
      </w:r>
    </w:p>
    <w:p w14:paraId="02F6E632">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关于现场图纸准备的约定：</w:t>
      </w:r>
      <w:r>
        <w:rPr>
          <w:rFonts w:hint="eastAsia" w:asciiTheme="minorEastAsia" w:hAnsiTheme="minorEastAsia" w:eastAsiaTheme="minorEastAsia" w:cstheme="minorEastAsia"/>
          <w:u w:val="single"/>
        </w:rPr>
        <w:t>执行通用合同条款</w:t>
      </w:r>
      <w:r>
        <w:rPr>
          <w:rFonts w:hint="eastAsia" w:asciiTheme="minorEastAsia" w:hAnsiTheme="minorEastAsia" w:eastAsiaTheme="minorEastAsia" w:cstheme="minorEastAsia"/>
        </w:rPr>
        <w:t>。</w:t>
      </w:r>
    </w:p>
    <w:p w14:paraId="2EAF4013">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1.7 联络</w:t>
      </w:r>
    </w:p>
    <w:p w14:paraId="1669AEE3">
      <w:pPr>
        <w:spacing w:line="360" w:lineRule="auto"/>
        <w:ind w:firstLine="42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1.7.1发包人和承包人应当在</w:t>
      </w:r>
      <w:r>
        <w:rPr>
          <w:rFonts w:hint="eastAsia" w:asciiTheme="minorEastAsia" w:hAnsiTheme="minorEastAsia" w:eastAsiaTheme="minorEastAsia" w:cstheme="minorEastAsia"/>
          <w:u w:val="single"/>
        </w:rPr>
        <w:t xml:space="preserve">7  </w:t>
      </w:r>
      <w:r>
        <w:rPr>
          <w:rFonts w:hint="eastAsia" w:asciiTheme="minorEastAsia" w:hAnsiTheme="minorEastAsia" w:eastAsiaTheme="minorEastAsia" w:cstheme="minorEastAsia"/>
          <w:kern w:val="0"/>
        </w:rPr>
        <w:t>天内将与合同有关的通知、批准、证明、证书、指示、指令、要求、请求、同意、意见、确定和决定等书面函件送达对方当事人。</w:t>
      </w:r>
    </w:p>
    <w:p w14:paraId="289F4E24">
      <w:pPr>
        <w:spacing w:line="360" w:lineRule="auto"/>
        <w:ind w:firstLine="42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1.7.2 发包人接收文件的地点：</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kern w:val="0"/>
        </w:rPr>
        <w:t>；</w:t>
      </w:r>
    </w:p>
    <w:p w14:paraId="7B61773C">
      <w:pPr>
        <w:spacing w:line="360" w:lineRule="auto"/>
        <w:ind w:firstLine="42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发包人指定的接收人为：</w:t>
      </w:r>
      <w:r>
        <w:rPr>
          <w:rFonts w:hint="eastAsia" w:asciiTheme="minorEastAsia" w:hAnsiTheme="minorEastAsia" w:eastAsiaTheme="minorEastAsia" w:cstheme="minorEastAsia"/>
          <w:u w:val="single"/>
        </w:rPr>
        <w:t>发包人代表或现场负责人</w:t>
      </w:r>
      <w:r>
        <w:rPr>
          <w:rFonts w:hint="eastAsia" w:asciiTheme="minorEastAsia" w:hAnsiTheme="minorEastAsia" w:eastAsiaTheme="minorEastAsia" w:cstheme="minorEastAsia"/>
          <w:kern w:val="0"/>
        </w:rPr>
        <w:t>。</w:t>
      </w:r>
    </w:p>
    <w:p w14:paraId="37A2AF2B">
      <w:pPr>
        <w:spacing w:line="360" w:lineRule="auto"/>
        <w:ind w:firstLine="42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承包人接收文件的地点：</w:t>
      </w:r>
      <w:r>
        <w:rPr>
          <w:rFonts w:hint="eastAsia" w:asciiTheme="minorEastAsia" w:hAnsiTheme="minorEastAsia" w:eastAsiaTheme="minorEastAsia" w:cstheme="minorEastAsia"/>
          <w:u w:val="single"/>
        </w:rPr>
        <w:t>工程所在地承包人项目部办公处</w:t>
      </w:r>
      <w:r>
        <w:rPr>
          <w:rFonts w:hint="eastAsia" w:asciiTheme="minorEastAsia" w:hAnsiTheme="minorEastAsia" w:eastAsiaTheme="minorEastAsia" w:cstheme="minorEastAsia"/>
          <w:kern w:val="0"/>
        </w:rPr>
        <w:t>；</w:t>
      </w:r>
    </w:p>
    <w:p w14:paraId="4A29D911">
      <w:pPr>
        <w:spacing w:line="360" w:lineRule="auto"/>
        <w:ind w:firstLine="42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承包人指定的接收人为：</w:t>
      </w:r>
      <w:r>
        <w:rPr>
          <w:rFonts w:hint="eastAsia" w:asciiTheme="minorEastAsia" w:hAnsiTheme="minorEastAsia" w:eastAsiaTheme="minorEastAsia" w:cstheme="minorEastAsia"/>
          <w:u w:val="single"/>
        </w:rPr>
        <w:t>项目经理或项目部技术负责人或现场负责人</w:t>
      </w:r>
      <w:r>
        <w:rPr>
          <w:rFonts w:hint="eastAsia" w:asciiTheme="minorEastAsia" w:hAnsiTheme="minorEastAsia" w:eastAsiaTheme="minorEastAsia" w:cstheme="minorEastAsia"/>
          <w:kern w:val="0"/>
        </w:rPr>
        <w:t>。</w:t>
      </w:r>
    </w:p>
    <w:p w14:paraId="1CCF3197">
      <w:pPr>
        <w:spacing w:line="360" w:lineRule="auto"/>
        <w:ind w:firstLine="42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监理人接收文件的地点：</w:t>
      </w:r>
      <w:r>
        <w:rPr>
          <w:rFonts w:hint="eastAsia" w:asciiTheme="minorEastAsia" w:hAnsiTheme="minorEastAsia" w:eastAsiaTheme="minorEastAsia" w:cstheme="minorEastAsia"/>
          <w:u w:val="single"/>
        </w:rPr>
        <w:t>工程所在地监理人监理部办公处</w:t>
      </w:r>
      <w:r>
        <w:rPr>
          <w:rFonts w:hint="eastAsia" w:asciiTheme="minorEastAsia" w:hAnsiTheme="minorEastAsia" w:eastAsiaTheme="minorEastAsia" w:cstheme="minorEastAsia"/>
          <w:kern w:val="0"/>
        </w:rPr>
        <w:t>；</w:t>
      </w:r>
    </w:p>
    <w:p w14:paraId="68EF41CA">
      <w:pPr>
        <w:spacing w:line="360" w:lineRule="auto"/>
        <w:ind w:firstLine="42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监理人指定的接收人为：</w:t>
      </w:r>
      <w:r>
        <w:rPr>
          <w:rFonts w:hint="eastAsia" w:asciiTheme="minorEastAsia" w:hAnsiTheme="minorEastAsia" w:eastAsiaTheme="minorEastAsia" w:cstheme="minorEastAsia"/>
          <w:u w:val="single"/>
        </w:rPr>
        <w:t>项目总监或总监代表</w:t>
      </w:r>
      <w:r>
        <w:rPr>
          <w:rFonts w:hint="eastAsia" w:asciiTheme="minorEastAsia" w:hAnsiTheme="minorEastAsia" w:eastAsiaTheme="minorEastAsia" w:cstheme="minorEastAsia"/>
          <w:kern w:val="0"/>
        </w:rPr>
        <w:t>。</w:t>
      </w:r>
    </w:p>
    <w:p w14:paraId="7019176E">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1.10 交通运输</w:t>
      </w:r>
    </w:p>
    <w:p w14:paraId="25631B68">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1.10.1 出入现场的权利</w:t>
      </w:r>
    </w:p>
    <w:p w14:paraId="42986DCD">
      <w:pPr>
        <w:spacing w:line="360" w:lineRule="auto"/>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关于出入现场的权利的约定：。</w:t>
      </w:r>
    </w:p>
    <w:p w14:paraId="3E3A19DD">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1.10.3 场内交通</w:t>
      </w:r>
    </w:p>
    <w:p w14:paraId="67422C0D">
      <w:pPr>
        <w:spacing w:line="360" w:lineRule="auto"/>
        <w:ind w:firstLine="42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rPr>
        <w:t>关于场</w:t>
      </w:r>
      <w:r>
        <w:rPr>
          <w:rFonts w:hint="eastAsia" w:asciiTheme="minorEastAsia" w:hAnsiTheme="minorEastAsia" w:eastAsiaTheme="minorEastAsia" w:cstheme="minorEastAsia"/>
          <w:kern w:val="0"/>
        </w:rPr>
        <w:t>外交通和场内交通的边界的约定：</w:t>
      </w:r>
      <w:r>
        <w:rPr>
          <w:rFonts w:hint="eastAsia" w:asciiTheme="minorEastAsia" w:hAnsiTheme="minorEastAsia" w:eastAsiaTheme="minorEastAsia" w:cstheme="minorEastAsia"/>
        </w:rPr>
        <w:t>。</w:t>
      </w:r>
    </w:p>
    <w:p w14:paraId="57C026A1">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关于发包人向承包人免费提供满足工程施工需要的场内道路和交通设施的约定：。  </w:t>
      </w:r>
    </w:p>
    <w:p w14:paraId="5A579A17">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1.10.4超大件和超重件的运输</w:t>
      </w:r>
    </w:p>
    <w:p w14:paraId="6E1B343E">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运输超大件或超重件所需的道路和桥梁临时加固改造费用和其他有关费用由</w:t>
      </w:r>
      <w:r>
        <w:rPr>
          <w:rFonts w:hint="eastAsia" w:asciiTheme="minorEastAsia" w:hAnsiTheme="minorEastAsia" w:eastAsiaTheme="minorEastAsia" w:cstheme="minorEastAsia"/>
          <w:u w:val="single"/>
        </w:rPr>
        <w:t>承包人</w:t>
      </w:r>
      <w:r>
        <w:rPr>
          <w:rFonts w:hint="eastAsia" w:asciiTheme="minorEastAsia" w:hAnsiTheme="minorEastAsia" w:eastAsiaTheme="minorEastAsia" w:cstheme="minorEastAsia"/>
        </w:rPr>
        <w:t>承担。</w:t>
      </w:r>
    </w:p>
    <w:p w14:paraId="72351F69">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1.11 知识产权</w:t>
      </w:r>
    </w:p>
    <w:p w14:paraId="3CA43AFF">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1.11.1关于发包人提供给承包人的图纸、发包人为实施工程自行编制或委托编制的技术规范以及反映发包人关于合同要求或其他类似性质的文件的著作权的归属：</w:t>
      </w:r>
      <w:r>
        <w:rPr>
          <w:rFonts w:hint="eastAsia" w:asciiTheme="minorEastAsia" w:hAnsiTheme="minorEastAsia" w:eastAsiaTheme="minorEastAsia" w:cstheme="minorEastAsia"/>
          <w:u w:val="single"/>
        </w:rPr>
        <w:t>执行通用合同条款</w:t>
      </w:r>
      <w:r>
        <w:rPr>
          <w:rFonts w:hint="eastAsia" w:asciiTheme="minorEastAsia" w:hAnsiTheme="minorEastAsia" w:eastAsiaTheme="minorEastAsia" w:cstheme="minorEastAsia"/>
        </w:rPr>
        <w:t>。</w:t>
      </w:r>
    </w:p>
    <w:p w14:paraId="76DB72B5">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关于发包人提供的上述文件的使用限制的要求：</w:t>
      </w:r>
      <w:r>
        <w:rPr>
          <w:rFonts w:hint="eastAsia" w:asciiTheme="minorEastAsia" w:hAnsiTheme="minorEastAsia" w:eastAsiaTheme="minorEastAsia" w:cstheme="minorEastAsia"/>
          <w:u w:val="single"/>
        </w:rPr>
        <w:t>执行通用合同条款</w:t>
      </w:r>
      <w:r>
        <w:rPr>
          <w:rFonts w:hint="eastAsia" w:asciiTheme="minorEastAsia" w:hAnsiTheme="minorEastAsia" w:eastAsiaTheme="minorEastAsia" w:cstheme="minorEastAsia"/>
        </w:rPr>
        <w:t>。</w:t>
      </w:r>
    </w:p>
    <w:p w14:paraId="7A0EF9EC">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1.11.2 关于承包人为实施工程所编制文件的著作权的归属：</w:t>
      </w:r>
      <w:r>
        <w:rPr>
          <w:rFonts w:hint="eastAsia" w:asciiTheme="minorEastAsia" w:hAnsiTheme="minorEastAsia" w:eastAsiaTheme="minorEastAsia" w:cstheme="minorEastAsia"/>
          <w:u w:val="single"/>
        </w:rPr>
        <w:t>执行通用合同条款</w:t>
      </w:r>
      <w:r>
        <w:rPr>
          <w:rFonts w:hint="eastAsia" w:asciiTheme="minorEastAsia" w:hAnsiTheme="minorEastAsia" w:eastAsiaTheme="minorEastAsia" w:cstheme="minorEastAsia"/>
        </w:rPr>
        <w:t>。</w:t>
      </w:r>
    </w:p>
    <w:p w14:paraId="1DA6B0E6">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关于承包人提供的上述文件的使用限制的要求：</w:t>
      </w:r>
      <w:r>
        <w:rPr>
          <w:rFonts w:hint="eastAsia" w:asciiTheme="minorEastAsia" w:hAnsiTheme="minorEastAsia" w:eastAsiaTheme="minorEastAsia" w:cstheme="minorEastAsia"/>
          <w:u w:val="single"/>
        </w:rPr>
        <w:t>执行通用合同条款</w:t>
      </w:r>
      <w:r>
        <w:rPr>
          <w:rFonts w:hint="eastAsia" w:asciiTheme="minorEastAsia" w:hAnsiTheme="minorEastAsia" w:eastAsiaTheme="minorEastAsia" w:cstheme="minorEastAsia"/>
        </w:rPr>
        <w:t>。</w:t>
      </w:r>
    </w:p>
    <w:p w14:paraId="4938D2E6">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1.11.4 承包人在施工过程中所采用的专利、专有技术、技术秘密的使用费的承担方式：</w:t>
      </w:r>
      <w:r>
        <w:rPr>
          <w:rFonts w:hint="eastAsia" w:asciiTheme="minorEastAsia" w:hAnsiTheme="minorEastAsia" w:eastAsiaTheme="minorEastAsia" w:cstheme="minorEastAsia"/>
          <w:u w:val="single"/>
        </w:rPr>
        <w:t>执行通用合同条款</w:t>
      </w:r>
      <w:r>
        <w:rPr>
          <w:rFonts w:hint="eastAsia" w:asciiTheme="minorEastAsia" w:hAnsiTheme="minorEastAsia" w:eastAsiaTheme="minorEastAsia" w:cstheme="minorEastAsia"/>
        </w:rPr>
        <w:t>。</w:t>
      </w:r>
    </w:p>
    <w:p w14:paraId="046AD854">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1.13工程量清单错误的修正</w:t>
      </w:r>
    </w:p>
    <w:p w14:paraId="6B694D97">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出现工程量清单错误时，是否调整合同价格：</w:t>
      </w:r>
      <w:r>
        <w:rPr>
          <w:rFonts w:hint="eastAsia" w:asciiTheme="minorEastAsia" w:hAnsiTheme="minorEastAsia" w:eastAsiaTheme="minorEastAsia" w:cstheme="minorEastAsia"/>
          <w:u w:val="single"/>
        </w:rPr>
        <w:t xml:space="preserve">      是    </w:t>
      </w:r>
      <w:r>
        <w:rPr>
          <w:rFonts w:hint="eastAsia" w:asciiTheme="minorEastAsia" w:hAnsiTheme="minorEastAsia" w:eastAsiaTheme="minorEastAsia" w:cstheme="minorEastAsia"/>
          <w:kern w:val="0"/>
        </w:rPr>
        <w:t>。</w:t>
      </w:r>
    </w:p>
    <w:p w14:paraId="5B8C68CD">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允许调整合同价格的工程量偏差范围：</w:t>
      </w:r>
      <w:r>
        <w:rPr>
          <w:rFonts w:hint="eastAsia" w:asciiTheme="minorEastAsia" w:hAnsiTheme="minorEastAsia" w:eastAsiaTheme="minorEastAsia" w:cstheme="minorEastAsia"/>
          <w:u w:val="single"/>
        </w:rPr>
        <w:t>施工期间实际完成工程量与招标工程量清单的偏差按实调整,以“项”计列的措施费用结算一律不调整，以“综合单价”计列的模板、脚手架搭拆等措施费，按照实际工程量进行调整</w:t>
      </w:r>
      <w:r>
        <w:rPr>
          <w:rFonts w:hint="eastAsia" w:asciiTheme="minorEastAsia" w:hAnsiTheme="minorEastAsia" w:eastAsiaTheme="minorEastAsia" w:cstheme="minorEastAsia"/>
          <w:kern w:val="0"/>
        </w:rPr>
        <w:t>。</w:t>
      </w:r>
    </w:p>
    <w:p w14:paraId="4272D29A">
      <w:pPr>
        <w:pStyle w:val="5"/>
        <w:spacing w:before="0" w:after="0" w:line="360" w:lineRule="auto"/>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发包人</w:t>
      </w:r>
    </w:p>
    <w:p w14:paraId="4D7498D4">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2.1许可或批准</w:t>
      </w:r>
    </w:p>
    <w:p w14:paraId="7D7B7735">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因发包人原因未能及时办理完毕应由发包人办理的许可、批准或备案的，</w:t>
      </w:r>
      <w:r>
        <w:rPr>
          <w:rFonts w:hint="eastAsia" w:asciiTheme="minorEastAsia" w:hAnsiTheme="minorEastAsia" w:eastAsiaTheme="minorEastAsia" w:cstheme="minorEastAsia"/>
          <w:u w:val="single"/>
        </w:rPr>
        <w:t>相应顺延工期，但不补偿承包人费用及利润</w:t>
      </w:r>
      <w:r>
        <w:rPr>
          <w:rFonts w:hint="eastAsia" w:asciiTheme="minorEastAsia" w:hAnsiTheme="minorEastAsia" w:eastAsiaTheme="minorEastAsia" w:cstheme="minorEastAsia"/>
        </w:rPr>
        <w:t>。</w:t>
      </w:r>
    </w:p>
    <w:p w14:paraId="1F0E27E6">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2.2 发包人代表</w:t>
      </w:r>
    </w:p>
    <w:p w14:paraId="0AB1DF1F">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发包人代表：</w:t>
      </w:r>
      <w:r>
        <w:rPr>
          <w:rFonts w:hint="eastAsia" w:asciiTheme="minorEastAsia" w:hAnsiTheme="minorEastAsia" w:eastAsiaTheme="minorEastAsia" w:cstheme="minorEastAsia"/>
          <w:u w:val="single"/>
        </w:rPr>
        <w:t xml:space="preserve">        </w:t>
      </w:r>
    </w:p>
    <w:p w14:paraId="589DC022">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姓    名：</w:t>
      </w:r>
      <w:r>
        <w:rPr>
          <w:rFonts w:hint="eastAsia" w:asciiTheme="minorEastAsia" w:hAnsiTheme="minorEastAsia" w:eastAsiaTheme="minorEastAsia" w:cstheme="minorEastAsia"/>
          <w:u w:val="single"/>
        </w:rPr>
        <w:t xml:space="preserve">        </w:t>
      </w:r>
      <w:r>
        <w:rPr>
          <w:rFonts w:hint="eastAsia" w:asciiTheme="minorEastAsia" w:hAnsiTheme="minorEastAsia" w:eastAsiaTheme="minorEastAsia" w:cstheme="minorEastAsia"/>
        </w:rPr>
        <w:t>；</w:t>
      </w:r>
    </w:p>
    <w:p w14:paraId="713C862E">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身份证号：</w:t>
      </w:r>
      <w:r>
        <w:rPr>
          <w:rFonts w:hint="eastAsia" w:asciiTheme="minorEastAsia" w:hAnsiTheme="minorEastAsia" w:eastAsiaTheme="minorEastAsia" w:cstheme="minorEastAsia"/>
          <w:u w:val="single"/>
        </w:rPr>
        <w:t xml:space="preserve">        </w:t>
      </w:r>
      <w:r>
        <w:rPr>
          <w:rFonts w:hint="eastAsia" w:asciiTheme="minorEastAsia" w:hAnsiTheme="minorEastAsia" w:eastAsiaTheme="minorEastAsia" w:cstheme="minorEastAsia"/>
        </w:rPr>
        <w:t>；</w:t>
      </w:r>
    </w:p>
    <w:p w14:paraId="7CEB3BB5">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职    务：</w:t>
      </w:r>
      <w:r>
        <w:rPr>
          <w:rFonts w:hint="eastAsia" w:asciiTheme="minorEastAsia" w:hAnsiTheme="minorEastAsia" w:eastAsiaTheme="minorEastAsia" w:cstheme="minorEastAsia"/>
          <w:u w:val="single"/>
        </w:rPr>
        <w:t xml:space="preserve">        </w:t>
      </w:r>
      <w:r>
        <w:rPr>
          <w:rFonts w:hint="eastAsia" w:asciiTheme="minorEastAsia" w:hAnsiTheme="minorEastAsia" w:eastAsiaTheme="minorEastAsia" w:cstheme="minorEastAsia"/>
        </w:rPr>
        <w:t>；</w:t>
      </w:r>
    </w:p>
    <w:p w14:paraId="2A738A31">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联系电话：</w:t>
      </w:r>
      <w:r>
        <w:rPr>
          <w:rFonts w:hint="eastAsia" w:asciiTheme="minorEastAsia" w:hAnsiTheme="minorEastAsia" w:eastAsiaTheme="minorEastAsia" w:cstheme="minorEastAsia"/>
          <w:u w:val="single"/>
        </w:rPr>
        <w:t xml:space="preserve">            </w:t>
      </w:r>
      <w:r>
        <w:rPr>
          <w:rFonts w:hint="eastAsia" w:asciiTheme="minorEastAsia" w:hAnsiTheme="minorEastAsia" w:eastAsiaTheme="minorEastAsia" w:cstheme="minorEastAsia"/>
        </w:rPr>
        <w:t>；</w:t>
      </w:r>
    </w:p>
    <w:p w14:paraId="7AAAE340">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发包人对发包人代表的授权范围如下：。</w:t>
      </w:r>
    </w:p>
    <w:p w14:paraId="5762BFE1">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2.3发包人人员</w:t>
      </w:r>
    </w:p>
    <w:p w14:paraId="45050261">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项目经理:</w:t>
      </w:r>
      <w:r>
        <w:rPr>
          <w:rFonts w:hint="eastAsia" w:asciiTheme="minorEastAsia" w:hAnsiTheme="minorEastAsia" w:eastAsiaTheme="minorEastAsia" w:cstheme="minorEastAsia"/>
          <w:u w:val="single"/>
        </w:rPr>
        <w:t xml:space="preserve">        </w:t>
      </w:r>
    </w:p>
    <w:p w14:paraId="7855350F">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姓    名：</w:t>
      </w:r>
      <w:r>
        <w:rPr>
          <w:rFonts w:hint="eastAsia" w:asciiTheme="minorEastAsia" w:hAnsiTheme="minorEastAsia" w:eastAsiaTheme="minorEastAsia" w:cstheme="minorEastAsia"/>
          <w:u w:val="single"/>
        </w:rPr>
        <w:t xml:space="preserve">        </w:t>
      </w:r>
      <w:r>
        <w:rPr>
          <w:rFonts w:hint="eastAsia" w:asciiTheme="minorEastAsia" w:hAnsiTheme="minorEastAsia" w:eastAsiaTheme="minorEastAsia" w:cstheme="minorEastAsia"/>
        </w:rPr>
        <w:t>；</w:t>
      </w:r>
    </w:p>
    <w:p w14:paraId="273B4276">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身份证号：</w:t>
      </w:r>
      <w:r>
        <w:rPr>
          <w:rFonts w:hint="eastAsia" w:asciiTheme="minorEastAsia" w:hAnsiTheme="minorEastAsia" w:eastAsiaTheme="minorEastAsia" w:cstheme="minorEastAsia"/>
          <w:u w:val="single"/>
        </w:rPr>
        <w:t xml:space="preserve">        </w:t>
      </w:r>
      <w:r>
        <w:rPr>
          <w:rFonts w:hint="eastAsia" w:asciiTheme="minorEastAsia" w:hAnsiTheme="minorEastAsia" w:eastAsiaTheme="minorEastAsia" w:cstheme="minorEastAsia"/>
        </w:rPr>
        <w:t>；</w:t>
      </w:r>
    </w:p>
    <w:p w14:paraId="2BAA17E0">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职    务：</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w:t>
      </w:r>
    </w:p>
    <w:p w14:paraId="6F66C083">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联系电话：</w:t>
      </w:r>
      <w:r>
        <w:rPr>
          <w:rFonts w:hint="eastAsia" w:asciiTheme="minorEastAsia" w:hAnsiTheme="minorEastAsia" w:eastAsiaTheme="minorEastAsia" w:cstheme="minorEastAsia"/>
          <w:u w:val="single"/>
        </w:rPr>
        <w:t xml:space="preserve">            </w:t>
      </w:r>
      <w:r>
        <w:rPr>
          <w:rFonts w:hint="eastAsia" w:asciiTheme="minorEastAsia" w:hAnsiTheme="minorEastAsia" w:eastAsiaTheme="minorEastAsia" w:cstheme="minorEastAsia"/>
        </w:rPr>
        <w:t>；</w:t>
      </w:r>
    </w:p>
    <w:p w14:paraId="007288DE">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发包人现场管理人员：</w:t>
      </w:r>
      <w:r>
        <w:rPr>
          <w:rFonts w:hint="eastAsia" w:asciiTheme="minorEastAsia" w:hAnsiTheme="minorEastAsia" w:eastAsiaTheme="minorEastAsia" w:cstheme="minorEastAsia"/>
          <w:u w:val="single"/>
        </w:rPr>
        <w:t xml:space="preserve">        </w:t>
      </w:r>
    </w:p>
    <w:p w14:paraId="4A5B5AC8">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姓    名：</w:t>
      </w:r>
      <w:r>
        <w:rPr>
          <w:rFonts w:hint="eastAsia" w:asciiTheme="minorEastAsia" w:hAnsiTheme="minorEastAsia" w:eastAsiaTheme="minorEastAsia" w:cstheme="minorEastAsia"/>
          <w:u w:val="single"/>
        </w:rPr>
        <w:t xml:space="preserve">        </w:t>
      </w:r>
      <w:r>
        <w:rPr>
          <w:rFonts w:hint="eastAsia" w:asciiTheme="minorEastAsia" w:hAnsiTheme="minorEastAsia" w:eastAsiaTheme="minorEastAsia" w:cstheme="minorEastAsia"/>
        </w:rPr>
        <w:t>；</w:t>
      </w:r>
    </w:p>
    <w:p w14:paraId="395D20AA">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发包人对发包人人员的授权范围如下：。</w:t>
      </w:r>
    </w:p>
    <w:p w14:paraId="4BFBFD80">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2.4 施工现场、施工条件和基础资料的提供</w:t>
      </w:r>
    </w:p>
    <w:p w14:paraId="07376EC5">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2.4.1 提供施工现场</w:t>
      </w:r>
    </w:p>
    <w:p w14:paraId="7E727DAE">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关于发包人移交施工现场的期限要求：</w:t>
      </w:r>
      <w:r>
        <w:rPr>
          <w:rFonts w:hint="eastAsia" w:asciiTheme="minorEastAsia" w:hAnsiTheme="minorEastAsia" w:eastAsiaTheme="minorEastAsia" w:cstheme="minorEastAsia"/>
          <w:u w:val="single"/>
        </w:rPr>
        <w:t>执行通用合同条款</w:t>
      </w:r>
      <w:r>
        <w:rPr>
          <w:rFonts w:hint="eastAsia" w:asciiTheme="minorEastAsia" w:hAnsiTheme="minorEastAsia" w:eastAsiaTheme="minorEastAsia" w:cstheme="minorEastAsia"/>
        </w:rPr>
        <w:t>。</w:t>
      </w:r>
    </w:p>
    <w:p w14:paraId="2EB37538">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2.4.2 提供施工条件</w:t>
      </w:r>
    </w:p>
    <w:p w14:paraId="62A56255">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关于发包人应负责提供施工所需要的条件，包括：</w:t>
      </w:r>
      <w:r>
        <w:rPr>
          <w:rFonts w:hint="eastAsia" w:asciiTheme="minorEastAsia" w:hAnsiTheme="minorEastAsia" w:eastAsiaTheme="minorEastAsia" w:cstheme="minorEastAsia"/>
          <w:u w:val="single"/>
        </w:rPr>
        <w:t>施工用水、电经指定位置由承包人负责接至施工现场。施工用水、电装表计量（水、电表及安装费用由承包人承担）。工程期内在每次工程进度款支付前，承包人应进行当期水电费结算</w:t>
      </w:r>
      <w:r>
        <w:rPr>
          <w:rFonts w:hint="eastAsia" w:asciiTheme="minorEastAsia" w:hAnsiTheme="minorEastAsia" w:eastAsiaTheme="minorEastAsia" w:cstheme="minorEastAsia"/>
        </w:rPr>
        <w:t>。</w:t>
      </w:r>
    </w:p>
    <w:p w14:paraId="4650BF95">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2.5 资金来源证明及支付担保</w:t>
      </w:r>
    </w:p>
    <w:p w14:paraId="4F1BCF7D">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发包人提供资金来源证明的期限要求：</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1B6D4465">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发包人是否提供支付担保：</w:t>
      </w:r>
      <w:r>
        <w:rPr>
          <w:rFonts w:hint="eastAsia" w:asciiTheme="minorEastAsia" w:hAnsiTheme="minorEastAsia" w:eastAsiaTheme="minorEastAsia" w:cstheme="minorEastAsia"/>
          <w:u w:val="single"/>
        </w:rPr>
        <w:t xml:space="preserve">           /          </w:t>
      </w:r>
      <w:r>
        <w:rPr>
          <w:rFonts w:hint="eastAsia" w:asciiTheme="minorEastAsia" w:hAnsiTheme="minorEastAsia" w:eastAsiaTheme="minorEastAsia" w:cstheme="minorEastAsia"/>
        </w:rPr>
        <w:t>。</w:t>
      </w:r>
    </w:p>
    <w:p w14:paraId="55B75BA0">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发包人提供支付担保的形式：</w:t>
      </w:r>
      <w:r>
        <w:rPr>
          <w:rFonts w:hint="eastAsia" w:asciiTheme="minorEastAsia" w:hAnsiTheme="minorEastAsia" w:eastAsiaTheme="minorEastAsia" w:cstheme="minorEastAsia"/>
          <w:u w:val="single"/>
        </w:rPr>
        <w:t>         /            </w:t>
      </w:r>
      <w:r>
        <w:rPr>
          <w:rFonts w:hint="eastAsia" w:asciiTheme="minorEastAsia" w:hAnsiTheme="minorEastAsia" w:eastAsiaTheme="minorEastAsia" w:cstheme="minorEastAsia"/>
        </w:rPr>
        <w:t>。</w:t>
      </w:r>
    </w:p>
    <w:p w14:paraId="05EC280C">
      <w:pPr>
        <w:pStyle w:val="5"/>
        <w:spacing w:before="0" w:after="0" w:line="360" w:lineRule="auto"/>
        <w:ind w:firstLine="316"/>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承包人</w:t>
      </w:r>
    </w:p>
    <w:p w14:paraId="7FF6694D">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3.1 承包人的一般义务</w:t>
      </w:r>
    </w:p>
    <w:p w14:paraId="6F1E8C25">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kern w:val="0"/>
        </w:rPr>
        <w:t>（9）</w:t>
      </w:r>
      <w:r>
        <w:rPr>
          <w:rFonts w:hint="eastAsia" w:asciiTheme="minorEastAsia" w:hAnsiTheme="minorEastAsia" w:eastAsiaTheme="minorEastAsia" w:cstheme="minorEastAsia"/>
        </w:rPr>
        <w:t>承包人提交的竣工资料的内容：</w:t>
      </w:r>
      <w:r>
        <w:rPr>
          <w:rFonts w:hint="eastAsia" w:asciiTheme="minorEastAsia" w:hAnsiTheme="minorEastAsia" w:eastAsiaTheme="minorEastAsia" w:cstheme="minorEastAsia"/>
          <w:u w:val="single"/>
        </w:rPr>
        <w:t xml:space="preserve">施工过程文件、竣工图、竣工验收文件、竣工结算文件及以上各类文件的电子版 </w:t>
      </w:r>
      <w:r>
        <w:rPr>
          <w:rFonts w:hint="eastAsia" w:asciiTheme="minorEastAsia" w:hAnsiTheme="minorEastAsia" w:eastAsiaTheme="minorEastAsia" w:cstheme="minorEastAsia"/>
        </w:rPr>
        <w:t>。</w:t>
      </w:r>
    </w:p>
    <w:p w14:paraId="1D4A46D3">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承包人需要提交的竣工资料套数：</w:t>
      </w:r>
      <w:r>
        <w:rPr>
          <w:rFonts w:hint="eastAsia" w:asciiTheme="minorEastAsia" w:hAnsiTheme="minorEastAsia" w:eastAsiaTheme="minorEastAsia" w:cstheme="minorEastAsia"/>
          <w:u w:val="single"/>
        </w:rPr>
        <w:t xml:space="preserve">         两套         </w:t>
      </w:r>
      <w:r>
        <w:rPr>
          <w:rFonts w:hint="eastAsia" w:asciiTheme="minorEastAsia" w:hAnsiTheme="minorEastAsia" w:eastAsiaTheme="minorEastAsia" w:cstheme="minorEastAsia"/>
        </w:rPr>
        <w:t>。</w:t>
      </w:r>
    </w:p>
    <w:p w14:paraId="7F83CFDE">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承包人提交的竣工资料的费用承担：</w:t>
      </w:r>
      <w:r>
        <w:rPr>
          <w:rFonts w:hint="eastAsia" w:asciiTheme="minorEastAsia" w:hAnsiTheme="minorEastAsia" w:eastAsiaTheme="minorEastAsia" w:cstheme="minorEastAsia"/>
          <w:u w:val="single"/>
        </w:rPr>
        <w:t>由承包人承担</w:t>
      </w:r>
      <w:r>
        <w:rPr>
          <w:rFonts w:hint="eastAsia" w:asciiTheme="minorEastAsia" w:hAnsiTheme="minorEastAsia" w:eastAsiaTheme="minorEastAsia" w:cstheme="minorEastAsia"/>
        </w:rPr>
        <w:t>。</w:t>
      </w:r>
    </w:p>
    <w:p w14:paraId="11F96A8A">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承包人提交的竣工资料移交时间：</w:t>
      </w:r>
      <w:r>
        <w:rPr>
          <w:rFonts w:hint="eastAsia" w:asciiTheme="minorEastAsia" w:hAnsiTheme="minorEastAsia" w:eastAsiaTheme="minorEastAsia" w:cstheme="minorEastAsia"/>
          <w:u w:val="single"/>
        </w:rPr>
        <w:t>工程竣工验收合格后20天内</w:t>
      </w:r>
      <w:r>
        <w:rPr>
          <w:rFonts w:hint="eastAsia" w:asciiTheme="minorEastAsia" w:hAnsiTheme="minorEastAsia" w:eastAsiaTheme="minorEastAsia" w:cstheme="minorEastAsia"/>
        </w:rPr>
        <w:t>。</w:t>
      </w:r>
    </w:p>
    <w:p w14:paraId="3BF4FA87">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承包人提交的竣工资料形式要求：</w:t>
      </w:r>
      <w:r>
        <w:rPr>
          <w:rFonts w:hint="eastAsia" w:asciiTheme="minorEastAsia" w:hAnsiTheme="minorEastAsia" w:eastAsiaTheme="minorEastAsia" w:cstheme="minorEastAsia"/>
          <w:u w:val="single"/>
        </w:rPr>
        <w:t>文字资料胶订成册，图纸折叠成A4大小并装订成册，电子版资料拷贝到发包人指定电脑</w:t>
      </w:r>
      <w:r>
        <w:rPr>
          <w:rFonts w:hint="eastAsia" w:asciiTheme="minorEastAsia" w:hAnsiTheme="minorEastAsia" w:eastAsiaTheme="minorEastAsia" w:cstheme="minorEastAsia"/>
        </w:rPr>
        <w:t>。</w:t>
      </w:r>
    </w:p>
    <w:p w14:paraId="5F0BBE47">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kern w:val="0"/>
        </w:rPr>
        <w:t>（10）承包人应履行的其他义务：</w:t>
      </w:r>
      <w:r>
        <w:rPr>
          <w:rFonts w:hint="eastAsia" w:asciiTheme="minorEastAsia" w:hAnsiTheme="minorEastAsia" w:eastAsiaTheme="minorEastAsia" w:cstheme="minorEastAsia"/>
          <w:u w:val="single"/>
        </w:rPr>
        <w:t>承包人负责清理施工现场建筑垃圾（包括拆除的建筑垃圾），并将所有建筑垃圾运输到发包人</w:t>
      </w:r>
      <w:r>
        <w:rPr>
          <w:rFonts w:hint="eastAsia" w:asciiTheme="minorEastAsia" w:hAnsiTheme="minorEastAsia" w:eastAsiaTheme="minorEastAsia" w:cstheme="minorEastAsia"/>
          <w:u w:val="single"/>
          <w:lang w:eastAsia="zh-CN"/>
        </w:rPr>
        <w:t>单位</w:t>
      </w:r>
      <w:r>
        <w:rPr>
          <w:rFonts w:hint="eastAsia" w:asciiTheme="minorEastAsia" w:hAnsiTheme="minorEastAsia" w:eastAsiaTheme="minorEastAsia" w:cstheme="minorEastAsia"/>
          <w:u w:val="single"/>
        </w:rPr>
        <w:t>以外，且承担以上工作的费用。承包人遵守发包人等有关单位的相关工程管理规章制度。承包人项目部主要管理人员（包括但不限于项目经理、技术负责人）应服从发包人考勤管理</w:t>
      </w:r>
      <w:r>
        <w:rPr>
          <w:rFonts w:hint="eastAsia" w:asciiTheme="minorEastAsia" w:hAnsiTheme="minorEastAsia" w:eastAsiaTheme="minorEastAsia" w:cstheme="minorEastAsia"/>
        </w:rPr>
        <w:t>。</w:t>
      </w:r>
    </w:p>
    <w:p w14:paraId="0CA325BF">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3.2 项目经理</w:t>
      </w:r>
    </w:p>
    <w:p w14:paraId="40FFDCB4">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kern w:val="0"/>
        </w:rPr>
        <w:t xml:space="preserve">3.2.1 </w:t>
      </w:r>
      <w:r>
        <w:rPr>
          <w:rFonts w:hint="eastAsia" w:asciiTheme="minorEastAsia" w:hAnsiTheme="minorEastAsia" w:eastAsiaTheme="minorEastAsia" w:cstheme="minorEastAsia"/>
        </w:rPr>
        <w:t>项目经理：</w:t>
      </w:r>
      <w:r>
        <w:rPr>
          <w:rFonts w:hint="eastAsia" w:asciiTheme="minorEastAsia" w:hAnsiTheme="minorEastAsia" w:eastAsiaTheme="minorEastAsia" w:cstheme="minorEastAsia"/>
          <w:u w:val="single"/>
        </w:rPr>
        <w:t xml:space="preserve">        </w:t>
      </w:r>
    </w:p>
    <w:p w14:paraId="1E7B696D">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姓    名：</w:t>
      </w:r>
      <w:r>
        <w:rPr>
          <w:rFonts w:hint="eastAsia" w:asciiTheme="minorEastAsia" w:hAnsiTheme="minorEastAsia" w:eastAsiaTheme="minorEastAsia" w:cstheme="minorEastAsia"/>
          <w:u w:val="single"/>
        </w:rPr>
        <w:t xml:space="preserve">        </w:t>
      </w:r>
      <w:r>
        <w:rPr>
          <w:rFonts w:hint="eastAsia" w:asciiTheme="minorEastAsia" w:hAnsiTheme="minorEastAsia" w:eastAsiaTheme="minorEastAsia" w:cstheme="minorEastAsia"/>
        </w:rPr>
        <w:t>；</w:t>
      </w:r>
    </w:p>
    <w:p w14:paraId="18160FFB">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身份证号：</w:t>
      </w:r>
      <w:r>
        <w:rPr>
          <w:rFonts w:hint="eastAsia" w:asciiTheme="minorEastAsia" w:hAnsiTheme="minorEastAsia" w:eastAsiaTheme="minorEastAsia" w:cstheme="minorEastAsia"/>
          <w:u w:val="single"/>
        </w:rPr>
        <w:t xml:space="preserve">        </w:t>
      </w:r>
      <w:r>
        <w:rPr>
          <w:rFonts w:hint="eastAsia" w:asciiTheme="minorEastAsia" w:hAnsiTheme="minorEastAsia" w:eastAsiaTheme="minorEastAsia" w:cstheme="minorEastAsia"/>
        </w:rPr>
        <w:t>；</w:t>
      </w:r>
    </w:p>
    <w:p w14:paraId="4817ACF8">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建造师执业资格等级：</w:t>
      </w:r>
      <w:r>
        <w:rPr>
          <w:rFonts w:hint="eastAsia" w:asciiTheme="minorEastAsia" w:hAnsiTheme="minorEastAsia" w:eastAsiaTheme="minorEastAsia" w:cstheme="minorEastAsia"/>
          <w:u w:val="single"/>
        </w:rPr>
        <w:t xml:space="preserve">        </w:t>
      </w:r>
      <w:r>
        <w:rPr>
          <w:rFonts w:hint="eastAsia" w:asciiTheme="minorEastAsia" w:hAnsiTheme="minorEastAsia" w:eastAsiaTheme="minorEastAsia" w:cstheme="minorEastAsia"/>
        </w:rPr>
        <w:t>；</w:t>
      </w:r>
    </w:p>
    <w:p w14:paraId="16ACD68B">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建造师注册证书号：</w:t>
      </w:r>
      <w:r>
        <w:rPr>
          <w:rFonts w:hint="eastAsia" w:asciiTheme="minorEastAsia" w:hAnsiTheme="minorEastAsia" w:eastAsiaTheme="minorEastAsia" w:cstheme="minorEastAsia"/>
          <w:u w:val="single"/>
        </w:rPr>
        <w:t xml:space="preserve">        </w:t>
      </w:r>
      <w:r>
        <w:rPr>
          <w:rFonts w:hint="eastAsia" w:asciiTheme="minorEastAsia" w:hAnsiTheme="minorEastAsia" w:eastAsiaTheme="minorEastAsia" w:cstheme="minorEastAsia"/>
        </w:rPr>
        <w:t>；</w:t>
      </w:r>
    </w:p>
    <w:p w14:paraId="4DDE6599">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建造师执业印章号：</w:t>
      </w:r>
      <w:r>
        <w:rPr>
          <w:rFonts w:hint="eastAsia" w:asciiTheme="minorEastAsia" w:hAnsiTheme="minorEastAsia" w:eastAsiaTheme="minorEastAsia" w:cstheme="minorEastAsia"/>
          <w:u w:val="single"/>
        </w:rPr>
        <w:t xml:space="preserve">        </w:t>
      </w:r>
      <w:r>
        <w:rPr>
          <w:rFonts w:hint="eastAsia" w:asciiTheme="minorEastAsia" w:hAnsiTheme="minorEastAsia" w:eastAsiaTheme="minorEastAsia" w:cstheme="minorEastAsia"/>
        </w:rPr>
        <w:t>；</w:t>
      </w:r>
    </w:p>
    <w:p w14:paraId="2B2CE84D">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安全生产考核合格证书号：</w:t>
      </w:r>
      <w:r>
        <w:rPr>
          <w:rFonts w:hint="eastAsia" w:asciiTheme="minorEastAsia" w:hAnsiTheme="minorEastAsia" w:eastAsiaTheme="minorEastAsia" w:cstheme="minorEastAsia"/>
          <w:u w:val="single"/>
        </w:rPr>
        <w:t xml:space="preserve">        </w:t>
      </w:r>
      <w:r>
        <w:rPr>
          <w:rFonts w:hint="eastAsia" w:asciiTheme="minorEastAsia" w:hAnsiTheme="minorEastAsia" w:eastAsiaTheme="minorEastAsia" w:cstheme="minorEastAsia"/>
        </w:rPr>
        <w:t>；</w:t>
      </w:r>
    </w:p>
    <w:p w14:paraId="30029B4C">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联系电话：</w:t>
      </w:r>
      <w:r>
        <w:rPr>
          <w:rFonts w:hint="eastAsia" w:asciiTheme="minorEastAsia" w:hAnsiTheme="minorEastAsia" w:eastAsiaTheme="minorEastAsia" w:cstheme="minorEastAsia"/>
          <w:u w:val="single"/>
        </w:rPr>
        <w:t xml:space="preserve">        </w:t>
      </w:r>
      <w:r>
        <w:rPr>
          <w:rFonts w:hint="eastAsia" w:asciiTheme="minorEastAsia" w:hAnsiTheme="minorEastAsia" w:eastAsiaTheme="minorEastAsia" w:cstheme="minorEastAsia"/>
        </w:rPr>
        <w:t>；</w:t>
      </w:r>
    </w:p>
    <w:p w14:paraId="6BEEFE3D">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承包人对项目经理的授权范围如下：</w:t>
      </w:r>
      <w:r>
        <w:rPr>
          <w:rFonts w:hint="eastAsia" w:asciiTheme="minorEastAsia" w:hAnsiTheme="minorEastAsia" w:eastAsiaTheme="minorEastAsia" w:cstheme="minorEastAsia"/>
          <w:u w:val="single"/>
        </w:rPr>
        <w:t>负责本工程质量、安全、进度等事项</w:t>
      </w:r>
      <w:r>
        <w:rPr>
          <w:rFonts w:hint="eastAsia" w:asciiTheme="minorEastAsia" w:hAnsiTheme="minorEastAsia" w:eastAsiaTheme="minorEastAsia" w:cstheme="minorEastAsia"/>
        </w:rPr>
        <w:t>。</w:t>
      </w:r>
    </w:p>
    <w:p w14:paraId="6758F8FF">
      <w:pPr>
        <w:spacing w:line="360" w:lineRule="auto"/>
        <w:ind w:firstLine="42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关于项目经理每月在施工现场的时间要求：</w:t>
      </w:r>
      <w:r>
        <w:rPr>
          <w:rFonts w:hint="eastAsia" w:asciiTheme="minorEastAsia" w:hAnsiTheme="minorEastAsia" w:eastAsiaTheme="minorEastAsia" w:cstheme="minorEastAsia"/>
          <w:u w:val="single"/>
        </w:rPr>
        <w:t>不少于22天（其余8天时间如离开施工现场时需办理相关手续，否则按擅自离开施工现场处理）</w:t>
      </w:r>
      <w:r>
        <w:rPr>
          <w:rFonts w:hint="eastAsia" w:asciiTheme="minorEastAsia" w:hAnsiTheme="minorEastAsia" w:eastAsiaTheme="minorEastAsia" w:cstheme="minorEastAsia"/>
        </w:rPr>
        <w:t>。</w:t>
      </w:r>
    </w:p>
    <w:p w14:paraId="2744A817">
      <w:pPr>
        <w:spacing w:line="360" w:lineRule="auto"/>
        <w:ind w:firstLine="42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承包人未提交劳动合同，以及没有为项目经理缴纳社会保险证明的违约责任：</w:t>
      </w:r>
      <w:r>
        <w:rPr>
          <w:rFonts w:hint="eastAsia" w:asciiTheme="minorEastAsia" w:hAnsiTheme="minorEastAsia" w:eastAsiaTheme="minorEastAsia" w:cstheme="minorEastAsia"/>
          <w:u w:val="single"/>
        </w:rPr>
        <w:t>承包人不提交上述文件的，项目经理无权履行职责，在接到补交通知7日内仍未提交的，视为承包人擅自更换项目经理，承包人应按照本合同专用合同条款第3.2.3项承担违约责任；且发包人有权要求承包人更换项目经理，由此增加的费用和（或）延误的工期也由承包人承担</w:t>
      </w:r>
      <w:r>
        <w:rPr>
          <w:rFonts w:hint="eastAsia" w:asciiTheme="minorEastAsia" w:hAnsiTheme="minorEastAsia" w:eastAsiaTheme="minorEastAsia" w:cstheme="minorEastAsia"/>
        </w:rPr>
        <w:t>。</w:t>
      </w:r>
    </w:p>
    <w:p w14:paraId="1CCA1A4F">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kern w:val="0"/>
        </w:rPr>
        <w:t>项目经理离开施工现场须经监理人和发包人共同书面批准。项目经理未经批准，擅自离开施工现场的违约责任：</w:t>
      </w:r>
      <w:r>
        <w:rPr>
          <w:rFonts w:hint="eastAsia" w:asciiTheme="minorEastAsia" w:hAnsiTheme="minorEastAsia" w:eastAsiaTheme="minorEastAsia" w:cstheme="minorEastAsia"/>
          <w:u w:val="single"/>
        </w:rPr>
        <w:t>承包人以每天1万元的金额向发包人支付违约金。若单月擅自离开施工现场两次以上或者累计达五次或者单次擅自离开现场超过 3 天时，发包人有权要求更换该项目经理，由此而产生的其他损失和责任也由承包人承担。</w:t>
      </w:r>
    </w:p>
    <w:p w14:paraId="1D1925BC">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项目经理未经书面批准，连续10天不在施工现场（以考勤记录为准），视为承包人擅自更换项目经理</w:t>
      </w:r>
      <w:r>
        <w:rPr>
          <w:rFonts w:hint="eastAsia" w:asciiTheme="minorEastAsia" w:hAnsiTheme="minorEastAsia" w:eastAsiaTheme="minorEastAsia" w:cstheme="minorEastAsia"/>
        </w:rPr>
        <w:t>。</w:t>
      </w:r>
    </w:p>
    <w:p w14:paraId="6A24AE6E">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3.2.3 承包人擅自更换项目经理的违约责任：</w:t>
      </w:r>
      <w:r>
        <w:rPr>
          <w:rFonts w:hint="eastAsia" w:asciiTheme="minorEastAsia" w:hAnsiTheme="minorEastAsia" w:eastAsiaTheme="minorEastAsia" w:cstheme="minorEastAsia"/>
          <w:u w:val="single"/>
        </w:rPr>
        <w:t>承包人以每人次10万元的金额向发包人支付违约金。同时，发包人有权解除合同，由此而产生的其他损失和责任也由承包人承担</w:t>
      </w:r>
      <w:r>
        <w:rPr>
          <w:rFonts w:hint="eastAsia" w:asciiTheme="minorEastAsia" w:hAnsiTheme="minorEastAsia" w:eastAsiaTheme="minorEastAsia" w:cstheme="minorEastAsia"/>
        </w:rPr>
        <w:t>。</w:t>
      </w:r>
    </w:p>
    <w:p w14:paraId="2FD50116">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u w:val="single"/>
        </w:rPr>
        <w:t>承包人借用他人资质或者向他人出借资质的，发包人有权解除合同，履约保证金予以没收</w:t>
      </w:r>
      <w:r>
        <w:rPr>
          <w:rFonts w:hint="eastAsia" w:asciiTheme="minorEastAsia" w:hAnsiTheme="minorEastAsia" w:eastAsiaTheme="minorEastAsia" w:cstheme="minorEastAsia"/>
        </w:rPr>
        <w:t>。</w:t>
      </w:r>
    </w:p>
    <w:p w14:paraId="4A358B93">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3.2.4 承包人无正当理由拒绝更换项目经理的违约责任：</w:t>
      </w:r>
      <w:r>
        <w:rPr>
          <w:rFonts w:hint="eastAsia" w:asciiTheme="minorEastAsia" w:hAnsiTheme="minorEastAsia" w:eastAsiaTheme="minorEastAsia" w:cstheme="minorEastAsia"/>
          <w:u w:val="single"/>
        </w:rPr>
        <w:t>承包人以每人次10万元的金额向发包人支付违约金，由此而产生的其他损失和责任也由承包人承担。</w:t>
      </w:r>
    </w:p>
    <w:p w14:paraId="00FF9929">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3.2.6 除非满足下列情形及条件，承包人不得申请更换项目经理：</w:t>
      </w:r>
    </w:p>
    <w:p w14:paraId="3E32B7DD">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（1）因患重大疾病等身体原因无法坚持施工现场管理工作，需提供省级（含）以上三甲医院出具的、经主治医师签名的疾病诊断证明和具体的住院结算发票、住院期间每天的费用明细清单等住院资料。</w:t>
      </w:r>
    </w:p>
    <w:p w14:paraId="52C1D53B">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（2）因违法违规或发生重大质量、安全事故被责令停止执业或暂停项目经理任职资格以及注销建造师资格证书，需提供真实有效证明文件。</w:t>
      </w:r>
    </w:p>
    <w:p w14:paraId="474C9CFA">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（3）其他不可抗拒的原因，需提供真实有效证明文件。</w:t>
      </w:r>
    </w:p>
    <w:p w14:paraId="03A56789">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3.2.7 项目经理在工作中，出现下列情况之一时，视为项目经理不合格，发包人有权要求承包人更换项目经理：</w:t>
      </w:r>
    </w:p>
    <w:p w14:paraId="61C5D14A">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 xml:space="preserve">（1）开工后施工期间，若单月擅离施工现场3天或者擅自离开施工现场累计达15天； </w:t>
      </w:r>
    </w:p>
    <w:p w14:paraId="2A7AABE9">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 xml:space="preserve">（2）开工后施工期间，任意连续30天内，项目经理请假（含事假、病假等；重大疾病除外）时间累计超过10天； </w:t>
      </w:r>
    </w:p>
    <w:p w14:paraId="3BAAC8AE">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（3）因违法违规或发生重大质量、安全事故被责令停止执业或暂停项目经理任职资格以及注销建造师资格证书时；</w:t>
      </w:r>
    </w:p>
    <w:p w14:paraId="06419870">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（4）项目经理履职时不能胜任或玩忽职守，造成工期严重滞后，经发包人提醒后，拒不整改或整改效果不明显时；</w:t>
      </w:r>
    </w:p>
    <w:p w14:paraId="2B30A98E">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（5）造成质量事故、安全事故或疫情事故时，或有损环境保护的行为；</w:t>
      </w:r>
    </w:p>
    <w:p w14:paraId="01244313">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（6）不能合格履职的其他情形。</w:t>
      </w:r>
    </w:p>
    <w:p w14:paraId="4B603D1C">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凡因以上情况发包人要求更换项目经理时，承包人除按要求及时更换项目经理外，还应承担以每人次10万元的金额向发包人支付违约金的义务，由此而产生的其他损失和责任也由承包人承担。</w:t>
      </w:r>
    </w:p>
    <w:p w14:paraId="5DF59971">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3.2.8 项目经理更换</w:t>
      </w:r>
    </w:p>
    <w:p w14:paraId="440975F8">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（1）承包人项目经理必须与承包人投标时所承诺的人员一致，未经发包人书面同意不得更换。</w:t>
      </w:r>
    </w:p>
    <w:p w14:paraId="6E0AADA9">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2）承包人因任何原因更换项目经理，新任命的项目经理其资格、能力及业绩应优于投标时的项目经理，且提供其劳动合同、社保证明、工资发放证明及业绩证明等材料，同时须经发包人书面同意并经主管部门批准。否则视为承包人擅自更换项目经理，承包人应承担相应的违约责任。</w:t>
      </w:r>
    </w:p>
    <w:p w14:paraId="50BD9734">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（3）承包人未按照承诺和约定委派项目经理，发包人有权暂停施工直至解除合同，由此造成的损失和责任全部由承包人承担。</w:t>
      </w:r>
    </w:p>
    <w:p w14:paraId="3C14DEE1">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本合同中发生的违约金均在当期工程款支付时直接扣除。</w:t>
      </w:r>
    </w:p>
    <w:p w14:paraId="2624C5FB">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3.3 承包人人员</w:t>
      </w:r>
    </w:p>
    <w:p w14:paraId="27377E49">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3.3.1 承包人提交项目管理机构及施工现场管理人员安排报告的期限：</w:t>
      </w:r>
      <w:r>
        <w:rPr>
          <w:rFonts w:hint="eastAsia" w:asciiTheme="minorEastAsia" w:hAnsiTheme="minorEastAsia" w:eastAsiaTheme="minorEastAsia" w:cstheme="minorEastAsia"/>
          <w:u w:val="single"/>
        </w:rPr>
        <w:t>执行通用合同条款</w:t>
      </w:r>
      <w:r>
        <w:rPr>
          <w:rFonts w:hint="eastAsia" w:asciiTheme="minorEastAsia" w:hAnsiTheme="minorEastAsia" w:eastAsiaTheme="minorEastAsia" w:cstheme="minorEastAsia"/>
        </w:rPr>
        <w:t>。</w:t>
      </w:r>
    </w:p>
    <w:p w14:paraId="187AB09D">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3.3.2 主要施工管理人员</w:t>
      </w:r>
    </w:p>
    <w:p w14:paraId="1EC05CC0">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姓    名：</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6D2A578D">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身份证号：</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59858FBC">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职    务：</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1852FB1C">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证书编号：</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6CD28A7C">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联系电话：</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7DF55D91">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电子信箱：</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6AB829DB">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通信地址：</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51353DA7">
      <w:pPr>
        <w:spacing w:line="360" w:lineRule="auto"/>
        <w:ind w:firstLine="420" w:firstLineChars="200"/>
        <w:rPr>
          <w:rFonts w:asciiTheme="minorEastAsia" w:hAnsiTheme="minorEastAsia" w:eastAsiaTheme="minorEastAsia" w:cstheme="minorEastAsia"/>
        </w:rPr>
      </w:pPr>
    </w:p>
    <w:p w14:paraId="3AE3E62E">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姓    名：</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41DAA844">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身份证号：</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478D1565">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职    务：</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6BF46842">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证书编号：</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0556AC61">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联系电话：</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5E8397C6">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电子信箱：</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53947830">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通信地址：</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58A5F296">
      <w:pPr>
        <w:spacing w:line="360" w:lineRule="auto"/>
        <w:ind w:firstLine="420" w:firstLineChars="200"/>
        <w:rPr>
          <w:rFonts w:asciiTheme="minorEastAsia" w:hAnsiTheme="minorEastAsia" w:eastAsiaTheme="minorEastAsia" w:cstheme="minorEastAsia"/>
        </w:rPr>
      </w:pPr>
    </w:p>
    <w:p w14:paraId="21446F26">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3.3.3 承包人无正当理由拒绝撤换主要施工管理人员的违约责任：</w:t>
      </w:r>
      <w:r>
        <w:rPr>
          <w:rFonts w:hint="eastAsia" w:asciiTheme="minorEastAsia" w:hAnsiTheme="minorEastAsia" w:eastAsiaTheme="minorEastAsia" w:cstheme="minorEastAsia"/>
          <w:u w:val="single"/>
        </w:rPr>
        <w:t>发包人将视情节轻重向承包人索赔违约金</w:t>
      </w:r>
      <w:r>
        <w:rPr>
          <w:rFonts w:hint="eastAsia" w:asciiTheme="minorEastAsia" w:hAnsiTheme="minorEastAsia" w:eastAsiaTheme="minorEastAsia" w:cstheme="minorEastAsia"/>
        </w:rPr>
        <w:t>。</w:t>
      </w:r>
    </w:p>
    <w:p w14:paraId="3516F304">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3.3.4 承包人主要施工管理人员离开施工现场的批准要求：</w:t>
      </w:r>
      <w:r>
        <w:rPr>
          <w:rFonts w:hint="eastAsia" w:asciiTheme="minorEastAsia" w:hAnsiTheme="minorEastAsia" w:eastAsiaTheme="minorEastAsia" w:cstheme="minorEastAsia"/>
          <w:u w:val="single"/>
        </w:rPr>
        <w:t>主要施工管理人员每月在施工现场的时间要求不少于22天（其余8天时间如离开施工现场时需办理相关手续，否则按擅自离开施工现场处理）。若离开施工现场须经监理人书面同意，并报发包人备查；单月累计超过3天者，应征得发包人书面同意，否则按擅自离开施工现场处理</w:t>
      </w:r>
      <w:r>
        <w:rPr>
          <w:rFonts w:hint="eastAsia" w:asciiTheme="minorEastAsia" w:hAnsiTheme="minorEastAsia" w:eastAsiaTheme="minorEastAsia" w:cstheme="minorEastAsia"/>
        </w:rPr>
        <w:t>。</w:t>
      </w:r>
    </w:p>
    <w:p w14:paraId="3C181DA8">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3.3.5承包人擅自更换主要施工管理人员的违约责任：</w:t>
      </w:r>
      <w:r>
        <w:rPr>
          <w:rFonts w:hint="eastAsia" w:asciiTheme="minorEastAsia" w:hAnsiTheme="minorEastAsia" w:eastAsiaTheme="minorEastAsia" w:cstheme="minorEastAsia"/>
          <w:u w:val="single"/>
        </w:rPr>
        <w:t>承包人须向发包人支付如下金额违约金：技术负责人每人次1万元</w:t>
      </w:r>
      <w:r>
        <w:rPr>
          <w:rFonts w:hint="eastAsia" w:asciiTheme="minorEastAsia" w:hAnsiTheme="minorEastAsia" w:eastAsiaTheme="minorEastAsia" w:cstheme="minorEastAsia"/>
        </w:rPr>
        <w:t>。</w:t>
      </w:r>
    </w:p>
    <w:p w14:paraId="6156655A">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承包人主要施工管理人员擅自离开施工现场的违约责任：</w:t>
      </w:r>
      <w:r>
        <w:rPr>
          <w:rFonts w:hint="eastAsia" w:asciiTheme="minorEastAsia" w:hAnsiTheme="minorEastAsia" w:eastAsiaTheme="minorEastAsia" w:cstheme="minorEastAsia"/>
          <w:u w:val="single"/>
        </w:rPr>
        <w:t>承包人须向发包人支付如下金额违约金：技术负责人每天3000元，投标时的五大员和施工项目副经理每天500元</w:t>
      </w:r>
      <w:r>
        <w:rPr>
          <w:rFonts w:hint="eastAsia" w:asciiTheme="minorEastAsia" w:hAnsiTheme="minorEastAsia" w:eastAsiaTheme="minorEastAsia" w:cstheme="minorEastAsia"/>
        </w:rPr>
        <w:t>。</w:t>
      </w:r>
    </w:p>
    <w:p w14:paraId="20658B95">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3.3.6关于承包人人员管理的其他约定</w:t>
      </w:r>
    </w:p>
    <w:p w14:paraId="141DE115">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（1）承包人人员必须与承包人投标时所承诺的人员一致，并保证常驻现场，项目经理和技术负责人不得同时离开现场</w:t>
      </w:r>
      <w:r>
        <w:rPr>
          <w:rFonts w:hint="eastAsia" w:asciiTheme="minorEastAsia" w:hAnsiTheme="minorEastAsia" w:eastAsiaTheme="minorEastAsia" w:cstheme="minorEastAsia"/>
        </w:rPr>
        <w:t>。</w:t>
      </w:r>
    </w:p>
    <w:p w14:paraId="082DA241">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（2）承包人应按要求组建安全生产领导小组，设置专职安全生产管理人员，其中专职安全人员不少于相关规定的人数</w:t>
      </w:r>
      <w:r>
        <w:rPr>
          <w:rFonts w:hint="eastAsia" w:asciiTheme="minorEastAsia" w:hAnsiTheme="minorEastAsia" w:eastAsiaTheme="minorEastAsia" w:cstheme="minorEastAsia"/>
        </w:rPr>
        <w:t>。</w:t>
      </w:r>
    </w:p>
    <w:p w14:paraId="5F2453F7">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（3）即使经发包人和监理人的同意，承包人非不可抗力原因而更换项目技术负责人仍被视为违约，承包人须向发包人按每人次1万元的金额支付违约金</w:t>
      </w:r>
      <w:r>
        <w:rPr>
          <w:rFonts w:hint="eastAsia" w:asciiTheme="minorEastAsia" w:hAnsiTheme="minorEastAsia" w:eastAsiaTheme="minorEastAsia" w:cstheme="minorEastAsia"/>
        </w:rPr>
        <w:t>。</w:t>
      </w:r>
    </w:p>
    <w:p w14:paraId="04663584">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（4）承包人的管理人员和技术人员如有下列行为之一，发包人和监理人要求撤换，承包人应在7天内选派在资历和能力等方面不低于其前任的替代人员，并经发包人和监理人审批后予以更换：</w:t>
      </w:r>
    </w:p>
    <w:p w14:paraId="44B8987F">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1）在履行其职责时不能胜任或玩忽职守</w:t>
      </w:r>
      <w:r>
        <w:rPr>
          <w:rFonts w:hint="eastAsia" w:asciiTheme="minorEastAsia" w:hAnsiTheme="minorEastAsia" w:eastAsiaTheme="minorEastAsia" w:cstheme="minorEastAsia"/>
        </w:rPr>
        <w:t>；</w:t>
      </w:r>
    </w:p>
    <w:p w14:paraId="4452DA7A">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2）经常出现有损健康、安全、质量或有损环境保护的行为</w:t>
      </w:r>
      <w:r>
        <w:rPr>
          <w:rFonts w:hint="eastAsia" w:asciiTheme="minorEastAsia" w:hAnsiTheme="minorEastAsia" w:eastAsiaTheme="minorEastAsia" w:cstheme="minorEastAsia"/>
        </w:rPr>
        <w:t>；</w:t>
      </w:r>
    </w:p>
    <w:p w14:paraId="65B311CF">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3）不遵守合同文件的约定和要求；</w:t>
      </w:r>
    </w:p>
    <w:p w14:paraId="429721BA">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4）不能合格履职的其他情形</w:t>
      </w:r>
      <w:r>
        <w:rPr>
          <w:rFonts w:hint="eastAsia" w:asciiTheme="minorEastAsia" w:hAnsiTheme="minorEastAsia" w:eastAsiaTheme="minorEastAsia" w:cstheme="minorEastAsia"/>
        </w:rPr>
        <w:t>。</w:t>
      </w:r>
    </w:p>
    <w:p w14:paraId="562AA07E">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u w:val="single"/>
        </w:rPr>
        <w:t>上述违约金在当期支付工程款时直接扣除</w:t>
      </w:r>
      <w:r>
        <w:rPr>
          <w:rFonts w:hint="eastAsia" w:asciiTheme="minorEastAsia" w:hAnsiTheme="minorEastAsia" w:eastAsiaTheme="minorEastAsia" w:cstheme="minorEastAsia"/>
        </w:rPr>
        <w:t>。</w:t>
      </w:r>
    </w:p>
    <w:p w14:paraId="01F95A6A">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3.5 分包</w:t>
      </w:r>
    </w:p>
    <w:p w14:paraId="14150104">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3.5.1 分包的一般约定</w:t>
      </w:r>
    </w:p>
    <w:p w14:paraId="3E1153B1">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禁止分包的工程包括：</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3C34A425">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主体结构、关键性工作的范围：</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240F3DF5">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 xml:space="preserve">    3</w:t>
      </w:r>
      <w:bookmarkStart w:id="1080" w:name="_Toc312677990"/>
      <w:bookmarkStart w:id="1081" w:name="_Toc318581159"/>
      <w:r>
        <w:rPr>
          <w:rFonts w:hint="eastAsia" w:asciiTheme="minorEastAsia" w:hAnsiTheme="minorEastAsia" w:eastAsiaTheme="minorEastAsia" w:cstheme="minorEastAsia"/>
        </w:rPr>
        <w:t>.5.2分包的确定</w:t>
      </w:r>
    </w:p>
    <w:p w14:paraId="212DB9A7">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允许分包的专业工程包括：</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158BB3EE">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其他关于分包的约定：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0193E7CC">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3.5.4 分包合同价款</w:t>
      </w:r>
    </w:p>
    <w:p w14:paraId="2ACAC53D">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关于分包合同价款支付的约定：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bookmarkEnd w:id="1080"/>
    <w:bookmarkEnd w:id="1081"/>
    <w:p w14:paraId="6C74F65E">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3.6 工程照管与成品、半成品保护</w:t>
      </w:r>
    </w:p>
    <w:p w14:paraId="14531D5F">
      <w:pPr>
        <w:spacing w:line="360" w:lineRule="auto"/>
        <w:ind w:firstLine="420" w:firstLineChars="200"/>
        <w:rPr>
          <w:rFonts w:asciiTheme="minorEastAsia" w:hAnsiTheme="minorEastAsia" w:eastAsiaTheme="minorEastAsia" w:cstheme="minorEastAsia"/>
          <w:kern w:val="0"/>
          <w:highlight w:val="none"/>
          <w:u w:val="single"/>
        </w:rPr>
      </w:pPr>
      <w:r>
        <w:rPr>
          <w:rFonts w:hint="eastAsia" w:asciiTheme="minorEastAsia" w:hAnsiTheme="minorEastAsia" w:eastAsiaTheme="minorEastAsia" w:cstheme="minorEastAsia"/>
          <w:kern w:val="0"/>
        </w:rPr>
        <w:t>承包人</w:t>
      </w:r>
      <w:r>
        <w:rPr>
          <w:rFonts w:hint="eastAsia" w:asciiTheme="minorEastAsia" w:hAnsiTheme="minorEastAsia" w:eastAsiaTheme="minorEastAsia" w:cstheme="minorEastAsia"/>
          <w:kern w:val="0"/>
          <w:highlight w:val="none"/>
        </w:rPr>
        <w:t>负责照管工程及工程相关的材料、工程设备的起始时间：</w:t>
      </w:r>
      <w:r>
        <w:rPr>
          <w:rFonts w:hint="eastAsia" w:asciiTheme="minorEastAsia" w:hAnsiTheme="minorEastAsia" w:eastAsiaTheme="minorEastAsia" w:cstheme="minorEastAsia"/>
          <w:highlight w:val="none"/>
          <w:u w:val="single"/>
        </w:rPr>
        <w:t>执行通用合同条款</w:t>
      </w:r>
      <w:r>
        <w:rPr>
          <w:rFonts w:hint="eastAsia" w:asciiTheme="minorEastAsia" w:hAnsiTheme="minorEastAsia" w:eastAsiaTheme="minorEastAsia" w:cstheme="minorEastAsia"/>
          <w:kern w:val="0"/>
          <w:highlight w:val="none"/>
        </w:rPr>
        <w:t>。</w:t>
      </w:r>
    </w:p>
    <w:p w14:paraId="1DDF65B0">
      <w:pPr>
        <w:spacing w:line="360" w:lineRule="auto"/>
        <w:ind w:firstLine="42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3.7 履约担保</w:t>
      </w:r>
    </w:p>
    <w:p w14:paraId="3145993A">
      <w:pPr>
        <w:spacing w:line="360" w:lineRule="auto"/>
        <w:ind w:firstLine="42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承包人是否提供履约担保：</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u w:val="single"/>
          <w:lang w:eastAsia="zh-CN"/>
        </w:rPr>
        <w:t>是</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w:t>
      </w:r>
    </w:p>
    <w:p w14:paraId="6D77589C">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highlight w:val="none"/>
        </w:rPr>
        <w:t>承包人提供履约担保的</w:t>
      </w:r>
      <w:r>
        <w:rPr>
          <w:rFonts w:hint="eastAsia" w:asciiTheme="minorEastAsia" w:hAnsiTheme="minorEastAsia" w:eastAsiaTheme="minorEastAsia" w:cstheme="minorEastAsia"/>
        </w:rPr>
        <w:t>形式、金额及期限的：</w:t>
      </w:r>
      <w:r>
        <w:rPr>
          <w:rFonts w:hint="eastAsia" w:asciiTheme="minorEastAsia" w:hAnsiTheme="minorEastAsia" w:eastAsiaTheme="minorEastAsia" w:cstheme="minorEastAsia"/>
          <w:u w:val="single"/>
        </w:rPr>
        <w:t>承包人需向发包人提供金额为签约合同价3%的</w:t>
      </w:r>
      <w:r>
        <w:rPr>
          <w:rFonts w:hint="eastAsia" w:asciiTheme="minorEastAsia" w:hAnsiTheme="minorEastAsia" w:eastAsiaTheme="minorEastAsia" w:cstheme="minorEastAsia"/>
          <w:u w:val="single"/>
          <w:lang w:eastAsia="zh-CN"/>
        </w:rPr>
        <w:t>银行</w:t>
      </w:r>
      <w:r>
        <w:rPr>
          <w:rFonts w:hint="eastAsia" w:asciiTheme="minorEastAsia" w:hAnsiTheme="minorEastAsia" w:eastAsiaTheme="minorEastAsia" w:cstheme="minorEastAsia"/>
          <w:u w:val="single"/>
        </w:rPr>
        <w:t>保函作为履约保证金。</w:t>
      </w:r>
    </w:p>
    <w:p w14:paraId="26849CEE">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u w:val="single"/>
        </w:rPr>
        <w:t>如因承包人拖欠农民工工资，造成停工、上访，或造成3人以上（含3人）的农民工在</w:t>
      </w:r>
      <w:r>
        <w:rPr>
          <w:rFonts w:hint="eastAsia" w:asciiTheme="minorEastAsia" w:hAnsiTheme="minorEastAsia" w:eastAsiaTheme="minorEastAsia" w:cstheme="minorEastAsia"/>
          <w:u w:val="single"/>
          <w:lang w:eastAsia="zh-CN"/>
        </w:rPr>
        <w:t>甲方单位</w:t>
      </w:r>
      <w:r>
        <w:rPr>
          <w:rFonts w:hint="eastAsia" w:asciiTheme="minorEastAsia" w:hAnsiTheme="minorEastAsia" w:eastAsiaTheme="minorEastAsia" w:cstheme="minorEastAsia"/>
          <w:u w:val="single"/>
        </w:rPr>
        <w:t>门口或</w:t>
      </w:r>
      <w:r>
        <w:rPr>
          <w:rFonts w:hint="eastAsia" w:asciiTheme="minorEastAsia" w:hAnsiTheme="minorEastAsia" w:eastAsiaTheme="minorEastAsia" w:cstheme="minorEastAsia"/>
          <w:u w:val="single"/>
          <w:lang w:eastAsia="zh-CN"/>
        </w:rPr>
        <w:t>甲方单位</w:t>
      </w:r>
      <w:r>
        <w:rPr>
          <w:rFonts w:hint="eastAsia" w:asciiTheme="minorEastAsia" w:hAnsiTheme="minorEastAsia" w:eastAsiaTheme="minorEastAsia" w:cstheme="minorEastAsia"/>
          <w:u w:val="single"/>
        </w:rPr>
        <w:t>内静坐或聚集时间达30分钟以上时，每次扣除履约保证金</w:t>
      </w:r>
      <w:r>
        <w:rPr>
          <w:rFonts w:hint="eastAsia" w:asciiTheme="minorEastAsia" w:hAnsiTheme="minorEastAsia" w:eastAsiaTheme="minorEastAsia" w:cstheme="minorEastAsia"/>
          <w:u w:val="single"/>
          <w:lang w:eastAsia="zh-CN"/>
        </w:rPr>
        <w:t>总额的</w:t>
      </w:r>
      <w:r>
        <w:rPr>
          <w:rFonts w:hint="eastAsia" w:asciiTheme="minorEastAsia" w:hAnsiTheme="minorEastAsia" w:eastAsiaTheme="minorEastAsia" w:cstheme="minorEastAsia"/>
          <w:u w:val="single"/>
          <w:lang w:val="en-US" w:eastAsia="zh-CN"/>
        </w:rPr>
        <w:t>10%</w:t>
      </w:r>
      <w:r>
        <w:rPr>
          <w:rFonts w:hint="eastAsia" w:asciiTheme="minorEastAsia" w:hAnsiTheme="minorEastAsia" w:eastAsiaTheme="minorEastAsia" w:cstheme="minorEastAsia"/>
          <w:u w:val="single"/>
        </w:rPr>
        <w:t>；如有农民工在</w:t>
      </w:r>
      <w:r>
        <w:rPr>
          <w:rFonts w:hint="eastAsia" w:asciiTheme="minorEastAsia" w:hAnsiTheme="minorEastAsia" w:eastAsiaTheme="minorEastAsia" w:cstheme="minorEastAsia"/>
          <w:u w:val="single"/>
          <w:lang w:eastAsia="zh-CN"/>
        </w:rPr>
        <w:t>甲方单位</w:t>
      </w:r>
      <w:r>
        <w:rPr>
          <w:rFonts w:hint="eastAsia" w:asciiTheme="minorEastAsia" w:hAnsiTheme="minorEastAsia" w:eastAsiaTheme="minorEastAsia" w:cstheme="minorEastAsia"/>
          <w:u w:val="single"/>
        </w:rPr>
        <w:t>门口或</w:t>
      </w:r>
      <w:r>
        <w:rPr>
          <w:rFonts w:hint="eastAsia" w:asciiTheme="minorEastAsia" w:hAnsiTheme="minorEastAsia" w:eastAsiaTheme="minorEastAsia" w:cstheme="minorEastAsia"/>
          <w:u w:val="single"/>
          <w:lang w:eastAsia="zh-CN"/>
        </w:rPr>
        <w:t>甲方单位</w:t>
      </w:r>
      <w:r>
        <w:rPr>
          <w:rFonts w:hint="eastAsia" w:asciiTheme="minorEastAsia" w:hAnsiTheme="minorEastAsia" w:eastAsiaTheme="minorEastAsia" w:cstheme="minorEastAsia"/>
          <w:u w:val="single"/>
        </w:rPr>
        <w:t>内或工程项目施工地附近拉扯横幅等情形时，每次扣除履约保证金</w:t>
      </w:r>
      <w:r>
        <w:rPr>
          <w:rFonts w:hint="eastAsia" w:asciiTheme="minorEastAsia" w:hAnsiTheme="minorEastAsia" w:eastAsiaTheme="minorEastAsia" w:cstheme="minorEastAsia"/>
          <w:u w:val="single"/>
          <w:lang w:eastAsia="zh-CN"/>
        </w:rPr>
        <w:t>总额的</w:t>
      </w:r>
      <w:r>
        <w:rPr>
          <w:rFonts w:hint="eastAsia" w:asciiTheme="minorEastAsia" w:hAnsiTheme="minorEastAsia" w:eastAsiaTheme="minorEastAsia" w:cstheme="minorEastAsia"/>
          <w:u w:val="single"/>
          <w:lang w:val="en-US" w:eastAsia="zh-CN"/>
        </w:rPr>
        <w:t>20%</w:t>
      </w:r>
      <w:r>
        <w:rPr>
          <w:rFonts w:hint="eastAsia" w:asciiTheme="minorEastAsia" w:hAnsiTheme="minorEastAsia" w:eastAsiaTheme="minorEastAsia" w:cstheme="minorEastAsia"/>
          <w:u w:val="single"/>
        </w:rPr>
        <w:t>。同时依据一定的程序由发包人直接支付相关农民工工资，发包人直接支付的农民工工资从同期工程款中抵扣</w:t>
      </w:r>
      <w:r>
        <w:rPr>
          <w:rFonts w:hint="eastAsia" w:asciiTheme="minorEastAsia" w:hAnsiTheme="minorEastAsia" w:eastAsiaTheme="minorEastAsia" w:cstheme="minorEastAsia"/>
        </w:rPr>
        <w:t>。</w:t>
      </w:r>
    </w:p>
    <w:p w14:paraId="03799682">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u w:val="single"/>
        </w:rPr>
        <w:t>工程竣工验收合格前，履约保证金须一直有效，竣工验收合格后15天内履约保证金（不含扣除部分）转为质量保证金，不计利息</w:t>
      </w:r>
      <w:r>
        <w:rPr>
          <w:rFonts w:hint="eastAsia" w:asciiTheme="minorEastAsia" w:hAnsiTheme="minorEastAsia" w:eastAsiaTheme="minorEastAsia" w:cstheme="minorEastAsia"/>
        </w:rPr>
        <w:t>。</w:t>
      </w:r>
    </w:p>
    <w:p w14:paraId="0F926D12">
      <w:pPr>
        <w:pStyle w:val="5"/>
        <w:spacing w:before="0" w:after="0" w:line="360" w:lineRule="auto"/>
        <w:ind w:firstLine="316"/>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 监理人</w:t>
      </w:r>
    </w:p>
    <w:p w14:paraId="355B7C72">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4.1监理人的一般规定</w:t>
      </w:r>
    </w:p>
    <w:p w14:paraId="274E5E5B">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关于监理人的监理内容：</w:t>
      </w:r>
      <w:r>
        <w:rPr>
          <w:rFonts w:hint="eastAsia" w:asciiTheme="minorEastAsia" w:hAnsiTheme="minorEastAsia" w:eastAsiaTheme="minorEastAsia" w:cstheme="minorEastAsia"/>
          <w:u w:val="single"/>
        </w:rPr>
        <w:t>详见本工程监理合同</w:t>
      </w:r>
      <w:r>
        <w:rPr>
          <w:rFonts w:hint="eastAsia" w:asciiTheme="minorEastAsia" w:hAnsiTheme="minorEastAsia" w:eastAsiaTheme="minorEastAsia" w:cstheme="minorEastAsia"/>
        </w:rPr>
        <w:t>。</w:t>
      </w:r>
    </w:p>
    <w:p w14:paraId="17437AC7">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关于监理人的监理权限：</w:t>
      </w:r>
      <w:r>
        <w:rPr>
          <w:rFonts w:hint="eastAsia" w:asciiTheme="minorEastAsia" w:hAnsiTheme="minorEastAsia" w:eastAsiaTheme="minorEastAsia" w:cstheme="minorEastAsia"/>
          <w:u w:val="single"/>
        </w:rPr>
        <w:t>详见本工程监理合同</w:t>
      </w:r>
      <w:r>
        <w:rPr>
          <w:rFonts w:hint="eastAsia" w:asciiTheme="minorEastAsia" w:hAnsiTheme="minorEastAsia" w:eastAsiaTheme="minorEastAsia" w:cstheme="minorEastAsia"/>
        </w:rPr>
        <w:t xml:space="preserve">。 </w:t>
      </w:r>
    </w:p>
    <w:p w14:paraId="2337A388">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关于监理人在施工现场的办公场所、生活场所的提供和费用承担的约定：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39602C30">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4.2 监理人员</w:t>
      </w:r>
    </w:p>
    <w:p w14:paraId="0B18E75E">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总监理工程师：</w:t>
      </w:r>
    </w:p>
    <w:p w14:paraId="6FBAA2A7">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姓    名：</w:t>
      </w:r>
      <w:r>
        <w:rPr>
          <w:rFonts w:hint="eastAsia" w:asciiTheme="minorEastAsia" w:hAnsiTheme="minorEastAsia" w:eastAsiaTheme="minorEastAsia" w:cstheme="minorEastAsia"/>
          <w:u w:val="single"/>
        </w:rPr>
        <w:t>详见本工程监理合同        </w:t>
      </w:r>
      <w:r>
        <w:rPr>
          <w:rFonts w:hint="eastAsia" w:asciiTheme="minorEastAsia" w:hAnsiTheme="minorEastAsia" w:eastAsiaTheme="minorEastAsia" w:cstheme="minorEastAsia"/>
        </w:rPr>
        <w:t>；</w:t>
      </w:r>
    </w:p>
    <w:p w14:paraId="39068874">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4.4 商定或确定</w:t>
      </w:r>
    </w:p>
    <w:p w14:paraId="783232F2">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在发包人和承包人不能通过协商达成一致意见时，发包人授权监理人对以下事项进行确定：</w:t>
      </w:r>
    </w:p>
    <w:p w14:paraId="161A56C3">
      <w:pPr>
        <w:autoSpaceDE w:val="0"/>
        <w:autoSpaceDN w:val="0"/>
        <w:adjustRightInd w:val="0"/>
        <w:spacing w:line="360" w:lineRule="auto"/>
        <w:ind w:firstLine="42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（1）</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35AC9B0E">
      <w:pPr>
        <w:autoSpaceDE w:val="0"/>
        <w:autoSpaceDN w:val="0"/>
        <w:adjustRightInd w:val="0"/>
        <w:spacing w:line="360" w:lineRule="auto"/>
        <w:ind w:firstLine="42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（2）</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362F4917">
      <w:pPr>
        <w:autoSpaceDE w:val="0"/>
        <w:autoSpaceDN w:val="0"/>
        <w:adjustRightInd w:val="0"/>
        <w:spacing w:line="360" w:lineRule="auto"/>
        <w:ind w:firstLine="42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（3）</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4A6A5D38">
      <w:pPr>
        <w:pStyle w:val="5"/>
        <w:spacing w:before="0" w:after="0" w:line="360" w:lineRule="auto"/>
        <w:ind w:firstLine="316"/>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 工程质量</w:t>
      </w:r>
    </w:p>
    <w:p w14:paraId="05EF4BAA">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5.1 质量要求</w:t>
      </w:r>
    </w:p>
    <w:p w14:paraId="2508B41E">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5.1.1 特殊质量标准和要求：</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60234283">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5.3 隐蔽工程检查</w:t>
      </w:r>
    </w:p>
    <w:p w14:paraId="26DB5626">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5.3.2检查程序</w:t>
      </w:r>
    </w:p>
    <w:p w14:paraId="054FC272">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工程隐蔽部位经承包人自检确认具备覆盖条件的，承包人应在共同检查前48小时书面通知监理人、发包人检查，通知中应载明隐蔽检查的内容、时间和地点，并应附有自检记录和必要的检查资料。</w:t>
      </w:r>
    </w:p>
    <w:p w14:paraId="642DAA16">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监理人、发包人应按时到场并对隐蔽工程及其施工工艺、材料和工程设备进行检查。经监理人、发包人检查确认质量符合隐蔽要求，并在验收记录上签字后，承包人才能进行覆盖。经监理人、发包人检查质量不合格的，承包人应在监理人、发包人指示的时间内完成修复，并由监理人、发包人重新检查，由此增加的费用和（或）延误的工期由承包人承担。</w:t>
      </w:r>
    </w:p>
    <w:p w14:paraId="4A27EDAF">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监理人、发包人不能按时进行检查的，应在检查前24小时向承包人提交书面延期要求，但延期不能超过48小时，由此导致工期延误的，工期应予以顺延。监理人、发包人未按时进行检查，也未提出延期要求的，视为隐蔽工程检查合格，承包人可自行完成覆盖工作，并作相应记录报送监理人、发包人，监理人、发包人应签字确认。监理人、发包人事后对检查记录有疑问的，可按第5.3.3项〔重新检查〕的约定重新检查。</w:t>
      </w:r>
    </w:p>
    <w:p w14:paraId="378D8C96">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5.3.4承包人私自覆盖</w:t>
      </w:r>
    </w:p>
    <w:p w14:paraId="44720C55">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承包人未通知监理人、发包人到场检查，私自将工程隐蔽部位覆盖的，监理人、发包人有权指示承包人钻孔探测或揭开检查，无论工程隐蔽部位质量是否合格，由此增加的费用和（或）延误的工期均由承包人承担。</w:t>
      </w:r>
    </w:p>
    <w:p w14:paraId="6207BA1F">
      <w:pPr>
        <w:pStyle w:val="5"/>
        <w:spacing w:before="0" w:after="0" w:line="360" w:lineRule="auto"/>
        <w:ind w:firstLine="316"/>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 安全文明施工与环境保护</w:t>
      </w:r>
    </w:p>
    <w:p w14:paraId="3FE1297F">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6.1安全文明施工</w:t>
      </w:r>
    </w:p>
    <w:p w14:paraId="5C5FE2DE">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6.1.1 项目安全生产的达标目标及相应事项的约定：</w:t>
      </w:r>
      <w:r>
        <w:rPr>
          <w:rFonts w:hint="eastAsia" w:asciiTheme="minorEastAsia" w:hAnsiTheme="minorEastAsia" w:eastAsiaTheme="minorEastAsia" w:cstheme="minorEastAsia"/>
          <w:u w:val="single"/>
        </w:rPr>
        <w:t>执行通用合同条款</w:t>
      </w:r>
      <w:r>
        <w:rPr>
          <w:rFonts w:hint="eastAsia" w:asciiTheme="minorEastAsia" w:hAnsiTheme="minorEastAsia" w:eastAsiaTheme="minorEastAsia" w:cstheme="minorEastAsia"/>
        </w:rPr>
        <w:t>。</w:t>
      </w:r>
    </w:p>
    <w:p w14:paraId="2ECA13BA">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6.1.4 关于治安保卫的特别约定：</w:t>
      </w:r>
      <w:r>
        <w:rPr>
          <w:rFonts w:hint="eastAsia" w:asciiTheme="minorEastAsia" w:hAnsiTheme="minorEastAsia" w:eastAsiaTheme="minorEastAsia" w:cstheme="minorEastAsia"/>
          <w:u w:val="single"/>
        </w:rPr>
        <w:t>执行通用合同条款</w:t>
      </w:r>
      <w:r>
        <w:rPr>
          <w:rFonts w:hint="eastAsia" w:asciiTheme="minorEastAsia" w:hAnsiTheme="minorEastAsia" w:eastAsiaTheme="minorEastAsia" w:cstheme="minorEastAsia"/>
        </w:rPr>
        <w:t>。</w:t>
      </w:r>
    </w:p>
    <w:p w14:paraId="57AE49AF">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关于编制施工场地治安管理计划的约定：</w:t>
      </w:r>
      <w:r>
        <w:rPr>
          <w:rFonts w:hint="eastAsia" w:asciiTheme="minorEastAsia" w:hAnsiTheme="minorEastAsia" w:eastAsiaTheme="minorEastAsia" w:cstheme="minorEastAsia"/>
          <w:u w:val="single"/>
        </w:rPr>
        <w:t>执行通用合同条款</w:t>
      </w:r>
      <w:r>
        <w:rPr>
          <w:rFonts w:hint="eastAsia" w:asciiTheme="minorEastAsia" w:hAnsiTheme="minorEastAsia" w:eastAsiaTheme="minorEastAsia" w:cstheme="minorEastAsia"/>
        </w:rPr>
        <w:t>。</w:t>
      </w:r>
    </w:p>
    <w:p w14:paraId="02E594E5">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6.1.5 文明施工</w:t>
      </w:r>
    </w:p>
    <w:p w14:paraId="666BEACF">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合同当事人对文明施工的要求：</w:t>
      </w:r>
      <w:r>
        <w:rPr>
          <w:rFonts w:hint="eastAsia" w:asciiTheme="minorEastAsia" w:hAnsiTheme="minorEastAsia" w:eastAsiaTheme="minorEastAsia" w:cstheme="minorEastAsia"/>
          <w:u w:val="single"/>
        </w:rPr>
        <w:t>执行通用合同条款。并配合总包单位获得市级安全文明工地称号</w:t>
      </w:r>
      <w:r>
        <w:rPr>
          <w:rFonts w:hint="eastAsia" w:asciiTheme="minorEastAsia" w:hAnsiTheme="minorEastAsia" w:eastAsiaTheme="minorEastAsia" w:cstheme="minorEastAsia"/>
        </w:rPr>
        <w:t>。</w:t>
      </w:r>
    </w:p>
    <w:p w14:paraId="53322E06">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6.1.6 关于安全文明施工费支付比例和支付期限的约定：</w:t>
      </w:r>
      <w:r>
        <w:rPr>
          <w:rFonts w:hint="eastAsia" w:asciiTheme="minorEastAsia" w:hAnsiTheme="minorEastAsia" w:eastAsiaTheme="minorEastAsia" w:cstheme="minorEastAsia"/>
          <w:u w:val="single"/>
        </w:rPr>
        <w:t>执行通用合同条款</w:t>
      </w:r>
      <w:r>
        <w:rPr>
          <w:rFonts w:hint="eastAsia" w:asciiTheme="minorEastAsia" w:hAnsiTheme="minorEastAsia" w:eastAsiaTheme="minorEastAsia" w:cstheme="minorEastAsia"/>
        </w:rPr>
        <w:t>。</w:t>
      </w:r>
    </w:p>
    <w:p w14:paraId="7EE18296">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6.1.8 如工程施工过程中发生意外的，由承包人承担一切法律责任和经济责任。</w:t>
      </w:r>
    </w:p>
    <w:p w14:paraId="15E17785">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6.1.9.1由于发包人原因在施工场地内造成的人员伤亡和财产损失，由发包人负责赔偿。</w:t>
      </w:r>
    </w:p>
    <w:p w14:paraId="0866528D">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6.3环境保护</w:t>
      </w:r>
    </w:p>
    <w:p w14:paraId="5D0BBBB1">
      <w:pPr>
        <w:spacing w:line="360" w:lineRule="auto"/>
        <w:ind w:firstLine="42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 xml:space="preserve">施工现场扬尘治理必须达到“八个百分之百标准”（工地周边围挡达标率100%、物料堆放覆盖率100%、出入车辆冲洗率100%、施工现场道路硬化率100%、拆除工地湿法作业压尘率100%、渣土车辆密闭运输率100%、安装扬尘监控系统率100%、电子公示牌安装率100%。）等要求，因措施不当引起大气污染治理一切处罚及停工等后果由承包人承担。 </w:t>
      </w:r>
    </w:p>
    <w:p w14:paraId="613EC0A7">
      <w:pPr>
        <w:pStyle w:val="5"/>
        <w:spacing w:before="0" w:after="0" w:line="360" w:lineRule="auto"/>
        <w:ind w:firstLine="316"/>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 工期和进度</w:t>
      </w:r>
    </w:p>
    <w:p w14:paraId="78EDF38B">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7.1 施工组织设计</w:t>
      </w:r>
    </w:p>
    <w:p w14:paraId="7335DD6C">
      <w:pPr>
        <w:autoSpaceDE w:val="0"/>
        <w:autoSpaceDN w:val="0"/>
        <w:adjustRightInd w:val="0"/>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7.1.1 合</w:t>
      </w:r>
      <w:r>
        <w:rPr>
          <w:rFonts w:hint="eastAsia" w:asciiTheme="minorEastAsia" w:hAnsiTheme="minorEastAsia" w:eastAsiaTheme="minorEastAsia" w:cstheme="minorEastAsia"/>
          <w:kern w:val="0"/>
        </w:rPr>
        <w:t>同当事人约定的施工组织设计应包括的其他内容：</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4F7DDE78">
      <w:pPr>
        <w:autoSpaceDE w:val="0"/>
        <w:autoSpaceDN w:val="0"/>
        <w:adjustRightInd w:val="0"/>
        <w:spacing w:line="360" w:lineRule="auto"/>
        <w:ind w:firstLine="42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rPr>
        <w:t xml:space="preserve">7.1.2 </w:t>
      </w:r>
      <w:r>
        <w:rPr>
          <w:rFonts w:hint="eastAsia" w:asciiTheme="minorEastAsia" w:hAnsiTheme="minorEastAsia" w:eastAsiaTheme="minorEastAsia" w:cstheme="minorEastAsia"/>
          <w:kern w:val="0"/>
        </w:rPr>
        <w:t>施工组织设计的提交和修改</w:t>
      </w:r>
    </w:p>
    <w:p w14:paraId="7E894A92">
      <w:pPr>
        <w:autoSpaceDE w:val="0"/>
        <w:autoSpaceDN w:val="0"/>
        <w:adjustRightInd w:val="0"/>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kern w:val="0"/>
        </w:rPr>
        <w:t>承包人提交详细施工组织设计的期限的约定：</w:t>
      </w:r>
      <w:r>
        <w:rPr>
          <w:rFonts w:hint="eastAsia" w:asciiTheme="minorEastAsia" w:hAnsiTheme="minorEastAsia" w:eastAsiaTheme="minorEastAsia" w:cstheme="minorEastAsia"/>
          <w:u w:val="single"/>
        </w:rPr>
        <w:t>执行通用合同条款</w:t>
      </w:r>
      <w:r>
        <w:rPr>
          <w:rFonts w:hint="eastAsia" w:asciiTheme="minorEastAsia" w:hAnsiTheme="minorEastAsia" w:eastAsiaTheme="minorEastAsia" w:cstheme="minorEastAsia"/>
        </w:rPr>
        <w:t>。</w:t>
      </w:r>
    </w:p>
    <w:p w14:paraId="299E2571">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发包人和监理人在收到详细的施工组织设计后确认或提出修改意见的期限：</w:t>
      </w:r>
      <w:r>
        <w:rPr>
          <w:rFonts w:hint="eastAsia" w:asciiTheme="minorEastAsia" w:hAnsiTheme="minorEastAsia" w:eastAsiaTheme="minorEastAsia" w:cstheme="minorEastAsia"/>
          <w:u w:val="single"/>
        </w:rPr>
        <w:t>执行通用合同条款</w:t>
      </w:r>
      <w:r>
        <w:rPr>
          <w:rFonts w:hint="eastAsia" w:asciiTheme="minorEastAsia" w:hAnsiTheme="minorEastAsia" w:eastAsiaTheme="minorEastAsia" w:cstheme="minorEastAsia"/>
        </w:rPr>
        <w:t>。</w:t>
      </w:r>
    </w:p>
    <w:p w14:paraId="1D0664D1">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7.2 施工进度计划</w:t>
      </w:r>
    </w:p>
    <w:p w14:paraId="1F9A24CF">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7.2.2 施工进度计划的修订</w:t>
      </w:r>
    </w:p>
    <w:p w14:paraId="41158BAB">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发包人和监理人在收到修订的施工进度计划后确认或提出修改意见的期限：</w:t>
      </w:r>
      <w:r>
        <w:rPr>
          <w:rFonts w:hint="eastAsia" w:asciiTheme="minorEastAsia" w:hAnsiTheme="minorEastAsia" w:eastAsiaTheme="minorEastAsia" w:cstheme="minorEastAsia"/>
          <w:u w:val="single"/>
        </w:rPr>
        <w:t>执行通用合同条款</w:t>
      </w:r>
      <w:r>
        <w:rPr>
          <w:rFonts w:hint="eastAsia" w:asciiTheme="minorEastAsia" w:hAnsiTheme="minorEastAsia" w:eastAsiaTheme="minorEastAsia" w:cstheme="minorEastAsia"/>
        </w:rPr>
        <w:t>。</w:t>
      </w:r>
    </w:p>
    <w:p w14:paraId="02B3D1E7">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7.3 开工</w:t>
      </w:r>
    </w:p>
    <w:p w14:paraId="3ED6E2F1">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7.3.1 开工准备</w:t>
      </w:r>
    </w:p>
    <w:p w14:paraId="1D5A8D06">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关于承包人提交</w:t>
      </w:r>
      <w:r>
        <w:rPr>
          <w:rFonts w:hint="eastAsia" w:asciiTheme="minorEastAsia" w:hAnsiTheme="minorEastAsia" w:eastAsiaTheme="minorEastAsia" w:cstheme="minorEastAsia"/>
          <w:kern w:val="0"/>
        </w:rPr>
        <w:t>工程开工报审表的期限：</w:t>
      </w:r>
      <w:r>
        <w:rPr>
          <w:rFonts w:hint="eastAsia" w:asciiTheme="minorEastAsia" w:hAnsiTheme="minorEastAsia" w:eastAsiaTheme="minorEastAsia" w:cstheme="minorEastAsia"/>
          <w:u w:val="single"/>
        </w:rPr>
        <w:t>执行通用合同条款</w:t>
      </w:r>
      <w:r>
        <w:rPr>
          <w:rFonts w:hint="eastAsia" w:asciiTheme="minorEastAsia" w:hAnsiTheme="minorEastAsia" w:eastAsiaTheme="minorEastAsia" w:cstheme="minorEastAsia"/>
        </w:rPr>
        <w:t>。</w:t>
      </w:r>
    </w:p>
    <w:p w14:paraId="6EFA30FC">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关于发包人应完成的其他开工准备工作及期限：</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2BE10F47">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关于承包人应完成的其他开工准备工作及期限：</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0D7CDAD5">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7.3.2开工通知</w:t>
      </w:r>
    </w:p>
    <w:p w14:paraId="2C811797">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因发包人原因造成监理人未能在计划开工日期之日起</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天内发出开工通知的，承包人有权提出价格调整要求，或者解除合同。</w:t>
      </w:r>
    </w:p>
    <w:p w14:paraId="10EA5EFD">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7.4 测量放线</w:t>
      </w:r>
    </w:p>
    <w:p w14:paraId="147326B6">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7.4.1发包人通过监理人向承包人提供测量基准点、基准线和水准点及其书面资料的期限：</w:t>
      </w:r>
      <w:r>
        <w:rPr>
          <w:rFonts w:hint="eastAsia" w:asciiTheme="minorEastAsia" w:hAnsiTheme="minorEastAsia" w:eastAsiaTheme="minorEastAsia" w:cstheme="minorEastAsia"/>
          <w:u w:val="single"/>
        </w:rPr>
        <w:t>执行通用合同条款</w:t>
      </w:r>
      <w:r>
        <w:rPr>
          <w:rFonts w:hint="eastAsia" w:asciiTheme="minorEastAsia" w:hAnsiTheme="minorEastAsia" w:eastAsiaTheme="minorEastAsia" w:cstheme="minorEastAsia"/>
        </w:rPr>
        <w:t>。</w:t>
      </w:r>
    </w:p>
    <w:p w14:paraId="45BD34C7">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7.5 工期延误</w:t>
      </w:r>
    </w:p>
    <w:p w14:paraId="0EEA9EC6">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7.5.1 因发包人原因导致工期延误</w:t>
      </w:r>
    </w:p>
    <w:p w14:paraId="0C3D89BB">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（7）因发包人原因导致工期延误的其他情形：</w:t>
      </w:r>
      <w:r>
        <w:rPr>
          <w:rFonts w:hint="eastAsia" w:asciiTheme="minorEastAsia" w:hAnsiTheme="minorEastAsia" w:eastAsiaTheme="minorEastAsia" w:cstheme="minorEastAsia"/>
          <w:u w:val="single"/>
        </w:rPr>
        <w:t xml:space="preserve">  执行通用合同条款  </w:t>
      </w:r>
      <w:r>
        <w:rPr>
          <w:rFonts w:hint="eastAsia" w:asciiTheme="minorEastAsia" w:hAnsiTheme="minorEastAsia" w:eastAsiaTheme="minorEastAsia" w:cstheme="minorEastAsia"/>
        </w:rPr>
        <w:t>。</w:t>
      </w:r>
    </w:p>
    <w:p w14:paraId="266E5EAA">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7.5.2 因承包人原因导致工期延误</w:t>
      </w:r>
    </w:p>
    <w:p w14:paraId="5EFAF043">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因承包人原因造成工期延误，逾期竣工违约金的计算方法为：</w:t>
      </w:r>
      <w:r>
        <w:rPr>
          <w:rFonts w:hint="eastAsia" w:asciiTheme="minorEastAsia" w:hAnsiTheme="minorEastAsia" w:eastAsiaTheme="minorEastAsia" w:cstheme="minorEastAsia"/>
          <w:u w:val="single"/>
        </w:rPr>
        <w:t>依据合同工期，工期每延误一天，承包人向发包人支付逾期竣工违约金20000元；同时承包人须承担造成工期延误导致的发包人监理费用增加及其他一切经济损失</w:t>
      </w:r>
      <w:r>
        <w:rPr>
          <w:rFonts w:hint="eastAsia" w:asciiTheme="minorEastAsia" w:hAnsiTheme="minorEastAsia" w:eastAsiaTheme="minorEastAsia" w:cstheme="minorEastAsia"/>
        </w:rPr>
        <w:t>。</w:t>
      </w:r>
    </w:p>
    <w:p w14:paraId="5542AFA3">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因承包人原因造成工期延误，逾期竣工违约金的上限：。</w:t>
      </w:r>
    </w:p>
    <w:p w14:paraId="71FC3E23">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7.6 不利物质条件</w:t>
      </w:r>
    </w:p>
    <w:p w14:paraId="7EC4B050">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不利物质条件的其他情形和有关约定：</w:t>
      </w:r>
      <w:r>
        <w:rPr>
          <w:rFonts w:hint="eastAsia" w:asciiTheme="minorEastAsia" w:hAnsiTheme="minorEastAsia" w:eastAsiaTheme="minorEastAsia" w:cstheme="minorEastAsia"/>
          <w:u w:val="single"/>
        </w:rPr>
        <w:t>执行通用合同条款</w:t>
      </w:r>
      <w:r>
        <w:rPr>
          <w:rFonts w:hint="eastAsia" w:asciiTheme="minorEastAsia" w:hAnsiTheme="minorEastAsia" w:eastAsiaTheme="minorEastAsia" w:cstheme="minorEastAsia"/>
        </w:rPr>
        <w:t>。</w:t>
      </w:r>
    </w:p>
    <w:p w14:paraId="50AFDCD9">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7.7异常恶劣的气候条件</w:t>
      </w:r>
    </w:p>
    <w:p w14:paraId="66ABB8D7">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发包人和承包人同意以下情形视为异常恶劣的气候条件：</w:t>
      </w:r>
    </w:p>
    <w:p w14:paraId="5A837B84">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2A975D39">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7D5BF5E0">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68D470EF">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7.9 提前竣工的奖励</w:t>
      </w:r>
    </w:p>
    <w:p w14:paraId="5339B829">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7.9.2提前竣工的奖励：</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53BFB02A">
      <w:pPr>
        <w:pStyle w:val="5"/>
        <w:spacing w:before="0" w:after="0" w:line="360" w:lineRule="auto"/>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 材料与设备</w:t>
      </w:r>
    </w:p>
    <w:p w14:paraId="64E73D3B">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8.3材料与工程设备的接收与拒收</w:t>
      </w:r>
    </w:p>
    <w:p w14:paraId="426CF6DE">
      <w:pPr>
        <w:autoSpaceDE w:val="0"/>
        <w:autoSpaceDN w:val="0"/>
        <w:adjustRightInd w:val="0"/>
        <w:spacing w:line="360" w:lineRule="auto"/>
        <w:ind w:firstLine="42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8.3.2 承包人采购的材料和工程设备，应保证产品质量合格，承包人应在材料和工程设备到货前24小时通知监理人、发包人检验。承包人进行永久设备、材料的制造和生产的，应符合相关质量标准，并向监理人、发包人提交材料的样本以及有关资料，并应在使用该材料或工程设备之前获得监理人、发包人同意。</w:t>
      </w:r>
    </w:p>
    <w:p w14:paraId="74187604">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kern w:val="0"/>
        </w:rPr>
        <w:t>承包人采购的材料和工程设备不符合设计或有关标准要求时，承包人应在监理人、发包人要求的合理期限内将不符合设计或有关标准要求的材料、工程设备运出施工现场，并重新采购符合要求的材料、工程设备，由此增加的费用和（或）延误的工期，由承包人承担。</w:t>
      </w:r>
    </w:p>
    <w:p w14:paraId="3FF833BE">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8.4材料与工程设备的保管与使用</w:t>
      </w:r>
    </w:p>
    <w:p w14:paraId="7DBDC441">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8.4.1发包人供应的材料设备的保管费用的承担：</w:t>
      </w:r>
      <w:r>
        <w:rPr>
          <w:rFonts w:hint="eastAsia" w:asciiTheme="minorEastAsia" w:hAnsiTheme="minorEastAsia" w:eastAsiaTheme="minorEastAsia" w:cstheme="minorEastAsia"/>
          <w:u w:val="single"/>
        </w:rPr>
        <w:t>由承包人承担</w:t>
      </w:r>
      <w:r>
        <w:rPr>
          <w:rFonts w:hint="eastAsia" w:asciiTheme="minorEastAsia" w:hAnsiTheme="minorEastAsia" w:eastAsiaTheme="minorEastAsia" w:cstheme="minorEastAsia"/>
        </w:rPr>
        <w:t>。</w:t>
      </w:r>
    </w:p>
    <w:p w14:paraId="190EA486">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8.6 样品</w:t>
      </w:r>
    </w:p>
    <w:p w14:paraId="068ECD30">
      <w:pPr>
        <w:autoSpaceDE w:val="0"/>
        <w:autoSpaceDN w:val="0"/>
        <w:adjustRightInd w:val="0"/>
        <w:spacing w:line="360" w:lineRule="auto"/>
        <w:ind w:firstLine="42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8.6.1 样品的报送与封存</w:t>
      </w:r>
    </w:p>
    <w:p w14:paraId="34CE8305">
      <w:pPr>
        <w:autoSpaceDE w:val="0"/>
        <w:autoSpaceDN w:val="0"/>
        <w:adjustRightInd w:val="0"/>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kern w:val="0"/>
        </w:rPr>
        <w:t>需要承包人报送样品的材料或工程设备，样品的种类、名称、规格、数量要求：</w:t>
      </w:r>
      <w:r>
        <w:rPr>
          <w:rFonts w:hint="eastAsia" w:asciiTheme="minorEastAsia" w:hAnsiTheme="minorEastAsia" w:eastAsiaTheme="minorEastAsia" w:cstheme="minorEastAsia"/>
          <w:u w:val="single"/>
        </w:rPr>
        <w:t>主要材料（开工后由发包人、监理人、承包人共同商定）须经发包人、监理人、承包人共同考察，发包人、监理人认可后方能使用。承包人应按设计和有关标准要求采购工程所需材料，并提供产品合格证明，对材料质量负责。承包人采购的材料在使用前，承包人应按要求进行检验或试验，不合格的不得使用。发包人有权对进场的材料进行单独复检，承包人应提供复检试样，复检结果与承包人提供的检测报告不一致时，承包人应给予书面解释、说明，承包人不能给予合理解释、说明的，该批材料视为不合格材料，不得使用</w:t>
      </w:r>
      <w:r>
        <w:rPr>
          <w:rFonts w:hint="eastAsia" w:asciiTheme="minorEastAsia" w:hAnsiTheme="minorEastAsia" w:eastAsiaTheme="minorEastAsia" w:cstheme="minorEastAsia"/>
        </w:rPr>
        <w:t>。</w:t>
      </w:r>
    </w:p>
    <w:p w14:paraId="482A6E6F">
      <w:pPr>
        <w:autoSpaceDE w:val="0"/>
        <w:autoSpaceDN w:val="0"/>
        <w:adjustRightInd w:val="0"/>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承包人违反约定采购或使用不合格材料和工程设备的，或者将不合格材料或工程设备运入施工现场的，由承包人负责更换和返工，同时，承包人还应按照违约采购或使用材料和工程设备价值的20%向发包人支付违约金。因此而延误工期或出现质量事故或隐患的，责任由承包人全部承担</w:t>
      </w:r>
      <w:r>
        <w:rPr>
          <w:rFonts w:hint="eastAsia" w:asciiTheme="minorEastAsia" w:hAnsiTheme="minorEastAsia" w:eastAsiaTheme="minorEastAsia" w:cstheme="minorEastAsia"/>
        </w:rPr>
        <w:t xml:space="preserve">。 </w:t>
      </w:r>
    </w:p>
    <w:p w14:paraId="0E541CA8">
      <w:pPr>
        <w:autoSpaceDE w:val="0"/>
        <w:autoSpaceDN w:val="0"/>
        <w:adjustRightInd w:val="0"/>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u w:val="single"/>
        </w:rPr>
        <w:t>材料、设备的检验或试验费用、专项施工方案的论证费用等均由承包人承担</w:t>
      </w:r>
      <w:r>
        <w:rPr>
          <w:rFonts w:hint="eastAsia" w:asciiTheme="minorEastAsia" w:hAnsiTheme="minorEastAsia" w:eastAsiaTheme="minorEastAsia" w:cstheme="minorEastAsia"/>
        </w:rPr>
        <w:t>。</w:t>
      </w:r>
    </w:p>
    <w:p w14:paraId="46601E55">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8.8 施工设备和临时设施</w:t>
      </w:r>
    </w:p>
    <w:p w14:paraId="1D13B788">
      <w:pPr>
        <w:autoSpaceDE w:val="0"/>
        <w:autoSpaceDN w:val="0"/>
        <w:adjustRightInd w:val="0"/>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8.8.1 承包人提供的施工设备和临时设施</w:t>
      </w:r>
    </w:p>
    <w:p w14:paraId="5E42BE47">
      <w:pPr>
        <w:autoSpaceDE w:val="0"/>
        <w:autoSpaceDN w:val="0"/>
        <w:adjustRightInd w:val="0"/>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关于修建临时设施费用承担的约定：</w:t>
      </w:r>
      <w:r>
        <w:rPr>
          <w:rFonts w:hint="eastAsia" w:asciiTheme="minorEastAsia" w:hAnsiTheme="minorEastAsia" w:eastAsiaTheme="minorEastAsia" w:cstheme="minorEastAsia"/>
          <w:u w:val="single"/>
        </w:rPr>
        <w:t>执行通用合同条款</w:t>
      </w:r>
      <w:r>
        <w:rPr>
          <w:rFonts w:hint="eastAsia" w:asciiTheme="minorEastAsia" w:hAnsiTheme="minorEastAsia" w:eastAsiaTheme="minorEastAsia" w:cstheme="minorEastAsia"/>
        </w:rPr>
        <w:t>。</w:t>
      </w:r>
    </w:p>
    <w:p w14:paraId="33484257">
      <w:pPr>
        <w:pStyle w:val="5"/>
        <w:spacing w:before="0" w:after="0" w:line="360" w:lineRule="auto"/>
        <w:ind w:firstLine="316"/>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 试验与检验</w:t>
      </w:r>
    </w:p>
    <w:p w14:paraId="7367F794">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9.1试验设备与试验人员</w:t>
      </w:r>
    </w:p>
    <w:p w14:paraId="554EF8FF">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9.1.2 试验设备</w:t>
      </w:r>
    </w:p>
    <w:p w14:paraId="72BC2988">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施工现场需要配置的试验场所：</w:t>
      </w:r>
      <w:r>
        <w:rPr>
          <w:rFonts w:hint="eastAsia" w:asciiTheme="minorEastAsia" w:hAnsiTheme="minorEastAsia" w:eastAsiaTheme="minorEastAsia" w:cstheme="minorEastAsia"/>
          <w:u w:val="single"/>
        </w:rPr>
        <w:t>按有关规范、文件规定执行</w:t>
      </w:r>
      <w:r>
        <w:rPr>
          <w:rFonts w:hint="eastAsia" w:asciiTheme="minorEastAsia" w:hAnsiTheme="minorEastAsia" w:eastAsiaTheme="minorEastAsia" w:cstheme="minorEastAsia"/>
        </w:rPr>
        <w:t xml:space="preserve">。 </w:t>
      </w:r>
    </w:p>
    <w:p w14:paraId="3D40B3BD">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施工现场需要配备的试验设备：</w:t>
      </w:r>
      <w:r>
        <w:rPr>
          <w:rFonts w:hint="eastAsia" w:asciiTheme="minorEastAsia" w:hAnsiTheme="minorEastAsia" w:eastAsiaTheme="minorEastAsia" w:cstheme="minorEastAsia"/>
          <w:u w:val="single"/>
        </w:rPr>
        <w:t>按有关规范、文件规定执行</w:t>
      </w:r>
      <w:r>
        <w:rPr>
          <w:rFonts w:hint="eastAsia" w:asciiTheme="minorEastAsia" w:hAnsiTheme="minorEastAsia" w:eastAsiaTheme="minorEastAsia" w:cstheme="minorEastAsia"/>
        </w:rPr>
        <w:t>。</w:t>
      </w:r>
    </w:p>
    <w:p w14:paraId="2C1BC6B7">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施工现场需要具备的其他试验条件：</w:t>
      </w:r>
      <w:r>
        <w:rPr>
          <w:rFonts w:hint="eastAsia" w:asciiTheme="minorEastAsia" w:hAnsiTheme="minorEastAsia" w:eastAsiaTheme="minorEastAsia" w:cstheme="minorEastAsia"/>
          <w:u w:val="single"/>
        </w:rPr>
        <w:t>按有关规范、文件规定执行</w:t>
      </w:r>
      <w:r>
        <w:rPr>
          <w:rFonts w:hint="eastAsia" w:asciiTheme="minorEastAsia" w:hAnsiTheme="minorEastAsia" w:eastAsiaTheme="minorEastAsia" w:cstheme="minorEastAsia"/>
        </w:rPr>
        <w:t>。</w:t>
      </w:r>
    </w:p>
    <w:p w14:paraId="10DF6D37">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9.4 现场工艺试验 </w:t>
      </w:r>
    </w:p>
    <w:p w14:paraId="7556BF64">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现场工艺试验的有关约定：</w:t>
      </w:r>
      <w:r>
        <w:rPr>
          <w:rFonts w:hint="eastAsia" w:asciiTheme="minorEastAsia" w:hAnsiTheme="minorEastAsia" w:eastAsiaTheme="minorEastAsia" w:cstheme="minorEastAsia"/>
          <w:u w:val="single"/>
        </w:rPr>
        <w:t>执行通用合同条款</w:t>
      </w:r>
      <w:r>
        <w:rPr>
          <w:rFonts w:hint="eastAsia" w:asciiTheme="minorEastAsia" w:hAnsiTheme="minorEastAsia" w:eastAsiaTheme="minorEastAsia" w:cstheme="minorEastAsia"/>
        </w:rPr>
        <w:t>。</w:t>
      </w:r>
    </w:p>
    <w:p w14:paraId="17B8F806">
      <w:pPr>
        <w:pStyle w:val="5"/>
        <w:spacing w:before="0" w:after="0" w:line="360" w:lineRule="auto"/>
        <w:ind w:firstLine="316"/>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 变更</w:t>
      </w:r>
    </w:p>
    <w:p w14:paraId="312412C5">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10.1变更的范围</w:t>
      </w:r>
    </w:p>
    <w:p w14:paraId="486D8158">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关于变更的范围的约定：</w:t>
      </w:r>
      <w:r>
        <w:rPr>
          <w:rFonts w:hint="eastAsia" w:asciiTheme="minorEastAsia" w:hAnsiTheme="minorEastAsia" w:eastAsiaTheme="minorEastAsia" w:cstheme="minorEastAsia"/>
          <w:u w:val="single"/>
        </w:rPr>
        <w:t>合同履行过程中发生以下情形的，应按照本条约定进行变更：（1）增加或减少合同中任何工作，或追加额外的工作；（2）取消合同中任何工作；（3）改变合同中任何工作的质量标准或其他特性；（4）改变工程的基线、标高、位置和尺寸；（5）改变工程的时间安排或实施顺序</w:t>
      </w:r>
      <w:r>
        <w:rPr>
          <w:rFonts w:hint="eastAsia" w:asciiTheme="minorEastAsia" w:hAnsiTheme="minorEastAsia" w:eastAsiaTheme="minorEastAsia" w:cstheme="minorEastAsia"/>
        </w:rPr>
        <w:t>。</w:t>
      </w:r>
    </w:p>
    <w:p w14:paraId="73C8566A">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发包人有权根据实际情况的需要调整(包括减少)承包人的工程承包范围，承包人不得因此而提出任何异议或要求任何形式的补偿。因工程承包范围变化导致合同价款增加或减少的应对合同价款做相应调整</w:t>
      </w:r>
      <w:r>
        <w:rPr>
          <w:rFonts w:hint="eastAsia" w:asciiTheme="minorEastAsia" w:hAnsiTheme="minorEastAsia" w:eastAsiaTheme="minorEastAsia" w:cstheme="minorEastAsia"/>
        </w:rPr>
        <w:t>。</w:t>
      </w:r>
    </w:p>
    <w:p w14:paraId="4EC251F4">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10.4 变更估价</w:t>
      </w:r>
    </w:p>
    <w:p w14:paraId="7FA8F48C">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10.4.1 变更估价原则</w:t>
      </w:r>
    </w:p>
    <w:p w14:paraId="292ECFCE">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 xml:space="preserve">关于变更估价的约定: </w:t>
      </w:r>
      <w:r>
        <w:rPr>
          <w:rFonts w:hint="eastAsia" w:asciiTheme="minorEastAsia" w:hAnsiTheme="minorEastAsia" w:eastAsiaTheme="minorEastAsia" w:cstheme="minorEastAsia"/>
          <w:u w:val="single"/>
        </w:rPr>
        <w:t>（1）合同中已有适用的综合单价，按合同中已有的综合单价确定；（2）合同中只有类似的综合单价，可参照类似的综合单价确定；（3）合同中没有适用或类似的综合单价，由承包人参照现行河南省预算定额及施工期间河南省定额站发布的造价指数和郑州市住建局发布的《郑州市建设工程造价信息》中相应材料价格提出综合单价，经发包人、监理人确认后按承包人报价浮动率（浮动率=（1-中标价/招标控制价）×100%）结算；材料价格按经双方认可的市场价格时承包人不再优惠材料费；（4）因变更引起的价格调整随工程进度款支付</w:t>
      </w:r>
      <w:r>
        <w:rPr>
          <w:rFonts w:hint="eastAsia" w:asciiTheme="minorEastAsia" w:hAnsiTheme="minorEastAsia" w:eastAsiaTheme="minorEastAsia" w:cstheme="minorEastAsia"/>
        </w:rPr>
        <w:t>。</w:t>
      </w:r>
    </w:p>
    <w:p w14:paraId="5E61FCEA">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10.5承包人的合理化建议</w:t>
      </w:r>
    </w:p>
    <w:p w14:paraId="129C1158">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监理人审查承包人合理化建议的期限：</w:t>
      </w:r>
      <w:r>
        <w:rPr>
          <w:rFonts w:hint="eastAsia" w:asciiTheme="minorEastAsia" w:hAnsiTheme="minorEastAsia" w:eastAsiaTheme="minorEastAsia" w:cstheme="minorEastAsia"/>
          <w:u w:val="single"/>
        </w:rPr>
        <w:t>执行通用合同条款</w:t>
      </w:r>
      <w:r>
        <w:rPr>
          <w:rFonts w:hint="eastAsia" w:asciiTheme="minorEastAsia" w:hAnsiTheme="minorEastAsia" w:eastAsiaTheme="minorEastAsia" w:cstheme="minorEastAsia"/>
        </w:rPr>
        <w:t>。</w:t>
      </w:r>
    </w:p>
    <w:p w14:paraId="178F02FA">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发包人审批承包人合理化建议的期限：</w:t>
      </w:r>
      <w:r>
        <w:rPr>
          <w:rFonts w:hint="eastAsia" w:asciiTheme="minorEastAsia" w:hAnsiTheme="minorEastAsia" w:eastAsiaTheme="minorEastAsia" w:cstheme="minorEastAsia"/>
          <w:u w:val="single"/>
        </w:rPr>
        <w:t>执行通用合同条款</w:t>
      </w:r>
      <w:r>
        <w:rPr>
          <w:rFonts w:hint="eastAsia" w:asciiTheme="minorEastAsia" w:hAnsiTheme="minorEastAsia" w:eastAsiaTheme="minorEastAsia" w:cstheme="minorEastAsia"/>
        </w:rPr>
        <w:t>。</w:t>
      </w:r>
    </w:p>
    <w:p w14:paraId="1B0DC4F2">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承包人提出的合理化建议降低了合同价格或者提高了工程经济效益的奖励的方法和金额为：。</w:t>
      </w:r>
    </w:p>
    <w:p w14:paraId="76F8E2DC">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10.7 暂估价</w:t>
      </w:r>
    </w:p>
    <w:p w14:paraId="0EFAD1D3">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kern w:val="0"/>
        </w:rPr>
        <w:t>暂估价材料和工程设备的明细详见。</w:t>
      </w:r>
    </w:p>
    <w:p w14:paraId="20D72FEB">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10.7.1 依法必须招标的暂估价项目</w:t>
      </w:r>
    </w:p>
    <w:p w14:paraId="3E7BECC2">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对于依法必须招标的暂估价项目的确认和批准采取以下方式：。 </w:t>
      </w:r>
    </w:p>
    <w:p w14:paraId="113D92A4">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10.7.2 不属于依法必须招标的暂估价项目</w:t>
      </w:r>
    </w:p>
    <w:p w14:paraId="56A13339">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对于不属于依法必须招标的暂估价项目的确认和批准采取以下方式：。 </w:t>
      </w:r>
    </w:p>
    <w:p w14:paraId="30C1E2F5">
      <w:pPr>
        <w:spacing w:line="360" w:lineRule="auto"/>
        <w:ind w:firstLine="42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rPr>
        <w:t>第3种方式：</w:t>
      </w:r>
      <w:r>
        <w:rPr>
          <w:rFonts w:hint="eastAsia" w:asciiTheme="minorEastAsia" w:hAnsiTheme="minorEastAsia" w:eastAsiaTheme="minorEastAsia" w:cstheme="minorEastAsia"/>
          <w:kern w:val="0"/>
        </w:rPr>
        <w:t>承包人直接实施的暂估价项目</w:t>
      </w:r>
    </w:p>
    <w:p w14:paraId="260D793E">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承包人直接实施的暂估价项目的约定：。</w:t>
      </w:r>
    </w:p>
    <w:p w14:paraId="2ADC76BC">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10.8 暂列金额</w:t>
      </w:r>
    </w:p>
    <w:p w14:paraId="6600A951">
      <w:pPr>
        <w:autoSpaceDE w:val="0"/>
        <w:autoSpaceDN w:val="0"/>
        <w:adjustRightInd w:val="0"/>
        <w:spacing w:line="360" w:lineRule="auto"/>
        <w:ind w:firstLine="42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合同当事人关于暂列金额使用的约定：</w:t>
      </w:r>
      <w:r>
        <w:rPr>
          <w:rFonts w:hint="eastAsia" w:asciiTheme="minorEastAsia" w:hAnsiTheme="minorEastAsia" w:eastAsiaTheme="minorEastAsia" w:cstheme="minorEastAsia"/>
          <w:kern w:val="0"/>
          <w:u w:val="single"/>
        </w:rPr>
        <w:t>签约合同价中的暂列金额由发包人掌握使用，暂列金额的余额归发包人所有</w:t>
      </w:r>
      <w:r>
        <w:rPr>
          <w:rFonts w:hint="eastAsia" w:asciiTheme="minorEastAsia" w:hAnsiTheme="minorEastAsia" w:eastAsiaTheme="minorEastAsia" w:cstheme="minorEastAsia"/>
          <w:kern w:val="0"/>
        </w:rPr>
        <w:t>。</w:t>
      </w:r>
    </w:p>
    <w:p w14:paraId="67EBB8D2">
      <w:pPr>
        <w:pStyle w:val="5"/>
        <w:spacing w:before="0" w:after="0" w:line="360" w:lineRule="auto"/>
        <w:ind w:firstLine="316"/>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 价格调整</w:t>
      </w:r>
    </w:p>
    <w:p w14:paraId="6040B741">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11.1 市场价格波动引起的调整</w:t>
      </w:r>
    </w:p>
    <w:p w14:paraId="2553E398">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kern w:val="0"/>
        </w:rPr>
        <w:t>11.1.1市场价格波动是否调整合同价格的约定：</w:t>
      </w:r>
      <w:r>
        <w:rPr>
          <w:rFonts w:hint="eastAsia" w:asciiTheme="minorEastAsia" w:hAnsiTheme="minorEastAsia" w:eastAsiaTheme="minorEastAsia" w:cstheme="minorEastAsia"/>
        </w:rPr>
        <w:t>。</w:t>
      </w:r>
    </w:p>
    <w:p w14:paraId="67029C2D">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因材料市场价格波动调整合同价格，采用以下第种方式对合同价格进行调整：</w:t>
      </w:r>
    </w:p>
    <w:p w14:paraId="7DDE3E09">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第1种方式：采用价格指数进行价格调整。</w:t>
      </w:r>
    </w:p>
    <w:p w14:paraId="5B5ADD12">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关于各可调因子、定值和变值权重，以及基本价格指数及其来源的约定：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38F49954">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第2种方式：采用造价信息进行价格调整。</w:t>
      </w:r>
    </w:p>
    <w:p w14:paraId="49DB53B6">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（2）关于基准价格的约定：。</w:t>
      </w:r>
    </w:p>
    <w:p w14:paraId="78A72C66">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①承包人在已标价工程量清单或预算书中载明的材料单价低于基准价格的：合同履行期间材料单价涨幅以基准价格为基础超过%时，或材料单价跌幅以已标价工程量清单或预算书中载明材料单价为基础超过%时，其超过部分据实调整。</w:t>
      </w:r>
    </w:p>
    <w:p w14:paraId="725D127C">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②承包人在已标价工程量清单或预算书中载明的材料单价高于基准价格的：合同履行期间材料单价跌幅以基准价格为基础超过%时，或材料单价涨幅以已标价工程量清单或预算书中载明材料单价为基础超过%时，其超过部分据实调整。</w:t>
      </w:r>
    </w:p>
    <w:p w14:paraId="59A436BE">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③承包人在已标价工程量清单或预算书中载明的材料单价等于基准单价的：合同履行期间材料单价涨跌幅以基准单价为基础超过±%时，其超过部分据实调整。</w:t>
      </w:r>
    </w:p>
    <w:p w14:paraId="53677722">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④以上材料是指：。</w:t>
      </w:r>
    </w:p>
    <w:p w14:paraId="1BED09D3">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第3种方式：其他价格调整方式：</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31719B78">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11.1.2 以上价格调整，仅限在合同工期范围内进行调整。逾期交工时，逾期之后的市场价格波动均不调整。</w:t>
      </w:r>
    </w:p>
    <w:p w14:paraId="48DDA3D5">
      <w:pPr>
        <w:spacing w:line="360" w:lineRule="auto"/>
        <w:ind w:firstLine="422" w:firstLineChars="200"/>
        <w:rPr>
          <w:rFonts w:asciiTheme="minorEastAsia" w:hAnsiTheme="minorEastAsia" w:eastAsiaTheme="minorEastAsia" w:cstheme="minorEastAsia"/>
          <w:b/>
        </w:rPr>
      </w:pPr>
      <w:r>
        <w:rPr>
          <w:rFonts w:hint="eastAsia" w:asciiTheme="minorEastAsia" w:hAnsiTheme="minorEastAsia" w:eastAsiaTheme="minorEastAsia" w:cstheme="minorEastAsia"/>
          <w:b/>
        </w:rPr>
        <w:t>12. 合同价格、计量与支付</w:t>
      </w:r>
    </w:p>
    <w:p w14:paraId="716C67AF">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12.1 合同价格形式</w:t>
      </w:r>
    </w:p>
    <w:p w14:paraId="569E62F0">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1、单价合同。</w:t>
      </w:r>
    </w:p>
    <w:p w14:paraId="33D0146C">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综合单价包含的风险范围：</w:t>
      </w:r>
      <w:r>
        <w:rPr>
          <w:rFonts w:hint="eastAsia" w:asciiTheme="minorEastAsia" w:hAnsiTheme="minorEastAsia" w:eastAsiaTheme="minorEastAsia" w:cstheme="minorEastAsia"/>
          <w:u w:val="single"/>
        </w:rPr>
        <w:t>除本合同专用合同条款第11.1项约定的调整因素之外的风险</w:t>
      </w:r>
      <w:r>
        <w:rPr>
          <w:rFonts w:hint="eastAsia" w:asciiTheme="minorEastAsia" w:hAnsiTheme="minorEastAsia" w:eastAsiaTheme="minorEastAsia" w:cstheme="minorEastAsia"/>
        </w:rPr>
        <w:t>。</w:t>
      </w:r>
    </w:p>
    <w:p w14:paraId="7988EB64">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风险费用的计算方法：</w:t>
      </w:r>
      <w:r>
        <w:rPr>
          <w:rFonts w:hint="eastAsia" w:asciiTheme="minorEastAsia" w:hAnsiTheme="minorEastAsia" w:eastAsiaTheme="minorEastAsia" w:cstheme="minorEastAsia"/>
          <w:u w:val="single"/>
        </w:rPr>
        <w:t>承包人投标时已综合考虑</w:t>
      </w:r>
      <w:r>
        <w:rPr>
          <w:rFonts w:hint="eastAsia" w:asciiTheme="minorEastAsia" w:hAnsiTheme="minorEastAsia" w:eastAsiaTheme="minorEastAsia" w:cstheme="minorEastAsia"/>
        </w:rPr>
        <w:t>。</w:t>
      </w:r>
    </w:p>
    <w:p w14:paraId="262D7140">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风险范围以外合同价格的调整方法：</w:t>
      </w:r>
      <w:r>
        <w:rPr>
          <w:rFonts w:hint="eastAsia" w:asciiTheme="minorEastAsia" w:hAnsiTheme="minorEastAsia" w:eastAsiaTheme="minorEastAsia" w:cstheme="minorEastAsia"/>
          <w:u w:val="single"/>
        </w:rPr>
        <w:t>按本合同专用合同条款第11.1项约定进行调整</w:t>
      </w:r>
      <w:r>
        <w:rPr>
          <w:rFonts w:hint="eastAsia" w:asciiTheme="minorEastAsia" w:hAnsiTheme="minorEastAsia" w:eastAsiaTheme="minorEastAsia" w:cstheme="minorEastAsia"/>
        </w:rPr>
        <w:t>。</w:t>
      </w:r>
    </w:p>
    <w:p w14:paraId="6EE7B116">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2、总价合同。</w:t>
      </w:r>
    </w:p>
    <w:p w14:paraId="70481716">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总价包含的风险范围：</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1CBF06F1">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风险费用的计算方法：</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484B5DCB">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风险范围以外合同价格的调整方法：</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2CD1A6B6">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3、其他价格方式：</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30E6A2C1">
      <w:pPr>
        <w:spacing w:line="360" w:lineRule="auto"/>
        <w:ind w:firstLine="420" w:firstLineChars="200"/>
        <w:rPr>
          <w:rFonts w:asciiTheme="minorEastAsia" w:hAnsiTheme="minorEastAsia" w:eastAsiaTheme="minorEastAsia" w:cstheme="minorEastAsia"/>
        </w:rPr>
      </w:pPr>
      <w:bookmarkStart w:id="1082" w:name="_Toc296503207"/>
      <w:bookmarkStart w:id="1083" w:name="_Toc312678042"/>
      <w:bookmarkStart w:id="1084" w:name="_Toc300935004"/>
      <w:bookmarkStart w:id="1085" w:name="_Toc296346708"/>
      <w:bookmarkStart w:id="1086" w:name="_Toc292559412"/>
      <w:bookmarkStart w:id="1087" w:name="_Toc296891035"/>
      <w:bookmarkStart w:id="1088" w:name="_Toc296891247"/>
      <w:bookmarkStart w:id="1089" w:name="_Toc296944546"/>
      <w:bookmarkStart w:id="1090" w:name="_Toc303539161"/>
      <w:bookmarkStart w:id="1091" w:name="_Toc297123554"/>
      <w:bookmarkStart w:id="1092" w:name="_Toc292559917"/>
      <w:bookmarkStart w:id="1093" w:name="_Toc297048393"/>
      <w:bookmarkStart w:id="1094" w:name="_Toc297216213"/>
      <w:bookmarkStart w:id="1095" w:name="_Toc296347206"/>
      <w:bookmarkStart w:id="1096" w:name="_Toc304295581"/>
      <w:bookmarkStart w:id="1097" w:name="_Toc297120507"/>
      <w:r>
        <w:rPr>
          <w:rFonts w:hint="eastAsia" w:asciiTheme="minorEastAsia" w:hAnsiTheme="minorEastAsia" w:eastAsiaTheme="minorEastAsia" w:cstheme="minorEastAsia"/>
        </w:rPr>
        <w:t>12.2 预付款</w:t>
      </w:r>
    </w:p>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p w14:paraId="3CC1A87B">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12.2.1 预付款的支付</w:t>
      </w:r>
    </w:p>
    <w:p w14:paraId="1C222280">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预付款支付比例或金额：</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07147679">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预付款支付期限：</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1EF70FD2">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预付款扣回的方式：</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373086FF">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12.2.2 预付款担保</w:t>
      </w:r>
    </w:p>
    <w:p w14:paraId="6F2995E4">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承包人提交预付款担保的期限：</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2F96DD5F">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预付款担保的形式为：</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34C08D5B">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12.3 计量</w:t>
      </w:r>
    </w:p>
    <w:p w14:paraId="02F95C5F">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12.3.1 计量原则</w:t>
      </w:r>
    </w:p>
    <w:p w14:paraId="2717F41B">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工程量计算规则：</w:t>
      </w:r>
      <w:r>
        <w:rPr>
          <w:rFonts w:hint="eastAsia" w:asciiTheme="minorEastAsia" w:hAnsiTheme="minorEastAsia" w:eastAsiaTheme="minorEastAsia" w:cstheme="minorEastAsia"/>
          <w:u w:val="single"/>
        </w:rPr>
        <w:t>工程量计量按照合同约定的工程量计算规则、图纸及变更指示等进行计量。工程量计算规则应以相关的国家标准、行业标准等为依据</w:t>
      </w:r>
      <w:r>
        <w:rPr>
          <w:rFonts w:hint="eastAsia" w:asciiTheme="minorEastAsia" w:hAnsiTheme="minorEastAsia" w:eastAsiaTheme="minorEastAsia" w:cstheme="minorEastAsia"/>
        </w:rPr>
        <w:t>。</w:t>
      </w:r>
    </w:p>
    <w:p w14:paraId="13D4FAE1">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12.3.2 计量周期</w:t>
      </w:r>
    </w:p>
    <w:p w14:paraId="58017081">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关于计量周期的约定：</w:t>
      </w:r>
      <w:r>
        <w:rPr>
          <w:rFonts w:hint="eastAsia" w:asciiTheme="minorEastAsia" w:hAnsiTheme="minorEastAsia" w:eastAsiaTheme="minorEastAsia" w:cstheme="minorEastAsia"/>
          <w:u w:val="single"/>
        </w:rPr>
        <w:t>计量周期按照本合同专用合同条款第12.4.1项的约定与付款周期保持一致</w:t>
      </w:r>
      <w:r>
        <w:rPr>
          <w:rFonts w:hint="eastAsia" w:asciiTheme="minorEastAsia" w:hAnsiTheme="minorEastAsia" w:eastAsiaTheme="minorEastAsia" w:cstheme="minorEastAsia"/>
        </w:rPr>
        <w:t>。</w:t>
      </w:r>
    </w:p>
    <w:p w14:paraId="56109B9D">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12.3.3 单价合同的计量</w:t>
      </w:r>
    </w:p>
    <w:p w14:paraId="542F30F6">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关于单价合同计量的约定：</w:t>
      </w:r>
      <w:r>
        <w:rPr>
          <w:rFonts w:hint="eastAsia" w:asciiTheme="minorEastAsia" w:hAnsiTheme="minorEastAsia" w:eastAsiaTheme="minorEastAsia" w:cstheme="minorEastAsia"/>
          <w:u w:val="single"/>
        </w:rPr>
        <w:t>（1）承包人应在达到每个付款节点后5天内向监理人报送本计量周期已完成的工程量报告，并附具进度付款申请单、已完成工程量报表和有关资料。（2）监理人应在收到承包人提交的工程量报告后10天内完成对承包人提交的工程量报表的审核并报送发包人，以确定当期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3）监理人在收到承包人提交的完整的工程量报表后，未能在10天内完成审核的，承包人报送的工程量报告中的工程量视为承包人实际完成的工程量，据此计算工程价款</w:t>
      </w:r>
      <w:r>
        <w:rPr>
          <w:rFonts w:hint="eastAsia" w:asciiTheme="minorEastAsia" w:hAnsiTheme="minorEastAsia" w:eastAsiaTheme="minorEastAsia" w:cstheme="minorEastAsia"/>
        </w:rPr>
        <w:t>。</w:t>
      </w:r>
    </w:p>
    <w:p w14:paraId="20030506">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12.3.4 总价合同的计量</w:t>
      </w:r>
    </w:p>
    <w:p w14:paraId="00932F91">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关于总价合同计量的约定：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612663F7">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12.3.5总价合同采用支付分解表计量支付的，是否适用第</w:t>
      </w:r>
      <w:r>
        <w:rPr>
          <w:rFonts w:hint="eastAsia" w:asciiTheme="minorEastAsia" w:hAnsiTheme="minorEastAsia" w:eastAsiaTheme="minorEastAsia" w:cstheme="minorEastAsia"/>
          <w:kern w:val="0"/>
        </w:rPr>
        <w:t xml:space="preserve">12.3.4 </w:t>
      </w:r>
      <w:r>
        <w:rPr>
          <w:rFonts w:hint="eastAsia" w:asciiTheme="minorEastAsia" w:hAnsiTheme="minorEastAsia" w:eastAsiaTheme="minorEastAsia" w:cstheme="minorEastAsia"/>
        </w:rPr>
        <w:t>项</w:t>
      </w:r>
      <w:r>
        <w:rPr>
          <w:rFonts w:hint="eastAsia" w:asciiTheme="minorEastAsia" w:hAnsiTheme="minorEastAsia" w:eastAsiaTheme="minorEastAsia" w:cstheme="minorEastAsia"/>
          <w:kern w:val="0"/>
        </w:rPr>
        <w:t>〔总价合同的计量〕</w:t>
      </w:r>
      <w:r>
        <w:rPr>
          <w:rFonts w:hint="eastAsia" w:asciiTheme="minorEastAsia" w:hAnsiTheme="minorEastAsia" w:eastAsiaTheme="minorEastAsia" w:cstheme="minorEastAsia"/>
        </w:rPr>
        <w:t>约定进行计量：</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499F605A">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12.3.6 其他价格形式合同的计量</w:t>
      </w:r>
    </w:p>
    <w:p w14:paraId="491DD54F">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其他价格形式的计量方式和程序：</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5D53C221">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12.4 工程进度款支付</w:t>
      </w:r>
    </w:p>
    <w:p w14:paraId="538E96CD">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12.4.1 付款周期</w:t>
      </w:r>
    </w:p>
    <w:p w14:paraId="3ABFDDE7">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关于付款周期的约定： </w:t>
      </w:r>
    </w:p>
    <w:p w14:paraId="7446A2BE">
      <w:pPr>
        <w:spacing w:line="360" w:lineRule="auto"/>
        <w:ind w:firstLine="420" w:firstLineChars="200"/>
        <w:rPr>
          <w:rFonts w:hint="eastAsia"/>
          <w:lang w:eastAsia="zh-CN"/>
        </w:rPr>
      </w:pPr>
      <w:r>
        <w:rPr>
          <w:rFonts w:hint="eastAsia"/>
        </w:rPr>
        <w:t>工程竣工验收合格后,经采购人审计、竣工结算完成后，成交供应商在竣工结算完成之日起15日内，按照合同结算价款的100%向采购人开具发票,采购人收到全额发票60日内支付至合同结算价款的100%给成交供应商，在成交供应商完成其合同义务包括任何保证义务至质保期结束无质量问题，退还成交供应商履约保证金(银行保函)</w:t>
      </w:r>
      <w:r>
        <w:rPr>
          <w:rFonts w:hint="eastAsia"/>
          <w:lang w:eastAsia="zh-CN"/>
        </w:rPr>
        <w:t>。</w:t>
      </w:r>
    </w:p>
    <w:p w14:paraId="573F5C3B">
      <w:pPr>
        <w:spacing w:line="360" w:lineRule="auto"/>
        <w:ind w:firstLine="420" w:firstLineChars="200"/>
        <w:rPr>
          <w:rFonts w:asciiTheme="minorEastAsia" w:hAnsiTheme="minorEastAsia" w:eastAsiaTheme="minorEastAsia" w:cstheme="minorEastAsia"/>
        </w:rPr>
      </w:pPr>
      <w:r>
        <w:rPr>
          <w:rFonts w:hint="eastAsia"/>
        </w:rPr>
        <w:t>注:因采购人单位性质，需要按照国家、省级项目资金支付规定执行，成交供应商应对此清楚知晓，采购人尽量保证按照本协议约定履行义务，如因以上原因导致无法按时支付款项的，成交供应商承诺不追究采购人违约责任。</w:t>
      </w:r>
    </w:p>
    <w:p w14:paraId="280E0984">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12.4.2 进度付款申请单的编制</w:t>
      </w:r>
    </w:p>
    <w:p w14:paraId="5C1406F0">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关于进度付款申请单编制的约定：</w:t>
      </w:r>
      <w:r>
        <w:rPr>
          <w:rFonts w:hint="eastAsia" w:asciiTheme="minorEastAsia" w:hAnsiTheme="minorEastAsia" w:eastAsiaTheme="minorEastAsia" w:cstheme="minorEastAsia"/>
          <w:u w:val="single"/>
        </w:rPr>
        <w:t>执行通用合同条款</w:t>
      </w:r>
      <w:r>
        <w:rPr>
          <w:rFonts w:hint="eastAsia" w:asciiTheme="minorEastAsia" w:hAnsiTheme="minorEastAsia" w:eastAsiaTheme="minorEastAsia" w:cstheme="minorEastAsia"/>
        </w:rPr>
        <w:t>。</w:t>
      </w:r>
    </w:p>
    <w:p w14:paraId="47FF344D">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12.4.3 进度付款申请单的提交</w:t>
      </w:r>
    </w:p>
    <w:p w14:paraId="37D2D7A5">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（1）单价合同进度付款申请单提交的约定：</w:t>
      </w:r>
      <w:r>
        <w:rPr>
          <w:rFonts w:hint="eastAsia" w:asciiTheme="minorEastAsia" w:hAnsiTheme="minorEastAsia" w:eastAsiaTheme="minorEastAsia" w:cstheme="minorEastAsia"/>
          <w:u w:val="single"/>
        </w:rPr>
        <w:t>单价合同的进度付款申请单，承包人应在达到每个付款节点后5天内向监理人提交，并附上已完成工程量报表和有关资料。单价合同中的总价项目按付款周期进行支付分解，并汇总列入当期进度付款申请单</w:t>
      </w:r>
      <w:r>
        <w:rPr>
          <w:rFonts w:hint="eastAsia" w:asciiTheme="minorEastAsia" w:hAnsiTheme="minorEastAsia" w:eastAsiaTheme="minorEastAsia" w:cstheme="minorEastAsia"/>
        </w:rPr>
        <w:t>。</w:t>
      </w:r>
    </w:p>
    <w:p w14:paraId="7206C156">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（2）总价合同进度付款申请单提交的约定：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199F4552">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（3）其他价格形式合同进度付款申请单提交的约定：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42A38638">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12.4.4 进度款审核和支付</w:t>
      </w:r>
    </w:p>
    <w:p w14:paraId="2EA9762D">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（1）监理人审查并报送发包人的期限：</w:t>
      </w:r>
      <w:r>
        <w:rPr>
          <w:rFonts w:hint="eastAsia" w:asciiTheme="minorEastAsia" w:hAnsiTheme="minorEastAsia" w:eastAsiaTheme="minorEastAsia" w:cstheme="minorEastAsia"/>
          <w:u w:val="single"/>
        </w:rPr>
        <w:t>执行通用合同条款</w:t>
      </w:r>
      <w:r>
        <w:rPr>
          <w:rFonts w:hint="eastAsia" w:asciiTheme="minorEastAsia" w:hAnsiTheme="minorEastAsia" w:eastAsiaTheme="minorEastAsia" w:cstheme="minorEastAsia"/>
        </w:rPr>
        <w:t>。</w:t>
      </w:r>
    </w:p>
    <w:p w14:paraId="6BB9FBA7">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发包人完成审批并签发进度款支付证书的期限：</w:t>
      </w:r>
      <w:r>
        <w:rPr>
          <w:rFonts w:hint="eastAsia" w:asciiTheme="minorEastAsia" w:hAnsiTheme="minorEastAsia" w:eastAsiaTheme="minorEastAsia" w:cstheme="minorEastAsia"/>
          <w:u w:val="single"/>
        </w:rPr>
        <w:t>执行通用合同条款</w:t>
      </w:r>
      <w:r>
        <w:rPr>
          <w:rFonts w:hint="eastAsia" w:asciiTheme="minorEastAsia" w:hAnsiTheme="minorEastAsia" w:eastAsiaTheme="minorEastAsia" w:cstheme="minorEastAsia"/>
        </w:rPr>
        <w:t>。</w:t>
      </w:r>
    </w:p>
    <w:p w14:paraId="147AF006">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1）发包人付款时，必须同时满足工期和形象进度要求。（2）发包人付款时，承包人所完成工程必须是经验收合格且按要求已报送完整进度付款申请资料的。（3）每次付款前承包人应提供足额、合法的增值税专用发票，承包人不按要求提供增值税专用发票的，发包人有权拒绝付款，由此产生的后果由承包人自行承担。（4）每次付款前承包人需出具未拖欠农民工工资证明，如果承包人不能提供，发包人有权拒绝支付工程款，由此发生的一切后果由承包人自行承担</w:t>
      </w:r>
      <w:r>
        <w:rPr>
          <w:rFonts w:hint="eastAsia" w:asciiTheme="minorEastAsia" w:hAnsiTheme="minorEastAsia" w:eastAsiaTheme="minorEastAsia" w:cstheme="minorEastAsia"/>
        </w:rPr>
        <w:t>。</w:t>
      </w:r>
    </w:p>
    <w:p w14:paraId="49081DC9">
      <w:pPr>
        <w:numPr>
          <w:ilvl w:val="0"/>
          <w:numId w:val="6"/>
        </w:numPr>
        <w:spacing w:line="360" w:lineRule="auto"/>
        <w:ind w:firstLine="360"/>
        <w:rPr>
          <w:rFonts w:asciiTheme="minorEastAsia" w:hAnsiTheme="minorEastAsia" w:eastAsiaTheme="minorEastAsia" w:cstheme="minorEastAsia"/>
        </w:rPr>
      </w:pPr>
      <w:r>
        <w:rPr>
          <w:rFonts w:hint="eastAsia" w:asciiTheme="minorEastAsia" w:hAnsiTheme="minorEastAsia" w:eastAsiaTheme="minorEastAsia" w:cstheme="minorEastAsia"/>
        </w:rPr>
        <w:t>发包人支付进度款的期限：</w:t>
      </w:r>
      <w:r>
        <w:rPr>
          <w:rFonts w:hint="eastAsia" w:asciiTheme="minorEastAsia" w:hAnsiTheme="minorEastAsia" w:eastAsiaTheme="minorEastAsia" w:cstheme="minorEastAsia"/>
          <w:u w:val="single"/>
        </w:rPr>
        <w:t>执行通用合同条款</w:t>
      </w:r>
      <w:r>
        <w:rPr>
          <w:rFonts w:hint="eastAsia" w:asciiTheme="minorEastAsia" w:hAnsiTheme="minorEastAsia" w:eastAsiaTheme="minorEastAsia" w:cstheme="minorEastAsia"/>
        </w:rPr>
        <w:t>。</w:t>
      </w:r>
    </w:p>
    <w:p w14:paraId="401045D5">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发包人逾期支付进度款的违约金的计算方式：。</w:t>
      </w:r>
    </w:p>
    <w:p w14:paraId="2BA48585">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12.4.6 支付分解表的编制</w:t>
      </w:r>
    </w:p>
    <w:p w14:paraId="0E282877">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2.总价合同支付分解表的编制与审批：</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59AFB67E">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3.单价合同的总价项目支付分解表的编制与审批：</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4C3EE13B">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12.5 支付账户</w:t>
      </w:r>
    </w:p>
    <w:p w14:paraId="004C9240">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发包人应将工程款（含进度款）中的农民工工资部分按承包人核定的比例转账支付至农民工工资专用账户（如有）；将扣除已转入农民工工资专用账户后剩余工程款（含进度款）转账支付至本合同约定的账户；</w:t>
      </w:r>
    </w:p>
    <w:p w14:paraId="12CA9F8A">
      <w:pPr>
        <w:pStyle w:val="5"/>
        <w:spacing w:before="0" w:after="0" w:line="360" w:lineRule="auto"/>
        <w:ind w:firstLine="316"/>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 验收和工程试车</w:t>
      </w:r>
    </w:p>
    <w:p w14:paraId="46D16087">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13.1 分部分项工程验收</w:t>
      </w:r>
    </w:p>
    <w:p w14:paraId="77220DFB">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13.1.2分部分项工程经承包人自检合格并具备验收条件的，承包人应提前48小时通知监理人、发包人进行验收。监理人、发包人不能按时进行验收的，应在验收前24小时向承包人提交书面延期要求，但延期不能超过48小时。监理人、发包人未按时进行验收，也未提出延期要求的，承包人有权自行验收，监理人、发包人应认可验收结果。分部分项工程未经验收的，不得进入下一道工序施工。</w:t>
      </w:r>
    </w:p>
    <w:p w14:paraId="077E4A23">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分部分项工程的验收资料应当作为竣工资料的组成部分。</w:t>
      </w:r>
    </w:p>
    <w:p w14:paraId="705E7118">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13.2 竣工验收</w:t>
      </w:r>
    </w:p>
    <w:p w14:paraId="72528037">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13.2.2竣工验收程序</w:t>
      </w:r>
    </w:p>
    <w:p w14:paraId="7C75EB1D">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kern w:val="0"/>
        </w:rPr>
        <w:t>关于竣工验收程序的约定：</w:t>
      </w:r>
      <w:r>
        <w:rPr>
          <w:rFonts w:hint="eastAsia" w:asciiTheme="minorEastAsia" w:hAnsiTheme="minorEastAsia" w:eastAsiaTheme="minorEastAsia" w:cstheme="minorEastAsia"/>
          <w:u w:val="single"/>
        </w:rPr>
        <w:t>执行通用合同条款</w:t>
      </w:r>
      <w:r>
        <w:rPr>
          <w:rFonts w:hint="eastAsia" w:asciiTheme="minorEastAsia" w:hAnsiTheme="minorEastAsia" w:eastAsiaTheme="minorEastAsia" w:cstheme="minorEastAsia"/>
        </w:rPr>
        <w:t>。</w:t>
      </w:r>
    </w:p>
    <w:p w14:paraId="62E302B0">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kern w:val="0"/>
        </w:rPr>
        <w:t>发包人不按照本项约定组织竣工验收、颁发工程接收证书的违约金的计算方法：</w:t>
      </w:r>
      <w:r>
        <w:rPr>
          <w:rFonts w:hint="eastAsia" w:asciiTheme="minorEastAsia" w:hAnsiTheme="minorEastAsia" w:eastAsiaTheme="minorEastAsia" w:cstheme="minorEastAsia"/>
        </w:rPr>
        <w:t>。</w:t>
      </w:r>
    </w:p>
    <w:p w14:paraId="3FACABCE">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13.2.5移交、接收全部与部分工程</w:t>
      </w:r>
    </w:p>
    <w:p w14:paraId="7392DD31">
      <w:pPr>
        <w:spacing w:line="360" w:lineRule="auto"/>
        <w:ind w:firstLine="42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承包人向发包人移交工程的期限：</w:t>
      </w:r>
      <w:r>
        <w:rPr>
          <w:rFonts w:hint="eastAsia" w:asciiTheme="minorEastAsia" w:hAnsiTheme="minorEastAsia" w:eastAsiaTheme="minorEastAsia" w:cstheme="minorEastAsia"/>
          <w:u w:val="single"/>
        </w:rPr>
        <w:t>执行通用合同条款</w:t>
      </w:r>
      <w:r>
        <w:rPr>
          <w:rFonts w:hint="eastAsia" w:asciiTheme="minorEastAsia" w:hAnsiTheme="minorEastAsia" w:eastAsiaTheme="minorEastAsia" w:cstheme="minorEastAsia"/>
        </w:rPr>
        <w:t>。</w:t>
      </w:r>
    </w:p>
    <w:p w14:paraId="2DA8019A">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kern w:val="0"/>
        </w:rPr>
        <w:t>发包人未按本合同约定接收全部或部分工程的，违约金的计算方法为：</w:t>
      </w:r>
      <w:r>
        <w:rPr>
          <w:rFonts w:hint="eastAsia" w:asciiTheme="minorEastAsia" w:hAnsiTheme="minorEastAsia" w:eastAsiaTheme="minorEastAsia" w:cstheme="minorEastAsia"/>
        </w:rPr>
        <w:t>。</w:t>
      </w:r>
    </w:p>
    <w:p w14:paraId="2AB0ABE6">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承包人未按时移交工程的，违约金的计算方法为：。</w:t>
      </w:r>
    </w:p>
    <w:p w14:paraId="1BB251D0">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13.3 工程试车</w:t>
      </w:r>
    </w:p>
    <w:p w14:paraId="15DE73DC">
      <w:pPr>
        <w:spacing w:line="360" w:lineRule="auto"/>
        <w:ind w:firstLine="42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13.3.1 试车程序</w:t>
      </w:r>
    </w:p>
    <w:p w14:paraId="252681A7">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kern w:val="0"/>
        </w:rPr>
        <w:t>工程试车内容：</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223295F3">
      <w:pPr>
        <w:spacing w:line="360" w:lineRule="auto"/>
        <w:ind w:firstLine="42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（1）单机无负荷试车费用由</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kern w:val="0"/>
        </w:rPr>
        <w:t>承担；</w:t>
      </w:r>
    </w:p>
    <w:p w14:paraId="1C9099DD">
      <w:pPr>
        <w:spacing w:line="360" w:lineRule="auto"/>
        <w:ind w:firstLine="42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（2）无负荷联动试车费用由</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kern w:val="0"/>
        </w:rPr>
        <w:t>承担。</w:t>
      </w:r>
    </w:p>
    <w:p w14:paraId="675856AC">
      <w:pPr>
        <w:spacing w:line="360" w:lineRule="auto"/>
        <w:ind w:firstLine="42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13.3.3 投料试车</w:t>
      </w:r>
    </w:p>
    <w:p w14:paraId="79AFB591">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kern w:val="0"/>
        </w:rPr>
        <w:t>关于投料试车相关事项的约定：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29933B09">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13.6 竣工退场</w:t>
      </w:r>
    </w:p>
    <w:p w14:paraId="33327F2E">
      <w:pPr>
        <w:spacing w:line="360" w:lineRule="auto"/>
        <w:ind w:firstLine="42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13.6.1 承包人完成竣工退场前，须将围挡拆除，将破损路面、施工大门围墙及市政道路、花坛等相关设施无偿恢复。</w:t>
      </w:r>
    </w:p>
    <w:p w14:paraId="2D72CC6F">
      <w:pPr>
        <w:spacing w:line="360" w:lineRule="auto"/>
        <w:ind w:firstLine="42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13.6.2 竣工退场</w:t>
      </w:r>
    </w:p>
    <w:p w14:paraId="36F4E7D4">
      <w:pPr>
        <w:spacing w:line="360" w:lineRule="auto"/>
        <w:ind w:firstLine="42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承包人完成竣工退场的期限：</w:t>
      </w:r>
      <w:r>
        <w:rPr>
          <w:rFonts w:hint="eastAsia" w:asciiTheme="minorEastAsia" w:hAnsiTheme="minorEastAsia" w:eastAsiaTheme="minorEastAsia" w:cstheme="minorEastAsia"/>
          <w:u w:val="single"/>
        </w:rPr>
        <w:t>颁发工程接收证书后14天内 ，同时将建筑垃圾及其他临时设施清理完毕</w:t>
      </w:r>
      <w:r>
        <w:rPr>
          <w:rFonts w:hint="eastAsia" w:asciiTheme="minorEastAsia" w:hAnsiTheme="minorEastAsia" w:eastAsiaTheme="minorEastAsia" w:cstheme="minorEastAsia"/>
          <w:kern w:val="0"/>
        </w:rPr>
        <w:t>。</w:t>
      </w:r>
    </w:p>
    <w:p w14:paraId="11C9C7BC">
      <w:pPr>
        <w:spacing w:line="360" w:lineRule="auto"/>
        <w:ind w:firstLine="420" w:firstLineChars="200"/>
        <w:rPr>
          <w:rFonts w:asciiTheme="minorEastAsia" w:hAnsiTheme="minorEastAsia" w:eastAsiaTheme="minorEastAsia" w:cstheme="minorEastAsia"/>
          <w:kern w:val="0"/>
        </w:rPr>
      </w:pPr>
    </w:p>
    <w:p w14:paraId="3A735578">
      <w:pPr>
        <w:pStyle w:val="5"/>
        <w:spacing w:before="0" w:after="0" w:line="360" w:lineRule="auto"/>
        <w:ind w:firstLine="316"/>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 竣工结算</w:t>
      </w:r>
    </w:p>
    <w:p w14:paraId="7C82CEA9">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14.1 竣工结算申请</w:t>
      </w:r>
    </w:p>
    <w:p w14:paraId="1E2D91A2">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承包人提交竣工结算申请单的期限：</w:t>
      </w:r>
      <w:r>
        <w:rPr>
          <w:rFonts w:hint="eastAsia" w:asciiTheme="minorEastAsia" w:hAnsiTheme="minorEastAsia" w:eastAsiaTheme="minorEastAsia" w:cstheme="minorEastAsia"/>
          <w:u w:val="single"/>
        </w:rPr>
        <w:t>执行通用合同条款</w:t>
      </w:r>
      <w:r>
        <w:rPr>
          <w:rFonts w:hint="eastAsia" w:asciiTheme="minorEastAsia" w:hAnsiTheme="minorEastAsia" w:eastAsiaTheme="minorEastAsia" w:cstheme="minorEastAsia"/>
        </w:rPr>
        <w:t>。</w:t>
      </w:r>
    </w:p>
    <w:p w14:paraId="6262F760">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竣工结算申请单应包括的内容：</w:t>
      </w:r>
      <w:r>
        <w:rPr>
          <w:rFonts w:hint="eastAsia" w:asciiTheme="minorEastAsia" w:hAnsiTheme="minorEastAsia" w:eastAsiaTheme="minorEastAsia" w:cstheme="minorEastAsia"/>
          <w:u w:val="single"/>
        </w:rPr>
        <w:t>执行通用合同条款</w:t>
      </w:r>
      <w:r>
        <w:rPr>
          <w:rFonts w:hint="eastAsia" w:asciiTheme="minorEastAsia" w:hAnsiTheme="minorEastAsia" w:eastAsiaTheme="minorEastAsia" w:cstheme="minorEastAsia"/>
        </w:rPr>
        <w:t>。</w:t>
      </w:r>
    </w:p>
    <w:p w14:paraId="1134E005">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14.2 竣工结算审核</w:t>
      </w:r>
    </w:p>
    <w:p w14:paraId="2D0230BC">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工程竣工结算审查期限：</w:t>
      </w:r>
      <w:r>
        <w:rPr>
          <w:rFonts w:hint="eastAsia" w:asciiTheme="minorEastAsia" w:hAnsiTheme="minorEastAsia" w:eastAsiaTheme="minorEastAsia" w:cstheme="minorEastAsia"/>
          <w:u w:val="single"/>
        </w:rPr>
        <w:t>承包人须递交竣工结算报告及完整的结算资料。发包人从接到竣工结算报告和完整的竣工结算资料之日起60天内完成审查并提出审查意见。若承包人递交的结算资料不完整，则审查期限从承包人最后一次补充递交结算资料次日起开始计算；若承包人递交的结算资料不完整，经监理人或发包人催告后仍不能补充递交完整资料时，发包人有权根据已有资料进行审查，审查期限从催告期满次日起开始计算</w:t>
      </w:r>
      <w:r>
        <w:rPr>
          <w:rFonts w:hint="eastAsia" w:asciiTheme="minorEastAsia" w:hAnsiTheme="minorEastAsia" w:eastAsiaTheme="minorEastAsia" w:cstheme="minorEastAsia"/>
        </w:rPr>
        <w:t>。</w:t>
      </w:r>
    </w:p>
    <w:p w14:paraId="2B672EB0">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u w:val="single"/>
        </w:rPr>
        <w:t>承包人如未在规定时间内提供完整的工程竣工结算资料，经发包人催告后仍未完整提供，视为承包人自动放弃，发包人有权根据已有资料进行审查，所有责任和损失由承包人承担</w:t>
      </w:r>
      <w:r>
        <w:rPr>
          <w:rFonts w:hint="eastAsia" w:asciiTheme="minorEastAsia" w:hAnsiTheme="minorEastAsia" w:eastAsiaTheme="minorEastAsia" w:cstheme="minorEastAsia"/>
        </w:rPr>
        <w:t>。</w:t>
      </w:r>
    </w:p>
    <w:p w14:paraId="2A2EEC3D">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前述竣工结算报告及完整的结算资料等应由项目经理或经承包人授权的员工递交，被授权人应向发包人提交承包人开具的授权委托书</w:t>
      </w:r>
      <w:r>
        <w:rPr>
          <w:rFonts w:hint="eastAsia" w:asciiTheme="minorEastAsia" w:hAnsiTheme="minorEastAsia" w:eastAsiaTheme="minorEastAsia" w:cstheme="minorEastAsia"/>
        </w:rPr>
        <w:t>。</w:t>
      </w:r>
    </w:p>
    <w:p w14:paraId="4800610C">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发包人审批竣工付款申请单的期限：</w:t>
      </w:r>
      <w:r>
        <w:rPr>
          <w:rFonts w:hint="eastAsia" w:asciiTheme="minorEastAsia" w:hAnsiTheme="minorEastAsia" w:eastAsiaTheme="minorEastAsia" w:cstheme="minorEastAsia"/>
          <w:u w:val="single"/>
        </w:rPr>
        <w:t>根据确认的竣工结算报告，承包人向发包人申请支付工程竣工结算款，发包人应在收到申请后28天内予以审批</w:t>
      </w:r>
      <w:r>
        <w:rPr>
          <w:rFonts w:hint="eastAsia" w:asciiTheme="minorEastAsia" w:hAnsiTheme="minorEastAsia" w:eastAsiaTheme="minorEastAsia" w:cstheme="minorEastAsia"/>
        </w:rPr>
        <w:t>。</w:t>
      </w:r>
    </w:p>
    <w:p w14:paraId="27A65278">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发包人完成竣工付款的期限：</w:t>
      </w:r>
      <w:r>
        <w:rPr>
          <w:rFonts w:hint="eastAsia" w:asciiTheme="minorEastAsia" w:hAnsiTheme="minorEastAsia" w:eastAsiaTheme="minorEastAsia" w:cstheme="minorEastAsia"/>
          <w:u w:val="single"/>
        </w:rPr>
        <w:t>签发竣工付款证书后56天内</w:t>
      </w:r>
      <w:r>
        <w:rPr>
          <w:rFonts w:hint="eastAsia" w:asciiTheme="minorEastAsia" w:hAnsiTheme="minorEastAsia" w:eastAsiaTheme="minorEastAsia" w:cstheme="minorEastAsia"/>
        </w:rPr>
        <w:t>。</w:t>
      </w:r>
    </w:p>
    <w:p w14:paraId="61684EB7">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关于竣工付款证书异议部分复核的方式和程序：</w:t>
      </w:r>
      <w:r>
        <w:rPr>
          <w:rFonts w:hint="eastAsia" w:asciiTheme="minorEastAsia" w:hAnsiTheme="minorEastAsia" w:eastAsiaTheme="minorEastAsia" w:cstheme="minorEastAsia"/>
          <w:u w:val="single"/>
        </w:rPr>
        <w:t>执行通用合同条款</w:t>
      </w:r>
      <w:r>
        <w:rPr>
          <w:rFonts w:hint="eastAsia" w:asciiTheme="minorEastAsia" w:hAnsiTheme="minorEastAsia" w:eastAsiaTheme="minorEastAsia" w:cstheme="minorEastAsia"/>
        </w:rPr>
        <w:t>。</w:t>
      </w:r>
    </w:p>
    <w:p w14:paraId="243C41B7">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14.4 最终结清</w:t>
      </w:r>
    </w:p>
    <w:p w14:paraId="7220CE4D">
      <w:pPr>
        <w:spacing w:line="360" w:lineRule="auto"/>
        <w:ind w:firstLine="42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14.4.1 最终结清申请单</w:t>
      </w:r>
    </w:p>
    <w:p w14:paraId="332364EB">
      <w:pPr>
        <w:spacing w:line="360" w:lineRule="auto"/>
        <w:ind w:firstLine="42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承包人提交最终结清申请单的份数：</w:t>
      </w:r>
      <w:r>
        <w:rPr>
          <w:rFonts w:hint="eastAsia" w:asciiTheme="minorEastAsia" w:hAnsiTheme="minorEastAsia" w:eastAsiaTheme="minorEastAsia" w:cstheme="minorEastAsia"/>
          <w:u w:val="single"/>
        </w:rPr>
        <w:t>贰份（含电子版）</w:t>
      </w:r>
      <w:r>
        <w:rPr>
          <w:rFonts w:hint="eastAsia" w:asciiTheme="minorEastAsia" w:hAnsiTheme="minorEastAsia" w:eastAsiaTheme="minorEastAsia" w:cstheme="minorEastAsia"/>
        </w:rPr>
        <w:t>。</w:t>
      </w:r>
    </w:p>
    <w:p w14:paraId="638483B5">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kern w:val="0"/>
        </w:rPr>
        <w:t>承包人提交最终结算申请单的期限：</w:t>
      </w:r>
      <w:r>
        <w:rPr>
          <w:rFonts w:hint="eastAsia" w:asciiTheme="minorEastAsia" w:hAnsiTheme="minorEastAsia" w:eastAsiaTheme="minorEastAsia" w:cstheme="minorEastAsia"/>
          <w:u w:val="single"/>
        </w:rPr>
        <w:t>执行通用合同条款</w:t>
      </w:r>
      <w:r>
        <w:rPr>
          <w:rFonts w:hint="eastAsia" w:asciiTheme="minorEastAsia" w:hAnsiTheme="minorEastAsia" w:eastAsiaTheme="minorEastAsia" w:cstheme="minorEastAsia"/>
        </w:rPr>
        <w:t xml:space="preserve">。 </w:t>
      </w:r>
    </w:p>
    <w:p w14:paraId="39A17C1D">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14.4.2 最终结清证书和支付</w:t>
      </w:r>
    </w:p>
    <w:p w14:paraId="642F93E1">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（1）发包人完成最终结清申请单的审批并颁发最终结清证书的期限：</w:t>
      </w:r>
      <w:r>
        <w:rPr>
          <w:rFonts w:hint="eastAsia" w:asciiTheme="minorEastAsia" w:hAnsiTheme="minorEastAsia" w:eastAsiaTheme="minorEastAsia" w:cstheme="minorEastAsia"/>
          <w:u w:val="single"/>
        </w:rPr>
        <w:t>执行通用合同条款</w:t>
      </w:r>
      <w:r>
        <w:rPr>
          <w:rFonts w:hint="eastAsia" w:asciiTheme="minorEastAsia" w:hAnsiTheme="minorEastAsia" w:eastAsiaTheme="minorEastAsia" w:cstheme="minorEastAsia"/>
        </w:rPr>
        <w:t>。</w:t>
      </w:r>
    </w:p>
    <w:p w14:paraId="7271F178">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（2）发包人完成支付的期限：</w:t>
      </w:r>
      <w:r>
        <w:rPr>
          <w:rFonts w:hint="eastAsia" w:asciiTheme="minorEastAsia" w:hAnsiTheme="minorEastAsia" w:eastAsiaTheme="minorEastAsia" w:cstheme="minorEastAsia"/>
          <w:u w:val="single"/>
        </w:rPr>
        <w:t>颁发最终结清证书后56天内</w:t>
      </w:r>
      <w:r>
        <w:rPr>
          <w:rFonts w:hint="eastAsia" w:asciiTheme="minorEastAsia" w:hAnsiTheme="minorEastAsia" w:eastAsiaTheme="minorEastAsia" w:cstheme="minorEastAsia"/>
        </w:rPr>
        <w:t>。</w:t>
      </w:r>
    </w:p>
    <w:p w14:paraId="0E792001">
      <w:pPr>
        <w:pStyle w:val="5"/>
        <w:spacing w:before="0" w:after="0" w:line="360" w:lineRule="auto"/>
        <w:ind w:firstLine="316"/>
        <w:rPr>
          <w:rFonts w:asciiTheme="minorEastAsia" w:hAnsiTheme="minorEastAsia" w:eastAsiaTheme="minorEastAsia" w:cstheme="minorEastAsia"/>
          <w:sz w:val="21"/>
          <w:szCs w:val="21"/>
        </w:rPr>
      </w:pPr>
      <w:bookmarkStart w:id="1098" w:name="_Toc267251486"/>
      <w:bookmarkStart w:id="1099" w:name="_Toc267251489"/>
      <w:bookmarkStart w:id="1100" w:name="_Toc267251490"/>
      <w:bookmarkStart w:id="1101" w:name="_Toc267251488"/>
      <w:r>
        <w:rPr>
          <w:rFonts w:hint="eastAsia" w:asciiTheme="minorEastAsia" w:hAnsiTheme="minorEastAsia" w:eastAsiaTheme="minorEastAsia" w:cstheme="minorEastAsia"/>
          <w:sz w:val="21"/>
          <w:szCs w:val="21"/>
        </w:rPr>
        <w:t>15. 缺陷责任期与保修</w:t>
      </w:r>
    </w:p>
    <w:p w14:paraId="2E6E3306">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15.2缺陷责任期</w:t>
      </w:r>
    </w:p>
    <w:p w14:paraId="6D013092">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缺陷责任期的具体期限：</w:t>
      </w:r>
      <w:r>
        <w:rPr>
          <w:rFonts w:hint="eastAsia" w:asciiTheme="minorEastAsia" w:hAnsiTheme="minorEastAsia" w:eastAsiaTheme="minorEastAsia" w:cstheme="minorEastAsia"/>
          <w:u w:val="single"/>
        </w:rPr>
        <w:t xml:space="preserve">           </w:t>
      </w:r>
      <w:r>
        <w:rPr>
          <w:rFonts w:asciiTheme="minorEastAsia" w:hAnsiTheme="minorEastAsia" w:eastAsiaTheme="minorEastAsia" w:cstheme="minorEastAsia"/>
          <w:u w:val="single"/>
        </w:rPr>
        <w:t>12</w:t>
      </w:r>
      <w:r>
        <w:rPr>
          <w:rFonts w:hint="eastAsia" w:asciiTheme="minorEastAsia" w:hAnsiTheme="minorEastAsia" w:eastAsiaTheme="minorEastAsia" w:cstheme="minorEastAsia"/>
          <w:u w:val="single"/>
        </w:rPr>
        <w:t xml:space="preserve">个月            </w:t>
      </w:r>
      <w:r>
        <w:rPr>
          <w:rFonts w:hint="eastAsia" w:asciiTheme="minorEastAsia" w:hAnsiTheme="minorEastAsia" w:eastAsiaTheme="minorEastAsia" w:cstheme="minorEastAsia"/>
        </w:rPr>
        <w:t>。</w:t>
      </w:r>
    </w:p>
    <w:p w14:paraId="5853557F">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15.3 质量保证金</w:t>
      </w:r>
    </w:p>
    <w:p w14:paraId="786D4D1D">
      <w:pPr>
        <w:spacing w:line="360" w:lineRule="auto"/>
        <w:ind w:firstLine="42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rPr>
        <w:t>关于是否扣留质量保证金的约定</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lang w:eastAsia="zh-CN"/>
        </w:rPr>
        <w:t>不</w:t>
      </w:r>
      <w:r>
        <w:rPr>
          <w:rFonts w:hint="eastAsia" w:asciiTheme="minorEastAsia" w:hAnsiTheme="minorEastAsia" w:eastAsiaTheme="minorEastAsia" w:cstheme="minorEastAsia"/>
          <w:highlight w:val="none"/>
          <w:u w:val="single"/>
        </w:rPr>
        <w:t>扣留</w:t>
      </w:r>
      <w:r>
        <w:rPr>
          <w:rFonts w:hint="eastAsia" w:asciiTheme="minorEastAsia" w:hAnsiTheme="minorEastAsia" w:eastAsiaTheme="minorEastAsia" w:cstheme="minorEastAsia"/>
          <w:highlight w:val="none"/>
        </w:rPr>
        <w:t>。在工程项目竣工前，承包人按专用合同条款第3.7条提供履约担保的，发包人不得同时预留工程质量保证金。</w:t>
      </w:r>
    </w:p>
    <w:p w14:paraId="20FA8649">
      <w:pPr>
        <w:spacing w:line="360" w:lineRule="auto"/>
        <w:ind w:firstLine="42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15.3.1 承包人提供质量保证金的方式</w:t>
      </w:r>
    </w:p>
    <w:p w14:paraId="0ED65174">
      <w:pPr>
        <w:spacing w:line="360" w:lineRule="auto"/>
        <w:ind w:firstLine="42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质量保证金采用以下第</w:t>
      </w:r>
      <w:r>
        <w:rPr>
          <w:rFonts w:hint="eastAsia" w:asciiTheme="minorEastAsia" w:hAnsiTheme="minorEastAsia" w:eastAsiaTheme="minorEastAsia" w:cstheme="minorEastAsia"/>
          <w:kern w:val="0"/>
          <w:highlight w:val="none"/>
          <w:u w:val="single"/>
        </w:rPr>
        <w:t xml:space="preserve"> /</w:t>
      </w:r>
      <w:r>
        <w:rPr>
          <w:rFonts w:hint="eastAsia" w:asciiTheme="minorEastAsia" w:hAnsiTheme="minorEastAsia" w:eastAsiaTheme="minorEastAsia" w:cstheme="minorEastAsia"/>
          <w:highlight w:val="none"/>
        </w:rPr>
        <w:t>种方式：</w:t>
      </w:r>
    </w:p>
    <w:p w14:paraId="3E08E42D">
      <w:pPr>
        <w:autoSpaceDE w:val="0"/>
        <w:autoSpaceDN w:val="0"/>
        <w:adjustRightInd w:val="0"/>
        <w:spacing w:line="360" w:lineRule="auto"/>
        <w:ind w:firstLine="420" w:firstLineChars="200"/>
        <w:rPr>
          <w:rFonts w:asciiTheme="minorEastAsia" w:hAnsiTheme="minorEastAsia" w:eastAsiaTheme="minorEastAsia" w:cstheme="minorEastAsia"/>
          <w:kern w:val="0"/>
          <w:highlight w:val="none"/>
        </w:rPr>
      </w:pPr>
      <w:r>
        <w:rPr>
          <w:rFonts w:hint="eastAsia" w:asciiTheme="minorEastAsia" w:hAnsiTheme="minorEastAsia" w:eastAsiaTheme="minorEastAsia" w:cstheme="minorEastAsia"/>
          <w:kern w:val="0"/>
          <w:highlight w:val="none"/>
        </w:rPr>
        <w:t>（1）质量保证金保函，保证金额为：</w:t>
      </w:r>
      <w:r>
        <w:rPr>
          <w:rFonts w:hint="eastAsia" w:asciiTheme="minorEastAsia" w:hAnsiTheme="minorEastAsia" w:eastAsiaTheme="minorEastAsia" w:cstheme="minorEastAsia"/>
          <w:kern w:val="0"/>
          <w:highlight w:val="none"/>
          <w:u w:val="single"/>
        </w:rPr>
        <w:t xml:space="preserve">          /         </w:t>
      </w:r>
      <w:r>
        <w:rPr>
          <w:rFonts w:hint="eastAsia" w:asciiTheme="minorEastAsia" w:hAnsiTheme="minorEastAsia" w:eastAsiaTheme="minorEastAsia" w:cstheme="minorEastAsia"/>
          <w:kern w:val="0"/>
          <w:highlight w:val="none"/>
        </w:rPr>
        <w:t xml:space="preserve">； </w:t>
      </w:r>
    </w:p>
    <w:p w14:paraId="74AD2AAA">
      <w:pPr>
        <w:autoSpaceDE w:val="0"/>
        <w:autoSpaceDN w:val="0"/>
        <w:adjustRightInd w:val="0"/>
        <w:spacing w:line="360" w:lineRule="auto"/>
        <w:ind w:firstLine="420" w:firstLineChars="200"/>
        <w:rPr>
          <w:rFonts w:asciiTheme="minorEastAsia" w:hAnsiTheme="minorEastAsia" w:eastAsiaTheme="minorEastAsia" w:cstheme="minorEastAsia"/>
          <w:kern w:val="0"/>
          <w:highlight w:val="none"/>
        </w:rPr>
      </w:pPr>
      <w:r>
        <w:rPr>
          <w:rFonts w:hint="eastAsia" w:asciiTheme="minorEastAsia" w:hAnsiTheme="minorEastAsia" w:eastAsiaTheme="minorEastAsia" w:cstheme="minorEastAsia"/>
          <w:kern w:val="0"/>
          <w:highlight w:val="none"/>
        </w:rPr>
        <w:t>（2）</w:t>
      </w:r>
      <w:r>
        <w:rPr>
          <w:rFonts w:hint="eastAsia" w:asciiTheme="minorEastAsia" w:hAnsiTheme="minorEastAsia" w:eastAsiaTheme="minorEastAsia" w:cstheme="minorEastAsia"/>
          <w:kern w:val="0"/>
          <w:highlight w:val="none"/>
          <w:u w:val="single"/>
        </w:rPr>
        <w:t xml:space="preserve">    </w:t>
      </w:r>
      <w:r>
        <w:rPr>
          <w:rFonts w:hint="eastAsia" w:asciiTheme="minorEastAsia" w:hAnsiTheme="minorEastAsia" w:eastAsiaTheme="minorEastAsia" w:cstheme="minorEastAsia"/>
          <w:kern w:val="0"/>
          <w:highlight w:val="none"/>
        </w:rPr>
        <w:t>%的工程款；</w:t>
      </w:r>
    </w:p>
    <w:p w14:paraId="4EFFFC18">
      <w:pPr>
        <w:autoSpaceDE w:val="0"/>
        <w:autoSpaceDN w:val="0"/>
        <w:adjustRightInd w:val="0"/>
        <w:spacing w:line="360" w:lineRule="auto"/>
        <w:ind w:firstLine="42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highlight w:val="none"/>
        </w:rPr>
        <w:t>（3）其他方式:</w:t>
      </w:r>
      <w:r>
        <w:rPr>
          <w:rFonts w:hint="eastAsia" w:asciiTheme="minorEastAsia" w:hAnsiTheme="minorEastAsia" w:eastAsiaTheme="minorEastAsia" w:cstheme="minorEastAsia"/>
          <w:kern w:val="0"/>
          <w:highlight w:val="none"/>
          <w:u w:val="single"/>
        </w:rPr>
        <w:t xml:space="preserve">                   </w:t>
      </w:r>
      <w:r>
        <w:rPr>
          <w:rFonts w:hint="eastAsia" w:asciiTheme="minorEastAsia" w:hAnsiTheme="minorEastAsia" w:eastAsiaTheme="minorEastAsia" w:cstheme="minorEastAsia"/>
          <w:kern w:val="0"/>
          <w:u w:val="single"/>
        </w:rPr>
        <w:t xml:space="preserve">/                    </w:t>
      </w:r>
      <w:r>
        <w:rPr>
          <w:rFonts w:hint="eastAsia" w:asciiTheme="minorEastAsia" w:hAnsiTheme="minorEastAsia" w:eastAsiaTheme="minorEastAsia" w:cstheme="minorEastAsia"/>
          <w:kern w:val="0"/>
        </w:rPr>
        <w:t>。</w:t>
      </w:r>
    </w:p>
    <w:p w14:paraId="778DF72D">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15.3.2 质量保证金的扣留 </w:t>
      </w:r>
    </w:p>
    <w:p w14:paraId="6EE28470">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质量保证金的扣留采取以下第</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kern w:val="0"/>
          <w:highlight w:val="none"/>
          <w:u w:val="single"/>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种方式：</w:t>
      </w:r>
    </w:p>
    <w:p w14:paraId="762F5DA0">
      <w:pPr>
        <w:autoSpaceDE w:val="0"/>
        <w:autoSpaceDN w:val="0"/>
        <w:adjustRightInd w:val="0"/>
        <w:spacing w:line="360" w:lineRule="auto"/>
        <w:ind w:firstLine="42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（1）在支付工程进度款时逐次扣留，在此情形下，质量保证金的计算基数不包括预付款的支付、扣回以及价格调整的金额；</w:t>
      </w:r>
    </w:p>
    <w:p w14:paraId="39DD01B7">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（2）工程竣工结算时一次性扣留质量保证金；</w:t>
      </w:r>
    </w:p>
    <w:p w14:paraId="343D133D">
      <w:pPr>
        <w:autoSpaceDE w:val="0"/>
        <w:autoSpaceDN w:val="0"/>
        <w:adjustRightInd w:val="0"/>
        <w:spacing w:line="360" w:lineRule="auto"/>
        <w:ind w:firstLine="42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（3）其他扣留方式:</w:t>
      </w:r>
      <w:r>
        <w:rPr>
          <w:rFonts w:hint="eastAsia" w:asciiTheme="minorEastAsia" w:hAnsiTheme="minorEastAsia" w:eastAsiaTheme="minorEastAsia" w:cstheme="minorEastAsia"/>
          <w:kern w:val="0"/>
          <w:u w:val="single"/>
        </w:rPr>
        <w:t xml:space="preserve">                  /                   </w:t>
      </w:r>
      <w:r>
        <w:rPr>
          <w:rFonts w:hint="eastAsia" w:asciiTheme="minorEastAsia" w:hAnsiTheme="minorEastAsia" w:eastAsiaTheme="minorEastAsia" w:cstheme="minorEastAsia"/>
          <w:kern w:val="0"/>
        </w:rPr>
        <w:t>。</w:t>
      </w:r>
    </w:p>
    <w:p w14:paraId="4F43BFC7">
      <w:pPr>
        <w:spacing w:line="360" w:lineRule="auto"/>
        <w:ind w:firstLine="420" w:firstLineChars="200"/>
        <w:rPr>
          <w:rFonts w:asciiTheme="minorEastAsia" w:hAnsiTheme="minorEastAsia" w:eastAsiaTheme="minorEastAsia" w:cstheme="minorEastAsia"/>
          <w:kern w:val="0"/>
          <w:u w:val="single"/>
        </w:rPr>
      </w:pPr>
      <w:r>
        <w:rPr>
          <w:rFonts w:hint="eastAsia" w:asciiTheme="minorEastAsia" w:hAnsiTheme="minorEastAsia" w:eastAsiaTheme="minorEastAsia" w:cstheme="minorEastAsia"/>
        </w:rPr>
        <w:t>关于质量保证金的补充约定：</w:t>
      </w:r>
      <w:r>
        <w:rPr>
          <w:rFonts w:hint="eastAsia" w:asciiTheme="minorEastAsia" w:hAnsiTheme="minorEastAsia" w:eastAsiaTheme="minorEastAsia" w:cstheme="minorEastAsia"/>
          <w:kern w:val="0"/>
          <w:u w:val="single"/>
        </w:rPr>
        <w:t xml:space="preserve">         /                   </w:t>
      </w:r>
      <w:r>
        <w:rPr>
          <w:rFonts w:hint="eastAsia" w:asciiTheme="minorEastAsia" w:hAnsiTheme="minorEastAsia" w:eastAsiaTheme="minorEastAsia" w:cstheme="minorEastAsia"/>
          <w:kern w:val="0"/>
        </w:rPr>
        <w:t>。</w:t>
      </w:r>
    </w:p>
    <w:p w14:paraId="7959D986">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15.4保修</w:t>
      </w:r>
    </w:p>
    <w:p w14:paraId="63934148">
      <w:pPr>
        <w:spacing w:line="360" w:lineRule="auto"/>
        <w:ind w:firstLine="409" w:firstLineChars="195"/>
        <w:rPr>
          <w:rFonts w:asciiTheme="minorEastAsia" w:hAnsiTheme="minorEastAsia" w:eastAsiaTheme="minorEastAsia" w:cstheme="minorEastAsia"/>
        </w:rPr>
      </w:pPr>
      <w:r>
        <w:rPr>
          <w:rFonts w:hint="eastAsia" w:asciiTheme="minorEastAsia" w:hAnsiTheme="minorEastAsia" w:eastAsiaTheme="minorEastAsia" w:cstheme="minorEastAsia"/>
        </w:rPr>
        <w:t>15.4.1 保修责任</w:t>
      </w:r>
    </w:p>
    <w:p w14:paraId="433D4199">
      <w:pPr>
        <w:spacing w:line="360" w:lineRule="auto"/>
        <w:ind w:firstLine="409" w:firstLineChars="195"/>
        <w:rPr>
          <w:rFonts w:asciiTheme="minorEastAsia" w:hAnsiTheme="minorEastAsia" w:eastAsiaTheme="minorEastAsia" w:cstheme="minorEastAsia"/>
          <w:kern w:val="0"/>
          <w:u w:val="single"/>
        </w:rPr>
      </w:pPr>
      <w:r>
        <w:rPr>
          <w:rFonts w:hint="eastAsia" w:asciiTheme="minorEastAsia" w:hAnsiTheme="minorEastAsia" w:eastAsiaTheme="minorEastAsia" w:cstheme="minorEastAsia"/>
        </w:rPr>
        <w:t>工程保修期为：</w:t>
      </w:r>
      <w:r>
        <w:rPr>
          <w:rFonts w:hint="eastAsia" w:asciiTheme="minorEastAsia" w:hAnsiTheme="minorEastAsia" w:eastAsiaTheme="minorEastAsia" w:cstheme="minorEastAsia"/>
          <w:kern w:val="0"/>
          <w:u w:val="single"/>
        </w:rPr>
        <w:t>详见本工程《工程质量保修书》，工程质量保修书未包含的工程为2年</w:t>
      </w:r>
      <w:r>
        <w:rPr>
          <w:rFonts w:hint="eastAsia" w:asciiTheme="minorEastAsia" w:hAnsiTheme="minorEastAsia" w:eastAsiaTheme="minorEastAsia" w:cstheme="minorEastAsia"/>
          <w:kern w:val="0"/>
        </w:rPr>
        <w:t>。</w:t>
      </w:r>
    </w:p>
    <w:p w14:paraId="69E09E15">
      <w:pPr>
        <w:spacing w:line="360" w:lineRule="auto"/>
        <w:ind w:firstLine="409" w:firstLineChars="195"/>
        <w:rPr>
          <w:rFonts w:asciiTheme="minorEastAsia" w:hAnsiTheme="minorEastAsia" w:eastAsiaTheme="minorEastAsia" w:cstheme="minorEastAsia"/>
        </w:rPr>
      </w:pPr>
      <w:r>
        <w:rPr>
          <w:rFonts w:hint="eastAsia" w:asciiTheme="minorEastAsia" w:hAnsiTheme="minorEastAsia" w:eastAsiaTheme="minorEastAsia" w:cstheme="minorEastAsia"/>
        </w:rPr>
        <w:t>15.4.3 修复通知</w:t>
      </w:r>
    </w:p>
    <w:p w14:paraId="5FBA8A99">
      <w:pPr>
        <w:spacing w:line="360" w:lineRule="auto"/>
        <w:ind w:firstLine="409" w:firstLineChars="195"/>
        <w:rPr>
          <w:rFonts w:asciiTheme="minorEastAsia" w:hAnsiTheme="minorEastAsia" w:eastAsiaTheme="minorEastAsia" w:cstheme="minorEastAsia"/>
          <w:kern w:val="0"/>
          <w:u w:val="single"/>
        </w:rPr>
      </w:pPr>
      <w:r>
        <w:rPr>
          <w:rFonts w:hint="eastAsia" w:asciiTheme="minorEastAsia" w:hAnsiTheme="minorEastAsia" w:eastAsiaTheme="minorEastAsia" w:cstheme="minorEastAsia"/>
          <w:kern w:val="0"/>
        </w:rPr>
        <w:t>承包人收到保修通知并到达工程现场的合理时间：</w:t>
      </w:r>
      <w:r>
        <w:rPr>
          <w:rFonts w:hint="eastAsia" w:asciiTheme="minorEastAsia" w:hAnsiTheme="minorEastAsia" w:eastAsiaTheme="minorEastAsia" w:cstheme="minorEastAsia"/>
          <w:kern w:val="0"/>
          <w:u w:val="single"/>
        </w:rPr>
        <w:t>承包人应在接到修复通知后3天内到达工程现场并修复缺陷或损坏，遇紧急情况需当天到达开展修复工作</w:t>
      </w:r>
      <w:r>
        <w:rPr>
          <w:rFonts w:hint="eastAsia" w:asciiTheme="minorEastAsia" w:hAnsiTheme="minorEastAsia" w:eastAsiaTheme="minorEastAsia" w:cstheme="minorEastAsia"/>
          <w:kern w:val="0"/>
        </w:rPr>
        <w:t>。</w:t>
      </w:r>
    </w:p>
    <w:bookmarkEnd w:id="1098"/>
    <w:bookmarkEnd w:id="1099"/>
    <w:bookmarkEnd w:id="1100"/>
    <w:bookmarkEnd w:id="1101"/>
    <w:p w14:paraId="155A3BFC">
      <w:pPr>
        <w:pStyle w:val="5"/>
        <w:spacing w:before="0" w:after="0" w:line="360" w:lineRule="auto"/>
        <w:ind w:firstLine="316"/>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 违约</w:t>
      </w:r>
    </w:p>
    <w:p w14:paraId="0A64C5AE">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16.1 发包人违约</w:t>
      </w:r>
    </w:p>
    <w:p w14:paraId="2F4CDBF7">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16.1.1发包人违约的情形</w:t>
      </w:r>
    </w:p>
    <w:p w14:paraId="438975E2">
      <w:pPr>
        <w:spacing w:line="360" w:lineRule="auto"/>
        <w:ind w:firstLine="420" w:firstLineChars="200"/>
        <w:rPr>
          <w:rFonts w:asciiTheme="minorEastAsia" w:hAnsiTheme="minorEastAsia" w:eastAsiaTheme="minorEastAsia" w:cstheme="minorEastAsia"/>
          <w:kern w:val="0"/>
          <w:u w:val="single"/>
        </w:rPr>
      </w:pPr>
      <w:r>
        <w:rPr>
          <w:rFonts w:hint="eastAsia" w:asciiTheme="minorEastAsia" w:hAnsiTheme="minorEastAsia" w:eastAsiaTheme="minorEastAsia" w:cstheme="minorEastAsia"/>
          <w:kern w:val="0"/>
        </w:rPr>
        <w:t>发包人违约的其他情形：</w:t>
      </w:r>
      <w:r>
        <w:rPr>
          <w:rFonts w:hint="eastAsia" w:asciiTheme="minorEastAsia" w:hAnsiTheme="minorEastAsia" w:eastAsiaTheme="minorEastAsia" w:cstheme="minorEastAsia"/>
          <w:kern w:val="0"/>
          <w:u w:val="single"/>
        </w:rPr>
        <w:t xml:space="preserve">                /                </w:t>
      </w:r>
      <w:r>
        <w:rPr>
          <w:rFonts w:hint="eastAsia" w:asciiTheme="minorEastAsia" w:hAnsiTheme="minorEastAsia" w:eastAsiaTheme="minorEastAsia" w:cstheme="minorEastAsia"/>
          <w:kern w:val="0"/>
        </w:rPr>
        <w:t>。</w:t>
      </w:r>
    </w:p>
    <w:p w14:paraId="0F4B62E6">
      <w:pPr>
        <w:spacing w:line="360" w:lineRule="auto"/>
        <w:ind w:left="1050" w:hanging="1050" w:hangingChars="5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 xml:space="preserve">    16.1.2 发包人违约的责任</w:t>
      </w:r>
    </w:p>
    <w:p w14:paraId="218F3D82">
      <w:pPr>
        <w:spacing w:line="360" w:lineRule="auto"/>
        <w:ind w:firstLine="42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发包人违约责任的承担方式和计算方法：</w:t>
      </w:r>
    </w:p>
    <w:p w14:paraId="61510930">
      <w:pPr>
        <w:spacing w:line="360" w:lineRule="auto"/>
        <w:ind w:firstLine="420" w:firstLineChars="200"/>
        <w:rPr>
          <w:rFonts w:asciiTheme="minorEastAsia" w:hAnsiTheme="minorEastAsia" w:eastAsiaTheme="minorEastAsia" w:cstheme="minorEastAsia"/>
          <w:kern w:val="0"/>
          <w:u w:val="single"/>
        </w:rPr>
      </w:pPr>
      <w:r>
        <w:rPr>
          <w:rFonts w:hint="eastAsia" w:asciiTheme="minorEastAsia" w:hAnsiTheme="minorEastAsia" w:eastAsiaTheme="minorEastAsia" w:cstheme="minorEastAsia"/>
          <w:kern w:val="0"/>
        </w:rPr>
        <w:t>（1）因发包人原因未能在计划开工日期前7天内下达开工通知的违约责任：。</w:t>
      </w:r>
    </w:p>
    <w:p w14:paraId="69AB7613">
      <w:pPr>
        <w:spacing w:line="360" w:lineRule="auto"/>
        <w:ind w:firstLine="42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（2）因发包人原因未能按合同约定支付合同价款的违约责任：。</w:t>
      </w:r>
    </w:p>
    <w:p w14:paraId="3D213126">
      <w:pPr>
        <w:spacing w:line="360" w:lineRule="auto"/>
        <w:ind w:firstLine="420" w:firstLineChars="200"/>
        <w:rPr>
          <w:rFonts w:asciiTheme="minorEastAsia" w:hAnsiTheme="minorEastAsia" w:eastAsiaTheme="minorEastAsia" w:cstheme="minorEastAsia"/>
          <w:kern w:val="0"/>
          <w:u w:val="single"/>
        </w:rPr>
      </w:pPr>
      <w:r>
        <w:rPr>
          <w:rFonts w:hint="eastAsia" w:asciiTheme="minorEastAsia" w:hAnsiTheme="minorEastAsia" w:eastAsiaTheme="minorEastAsia" w:cstheme="minorEastAsia"/>
          <w:kern w:val="0"/>
        </w:rPr>
        <w:t>（3）发包人违反第10.1款〔变更的范围〕第（2）项约定，自行实施被取消的工作或转由他人实施的违约责任：。</w:t>
      </w:r>
    </w:p>
    <w:p w14:paraId="2EE2B30D">
      <w:pPr>
        <w:spacing w:line="360" w:lineRule="auto"/>
        <w:ind w:firstLine="42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（4）发包人提供的材料、工程设备的规格、数量或质量不符合合同约定，或因发包人原因导致交货日期延误或交货地点变更等情况的违约责任：。</w:t>
      </w:r>
    </w:p>
    <w:p w14:paraId="1AD932B9">
      <w:pPr>
        <w:spacing w:line="360" w:lineRule="auto"/>
        <w:ind w:firstLine="420" w:firstLineChars="200"/>
        <w:rPr>
          <w:rFonts w:asciiTheme="minorEastAsia" w:hAnsiTheme="minorEastAsia" w:eastAsiaTheme="minorEastAsia" w:cstheme="minorEastAsia"/>
          <w:kern w:val="0"/>
          <w:u w:val="single"/>
        </w:rPr>
      </w:pPr>
      <w:r>
        <w:rPr>
          <w:rFonts w:hint="eastAsia" w:asciiTheme="minorEastAsia" w:hAnsiTheme="minorEastAsia" w:eastAsiaTheme="minorEastAsia" w:cstheme="minorEastAsia"/>
          <w:kern w:val="0"/>
        </w:rPr>
        <w:t>（5）因发包人违反合同约定造成暂停施工的违约责任：。</w:t>
      </w:r>
    </w:p>
    <w:p w14:paraId="502FF2C2">
      <w:pPr>
        <w:spacing w:line="360" w:lineRule="auto"/>
        <w:ind w:firstLine="42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（6）发包人无正当理由没有在约定期限内发出复工指示，导致承包人无法复工的违约责任：。</w:t>
      </w:r>
    </w:p>
    <w:p w14:paraId="2DDA61BB">
      <w:pPr>
        <w:spacing w:line="360" w:lineRule="auto"/>
        <w:ind w:firstLine="42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（7）其他：</w:t>
      </w:r>
      <w:r>
        <w:rPr>
          <w:rFonts w:hint="eastAsia" w:asciiTheme="minorEastAsia" w:hAnsiTheme="minorEastAsia" w:eastAsiaTheme="minorEastAsia" w:cstheme="minorEastAsia"/>
          <w:kern w:val="0"/>
          <w:u w:val="single"/>
        </w:rPr>
        <w:t xml:space="preserve">                    /                      </w:t>
      </w:r>
      <w:r>
        <w:rPr>
          <w:rFonts w:hint="eastAsia" w:asciiTheme="minorEastAsia" w:hAnsiTheme="minorEastAsia" w:eastAsiaTheme="minorEastAsia" w:cstheme="minorEastAsia"/>
          <w:kern w:val="0"/>
        </w:rPr>
        <w:t>。</w:t>
      </w:r>
    </w:p>
    <w:p w14:paraId="7A931879">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16.1.3 因发包人违约解除合同</w:t>
      </w:r>
    </w:p>
    <w:p w14:paraId="10B35B9B">
      <w:pPr>
        <w:autoSpaceDE w:val="0"/>
        <w:autoSpaceDN w:val="0"/>
        <w:adjustRightInd w:val="0"/>
        <w:spacing w:line="360" w:lineRule="auto"/>
        <w:ind w:firstLine="42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承包人按16.1.1项〔发包人违约的情形〕约定暂停施工满天后发包人仍不纠正其违约行为并致使合同目的不能实现的，承包人有权解除合同。</w:t>
      </w:r>
    </w:p>
    <w:p w14:paraId="698943A8">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16.2 承包人违约</w:t>
      </w:r>
    </w:p>
    <w:p w14:paraId="753EED78">
      <w:pPr>
        <w:spacing w:line="360" w:lineRule="auto"/>
        <w:ind w:firstLine="42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16.2.1 承包人违约的情形</w:t>
      </w:r>
    </w:p>
    <w:p w14:paraId="52BA660B">
      <w:pPr>
        <w:spacing w:line="360" w:lineRule="auto"/>
        <w:ind w:firstLine="420" w:firstLineChars="200"/>
        <w:rPr>
          <w:rFonts w:asciiTheme="minorEastAsia" w:hAnsiTheme="minorEastAsia" w:eastAsiaTheme="minorEastAsia" w:cstheme="minorEastAsia"/>
          <w:kern w:val="0"/>
          <w:u w:val="single"/>
        </w:rPr>
      </w:pPr>
      <w:r>
        <w:rPr>
          <w:rFonts w:hint="eastAsia" w:asciiTheme="minorEastAsia" w:hAnsiTheme="minorEastAsia" w:eastAsiaTheme="minorEastAsia" w:cstheme="minorEastAsia"/>
          <w:kern w:val="0"/>
        </w:rPr>
        <w:t>承包人违约的其他情形：</w:t>
      </w:r>
      <w:r>
        <w:rPr>
          <w:rFonts w:hint="eastAsia" w:asciiTheme="minorEastAsia" w:hAnsiTheme="minorEastAsia" w:eastAsiaTheme="minorEastAsia" w:cstheme="minorEastAsia"/>
          <w:kern w:val="0"/>
          <w:u w:val="single"/>
        </w:rPr>
        <w:t xml:space="preserve">                /               </w:t>
      </w:r>
      <w:r>
        <w:rPr>
          <w:rFonts w:hint="eastAsia" w:asciiTheme="minorEastAsia" w:hAnsiTheme="minorEastAsia" w:eastAsiaTheme="minorEastAsia" w:cstheme="minorEastAsia"/>
          <w:kern w:val="0"/>
        </w:rPr>
        <w:t>。</w:t>
      </w:r>
    </w:p>
    <w:p w14:paraId="47DF87E7">
      <w:pPr>
        <w:spacing w:line="360" w:lineRule="auto"/>
        <w:ind w:firstLine="42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16.2.2承包人违约的责任</w:t>
      </w:r>
    </w:p>
    <w:p w14:paraId="48D1A41C">
      <w:pPr>
        <w:spacing w:line="360" w:lineRule="auto"/>
        <w:ind w:firstLine="42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承包人违约责任的承担方式和计算方法：</w:t>
      </w:r>
    </w:p>
    <w:p w14:paraId="5141B95F">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1）承包人必须按合同约定质量标准完成本工程（包括分部分项工程及单位工程）施工。承包人在施工过程中由于质量意识差、管理不到位、技术水平低等原因造成工程施工质量低下，发生重大质量事故或分部分项验收连续两次不合格，除接受市相关主管部门的处罚外，由发包人视情节轻重向承包人索赔2万元～10万元的违约金，违约金总额不超过履约保证金总额的10%。发包人有权将承包人质量不合格的部分工程剥离出来另行委托其他承包人实施，所产生的费用从承包人合同总价中扣除，承包人不得提出任何索赔</w:t>
      </w:r>
      <w:r>
        <w:rPr>
          <w:rFonts w:hint="eastAsia" w:asciiTheme="minorEastAsia" w:hAnsiTheme="minorEastAsia" w:eastAsiaTheme="minorEastAsia" w:cstheme="minorEastAsia"/>
        </w:rPr>
        <w:t>。</w:t>
      </w:r>
    </w:p>
    <w:p w14:paraId="6C31BDC5">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2）因承包人原因造成的安全事故，由承包人负责处理善后工作并承担由此引起的全部费用。若承包人不能及时解决，发包人有权从工程进度款或履约保证金中扣除相应的赔偿款、补偿款项并直接支付给事故受害方，承包人不得有任何异议。若出现重大安全事故，发包人有权每次扣除10%的履约保证金作为承包人的违约金，直至扣除全部履约保证金</w:t>
      </w:r>
      <w:r>
        <w:rPr>
          <w:rFonts w:hint="eastAsia" w:asciiTheme="minorEastAsia" w:hAnsiTheme="minorEastAsia" w:eastAsiaTheme="minorEastAsia" w:cstheme="minorEastAsia"/>
        </w:rPr>
        <w:t>。</w:t>
      </w:r>
    </w:p>
    <w:p w14:paraId="71727AF6">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3）无论何方原因导致暂停施工，在暂停期间，承包人均应负责保护、保管并保证相应部分工程或者全部工程不致产生任何损失或损害，并对施工现场提供安全保障，否则承担赔偿责任。承包人因此发生的照管费用由责任方承担</w:t>
      </w:r>
      <w:r>
        <w:rPr>
          <w:rFonts w:hint="eastAsia" w:asciiTheme="minorEastAsia" w:hAnsiTheme="minorEastAsia" w:eastAsiaTheme="minorEastAsia" w:cstheme="minorEastAsia"/>
        </w:rPr>
        <w:t>。</w:t>
      </w:r>
    </w:p>
    <w:p w14:paraId="44CA98E6">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承包人不得随意暂停施工，或者以暂停施工向发包人或者监理人施加压力以获取利益。承包人暂停施工没有法律和合同依据的，应承担因此而造成的损失，且工期不予延长，复工及赶工等费用由承包人承担；若承包人的行为已经构成根本违约，发包人有权解除合同</w:t>
      </w:r>
      <w:r>
        <w:rPr>
          <w:rFonts w:hint="eastAsia" w:asciiTheme="minorEastAsia" w:hAnsiTheme="minorEastAsia" w:eastAsiaTheme="minorEastAsia" w:cstheme="minorEastAsia"/>
        </w:rPr>
        <w:t>。</w:t>
      </w:r>
    </w:p>
    <w:p w14:paraId="46F54AF0">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（4）因承包人擅自变更设计所发生的费用及给发包人造成的损失由承包人承担，且工期不予顺延</w:t>
      </w:r>
      <w:r>
        <w:rPr>
          <w:rFonts w:hint="eastAsia" w:asciiTheme="minorEastAsia" w:hAnsiTheme="minorEastAsia" w:eastAsiaTheme="minorEastAsia" w:cstheme="minorEastAsia"/>
        </w:rPr>
        <w:t>。</w:t>
      </w:r>
    </w:p>
    <w:p w14:paraId="2AEA136D">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5）承包人违反工程款（包括进度款、各项措施费用等）专款专用约定的，除支付因此而导致的工期延误等赔偿责任外，还应按挪用款金额的10%向发包人支付违约金，且工期不予顺延，发包人并因此有权解除合同</w:t>
      </w:r>
      <w:r>
        <w:rPr>
          <w:rFonts w:hint="eastAsia" w:asciiTheme="minorEastAsia" w:hAnsiTheme="minorEastAsia" w:eastAsiaTheme="minorEastAsia" w:cstheme="minorEastAsia"/>
        </w:rPr>
        <w:t>。</w:t>
      </w:r>
    </w:p>
    <w:p w14:paraId="2D36A356">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（6）承包人不履行合同主要义务（无法继续履行、实质上已经停止履行或者明确表示不履行）的，发包人有权解除合同，扣除承包人的全部履约保证金，并要求承包人赔偿由此而造成的全部损失</w:t>
      </w:r>
      <w:r>
        <w:rPr>
          <w:rFonts w:hint="eastAsia" w:asciiTheme="minorEastAsia" w:hAnsiTheme="minorEastAsia" w:eastAsiaTheme="minorEastAsia" w:cstheme="minorEastAsia"/>
        </w:rPr>
        <w:t>。</w:t>
      </w:r>
    </w:p>
    <w:p w14:paraId="6CC200C7">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7）因承包人的违约致使本合同根本目的或者阶段性目的不能实现，发包人有权解除部分或全部合同。在发包人按本合同约定的方式向承包人送达解除部分或全部合同的通知后，承包人必须在2个工作日内停止相关工作，并在15个工作日内与发包人完成有关现场工作和相关资料的交接，因此给发包人造成的经济损失由承包人承担，承包人的相应履约保证金全部予以扣除。承包人拒不停止相关工作并进行交接的，每日向发包人支付合同签约总价0.5%的违约金</w:t>
      </w:r>
      <w:r>
        <w:rPr>
          <w:rFonts w:hint="eastAsia" w:asciiTheme="minorEastAsia" w:hAnsiTheme="minorEastAsia" w:eastAsiaTheme="minorEastAsia" w:cstheme="minorEastAsia"/>
        </w:rPr>
        <w:t>。</w:t>
      </w:r>
    </w:p>
    <w:p w14:paraId="6FFAB2DB">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（8）承包人在工程竣工验收后10天内未能将所有的工程设备、多余材料、垃圾、临时设施拆除并清运完毕，则每逾期10天按签约合同价的1%向发包人支付违约金</w:t>
      </w:r>
      <w:r>
        <w:rPr>
          <w:rFonts w:hint="eastAsia" w:asciiTheme="minorEastAsia" w:hAnsiTheme="minorEastAsia" w:eastAsiaTheme="minorEastAsia" w:cstheme="minorEastAsia"/>
        </w:rPr>
        <w:t>。</w:t>
      </w:r>
    </w:p>
    <w:p w14:paraId="23EDD1B3">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（9）承包人不得因与发包人的索赔问题、工程款结算问题，以及承包人与其他单位或个人的纠纷，或者其他任何理由拒绝按照合同条款的规定退场，影响发包人对工程的接收</w:t>
      </w:r>
      <w:r>
        <w:rPr>
          <w:rFonts w:hint="eastAsia" w:asciiTheme="minorEastAsia" w:hAnsiTheme="minorEastAsia" w:eastAsiaTheme="minorEastAsia" w:cstheme="minorEastAsia"/>
        </w:rPr>
        <w:t>。</w:t>
      </w:r>
    </w:p>
    <w:p w14:paraId="13C998C9">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承包人没有按照规定的期限和条件退场的，发包人有权拒付剩余工程款，承包人除了赔偿因此而给发包人造成的实际损失外，还应每逾期10天按签约合同价的1%向发包人支付违约金</w:t>
      </w:r>
      <w:r>
        <w:rPr>
          <w:rFonts w:hint="eastAsia" w:asciiTheme="minorEastAsia" w:hAnsiTheme="minorEastAsia" w:eastAsiaTheme="minorEastAsia" w:cstheme="minorEastAsia"/>
        </w:rPr>
        <w:t>。</w:t>
      </w:r>
    </w:p>
    <w:p w14:paraId="34CB5036">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（10）承包人未恰当履行缺陷修复和保修责任的，由发包人自行或委托他人修复，费用由承包人承担，因此而造成其他损失全部由承包人承担</w:t>
      </w:r>
      <w:r>
        <w:rPr>
          <w:rFonts w:hint="eastAsia" w:asciiTheme="minorEastAsia" w:hAnsiTheme="minorEastAsia" w:eastAsiaTheme="minorEastAsia" w:cstheme="minorEastAsia"/>
        </w:rPr>
        <w:t>。</w:t>
      </w:r>
    </w:p>
    <w:p w14:paraId="0F27AC59">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u w:val="single"/>
        </w:rPr>
        <w:t>（11）承包人因安全生产、文明施工、劳动保护、环境保护、廉政责任等而受到行政处罚的，责任和损失由承包人承担，工期不予顺延，发包人有权按上述罚款、罚金等额对承包人索赔违约金，性质及情节严重时发包人有权解除合同</w:t>
      </w:r>
      <w:r>
        <w:rPr>
          <w:rFonts w:hint="eastAsia" w:asciiTheme="minorEastAsia" w:hAnsiTheme="minorEastAsia" w:eastAsiaTheme="minorEastAsia" w:cstheme="minorEastAsia"/>
        </w:rPr>
        <w:t>。</w:t>
      </w:r>
    </w:p>
    <w:p w14:paraId="3097D1DA">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（12）发包人有权从向承包人的应付款或保证金中直接扣除承包人因违约给发包人造成的各项损失费用</w:t>
      </w:r>
      <w:r>
        <w:rPr>
          <w:rFonts w:hint="eastAsia" w:asciiTheme="minorEastAsia" w:hAnsiTheme="minorEastAsia" w:eastAsiaTheme="minorEastAsia" w:cstheme="minorEastAsia"/>
        </w:rPr>
        <w:t xml:space="preserve">。 </w:t>
      </w:r>
    </w:p>
    <w:p w14:paraId="4A4131D8">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16.2.3 因承包人违约解除合同</w:t>
      </w:r>
    </w:p>
    <w:p w14:paraId="649F0432">
      <w:pPr>
        <w:autoSpaceDE w:val="0"/>
        <w:autoSpaceDN w:val="0"/>
        <w:adjustRightInd w:val="0"/>
        <w:spacing w:line="360" w:lineRule="auto"/>
        <w:ind w:firstLine="42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关于承包人违约解除合同的特别约定：</w:t>
      </w:r>
      <w:r>
        <w:rPr>
          <w:rFonts w:hint="eastAsia" w:asciiTheme="minorEastAsia" w:hAnsiTheme="minorEastAsia" w:eastAsiaTheme="minorEastAsia" w:cstheme="minorEastAsia"/>
          <w:kern w:val="0"/>
          <w:u w:val="single"/>
        </w:rPr>
        <w:t>执行通用合同条款</w:t>
      </w:r>
      <w:r>
        <w:rPr>
          <w:rFonts w:hint="eastAsia" w:asciiTheme="minorEastAsia" w:hAnsiTheme="minorEastAsia" w:eastAsiaTheme="minorEastAsia" w:cstheme="minorEastAsia"/>
          <w:kern w:val="0"/>
        </w:rPr>
        <w:t>。</w:t>
      </w:r>
    </w:p>
    <w:p w14:paraId="79EC8FF6">
      <w:pPr>
        <w:autoSpaceDE w:val="0"/>
        <w:autoSpaceDN w:val="0"/>
        <w:adjustRightInd w:val="0"/>
        <w:spacing w:line="360" w:lineRule="auto"/>
        <w:ind w:firstLine="42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发包人继续使用承包人在施工现场的材料、设备、临时工程、承包人文件和由承包人或以其名义编制的其他文件的费用承担方式：</w:t>
      </w:r>
      <w:r>
        <w:rPr>
          <w:rFonts w:hint="eastAsia" w:asciiTheme="minorEastAsia" w:hAnsiTheme="minorEastAsia" w:eastAsiaTheme="minorEastAsia" w:cstheme="minorEastAsia"/>
          <w:kern w:val="0"/>
          <w:u w:val="single"/>
        </w:rPr>
        <w:t>如发生，双方协商承担</w:t>
      </w:r>
      <w:r>
        <w:rPr>
          <w:rFonts w:hint="eastAsia" w:asciiTheme="minorEastAsia" w:hAnsiTheme="minorEastAsia" w:eastAsiaTheme="minorEastAsia" w:cstheme="minorEastAsia"/>
          <w:kern w:val="0"/>
        </w:rPr>
        <w:t>。</w:t>
      </w:r>
    </w:p>
    <w:p w14:paraId="1D37E868">
      <w:pPr>
        <w:autoSpaceDE w:val="0"/>
        <w:autoSpaceDN w:val="0"/>
        <w:adjustRightInd w:val="0"/>
        <w:spacing w:line="360" w:lineRule="auto"/>
        <w:ind w:firstLine="42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16.2.4 因承包人违约解除合同后的处理</w:t>
      </w:r>
    </w:p>
    <w:p w14:paraId="473F1D7A">
      <w:pPr>
        <w:autoSpaceDE w:val="0"/>
        <w:autoSpaceDN w:val="0"/>
        <w:adjustRightInd w:val="0"/>
        <w:spacing w:line="360" w:lineRule="auto"/>
        <w:ind w:firstLine="42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合同解除后，承包人应支付的违约金：</w:t>
      </w:r>
      <w:r>
        <w:rPr>
          <w:rFonts w:hint="eastAsia" w:asciiTheme="minorEastAsia" w:hAnsiTheme="minorEastAsia" w:eastAsiaTheme="minorEastAsia" w:cstheme="minorEastAsia"/>
          <w:kern w:val="0"/>
          <w:u w:val="single"/>
        </w:rPr>
        <w:t>承包人应向发包人支付工程清算价款10%的违约金</w:t>
      </w:r>
      <w:r>
        <w:rPr>
          <w:rFonts w:hint="eastAsia" w:asciiTheme="minorEastAsia" w:hAnsiTheme="minorEastAsia" w:eastAsiaTheme="minorEastAsia" w:cstheme="minorEastAsia"/>
          <w:kern w:val="0"/>
        </w:rPr>
        <w:t>。</w:t>
      </w:r>
    </w:p>
    <w:p w14:paraId="18C82603">
      <w:pPr>
        <w:autoSpaceDE w:val="0"/>
        <w:autoSpaceDN w:val="0"/>
        <w:adjustRightInd w:val="0"/>
        <w:spacing w:line="360" w:lineRule="auto"/>
        <w:ind w:firstLine="42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因解除合同给发包人造成的损失：</w:t>
      </w:r>
      <w:r>
        <w:rPr>
          <w:rFonts w:hint="eastAsia" w:asciiTheme="minorEastAsia" w:hAnsiTheme="minorEastAsia" w:eastAsiaTheme="minorEastAsia" w:cstheme="minorEastAsia"/>
          <w:kern w:val="0"/>
          <w:u w:val="single"/>
        </w:rPr>
        <w:t>承包人应赔偿发包人的一切损失</w:t>
      </w:r>
      <w:r>
        <w:rPr>
          <w:rFonts w:hint="eastAsia" w:asciiTheme="minorEastAsia" w:hAnsiTheme="minorEastAsia" w:eastAsiaTheme="minorEastAsia" w:cstheme="minorEastAsia"/>
          <w:kern w:val="0"/>
        </w:rPr>
        <w:t>。</w:t>
      </w:r>
    </w:p>
    <w:p w14:paraId="29E80D45">
      <w:pPr>
        <w:pStyle w:val="5"/>
        <w:spacing w:before="0" w:after="0" w:line="360" w:lineRule="auto"/>
        <w:ind w:firstLine="316"/>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17. 不可抗力 </w:t>
      </w:r>
    </w:p>
    <w:p w14:paraId="13CFF09D">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17.1 不可抗力的确认</w:t>
      </w:r>
    </w:p>
    <w:p w14:paraId="0A8D834A">
      <w:pPr>
        <w:spacing w:line="360" w:lineRule="auto"/>
        <w:ind w:firstLine="420" w:firstLineChars="200"/>
        <w:rPr>
          <w:rFonts w:asciiTheme="minorEastAsia" w:hAnsiTheme="minorEastAsia" w:eastAsiaTheme="minorEastAsia" w:cstheme="minorEastAsia"/>
          <w:kern w:val="0"/>
          <w:u w:val="single"/>
        </w:rPr>
      </w:pPr>
      <w:r>
        <w:rPr>
          <w:rFonts w:hint="eastAsia" w:asciiTheme="minorEastAsia" w:hAnsiTheme="minorEastAsia" w:eastAsiaTheme="minorEastAsia" w:cstheme="minorEastAsia"/>
        </w:rPr>
        <w:t xml:space="preserve">除通用合同条款约定的不可抗力事件之外，视为不可抗力的其他情形： </w:t>
      </w:r>
      <w:r>
        <w:rPr>
          <w:rFonts w:hint="eastAsia" w:asciiTheme="minorEastAsia" w:hAnsiTheme="minorEastAsia" w:eastAsiaTheme="minorEastAsia" w:cstheme="minorEastAsia"/>
          <w:kern w:val="0"/>
          <w:u w:val="single"/>
        </w:rPr>
        <w:t>政府发布的非承包人原因导致的施工禁令</w:t>
      </w:r>
      <w:r>
        <w:rPr>
          <w:rFonts w:hint="eastAsia" w:asciiTheme="minorEastAsia" w:hAnsiTheme="minorEastAsia" w:eastAsiaTheme="minorEastAsia" w:cstheme="minorEastAsia"/>
          <w:kern w:val="0"/>
        </w:rPr>
        <w:t>。</w:t>
      </w:r>
    </w:p>
    <w:p w14:paraId="74334DEC">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17.4 因不可抗力解除合同</w:t>
      </w:r>
    </w:p>
    <w:p w14:paraId="53E41BC0">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合同解除后，发包人应在商定或确定发包人应支付款项后</w:t>
      </w:r>
      <w:r>
        <w:rPr>
          <w:rFonts w:hint="eastAsia" w:asciiTheme="minorEastAsia" w:hAnsiTheme="minorEastAsia" w:eastAsiaTheme="minorEastAsia" w:cstheme="minorEastAsia"/>
          <w:u w:val="single"/>
        </w:rPr>
        <w:t xml:space="preserve">  28  </w:t>
      </w:r>
      <w:r>
        <w:rPr>
          <w:rFonts w:hint="eastAsia" w:asciiTheme="minorEastAsia" w:hAnsiTheme="minorEastAsia" w:eastAsiaTheme="minorEastAsia" w:cstheme="minorEastAsia"/>
        </w:rPr>
        <w:t>天内完成款项的支付。</w:t>
      </w:r>
    </w:p>
    <w:p w14:paraId="6F1497CF">
      <w:pPr>
        <w:pStyle w:val="5"/>
        <w:spacing w:before="0" w:after="0" w:line="360" w:lineRule="auto"/>
        <w:ind w:firstLine="316"/>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 保险</w:t>
      </w:r>
    </w:p>
    <w:p w14:paraId="5037055F">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18.1 工程保险</w:t>
      </w:r>
    </w:p>
    <w:p w14:paraId="2B7F65FA">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关于工程保险的特别约定：</w:t>
      </w:r>
      <w:r>
        <w:rPr>
          <w:rFonts w:hint="eastAsia" w:asciiTheme="minorEastAsia" w:hAnsiTheme="minorEastAsia" w:eastAsiaTheme="minorEastAsia" w:cstheme="minorEastAsia"/>
          <w:kern w:val="0"/>
          <w:u w:val="single"/>
        </w:rPr>
        <w:t>/</w:t>
      </w:r>
      <w:r>
        <w:rPr>
          <w:rFonts w:hint="eastAsia" w:asciiTheme="minorEastAsia" w:hAnsiTheme="minorEastAsia" w:eastAsiaTheme="minorEastAsia" w:cstheme="minorEastAsia"/>
          <w:kern w:val="0"/>
        </w:rPr>
        <w:t>。</w:t>
      </w:r>
    </w:p>
    <w:p w14:paraId="34BEF95F">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18.3 其他保险</w:t>
      </w:r>
    </w:p>
    <w:p w14:paraId="7FEE0F3E">
      <w:pPr>
        <w:spacing w:line="360" w:lineRule="auto"/>
        <w:ind w:firstLine="42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rPr>
        <w:t>关于其他保险的约定：</w:t>
      </w:r>
      <w:r>
        <w:rPr>
          <w:rFonts w:hint="eastAsia" w:asciiTheme="minorEastAsia" w:hAnsiTheme="minorEastAsia" w:eastAsiaTheme="minorEastAsia" w:cstheme="minorEastAsia"/>
          <w:kern w:val="0"/>
          <w:u w:val="single"/>
        </w:rPr>
        <w:t xml:space="preserve">                 /                 </w:t>
      </w:r>
      <w:r>
        <w:rPr>
          <w:rFonts w:hint="eastAsia" w:asciiTheme="minorEastAsia" w:hAnsiTheme="minorEastAsia" w:eastAsiaTheme="minorEastAsia" w:cstheme="minorEastAsia"/>
          <w:kern w:val="0"/>
        </w:rPr>
        <w:t>。</w:t>
      </w:r>
    </w:p>
    <w:p w14:paraId="3D13444C">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承包人是否应为其施工设备等办理财产保险：</w:t>
      </w:r>
      <w:r>
        <w:rPr>
          <w:rFonts w:hint="eastAsia" w:asciiTheme="minorEastAsia" w:hAnsiTheme="minorEastAsia" w:eastAsiaTheme="minorEastAsia" w:cstheme="minorEastAsia"/>
          <w:u w:val="single"/>
        </w:rPr>
        <w:t>执行通用合同条款</w:t>
      </w:r>
      <w:r>
        <w:rPr>
          <w:rFonts w:hint="eastAsia" w:asciiTheme="minorEastAsia" w:hAnsiTheme="minorEastAsia" w:eastAsiaTheme="minorEastAsia" w:cstheme="minorEastAsia"/>
        </w:rPr>
        <w:t>。</w:t>
      </w:r>
    </w:p>
    <w:p w14:paraId="00672A6F">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18.7 通知义务</w:t>
      </w:r>
    </w:p>
    <w:p w14:paraId="61035DAF">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kern w:val="0"/>
        </w:rPr>
        <w:t>关于变更保险合同时的通知义务的约定：</w:t>
      </w:r>
      <w:r>
        <w:rPr>
          <w:rFonts w:hint="eastAsia" w:asciiTheme="minorEastAsia" w:hAnsiTheme="minorEastAsia" w:eastAsiaTheme="minorEastAsia" w:cstheme="minorEastAsia"/>
          <w:u w:val="single"/>
        </w:rPr>
        <w:t>执行通用合同条款</w:t>
      </w:r>
      <w:r>
        <w:rPr>
          <w:rFonts w:hint="eastAsia" w:asciiTheme="minorEastAsia" w:hAnsiTheme="minorEastAsia" w:eastAsiaTheme="minorEastAsia" w:cstheme="minorEastAsia"/>
        </w:rPr>
        <w:t>。</w:t>
      </w:r>
    </w:p>
    <w:p w14:paraId="24633618">
      <w:pPr>
        <w:pStyle w:val="5"/>
        <w:spacing w:before="0" w:after="0" w:line="360" w:lineRule="auto"/>
        <w:ind w:firstLine="316"/>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 争议解决</w:t>
      </w:r>
    </w:p>
    <w:p w14:paraId="0CE77D5C">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20.3 争议评审</w:t>
      </w:r>
    </w:p>
    <w:p w14:paraId="3F10B9BE">
      <w:pPr>
        <w:spacing w:line="360" w:lineRule="auto"/>
        <w:ind w:firstLine="315" w:firstLineChars="150"/>
        <w:rPr>
          <w:rFonts w:asciiTheme="minorEastAsia" w:hAnsiTheme="minorEastAsia" w:eastAsiaTheme="minorEastAsia" w:cstheme="minorEastAsia"/>
          <w:u w:val="single"/>
        </w:rPr>
      </w:pPr>
      <w:r>
        <w:rPr>
          <w:rFonts w:hint="eastAsia" w:asciiTheme="minorEastAsia" w:hAnsiTheme="minorEastAsia" w:eastAsiaTheme="minorEastAsia" w:cstheme="minorEastAsia"/>
        </w:rPr>
        <w:t>合同当事人是否同意将工程争议提交争议评审小组决定：</w:t>
      </w:r>
      <w:r>
        <w:rPr>
          <w:rFonts w:hint="eastAsia" w:asciiTheme="minorEastAsia" w:hAnsiTheme="minorEastAsia" w:eastAsiaTheme="minorEastAsia" w:cstheme="minorEastAsia"/>
          <w:u w:val="single"/>
        </w:rPr>
        <w:t xml:space="preserve">  否  </w:t>
      </w:r>
      <w:r>
        <w:rPr>
          <w:rFonts w:hint="eastAsia" w:asciiTheme="minorEastAsia" w:hAnsiTheme="minorEastAsia" w:eastAsiaTheme="minorEastAsia" w:cstheme="minorEastAsia"/>
        </w:rPr>
        <w:t xml:space="preserve">。  </w:t>
      </w:r>
    </w:p>
    <w:p w14:paraId="2BEA6F85">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20.3.1 争议评审小组的确定</w:t>
      </w:r>
    </w:p>
    <w:p w14:paraId="05638037">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争议评审小组成员的确定：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5A4B477A">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选定争议评审员的期限：</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61009A83">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争议评审小组成员的报酬承担方式：</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0DE514A2">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其他事项的约定：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4670B20E">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20.3.2 争议评审小组的决定</w:t>
      </w:r>
    </w:p>
    <w:p w14:paraId="1B9A89D1">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合同当事人关于本项的约定：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45F31AA7">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20.4仲裁或诉讼</w:t>
      </w:r>
    </w:p>
    <w:p w14:paraId="48146725">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因合同及合同有关事项发生的争议，按下列第</w:t>
      </w:r>
      <w:r>
        <w:rPr>
          <w:rFonts w:hint="eastAsia" w:asciiTheme="minorEastAsia" w:hAnsiTheme="minorEastAsia" w:eastAsiaTheme="minorEastAsia" w:cstheme="minorEastAsia"/>
          <w:u w:val="single"/>
        </w:rPr>
        <w:t xml:space="preserve">  （2）  </w:t>
      </w:r>
      <w:r>
        <w:rPr>
          <w:rFonts w:hint="eastAsia" w:asciiTheme="minorEastAsia" w:hAnsiTheme="minorEastAsia" w:eastAsiaTheme="minorEastAsia" w:cstheme="minorEastAsia"/>
        </w:rPr>
        <w:t>种方式解决：</w:t>
      </w:r>
    </w:p>
    <w:p w14:paraId="6C7AFC2B">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（1）向</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仲裁委员会申请仲裁；</w:t>
      </w:r>
    </w:p>
    <w:p w14:paraId="2D6C52EC">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（2）向</w:t>
      </w:r>
      <w:r>
        <w:rPr>
          <w:rFonts w:hint="eastAsia" w:asciiTheme="minorEastAsia" w:hAnsiTheme="minorEastAsia" w:eastAsiaTheme="minorEastAsia" w:cstheme="minorEastAsia"/>
          <w:u w:val="single"/>
        </w:rPr>
        <w:t xml:space="preserve"> 管城回族区人民法院 </w:t>
      </w:r>
      <w:r>
        <w:rPr>
          <w:rFonts w:hint="eastAsia" w:asciiTheme="minorEastAsia" w:hAnsiTheme="minorEastAsia" w:eastAsiaTheme="minorEastAsia" w:cstheme="minorEastAsia"/>
        </w:rPr>
        <w:t>人民法院起诉。</w:t>
      </w:r>
    </w:p>
    <w:p w14:paraId="67513E4F">
      <w:pPr>
        <w:pStyle w:val="5"/>
        <w:spacing w:before="0" w:after="0" w:line="360" w:lineRule="auto"/>
        <w:ind w:firstLine="316"/>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21 补充条款</w:t>
      </w:r>
    </w:p>
    <w:p w14:paraId="7F2B98BC">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21.1</w:t>
      </w:r>
      <w:r>
        <w:rPr>
          <w:rFonts w:hint="eastAsia" w:asciiTheme="minorEastAsia" w:hAnsiTheme="minorEastAsia" w:eastAsiaTheme="minorEastAsia" w:cstheme="minorEastAsia"/>
          <w:u w:val="single"/>
        </w:rPr>
        <w:t>竣工结算审核费用的承担：（1）项目送审价核减率在10%以内的（含10%），由委托单位（发包人）负担审核费用；（2）核减率在10%以上的，10%以内的审核费用由委托单位（发包人）负担，超过部分的审核费用由原编制单位（承包人）负担；（3）项目核减、核增部分分别计算审核费用，核增部分由原编制单位（承包人）负担审核费用；（4）审核费用按委托单位（发包人）与审核单位的合同约定计算；（5）由原编制单位（承包人）负担的审核费用，由发包人直接从应付给承包人的工程款中扣除</w:t>
      </w:r>
      <w:r>
        <w:rPr>
          <w:rFonts w:hint="eastAsia" w:asciiTheme="minorEastAsia" w:hAnsiTheme="minorEastAsia" w:eastAsiaTheme="minorEastAsia" w:cstheme="minorEastAsia"/>
        </w:rPr>
        <w:t>。</w:t>
      </w:r>
    </w:p>
    <w:p w14:paraId="2223E6B3">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21.2</w:t>
      </w:r>
      <w:r>
        <w:rPr>
          <w:rFonts w:hint="eastAsia" w:asciiTheme="minorEastAsia" w:hAnsiTheme="minorEastAsia" w:eastAsiaTheme="minorEastAsia" w:cstheme="minorEastAsia"/>
          <w:u w:val="single"/>
        </w:rPr>
        <w:t>承包人接受发包人对本工程建设进行全过程跟踪审计</w:t>
      </w:r>
      <w:r>
        <w:rPr>
          <w:rFonts w:hint="eastAsia" w:asciiTheme="minorEastAsia" w:hAnsiTheme="minorEastAsia" w:eastAsiaTheme="minorEastAsia" w:cstheme="minorEastAsia"/>
        </w:rPr>
        <w:t>。</w:t>
      </w:r>
    </w:p>
    <w:p w14:paraId="749D5FFE">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21.3</w:t>
      </w:r>
      <w:r>
        <w:rPr>
          <w:rFonts w:hint="eastAsia" w:asciiTheme="minorEastAsia" w:hAnsiTheme="minorEastAsia" w:eastAsiaTheme="minorEastAsia" w:cstheme="minorEastAsia"/>
          <w:u w:val="single"/>
        </w:rPr>
        <w:t>发包人资金暂不到位时，承包人保证连续施工不停工、不拖欠农民工工资，按期保质保量完成工程项目建设</w:t>
      </w:r>
      <w:r>
        <w:rPr>
          <w:rFonts w:hint="eastAsia" w:asciiTheme="minorEastAsia" w:hAnsiTheme="minorEastAsia" w:eastAsiaTheme="minorEastAsia" w:cstheme="minorEastAsia"/>
        </w:rPr>
        <w:t>。</w:t>
      </w:r>
    </w:p>
    <w:p w14:paraId="7807DD46">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21.4</w:t>
      </w:r>
      <w:r>
        <w:rPr>
          <w:rFonts w:hint="eastAsia" w:asciiTheme="minorEastAsia" w:hAnsiTheme="minorEastAsia" w:eastAsiaTheme="minorEastAsia" w:cstheme="minorEastAsia"/>
          <w:u w:val="single"/>
        </w:rPr>
        <w:t>承包人切实兑现其他投标承诺</w:t>
      </w:r>
      <w:r>
        <w:rPr>
          <w:rFonts w:hint="eastAsia" w:asciiTheme="minorEastAsia" w:hAnsiTheme="minorEastAsia" w:eastAsiaTheme="minorEastAsia" w:cstheme="minorEastAsia"/>
        </w:rPr>
        <w:t>。</w:t>
      </w:r>
    </w:p>
    <w:p w14:paraId="69B75FA1">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21.5</w:t>
      </w:r>
      <w:r>
        <w:rPr>
          <w:rFonts w:hint="eastAsia" w:asciiTheme="minorEastAsia" w:hAnsiTheme="minorEastAsia" w:eastAsiaTheme="minorEastAsia" w:cstheme="minorEastAsia"/>
          <w:u w:val="single"/>
        </w:rPr>
        <w:t>未尽事宜，双方协商解决。</w:t>
      </w:r>
    </w:p>
    <w:p w14:paraId="0C3B2024">
      <w:pPr>
        <w:ind w:firstLine="450"/>
        <w:jc w:val="center"/>
        <w:rPr>
          <w:rFonts w:ascii="宋体" w:hAnsi="宋体"/>
          <w:sz w:val="30"/>
          <w:szCs w:val="30"/>
        </w:rPr>
      </w:pPr>
    </w:p>
    <w:p w14:paraId="33010026">
      <w:pPr>
        <w:jc w:val="center"/>
        <w:outlineLvl w:val="0"/>
        <w:rPr>
          <w:rFonts w:hint="eastAsia" w:ascii="宋体" w:hAnsi="宋体" w:eastAsia="宋体"/>
          <w:sz w:val="28"/>
          <w:szCs w:val="28"/>
          <w:lang w:eastAsia="zh-CN"/>
        </w:rPr>
      </w:pPr>
      <w:r>
        <w:rPr>
          <w:rFonts w:hint="eastAsia" w:ascii="宋体" w:hAnsi="宋体"/>
        </w:rPr>
        <w:br w:type="page"/>
      </w:r>
      <w:bookmarkStart w:id="1102" w:name="_Toc29364"/>
      <w:bookmarkEnd w:id="1102"/>
      <w:bookmarkStart w:id="1103" w:name="_Toc7718"/>
      <w:bookmarkEnd w:id="1103"/>
      <w:bookmarkStart w:id="1104" w:name="_Toc18631"/>
      <w:bookmarkStart w:id="1105" w:name="_Toc129073521"/>
      <w:bookmarkStart w:id="1106" w:name="_Toc6585"/>
      <w:bookmarkStart w:id="1107" w:name="_Toc18984"/>
      <w:bookmarkStart w:id="1108" w:name="_Toc9445"/>
      <w:bookmarkStart w:id="1109" w:name="_Toc15476"/>
      <w:bookmarkStart w:id="1110" w:name="_Toc6721"/>
      <w:r>
        <w:rPr>
          <w:rFonts w:hint="eastAsia" w:ascii="宋体" w:hAnsi="宋体"/>
          <w:b/>
          <w:bCs/>
          <w:sz w:val="30"/>
          <w:szCs w:val="30"/>
        </w:rPr>
        <w:t xml:space="preserve">第五章  </w:t>
      </w:r>
      <w:bookmarkEnd w:id="1104"/>
      <w:r>
        <w:rPr>
          <w:rFonts w:hint="eastAsia" w:ascii="宋体" w:hAnsi="宋体"/>
          <w:b/>
          <w:bCs/>
          <w:sz w:val="30"/>
          <w:szCs w:val="30"/>
        </w:rPr>
        <w:t>工程量清单</w:t>
      </w:r>
      <w:bookmarkEnd w:id="1105"/>
      <w:bookmarkEnd w:id="1106"/>
      <w:r>
        <w:rPr>
          <w:rFonts w:hint="eastAsia" w:ascii="宋体" w:hAnsi="宋体"/>
          <w:b/>
          <w:bCs/>
          <w:sz w:val="30"/>
          <w:szCs w:val="30"/>
          <w:lang w:eastAsia="zh-CN"/>
        </w:rPr>
        <w:t>和图纸</w:t>
      </w:r>
      <w:bookmarkEnd w:id="1107"/>
      <w:bookmarkEnd w:id="1108"/>
      <w:bookmarkEnd w:id="1109"/>
      <w:bookmarkEnd w:id="1110"/>
    </w:p>
    <w:p w14:paraId="3AC09574">
      <w:pPr>
        <w:spacing w:line="360" w:lineRule="auto"/>
        <w:ind w:firstLine="361"/>
        <w:jc w:val="center"/>
        <w:rPr>
          <w:rFonts w:ascii="宋体" w:hAnsi="宋体"/>
          <w:b/>
        </w:rPr>
      </w:pPr>
      <w:bookmarkStart w:id="1111" w:name="_Toc283382019"/>
      <w:bookmarkEnd w:id="1111"/>
      <w:r>
        <w:rPr>
          <w:rFonts w:hint="eastAsia" w:ascii="宋体" w:hAnsi="宋体"/>
          <w:b/>
        </w:rPr>
        <w:t>（另附）</w:t>
      </w:r>
    </w:p>
    <w:p w14:paraId="49D1B7AF">
      <w:pPr>
        <w:ind w:firstLine="422"/>
        <w:jc w:val="center"/>
        <w:rPr>
          <w:rFonts w:ascii="宋体" w:hAnsi="宋体"/>
          <w:b/>
          <w:bCs/>
          <w:sz w:val="28"/>
          <w:szCs w:val="28"/>
        </w:rPr>
      </w:pPr>
    </w:p>
    <w:p w14:paraId="3644617E">
      <w:pPr>
        <w:ind w:firstLine="452"/>
        <w:jc w:val="left"/>
        <w:rPr>
          <w:rFonts w:ascii="宋体" w:hAnsi="宋体"/>
          <w:b/>
          <w:bCs/>
          <w:sz w:val="30"/>
          <w:szCs w:val="30"/>
        </w:rPr>
      </w:pPr>
      <w:bookmarkStart w:id="1112" w:name="_Toc9582"/>
      <w:bookmarkEnd w:id="1112"/>
      <w:bookmarkStart w:id="1113" w:name="_Toc129073522"/>
      <w:r>
        <w:rPr>
          <w:rFonts w:hint="eastAsia" w:ascii="宋体" w:hAnsi="宋体"/>
          <w:b/>
          <w:bCs/>
          <w:sz w:val="30"/>
          <w:szCs w:val="30"/>
        </w:rPr>
        <w:br w:type="page"/>
      </w:r>
    </w:p>
    <w:p w14:paraId="6C3EC182">
      <w:pPr>
        <w:jc w:val="center"/>
        <w:outlineLvl w:val="0"/>
        <w:rPr>
          <w:rFonts w:hint="eastAsia" w:ascii="宋体" w:hAnsi="宋体" w:eastAsia="宋体"/>
          <w:b/>
          <w:bCs/>
          <w:sz w:val="30"/>
          <w:szCs w:val="30"/>
        </w:rPr>
      </w:pPr>
      <w:bookmarkStart w:id="1114" w:name="_Toc18296"/>
      <w:bookmarkStart w:id="1115" w:name="_Toc18946"/>
      <w:bookmarkStart w:id="1116" w:name="_Toc8556"/>
      <w:bookmarkStart w:id="1117" w:name="_Toc26819"/>
      <w:bookmarkStart w:id="1118" w:name="_Toc29889"/>
      <w:r>
        <w:rPr>
          <w:rFonts w:hint="eastAsia" w:ascii="宋体" w:hAnsi="宋体" w:eastAsia="宋体"/>
          <w:b/>
          <w:bCs/>
          <w:sz w:val="30"/>
          <w:szCs w:val="30"/>
        </w:rPr>
        <w:t xml:space="preserve">第六章  </w:t>
      </w:r>
      <w:bookmarkEnd w:id="1113"/>
      <w:bookmarkEnd w:id="1114"/>
      <w:bookmarkStart w:id="1119" w:name="_Toc6633"/>
      <w:bookmarkEnd w:id="1119"/>
      <w:bookmarkStart w:id="1120" w:name="_Toc24103"/>
      <w:bookmarkStart w:id="1121" w:name="_Toc17702"/>
      <w:bookmarkStart w:id="1122" w:name="_Toc129073523"/>
      <w:r>
        <w:rPr>
          <w:rFonts w:hint="eastAsia" w:ascii="宋体" w:hAnsi="宋体" w:eastAsia="宋体"/>
          <w:b/>
          <w:bCs/>
          <w:sz w:val="30"/>
          <w:szCs w:val="30"/>
        </w:rPr>
        <w:t>技术标准和要求</w:t>
      </w:r>
      <w:bookmarkEnd w:id="1115"/>
      <w:bookmarkEnd w:id="1116"/>
      <w:bookmarkEnd w:id="1117"/>
      <w:bookmarkEnd w:id="1118"/>
      <w:bookmarkEnd w:id="1120"/>
      <w:bookmarkEnd w:id="1121"/>
      <w:bookmarkEnd w:id="1122"/>
    </w:p>
    <w:p w14:paraId="25475AAC">
      <w:pPr>
        <w:jc w:val="left"/>
        <w:rPr>
          <w:rFonts w:ascii="宋体" w:hAnsi="宋体"/>
        </w:rPr>
      </w:pPr>
    </w:p>
    <w:p w14:paraId="70E35858">
      <w:pPr>
        <w:numPr>
          <w:ilvl w:val="0"/>
          <w:numId w:val="7"/>
        </w:numPr>
        <w:autoSpaceDE w:val="0"/>
        <w:autoSpaceDN w:val="0"/>
        <w:adjustRightInd w:val="0"/>
        <w:spacing w:line="360" w:lineRule="auto"/>
        <w:ind w:left="-2" w:firstLine="420" w:firstLineChars="0"/>
        <w:rPr>
          <w:rFonts w:ascii="宋体" w:hAnsi="宋体" w:cs="宋体"/>
          <w:kern w:val="0"/>
        </w:rPr>
      </w:pPr>
      <w:r>
        <w:rPr>
          <w:rFonts w:hint="eastAsia" w:ascii="宋体" w:hAnsi="宋体" w:cs="宋体"/>
          <w:kern w:val="0"/>
        </w:rPr>
        <w:t>本项目的材料、设备、施工须达到现行中华人民共和国以及省、自治区、直辖市或行业的工程建设标准、规范的合格要求。</w:t>
      </w:r>
    </w:p>
    <w:p w14:paraId="067E9447">
      <w:pPr>
        <w:numPr>
          <w:ilvl w:val="0"/>
          <w:numId w:val="7"/>
        </w:numPr>
        <w:autoSpaceDE w:val="0"/>
        <w:autoSpaceDN w:val="0"/>
        <w:adjustRightInd w:val="0"/>
        <w:spacing w:line="360" w:lineRule="auto"/>
        <w:ind w:left="-2" w:firstLine="420" w:firstLineChars="0"/>
        <w:rPr>
          <w:rFonts w:ascii="宋体" w:hAnsi="宋体" w:cs="宋体"/>
          <w:kern w:val="0"/>
        </w:rPr>
      </w:pPr>
      <w:r>
        <w:rPr>
          <w:rFonts w:hint="eastAsia" w:ascii="宋体" w:hAnsi="宋体" w:cs="宋体"/>
          <w:kern w:val="0"/>
        </w:rPr>
        <w:t>除非合同文件中另有特别注明，本工程适用中华人民共和国现行有效的国家规范、规程和标准。设计图纸和其他设计文件中的有关文字说明是本工程技术规范的组成。对于涉及新技术、新工艺和新材料的工作，相应厂家使用说明或操作说明等的内容，或适用的国外同类标准的内容也是本工程技术规范的组成部分。</w:t>
      </w:r>
    </w:p>
    <w:p w14:paraId="41BC6B63">
      <w:pPr>
        <w:numPr>
          <w:ilvl w:val="0"/>
          <w:numId w:val="7"/>
        </w:numPr>
        <w:autoSpaceDE w:val="0"/>
        <w:autoSpaceDN w:val="0"/>
        <w:adjustRightInd w:val="0"/>
        <w:spacing w:line="360" w:lineRule="auto"/>
        <w:ind w:left="-2" w:firstLine="420" w:firstLineChars="0"/>
        <w:rPr>
          <w:rFonts w:ascii="宋体" w:hAnsi="宋体" w:cs="宋体"/>
          <w:kern w:val="0"/>
        </w:rPr>
      </w:pPr>
      <w:r>
        <w:rPr>
          <w:rFonts w:hint="eastAsia" w:ascii="宋体" w:hAnsi="宋体" w:cs="宋体"/>
          <w:kern w:val="0"/>
        </w:rPr>
        <w:t>合同中约定的任何乙方应予遵照执行的国家规范、规程和标准都指他们各自的最新版本。如果在构成本工程规范和技术说明的任何内容与任何现行国家规范、规程和标准包括他们适用的修改之间出现相互矛盾之处或不一致的指示，乙方应按照其中要求最严格的标准执行。材料、施工工艺和本工程都应依照本工程规范和技术说明以及相关国家规范、规程和标准的最新版本；或把最新版本的要求当作对乙方工作的最起码要求，而执行更高的标准。</w:t>
      </w:r>
    </w:p>
    <w:p w14:paraId="24BC71D5">
      <w:pPr>
        <w:numPr>
          <w:ilvl w:val="0"/>
          <w:numId w:val="7"/>
        </w:numPr>
        <w:autoSpaceDE w:val="0"/>
        <w:autoSpaceDN w:val="0"/>
        <w:adjustRightInd w:val="0"/>
        <w:spacing w:line="360" w:lineRule="auto"/>
        <w:ind w:left="-2" w:firstLine="420" w:firstLineChars="0"/>
        <w:rPr>
          <w:rFonts w:ascii="宋体" w:hAnsi="宋体" w:cs="宋体"/>
          <w:kern w:val="0"/>
        </w:rPr>
      </w:pPr>
      <w:r>
        <w:rPr>
          <w:rFonts w:hint="eastAsia" w:ascii="宋体" w:hAnsi="宋体" w:cs="宋体"/>
          <w:kern w:val="0"/>
        </w:rPr>
        <w:t>未尽项均执行现行规范及标准，以上规范如有变化，以最新发布的为准。</w:t>
      </w:r>
    </w:p>
    <w:p w14:paraId="14D1207F">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2" w:firstLine="422" w:firstLineChars="0"/>
        <w:textAlignment w:val="auto"/>
        <w:rPr>
          <w:rFonts w:hint="eastAsia" w:ascii="宋体" w:hAnsi="宋体" w:cs="宋体"/>
          <w:kern w:val="0"/>
        </w:rPr>
      </w:pPr>
      <w:r>
        <w:rPr>
          <w:rFonts w:hint="eastAsia" w:ascii="宋体" w:hAnsi="宋体" w:cs="宋体"/>
          <w:b/>
          <w:bCs/>
          <w:kern w:val="0"/>
        </w:rPr>
        <w:t>建设任务和内容</w:t>
      </w:r>
    </w:p>
    <w:p w14:paraId="154D84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（一）空间布局优化工程​</w:t>
      </w:r>
    </w:p>
    <w:p w14:paraId="515926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中原量子谷后楼四层西侧已完成陶瓷地板铺装、墙面粉刷及简易隔断施工，根据深化设计方案需进行功能重构。该区域定位为综合办公枢纽，规划设置 4 间标准办公室、4 间 PI 独立研究室、1 间多功能会议室（含视频会议系统）、1 间科技成果展厅，总改造面积约420㎡。​</w:t>
      </w:r>
    </w:p>
    <w:p w14:paraId="7E36DA15">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工范围包括：​</w:t>
      </w:r>
    </w:p>
    <w:p w14:paraId="5CE922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功能分区改造：采用轻钢龙骨 + 防火石膏板隔断墙进行空间划分，隔断高度至结构顶板，满足隔声要求（空气声隔声量≥35dB）；​</w:t>
      </w:r>
    </w:p>
    <w:p w14:paraId="15AE42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装饰工程：墙面采用环保型乳胶漆（耐擦洗次数≥5000 次），吊顶选用 600×600mm 铝扣板（厚度≥0.8mm）；​</w:t>
      </w:r>
    </w:p>
    <w:p w14:paraId="710A1E73">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机电系统改造：​</w:t>
      </w:r>
    </w:p>
    <w:p w14:paraId="40417E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强电系统：按办公及会议需求重新设计配电回路，增设 UPS 不间断电源接口；​</w:t>
      </w:r>
    </w:p>
    <w:p w14:paraId="543C73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空调通风：改造原有空调末端，新增变频多联机系统，实现分区域温度独立控制；​</w:t>
      </w:r>
    </w:p>
    <w:p w14:paraId="679FB2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照明系统：采用防眩 LED 平板灯（色温 4000K，显色指数≥85）。​</w:t>
      </w:r>
    </w:p>
    <w:p w14:paraId="5DE3DA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（二）洁净间装修改造工程​</w:t>
      </w:r>
    </w:p>
    <w:p w14:paraId="5C5EE3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为保障高精密科学仪器的稳定运行及尖端科研项目实施，规划建设 3 间万级洁净间（ISO 8 级），施工面积约770㎡。具体技术标准如下：​</w:t>
      </w:r>
    </w:p>
    <w:p w14:paraId="70736E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cs="宋体"/>
          <w:lang w:val="en-US" w:eastAsia="zh-CN"/>
        </w:rPr>
        <w:t>1.</w:t>
      </w:r>
      <w:r>
        <w:rPr>
          <w:rFonts w:hint="eastAsia" w:ascii="宋体" w:hAnsi="宋体" w:eastAsia="宋体" w:cs="宋体"/>
          <w:lang w:val="en-US" w:eastAsia="zh-CN"/>
        </w:rPr>
        <w:t>功能分区：​</w:t>
      </w:r>
    </w:p>
    <w:p w14:paraId="5BA97D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（1）1 号洁净间（装配式结构）：专为水导激光加工设备设计，采用模块化洁净单元组装，具备快速拆装及维护特性；​</w:t>
      </w:r>
    </w:p>
    <w:p w14:paraId="2AB01F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（2）2 号洁净间：配置激光医疗创新平台，满足生物医疗级洁净环境要求；​</w:t>
      </w:r>
    </w:p>
    <w:p w14:paraId="43ACA8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（3）3 号洁净间：部署光学应用平台，需控制振动幅值≤5μm（10-100Hz 频段）。​</w:t>
      </w:r>
    </w:p>
    <w:p w14:paraId="7A6643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lang w:val="en-US" w:eastAsia="zh-CN"/>
        </w:rPr>
      </w:pPr>
      <w:r>
        <w:rPr>
          <w:rFonts w:hint="eastAsia" w:ascii="宋体" w:hAnsi="宋体" w:cs="宋体"/>
          <w:lang w:val="en-US" w:eastAsia="zh-CN"/>
        </w:rPr>
        <w:t>2.装修标准：​</w:t>
      </w:r>
    </w:p>
    <w:p w14:paraId="76F1FE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lang w:val="en-US" w:eastAsia="zh-CN"/>
        </w:rPr>
      </w:pPr>
      <w:r>
        <w:rPr>
          <w:rFonts w:hint="eastAsia" w:ascii="宋体" w:hAnsi="宋体" w:cs="宋体"/>
          <w:lang w:val="en-US" w:eastAsia="zh-CN"/>
        </w:rPr>
        <w:t>（1）围护结构：墙顶采用 50mm 厚硫氧镁洁净板（防火等级 A 级，抗菌率≥99%），圆弧角处理（半径≥50mm）；​</w:t>
      </w:r>
    </w:p>
    <w:p w14:paraId="25360B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lang w:val="en-US" w:eastAsia="zh-CN"/>
        </w:rPr>
      </w:pPr>
      <w:r>
        <w:rPr>
          <w:rFonts w:hint="eastAsia" w:ascii="宋体" w:hAnsi="宋体" w:cs="宋体"/>
          <w:lang w:val="en-US" w:eastAsia="zh-CN"/>
        </w:rPr>
        <w:t>（2）地面工程：铺设 3mm 厚 PVC 同质透心橡胶地板（电阻值 10^6-10^9Ω，耐磨损等级 T 级）；（3）空调系统：采用净化专用恒温恒湿空调（控温精度 ±0.5℃，控湿精度 ±5% RH），配套全新风循环系统（换气次数≥25 次 /h），空气悬浮粒子浓度控制在 352000 粒 /m³（≥0.5μm）以下。</w:t>
      </w:r>
    </w:p>
    <w:p w14:paraId="0A3E82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lang w:val="en-US" w:eastAsia="zh-CN"/>
        </w:rPr>
      </w:pPr>
      <w:r>
        <w:rPr>
          <w:rFonts w:hint="eastAsia" w:ascii="宋体" w:hAnsi="宋体" w:cs="宋体"/>
          <w:lang w:val="en-US" w:eastAsia="zh-CN"/>
        </w:rPr>
        <w:t>（4）配套设施：每间洁净间设置独立风淋室（吹淋时间 15-30s 可调）、压差控制系统（与非洁净区压差≥10Pa）及在线粒子监测终端，实现环境参数实时监控。</w:t>
      </w:r>
    </w:p>
    <w:p w14:paraId="23CAB4E2">
      <w:pPr>
        <w:numPr>
          <w:ilvl w:val="0"/>
          <w:numId w:val="0"/>
        </w:numPr>
        <w:autoSpaceDE w:val="0"/>
        <w:autoSpaceDN w:val="0"/>
        <w:adjustRightInd w:val="0"/>
        <w:spacing w:line="360" w:lineRule="auto"/>
        <w:ind w:firstLine="422" w:firstLineChars="200"/>
        <w:rPr>
          <w:rFonts w:hint="eastAsia" w:ascii="宋体" w:hAnsi="宋体" w:eastAsia="宋体" w:cs="宋体"/>
          <w:kern w:val="0"/>
          <w:lang w:eastAsia="zh-CN"/>
        </w:rPr>
      </w:pPr>
      <w:r>
        <w:rPr>
          <w:rFonts w:hint="eastAsia" w:ascii="宋体" w:hAnsi="宋体" w:eastAsia="宋体" w:cs="宋体"/>
          <w:b/>
          <w:bCs/>
          <w:kern w:val="0"/>
          <w:lang w:eastAsia="zh-CN"/>
        </w:rPr>
        <w:t>六、预期可考核目标（内容应具体、明确、可考核，防止目标空泛。如基础设施维修改造的标准、使用功能及效果指标、拟修缮项目或拟升级改造设施适用期限等内容）</w:t>
      </w:r>
    </w:p>
    <w:p w14:paraId="4B07E63E">
      <w:pPr>
        <w:numPr>
          <w:ilvl w:val="0"/>
          <w:numId w:val="0"/>
        </w:numPr>
        <w:autoSpaceDE w:val="0"/>
        <w:autoSpaceDN w:val="0"/>
        <w:adjustRightInd w:val="0"/>
        <w:spacing w:line="360" w:lineRule="auto"/>
        <w:ind w:firstLine="420" w:firstLineChars="200"/>
        <w:rPr>
          <w:rFonts w:hint="eastAsia" w:ascii="宋体" w:hAnsi="宋体" w:eastAsia="宋体" w:cs="宋体"/>
          <w:kern w:val="0"/>
          <w:lang w:eastAsia="zh-CN"/>
        </w:rPr>
      </w:pPr>
      <w:r>
        <w:rPr>
          <w:rFonts w:hint="eastAsia" w:ascii="宋体" w:hAnsi="宋体" w:eastAsia="宋体" w:cs="宋体"/>
          <w:kern w:val="0"/>
          <w:lang w:val="en-US" w:eastAsia="zh-CN"/>
        </w:rPr>
        <w:t>此次装修为局部装修，在原有结构基础上包括：</w:t>
      </w:r>
      <w:r>
        <w:rPr>
          <w:rFonts w:hint="eastAsia" w:ascii="宋体" w:hAnsi="宋体" w:eastAsia="宋体" w:cs="宋体"/>
          <w:kern w:val="0"/>
          <w:lang w:eastAsia="zh-CN"/>
        </w:rPr>
        <w:t>15间万级实验室、</w:t>
      </w:r>
      <w:r>
        <w:rPr>
          <w:rFonts w:hint="eastAsia" w:ascii="宋体" w:hAnsi="宋体" w:eastAsia="宋体" w:cs="宋体"/>
          <w:kern w:val="0"/>
          <w:lang w:val="en-US" w:eastAsia="zh-CN"/>
        </w:rPr>
        <w:t>3</w:t>
      </w:r>
      <w:r>
        <w:rPr>
          <w:rFonts w:hint="eastAsia" w:ascii="宋体" w:hAnsi="宋体" w:eastAsia="宋体" w:cs="宋体"/>
          <w:kern w:val="0"/>
          <w:lang w:eastAsia="zh-CN"/>
        </w:rPr>
        <w:t>间机房、7间办公室、会议室2间、展厅1间。</w:t>
      </w:r>
      <w:r>
        <w:rPr>
          <w:rFonts w:hint="eastAsia" w:ascii="宋体" w:hAnsi="宋体" w:eastAsia="宋体" w:cs="宋体"/>
          <w:kern w:val="0"/>
          <w:lang w:val="en-US" w:eastAsia="zh-CN"/>
        </w:rPr>
        <w:t>改造项目施工</w:t>
      </w:r>
      <w:r>
        <w:rPr>
          <w:rFonts w:hint="eastAsia" w:ascii="宋体" w:hAnsi="宋体" w:eastAsia="宋体" w:cs="宋体"/>
          <w:kern w:val="0"/>
          <w:lang w:eastAsia="zh-CN"/>
        </w:rPr>
        <w:t>主要包含地面装修、洁净板墙面装修、洁净板顶面装修、轻钢龙骨石膏板顶面装修、P</w:t>
      </w:r>
      <w:r>
        <w:rPr>
          <w:rFonts w:hint="eastAsia" w:ascii="宋体" w:hAnsi="宋体" w:eastAsia="宋体" w:cs="宋体"/>
          <w:kern w:val="0"/>
          <w:lang w:val="en-US" w:eastAsia="zh-CN"/>
        </w:rPr>
        <w:t>V</w:t>
      </w:r>
      <w:r>
        <w:rPr>
          <w:rFonts w:hint="eastAsia" w:ascii="宋体" w:hAnsi="宋体" w:eastAsia="宋体" w:cs="宋体"/>
          <w:kern w:val="0"/>
          <w:lang w:eastAsia="zh-CN"/>
        </w:rPr>
        <w:t>C地面铺贴、实验室装修、 FFU系统安装、空调机组安装、弱电监控系统、强电安装、顶面墙面涂料施工,会议室装修，门窗工程安装、给排水工程。</w:t>
      </w:r>
    </w:p>
    <w:p w14:paraId="6DE60032">
      <w:pPr>
        <w:numPr>
          <w:ilvl w:val="0"/>
          <w:numId w:val="0"/>
        </w:numPr>
        <w:autoSpaceDE w:val="0"/>
        <w:autoSpaceDN w:val="0"/>
        <w:adjustRightInd w:val="0"/>
        <w:spacing w:line="360" w:lineRule="auto"/>
        <w:ind w:firstLine="420" w:firstLineChars="200"/>
        <w:rPr>
          <w:rFonts w:hint="eastAsia" w:ascii="宋体" w:hAnsi="宋体" w:eastAsia="宋体" w:cs="宋体"/>
          <w:kern w:val="0"/>
          <w:lang w:val="en-US" w:eastAsia="zh-CN"/>
        </w:rPr>
      </w:pPr>
      <w:r>
        <w:rPr>
          <w:rFonts w:hint="eastAsia" w:ascii="宋体" w:hAnsi="宋体" w:cs="宋体"/>
          <w:kern w:val="0"/>
          <w:lang w:val="en-US" w:eastAsia="zh-CN"/>
        </w:rPr>
        <w:t>（一）</w:t>
      </w:r>
      <w:r>
        <w:rPr>
          <w:rFonts w:hint="eastAsia" w:ascii="宋体" w:hAnsi="宋体" w:eastAsia="宋体" w:cs="宋体"/>
          <w:kern w:val="0"/>
          <w:lang w:val="en-US" w:eastAsia="zh-CN"/>
        </w:rPr>
        <w:t>地面</w:t>
      </w:r>
      <w:r>
        <w:rPr>
          <w:rFonts w:hint="eastAsia" w:ascii="宋体" w:hAnsi="宋体" w:eastAsia="宋体" w:cs="宋体"/>
          <w:kern w:val="0"/>
          <w:lang w:val="en-US" w:eastAsia="zh-CN"/>
        </w:rPr>
        <w:br w:type="textWrapping"/>
      </w:r>
      <w:r>
        <w:rPr>
          <w:rFonts w:hint="eastAsia" w:ascii="宋体" w:hAnsi="宋体" w:eastAsia="宋体" w:cs="宋体"/>
          <w:kern w:val="0"/>
          <w:lang w:val="en-US" w:eastAsia="zh-CN"/>
        </w:rPr>
        <w:t xml:space="preserve">       1.3mmPVC同质透芯卷材地面</w:t>
      </w:r>
      <w:r>
        <w:rPr>
          <w:rFonts w:hint="eastAsia" w:ascii="宋体" w:hAnsi="宋体" w:eastAsia="宋体" w:cs="宋体"/>
          <w:kern w:val="0"/>
          <w:lang w:val="en-US" w:eastAsia="zh-CN"/>
        </w:rPr>
        <w:br w:type="textWrapping"/>
      </w:r>
      <w:r>
        <w:rPr>
          <w:rFonts w:hint="eastAsia" w:ascii="宋体" w:hAnsi="宋体" w:eastAsia="宋体" w:cs="宋体"/>
          <w:kern w:val="0"/>
          <w:lang w:val="en-US" w:eastAsia="zh-CN"/>
        </w:rPr>
        <w:t xml:space="preserve">       2.基层面涂超强地板粘合剂</w:t>
      </w:r>
      <w:r>
        <w:rPr>
          <w:rFonts w:hint="eastAsia" w:ascii="宋体" w:hAnsi="宋体" w:eastAsia="宋体" w:cs="宋体"/>
          <w:kern w:val="0"/>
          <w:lang w:val="en-US" w:eastAsia="zh-CN"/>
        </w:rPr>
        <w:br w:type="textWrapping"/>
      </w:r>
      <w:r>
        <w:rPr>
          <w:rFonts w:hint="eastAsia" w:ascii="宋体" w:hAnsi="宋体" w:eastAsia="宋体" w:cs="宋体"/>
          <w:kern w:val="0"/>
          <w:lang w:val="en-US" w:eastAsia="zh-CN"/>
        </w:rPr>
        <w:t xml:space="preserve">       3.3mm厚自流平</w:t>
      </w:r>
      <w:r>
        <w:rPr>
          <w:rFonts w:hint="eastAsia" w:ascii="宋体" w:hAnsi="宋体" w:cs="宋体"/>
          <w:kern w:val="0"/>
          <w:lang w:val="en-US" w:eastAsia="zh-CN"/>
        </w:rPr>
        <w:br w:type="textWrapping"/>
      </w:r>
      <w:r>
        <w:rPr>
          <w:rFonts w:hint="eastAsia" w:ascii="宋体" w:hAnsi="宋体" w:cs="宋体"/>
          <w:kern w:val="0"/>
          <w:lang w:val="en-US" w:eastAsia="zh-CN"/>
        </w:rPr>
        <w:t xml:space="preserve">       4.吸收型界面处理剂</w:t>
      </w:r>
      <w:r>
        <w:rPr>
          <w:rFonts w:hint="eastAsia" w:ascii="宋体" w:hAnsi="宋体" w:cs="宋体"/>
          <w:kern w:val="0"/>
          <w:lang w:val="en-US" w:eastAsia="zh-CN"/>
        </w:rPr>
        <w:br w:type="textWrapping"/>
      </w:r>
      <w:r>
        <w:rPr>
          <w:rFonts w:hint="eastAsia" w:ascii="宋体" w:hAnsi="宋体" w:cs="宋体"/>
          <w:kern w:val="0"/>
          <w:lang w:val="en-US" w:eastAsia="zh-CN"/>
        </w:rPr>
        <w:t xml:space="preserve">       5.100厚C25细石混凝土找平层，内配φ6@100单层双向钢筋表面抹平收光</w:t>
      </w:r>
      <w:r>
        <w:rPr>
          <w:rFonts w:hint="eastAsia" w:ascii="宋体" w:hAnsi="宋体" w:cs="宋体"/>
          <w:kern w:val="0"/>
          <w:lang w:val="en-US" w:eastAsia="zh-CN"/>
        </w:rPr>
        <w:br w:type="textWrapping"/>
      </w:r>
      <w:r>
        <w:rPr>
          <w:rFonts w:hint="eastAsia" w:ascii="宋体" w:hAnsi="宋体" w:cs="宋体"/>
          <w:kern w:val="0"/>
          <w:lang w:val="en-US" w:eastAsia="zh-CN"/>
        </w:rPr>
        <w:t xml:space="preserve">       6</w:t>
      </w:r>
      <w:r>
        <w:rPr>
          <w:rFonts w:hint="eastAsia" w:ascii="宋体" w:hAnsi="宋体" w:eastAsia="宋体" w:cs="宋体"/>
          <w:kern w:val="0"/>
          <w:lang w:val="en-US" w:eastAsia="zh-CN"/>
        </w:rPr>
        <w:t>.钢筋混凝士楼板</w:t>
      </w:r>
      <w:r>
        <w:rPr>
          <w:rFonts w:hint="eastAsia" w:ascii="宋体" w:hAnsi="宋体" w:eastAsia="宋体" w:cs="宋体"/>
          <w:kern w:val="0"/>
          <w:lang w:val="en-US" w:eastAsia="zh-CN"/>
        </w:rPr>
        <w:br w:type="textWrapping"/>
      </w:r>
      <w:r>
        <w:rPr>
          <w:rFonts w:hint="eastAsia" w:ascii="宋体" w:hAnsi="宋体" w:eastAsia="宋体" w:cs="宋体"/>
          <w:kern w:val="0"/>
          <w:lang w:val="en-US" w:eastAsia="zh-CN"/>
        </w:rPr>
        <w:t xml:space="preserve">       7.相关图纸设计及规其它说明，详见相关图纸设计及规范要求</w:t>
      </w:r>
    </w:p>
    <w:p w14:paraId="2A32F368">
      <w:pPr>
        <w:numPr>
          <w:ilvl w:val="0"/>
          <w:numId w:val="0"/>
        </w:numPr>
        <w:autoSpaceDE w:val="0"/>
        <w:autoSpaceDN w:val="0"/>
        <w:adjustRightInd w:val="0"/>
        <w:spacing w:line="360" w:lineRule="auto"/>
        <w:ind w:firstLine="420" w:firstLineChars="200"/>
        <w:rPr>
          <w:rFonts w:hint="eastAsia" w:ascii="宋体" w:hAnsi="宋体" w:eastAsia="宋体" w:cs="宋体"/>
          <w:kern w:val="0"/>
          <w:lang w:val="en-US" w:eastAsia="zh-CN"/>
        </w:rPr>
      </w:pPr>
      <w:r>
        <w:rPr>
          <w:rFonts w:hint="eastAsia" w:ascii="宋体" w:hAnsi="宋体" w:cs="宋体"/>
          <w:kern w:val="0"/>
          <w:lang w:val="en-US" w:eastAsia="zh-CN"/>
        </w:rPr>
        <w:t>（二）</w:t>
      </w:r>
      <w:r>
        <w:rPr>
          <w:rFonts w:hint="eastAsia" w:ascii="宋体" w:hAnsi="宋体" w:eastAsia="宋体" w:cs="宋体"/>
          <w:kern w:val="0"/>
          <w:lang w:val="en-US" w:eastAsia="zh-CN"/>
        </w:rPr>
        <w:t>墙面</w:t>
      </w:r>
      <w:r>
        <w:rPr>
          <w:rFonts w:hint="eastAsia" w:ascii="宋体" w:hAnsi="宋体" w:eastAsia="宋体" w:cs="宋体"/>
          <w:kern w:val="0"/>
          <w:lang w:val="en-US" w:eastAsia="zh-CN"/>
        </w:rPr>
        <w:br w:type="textWrapping"/>
      </w:r>
      <w:r>
        <w:rPr>
          <w:rFonts w:hint="eastAsia" w:ascii="宋体" w:hAnsi="宋体" w:eastAsia="宋体" w:cs="宋体"/>
          <w:kern w:val="0"/>
          <w:lang w:val="en-US" w:eastAsia="zh-CN"/>
        </w:rPr>
        <w:t xml:space="preserve">     1.骨架材料种类、规格、中距：所有连接采用圆弧角处理；彩钢板垂直插入铝槽，每隔300mm安装M6塑料膨胀螺栓固定彩钢板铝槽；</w:t>
      </w:r>
      <w:r>
        <w:rPr>
          <w:rFonts w:hint="eastAsia" w:ascii="宋体" w:hAnsi="宋体" w:eastAsia="宋体" w:cs="宋体"/>
          <w:kern w:val="0"/>
          <w:lang w:val="en-US" w:eastAsia="zh-CN"/>
        </w:rPr>
        <w:br w:type="textWrapping"/>
      </w:r>
      <w:r>
        <w:rPr>
          <w:rFonts w:hint="eastAsia" w:ascii="宋体" w:hAnsi="宋体" w:eastAsia="宋体" w:cs="宋体"/>
          <w:kern w:val="0"/>
          <w:lang w:val="en-US" w:eastAsia="zh-CN"/>
        </w:rPr>
        <w:t xml:space="preserve">     2.面层材料品种、规格、颜色：50mm手工玻镁岩棉彩钢板，两侧钢板厚度0.476mm</w:t>
      </w:r>
      <w:r>
        <w:rPr>
          <w:rFonts w:hint="eastAsia" w:ascii="宋体" w:hAnsi="宋体" w:eastAsia="宋体" w:cs="宋体"/>
          <w:kern w:val="0"/>
          <w:lang w:val="en-US" w:eastAsia="zh-CN"/>
        </w:rPr>
        <w:br w:type="textWrapping"/>
      </w:r>
      <w:r>
        <w:rPr>
          <w:rFonts w:hint="eastAsia" w:ascii="宋体" w:hAnsi="宋体" w:eastAsia="宋体" w:cs="宋体"/>
          <w:kern w:val="0"/>
          <w:lang w:val="en-US" w:eastAsia="zh-CN"/>
        </w:rPr>
        <w:t xml:space="preserve">     3.其它说明：详见相关图纸设计及规范要求</w:t>
      </w:r>
    </w:p>
    <w:p w14:paraId="21E7F179">
      <w:pPr>
        <w:numPr>
          <w:ilvl w:val="0"/>
          <w:numId w:val="0"/>
        </w:numPr>
        <w:autoSpaceDE w:val="0"/>
        <w:autoSpaceDN w:val="0"/>
        <w:adjustRightInd w:val="0"/>
        <w:spacing w:line="360" w:lineRule="auto"/>
        <w:ind w:firstLine="420" w:firstLineChars="200"/>
        <w:rPr>
          <w:rFonts w:hint="eastAsia" w:ascii="宋体" w:hAnsi="宋体" w:eastAsia="宋体" w:cs="宋体"/>
          <w:kern w:val="0"/>
          <w:lang w:val="en-US" w:eastAsia="zh-CN"/>
        </w:rPr>
      </w:pPr>
      <w:r>
        <w:rPr>
          <w:rFonts w:hint="eastAsia" w:ascii="宋体" w:hAnsi="宋体" w:cs="宋体"/>
          <w:kern w:val="0"/>
          <w:lang w:val="en-US" w:eastAsia="zh-CN"/>
        </w:rPr>
        <w:t>（三）</w:t>
      </w:r>
      <w:r>
        <w:rPr>
          <w:rFonts w:hint="eastAsia" w:ascii="宋体" w:hAnsi="宋体" w:eastAsia="宋体" w:cs="宋体"/>
          <w:kern w:val="0"/>
          <w:lang w:val="en-US" w:eastAsia="zh-CN"/>
        </w:rPr>
        <w:t>墙面油漆</w:t>
      </w:r>
      <w:r>
        <w:rPr>
          <w:rFonts w:hint="eastAsia" w:ascii="宋体" w:hAnsi="宋体" w:eastAsia="宋体" w:cs="宋体"/>
          <w:kern w:val="0"/>
          <w:lang w:val="en-US" w:eastAsia="zh-CN"/>
        </w:rPr>
        <w:br w:type="textWrapping"/>
      </w:r>
      <w:r>
        <w:rPr>
          <w:rFonts w:hint="eastAsia" w:ascii="宋体" w:hAnsi="宋体" w:eastAsia="宋体" w:cs="宋体"/>
          <w:kern w:val="0"/>
          <w:lang w:val="en-US" w:eastAsia="zh-CN"/>
        </w:rPr>
        <w:t xml:space="preserve">    1.基层墙体修补平整、打磨、表面清理</w:t>
      </w:r>
    </w:p>
    <w:p w14:paraId="3E6C13C4">
      <w:pPr>
        <w:numPr>
          <w:ilvl w:val="0"/>
          <w:numId w:val="0"/>
        </w:numPr>
        <w:autoSpaceDE w:val="0"/>
        <w:autoSpaceDN w:val="0"/>
        <w:adjustRightInd w:val="0"/>
        <w:spacing w:line="360" w:lineRule="auto"/>
        <w:ind w:firstLine="420" w:firstLineChars="200"/>
        <w:rPr>
          <w:rFonts w:hint="eastAsia" w:ascii="宋体" w:hAnsi="宋体" w:eastAsia="宋体" w:cs="宋体"/>
          <w:kern w:val="0"/>
          <w:lang w:val="en-US" w:eastAsia="zh-CN"/>
        </w:rPr>
      </w:pPr>
      <w:r>
        <w:rPr>
          <w:rFonts w:hint="eastAsia" w:ascii="宋体" w:hAnsi="宋体" w:eastAsia="宋体" w:cs="宋体"/>
          <w:kern w:val="0"/>
          <w:lang w:val="en-US" w:eastAsia="zh-CN"/>
        </w:rPr>
        <w:t>2.专用界面剂一道.</w:t>
      </w:r>
    </w:p>
    <w:p w14:paraId="0217084F">
      <w:pPr>
        <w:numPr>
          <w:ilvl w:val="0"/>
          <w:numId w:val="0"/>
        </w:numPr>
        <w:autoSpaceDE w:val="0"/>
        <w:autoSpaceDN w:val="0"/>
        <w:adjustRightInd w:val="0"/>
        <w:spacing w:line="360" w:lineRule="auto"/>
        <w:ind w:firstLine="420" w:firstLineChars="200"/>
        <w:rPr>
          <w:rFonts w:hint="eastAsia" w:ascii="宋体" w:hAnsi="宋体" w:eastAsia="宋体" w:cs="宋体"/>
          <w:kern w:val="0"/>
          <w:lang w:val="en-US" w:eastAsia="zh-CN"/>
        </w:rPr>
      </w:pPr>
      <w:r>
        <w:rPr>
          <w:rFonts w:hint="eastAsia" w:ascii="宋体" w:hAnsi="宋体" w:eastAsia="宋体" w:cs="宋体"/>
          <w:kern w:val="0"/>
          <w:lang w:val="en-US" w:eastAsia="zh-CN"/>
        </w:rPr>
        <w:t>3.采用200mm宽耐碱纤维网格布</w:t>
      </w:r>
    </w:p>
    <w:p w14:paraId="167CC693">
      <w:pPr>
        <w:numPr>
          <w:ilvl w:val="0"/>
          <w:numId w:val="0"/>
        </w:numPr>
        <w:autoSpaceDE w:val="0"/>
        <w:autoSpaceDN w:val="0"/>
        <w:adjustRightInd w:val="0"/>
        <w:spacing w:line="360" w:lineRule="auto"/>
        <w:ind w:firstLine="420" w:firstLineChars="200"/>
        <w:rPr>
          <w:rFonts w:hint="eastAsia" w:ascii="宋体" w:hAnsi="宋体" w:eastAsia="宋体" w:cs="宋体"/>
          <w:kern w:val="0"/>
          <w:lang w:val="en-US" w:eastAsia="zh-CN"/>
        </w:rPr>
      </w:pPr>
      <w:r>
        <w:rPr>
          <w:rFonts w:hint="eastAsia" w:ascii="宋体" w:hAnsi="宋体" w:eastAsia="宋体" w:cs="宋体"/>
          <w:kern w:val="0"/>
          <w:lang w:val="en-US" w:eastAsia="zh-CN"/>
        </w:rPr>
        <w:t>4.满刮腻子三遍,分层打磨抛光</w:t>
      </w:r>
    </w:p>
    <w:p w14:paraId="39E97D90">
      <w:pPr>
        <w:numPr>
          <w:ilvl w:val="0"/>
          <w:numId w:val="0"/>
        </w:numPr>
        <w:autoSpaceDE w:val="0"/>
        <w:autoSpaceDN w:val="0"/>
        <w:adjustRightInd w:val="0"/>
        <w:spacing w:line="360" w:lineRule="auto"/>
        <w:ind w:firstLine="420" w:firstLineChars="200"/>
        <w:rPr>
          <w:rFonts w:hint="eastAsia" w:ascii="宋体" w:hAnsi="宋体" w:eastAsia="宋体" w:cs="宋体"/>
          <w:kern w:val="0"/>
          <w:lang w:val="en-US" w:eastAsia="zh-CN"/>
        </w:rPr>
      </w:pPr>
      <w:r>
        <w:rPr>
          <w:rFonts w:hint="eastAsia" w:ascii="宋体" w:hAnsi="宋体" w:eastAsia="宋体" w:cs="宋体"/>
          <w:kern w:val="0"/>
          <w:lang w:val="en-US" w:eastAsia="zh-CN"/>
        </w:rPr>
        <w:t>5.喷无机内墙涂料二遍</w:t>
      </w:r>
    </w:p>
    <w:p w14:paraId="1F97F26B">
      <w:pPr>
        <w:numPr>
          <w:ilvl w:val="0"/>
          <w:numId w:val="0"/>
        </w:numPr>
        <w:autoSpaceDE w:val="0"/>
        <w:autoSpaceDN w:val="0"/>
        <w:adjustRightInd w:val="0"/>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（四）</w:t>
      </w:r>
      <w:r>
        <w:rPr>
          <w:rFonts w:hint="eastAsia" w:ascii="宋体" w:hAnsi="宋体" w:eastAsia="宋体" w:cs="宋体"/>
          <w:kern w:val="0"/>
          <w:lang w:val="en-US" w:eastAsia="zh-CN"/>
        </w:rPr>
        <w:t>吊顶天棚</w:t>
      </w:r>
      <w:r>
        <w:rPr>
          <w:rFonts w:hint="eastAsia" w:ascii="宋体" w:hAnsi="宋体" w:eastAsia="宋体" w:cs="宋体"/>
          <w:kern w:val="0"/>
          <w:lang w:val="en-US" w:eastAsia="zh-CN"/>
        </w:rPr>
        <w:br w:type="textWrapping"/>
      </w:r>
      <w:r>
        <w:rPr>
          <w:rFonts w:hint="eastAsia" w:ascii="宋体" w:hAnsi="宋体" w:eastAsia="宋体" w:cs="宋体"/>
          <w:kern w:val="0"/>
          <w:lang w:val="en-US" w:eastAsia="zh-CN"/>
        </w:rPr>
        <w:t xml:space="preserve">    1.吊顶形式、吊杆规格、高</w:t>
      </w:r>
      <w:r>
        <w:rPr>
          <w:rFonts w:hint="eastAsia" w:ascii="宋体" w:hAnsi="宋体" w:cs="宋体"/>
          <w:kern w:val="0"/>
          <w:lang w:val="en-US" w:eastAsia="zh-CN"/>
        </w:rPr>
        <w:t>度:吊顶与墙体采用圆弧角处理；采用钻尾螺丝固定；安装花篮螺栓,连接大梁,插入彩钢板；每隔1000mm在顶板安装M10吊杆固定；</w:t>
      </w:r>
      <w:r>
        <w:rPr>
          <w:rFonts w:hint="eastAsia" w:ascii="宋体" w:hAnsi="宋体" w:cs="宋体"/>
          <w:kern w:val="0"/>
          <w:lang w:val="en-US" w:eastAsia="zh-CN"/>
        </w:rPr>
        <w:br w:type="textWrapping"/>
      </w:r>
      <w:r>
        <w:rPr>
          <w:rFonts w:hint="eastAsia" w:ascii="宋体" w:hAnsi="宋体" w:cs="宋体"/>
          <w:kern w:val="0"/>
          <w:lang w:val="en-US" w:eastAsia="zh-CN"/>
        </w:rPr>
        <w:t xml:space="preserve">    2.面层材料品种、规格：50mm手工玻镁岩棉彩钢板，两侧钢板厚度0.476mm；</w:t>
      </w:r>
      <w:r>
        <w:rPr>
          <w:rFonts w:hint="eastAsia" w:ascii="宋体" w:hAnsi="宋体" w:cs="宋体"/>
          <w:kern w:val="0"/>
          <w:lang w:val="en-US" w:eastAsia="zh-CN"/>
        </w:rPr>
        <w:br w:type="textWrapping"/>
      </w:r>
      <w:r>
        <w:rPr>
          <w:rFonts w:hint="eastAsia" w:ascii="宋体" w:hAnsi="宋体" w:cs="宋体"/>
          <w:kern w:val="0"/>
          <w:lang w:val="en-US" w:eastAsia="zh-CN"/>
        </w:rPr>
        <w:t xml:space="preserve">    3.其它说明：详见相关图纸设计及规范要求。</w:t>
      </w:r>
    </w:p>
    <w:p w14:paraId="50EC41E6">
      <w:pPr>
        <w:numPr>
          <w:ilvl w:val="0"/>
          <w:numId w:val="0"/>
        </w:numPr>
        <w:autoSpaceDE w:val="0"/>
        <w:autoSpaceDN w:val="0"/>
        <w:adjustRightInd w:val="0"/>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（五）门窗工程</w:t>
      </w:r>
      <w:r>
        <w:rPr>
          <w:rFonts w:hint="eastAsia" w:ascii="宋体" w:hAnsi="宋体" w:cs="宋体"/>
          <w:kern w:val="0"/>
          <w:lang w:val="en-US" w:eastAsia="zh-CN"/>
        </w:rPr>
        <w:br w:type="textWrapping"/>
      </w:r>
      <w:r>
        <w:rPr>
          <w:rFonts w:hint="eastAsia" w:ascii="宋体" w:hAnsi="宋体" w:cs="宋体"/>
          <w:kern w:val="0"/>
          <w:lang w:val="en-US" w:eastAsia="zh-CN"/>
        </w:rPr>
        <w:t xml:space="preserve">    1.门：钢制气密门,表面烤漆处理配同色门套、带观察窗，含五金配件；</w:t>
      </w:r>
      <w:r>
        <w:rPr>
          <w:rFonts w:hint="eastAsia" w:ascii="宋体" w:hAnsi="宋体" w:cs="宋体"/>
          <w:kern w:val="0"/>
          <w:lang w:val="en-US" w:eastAsia="zh-CN"/>
        </w:rPr>
        <w:br w:type="textWrapping"/>
      </w:r>
      <w:r>
        <w:rPr>
          <w:rFonts w:hint="eastAsia" w:ascii="宋体" w:hAnsi="宋体" w:cs="宋体"/>
          <w:kern w:val="0"/>
          <w:lang w:val="en-US" w:eastAsia="zh-CN"/>
        </w:rPr>
        <w:t xml:space="preserve">    2.窗：固定采光窗，玻璃品种、厚度:双层中空5mm厚钢化玻璃,铝合金专用窗；</w:t>
      </w:r>
      <w:r>
        <w:rPr>
          <w:rFonts w:hint="eastAsia" w:ascii="宋体" w:hAnsi="宋体" w:cs="宋体"/>
          <w:kern w:val="0"/>
          <w:lang w:val="en-US" w:eastAsia="zh-CN"/>
        </w:rPr>
        <w:br w:type="textWrapping"/>
      </w:r>
      <w:r>
        <w:rPr>
          <w:rFonts w:hint="eastAsia" w:ascii="宋体" w:hAnsi="宋体" w:cs="宋体"/>
          <w:kern w:val="0"/>
          <w:lang w:val="en-US" w:eastAsia="zh-CN"/>
        </w:rPr>
        <w:t xml:space="preserve">    3.具体尺寸详见相关图纸设计及规范要求。</w:t>
      </w:r>
    </w:p>
    <w:p w14:paraId="30B50376">
      <w:pPr>
        <w:numPr>
          <w:ilvl w:val="0"/>
          <w:numId w:val="0"/>
        </w:numPr>
        <w:autoSpaceDE w:val="0"/>
        <w:autoSpaceDN w:val="0"/>
        <w:adjustRightInd w:val="0"/>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（六）电子互锁传递窗</w:t>
      </w:r>
      <w:r>
        <w:rPr>
          <w:rFonts w:hint="eastAsia" w:ascii="宋体" w:hAnsi="宋体" w:cs="宋体"/>
          <w:kern w:val="0"/>
          <w:lang w:val="en-US" w:eastAsia="zh-CN"/>
        </w:rPr>
        <w:br w:type="textWrapping"/>
      </w:r>
      <w:r>
        <w:rPr>
          <w:rFonts w:hint="eastAsia" w:ascii="宋体" w:hAnsi="宋体" w:eastAsia="宋体" w:cs="宋体"/>
          <w:kern w:val="0"/>
          <w:lang w:val="en-US" w:eastAsia="zh-CN"/>
        </w:rPr>
        <w:t xml:space="preserve">    1.尺寸</w:t>
      </w:r>
      <w:r>
        <w:rPr>
          <w:rFonts w:hint="eastAsia" w:ascii="宋体" w:hAnsi="宋体" w:cs="宋体"/>
          <w:kern w:val="0"/>
          <w:lang w:val="en-US" w:eastAsia="zh-CN"/>
        </w:rPr>
        <w:t>：</w:t>
      </w:r>
      <w:r>
        <w:rPr>
          <w:rFonts w:hint="eastAsia" w:ascii="宋体" w:hAnsi="宋体" w:eastAsia="宋体" w:cs="宋体"/>
          <w:kern w:val="0"/>
          <w:lang w:val="en-US" w:eastAsia="zh-CN"/>
        </w:rPr>
        <w:t>600*600*600mm，详见相关图纸设计及规范要求</w:t>
      </w:r>
    </w:p>
    <w:p w14:paraId="570AEC8B">
      <w:pPr>
        <w:numPr>
          <w:ilvl w:val="0"/>
          <w:numId w:val="0"/>
        </w:numPr>
        <w:autoSpaceDE w:val="0"/>
        <w:autoSpaceDN w:val="0"/>
        <w:adjustRightInd w:val="0"/>
        <w:spacing w:line="360" w:lineRule="auto"/>
        <w:ind w:firstLine="420" w:firstLineChars="200"/>
        <w:rPr>
          <w:rFonts w:hint="default" w:ascii="宋体" w:hAnsi="宋体" w:cs="宋体"/>
          <w:kern w:val="0"/>
          <w:lang w:val="en-US" w:eastAsia="zh-CN"/>
        </w:rPr>
      </w:pPr>
      <w:r>
        <w:rPr>
          <w:rFonts w:hint="eastAsia" w:ascii="宋体" w:hAnsi="宋体" w:cs="宋体"/>
          <w:kern w:val="0"/>
          <w:lang w:val="en-US" w:eastAsia="zh-CN"/>
        </w:rPr>
        <w:t>（七）装配式洁净间（万级）</w:t>
      </w:r>
      <w:r>
        <w:rPr>
          <w:rFonts w:hint="eastAsia" w:ascii="宋体" w:hAnsi="宋体" w:cs="宋体"/>
          <w:kern w:val="0"/>
          <w:lang w:val="en-US" w:eastAsia="zh-CN"/>
        </w:rPr>
        <w:br w:type="textWrapping"/>
      </w:r>
      <w:r>
        <w:rPr>
          <w:rFonts w:hint="eastAsia" w:ascii="宋体" w:hAnsi="宋体" w:cs="宋体"/>
          <w:kern w:val="0"/>
          <w:lang w:val="en-US" w:eastAsia="zh-CN"/>
        </w:rPr>
        <w:t xml:space="preserve">    1.规格：3500*5500*3100mm</w:t>
      </w:r>
      <w:r>
        <w:rPr>
          <w:rFonts w:hint="eastAsia" w:ascii="宋体" w:hAnsi="宋体" w:cs="宋体"/>
          <w:kern w:val="0"/>
          <w:lang w:val="en-US" w:eastAsia="zh-CN"/>
        </w:rPr>
        <w:br w:type="textWrapping"/>
      </w:r>
      <w:r>
        <w:rPr>
          <w:rFonts w:hint="eastAsia" w:ascii="宋体" w:hAnsi="宋体" w:cs="宋体"/>
          <w:kern w:val="0"/>
          <w:lang w:val="en-US" w:eastAsia="zh-CN"/>
        </w:rPr>
        <w:t xml:space="preserve">    2.数量：1套</w:t>
      </w:r>
      <w:r>
        <w:rPr>
          <w:rFonts w:hint="eastAsia" w:ascii="宋体" w:hAnsi="宋体" w:cs="宋体"/>
          <w:kern w:val="0"/>
          <w:lang w:val="en-US" w:eastAsia="zh-CN"/>
        </w:rPr>
        <w:br w:type="textWrapping"/>
      </w:r>
      <w:r>
        <w:rPr>
          <w:rFonts w:hint="eastAsia" w:ascii="宋体" w:hAnsi="宋体" w:cs="宋体"/>
          <w:kern w:val="0"/>
          <w:lang w:val="en-US" w:eastAsia="zh-CN"/>
        </w:rPr>
        <w:t xml:space="preserve">    3.参数：（1）立板、顶板（50硫氧镁净化板)板材（2）净化门双开1500*2100*310mm（3）铝材辅料（包含:外圆内圆、门料、窗料、槽铝、T铝、角铝、花篮吊丝、吊片、挂钩及五金)（4）双层中空观察窗扇（5）净化FFU空气过滤器1000m²/h，2套（6）3P四出天花机1组空调铜管、电线不锈钢单人双吹风淋室1组（8）回风百叶3只（9）平板灯2台（10）室内电路强电220V、380V电箱及电线电缆（11）给排水管（12）水箱90L（1套）（13）卷轴式窗帘1920*1350mm</w:t>
      </w:r>
    </w:p>
    <w:p w14:paraId="1E955E90">
      <w:pPr>
        <w:numPr>
          <w:ilvl w:val="0"/>
          <w:numId w:val="0"/>
        </w:numPr>
        <w:autoSpaceDE w:val="0"/>
        <w:autoSpaceDN w:val="0"/>
        <w:adjustRightInd w:val="0"/>
        <w:spacing w:line="360" w:lineRule="auto"/>
        <w:ind w:firstLine="420" w:firstLineChars="200"/>
        <w:rPr>
          <w:rFonts w:hint="default" w:ascii="宋体" w:hAnsi="宋体" w:cs="宋体"/>
          <w:kern w:val="0"/>
          <w:lang w:val="en-US" w:eastAsia="zh-CN"/>
        </w:rPr>
      </w:pPr>
      <w:r>
        <w:rPr>
          <w:rFonts w:hint="eastAsia" w:ascii="宋体" w:hAnsi="宋体" w:cs="宋体"/>
          <w:kern w:val="0"/>
          <w:lang w:val="en-US" w:eastAsia="zh-CN"/>
        </w:rPr>
        <w:t>（八）灯具、开关、插座、线管</w:t>
      </w:r>
      <w:r>
        <w:rPr>
          <w:rFonts w:hint="eastAsia" w:ascii="宋体" w:hAnsi="宋体" w:cs="宋体"/>
          <w:kern w:val="0"/>
          <w:lang w:val="en-US" w:eastAsia="zh-CN"/>
        </w:rPr>
        <w:br w:type="textWrapping"/>
      </w:r>
      <w:r>
        <w:rPr>
          <w:rFonts w:hint="eastAsia" w:ascii="宋体" w:hAnsi="宋体" w:cs="宋体"/>
          <w:kern w:val="0"/>
          <w:lang w:val="en-US" w:eastAsia="zh-CN"/>
        </w:rPr>
        <w:t xml:space="preserve">    1.荧光灯LED平板灯1200*300mm、600*300</w:t>
      </w:r>
      <w:r>
        <w:rPr>
          <w:rFonts w:hint="eastAsia"/>
          <w:lang w:val="en-US" w:eastAsia="zh-CN"/>
        </w:rPr>
        <w:t>mm</w:t>
      </w:r>
      <w:r>
        <w:rPr>
          <w:rFonts w:hint="eastAsia" w:ascii="宋体" w:hAnsi="宋体" w:cs="宋体"/>
          <w:kern w:val="0"/>
          <w:lang w:val="en-US" w:eastAsia="zh-CN"/>
        </w:rPr>
        <w:br w:type="textWrapping"/>
      </w:r>
      <w:r>
        <w:rPr>
          <w:rFonts w:hint="eastAsia" w:ascii="宋体" w:hAnsi="宋体" w:cs="宋体"/>
          <w:kern w:val="0"/>
          <w:lang w:val="en-US" w:eastAsia="zh-CN"/>
        </w:rPr>
        <w:t xml:space="preserve">    2.86型单联、双联、五孔220A</w:t>
      </w:r>
      <w:r>
        <w:rPr>
          <w:rFonts w:hint="eastAsia" w:ascii="宋体" w:hAnsi="宋体" w:cs="宋体"/>
          <w:kern w:val="0"/>
          <w:lang w:val="en-US" w:eastAsia="zh-CN"/>
        </w:rPr>
        <w:br w:type="textWrapping"/>
      </w:r>
      <w:r>
        <w:rPr>
          <w:rFonts w:hint="eastAsia" w:ascii="宋体" w:hAnsi="宋体" w:cs="宋体"/>
          <w:kern w:val="0"/>
          <w:lang w:val="en-US" w:eastAsia="zh-CN"/>
        </w:rPr>
        <w:t xml:space="preserve">    3.配管SC80、SC50、SC25</w:t>
      </w:r>
      <w:r>
        <w:rPr>
          <w:rFonts w:hint="eastAsia" w:ascii="宋体" w:hAnsi="宋体" w:cs="宋体"/>
          <w:kern w:val="0"/>
          <w:lang w:val="en-US" w:eastAsia="zh-CN"/>
        </w:rPr>
        <w:br w:type="textWrapping"/>
      </w:r>
      <w:r>
        <w:rPr>
          <w:rFonts w:hint="eastAsia" w:ascii="宋体" w:hAnsi="宋体" w:cs="宋体"/>
          <w:kern w:val="0"/>
          <w:lang w:val="en-US" w:eastAsia="zh-CN"/>
        </w:rPr>
        <w:t xml:space="preserve">    4.塑料管PP-R-20</w:t>
      </w:r>
      <w:r>
        <w:rPr>
          <w:rFonts w:hint="eastAsia" w:ascii="宋体" w:hAnsi="宋体" w:cs="宋体"/>
          <w:kern w:val="0"/>
          <w:lang w:val="en-US" w:eastAsia="zh-CN"/>
        </w:rPr>
        <w:br w:type="textWrapping"/>
      </w:r>
      <w:r>
        <w:rPr>
          <w:rFonts w:hint="eastAsia" w:ascii="宋体" w:hAnsi="宋体" w:cs="宋体"/>
          <w:kern w:val="0"/>
          <w:lang w:val="en-US" w:eastAsia="zh-CN"/>
        </w:rPr>
        <w:t xml:space="preserve">    5.桥架200*100mm</w:t>
      </w:r>
    </w:p>
    <w:p w14:paraId="03B6274E">
      <w:pPr>
        <w:numPr>
          <w:ilvl w:val="0"/>
          <w:numId w:val="0"/>
        </w:numPr>
        <w:autoSpaceDE w:val="0"/>
        <w:autoSpaceDN w:val="0"/>
        <w:adjustRightInd w:val="0"/>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（九）空调</w:t>
      </w:r>
      <w:r>
        <w:rPr>
          <w:rFonts w:hint="eastAsia" w:ascii="宋体" w:hAnsi="宋体" w:cs="宋体"/>
          <w:kern w:val="0"/>
          <w:lang w:val="en-US" w:eastAsia="zh-CN"/>
        </w:rPr>
        <w:br w:type="textWrapping"/>
      </w:r>
      <w:r>
        <w:rPr>
          <w:rFonts w:hint="eastAsia" w:ascii="宋体" w:hAnsi="宋体" w:cs="宋体"/>
          <w:kern w:val="0"/>
          <w:lang w:val="en-US" w:eastAsia="zh-CN"/>
        </w:rPr>
        <w:t xml:space="preserve">    1.送风量2000CMH</w:t>
      </w:r>
      <w:r>
        <w:rPr>
          <w:rFonts w:hint="eastAsia" w:ascii="宋体" w:hAnsi="宋体" w:cs="宋体"/>
          <w:kern w:val="0"/>
          <w:lang w:val="en-US" w:eastAsia="zh-CN"/>
        </w:rPr>
        <w:br w:type="textWrapping"/>
      </w:r>
      <w:r>
        <w:rPr>
          <w:rFonts w:hint="eastAsia" w:ascii="宋体" w:hAnsi="宋体" w:cs="宋体"/>
          <w:kern w:val="0"/>
          <w:lang w:val="en-US" w:eastAsia="zh-CN"/>
        </w:rPr>
        <w:t xml:space="preserve">    2.新风量200CMH，每小时换气次数不低于10次</w:t>
      </w:r>
      <w:r>
        <w:rPr>
          <w:rFonts w:hint="eastAsia" w:ascii="宋体" w:hAnsi="宋体" w:cs="宋体"/>
          <w:kern w:val="0"/>
          <w:lang w:val="en-US" w:eastAsia="zh-CN"/>
        </w:rPr>
        <w:br w:type="textWrapping"/>
      </w:r>
      <w:r>
        <w:rPr>
          <w:rFonts w:hint="eastAsia" w:ascii="宋体" w:hAnsi="宋体" w:cs="宋体"/>
          <w:kern w:val="0"/>
          <w:lang w:val="en-US" w:eastAsia="zh-CN"/>
        </w:rPr>
        <w:t xml:space="preserve">    3.余压500PA</w:t>
      </w:r>
    </w:p>
    <w:p w14:paraId="007BAFBA">
      <w:pPr>
        <w:numPr>
          <w:ilvl w:val="0"/>
          <w:numId w:val="0"/>
        </w:numPr>
        <w:autoSpaceDE w:val="0"/>
        <w:autoSpaceDN w:val="0"/>
        <w:adjustRightInd w:val="0"/>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4.温度控制≤±1℃</w:t>
      </w:r>
    </w:p>
    <w:p w14:paraId="6F17C1BE">
      <w:pPr>
        <w:numPr>
          <w:ilvl w:val="0"/>
          <w:numId w:val="0"/>
        </w:numPr>
        <w:autoSpaceDE w:val="0"/>
        <w:autoSpaceDN w:val="0"/>
        <w:adjustRightInd w:val="0"/>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5.湿度控制≤±5%</w:t>
      </w:r>
    </w:p>
    <w:p w14:paraId="2D10CDF7">
      <w:pPr>
        <w:numPr>
          <w:ilvl w:val="0"/>
          <w:numId w:val="0"/>
        </w:numPr>
        <w:autoSpaceDE w:val="0"/>
        <w:autoSpaceDN w:val="0"/>
        <w:adjustRightInd w:val="0"/>
        <w:spacing w:line="360" w:lineRule="auto"/>
        <w:ind w:firstLine="422" w:firstLineChars="200"/>
        <w:rPr>
          <w:rFonts w:hint="eastAsia" w:ascii="宋体" w:hAnsi="宋体" w:cs="宋体"/>
          <w:b/>
          <w:bCs/>
          <w:kern w:val="0"/>
          <w:lang w:val="en-US" w:eastAsia="zh-CN"/>
        </w:rPr>
      </w:pPr>
      <w:r>
        <w:rPr>
          <w:rFonts w:hint="eastAsia" w:ascii="宋体" w:hAnsi="宋体" w:cs="宋体"/>
          <w:b/>
          <w:bCs/>
          <w:kern w:val="0"/>
          <w:lang w:val="en-US" w:eastAsia="zh-CN"/>
        </w:rPr>
        <w:t>七、参考标准</w:t>
      </w:r>
    </w:p>
    <w:p w14:paraId="066BA2F5">
      <w:pPr>
        <w:numPr>
          <w:ilvl w:val="0"/>
          <w:numId w:val="0"/>
        </w:numPr>
        <w:autoSpaceDE w:val="0"/>
        <w:autoSpaceDN w:val="0"/>
        <w:adjustRightInd w:val="0"/>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（1）《建筑设计防火规范》（GB50016-20142018版）</w:t>
      </w:r>
    </w:p>
    <w:p w14:paraId="3D574144">
      <w:pPr>
        <w:numPr>
          <w:ilvl w:val="0"/>
          <w:numId w:val="0"/>
        </w:numPr>
        <w:autoSpaceDE w:val="0"/>
        <w:autoSpaceDN w:val="0"/>
        <w:adjustRightInd w:val="0"/>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（2）《建筑内部装修设计防火规范》（GB50222-2017）</w:t>
      </w:r>
    </w:p>
    <w:p w14:paraId="4F925F23">
      <w:pPr>
        <w:numPr>
          <w:ilvl w:val="0"/>
          <w:numId w:val="0"/>
        </w:numPr>
        <w:autoSpaceDE w:val="0"/>
        <w:autoSpaceDN w:val="0"/>
        <w:adjustRightInd w:val="0"/>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（3）《建筑内部装修防火施工及验收规范》（GB50354-2005）</w:t>
      </w:r>
    </w:p>
    <w:p w14:paraId="0F397F2A">
      <w:pPr>
        <w:numPr>
          <w:ilvl w:val="0"/>
          <w:numId w:val="0"/>
        </w:numPr>
        <w:autoSpaceDE w:val="0"/>
        <w:autoSpaceDN w:val="0"/>
        <w:adjustRightInd w:val="0"/>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（4）《火灾自动报警系统设计规范》（GB50116-2013）</w:t>
      </w:r>
    </w:p>
    <w:p w14:paraId="4CFC9C51">
      <w:pPr>
        <w:numPr>
          <w:ilvl w:val="0"/>
          <w:numId w:val="0"/>
        </w:numPr>
        <w:autoSpaceDE w:val="0"/>
        <w:autoSpaceDN w:val="0"/>
        <w:adjustRightInd w:val="0"/>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（5）《建筑照明设计标准》（GB50034-2013）</w:t>
      </w:r>
    </w:p>
    <w:p w14:paraId="05228F5E">
      <w:pPr>
        <w:numPr>
          <w:ilvl w:val="0"/>
          <w:numId w:val="0"/>
        </w:numPr>
        <w:autoSpaceDE w:val="0"/>
        <w:autoSpaceDN w:val="0"/>
        <w:adjustRightInd w:val="0"/>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（6）《建筑装饰装修工程施工质量验收规范》（GB50210-2013）</w:t>
      </w:r>
    </w:p>
    <w:p w14:paraId="7E7A7713">
      <w:pPr>
        <w:numPr>
          <w:ilvl w:val="0"/>
          <w:numId w:val="0"/>
        </w:numPr>
        <w:autoSpaceDE w:val="0"/>
        <w:autoSpaceDN w:val="0"/>
        <w:adjustRightInd w:val="0"/>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（7）《建筑工程施工质量验收统一标准》（GB50300-2013）</w:t>
      </w:r>
    </w:p>
    <w:p w14:paraId="49CE3E4F">
      <w:pPr>
        <w:numPr>
          <w:ilvl w:val="0"/>
          <w:numId w:val="0"/>
        </w:numPr>
        <w:autoSpaceDE w:val="0"/>
        <w:autoSpaceDN w:val="0"/>
        <w:adjustRightInd w:val="0"/>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（8）《民用建筑工程室内环境污染控制规范》（GB50325-20102013版）</w:t>
      </w:r>
    </w:p>
    <w:p w14:paraId="33819A62">
      <w:pPr>
        <w:numPr>
          <w:ilvl w:val="0"/>
          <w:numId w:val="0"/>
        </w:numPr>
        <w:autoSpaceDE w:val="0"/>
        <w:autoSpaceDN w:val="0"/>
        <w:adjustRightInd w:val="0"/>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（9）《室内装饰装修材料人造板及其制品中甲醛释放限量》（GB18580-2001）</w:t>
      </w:r>
    </w:p>
    <w:p w14:paraId="391AF669">
      <w:pPr>
        <w:numPr>
          <w:ilvl w:val="0"/>
          <w:numId w:val="0"/>
        </w:numPr>
        <w:autoSpaceDE w:val="0"/>
        <w:autoSpaceDN w:val="0"/>
        <w:adjustRightInd w:val="0"/>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（10）《室内装饰装修材料溶剂木器涂料中有害物质限量》（GB18581-2009）</w:t>
      </w:r>
    </w:p>
    <w:p w14:paraId="3A0BA755">
      <w:pPr>
        <w:numPr>
          <w:ilvl w:val="0"/>
          <w:numId w:val="0"/>
        </w:numPr>
        <w:autoSpaceDE w:val="0"/>
        <w:autoSpaceDN w:val="0"/>
        <w:adjustRightInd w:val="0"/>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（11）《室内装饰装修材料内墙涂料中有害物质限量》（GB18582-2008）</w:t>
      </w:r>
    </w:p>
    <w:p w14:paraId="3E4D17BA">
      <w:pPr>
        <w:numPr>
          <w:ilvl w:val="0"/>
          <w:numId w:val="0"/>
        </w:numPr>
        <w:autoSpaceDE w:val="0"/>
        <w:autoSpaceDN w:val="0"/>
        <w:adjustRightInd w:val="0"/>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（12）《室内装饰装修材料胶粘剂中有名物质限量》（GB18583-2008)</w:t>
      </w:r>
    </w:p>
    <w:p w14:paraId="41D05134">
      <w:pPr>
        <w:numPr>
          <w:ilvl w:val="0"/>
          <w:numId w:val="0"/>
        </w:numPr>
        <w:autoSpaceDE w:val="0"/>
        <w:autoSpaceDN w:val="0"/>
        <w:adjustRightInd w:val="0"/>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（13）《室内装饰装修材料木家具中有害物质限量》（GB18584-2001）</w:t>
      </w:r>
    </w:p>
    <w:p w14:paraId="650C4234">
      <w:pPr>
        <w:numPr>
          <w:ilvl w:val="0"/>
          <w:numId w:val="0"/>
        </w:numPr>
        <w:autoSpaceDE w:val="0"/>
        <w:autoSpaceDN w:val="0"/>
        <w:adjustRightInd w:val="0"/>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（14）《建筑材料放射性核素限量》（GB6566-2010）</w:t>
      </w:r>
    </w:p>
    <w:p w14:paraId="190D0A8E">
      <w:pPr>
        <w:numPr>
          <w:ilvl w:val="0"/>
          <w:numId w:val="0"/>
        </w:numPr>
        <w:autoSpaceDE w:val="0"/>
        <w:autoSpaceDN w:val="0"/>
        <w:adjustRightInd w:val="0"/>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（15）《合成树脂乳液内墙涂料》（GB/T9756-2009）</w:t>
      </w:r>
    </w:p>
    <w:p w14:paraId="65143D16">
      <w:pPr>
        <w:numPr>
          <w:ilvl w:val="0"/>
          <w:numId w:val="0"/>
        </w:numPr>
        <w:autoSpaceDE w:val="0"/>
        <w:autoSpaceDN w:val="0"/>
        <w:adjustRightInd w:val="0"/>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（16）《水溶性内墙涂料》（JC/T423-1991）</w:t>
      </w:r>
    </w:p>
    <w:p w14:paraId="46D3E9E4">
      <w:pPr>
        <w:numPr>
          <w:ilvl w:val="0"/>
          <w:numId w:val="0"/>
        </w:numPr>
        <w:autoSpaceDE w:val="0"/>
        <w:autoSpaceDN w:val="0"/>
        <w:adjustRightInd w:val="0"/>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（17）《建筑制图标准》（GBT50104-2010）</w:t>
      </w:r>
    </w:p>
    <w:p w14:paraId="5FE4DB52">
      <w:pPr>
        <w:numPr>
          <w:ilvl w:val="0"/>
          <w:numId w:val="0"/>
        </w:numPr>
        <w:autoSpaceDE w:val="0"/>
        <w:autoSpaceDN w:val="0"/>
        <w:adjustRightInd w:val="0"/>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（18）国家及地方颁布的其它有关规范，标准和规定。</w:t>
      </w:r>
    </w:p>
    <w:p w14:paraId="4C677C07">
      <w:pPr>
        <w:pStyle w:val="2"/>
        <w:spacing w:before="120" w:after="120" w:line="400" w:lineRule="exact"/>
        <w:ind w:left="-199" w:leftChars="-95" w:firstLine="542"/>
        <w:jc w:val="center"/>
        <w:rPr>
          <w:rFonts w:ascii="宋体" w:hAnsi="宋体"/>
          <w:bCs w:val="0"/>
          <w:sz w:val="36"/>
          <w:szCs w:val="36"/>
        </w:rPr>
      </w:pPr>
      <w:bookmarkStart w:id="1123" w:name="_Toc129073524"/>
      <w:bookmarkStart w:id="1124" w:name="_Toc16005"/>
      <w:bookmarkStart w:id="1125" w:name="_Toc19141"/>
      <w:bookmarkStart w:id="1126" w:name="_Toc30852"/>
      <w:bookmarkStart w:id="1127" w:name="_Toc5828"/>
      <w:bookmarkStart w:id="1128" w:name="_Toc16355"/>
      <w:r>
        <w:rPr>
          <w:rFonts w:hint="eastAsia" w:ascii="宋体" w:hAnsi="宋体"/>
          <w:bCs w:val="0"/>
          <w:sz w:val="36"/>
          <w:szCs w:val="36"/>
        </w:rPr>
        <w:t>第七章  响应文件格式</w:t>
      </w:r>
      <w:bookmarkEnd w:id="1123"/>
      <w:bookmarkEnd w:id="1124"/>
      <w:bookmarkEnd w:id="1125"/>
      <w:bookmarkEnd w:id="1126"/>
      <w:bookmarkEnd w:id="1127"/>
      <w:bookmarkEnd w:id="1128"/>
    </w:p>
    <w:p w14:paraId="1286394B">
      <w:pPr>
        <w:spacing w:line="360" w:lineRule="auto"/>
        <w:ind w:firstLine="422"/>
        <w:jc w:val="right"/>
        <w:rPr>
          <w:rFonts w:ascii="宋体" w:hAnsi="宋体"/>
          <w:b/>
          <w:bCs/>
          <w:sz w:val="28"/>
          <w:szCs w:val="28"/>
        </w:rPr>
      </w:pPr>
    </w:p>
    <w:p w14:paraId="134605DA">
      <w:pPr>
        <w:pStyle w:val="61"/>
        <w:rPr>
          <w:rFonts w:ascii="宋体" w:hAnsi="宋体"/>
        </w:rPr>
      </w:pPr>
    </w:p>
    <w:p w14:paraId="3914E656">
      <w:pPr>
        <w:spacing w:line="440" w:lineRule="exact"/>
        <w:ind w:firstLine="300"/>
        <w:rPr>
          <w:rFonts w:ascii="宋体" w:hAnsi="宋体"/>
          <w:sz w:val="20"/>
          <w:szCs w:val="20"/>
        </w:rPr>
      </w:pPr>
    </w:p>
    <w:p w14:paraId="0C303EAB">
      <w:pPr>
        <w:spacing w:line="360" w:lineRule="auto"/>
        <w:jc w:val="center"/>
        <w:rPr>
          <w:rFonts w:hint="eastAsia" w:ascii="宋体" w:hAnsi="宋体" w:eastAsia="宋体"/>
          <w:b/>
          <w:bCs/>
          <w:sz w:val="44"/>
          <w:szCs w:val="44"/>
          <w:lang w:eastAsia="zh-CN"/>
        </w:rPr>
      </w:pPr>
      <w:r>
        <w:rPr>
          <w:rFonts w:hint="eastAsia" w:ascii="宋体" w:hAnsi="宋体"/>
          <w:b/>
          <w:bCs/>
          <w:sz w:val="44"/>
          <w:szCs w:val="44"/>
          <w:lang w:eastAsia="zh-CN"/>
        </w:rPr>
        <w:t>河南省科学院激光制造研究所中原量子谷大型仪器共享平台基础设施建设项目</w:t>
      </w:r>
    </w:p>
    <w:p w14:paraId="2260EBDE">
      <w:pPr>
        <w:ind w:firstLine="420"/>
        <w:jc w:val="center"/>
        <w:rPr>
          <w:rFonts w:ascii="宋体" w:hAnsi="宋体"/>
          <w:sz w:val="28"/>
          <w:szCs w:val="28"/>
        </w:rPr>
      </w:pPr>
    </w:p>
    <w:p w14:paraId="462A0F37">
      <w:pPr>
        <w:jc w:val="center"/>
        <w:rPr>
          <w:rFonts w:ascii="宋体" w:hAnsi="宋体"/>
          <w:sz w:val="84"/>
          <w:szCs w:val="84"/>
        </w:rPr>
      </w:pPr>
      <w:r>
        <w:rPr>
          <w:rFonts w:hint="eastAsia" w:ascii="宋体" w:hAnsi="宋体"/>
          <w:sz w:val="84"/>
          <w:szCs w:val="84"/>
        </w:rPr>
        <w:t>响 应 文 件</w:t>
      </w:r>
    </w:p>
    <w:p w14:paraId="647567D0">
      <w:pPr>
        <w:spacing w:line="400" w:lineRule="exact"/>
        <w:ind w:firstLine="420"/>
        <w:rPr>
          <w:rFonts w:ascii="宋体" w:hAnsi="宋体"/>
          <w:sz w:val="28"/>
          <w:szCs w:val="28"/>
        </w:rPr>
      </w:pPr>
    </w:p>
    <w:p w14:paraId="489A38CB">
      <w:pPr>
        <w:spacing w:line="400" w:lineRule="exact"/>
        <w:jc w:val="center"/>
        <w:rPr>
          <w:rFonts w:hint="eastAsia" w:ascii="宋体" w:hAnsi="宋体"/>
          <w:sz w:val="28"/>
          <w:szCs w:val="28"/>
        </w:rPr>
      </w:pPr>
    </w:p>
    <w:p w14:paraId="038C9495">
      <w:pPr>
        <w:spacing w:line="400" w:lineRule="exact"/>
        <w:jc w:val="center"/>
        <w:rPr>
          <w:rFonts w:hint="eastAsia" w:ascii="宋体" w:hAnsi="宋体" w:eastAsia="宋体"/>
          <w:sz w:val="28"/>
          <w:szCs w:val="28"/>
          <w:lang w:eastAsia="zh-CN"/>
        </w:rPr>
      </w:pPr>
      <w:r>
        <w:rPr>
          <w:rFonts w:hint="eastAsia" w:ascii="宋体" w:hAnsi="宋体"/>
          <w:sz w:val="28"/>
          <w:szCs w:val="28"/>
        </w:rPr>
        <w:t>项目编号：</w:t>
      </w:r>
      <w:r>
        <w:rPr>
          <w:rFonts w:hint="eastAsia" w:ascii="宋体" w:hAnsi="宋体"/>
          <w:sz w:val="28"/>
          <w:szCs w:val="28"/>
          <w:lang w:eastAsia="zh-CN"/>
        </w:rPr>
        <w:t>豫财磋商采购-2025-804</w:t>
      </w:r>
    </w:p>
    <w:p w14:paraId="0DF43D6E">
      <w:pPr>
        <w:spacing w:line="400" w:lineRule="exact"/>
        <w:ind w:firstLine="420"/>
        <w:rPr>
          <w:rFonts w:ascii="宋体" w:hAnsi="宋体"/>
          <w:sz w:val="28"/>
          <w:szCs w:val="28"/>
        </w:rPr>
      </w:pPr>
    </w:p>
    <w:p w14:paraId="38BA3F7E">
      <w:pPr>
        <w:spacing w:line="400" w:lineRule="exact"/>
        <w:ind w:firstLine="420"/>
        <w:rPr>
          <w:rFonts w:ascii="宋体" w:hAnsi="宋体"/>
          <w:sz w:val="28"/>
          <w:szCs w:val="28"/>
        </w:rPr>
      </w:pPr>
    </w:p>
    <w:p w14:paraId="6680EBFB">
      <w:pPr>
        <w:spacing w:line="400" w:lineRule="exact"/>
        <w:ind w:firstLine="420"/>
        <w:rPr>
          <w:rFonts w:ascii="宋体" w:hAnsi="宋体"/>
          <w:sz w:val="28"/>
          <w:szCs w:val="28"/>
        </w:rPr>
      </w:pPr>
    </w:p>
    <w:p w14:paraId="62B7C313">
      <w:pPr>
        <w:spacing w:line="400" w:lineRule="exact"/>
        <w:ind w:firstLine="420"/>
        <w:rPr>
          <w:rFonts w:ascii="宋体" w:hAnsi="宋体"/>
          <w:sz w:val="28"/>
          <w:szCs w:val="28"/>
        </w:rPr>
      </w:pPr>
    </w:p>
    <w:p w14:paraId="320BE97E">
      <w:pPr>
        <w:spacing w:line="400" w:lineRule="exact"/>
        <w:ind w:firstLine="420"/>
        <w:rPr>
          <w:rFonts w:ascii="宋体" w:hAnsi="宋体"/>
          <w:sz w:val="28"/>
          <w:szCs w:val="28"/>
        </w:rPr>
      </w:pPr>
    </w:p>
    <w:p w14:paraId="136462DA">
      <w:pPr>
        <w:spacing w:line="400" w:lineRule="exact"/>
        <w:ind w:firstLine="420"/>
        <w:rPr>
          <w:rFonts w:ascii="宋体" w:hAnsi="宋体"/>
          <w:sz w:val="28"/>
          <w:szCs w:val="28"/>
        </w:rPr>
      </w:pPr>
    </w:p>
    <w:p w14:paraId="06517CBD">
      <w:pPr>
        <w:spacing w:line="400" w:lineRule="exact"/>
        <w:ind w:firstLine="420"/>
        <w:rPr>
          <w:rFonts w:ascii="宋体" w:hAnsi="宋体"/>
          <w:sz w:val="28"/>
          <w:szCs w:val="28"/>
        </w:rPr>
      </w:pPr>
    </w:p>
    <w:p w14:paraId="3F0B8D87">
      <w:pPr>
        <w:spacing w:line="400" w:lineRule="exact"/>
        <w:ind w:firstLine="420"/>
        <w:rPr>
          <w:rFonts w:ascii="宋体" w:hAnsi="宋体"/>
          <w:sz w:val="28"/>
          <w:szCs w:val="28"/>
        </w:rPr>
      </w:pPr>
    </w:p>
    <w:p w14:paraId="45849BD4">
      <w:pPr>
        <w:spacing w:line="400" w:lineRule="exact"/>
        <w:ind w:firstLine="420"/>
        <w:rPr>
          <w:rFonts w:ascii="宋体" w:hAnsi="宋体"/>
          <w:sz w:val="28"/>
          <w:szCs w:val="28"/>
        </w:rPr>
      </w:pPr>
    </w:p>
    <w:p w14:paraId="7FD25C9E">
      <w:pPr>
        <w:spacing w:line="400" w:lineRule="exact"/>
        <w:ind w:firstLine="420"/>
        <w:rPr>
          <w:rFonts w:ascii="宋体" w:hAnsi="宋体"/>
          <w:sz w:val="28"/>
          <w:szCs w:val="28"/>
        </w:rPr>
      </w:pPr>
    </w:p>
    <w:p w14:paraId="3E673119">
      <w:pPr>
        <w:spacing w:line="400" w:lineRule="exact"/>
        <w:ind w:firstLine="420"/>
        <w:rPr>
          <w:rFonts w:ascii="宋体" w:hAnsi="宋体"/>
          <w:sz w:val="28"/>
          <w:szCs w:val="28"/>
        </w:rPr>
      </w:pPr>
    </w:p>
    <w:p w14:paraId="524F8953">
      <w:pPr>
        <w:spacing w:line="400" w:lineRule="exact"/>
        <w:ind w:firstLine="420"/>
        <w:rPr>
          <w:rFonts w:ascii="宋体" w:hAnsi="宋体"/>
          <w:sz w:val="28"/>
          <w:szCs w:val="28"/>
        </w:rPr>
      </w:pPr>
    </w:p>
    <w:p w14:paraId="373CB90D">
      <w:pPr>
        <w:pStyle w:val="62"/>
        <w:ind w:firstLine="560"/>
        <w:rPr>
          <w:sz w:val="28"/>
          <w:szCs w:val="28"/>
        </w:rPr>
      </w:pPr>
    </w:p>
    <w:p w14:paraId="5308AD37">
      <w:pPr>
        <w:rPr>
          <w:rFonts w:ascii="宋体" w:hAnsi="宋体"/>
        </w:rPr>
      </w:pPr>
    </w:p>
    <w:p w14:paraId="28AC13EE">
      <w:pPr>
        <w:spacing w:line="480" w:lineRule="auto"/>
        <w:ind w:firstLine="420"/>
        <w:jc w:val="center"/>
        <w:rPr>
          <w:rFonts w:ascii="宋体" w:hAnsi="宋体"/>
          <w:sz w:val="28"/>
          <w:szCs w:val="28"/>
          <w:u w:val="single"/>
        </w:rPr>
      </w:pPr>
      <w:r>
        <w:rPr>
          <w:rFonts w:hint="eastAsia" w:ascii="宋体" w:hAnsi="宋体"/>
          <w:sz w:val="28"/>
          <w:szCs w:val="28"/>
        </w:rPr>
        <w:t>供应商名称：（</w:t>
      </w:r>
      <w:r>
        <w:rPr>
          <w:rFonts w:hint="eastAsia" w:ascii="宋体" w:hAnsi="宋体" w:cs="宋体"/>
          <w:sz w:val="28"/>
        </w:rPr>
        <w:t>单位电子印章</w:t>
      </w:r>
      <w:r>
        <w:rPr>
          <w:rFonts w:hint="eastAsia" w:ascii="宋体" w:hAnsi="宋体"/>
          <w:sz w:val="28"/>
          <w:szCs w:val="28"/>
        </w:rPr>
        <w:t>）</w:t>
      </w:r>
    </w:p>
    <w:p w14:paraId="5F6B3236">
      <w:pPr>
        <w:spacing w:line="480" w:lineRule="auto"/>
        <w:ind w:firstLine="420"/>
        <w:jc w:val="center"/>
        <w:rPr>
          <w:rFonts w:ascii="宋体" w:hAnsi="宋体"/>
          <w:sz w:val="28"/>
          <w:szCs w:val="28"/>
        </w:rPr>
      </w:pPr>
      <w:r>
        <w:rPr>
          <w:rFonts w:hint="eastAsia" w:ascii="宋体" w:hAnsi="宋体"/>
          <w:sz w:val="28"/>
          <w:szCs w:val="28"/>
        </w:rPr>
        <w:t>法定代表人或其委托代理人：（电子签章或签字）</w:t>
      </w:r>
    </w:p>
    <w:p w14:paraId="072A8887">
      <w:pPr>
        <w:spacing w:line="480" w:lineRule="auto"/>
        <w:ind w:firstLine="420"/>
        <w:jc w:val="center"/>
        <w:rPr>
          <w:rFonts w:ascii="宋体" w:hAnsi="宋体"/>
          <w:sz w:val="20"/>
          <w:szCs w:val="20"/>
        </w:rPr>
      </w:pPr>
      <w:r>
        <w:rPr>
          <w:rFonts w:hint="eastAsia" w:ascii="宋体" w:hAnsi="宋体"/>
          <w:sz w:val="28"/>
          <w:szCs w:val="28"/>
        </w:rPr>
        <w:t>年   月   日</w:t>
      </w:r>
    </w:p>
    <w:p w14:paraId="128B6F76">
      <w:pPr>
        <w:spacing w:line="400" w:lineRule="exact"/>
        <w:rPr>
          <w:rFonts w:ascii="宋体" w:hAnsi="宋体"/>
        </w:rPr>
      </w:pPr>
      <w:r>
        <w:rPr>
          <w:rFonts w:hint="eastAsia" w:ascii="宋体" w:hAnsi="宋体"/>
        </w:rPr>
        <w:br w:type="page"/>
      </w:r>
    </w:p>
    <w:p w14:paraId="0E82D0D7">
      <w:pPr>
        <w:pStyle w:val="58"/>
        <w:ind w:firstLine="420"/>
        <w:jc w:val="center"/>
        <w:rPr>
          <w:rFonts w:ascii="宋体" w:hAnsi="宋体" w:eastAsia="宋体"/>
          <w:b/>
          <w:bCs w:val="0"/>
        </w:rPr>
      </w:pPr>
      <w:bookmarkStart w:id="1129" w:name="_Toc2645"/>
      <w:bookmarkEnd w:id="1129"/>
      <w:bookmarkStart w:id="1130" w:name="_Toc27560"/>
      <w:bookmarkEnd w:id="1130"/>
      <w:bookmarkStart w:id="1131" w:name="_Toc14373"/>
      <w:bookmarkEnd w:id="1131"/>
      <w:bookmarkStart w:id="1132" w:name="_Toc23656"/>
      <w:bookmarkEnd w:id="1132"/>
      <w:bookmarkStart w:id="1133" w:name="_Toc32443"/>
      <w:bookmarkEnd w:id="1133"/>
      <w:bookmarkStart w:id="1134" w:name="_Toc509667321"/>
      <w:bookmarkEnd w:id="1134"/>
      <w:bookmarkStart w:id="1135" w:name="_Toc144974856"/>
      <w:bookmarkEnd w:id="1135"/>
      <w:bookmarkStart w:id="1136" w:name="_Toc10473"/>
      <w:bookmarkEnd w:id="1136"/>
      <w:bookmarkStart w:id="1137" w:name="_Toc32683"/>
      <w:bookmarkEnd w:id="1137"/>
      <w:bookmarkStart w:id="1138" w:name="_Toc8413"/>
      <w:bookmarkEnd w:id="1138"/>
      <w:bookmarkStart w:id="1139" w:name="_Toc466298157"/>
      <w:bookmarkEnd w:id="1139"/>
      <w:bookmarkStart w:id="1140" w:name="_Toc152045787"/>
      <w:bookmarkEnd w:id="1140"/>
      <w:bookmarkStart w:id="1141" w:name="_Toc28226"/>
      <w:bookmarkEnd w:id="1141"/>
      <w:bookmarkStart w:id="1142" w:name="_Toc23101"/>
      <w:bookmarkStart w:id="1143" w:name="_Toc21574"/>
      <w:bookmarkStart w:id="1144" w:name="_Toc11455"/>
      <w:bookmarkStart w:id="1145" w:name="_Toc16157"/>
      <w:bookmarkStart w:id="1146" w:name="_Toc129073525"/>
      <w:bookmarkStart w:id="1147" w:name="_Toc14859"/>
      <w:bookmarkStart w:id="1148" w:name="_Toc8606"/>
      <w:bookmarkStart w:id="1149" w:name="_Toc152042576"/>
      <w:r>
        <w:rPr>
          <w:rFonts w:hint="eastAsia" w:ascii="宋体" w:hAnsi="宋体" w:eastAsia="宋体"/>
          <w:b/>
          <w:bCs w:val="0"/>
        </w:rPr>
        <w:t>目    录</w:t>
      </w:r>
      <w:bookmarkEnd w:id="1142"/>
      <w:bookmarkEnd w:id="1143"/>
      <w:bookmarkEnd w:id="1144"/>
      <w:bookmarkEnd w:id="1145"/>
      <w:bookmarkEnd w:id="1146"/>
      <w:bookmarkEnd w:id="1147"/>
      <w:bookmarkEnd w:id="1148"/>
      <w:bookmarkEnd w:id="1149"/>
    </w:p>
    <w:p w14:paraId="1A7FC187">
      <w:pPr>
        <w:numPr>
          <w:ilvl w:val="0"/>
          <w:numId w:val="9"/>
        </w:numPr>
        <w:spacing w:line="540" w:lineRule="exact"/>
        <w:rPr>
          <w:rFonts w:ascii="宋体" w:hAnsi="宋体"/>
        </w:rPr>
      </w:pPr>
      <w:r>
        <w:rPr>
          <w:rFonts w:hint="eastAsia" w:ascii="宋体" w:hAnsi="宋体"/>
        </w:rPr>
        <w:t>磋商函及磋商函附录</w:t>
      </w:r>
      <w:r>
        <w:rPr>
          <w:rFonts w:hint="eastAsia" w:ascii="宋体" w:hAnsi="宋体"/>
        </w:rPr>
        <w:tab/>
      </w:r>
    </w:p>
    <w:p w14:paraId="44D03BB3">
      <w:pPr>
        <w:numPr>
          <w:ilvl w:val="0"/>
          <w:numId w:val="9"/>
        </w:numPr>
        <w:spacing w:line="540" w:lineRule="exact"/>
        <w:rPr>
          <w:rFonts w:ascii="宋体" w:hAnsi="宋体"/>
        </w:rPr>
      </w:pPr>
      <w:r>
        <w:rPr>
          <w:rFonts w:hint="eastAsia" w:ascii="宋体" w:hAnsi="宋体"/>
        </w:rPr>
        <w:t>法定代表身份证明</w:t>
      </w:r>
    </w:p>
    <w:p w14:paraId="5670C951">
      <w:pPr>
        <w:numPr>
          <w:ilvl w:val="0"/>
          <w:numId w:val="9"/>
        </w:numPr>
        <w:spacing w:line="540" w:lineRule="exact"/>
        <w:rPr>
          <w:rFonts w:ascii="宋体" w:hAnsi="宋体"/>
        </w:rPr>
      </w:pPr>
      <w:r>
        <w:rPr>
          <w:rFonts w:hint="eastAsia" w:ascii="宋体" w:hAnsi="宋体"/>
        </w:rPr>
        <w:t>授权委托书</w:t>
      </w:r>
    </w:p>
    <w:p w14:paraId="6C8CF9B6">
      <w:pPr>
        <w:numPr>
          <w:ilvl w:val="0"/>
          <w:numId w:val="9"/>
        </w:numPr>
        <w:spacing w:line="540" w:lineRule="exact"/>
        <w:rPr>
          <w:rFonts w:ascii="宋体" w:hAnsi="宋体"/>
        </w:rPr>
      </w:pPr>
      <w:r>
        <w:rPr>
          <w:rFonts w:hint="eastAsia" w:ascii="宋体" w:hAnsi="宋体"/>
        </w:rPr>
        <w:t>已标价工程量清单</w:t>
      </w:r>
    </w:p>
    <w:p w14:paraId="5606FB0C">
      <w:pPr>
        <w:numPr>
          <w:ilvl w:val="0"/>
          <w:numId w:val="9"/>
        </w:numPr>
        <w:spacing w:line="540" w:lineRule="exact"/>
        <w:rPr>
          <w:rFonts w:ascii="宋体" w:hAnsi="宋体"/>
        </w:rPr>
      </w:pPr>
      <w:r>
        <w:rPr>
          <w:rFonts w:hint="eastAsia" w:ascii="宋体" w:hAnsi="宋体"/>
        </w:rPr>
        <w:t>施工组织设计</w:t>
      </w:r>
    </w:p>
    <w:p w14:paraId="00CE29F4">
      <w:pPr>
        <w:numPr>
          <w:ilvl w:val="0"/>
          <w:numId w:val="9"/>
        </w:numPr>
        <w:spacing w:line="540" w:lineRule="exact"/>
        <w:rPr>
          <w:rFonts w:ascii="宋体" w:hAnsi="宋体"/>
        </w:rPr>
      </w:pPr>
      <w:r>
        <w:rPr>
          <w:rFonts w:hint="eastAsia" w:ascii="宋体" w:hAnsi="宋体"/>
        </w:rPr>
        <w:t>项目管理机构</w:t>
      </w:r>
    </w:p>
    <w:p w14:paraId="0315738C">
      <w:pPr>
        <w:numPr>
          <w:ilvl w:val="0"/>
          <w:numId w:val="9"/>
        </w:numPr>
        <w:spacing w:line="540" w:lineRule="exact"/>
        <w:rPr>
          <w:rFonts w:ascii="宋体" w:hAnsi="宋体"/>
        </w:rPr>
      </w:pPr>
      <w:r>
        <w:rPr>
          <w:rFonts w:hint="eastAsia" w:ascii="宋体" w:hAnsi="宋体"/>
        </w:rPr>
        <w:t>资格审查资料</w:t>
      </w:r>
    </w:p>
    <w:p w14:paraId="7E2DD2E0">
      <w:pPr>
        <w:numPr>
          <w:ilvl w:val="0"/>
          <w:numId w:val="9"/>
        </w:numPr>
        <w:spacing w:line="540" w:lineRule="exact"/>
        <w:rPr>
          <w:rFonts w:ascii="宋体" w:hAnsi="宋体"/>
        </w:rPr>
      </w:pPr>
      <w:r>
        <w:rPr>
          <w:rFonts w:hint="eastAsia" w:ascii="宋体" w:hAnsi="宋体"/>
        </w:rPr>
        <w:t>类似项目业绩</w:t>
      </w:r>
    </w:p>
    <w:p w14:paraId="6CBC0C43">
      <w:pPr>
        <w:numPr>
          <w:ilvl w:val="0"/>
          <w:numId w:val="9"/>
        </w:numPr>
        <w:spacing w:line="540" w:lineRule="exact"/>
        <w:rPr>
          <w:rFonts w:ascii="宋体" w:hAnsi="宋体"/>
        </w:rPr>
      </w:pPr>
      <w:r>
        <w:rPr>
          <w:rFonts w:hint="eastAsia" w:ascii="宋体" w:hAnsi="宋体"/>
        </w:rPr>
        <w:t>服务承诺</w:t>
      </w:r>
    </w:p>
    <w:p w14:paraId="57B01652">
      <w:pPr>
        <w:numPr>
          <w:ilvl w:val="0"/>
          <w:numId w:val="9"/>
        </w:numPr>
        <w:spacing w:line="540" w:lineRule="exact"/>
        <w:rPr>
          <w:rFonts w:ascii="宋体" w:hAnsi="宋体"/>
        </w:rPr>
      </w:pPr>
      <w:r>
        <w:rPr>
          <w:rFonts w:hint="eastAsia" w:ascii="宋体" w:hAnsi="宋体"/>
        </w:rPr>
        <w:t>其他材料</w:t>
      </w:r>
    </w:p>
    <w:p w14:paraId="39495588">
      <w:pPr>
        <w:spacing w:line="540" w:lineRule="exact"/>
        <w:rPr>
          <w:rFonts w:ascii="宋体" w:hAnsi="宋体"/>
        </w:rPr>
      </w:pPr>
    </w:p>
    <w:p w14:paraId="639138FD">
      <w:pPr>
        <w:spacing w:line="540" w:lineRule="exact"/>
        <w:rPr>
          <w:rFonts w:ascii="宋体" w:hAnsi="宋体"/>
        </w:rPr>
      </w:pPr>
    </w:p>
    <w:p w14:paraId="6655F0AA">
      <w:pPr>
        <w:spacing w:line="540" w:lineRule="exact"/>
        <w:jc w:val="center"/>
        <w:rPr>
          <w:rFonts w:ascii="宋体" w:hAnsi="宋体"/>
        </w:rPr>
      </w:pPr>
      <w:r>
        <w:rPr>
          <w:rFonts w:hint="eastAsia" w:ascii="宋体" w:hAnsi="宋体"/>
        </w:rPr>
        <w:t>（目录仅供参考，为方便评审，建议根据评分因素细化目录并设置超链接或书签）</w:t>
      </w:r>
    </w:p>
    <w:p w14:paraId="6653EABE">
      <w:pPr>
        <w:spacing w:line="540" w:lineRule="exact"/>
        <w:rPr>
          <w:rFonts w:ascii="宋体" w:hAnsi="宋体"/>
        </w:rPr>
      </w:pPr>
    </w:p>
    <w:p w14:paraId="7DB9D23E">
      <w:pPr>
        <w:spacing w:line="540" w:lineRule="exact"/>
        <w:rPr>
          <w:rFonts w:ascii="宋体" w:hAnsi="宋体"/>
        </w:rPr>
      </w:pPr>
    </w:p>
    <w:p w14:paraId="7AEA79F3">
      <w:pPr>
        <w:spacing w:line="540" w:lineRule="exact"/>
        <w:ind w:firstLine="300"/>
        <w:rPr>
          <w:rFonts w:ascii="宋体" w:hAnsi="宋体"/>
          <w:sz w:val="20"/>
          <w:szCs w:val="20"/>
        </w:rPr>
      </w:pPr>
    </w:p>
    <w:p w14:paraId="71606814">
      <w:pPr>
        <w:spacing w:line="540" w:lineRule="exact"/>
        <w:ind w:firstLine="300"/>
        <w:rPr>
          <w:rFonts w:ascii="宋体" w:hAnsi="宋体"/>
          <w:sz w:val="20"/>
          <w:szCs w:val="20"/>
        </w:rPr>
      </w:pPr>
    </w:p>
    <w:p w14:paraId="4291EBD7">
      <w:pPr>
        <w:spacing w:line="540" w:lineRule="exact"/>
        <w:ind w:firstLine="300"/>
        <w:rPr>
          <w:rFonts w:ascii="宋体" w:hAnsi="宋体"/>
          <w:sz w:val="20"/>
          <w:szCs w:val="20"/>
        </w:rPr>
      </w:pPr>
    </w:p>
    <w:p w14:paraId="4EA72418">
      <w:pPr>
        <w:spacing w:line="540" w:lineRule="exact"/>
        <w:ind w:firstLine="300"/>
        <w:rPr>
          <w:rFonts w:ascii="宋体" w:hAnsi="宋体"/>
          <w:sz w:val="20"/>
          <w:szCs w:val="20"/>
        </w:rPr>
      </w:pPr>
      <w:r>
        <w:rPr>
          <w:rFonts w:hint="eastAsia" w:ascii="宋体" w:hAnsi="宋体"/>
          <w:sz w:val="20"/>
          <w:szCs w:val="20"/>
        </w:rPr>
        <w:br w:type="page"/>
      </w:r>
    </w:p>
    <w:p w14:paraId="3037D3BC">
      <w:pPr>
        <w:pStyle w:val="58"/>
        <w:ind w:firstLine="422"/>
        <w:jc w:val="center"/>
        <w:rPr>
          <w:rFonts w:ascii="宋体" w:hAnsi="宋体" w:eastAsia="宋体"/>
          <w:b/>
        </w:rPr>
      </w:pPr>
      <w:bookmarkStart w:id="1150" w:name="_Toc466298158"/>
      <w:bookmarkEnd w:id="1150"/>
      <w:bookmarkStart w:id="1151" w:name="_Toc144974857"/>
      <w:bookmarkEnd w:id="1151"/>
      <w:bookmarkStart w:id="1152" w:name="_Toc152045788"/>
      <w:bookmarkEnd w:id="1152"/>
      <w:bookmarkStart w:id="1153" w:name="_Toc29077"/>
      <w:bookmarkEnd w:id="1153"/>
      <w:bookmarkStart w:id="1154" w:name="_Toc152042577"/>
      <w:bookmarkEnd w:id="1154"/>
      <w:bookmarkStart w:id="1155" w:name="_Toc509667322"/>
      <w:bookmarkStart w:id="1156" w:name="_Toc358"/>
      <w:bookmarkStart w:id="1157" w:name="_Toc27253"/>
      <w:bookmarkStart w:id="1158" w:name="_Toc8947"/>
      <w:bookmarkStart w:id="1159" w:name="_Toc129073526"/>
      <w:bookmarkStart w:id="1160" w:name="_Toc25780"/>
      <w:bookmarkStart w:id="1161" w:name="_Toc17885"/>
      <w:r>
        <w:rPr>
          <w:rFonts w:hint="eastAsia" w:ascii="宋体" w:hAnsi="宋体" w:eastAsia="宋体"/>
          <w:b/>
        </w:rPr>
        <w:t>一、磋商函及</w:t>
      </w:r>
      <w:bookmarkEnd w:id="1155"/>
      <w:r>
        <w:rPr>
          <w:rFonts w:hint="eastAsia" w:ascii="宋体" w:hAnsi="宋体" w:eastAsia="宋体"/>
          <w:b/>
        </w:rPr>
        <w:t>磋商函附录</w:t>
      </w:r>
      <w:bookmarkEnd w:id="1156"/>
      <w:bookmarkEnd w:id="1157"/>
      <w:bookmarkEnd w:id="1158"/>
      <w:bookmarkEnd w:id="1159"/>
      <w:bookmarkEnd w:id="1160"/>
      <w:bookmarkEnd w:id="1161"/>
    </w:p>
    <w:p w14:paraId="22A041CA">
      <w:pPr>
        <w:pStyle w:val="59"/>
        <w:numPr>
          <w:ilvl w:val="0"/>
          <w:numId w:val="10"/>
        </w:numPr>
        <w:ind w:left="1" w:leftChars="-95" w:hanging="200"/>
        <w:jc w:val="center"/>
        <w:rPr>
          <w:rFonts w:ascii="宋体" w:hAnsi="宋体" w:eastAsia="宋体"/>
          <w:b/>
        </w:rPr>
      </w:pPr>
      <w:bookmarkStart w:id="1162" w:name="_Toc318450744"/>
      <w:bookmarkEnd w:id="1162"/>
      <w:bookmarkStart w:id="1163" w:name="_Toc152042578"/>
      <w:bookmarkEnd w:id="1163"/>
      <w:bookmarkStart w:id="1164" w:name="_Toc11855"/>
      <w:bookmarkEnd w:id="1164"/>
      <w:bookmarkStart w:id="1165" w:name="_Toc152045789"/>
      <w:bookmarkEnd w:id="1165"/>
      <w:bookmarkStart w:id="1166" w:name="_Toc509667323"/>
      <w:bookmarkEnd w:id="1166"/>
      <w:bookmarkStart w:id="1167" w:name="_Toc30581"/>
      <w:bookmarkEnd w:id="1167"/>
      <w:bookmarkStart w:id="1168" w:name="_Toc18705"/>
      <w:bookmarkEnd w:id="1168"/>
      <w:bookmarkStart w:id="1169" w:name="_Toc26262"/>
      <w:bookmarkEnd w:id="1169"/>
      <w:bookmarkStart w:id="1170" w:name="_Toc144974858"/>
      <w:bookmarkEnd w:id="1170"/>
      <w:bookmarkStart w:id="1171" w:name="_Toc23888"/>
      <w:bookmarkEnd w:id="1171"/>
      <w:bookmarkStart w:id="1172" w:name="_Toc490667892"/>
      <w:bookmarkEnd w:id="1172"/>
      <w:bookmarkStart w:id="1173" w:name="_Toc466298159"/>
      <w:bookmarkEnd w:id="1173"/>
      <w:bookmarkStart w:id="1174" w:name="_Toc8915"/>
      <w:bookmarkEnd w:id="1174"/>
      <w:bookmarkStart w:id="1175" w:name="_Toc455080170"/>
      <w:bookmarkEnd w:id="1175"/>
      <w:bookmarkStart w:id="1176" w:name="_Toc18523"/>
      <w:bookmarkStart w:id="1177" w:name="_Toc14716"/>
      <w:bookmarkStart w:id="1178" w:name="_Toc24417"/>
      <w:bookmarkStart w:id="1179" w:name="_Toc129073527"/>
      <w:bookmarkStart w:id="1180" w:name="_Toc455867830"/>
      <w:r>
        <w:rPr>
          <w:rFonts w:hint="eastAsia" w:ascii="宋体" w:hAnsi="宋体" w:eastAsia="宋体"/>
          <w:b/>
        </w:rPr>
        <w:t>磋商函</w:t>
      </w:r>
      <w:bookmarkEnd w:id="1176"/>
      <w:bookmarkEnd w:id="1177"/>
      <w:bookmarkEnd w:id="1178"/>
      <w:bookmarkEnd w:id="1179"/>
      <w:bookmarkEnd w:id="1180"/>
    </w:p>
    <w:p w14:paraId="610FBB61">
      <w:pPr>
        <w:spacing w:line="360" w:lineRule="auto"/>
        <w:rPr>
          <w:rFonts w:ascii="宋体" w:hAnsi="宋体"/>
        </w:rPr>
      </w:pPr>
      <w:r>
        <w:rPr>
          <w:rFonts w:hint="eastAsia" w:ascii="宋体" w:hAnsi="宋体"/>
          <w:u w:val="single"/>
          <w:lang w:eastAsia="zh-CN"/>
        </w:rPr>
        <w:t>河南省科学院激光制造研究所</w:t>
      </w:r>
      <w:r>
        <w:rPr>
          <w:rFonts w:hint="eastAsia" w:ascii="宋体" w:hAnsi="宋体"/>
        </w:rPr>
        <w:t>：</w:t>
      </w:r>
    </w:p>
    <w:p w14:paraId="5AE4A76A">
      <w:pPr>
        <w:spacing w:line="360" w:lineRule="auto"/>
        <w:ind w:firstLine="420" w:firstLineChars="200"/>
        <w:rPr>
          <w:rFonts w:ascii="宋体" w:hAnsi="宋体"/>
        </w:rPr>
      </w:pPr>
      <w:r>
        <w:rPr>
          <w:rFonts w:hint="eastAsia" w:ascii="宋体" w:hAnsi="宋体"/>
        </w:rPr>
        <w:t>1．我方已仔细研究了</w:t>
      </w:r>
      <w:r>
        <w:rPr>
          <w:rFonts w:hint="eastAsia" w:ascii="宋体" w:hAnsi="宋体"/>
          <w:u w:val="single"/>
        </w:rPr>
        <w:t xml:space="preserve"> </w:t>
      </w:r>
      <w:r>
        <w:rPr>
          <w:rFonts w:hint="eastAsia" w:ascii="宋体" w:hAnsi="宋体"/>
          <w:u w:val="single"/>
          <w:lang w:eastAsia="zh-CN"/>
        </w:rPr>
        <w:t>河南省科学院激光制造研究所中原量子谷大型仪器共享平台基础设施建设项目</w:t>
      </w:r>
      <w:r>
        <w:rPr>
          <w:rFonts w:hint="eastAsia" w:ascii="宋体" w:hAnsi="宋体"/>
          <w:u w:val="single"/>
        </w:rPr>
        <w:t>（项目名称）</w:t>
      </w:r>
      <w:r>
        <w:rPr>
          <w:rFonts w:hint="eastAsia" w:ascii="宋体" w:hAnsi="宋体"/>
        </w:rPr>
        <w:t>磋商文件的全部内容，愿意以人民币</w:t>
      </w:r>
      <w:r>
        <w:rPr>
          <w:rFonts w:hint="eastAsia" w:ascii="宋体" w:hAnsi="宋体"/>
          <w:u w:val="single"/>
        </w:rPr>
        <w:t xml:space="preserve">     </w:t>
      </w:r>
      <w:r>
        <w:rPr>
          <w:rFonts w:hint="eastAsia" w:ascii="宋体" w:hAnsi="宋体"/>
        </w:rPr>
        <w:t>（小写：</w:t>
      </w:r>
      <w:r>
        <w:rPr>
          <w:rFonts w:hint="eastAsia" w:ascii="宋体" w:hAnsi="宋体"/>
          <w:u w:val="single"/>
        </w:rPr>
        <w:t xml:space="preserve">     </w:t>
      </w:r>
      <w:r>
        <w:rPr>
          <w:rFonts w:hint="eastAsia" w:ascii="宋体" w:hAnsi="宋体"/>
        </w:rPr>
        <w:t>）的首次报价，工期：</w:t>
      </w:r>
      <w:r>
        <w:rPr>
          <w:rFonts w:hint="eastAsia" w:ascii="宋体" w:hAnsi="宋体"/>
          <w:u w:val="single"/>
        </w:rPr>
        <w:t xml:space="preserve">      </w:t>
      </w:r>
      <w:r>
        <w:rPr>
          <w:rFonts w:hint="eastAsia" w:ascii="宋体" w:hAnsi="宋体"/>
        </w:rPr>
        <w:t>，按合同约定实施和完成本项目，质量要求达到：</w:t>
      </w:r>
      <w:r>
        <w:rPr>
          <w:rFonts w:hint="eastAsia" w:ascii="宋体" w:hAnsi="宋体"/>
          <w:u w:val="single"/>
        </w:rPr>
        <w:t xml:space="preserve">       </w:t>
      </w:r>
      <w:r>
        <w:rPr>
          <w:rFonts w:hint="eastAsia" w:ascii="宋体" w:hAnsi="宋体"/>
        </w:rPr>
        <w:t xml:space="preserve">。 </w:t>
      </w:r>
    </w:p>
    <w:p w14:paraId="236BF9BE">
      <w:pPr>
        <w:spacing w:line="360" w:lineRule="auto"/>
        <w:ind w:firstLine="420" w:firstLineChars="200"/>
        <w:rPr>
          <w:rFonts w:ascii="宋体" w:hAnsi="宋体"/>
        </w:rPr>
      </w:pPr>
      <w:bookmarkStart w:id="1181" w:name="_Toc466298160"/>
      <w:bookmarkEnd w:id="1181"/>
      <w:bookmarkStart w:id="1182" w:name="_Toc447888814"/>
      <w:r>
        <w:rPr>
          <w:rFonts w:hint="eastAsia" w:ascii="宋体" w:hAnsi="宋体"/>
        </w:rPr>
        <w:t>2．我方承诺在磋商有效期</w:t>
      </w:r>
      <w:bookmarkEnd w:id="1182"/>
      <w:r>
        <w:rPr>
          <w:rFonts w:hint="eastAsia" w:ascii="宋体" w:hAnsi="宋体"/>
          <w:u w:val="single"/>
        </w:rPr>
        <w:t xml:space="preserve"> 60</w:t>
      </w:r>
      <w:r>
        <w:rPr>
          <w:rFonts w:hint="eastAsia" w:ascii="宋体" w:hAnsi="宋体"/>
        </w:rPr>
        <w:t>日历天内不修改、撤销响应文件。</w:t>
      </w:r>
    </w:p>
    <w:p w14:paraId="112B0231">
      <w:pPr>
        <w:spacing w:line="360" w:lineRule="auto"/>
        <w:ind w:firstLine="420" w:firstLineChars="200"/>
        <w:rPr>
          <w:rFonts w:ascii="宋体" w:hAnsi="宋体"/>
        </w:rPr>
      </w:pPr>
      <w:r>
        <w:rPr>
          <w:rFonts w:hint="eastAsia" w:ascii="宋体" w:hAnsi="宋体"/>
        </w:rPr>
        <w:t>3．如我方中标：</w:t>
      </w:r>
    </w:p>
    <w:p w14:paraId="2D61A41F">
      <w:pPr>
        <w:spacing w:line="360" w:lineRule="auto"/>
        <w:ind w:firstLine="420" w:firstLineChars="200"/>
        <w:jc w:val="left"/>
        <w:rPr>
          <w:rFonts w:ascii="宋体" w:hAnsi="宋体" w:cs="宋体"/>
          <w:kern w:val="0"/>
        </w:rPr>
      </w:pPr>
      <w:r>
        <w:rPr>
          <w:rFonts w:hint="eastAsia" w:ascii="宋体" w:hAnsi="宋体" w:cs="宋体"/>
          <w:kern w:val="0"/>
        </w:rPr>
        <w:t>(l）我方承诺在收到成交通知书后，在成交通知书规定的期限内与你方签订合同。</w:t>
      </w:r>
    </w:p>
    <w:p w14:paraId="7091E5D8">
      <w:pPr>
        <w:spacing w:line="360" w:lineRule="auto"/>
        <w:ind w:firstLine="420" w:firstLineChars="200"/>
        <w:jc w:val="left"/>
        <w:rPr>
          <w:rFonts w:ascii="宋体" w:hAnsi="宋体" w:cs="宋体"/>
          <w:kern w:val="0"/>
        </w:rPr>
      </w:pPr>
      <w:r>
        <w:rPr>
          <w:rFonts w:hint="eastAsia" w:ascii="宋体" w:hAnsi="宋体" w:cs="宋体"/>
          <w:kern w:val="0"/>
        </w:rPr>
        <w:t>(2）随同本磋商函递交的磋商函附录属于合同文件的组成部分。</w:t>
      </w:r>
    </w:p>
    <w:p w14:paraId="65B1172A">
      <w:pPr>
        <w:spacing w:line="360" w:lineRule="auto"/>
        <w:ind w:firstLine="420" w:firstLineChars="200"/>
        <w:jc w:val="left"/>
        <w:rPr>
          <w:rFonts w:ascii="宋体" w:hAnsi="宋体" w:cs="宋体"/>
          <w:kern w:val="0"/>
        </w:rPr>
      </w:pPr>
      <w:r>
        <w:rPr>
          <w:rFonts w:hint="eastAsia" w:ascii="宋体" w:hAnsi="宋体" w:cs="宋体"/>
          <w:kern w:val="0"/>
        </w:rPr>
        <w:t>(3）我方承诺按照磋商文件规定向你方递交履约担保（若需）。</w:t>
      </w:r>
    </w:p>
    <w:p w14:paraId="388784EB">
      <w:pPr>
        <w:spacing w:line="360" w:lineRule="auto"/>
        <w:ind w:firstLine="420" w:firstLineChars="200"/>
        <w:jc w:val="left"/>
        <w:rPr>
          <w:rFonts w:ascii="宋体" w:hAnsi="宋体" w:cs="宋体"/>
          <w:kern w:val="0"/>
        </w:rPr>
      </w:pPr>
      <w:r>
        <w:rPr>
          <w:rFonts w:hint="eastAsia" w:ascii="宋体" w:hAnsi="宋体" w:cs="宋体"/>
          <w:kern w:val="0"/>
        </w:rPr>
        <w:t>(4）我方承诺在合同约定的期限内完成本项目。</w:t>
      </w:r>
    </w:p>
    <w:p w14:paraId="7D5AAF62">
      <w:pPr>
        <w:spacing w:line="360" w:lineRule="auto"/>
        <w:ind w:firstLine="420" w:firstLineChars="200"/>
        <w:jc w:val="left"/>
        <w:rPr>
          <w:rFonts w:ascii="宋体" w:hAnsi="宋体" w:cs="宋体"/>
          <w:kern w:val="0"/>
        </w:rPr>
      </w:pPr>
      <w:r>
        <w:rPr>
          <w:rFonts w:hint="eastAsia" w:ascii="宋体" w:hAnsi="宋体" w:cs="宋体"/>
          <w:kern w:val="0"/>
        </w:rPr>
        <w:t>（5）若我方中标，同意按磋商文件规定的收费标准和方式，一次性支付招标代理服务费。</w:t>
      </w:r>
    </w:p>
    <w:p w14:paraId="1E8448CD">
      <w:pPr>
        <w:spacing w:line="360" w:lineRule="auto"/>
        <w:ind w:firstLine="420" w:firstLineChars="200"/>
        <w:jc w:val="left"/>
        <w:rPr>
          <w:rFonts w:ascii="宋体" w:hAnsi="宋体" w:cs="宋体"/>
          <w:kern w:val="0"/>
        </w:rPr>
      </w:pPr>
      <w:r>
        <w:rPr>
          <w:rFonts w:hint="eastAsia" w:ascii="宋体" w:hAnsi="宋体" w:cs="宋体"/>
          <w:kern w:val="0"/>
        </w:rPr>
        <w:t>（6）按照贵方的要求，提供与投标有关的一切数据或资料真实，完全理解贵方不一定接受最低价的投标或收到的任何投标。</w:t>
      </w:r>
    </w:p>
    <w:p w14:paraId="7D55A8F7">
      <w:pPr>
        <w:spacing w:line="360" w:lineRule="auto"/>
        <w:ind w:firstLine="420" w:firstLineChars="200"/>
        <w:jc w:val="left"/>
        <w:rPr>
          <w:rFonts w:ascii="宋体" w:hAnsi="宋体" w:cs="宋体"/>
          <w:kern w:val="0"/>
        </w:rPr>
      </w:pPr>
      <w:r>
        <w:rPr>
          <w:rFonts w:hint="eastAsia" w:ascii="宋体" w:hAnsi="宋体" w:cs="宋体"/>
          <w:kern w:val="0"/>
        </w:rPr>
        <w:t>（7）完全理解并无条件承担中标后不依法与采购人签订合同的法律后果。</w:t>
      </w:r>
    </w:p>
    <w:p w14:paraId="2B4F2B83">
      <w:pPr>
        <w:spacing w:line="360" w:lineRule="auto"/>
        <w:ind w:firstLine="420" w:firstLineChars="200"/>
        <w:jc w:val="left"/>
        <w:rPr>
          <w:rFonts w:ascii="宋体" w:hAnsi="宋体" w:cs="宋体"/>
          <w:kern w:val="0"/>
        </w:rPr>
      </w:pPr>
      <w:r>
        <w:rPr>
          <w:rFonts w:hint="eastAsia" w:ascii="宋体" w:hAnsi="宋体" w:cs="宋体"/>
          <w:kern w:val="0"/>
        </w:rPr>
        <w:t>（8）与本次投标有关的一切正式往来请寄：</w:t>
      </w:r>
    </w:p>
    <w:p w14:paraId="0C00123A">
      <w:pPr>
        <w:spacing w:line="360" w:lineRule="auto"/>
        <w:ind w:firstLine="420" w:firstLineChars="200"/>
        <w:rPr>
          <w:rFonts w:ascii="宋体" w:hAnsi="宋体"/>
          <w:u w:val="single"/>
        </w:rPr>
      </w:pPr>
      <w:r>
        <w:rPr>
          <w:rFonts w:hint="eastAsia" w:ascii="宋体" w:hAnsi="宋体"/>
        </w:rPr>
        <w:t xml:space="preserve">地  址： </w:t>
      </w:r>
      <w:r>
        <w:rPr>
          <w:rFonts w:hint="eastAsia" w:ascii="宋体" w:hAnsi="宋体"/>
          <w:u w:val="single"/>
        </w:rPr>
        <w:t xml:space="preserve">              </w:t>
      </w:r>
    </w:p>
    <w:p w14:paraId="7E7D6BF3">
      <w:pPr>
        <w:spacing w:line="360" w:lineRule="auto"/>
        <w:ind w:firstLine="420" w:firstLineChars="200"/>
        <w:rPr>
          <w:rFonts w:ascii="宋体" w:hAnsi="宋体"/>
          <w:u w:val="single"/>
        </w:rPr>
      </w:pPr>
      <w:r>
        <w:rPr>
          <w:rFonts w:hint="eastAsia" w:ascii="宋体" w:hAnsi="宋体"/>
        </w:rPr>
        <w:t>联系人：</w:t>
      </w:r>
      <w:r>
        <w:rPr>
          <w:rFonts w:hint="eastAsia" w:ascii="宋体" w:hAnsi="宋体"/>
          <w:u w:val="single"/>
        </w:rPr>
        <w:t xml:space="preserve">               </w:t>
      </w:r>
    </w:p>
    <w:p w14:paraId="1E7D13F0">
      <w:pPr>
        <w:spacing w:line="360" w:lineRule="auto"/>
        <w:ind w:firstLine="420" w:firstLineChars="200"/>
        <w:rPr>
          <w:rFonts w:ascii="宋体" w:hAnsi="宋体"/>
          <w:u w:val="single"/>
        </w:rPr>
      </w:pPr>
      <w:r>
        <w:rPr>
          <w:rFonts w:hint="eastAsia" w:ascii="宋体" w:hAnsi="宋体"/>
        </w:rPr>
        <w:t>电  话：</w:t>
      </w:r>
      <w:r>
        <w:rPr>
          <w:rFonts w:hint="eastAsia" w:ascii="宋体" w:hAnsi="宋体"/>
          <w:u w:val="single"/>
        </w:rPr>
        <w:t xml:space="preserve">               </w:t>
      </w:r>
    </w:p>
    <w:p w14:paraId="3D43C8F6">
      <w:pPr>
        <w:spacing w:line="360" w:lineRule="auto"/>
        <w:rPr>
          <w:rFonts w:ascii="宋体" w:hAnsi="宋体"/>
        </w:rPr>
      </w:pPr>
    </w:p>
    <w:p w14:paraId="3E0ECD0D">
      <w:pPr>
        <w:spacing w:line="520" w:lineRule="exact"/>
        <w:ind w:firstLine="420" w:firstLineChars="200"/>
        <w:rPr>
          <w:rFonts w:ascii="宋体" w:hAnsi="宋体" w:cs="宋体"/>
        </w:rPr>
      </w:pPr>
      <w:r>
        <w:rPr>
          <w:rFonts w:hint="eastAsia" w:ascii="宋体" w:hAnsi="宋体" w:cs="宋体"/>
        </w:rPr>
        <w:t>供应商名称：</w:t>
      </w:r>
      <w:r>
        <w:rPr>
          <w:rFonts w:hint="eastAsia" w:ascii="宋体" w:hAnsi="宋体" w:cs="宋体"/>
          <w:u w:val="single"/>
        </w:rPr>
        <w:t xml:space="preserve">                        </w:t>
      </w:r>
      <w:r>
        <w:rPr>
          <w:rFonts w:hint="eastAsia" w:ascii="宋体" w:hAnsi="宋体" w:cs="宋体"/>
        </w:rPr>
        <w:t>（单位电子印章）</w:t>
      </w:r>
    </w:p>
    <w:p w14:paraId="6EB5A4EF">
      <w:pPr>
        <w:spacing w:line="520" w:lineRule="exact"/>
        <w:ind w:firstLine="420" w:firstLineChars="200"/>
        <w:rPr>
          <w:rFonts w:ascii="宋体" w:hAnsi="宋体" w:cs="宋体"/>
        </w:rPr>
      </w:pPr>
      <w:r>
        <w:rPr>
          <w:rFonts w:hint="eastAsia" w:ascii="宋体" w:hAnsi="宋体" w:cs="宋体"/>
        </w:rPr>
        <w:t>法定代表人或其委托代理人：</w:t>
      </w:r>
      <w:r>
        <w:rPr>
          <w:rFonts w:hint="eastAsia" w:ascii="宋体" w:hAnsi="宋体" w:cs="宋体"/>
          <w:u w:val="single"/>
        </w:rPr>
        <w:t xml:space="preserve">          </w:t>
      </w:r>
      <w:r>
        <w:rPr>
          <w:rFonts w:hint="eastAsia" w:ascii="宋体" w:hAnsi="宋体" w:cs="宋体"/>
        </w:rPr>
        <w:t>（电子签章或签字）</w:t>
      </w:r>
    </w:p>
    <w:p w14:paraId="0C18C41C">
      <w:pPr>
        <w:spacing w:line="360" w:lineRule="auto"/>
        <w:ind w:firstLine="420" w:firstLineChars="200"/>
        <w:rPr>
          <w:rFonts w:eastAsiaTheme="minorEastAsia"/>
          <w:b/>
        </w:rPr>
      </w:pPr>
      <w:r>
        <w:rPr>
          <w:rFonts w:hint="eastAsia" w:ascii="宋体" w:hAnsi="宋体" w:cs="宋体"/>
        </w:rPr>
        <w:t>日      期：   年  月   日</w:t>
      </w:r>
    </w:p>
    <w:p w14:paraId="345C8ACE">
      <w:pPr>
        <w:spacing w:line="360" w:lineRule="auto"/>
        <w:ind w:firstLine="3640" w:firstLineChars="1517"/>
        <w:rPr>
          <w:rFonts w:ascii="宋体" w:hAnsi="宋体"/>
          <w:sz w:val="24"/>
          <w:szCs w:val="24"/>
        </w:rPr>
      </w:pPr>
    </w:p>
    <w:p w14:paraId="2B6A4730">
      <w:pPr>
        <w:pStyle w:val="4"/>
        <w:ind w:firstLine="422"/>
        <w:jc w:val="center"/>
        <w:rPr>
          <w:rFonts w:ascii="宋体" w:hAnsi="宋体" w:eastAsia="宋体"/>
          <w:sz w:val="28"/>
          <w:szCs w:val="28"/>
        </w:rPr>
      </w:pPr>
      <w:bookmarkStart w:id="1183" w:name="_Toc490667893"/>
      <w:bookmarkEnd w:id="1183"/>
      <w:bookmarkStart w:id="1184" w:name="_Toc509667324"/>
      <w:r>
        <w:rPr>
          <w:rFonts w:hint="eastAsia" w:ascii="宋体" w:hAnsi="宋体" w:eastAsia="宋体"/>
          <w:sz w:val="28"/>
          <w:szCs w:val="28"/>
        </w:rPr>
        <w:br w:type="page"/>
      </w:r>
      <w:bookmarkEnd w:id="1184"/>
      <w:bookmarkStart w:id="1185" w:name="_Toc23069"/>
      <w:bookmarkStart w:id="1186" w:name="_Toc129073528"/>
      <w:bookmarkStart w:id="1187" w:name="_Toc26038"/>
      <w:bookmarkStart w:id="1188" w:name="_Toc25020"/>
      <w:r>
        <w:rPr>
          <w:rFonts w:hint="eastAsia" w:ascii="宋体" w:hAnsi="宋体" w:eastAsia="宋体"/>
          <w:sz w:val="28"/>
          <w:szCs w:val="28"/>
        </w:rPr>
        <w:t>（二）</w:t>
      </w:r>
      <w:r>
        <w:rPr>
          <w:rFonts w:hint="eastAsia" w:ascii="宋体" w:hAnsi="宋体" w:eastAsia="宋体"/>
        </w:rPr>
        <w:t>磋商函附录</w:t>
      </w:r>
      <w:bookmarkEnd w:id="1185"/>
      <w:bookmarkEnd w:id="1186"/>
      <w:bookmarkEnd w:id="1187"/>
      <w:bookmarkEnd w:id="1188"/>
    </w:p>
    <w:tbl>
      <w:tblPr>
        <w:tblStyle w:val="34"/>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9"/>
        <w:gridCol w:w="1424"/>
        <w:gridCol w:w="1662"/>
        <w:gridCol w:w="1260"/>
        <w:gridCol w:w="1060"/>
        <w:gridCol w:w="1455"/>
      </w:tblGrid>
      <w:tr w14:paraId="47828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14:paraId="617E5928">
            <w:pPr>
              <w:jc w:val="center"/>
              <w:rPr>
                <w:rFonts w:ascii="宋体" w:hAnsi="宋体"/>
              </w:rPr>
            </w:pPr>
            <w:r>
              <w:rPr>
                <w:rFonts w:hint="eastAsia" w:ascii="宋体" w:hAnsi="宋体"/>
              </w:rPr>
              <w:t>项目名称</w:t>
            </w:r>
          </w:p>
        </w:tc>
        <w:tc>
          <w:tcPr>
            <w:tcW w:w="6861" w:type="dxa"/>
            <w:gridSpan w:val="5"/>
            <w:tcBorders>
              <w:top w:val="single" w:color="auto" w:sz="4" w:space="0"/>
              <w:left w:val="nil"/>
              <w:bottom w:val="single" w:color="auto" w:sz="4" w:space="0"/>
              <w:right w:val="single" w:color="auto" w:sz="4" w:space="0"/>
            </w:tcBorders>
            <w:vAlign w:val="center"/>
          </w:tcPr>
          <w:p w14:paraId="44C86938">
            <w:pPr>
              <w:rPr>
                <w:rFonts w:hint="eastAsia" w:ascii="宋体" w:hAnsi="宋体" w:eastAsia="宋体"/>
                <w:lang w:eastAsia="zh-CN"/>
              </w:rPr>
            </w:pPr>
            <w:r>
              <w:rPr>
                <w:rFonts w:hint="eastAsia" w:ascii="宋体" w:hAnsi="宋体"/>
                <w:lang w:eastAsia="zh-CN"/>
              </w:rPr>
              <w:t>河南省科学院激光制造研究所中原量子谷大型仪器共享平台基础设施建设项目</w:t>
            </w:r>
          </w:p>
        </w:tc>
      </w:tr>
      <w:tr w14:paraId="23C4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14:paraId="2C932BD9">
            <w:pPr>
              <w:jc w:val="center"/>
              <w:rPr>
                <w:rFonts w:ascii="宋体" w:hAnsi="宋体"/>
              </w:rPr>
            </w:pPr>
            <w:r>
              <w:rPr>
                <w:rFonts w:hint="eastAsia" w:ascii="宋体" w:hAnsi="宋体"/>
              </w:rPr>
              <w:t>供应商名称</w:t>
            </w:r>
          </w:p>
        </w:tc>
        <w:tc>
          <w:tcPr>
            <w:tcW w:w="6861" w:type="dxa"/>
            <w:gridSpan w:val="5"/>
            <w:tcBorders>
              <w:top w:val="single" w:color="auto" w:sz="4" w:space="0"/>
              <w:left w:val="nil"/>
              <w:bottom w:val="single" w:color="auto" w:sz="4" w:space="0"/>
              <w:right w:val="single" w:color="auto" w:sz="4" w:space="0"/>
            </w:tcBorders>
            <w:vAlign w:val="center"/>
          </w:tcPr>
          <w:p w14:paraId="70490169">
            <w:pPr>
              <w:rPr>
                <w:rFonts w:ascii="宋体" w:hAnsi="宋体"/>
              </w:rPr>
            </w:pPr>
          </w:p>
        </w:tc>
      </w:tr>
      <w:tr w14:paraId="282DC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14:paraId="72C6F858">
            <w:pPr>
              <w:jc w:val="center"/>
              <w:rPr>
                <w:rFonts w:ascii="宋体" w:hAnsi="宋体"/>
              </w:rPr>
            </w:pPr>
            <w:r>
              <w:rPr>
                <w:rFonts w:hint="eastAsia" w:ascii="宋体" w:hAnsi="宋体"/>
              </w:rPr>
              <w:t>磋商范围及内容</w:t>
            </w:r>
          </w:p>
        </w:tc>
        <w:tc>
          <w:tcPr>
            <w:tcW w:w="6861" w:type="dxa"/>
            <w:gridSpan w:val="5"/>
            <w:tcBorders>
              <w:top w:val="single" w:color="auto" w:sz="4" w:space="0"/>
              <w:left w:val="nil"/>
              <w:bottom w:val="single" w:color="auto" w:sz="4" w:space="0"/>
              <w:right w:val="single" w:color="auto" w:sz="4" w:space="0"/>
            </w:tcBorders>
            <w:vAlign w:val="center"/>
          </w:tcPr>
          <w:p w14:paraId="44305072">
            <w:pPr>
              <w:jc w:val="center"/>
              <w:rPr>
                <w:rFonts w:ascii="宋体" w:hAnsi="宋体"/>
              </w:rPr>
            </w:pPr>
          </w:p>
        </w:tc>
      </w:tr>
      <w:tr w14:paraId="67088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14:paraId="4A43026D">
            <w:pPr>
              <w:spacing w:line="360" w:lineRule="exact"/>
              <w:jc w:val="center"/>
              <w:rPr>
                <w:rFonts w:ascii="宋体" w:hAnsi="宋体"/>
              </w:rPr>
            </w:pPr>
            <w:r>
              <w:rPr>
                <w:rFonts w:hint="eastAsia" w:ascii="宋体" w:hAnsi="宋体"/>
              </w:rPr>
              <w:t>首次报价</w:t>
            </w:r>
          </w:p>
        </w:tc>
        <w:tc>
          <w:tcPr>
            <w:tcW w:w="6861" w:type="dxa"/>
            <w:gridSpan w:val="5"/>
            <w:tcBorders>
              <w:top w:val="single" w:color="auto" w:sz="4" w:space="0"/>
              <w:left w:val="nil"/>
              <w:bottom w:val="single" w:color="auto" w:sz="4" w:space="0"/>
              <w:right w:val="single" w:color="auto" w:sz="4" w:space="0"/>
            </w:tcBorders>
            <w:vAlign w:val="center"/>
          </w:tcPr>
          <w:p w14:paraId="27DEB4CA">
            <w:pPr>
              <w:rPr>
                <w:rFonts w:ascii="宋体" w:hAnsi="宋体"/>
              </w:rPr>
            </w:pPr>
            <w:r>
              <w:rPr>
                <w:rFonts w:hint="eastAsia" w:ascii="宋体" w:hAnsi="宋体"/>
              </w:rPr>
              <w:t>（大写）</w:t>
            </w:r>
          </w:p>
          <w:p w14:paraId="10BEB9E1">
            <w:pPr>
              <w:rPr>
                <w:rFonts w:ascii="宋体" w:hAnsi="宋体"/>
              </w:rPr>
            </w:pPr>
            <w:r>
              <w:rPr>
                <w:rFonts w:hint="eastAsia" w:ascii="宋体" w:hAnsi="宋体"/>
              </w:rPr>
              <w:t>（小写）</w:t>
            </w:r>
          </w:p>
        </w:tc>
      </w:tr>
      <w:tr w14:paraId="1AF3E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14:paraId="4E8C0BF5">
            <w:pPr>
              <w:jc w:val="center"/>
              <w:rPr>
                <w:rFonts w:ascii="宋体" w:hAnsi="宋体"/>
              </w:rPr>
            </w:pPr>
            <w:r>
              <w:rPr>
                <w:rFonts w:hint="eastAsia" w:ascii="宋体" w:hAnsi="宋体"/>
              </w:rPr>
              <w:t>建设地点</w:t>
            </w:r>
          </w:p>
        </w:tc>
        <w:tc>
          <w:tcPr>
            <w:tcW w:w="6861" w:type="dxa"/>
            <w:gridSpan w:val="5"/>
            <w:tcBorders>
              <w:top w:val="single" w:color="auto" w:sz="4" w:space="0"/>
              <w:left w:val="nil"/>
              <w:bottom w:val="single" w:color="auto" w:sz="4" w:space="0"/>
              <w:right w:val="single" w:color="auto" w:sz="4" w:space="0"/>
            </w:tcBorders>
            <w:vAlign w:val="center"/>
          </w:tcPr>
          <w:p w14:paraId="378D4E05">
            <w:pPr>
              <w:jc w:val="left"/>
              <w:rPr>
                <w:rFonts w:ascii="宋体" w:hAnsi="宋体"/>
              </w:rPr>
            </w:pPr>
          </w:p>
        </w:tc>
      </w:tr>
      <w:tr w14:paraId="6476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14:paraId="4888EB6F">
            <w:pPr>
              <w:jc w:val="center"/>
              <w:rPr>
                <w:rFonts w:ascii="宋体" w:hAnsi="宋体"/>
              </w:rPr>
            </w:pPr>
            <w:r>
              <w:rPr>
                <w:rFonts w:hint="eastAsia" w:ascii="宋体" w:hAnsi="宋体"/>
              </w:rPr>
              <w:t>工期</w:t>
            </w:r>
          </w:p>
        </w:tc>
        <w:tc>
          <w:tcPr>
            <w:tcW w:w="6861" w:type="dxa"/>
            <w:gridSpan w:val="5"/>
            <w:tcBorders>
              <w:top w:val="single" w:color="auto" w:sz="4" w:space="0"/>
              <w:left w:val="nil"/>
              <w:bottom w:val="single" w:color="auto" w:sz="4" w:space="0"/>
              <w:right w:val="single" w:color="auto" w:sz="4" w:space="0"/>
            </w:tcBorders>
            <w:vAlign w:val="center"/>
          </w:tcPr>
          <w:p w14:paraId="153C5268">
            <w:pPr>
              <w:jc w:val="center"/>
              <w:rPr>
                <w:rFonts w:ascii="宋体" w:hAnsi="宋体"/>
              </w:rPr>
            </w:pPr>
          </w:p>
        </w:tc>
      </w:tr>
      <w:tr w14:paraId="7CC45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14:paraId="024DEAB1">
            <w:pPr>
              <w:jc w:val="center"/>
              <w:rPr>
                <w:rFonts w:ascii="宋体" w:hAnsi="宋体"/>
              </w:rPr>
            </w:pPr>
            <w:r>
              <w:rPr>
                <w:rFonts w:hint="eastAsia" w:ascii="宋体" w:hAnsi="宋体"/>
              </w:rPr>
              <w:t>质量</w:t>
            </w:r>
          </w:p>
        </w:tc>
        <w:tc>
          <w:tcPr>
            <w:tcW w:w="6861" w:type="dxa"/>
            <w:gridSpan w:val="5"/>
            <w:tcBorders>
              <w:top w:val="single" w:color="auto" w:sz="4" w:space="0"/>
              <w:left w:val="nil"/>
              <w:bottom w:val="single" w:color="auto" w:sz="4" w:space="0"/>
              <w:right w:val="single" w:color="auto" w:sz="4" w:space="0"/>
            </w:tcBorders>
            <w:vAlign w:val="center"/>
          </w:tcPr>
          <w:p w14:paraId="285F7317">
            <w:pPr>
              <w:jc w:val="center"/>
              <w:rPr>
                <w:rFonts w:ascii="宋体" w:hAnsi="宋体"/>
              </w:rPr>
            </w:pPr>
          </w:p>
        </w:tc>
      </w:tr>
      <w:tr w14:paraId="3F0B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14:paraId="7C6BDE39">
            <w:pPr>
              <w:jc w:val="center"/>
              <w:rPr>
                <w:rFonts w:ascii="宋体" w:hAnsi="宋体"/>
              </w:rPr>
            </w:pPr>
            <w:r>
              <w:rPr>
                <w:rFonts w:hint="eastAsia" w:ascii="宋体" w:hAnsi="宋体"/>
              </w:rPr>
              <w:t>缺陷责任期</w:t>
            </w:r>
          </w:p>
        </w:tc>
        <w:tc>
          <w:tcPr>
            <w:tcW w:w="6861" w:type="dxa"/>
            <w:gridSpan w:val="5"/>
            <w:tcBorders>
              <w:top w:val="single" w:color="auto" w:sz="4" w:space="0"/>
              <w:left w:val="nil"/>
              <w:bottom w:val="single" w:color="auto" w:sz="4" w:space="0"/>
              <w:right w:val="single" w:color="auto" w:sz="4" w:space="0"/>
            </w:tcBorders>
            <w:vAlign w:val="center"/>
          </w:tcPr>
          <w:p w14:paraId="4FCF569B">
            <w:pPr>
              <w:jc w:val="center"/>
              <w:rPr>
                <w:rFonts w:ascii="宋体" w:hAnsi="宋体"/>
              </w:rPr>
            </w:pPr>
          </w:p>
        </w:tc>
      </w:tr>
      <w:tr w14:paraId="7B728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14:paraId="5915820A">
            <w:pPr>
              <w:jc w:val="center"/>
              <w:rPr>
                <w:rFonts w:ascii="宋体" w:hAnsi="宋体"/>
              </w:rPr>
            </w:pPr>
            <w:r>
              <w:rPr>
                <w:rFonts w:hint="eastAsia" w:ascii="宋体" w:hAnsi="宋体"/>
              </w:rPr>
              <w:t>保修期</w:t>
            </w:r>
          </w:p>
        </w:tc>
        <w:tc>
          <w:tcPr>
            <w:tcW w:w="6861" w:type="dxa"/>
            <w:gridSpan w:val="5"/>
            <w:tcBorders>
              <w:top w:val="single" w:color="auto" w:sz="4" w:space="0"/>
              <w:left w:val="nil"/>
              <w:bottom w:val="single" w:color="auto" w:sz="4" w:space="0"/>
              <w:right w:val="single" w:color="auto" w:sz="4" w:space="0"/>
            </w:tcBorders>
            <w:vAlign w:val="center"/>
          </w:tcPr>
          <w:p w14:paraId="123AA864">
            <w:pPr>
              <w:jc w:val="center"/>
              <w:rPr>
                <w:rFonts w:ascii="宋体" w:hAnsi="宋体"/>
              </w:rPr>
            </w:pPr>
          </w:p>
        </w:tc>
      </w:tr>
      <w:tr w14:paraId="4D8EF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14:paraId="318F1736">
            <w:pPr>
              <w:jc w:val="center"/>
              <w:rPr>
                <w:rFonts w:ascii="宋体" w:hAnsi="宋体"/>
              </w:rPr>
            </w:pPr>
            <w:r>
              <w:rPr>
                <w:rFonts w:hint="eastAsia" w:ascii="宋体" w:hAnsi="宋体"/>
              </w:rPr>
              <w:t>项目经理</w:t>
            </w:r>
          </w:p>
        </w:tc>
        <w:tc>
          <w:tcPr>
            <w:tcW w:w="1424" w:type="dxa"/>
            <w:tcBorders>
              <w:top w:val="single" w:color="auto" w:sz="4" w:space="0"/>
              <w:left w:val="nil"/>
              <w:bottom w:val="single" w:color="auto" w:sz="4" w:space="0"/>
              <w:right w:val="single" w:color="auto" w:sz="4" w:space="0"/>
            </w:tcBorders>
            <w:vAlign w:val="center"/>
          </w:tcPr>
          <w:p w14:paraId="70707EE2">
            <w:pPr>
              <w:jc w:val="center"/>
              <w:rPr>
                <w:rFonts w:ascii="宋体" w:hAnsi="宋体"/>
              </w:rPr>
            </w:pPr>
          </w:p>
        </w:tc>
        <w:tc>
          <w:tcPr>
            <w:tcW w:w="1662" w:type="dxa"/>
            <w:tcBorders>
              <w:top w:val="single" w:color="auto" w:sz="4" w:space="0"/>
              <w:left w:val="nil"/>
              <w:bottom w:val="single" w:color="auto" w:sz="4" w:space="0"/>
              <w:right w:val="single" w:color="auto" w:sz="4" w:space="0"/>
            </w:tcBorders>
            <w:vAlign w:val="center"/>
          </w:tcPr>
          <w:p w14:paraId="36AB76E3">
            <w:pPr>
              <w:jc w:val="center"/>
              <w:rPr>
                <w:rFonts w:ascii="宋体" w:hAnsi="宋体"/>
              </w:rPr>
            </w:pPr>
            <w:r>
              <w:rPr>
                <w:rFonts w:hint="eastAsia" w:ascii="宋体" w:hAnsi="宋体"/>
              </w:rPr>
              <w:t>注册建造师</w:t>
            </w:r>
          </w:p>
          <w:p w14:paraId="095C24EA">
            <w:pPr>
              <w:jc w:val="center"/>
              <w:rPr>
                <w:rFonts w:ascii="宋体" w:hAnsi="宋体"/>
              </w:rPr>
            </w:pPr>
            <w:r>
              <w:rPr>
                <w:rFonts w:hint="eastAsia" w:ascii="宋体" w:hAnsi="宋体"/>
              </w:rPr>
              <w:t>级别及专业</w:t>
            </w:r>
          </w:p>
        </w:tc>
        <w:tc>
          <w:tcPr>
            <w:tcW w:w="1260" w:type="dxa"/>
            <w:tcBorders>
              <w:top w:val="single" w:color="auto" w:sz="4" w:space="0"/>
              <w:left w:val="nil"/>
              <w:bottom w:val="single" w:color="auto" w:sz="4" w:space="0"/>
              <w:right w:val="single" w:color="auto" w:sz="4" w:space="0"/>
            </w:tcBorders>
            <w:vAlign w:val="center"/>
          </w:tcPr>
          <w:p w14:paraId="15AFA6DC">
            <w:pPr>
              <w:jc w:val="center"/>
              <w:rPr>
                <w:rFonts w:ascii="宋体" w:hAnsi="宋体"/>
              </w:rPr>
            </w:pPr>
          </w:p>
        </w:tc>
        <w:tc>
          <w:tcPr>
            <w:tcW w:w="1060" w:type="dxa"/>
            <w:tcBorders>
              <w:top w:val="single" w:color="auto" w:sz="4" w:space="0"/>
              <w:left w:val="nil"/>
              <w:bottom w:val="single" w:color="auto" w:sz="4" w:space="0"/>
              <w:right w:val="single" w:color="auto" w:sz="4" w:space="0"/>
            </w:tcBorders>
            <w:vAlign w:val="center"/>
          </w:tcPr>
          <w:p w14:paraId="5FCAF5E2">
            <w:pPr>
              <w:jc w:val="center"/>
              <w:rPr>
                <w:rFonts w:ascii="宋体" w:hAnsi="宋体"/>
              </w:rPr>
            </w:pPr>
            <w:r>
              <w:rPr>
                <w:rFonts w:hint="eastAsia" w:ascii="宋体" w:hAnsi="宋体"/>
              </w:rPr>
              <w:t>证书编号</w:t>
            </w:r>
          </w:p>
        </w:tc>
        <w:tc>
          <w:tcPr>
            <w:tcW w:w="1455" w:type="dxa"/>
            <w:tcBorders>
              <w:top w:val="single" w:color="auto" w:sz="4" w:space="0"/>
              <w:left w:val="nil"/>
              <w:bottom w:val="single" w:color="auto" w:sz="4" w:space="0"/>
              <w:right w:val="single" w:color="auto" w:sz="4" w:space="0"/>
            </w:tcBorders>
            <w:vAlign w:val="center"/>
          </w:tcPr>
          <w:p w14:paraId="72ED8FBE">
            <w:pPr>
              <w:jc w:val="center"/>
              <w:rPr>
                <w:rFonts w:ascii="宋体" w:hAnsi="宋体"/>
              </w:rPr>
            </w:pPr>
          </w:p>
        </w:tc>
      </w:tr>
      <w:tr w14:paraId="1C780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14:paraId="0A7A30F6">
            <w:pPr>
              <w:jc w:val="center"/>
              <w:rPr>
                <w:rFonts w:ascii="宋体" w:hAnsi="宋体"/>
              </w:rPr>
            </w:pPr>
            <w:r>
              <w:rPr>
                <w:rFonts w:hint="eastAsia" w:ascii="宋体" w:hAnsi="宋体"/>
              </w:rPr>
              <w:t>磋商有效期</w:t>
            </w:r>
          </w:p>
        </w:tc>
        <w:tc>
          <w:tcPr>
            <w:tcW w:w="6861" w:type="dxa"/>
            <w:gridSpan w:val="5"/>
            <w:tcBorders>
              <w:top w:val="single" w:color="auto" w:sz="4" w:space="0"/>
              <w:left w:val="nil"/>
              <w:bottom w:val="single" w:color="auto" w:sz="4" w:space="0"/>
              <w:right w:val="single" w:color="auto" w:sz="4" w:space="0"/>
            </w:tcBorders>
            <w:vAlign w:val="center"/>
          </w:tcPr>
          <w:p w14:paraId="6FB76586">
            <w:pPr>
              <w:jc w:val="left"/>
              <w:rPr>
                <w:rFonts w:ascii="宋体" w:hAnsi="宋体"/>
              </w:rPr>
            </w:pPr>
            <w:r>
              <w:rPr>
                <w:rFonts w:hint="eastAsia" w:ascii="宋体" w:hAnsi="宋体"/>
                <w:color w:val="auto"/>
                <w:highlight w:val="none"/>
              </w:rPr>
              <w:t>递交</w:t>
            </w:r>
            <w:r>
              <w:rPr>
                <w:rFonts w:hint="eastAsia" w:ascii="宋体" w:hAnsi="宋体"/>
                <w:color w:val="auto"/>
                <w:highlight w:val="none"/>
                <w:lang w:val="en-US" w:eastAsia="zh-CN"/>
              </w:rPr>
              <w:t>响应</w:t>
            </w:r>
            <w:r>
              <w:rPr>
                <w:rFonts w:hint="eastAsia" w:ascii="宋体" w:hAnsi="宋体"/>
                <w:color w:val="auto"/>
                <w:highlight w:val="none"/>
              </w:rPr>
              <w:t>文件截止时间起60日历天</w:t>
            </w:r>
          </w:p>
        </w:tc>
      </w:tr>
      <w:tr w14:paraId="06371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14:paraId="6FF1BE24">
            <w:pPr>
              <w:jc w:val="center"/>
              <w:rPr>
                <w:rFonts w:ascii="宋体" w:hAnsi="宋体"/>
              </w:rPr>
            </w:pPr>
            <w:r>
              <w:rPr>
                <w:rFonts w:hint="eastAsia" w:ascii="宋体" w:hAnsi="宋体"/>
              </w:rPr>
              <w:t>技术标准和要求</w:t>
            </w:r>
          </w:p>
        </w:tc>
        <w:tc>
          <w:tcPr>
            <w:tcW w:w="6861" w:type="dxa"/>
            <w:gridSpan w:val="5"/>
            <w:tcBorders>
              <w:top w:val="single" w:color="auto" w:sz="4" w:space="0"/>
              <w:left w:val="nil"/>
              <w:bottom w:val="single" w:color="auto" w:sz="4" w:space="0"/>
              <w:right w:val="single" w:color="auto" w:sz="4" w:space="0"/>
            </w:tcBorders>
            <w:vAlign w:val="center"/>
          </w:tcPr>
          <w:p w14:paraId="105FBB8C">
            <w:pPr>
              <w:jc w:val="left"/>
              <w:rPr>
                <w:rFonts w:hint="default" w:ascii="宋体" w:hAnsi="宋体" w:eastAsia="宋体"/>
                <w:kern w:val="0"/>
                <w:lang w:val="en-US" w:eastAsia="zh-CN"/>
              </w:rPr>
            </w:pPr>
            <w:r>
              <w:rPr>
                <w:rFonts w:hint="eastAsia" w:ascii="宋体" w:hAnsi="宋体"/>
                <w:kern w:val="0"/>
                <w:lang w:eastAsia="zh-CN"/>
              </w:rPr>
              <w:t>符合竞争性磋商文件“第六章</w:t>
            </w:r>
            <w:r>
              <w:rPr>
                <w:rFonts w:hint="eastAsia" w:ascii="宋体" w:hAnsi="宋体"/>
                <w:kern w:val="0"/>
                <w:lang w:val="en-US" w:eastAsia="zh-CN"/>
              </w:rPr>
              <w:t xml:space="preserve"> 技术标准和要求</w:t>
            </w:r>
            <w:r>
              <w:rPr>
                <w:rFonts w:hint="eastAsia" w:ascii="宋体" w:hAnsi="宋体"/>
                <w:kern w:val="0"/>
                <w:lang w:eastAsia="zh-CN"/>
              </w:rPr>
              <w:t>”</w:t>
            </w:r>
          </w:p>
        </w:tc>
      </w:tr>
      <w:tr w14:paraId="4ABB1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14:paraId="126D380F">
            <w:pPr>
              <w:jc w:val="center"/>
              <w:rPr>
                <w:rFonts w:ascii="宋体" w:hAnsi="宋体"/>
              </w:rPr>
            </w:pPr>
            <w:r>
              <w:rPr>
                <w:rFonts w:hint="eastAsia" w:ascii="宋体" w:hAnsi="宋体"/>
              </w:rPr>
              <w:t>其他承诺</w:t>
            </w:r>
          </w:p>
        </w:tc>
        <w:tc>
          <w:tcPr>
            <w:tcW w:w="6861" w:type="dxa"/>
            <w:gridSpan w:val="5"/>
            <w:tcBorders>
              <w:top w:val="single" w:color="auto" w:sz="4" w:space="0"/>
              <w:left w:val="nil"/>
              <w:bottom w:val="single" w:color="auto" w:sz="4" w:space="0"/>
              <w:right w:val="single" w:color="auto" w:sz="4" w:space="0"/>
            </w:tcBorders>
            <w:vAlign w:val="center"/>
          </w:tcPr>
          <w:p w14:paraId="03922963">
            <w:pPr>
              <w:jc w:val="center"/>
              <w:rPr>
                <w:rFonts w:ascii="宋体" w:hAnsi="宋体"/>
              </w:rPr>
            </w:pPr>
          </w:p>
        </w:tc>
      </w:tr>
      <w:tr w14:paraId="0711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9020" w:type="dxa"/>
            <w:gridSpan w:val="6"/>
            <w:tcBorders>
              <w:top w:val="single" w:color="auto" w:sz="4" w:space="0"/>
              <w:left w:val="single" w:color="auto" w:sz="4" w:space="0"/>
              <w:bottom w:val="single" w:color="auto" w:sz="4" w:space="0"/>
              <w:right w:val="single" w:color="auto" w:sz="4" w:space="0"/>
            </w:tcBorders>
          </w:tcPr>
          <w:p w14:paraId="2E17A79F">
            <w:pPr>
              <w:ind w:firstLine="361"/>
              <w:rPr>
                <w:rFonts w:ascii="宋体" w:hAnsi="宋体"/>
              </w:rPr>
            </w:pPr>
            <w:r>
              <w:rPr>
                <w:rFonts w:hint="eastAsia" w:ascii="宋体" w:hAnsi="宋体"/>
                <w:b/>
              </w:rPr>
              <w:t>备注：供应商在竞争性磋商文件中规定的实质性要求和条件的基础上，可做出其他有利于采购人的承诺。此类承诺可在本表中予以补充填写，可另附页。</w:t>
            </w:r>
          </w:p>
        </w:tc>
      </w:tr>
    </w:tbl>
    <w:p w14:paraId="59B43683">
      <w:pPr>
        <w:spacing w:line="520" w:lineRule="exact"/>
        <w:ind w:firstLine="420" w:firstLineChars="200"/>
        <w:rPr>
          <w:rFonts w:ascii="宋体" w:hAnsi="宋体" w:cs="宋体"/>
        </w:rPr>
      </w:pPr>
      <w:bookmarkStart w:id="1189" w:name="_Toc152045791"/>
      <w:bookmarkEnd w:id="1189"/>
      <w:bookmarkStart w:id="1190" w:name="_Toc287367268"/>
      <w:bookmarkEnd w:id="1190"/>
      <w:bookmarkStart w:id="1191" w:name="_Toc152042580"/>
      <w:bookmarkEnd w:id="1191"/>
      <w:bookmarkStart w:id="1192" w:name="_Toc144974860"/>
      <w:bookmarkEnd w:id="1192"/>
    </w:p>
    <w:p w14:paraId="759B1400">
      <w:pPr>
        <w:spacing w:line="520" w:lineRule="exact"/>
        <w:ind w:firstLine="420" w:firstLineChars="200"/>
        <w:rPr>
          <w:rFonts w:ascii="宋体" w:hAnsi="宋体" w:cs="宋体"/>
        </w:rPr>
      </w:pPr>
      <w:r>
        <w:rPr>
          <w:rFonts w:hint="eastAsia" w:ascii="宋体" w:hAnsi="宋体" w:cs="宋体"/>
        </w:rPr>
        <w:t>供应商名称：</w:t>
      </w:r>
      <w:r>
        <w:rPr>
          <w:rFonts w:hint="eastAsia" w:ascii="宋体" w:hAnsi="宋体" w:cs="宋体"/>
          <w:u w:val="single"/>
        </w:rPr>
        <w:t xml:space="preserve">                        </w:t>
      </w:r>
      <w:r>
        <w:rPr>
          <w:rFonts w:hint="eastAsia" w:ascii="宋体" w:hAnsi="宋体" w:cs="宋体"/>
        </w:rPr>
        <w:t>（单位电子印章）</w:t>
      </w:r>
    </w:p>
    <w:p w14:paraId="7C0DEA1B">
      <w:pPr>
        <w:spacing w:line="520" w:lineRule="exact"/>
        <w:ind w:firstLine="420" w:firstLineChars="200"/>
        <w:rPr>
          <w:rFonts w:ascii="宋体" w:hAnsi="宋体" w:cs="宋体"/>
        </w:rPr>
      </w:pPr>
      <w:r>
        <w:rPr>
          <w:rFonts w:hint="eastAsia" w:ascii="宋体" w:hAnsi="宋体" w:cs="宋体"/>
        </w:rPr>
        <w:t>法定代表人或其委托代理人：</w:t>
      </w:r>
      <w:r>
        <w:rPr>
          <w:rFonts w:hint="eastAsia" w:ascii="宋体" w:hAnsi="宋体" w:cs="宋体"/>
          <w:u w:val="single"/>
        </w:rPr>
        <w:t xml:space="preserve">          </w:t>
      </w:r>
      <w:r>
        <w:rPr>
          <w:rFonts w:hint="eastAsia" w:ascii="宋体" w:hAnsi="宋体" w:cs="宋体"/>
        </w:rPr>
        <w:t>（电子签章或签字）</w:t>
      </w:r>
    </w:p>
    <w:p w14:paraId="5166C76A">
      <w:pPr>
        <w:spacing w:line="360" w:lineRule="auto"/>
        <w:ind w:firstLine="420" w:firstLineChars="200"/>
        <w:rPr>
          <w:rFonts w:eastAsiaTheme="minorEastAsia"/>
          <w:b/>
        </w:rPr>
      </w:pPr>
      <w:r>
        <w:rPr>
          <w:rFonts w:hint="eastAsia" w:ascii="宋体" w:hAnsi="宋体" w:cs="宋体"/>
        </w:rPr>
        <w:t>日      期：   年  月   日</w:t>
      </w:r>
    </w:p>
    <w:p w14:paraId="2A73CD96">
      <w:pPr>
        <w:ind w:firstLine="4080" w:firstLineChars="1700"/>
        <w:rPr>
          <w:rFonts w:ascii="宋体" w:hAnsi="宋体"/>
          <w:sz w:val="24"/>
          <w:szCs w:val="24"/>
        </w:rPr>
      </w:pPr>
    </w:p>
    <w:p w14:paraId="787AB458">
      <w:pPr>
        <w:pStyle w:val="58"/>
        <w:ind w:firstLine="422"/>
        <w:jc w:val="center"/>
        <w:rPr>
          <w:rFonts w:ascii="宋体" w:hAnsi="宋体" w:eastAsia="宋体"/>
          <w:b/>
          <w:sz w:val="24"/>
          <w:szCs w:val="24"/>
        </w:rPr>
      </w:pPr>
      <w:bookmarkStart w:id="1193" w:name="_Toc509667325"/>
      <w:bookmarkEnd w:id="1193"/>
      <w:bookmarkStart w:id="1194" w:name="_Toc466298161"/>
      <w:r>
        <w:rPr>
          <w:rFonts w:hint="eastAsia" w:ascii="宋体" w:hAnsi="宋体" w:eastAsia="宋体"/>
          <w:b/>
        </w:rPr>
        <w:br w:type="page"/>
      </w:r>
      <w:bookmarkEnd w:id="1194"/>
      <w:bookmarkStart w:id="1195" w:name="_Toc31815"/>
      <w:bookmarkEnd w:id="1195"/>
      <w:bookmarkStart w:id="1196" w:name="_Toc129073529"/>
      <w:bookmarkStart w:id="1197" w:name="_Toc31636"/>
      <w:bookmarkStart w:id="1198" w:name="_Toc29046"/>
      <w:bookmarkStart w:id="1199" w:name="_Toc19796"/>
      <w:bookmarkStart w:id="1200" w:name="_Toc4921"/>
      <w:bookmarkStart w:id="1201" w:name="_Toc434"/>
      <w:r>
        <w:rPr>
          <w:rFonts w:hint="eastAsia" w:ascii="宋体" w:hAnsi="宋体" w:eastAsia="宋体"/>
          <w:b/>
        </w:rPr>
        <w:t>二、法定代表身份证明</w:t>
      </w:r>
      <w:bookmarkEnd w:id="1196"/>
      <w:bookmarkEnd w:id="1197"/>
      <w:bookmarkEnd w:id="1198"/>
      <w:bookmarkEnd w:id="1199"/>
      <w:bookmarkEnd w:id="1200"/>
      <w:bookmarkEnd w:id="1201"/>
    </w:p>
    <w:p w14:paraId="390DE21F">
      <w:pPr>
        <w:spacing w:line="440" w:lineRule="exact"/>
        <w:jc w:val="center"/>
        <w:rPr>
          <w:rFonts w:ascii="宋体" w:hAnsi="宋体"/>
        </w:rPr>
      </w:pPr>
    </w:p>
    <w:p w14:paraId="4B14C046">
      <w:pPr>
        <w:spacing w:line="440" w:lineRule="exact"/>
        <w:rPr>
          <w:rFonts w:ascii="宋体" w:hAnsi="宋体"/>
          <w:u w:val="single"/>
        </w:rPr>
      </w:pPr>
      <w:r>
        <w:rPr>
          <w:rFonts w:hint="eastAsia" w:ascii="宋体" w:hAnsi="宋体"/>
        </w:rPr>
        <w:t>供应商名称：</w:t>
      </w:r>
      <w:r>
        <w:rPr>
          <w:rFonts w:hint="eastAsia" w:ascii="宋体" w:hAnsi="宋体"/>
          <w:u w:val="single"/>
        </w:rPr>
        <w:t xml:space="preserve">                        </w:t>
      </w:r>
    </w:p>
    <w:p w14:paraId="60F48DDA">
      <w:pPr>
        <w:spacing w:line="440" w:lineRule="exact"/>
        <w:rPr>
          <w:rFonts w:ascii="宋体" w:hAnsi="宋体"/>
          <w:u w:val="single"/>
        </w:rPr>
      </w:pPr>
      <w:r>
        <w:rPr>
          <w:rFonts w:hint="eastAsia" w:ascii="宋体" w:hAnsi="宋体"/>
        </w:rPr>
        <w:t>单位性质：</w:t>
      </w:r>
      <w:r>
        <w:rPr>
          <w:rFonts w:hint="eastAsia" w:ascii="宋体" w:hAnsi="宋体"/>
          <w:u w:val="single"/>
        </w:rPr>
        <w:t xml:space="preserve">                          </w:t>
      </w:r>
    </w:p>
    <w:p w14:paraId="30ADE50F">
      <w:pPr>
        <w:spacing w:line="440" w:lineRule="exact"/>
        <w:rPr>
          <w:rFonts w:ascii="宋体" w:hAnsi="宋体"/>
          <w:u w:val="single"/>
        </w:rPr>
      </w:pPr>
      <w:r>
        <w:rPr>
          <w:rFonts w:hint="eastAsia" w:ascii="宋体" w:hAnsi="宋体"/>
        </w:rPr>
        <w:t>地址：</w:t>
      </w:r>
      <w:r>
        <w:rPr>
          <w:rFonts w:hint="eastAsia" w:ascii="宋体" w:hAnsi="宋体"/>
          <w:u w:val="single"/>
        </w:rPr>
        <w:t xml:space="preserve">                              </w:t>
      </w:r>
    </w:p>
    <w:p w14:paraId="687B763E">
      <w:pPr>
        <w:spacing w:line="440" w:lineRule="exact"/>
        <w:rPr>
          <w:rFonts w:ascii="宋体" w:hAnsi="宋体"/>
        </w:rPr>
      </w:pPr>
      <w:r>
        <w:rPr>
          <w:rFonts w:hint="eastAsia" w:ascii="宋体" w:hAnsi="宋体"/>
        </w:rPr>
        <w:t>成立时间：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70B8B1AC">
      <w:pPr>
        <w:spacing w:line="440" w:lineRule="exact"/>
        <w:rPr>
          <w:rFonts w:ascii="宋体" w:hAnsi="宋体"/>
          <w:u w:val="single"/>
        </w:rPr>
      </w:pPr>
      <w:r>
        <w:rPr>
          <w:rFonts w:hint="eastAsia" w:ascii="宋体" w:hAnsi="宋体"/>
        </w:rPr>
        <w:t>经营期限：</w:t>
      </w:r>
      <w:r>
        <w:rPr>
          <w:rFonts w:hint="eastAsia" w:ascii="宋体" w:hAnsi="宋体"/>
          <w:u w:val="single"/>
        </w:rPr>
        <w:t xml:space="preserve">                              </w:t>
      </w:r>
    </w:p>
    <w:p w14:paraId="0517416F">
      <w:pPr>
        <w:spacing w:line="440" w:lineRule="exact"/>
        <w:rPr>
          <w:rFonts w:ascii="宋体" w:hAnsi="宋体"/>
          <w:u w:val="single"/>
        </w:rPr>
      </w:pPr>
      <w:r>
        <w:rPr>
          <w:rFonts w:hint="eastAsia" w:ascii="宋体" w:hAnsi="宋体"/>
        </w:rPr>
        <w:t>姓名：</w:t>
      </w:r>
      <w:r>
        <w:rPr>
          <w:rFonts w:hint="eastAsia" w:ascii="宋体" w:hAnsi="宋体"/>
          <w:u w:val="single"/>
        </w:rPr>
        <w:t xml:space="preserve">      </w:t>
      </w:r>
      <w:r>
        <w:rPr>
          <w:rFonts w:hint="eastAsia" w:ascii="宋体" w:hAnsi="宋体"/>
        </w:rPr>
        <w:t xml:space="preserve">  性别：</w:t>
      </w:r>
      <w:r>
        <w:rPr>
          <w:rFonts w:hint="eastAsia" w:ascii="宋体" w:hAnsi="宋体"/>
          <w:u w:val="single"/>
        </w:rPr>
        <w:t xml:space="preserve">      </w:t>
      </w:r>
      <w:r>
        <w:rPr>
          <w:rFonts w:hint="eastAsia" w:ascii="宋体" w:hAnsi="宋体"/>
        </w:rPr>
        <w:t xml:space="preserve">  年龄：</w:t>
      </w:r>
      <w:r>
        <w:rPr>
          <w:rFonts w:hint="eastAsia" w:ascii="宋体" w:hAnsi="宋体"/>
          <w:u w:val="single"/>
        </w:rPr>
        <w:t xml:space="preserve">     </w:t>
      </w:r>
      <w:r>
        <w:rPr>
          <w:rFonts w:hint="eastAsia" w:ascii="宋体" w:hAnsi="宋体"/>
        </w:rPr>
        <w:t xml:space="preserve">    职务：</w:t>
      </w:r>
      <w:r>
        <w:rPr>
          <w:rFonts w:hint="eastAsia" w:ascii="宋体" w:hAnsi="宋体"/>
          <w:u w:val="single"/>
        </w:rPr>
        <w:t xml:space="preserve">     </w:t>
      </w:r>
    </w:p>
    <w:p w14:paraId="30FB16E4">
      <w:pPr>
        <w:spacing w:line="440" w:lineRule="exact"/>
        <w:rPr>
          <w:rFonts w:ascii="宋体" w:hAnsi="宋体"/>
        </w:rPr>
      </w:pPr>
      <w:r>
        <w:rPr>
          <w:rFonts w:hint="eastAsia" w:ascii="宋体" w:hAnsi="宋体"/>
        </w:rPr>
        <w:t>系</w:t>
      </w:r>
      <w:r>
        <w:rPr>
          <w:rFonts w:hint="eastAsia" w:ascii="宋体" w:hAnsi="宋体"/>
          <w:u w:val="single"/>
        </w:rPr>
        <w:t xml:space="preserve"> （供应商名称）  </w:t>
      </w:r>
      <w:r>
        <w:rPr>
          <w:rFonts w:hint="eastAsia" w:ascii="宋体" w:hAnsi="宋体"/>
        </w:rPr>
        <w:t>的法定代表人。</w:t>
      </w:r>
    </w:p>
    <w:p w14:paraId="28D4CD83">
      <w:pPr>
        <w:spacing w:line="440" w:lineRule="exact"/>
        <w:ind w:firstLine="420" w:firstLineChars="200"/>
        <w:rPr>
          <w:rFonts w:ascii="宋体" w:hAnsi="宋体"/>
        </w:rPr>
      </w:pPr>
      <w:r>
        <w:rPr>
          <w:rFonts w:hint="eastAsia" w:ascii="宋体" w:hAnsi="宋体"/>
        </w:rPr>
        <w:t>特此证明。</w:t>
      </w:r>
    </w:p>
    <w:p w14:paraId="7AD3E4F4">
      <w:pPr>
        <w:spacing w:line="440" w:lineRule="exact"/>
        <w:rPr>
          <w:rFonts w:ascii="宋体" w:hAnsi="宋体"/>
        </w:rPr>
      </w:pPr>
    </w:p>
    <w:p w14:paraId="7568F696">
      <w:pPr>
        <w:spacing w:line="440" w:lineRule="exact"/>
        <w:rPr>
          <w:rFonts w:ascii="宋体" w:hAnsi="宋体"/>
        </w:rPr>
      </w:pPr>
    </w:p>
    <w:p w14:paraId="72147521">
      <w:pPr>
        <w:spacing w:line="440" w:lineRule="exact"/>
        <w:ind w:firstLine="4620" w:firstLineChars="2200"/>
        <w:jc w:val="left"/>
        <w:rPr>
          <w:rFonts w:ascii="宋体" w:hAnsi="宋体"/>
        </w:rPr>
      </w:pPr>
      <w:r>
        <w:rPr>
          <w:rFonts w:hint="eastAsia" w:ascii="宋体" w:hAnsi="宋体"/>
        </w:rPr>
        <w:t>供应商名称（</w:t>
      </w:r>
      <w:r>
        <w:rPr>
          <w:rFonts w:hint="eastAsia" w:ascii="宋体" w:hAnsi="宋体" w:cs="宋体"/>
        </w:rPr>
        <w:t>单位电子印章</w:t>
      </w:r>
      <w:r>
        <w:rPr>
          <w:rFonts w:hint="eastAsia" w:ascii="宋体" w:hAnsi="宋体"/>
        </w:rPr>
        <w:t>）：</w:t>
      </w:r>
    </w:p>
    <w:p w14:paraId="50BBBD8F">
      <w:pPr>
        <w:spacing w:line="440" w:lineRule="exact"/>
        <w:ind w:firstLine="4620" w:firstLineChars="2200"/>
        <w:rPr>
          <w:rFonts w:ascii="宋体" w:hAnsi="宋体"/>
        </w:rPr>
      </w:pPr>
      <w:r>
        <w:rPr>
          <w:rFonts w:hint="eastAsia"/>
        </w:rPr>
        <w:t xml:space="preserve">日期：   </w:t>
      </w:r>
      <w:r>
        <w:rPr>
          <w:rFonts w:hint="eastAsia" w:ascii="宋体" w:hAnsi="宋体"/>
        </w:rPr>
        <w:t xml:space="preserve">年  月   日 </w:t>
      </w:r>
    </w:p>
    <w:p w14:paraId="0D8A2BC3">
      <w:pPr>
        <w:spacing w:line="440" w:lineRule="exact"/>
        <w:rPr>
          <w:rFonts w:ascii="宋体" w:hAnsi="宋体"/>
        </w:rPr>
      </w:pPr>
    </w:p>
    <w:p w14:paraId="3CA239DD">
      <w:pPr>
        <w:spacing w:line="440" w:lineRule="exact"/>
        <w:rPr>
          <w:rFonts w:ascii="宋体" w:hAnsi="宋体"/>
        </w:r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14:paraId="4A71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3" w:hRule="atLeast"/>
          <w:jc w:val="center"/>
        </w:trPr>
        <w:tc>
          <w:tcPr>
            <w:tcW w:w="8540" w:type="dxa"/>
            <w:tcBorders>
              <w:top w:val="single" w:color="auto" w:sz="4" w:space="0"/>
              <w:left w:val="single" w:color="auto" w:sz="4" w:space="0"/>
              <w:bottom w:val="single" w:color="auto" w:sz="4" w:space="0"/>
              <w:right w:val="single" w:color="auto" w:sz="4" w:space="0"/>
            </w:tcBorders>
            <w:vAlign w:val="center"/>
          </w:tcPr>
          <w:p w14:paraId="7A6B1025">
            <w:pPr>
              <w:spacing w:line="440" w:lineRule="exact"/>
              <w:jc w:val="center"/>
              <w:rPr>
                <w:rFonts w:ascii="宋体" w:hAnsi="宋体"/>
              </w:rPr>
            </w:pPr>
            <w:r>
              <w:rPr>
                <w:rFonts w:hint="eastAsia" w:ascii="宋体" w:hAnsi="宋体"/>
              </w:rPr>
              <w:t>法定代表人身份证原件扫描件</w:t>
            </w:r>
          </w:p>
          <w:p w14:paraId="18DF2B7C">
            <w:pPr>
              <w:spacing w:line="440" w:lineRule="exact"/>
              <w:jc w:val="center"/>
              <w:rPr>
                <w:rFonts w:ascii="宋体" w:hAnsi="宋体"/>
              </w:rPr>
            </w:pPr>
          </w:p>
        </w:tc>
      </w:tr>
    </w:tbl>
    <w:p w14:paraId="2F72F1FF">
      <w:pPr>
        <w:spacing w:line="440" w:lineRule="exact"/>
        <w:rPr>
          <w:rFonts w:ascii="宋体" w:hAnsi="宋体"/>
        </w:rPr>
      </w:pPr>
    </w:p>
    <w:p w14:paraId="71AD8D88">
      <w:pPr>
        <w:spacing w:line="440" w:lineRule="exact"/>
        <w:rPr>
          <w:rFonts w:ascii="宋体" w:hAnsi="宋体"/>
        </w:rPr>
      </w:pPr>
    </w:p>
    <w:p w14:paraId="0C560B35">
      <w:pPr>
        <w:spacing w:line="440" w:lineRule="exact"/>
        <w:rPr>
          <w:rFonts w:ascii="宋体" w:hAnsi="宋体"/>
        </w:rPr>
      </w:pPr>
    </w:p>
    <w:p w14:paraId="454FC4A7">
      <w:pPr>
        <w:spacing w:line="440" w:lineRule="exact"/>
        <w:ind w:firstLine="300"/>
        <w:rPr>
          <w:rFonts w:ascii="宋体" w:hAnsi="宋体"/>
          <w:sz w:val="20"/>
          <w:szCs w:val="20"/>
        </w:rPr>
      </w:pPr>
    </w:p>
    <w:p w14:paraId="2F7A30B0">
      <w:pPr>
        <w:spacing w:line="440" w:lineRule="exact"/>
        <w:ind w:firstLine="300"/>
        <w:rPr>
          <w:rFonts w:ascii="宋体" w:hAnsi="宋体"/>
          <w:sz w:val="20"/>
          <w:szCs w:val="20"/>
        </w:rPr>
      </w:pPr>
    </w:p>
    <w:p w14:paraId="76DF72A1">
      <w:pPr>
        <w:ind w:firstLine="300"/>
        <w:rPr>
          <w:rFonts w:ascii="宋体" w:hAnsi="宋体"/>
          <w:sz w:val="20"/>
          <w:szCs w:val="20"/>
        </w:rPr>
      </w:pPr>
      <w:r>
        <w:rPr>
          <w:rFonts w:ascii="宋体" w:hAnsi="宋体"/>
          <w:sz w:val="20"/>
          <w:szCs w:val="20"/>
        </w:rPr>
        <w:br w:type="page"/>
      </w:r>
    </w:p>
    <w:p w14:paraId="008DCA80">
      <w:pPr>
        <w:pStyle w:val="3"/>
        <w:ind w:firstLine="422"/>
        <w:jc w:val="center"/>
        <w:rPr>
          <w:rFonts w:ascii="宋体" w:hAnsi="宋体" w:eastAsia="宋体"/>
          <w:sz w:val="28"/>
          <w:szCs w:val="28"/>
        </w:rPr>
      </w:pPr>
      <w:bookmarkStart w:id="1202" w:name="_Toc24861"/>
      <w:bookmarkEnd w:id="1202"/>
      <w:bookmarkStart w:id="1203" w:name="_Toc202941490"/>
      <w:bookmarkEnd w:id="1203"/>
      <w:bookmarkStart w:id="1204" w:name="_Toc441791190"/>
      <w:bookmarkEnd w:id="1204"/>
      <w:bookmarkStart w:id="1205" w:name="_Toc466298162"/>
      <w:bookmarkEnd w:id="1205"/>
      <w:bookmarkStart w:id="1206" w:name="_Toc318989765"/>
      <w:bookmarkEnd w:id="1206"/>
      <w:bookmarkStart w:id="1207" w:name="_Toc129073530"/>
      <w:bookmarkStart w:id="1208" w:name="_Toc25295"/>
      <w:bookmarkStart w:id="1209" w:name="_Toc30961"/>
      <w:bookmarkStart w:id="1210" w:name="_Toc509667326"/>
      <w:bookmarkStart w:id="1211" w:name="_Toc12044"/>
      <w:bookmarkStart w:id="1212" w:name="_Toc2985"/>
      <w:bookmarkStart w:id="1213" w:name="_Toc15332"/>
      <w:r>
        <w:rPr>
          <w:rFonts w:hint="eastAsia" w:ascii="宋体" w:hAnsi="宋体" w:eastAsia="宋体"/>
          <w:sz w:val="28"/>
          <w:szCs w:val="28"/>
        </w:rPr>
        <w:t>三、授权委托书</w:t>
      </w:r>
      <w:bookmarkEnd w:id="1207"/>
      <w:bookmarkEnd w:id="1208"/>
      <w:bookmarkEnd w:id="1209"/>
      <w:bookmarkEnd w:id="1210"/>
      <w:bookmarkEnd w:id="1211"/>
      <w:bookmarkEnd w:id="1212"/>
      <w:bookmarkEnd w:id="1213"/>
    </w:p>
    <w:p w14:paraId="095C5D08">
      <w:pPr>
        <w:topLinePunct/>
        <w:spacing w:line="440" w:lineRule="exact"/>
        <w:ind w:firstLine="420" w:firstLineChars="200"/>
        <w:rPr>
          <w:rFonts w:ascii="宋体" w:hAnsi="宋体"/>
        </w:rPr>
      </w:pPr>
      <w:r>
        <w:rPr>
          <w:rFonts w:hint="eastAsia" w:ascii="宋体" w:hAnsi="宋体"/>
        </w:rPr>
        <w:t>本人</w:t>
      </w:r>
      <w:r>
        <w:rPr>
          <w:rFonts w:hint="eastAsia" w:ascii="宋体" w:hAnsi="宋体"/>
          <w:u w:val="single"/>
        </w:rPr>
        <w:t>（姓名）</w:t>
      </w:r>
      <w:r>
        <w:rPr>
          <w:rFonts w:hint="eastAsia" w:ascii="宋体" w:hAnsi="宋体"/>
        </w:rPr>
        <w:t>系</w:t>
      </w:r>
      <w:r>
        <w:rPr>
          <w:rFonts w:hint="eastAsia" w:ascii="宋体" w:hAnsi="宋体"/>
          <w:u w:val="single"/>
        </w:rPr>
        <w:t>（供应商名称）</w:t>
      </w:r>
      <w:r>
        <w:rPr>
          <w:rFonts w:hint="eastAsia" w:ascii="宋体" w:hAnsi="宋体"/>
        </w:rPr>
        <w:t>的法定代表人，现委托</w:t>
      </w:r>
      <w:r>
        <w:rPr>
          <w:rFonts w:hint="eastAsia" w:ascii="宋体" w:hAnsi="宋体"/>
          <w:u w:val="single"/>
        </w:rPr>
        <w:t>（姓名）</w:t>
      </w:r>
      <w:r>
        <w:rPr>
          <w:rFonts w:hint="eastAsia" w:ascii="宋体" w:hAnsi="宋体"/>
        </w:rPr>
        <w:t>为我方代理人。代理人根据授权，以我方名义签署、澄清、说明、补正、递交、撤回、修改</w:t>
      </w:r>
      <w:r>
        <w:rPr>
          <w:rFonts w:hint="eastAsia" w:ascii="宋体" w:hAnsi="宋体"/>
          <w:u w:val="single"/>
          <w:lang w:eastAsia="zh-CN"/>
        </w:rPr>
        <w:t>河南省科学院激光制造研究所中原量子谷大型仪器共享平台基础设施建设项目</w:t>
      </w:r>
      <w:r>
        <w:rPr>
          <w:rFonts w:hint="eastAsia" w:ascii="宋体" w:hAnsi="宋体"/>
        </w:rPr>
        <w:t>响应文件、签订合同和处理有关事宜，其法律后果由我方承担。</w:t>
      </w:r>
    </w:p>
    <w:p w14:paraId="04E194D1">
      <w:pPr>
        <w:spacing w:line="440" w:lineRule="exact"/>
        <w:rPr>
          <w:rFonts w:ascii="宋体" w:hAnsi="宋体"/>
        </w:rPr>
      </w:pPr>
      <w:r>
        <w:rPr>
          <w:rFonts w:hint="eastAsia" w:ascii="宋体" w:hAnsi="宋体"/>
        </w:rPr>
        <w:t xml:space="preserve">    委托期限： </w:t>
      </w:r>
      <w:r>
        <w:rPr>
          <w:rFonts w:hint="eastAsia" w:ascii="宋体" w:hAnsi="宋体"/>
          <w:u w:val="single"/>
        </w:rPr>
        <w:t xml:space="preserve">                 </w:t>
      </w:r>
      <w:r>
        <w:rPr>
          <w:rFonts w:hint="eastAsia" w:ascii="宋体" w:hAnsi="宋体"/>
        </w:rPr>
        <w:t>。</w:t>
      </w:r>
    </w:p>
    <w:p w14:paraId="42A530D5">
      <w:pPr>
        <w:spacing w:line="440" w:lineRule="exact"/>
        <w:ind w:firstLine="420" w:firstLineChars="200"/>
        <w:rPr>
          <w:rFonts w:ascii="宋体" w:hAnsi="宋体"/>
        </w:rPr>
      </w:pPr>
      <w:r>
        <w:rPr>
          <w:rFonts w:hint="eastAsia" w:ascii="宋体" w:hAnsi="宋体"/>
        </w:rPr>
        <w:t>代理人无转委托权。</w:t>
      </w:r>
    </w:p>
    <w:p w14:paraId="75B06233">
      <w:pPr>
        <w:spacing w:line="440" w:lineRule="exact"/>
        <w:ind w:firstLine="420" w:firstLineChars="200"/>
        <w:rPr>
          <w:rFonts w:ascii="宋体" w:hAnsi="宋体"/>
        </w:rPr>
      </w:pPr>
      <w:r>
        <w:rPr>
          <w:rFonts w:hint="eastAsia" w:ascii="宋体" w:hAnsi="宋体"/>
        </w:rPr>
        <w:t>附：法定代表人身份证及委托代理人身份证原件扫描件</w:t>
      </w:r>
    </w:p>
    <w:p w14:paraId="0758FACA">
      <w:pPr>
        <w:spacing w:line="440" w:lineRule="exact"/>
        <w:rPr>
          <w:rFonts w:ascii="宋体" w:hAnsi="宋体"/>
        </w:rPr>
      </w:pPr>
    </w:p>
    <w:p w14:paraId="49867CA3">
      <w:pPr>
        <w:spacing w:line="440" w:lineRule="exact"/>
        <w:rPr>
          <w:rFonts w:ascii="宋体" w:hAnsi="宋体"/>
        </w:rPr>
      </w:pPr>
    </w:p>
    <w:p w14:paraId="18609659">
      <w:pPr>
        <w:spacing w:line="440" w:lineRule="exact"/>
        <w:rPr>
          <w:rFonts w:ascii="宋体" w:hAnsi="宋体"/>
        </w:rPr>
      </w:pPr>
    </w:p>
    <w:p w14:paraId="75DC6DB8">
      <w:pPr>
        <w:spacing w:line="440" w:lineRule="exact"/>
        <w:ind w:firstLine="367" w:firstLineChars="175"/>
        <w:jc w:val="left"/>
        <w:rPr>
          <w:rFonts w:ascii="宋体" w:hAnsi="宋体"/>
        </w:rPr>
      </w:pPr>
      <w:r>
        <w:rPr>
          <w:rFonts w:hint="eastAsia" w:ascii="宋体" w:hAnsi="宋体"/>
        </w:rPr>
        <w:t>供应商名称：</w:t>
      </w:r>
      <w:r>
        <w:rPr>
          <w:rFonts w:hint="eastAsia" w:ascii="宋体" w:hAnsi="宋体"/>
          <w:u w:val="single"/>
        </w:rPr>
        <w:t xml:space="preserve">          </w:t>
      </w:r>
      <w:r>
        <w:rPr>
          <w:rFonts w:hint="eastAsia" w:ascii="宋体" w:hAnsi="宋体"/>
        </w:rPr>
        <w:t>（</w:t>
      </w:r>
      <w:r>
        <w:rPr>
          <w:rFonts w:hint="eastAsia" w:ascii="宋体" w:hAnsi="宋体" w:cs="宋体"/>
        </w:rPr>
        <w:t>单位电子印章</w:t>
      </w:r>
      <w:r>
        <w:rPr>
          <w:rFonts w:hint="eastAsia" w:ascii="宋体" w:hAnsi="宋体"/>
        </w:rPr>
        <w:t>）</w:t>
      </w:r>
    </w:p>
    <w:p w14:paraId="0E7861FD">
      <w:pPr>
        <w:spacing w:line="440" w:lineRule="exact"/>
        <w:ind w:firstLine="367" w:firstLineChars="175"/>
        <w:jc w:val="left"/>
        <w:rPr>
          <w:rFonts w:ascii="宋体" w:hAnsi="宋体"/>
        </w:rPr>
      </w:pPr>
      <w:r>
        <w:rPr>
          <w:rFonts w:hint="eastAsia" w:ascii="宋体" w:hAnsi="宋体"/>
        </w:rPr>
        <w:t>法定代表人：</w:t>
      </w:r>
      <w:r>
        <w:rPr>
          <w:rFonts w:hint="eastAsia" w:ascii="宋体" w:hAnsi="宋体"/>
          <w:u w:val="single"/>
        </w:rPr>
        <w:t xml:space="preserve">          </w:t>
      </w:r>
      <w:r>
        <w:rPr>
          <w:rFonts w:hint="eastAsia" w:ascii="宋体" w:hAnsi="宋体"/>
        </w:rPr>
        <w:t>（</w:t>
      </w:r>
      <w:r>
        <w:rPr>
          <w:rFonts w:hint="eastAsia" w:ascii="宋体" w:hAnsi="宋体" w:cs="宋体"/>
        </w:rPr>
        <w:t>电子签章</w:t>
      </w:r>
      <w:r>
        <w:rPr>
          <w:rFonts w:hint="eastAsia" w:ascii="宋体" w:hAnsi="宋体"/>
        </w:rPr>
        <w:t>）</w:t>
      </w:r>
    </w:p>
    <w:p w14:paraId="643ED192">
      <w:pPr>
        <w:spacing w:line="440" w:lineRule="exact"/>
        <w:ind w:firstLine="367" w:firstLineChars="175"/>
        <w:jc w:val="left"/>
        <w:rPr>
          <w:rFonts w:ascii="宋体" w:hAnsi="宋体"/>
          <w:u w:val="single"/>
        </w:rPr>
      </w:pPr>
      <w:r>
        <w:rPr>
          <w:rFonts w:hint="eastAsia" w:ascii="宋体" w:hAnsi="宋体"/>
        </w:rPr>
        <w:t>身份证号码：</w:t>
      </w:r>
      <w:r>
        <w:rPr>
          <w:rFonts w:hint="eastAsia" w:ascii="宋体" w:hAnsi="宋体"/>
          <w:u w:val="single"/>
        </w:rPr>
        <w:t xml:space="preserve">           </w:t>
      </w:r>
    </w:p>
    <w:p w14:paraId="7C2A76B9">
      <w:pPr>
        <w:spacing w:line="440" w:lineRule="exact"/>
        <w:ind w:firstLine="367" w:firstLineChars="175"/>
        <w:jc w:val="left"/>
        <w:rPr>
          <w:rFonts w:ascii="宋体" w:hAnsi="宋体"/>
        </w:rPr>
      </w:pPr>
      <w:r>
        <w:rPr>
          <w:rFonts w:hint="eastAsia" w:ascii="宋体" w:hAnsi="宋体"/>
        </w:rPr>
        <w:t>委托代理人：</w:t>
      </w:r>
      <w:r>
        <w:rPr>
          <w:rFonts w:hint="eastAsia" w:ascii="宋体" w:hAnsi="宋体"/>
          <w:u w:val="single"/>
        </w:rPr>
        <w:t xml:space="preserve">           </w:t>
      </w:r>
      <w:r>
        <w:rPr>
          <w:rFonts w:hint="eastAsia" w:ascii="宋体" w:hAnsi="宋体"/>
        </w:rPr>
        <w:t>（签字）</w:t>
      </w:r>
    </w:p>
    <w:p w14:paraId="17B6E33B">
      <w:pPr>
        <w:spacing w:line="440" w:lineRule="exact"/>
        <w:ind w:firstLine="367" w:firstLineChars="175"/>
        <w:jc w:val="left"/>
        <w:rPr>
          <w:rFonts w:ascii="宋体" w:hAnsi="宋体"/>
          <w:u w:val="single"/>
        </w:rPr>
      </w:pPr>
      <w:r>
        <w:rPr>
          <w:rFonts w:hint="eastAsia" w:ascii="宋体" w:hAnsi="宋体"/>
        </w:rPr>
        <w:t>身份证号码：</w:t>
      </w:r>
      <w:r>
        <w:rPr>
          <w:rFonts w:hint="eastAsia" w:ascii="宋体" w:hAnsi="宋体"/>
          <w:u w:val="single"/>
        </w:rPr>
        <w:t xml:space="preserve">           </w:t>
      </w:r>
    </w:p>
    <w:p w14:paraId="74B77E01">
      <w:pPr>
        <w:spacing w:line="440" w:lineRule="exact"/>
        <w:ind w:firstLine="367" w:firstLineChars="175"/>
        <w:jc w:val="left"/>
        <w:rPr>
          <w:rFonts w:ascii="宋体" w:hAnsi="宋体"/>
          <w:u w:val="single"/>
        </w:rPr>
      </w:pPr>
      <w:r>
        <w:rPr>
          <w:rFonts w:hint="eastAsia" w:ascii="宋体" w:hAnsi="宋体"/>
        </w:rPr>
        <w:t>联系电话：</w:t>
      </w:r>
      <w:r>
        <w:rPr>
          <w:rFonts w:hint="eastAsia" w:ascii="宋体" w:hAnsi="宋体"/>
          <w:u w:val="single"/>
        </w:rPr>
        <w:t xml:space="preserve">             </w:t>
      </w:r>
    </w:p>
    <w:p w14:paraId="2D979326">
      <w:pPr>
        <w:spacing w:line="440" w:lineRule="exact"/>
        <w:ind w:firstLine="367" w:firstLineChars="175"/>
        <w:rPr>
          <w:rFonts w:ascii="宋体" w:hAnsi="宋体"/>
        </w:rPr>
      </w:pPr>
      <w:r>
        <w:rPr>
          <w:rFonts w:hint="eastAsia" w:ascii="宋体" w:hAnsi="宋体"/>
        </w:rPr>
        <w:t>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0A2B04E4">
      <w:pPr>
        <w:spacing w:line="440" w:lineRule="exact"/>
        <w:rPr>
          <w:rFonts w:ascii="宋体" w:hAnsi="宋体"/>
        </w:r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0"/>
      </w:tblGrid>
      <w:tr w14:paraId="33BF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jc w:val="center"/>
        </w:trPr>
        <w:tc>
          <w:tcPr>
            <w:tcW w:w="8600" w:type="dxa"/>
            <w:tcBorders>
              <w:top w:val="single" w:color="auto" w:sz="4" w:space="0"/>
              <w:left w:val="single" w:color="auto" w:sz="4" w:space="0"/>
              <w:bottom w:val="single" w:color="auto" w:sz="4" w:space="0"/>
              <w:right w:val="single" w:color="auto" w:sz="4" w:space="0"/>
            </w:tcBorders>
            <w:vAlign w:val="center"/>
          </w:tcPr>
          <w:p w14:paraId="4530DF85">
            <w:pPr>
              <w:spacing w:line="440" w:lineRule="exact"/>
              <w:jc w:val="center"/>
              <w:rPr>
                <w:rFonts w:ascii="宋体" w:hAnsi="宋体"/>
              </w:rPr>
            </w:pPr>
            <w:r>
              <w:rPr>
                <w:rFonts w:hint="eastAsia" w:ascii="宋体" w:hAnsi="宋体"/>
              </w:rPr>
              <w:t>法定代表人身份证原件扫描件</w:t>
            </w:r>
          </w:p>
        </w:tc>
      </w:tr>
      <w:tr w14:paraId="32C00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jc w:val="center"/>
        </w:trPr>
        <w:tc>
          <w:tcPr>
            <w:tcW w:w="8600" w:type="dxa"/>
            <w:tcBorders>
              <w:top w:val="single" w:color="auto" w:sz="4" w:space="0"/>
              <w:left w:val="single" w:color="auto" w:sz="4" w:space="0"/>
              <w:bottom w:val="single" w:color="auto" w:sz="4" w:space="0"/>
              <w:right w:val="single" w:color="auto" w:sz="4" w:space="0"/>
            </w:tcBorders>
            <w:vAlign w:val="center"/>
          </w:tcPr>
          <w:p w14:paraId="7831E38E">
            <w:pPr>
              <w:spacing w:line="440" w:lineRule="exact"/>
              <w:jc w:val="center"/>
              <w:rPr>
                <w:rFonts w:ascii="宋体" w:hAnsi="宋体"/>
              </w:rPr>
            </w:pPr>
            <w:r>
              <w:rPr>
                <w:rFonts w:hint="eastAsia" w:ascii="宋体" w:hAnsi="宋体"/>
              </w:rPr>
              <w:t>委托代理人身份证原件扫描件</w:t>
            </w:r>
          </w:p>
          <w:p w14:paraId="5936A941">
            <w:pPr>
              <w:spacing w:line="440" w:lineRule="exact"/>
              <w:jc w:val="center"/>
              <w:rPr>
                <w:rFonts w:ascii="宋体" w:hAnsi="宋体"/>
              </w:rPr>
            </w:pPr>
          </w:p>
        </w:tc>
      </w:tr>
    </w:tbl>
    <w:p w14:paraId="1E29EA1F">
      <w:pPr>
        <w:ind w:firstLine="422"/>
        <w:jc w:val="center"/>
        <w:rPr>
          <w:rFonts w:ascii="宋体" w:hAnsi="宋体"/>
        </w:rPr>
      </w:pPr>
      <w:r>
        <w:rPr>
          <w:rFonts w:hint="eastAsia" w:ascii="宋体" w:hAnsi="宋体"/>
          <w:b/>
          <w:bCs/>
          <w:sz w:val="28"/>
          <w:szCs w:val="28"/>
        </w:rPr>
        <w:br w:type="page"/>
      </w:r>
    </w:p>
    <w:p w14:paraId="782FC0D7">
      <w:pPr>
        <w:spacing w:before="240" w:after="120"/>
        <w:ind w:firstLine="422"/>
        <w:jc w:val="center"/>
        <w:outlineLvl w:val="1"/>
        <w:rPr>
          <w:rFonts w:ascii="宋体" w:hAnsi="宋体"/>
          <w:sz w:val="28"/>
          <w:szCs w:val="28"/>
        </w:rPr>
      </w:pPr>
      <w:bookmarkStart w:id="1214" w:name="_Toc30807"/>
      <w:bookmarkEnd w:id="1214"/>
      <w:bookmarkStart w:id="1215" w:name="_Toc26947"/>
      <w:bookmarkStart w:id="1216" w:name="_Toc32180"/>
      <w:bookmarkStart w:id="1217" w:name="_Toc5568"/>
      <w:bookmarkStart w:id="1218" w:name="_Toc10524"/>
      <w:bookmarkStart w:id="1219" w:name="_Toc26124"/>
      <w:bookmarkStart w:id="1220" w:name="_Toc129073531"/>
      <w:bookmarkStart w:id="1221" w:name="_Toc22344"/>
      <w:r>
        <w:rPr>
          <w:rFonts w:hint="eastAsia" w:ascii="宋体" w:hAnsi="宋体"/>
          <w:b/>
          <w:bCs/>
          <w:sz w:val="28"/>
          <w:szCs w:val="28"/>
        </w:rPr>
        <w:t>四、已标价工程量清单</w:t>
      </w:r>
      <w:bookmarkEnd w:id="1215"/>
      <w:bookmarkEnd w:id="1216"/>
      <w:bookmarkEnd w:id="1217"/>
      <w:bookmarkEnd w:id="1218"/>
      <w:bookmarkEnd w:id="1219"/>
      <w:bookmarkEnd w:id="1220"/>
      <w:bookmarkEnd w:id="1221"/>
    </w:p>
    <w:p w14:paraId="30AA10DA">
      <w:pPr>
        <w:ind w:firstLine="422"/>
        <w:jc w:val="left"/>
        <w:rPr>
          <w:rFonts w:ascii="宋体" w:hAnsi="宋体"/>
          <w:b/>
          <w:bCs/>
          <w:sz w:val="28"/>
          <w:szCs w:val="28"/>
        </w:rPr>
      </w:pPr>
      <w:bookmarkStart w:id="1222" w:name="_Toc18821"/>
      <w:bookmarkEnd w:id="1222"/>
      <w:bookmarkStart w:id="1223" w:name="_Toc509667331"/>
      <w:bookmarkEnd w:id="1223"/>
      <w:bookmarkStart w:id="1224" w:name="_Toc475624458"/>
      <w:bookmarkEnd w:id="1224"/>
      <w:bookmarkStart w:id="1225" w:name="_Toc13920"/>
      <w:bookmarkEnd w:id="1225"/>
      <w:bookmarkStart w:id="1226" w:name="_Toc22766"/>
      <w:bookmarkStart w:id="1227" w:name="_Toc129073532"/>
      <w:r>
        <w:rPr>
          <w:rFonts w:hint="eastAsia" w:ascii="宋体" w:hAnsi="宋体"/>
          <w:b/>
          <w:bCs/>
          <w:sz w:val="28"/>
          <w:szCs w:val="28"/>
        </w:rPr>
        <w:br w:type="page"/>
      </w:r>
    </w:p>
    <w:p w14:paraId="0E7698F4">
      <w:pPr>
        <w:spacing w:before="240" w:after="120"/>
        <w:ind w:firstLine="422"/>
        <w:jc w:val="center"/>
        <w:outlineLvl w:val="1"/>
        <w:rPr>
          <w:rFonts w:ascii="宋体" w:hAnsi="宋体"/>
          <w:sz w:val="28"/>
          <w:szCs w:val="28"/>
        </w:rPr>
      </w:pPr>
      <w:bookmarkStart w:id="1228" w:name="_Toc24361"/>
      <w:bookmarkStart w:id="1229" w:name="_Toc29059"/>
      <w:bookmarkStart w:id="1230" w:name="_Toc17357"/>
      <w:bookmarkStart w:id="1231" w:name="_Toc31592"/>
      <w:bookmarkStart w:id="1232" w:name="_Toc15812"/>
      <w:r>
        <w:rPr>
          <w:rFonts w:hint="eastAsia" w:ascii="宋体" w:hAnsi="宋体"/>
          <w:b/>
          <w:bCs/>
          <w:sz w:val="28"/>
          <w:szCs w:val="28"/>
        </w:rPr>
        <w:t>五、施工组织设计</w:t>
      </w:r>
      <w:bookmarkEnd w:id="1226"/>
      <w:bookmarkEnd w:id="1227"/>
      <w:bookmarkEnd w:id="1228"/>
      <w:bookmarkEnd w:id="1229"/>
      <w:bookmarkEnd w:id="1230"/>
      <w:bookmarkEnd w:id="1231"/>
      <w:bookmarkEnd w:id="1232"/>
    </w:p>
    <w:p w14:paraId="1E1650FE">
      <w:pPr>
        <w:autoSpaceDE w:val="0"/>
        <w:autoSpaceDN w:val="0"/>
        <w:adjustRightInd w:val="0"/>
        <w:spacing w:line="360" w:lineRule="auto"/>
        <w:ind w:firstLine="420" w:firstLineChars="200"/>
        <w:jc w:val="left"/>
        <w:rPr>
          <w:rFonts w:ascii="宋体" w:hAnsi="宋体"/>
          <w:kern w:val="0"/>
        </w:rPr>
      </w:pPr>
      <w:r>
        <w:rPr>
          <w:rFonts w:hint="eastAsia" w:ascii="宋体" w:hAnsi="宋体"/>
          <w:kern w:val="0"/>
        </w:rPr>
        <w:t>1. 供应商编制施工组织的要求：编制时应采用文字并结合图表形式说明施工方法；拟投入本项目的主要施工设备情况、拟配备本项目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4FE7D671">
      <w:pPr>
        <w:autoSpaceDE w:val="0"/>
        <w:autoSpaceDN w:val="0"/>
        <w:adjustRightInd w:val="0"/>
        <w:spacing w:line="360" w:lineRule="auto"/>
        <w:ind w:firstLine="420" w:firstLineChars="200"/>
        <w:jc w:val="left"/>
        <w:rPr>
          <w:rFonts w:ascii="宋体" w:hAnsi="宋体"/>
          <w:kern w:val="0"/>
        </w:rPr>
      </w:pPr>
      <w:r>
        <w:rPr>
          <w:rFonts w:hint="eastAsia" w:ascii="宋体" w:hAnsi="宋体"/>
          <w:kern w:val="0"/>
        </w:rPr>
        <w:t>2. 施工组织除采用文字表述外可附下列图表，图表及格式要求附后。</w:t>
      </w:r>
    </w:p>
    <w:p w14:paraId="3E78B427">
      <w:pPr>
        <w:autoSpaceDE w:val="0"/>
        <w:autoSpaceDN w:val="0"/>
        <w:adjustRightInd w:val="0"/>
        <w:spacing w:line="360" w:lineRule="auto"/>
        <w:ind w:firstLine="420" w:firstLineChars="200"/>
        <w:jc w:val="left"/>
        <w:rPr>
          <w:rFonts w:ascii="宋体" w:hAnsi="宋体"/>
          <w:kern w:val="0"/>
        </w:rPr>
      </w:pPr>
      <w:r>
        <w:rPr>
          <w:rFonts w:hint="eastAsia" w:ascii="宋体" w:hAnsi="宋体"/>
          <w:kern w:val="0"/>
        </w:rPr>
        <w:t>附表一 拟投入本标段的主要施工设备表</w:t>
      </w:r>
    </w:p>
    <w:p w14:paraId="434DE116">
      <w:pPr>
        <w:autoSpaceDE w:val="0"/>
        <w:autoSpaceDN w:val="0"/>
        <w:adjustRightInd w:val="0"/>
        <w:spacing w:line="360" w:lineRule="auto"/>
        <w:ind w:firstLine="420" w:firstLineChars="200"/>
        <w:jc w:val="left"/>
        <w:rPr>
          <w:rFonts w:ascii="宋体" w:hAnsi="宋体"/>
          <w:kern w:val="0"/>
        </w:rPr>
      </w:pPr>
      <w:r>
        <w:rPr>
          <w:rFonts w:hint="eastAsia" w:ascii="宋体" w:hAnsi="宋体"/>
          <w:kern w:val="0"/>
        </w:rPr>
        <w:t>附表二 拟配备本标段的试验和检测仪器设备表</w:t>
      </w:r>
    </w:p>
    <w:p w14:paraId="0FCA0F42">
      <w:pPr>
        <w:autoSpaceDE w:val="0"/>
        <w:autoSpaceDN w:val="0"/>
        <w:adjustRightInd w:val="0"/>
        <w:spacing w:line="360" w:lineRule="auto"/>
        <w:ind w:firstLine="420" w:firstLineChars="200"/>
        <w:jc w:val="left"/>
        <w:rPr>
          <w:rFonts w:ascii="宋体" w:hAnsi="宋体"/>
          <w:kern w:val="0"/>
        </w:rPr>
      </w:pPr>
      <w:r>
        <w:rPr>
          <w:rFonts w:hint="eastAsia" w:ascii="宋体" w:hAnsi="宋体"/>
          <w:kern w:val="0"/>
        </w:rPr>
        <w:t>附表三 劳动力计划表</w:t>
      </w:r>
    </w:p>
    <w:p w14:paraId="4A7A5802">
      <w:pPr>
        <w:autoSpaceDE w:val="0"/>
        <w:autoSpaceDN w:val="0"/>
        <w:adjustRightInd w:val="0"/>
        <w:spacing w:line="360" w:lineRule="auto"/>
        <w:ind w:firstLine="420" w:firstLineChars="200"/>
        <w:jc w:val="left"/>
        <w:rPr>
          <w:rFonts w:ascii="宋体" w:hAnsi="宋体"/>
          <w:kern w:val="0"/>
        </w:rPr>
      </w:pPr>
      <w:r>
        <w:rPr>
          <w:rFonts w:hint="eastAsia" w:ascii="宋体" w:hAnsi="宋体"/>
          <w:kern w:val="0"/>
        </w:rPr>
        <w:t>附表四 计划开、竣工日期和施工进度网络图(或横道图）</w:t>
      </w:r>
    </w:p>
    <w:p w14:paraId="207734C4">
      <w:pPr>
        <w:autoSpaceDE w:val="0"/>
        <w:autoSpaceDN w:val="0"/>
        <w:adjustRightInd w:val="0"/>
        <w:spacing w:line="360" w:lineRule="auto"/>
        <w:ind w:firstLine="420" w:firstLineChars="200"/>
        <w:jc w:val="left"/>
        <w:rPr>
          <w:rFonts w:ascii="宋体" w:hAnsi="宋体"/>
          <w:kern w:val="0"/>
        </w:rPr>
      </w:pPr>
      <w:r>
        <w:rPr>
          <w:rFonts w:hint="eastAsia" w:ascii="宋体" w:hAnsi="宋体"/>
          <w:kern w:val="0"/>
        </w:rPr>
        <w:t>附表五 施工总平面图</w:t>
      </w:r>
    </w:p>
    <w:p w14:paraId="0C590628">
      <w:pPr>
        <w:autoSpaceDE w:val="0"/>
        <w:autoSpaceDN w:val="0"/>
        <w:adjustRightInd w:val="0"/>
        <w:spacing w:line="360" w:lineRule="auto"/>
        <w:ind w:firstLine="420" w:firstLineChars="200"/>
        <w:jc w:val="left"/>
        <w:rPr>
          <w:rFonts w:ascii="宋体" w:hAnsi="宋体"/>
          <w:kern w:val="0"/>
        </w:rPr>
      </w:pPr>
      <w:r>
        <w:rPr>
          <w:rFonts w:hint="eastAsia" w:ascii="宋体" w:hAnsi="宋体"/>
          <w:kern w:val="0"/>
        </w:rPr>
        <w:t>附表六 临时用地表</w:t>
      </w:r>
    </w:p>
    <w:p w14:paraId="3E92FDF7">
      <w:pPr>
        <w:rPr>
          <w:rFonts w:ascii="宋体" w:hAnsi="宋体"/>
        </w:rPr>
      </w:pPr>
      <w:r>
        <w:rPr>
          <w:rFonts w:hint="eastAsia" w:ascii="宋体" w:hAnsi="宋体"/>
          <w:kern w:val="0"/>
        </w:rPr>
        <w:br w:type="page"/>
      </w:r>
    </w:p>
    <w:p w14:paraId="08EC2AF9">
      <w:pPr>
        <w:autoSpaceDE w:val="0"/>
        <w:autoSpaceDN w:val="0"/>
        <w:adjustRightInd w:val="0"/>
        <w:spacing w:line="420" w:lineRule="exact"/>
        <w:jc w:val="left"/>
        <w:rPr>
          <w:rFonts w:ascii="宋体" w:hAnsi="宋体" w:cs="宋体"/>
          <w:kern w:val="0"/>
        </w:rPr>
      </w:pPr>
      <w:r>
        <w:rPr>
          <w:rFonts w:hint="eastAsia" w:ascii="宋体" w:hAnsi="宋体" w:cs="宋体"/>
          <w:kern w:val="0"/>
        </w:rPr>
        <w:t>附表一：拟投入本</w:t>
      </w:r>
      <w:r>
        <w:rPr>
          <w:rFonts w:hint="eastAsia" w:ascii="宋体" w:hAnsi="宋体" w:cs="宋体"/>
          <w:kern w:val="0"/>
          <w:lang w:eastAsia="zh-CN"/>
        </w:rPr>
        <w:t>项目</w:t>
      </w:r>
      <w:r>
        <w:rPr>
          <w:rFonts w:hint="eastAsia" w:ascii="宋体" w:hAnsi="宋体" w:cs="宋体"/>
          <w:kern w:val="0"/>
        </w:rPr>
        <w:t>的主要施工设备表</w:t>
      </w:r>
    </w:p>
    <w:p w14:paraId="3E3E9CB4">
      <w:pPr>
        <w:autoSpaceDE w:val="0"/>
        <w:autoSpaceDN w:val="0"/>
        <w:adjustRightInd w:val="0"/>
        <w:spacing w:line="420" w:lineRule="exact"/>
        <w:jc w:val="left"/>
        <w:rPr>
          <w:rFonts w:ascii="宋体" w:hAnsi="宋体" w:cs="宋体"/>
          <w:kern w:val="0"/>
        </w:rPr>
      </w:pPr>
    </w:p>
    <w:tbl>
      <w:tblPr>
        <w:tblStyle w:val="34"/>
        <w:tblW w:w="8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144"/>
        <w:gridCol w:w="880"/>
        <w:gridCol w:w="880"/>
        <w:gridCol w:w="880"/>
        <w:gridCol w:w="880"/>
        <w:gridCol w:w="1135"/>
        <w:gridCol w:w="624"/>
        <w:gridCol w:w="880"/>
        <w:gridCol w:w="880"/>
      </w:tblGrid>
      <w:tr w14:paraId="30325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6603E51D">
            <w:pPr>
              <w:autoSpaceDE w:val="0"/>
              <w:autoSpaceDN w:val="0"/>
              <w:adjustRightInd w:val="0"/>
              <w:jc w:val="center"/>
              <w:rPr>
                <w:rFonts w:ascii="宋体" w:hAnsi="宋体" w:cs="宋体"/>
                <w:kern w:val="0"/>
              </w:rPr>
            </w:pPr>
            <w:r>
              <w:rPr>
                <w:rFonts w:hint="eastAsia" w:ascii="宋体" w:hAnsi="宋体" w:cs="宋体"/>
                <w:kern w:val="0"/>
              </w:rPr>
              <w:t>序号</w:t>
            </w:r>
          </w:p>
        </w:tc>
        <w:tc>
          <w:tcPr>
            <w:tcW w:w="1144" w:type="dxa"/>
            <w:tcBorders>
              <w:top w:val="single" w:color="auto" w:sz="4" w:space="0"/>
              <w:left w:val="single" w:color="auto" w:sz="4" w:space="0"/>
              <w:bottom w:val="single" w:color="auto" w:sz="4" w:space="0"/>
              <w:right w:val="single" w:color="auto" w:sz="4" w:space="0"/>
            </w:tcBorders>
            <w:vAlign w:val="center"/>
          </w:tcPr>
          <w:p w14:paraId="5A75DA6C">
            <w:pPr>
              <w:autoSpaceDE w:val="0"/>
              <w:autoSpaceDN w:val="0"/>
              <w:adjustRightInd w:val="0"/>
              <w:jc w:val="center"/>
              <w:rPr>
                <w:rFonts w:ascii="宋体" w:hAnsi="宋体" w:cs="宋体"/>
                <w:kern w:val="0"/>
              </w:rPr>
            </w:pPr>
            <w:r>
              <w:rPr>
                <w:rFonts w:hint="eastAsia" w:ascii="宋体" w:hAnsi="宋体" w:cs="宋体"/>
                <w:kern w:val="0"/>
              </w:rPr>
              <w:t>设备名称</w:t>
            </w:r>
          </w:p>
        </w:tc>
        <w:tc>
          <w:tcPr>
            <w:tcW w:w="880" w:type="dxa"/>
            <w:tcBorders>
              <w:top w:val="single" w:color="auto" w:sz="4" w:space="0"/>
              <w:left w:val="single" w:color="auto" w:sz="4" w:space="0"/>
              <w:bottom w:val="single" w:color="auto" w:sz="4" w:space="0"/>
              <w:right w:val="single" w:color="auto" w:sz="4" w:space="0"/>
            </w:tcBorders>
            <w:vAlign w:val="center"/>
          </w:tcPr>
          <w:p w14:paraId="6054F30F">
            <w:pPr>
              <w:autoSpaceDE w:val="0"/>
              <w:autoSpaceDN w:val="0"/>
              <w:adjustRightInd w:val="0"/>
              <w:jc w:val="center"/>
              <w:rPr>
                <w:rFonts w:ascii="宋体" w:hAnsi="宋体" w:cs="宋体"/>
                <w:kern w:val="0"/>
              </w:rPr>
            </w:pPr>
            <w:r>
              <w:rPr>
                <w:rFonts w:hint="eastAsia" w:ascii="宋体" w:hAnsi="宋体" w:cs="宋体"/>
                <w:kern w:val="0"/>
              </w:rPr>
              <w:t>型号</w:t>
            </w:r>
          </w:p>
          <w:p w14:paraId="7CEB8138">
            <w:pPr>
              <w:autoSpaceDE w:val="0"/>
              <w:autoSpaceDN w:val="0"/>
              <w:adjustRightInd w:val="0"/>
              <w:jc w:val="center"/>
              <w:rPr>
                <w:rFonts w:ascii="宋体" w:hAnsi="宋体" w:cs="宋体"/>
                <w:kern w:val="0"/>
              </w:rPr>
            </w:pPr>
            <w:r>
              <w:rPr>
                <w:rFonts w:hint="eastAsia" w:ascii="宋体" w:hAnsi="宋体" w:cs="宋体"/>
                <w:kern w:val="0"/>
              </w:rPr>
              <w:t>规格</w:t>
            </w:r>
          </w:p>
        </w:tc>
        <w:tc>
          <w:tcPr>
            <w:tcW w:w="880" w:type="dxa"/>
            <w:tcBorders>
              <w:top w:val="single" w:color="auto" w:sz="4" w:space="0"/>
              <w:left w:val="single" w:color="auto" w:sz="4" w:space="0"/>
              <w:bottom w:val="single" w:color="auto" w:sz="4" w:space="0"/>
              <w:right w:val="single" w:color="auto" w:sz="4" w:space="0"/>
            </w:tcBorders>
            <w:vAlign w:val="center"/>
          </w:tcPr>
          <w:p w14:paraId="550B273A">
            <w:pPr>
              <w:autoSpaceDE w:val="0"/>
              <w:autoSpaceDN w:val="0"/>
              <w:adjustRightInd w:val="0"/>
              <w:jc w:val="center"/>
              <w:rPr>
                <w:rFonts w:ascii="宋体" w:hAnsi="宋体" w:cs="宋体"/>
                <w:kern w:val="0"/>
              </w:rPr>
            </w:pPr>
            <w:r>
              <w:rPr>
                <w:rFonts w:hint="eastAsia" w:ascii="宋体" w:hAnsi="宋体" w:cs="宋体"/>
                <w:kern w:val="0"/>
              </w:rPr>
              <w:t>数量</w:t>
            </w:r>
          </w:p>
        </w:tc>
        <w:tc>
          <w:tcPr>
            <w:tcW w:w="880" w:type="dxa"/>
            <w:tcBorders>
              <w:top w:val="single" w:color="auto" w:sz="4" w:space="0"/>
              <w:left w:val="single" w:color="auto" w:sz="4" w:space="0"/>
              <w:bottom w:val="single" w:color="auto" w:sz="4" w:space="0"/>
              <w:right w:val="single" w:color="auto" w:sz="4" w:space="0"/>
            </w:tcBorders>
            <w:vAlign w:val="center"/>
          </w:tcPr>
          <w:p w14:paraId="1E2CFA39">
            <w:pPr>
              <w:autoSpaceDE w:val="0"/>
              <w:autoSpaceDN w:val="0"/>
              <w:adjustRightInd w:val="0"/>
              <w:jc w:val="center"/>
              <w:rPr>
                <w:rFonts w:ascii="宋体" w:hAnsi="宋体" w:cs="宋体"/>
                <w:kern w:val="0"/>
              </w:rPr>
            </w:pPr>
            <w:r>
              <w:rPr>
                <w:rFonts w:hint="eastAsia" w:ascii="宋体" w:hAnsi="宋体" w:cs="宋体"/>
                <w:kern w:val="0"/>
              </w:rPr>
              <w:t>国别</w:t>
            </w:r>
          </w:p>
          <w:p w14:paraId="7CE2419A">
            <w:pPr>
              <w:autoSpaceDE w:val="0"/>
              <w:autoSpaceDN w:val="0"/>
              <w:adjustRightInd w:val="0"/>
              <w:jc w:val="center"/>
              <w:rPr>
                <w:rFonts w:ascii="宋体" w:hAnsi="宋体" w:cs="宋体"/>
                <w:kern w:val="0"/>
              </w:rPr>
            </w:pPr>
            <w:r>
              <w:rPr>
                <w:rFonts w:hint="eastAsia" w:ascii="宋体" w:hAnsi="宋体" w:cs="宋体"/>
                <w:kern w:val="0"/>
              </w:rPr>
              <w:t>产地</w:t>
            </w:r>
          </w:p>
        </w:tc>
        <w:tc>
          <w:tcPr>
            <w:tcW w:w="880" w:type="dxa"/>
            <w:tcBorders>
              <w:top w:val="single" w:color="auto" w:sz="4" w:space="0"/>
              <w:left w:val="single" w:color="auto" w:sz="4" w:space="0"/>
              <w:bottom w:val="single" w:color="auto" w:sz="4" w:space="0"/>
              <w:right w:val="single" w:color="auto" w:sz="4" w:space="0"/>
            </w:tcBorders>
            <w:vAlign w:val="center"/>
          </w:tcPr>
          <w:p w14:paraId="436CB424">
            <w:pPr>
              <w:autoSpaceDE w:val="0"/>
              <w:autoSpaceDN w:val="0"/>
              <w:adjustRightInd w:val="0"/>
              <w:jc w:val="center"/>
              <w:rPr>
                <w:rFonts w:ascii="宋体" w:hAnsi="宋体" w:cs="宋体"/>
                <w:kern w:val="0"/>
              </w:rPr>
            </w:pPr>
            <w:r>
              <w:rPr>
                <w:rFonts w:hint="eastAsia" w:ascii="宋体" w:hAnsi="宋体" w:cs="宋体"/>
                <w:kern w:val="0"/>
              </w:rPr>
              <w:t>制造</w:t>
            </w:r>
          </w:p>
          <w:p w14:paraId="2A065106">
            <w:pPr>
              <w:autoSpaceDE w:val="0"/>
              <w:autoSpaceDN w:val="0"/>
              <w:adjustRightInd w:val="0"/>
              <w:jc w:val="center"/>
              <w:rPr>
                <w:rFonts w:ascii="宋体" w:hAnsi="宋体" w:cs="宋体"/>
                <w:kern w:val="0"/>
              </w:rPr>
            </w:pPr>
            <w:r>
              <w:rPr>
                <w:rFonts w:hint="eastAsia" w:ascii="宋体" w:hAnsi="宋体" w:cs="宋体"/>
                <w:kern w:val="0"/>
              </w:rPr>
              <w:t>年份</w:t>
            </w:r>
          </w:p>
        </w:tc>
        <w:tc>
          <w:tcPr>
            <w:tcW w:w="1135" w:type="dxa"/>
            <w:tcBorders>
              <w:top w:val="single" w:color="auto" w:sz="4" w:space="0"/>
              <w:left w:val="single" w:color="auto" w:sz="4" w:space="0"/>
              <w:bottom w:val="single" w:color="auto" w:sz="4" w:space="0"/>
              <w:right w:val="single" w:color="auto" w:sz="4" w:space="0"/>
            </w:tcBorders>
            <w:vAlign w:val="center"/>
          </w:tcPr>
          <w:p w14:paraId="529557ED">
            <w:pPr>
              <w:autoSpaceDE w:val="0"/>
              <w:autoSpaceDN w:val="0"/>
              <w:adjustRightInd w:val="0"/>
              <w:jc w:val="center"/>
              <w:rPr>
                <w:rFonts w:ascii="宋体" w:hAnsi="宋体" w:cs="宋体"/>
                <w:kern w:val="0"/>
              </w:rPr>
            </w:pPr>
            <w:r>
              <w:rPr>
                <w:rFonts w:hint="eastAsia" w:ascii="宋体" w:hAnsi="宋体" w:cs="宋体"/>
                <w:kern w:val="0"/>
              </w:rPr>
              <w:t>额定功率</w:t>
            </w:r>
          </w:p>
          <w:p w14:paraId="7FF61DC4">
            <w:pPr>
              <w:autoSpaceDE w:val="0"/>
              <w:autoSpaceDN w:val="0"/>
              <w:adjustRightInd w:val="0"/>
              <w:jc w:val="center"/>
              <w:rPr>
                <w:rFonts w:ascii="宋体" w:hAnsi="宋体" w:cs="宋体"/>
                <w:kern w:val="0"/>
              </w:rPr>
            </w:pPr>
            <w:r>
              <w:rPr>
                <w:rFonts w:hint="eastAsia" w:ascii="宋体" w:hAnsi="宋体" w:cs="宋体"/>
                <w:kern w:val="0"/>
              </w:rPr>
              <w:t>（KW）</w:t>
            </w:r>
          </w:p>
        </w:tc>
        <w:tc>
          <w:tcPr>
            <w:tcW w:w="624" w:type="dxa"/>
            <w:tcBorders>
              <w:top w:val="single" w:color="auto" w:sz="4" w:space="0"/>
              <w:left w:val="single" w:color="auto" w:sz="4" w:space="0"/>
              <w:bottom w:val="single" w:color="auto" w:sz="4" w:space="0"/>
              <w:right w:val="single" w:color="auto" w:sz="4" w:space="0"/>
            </w:tcBorders>
            <w:vAlign w:val="center"/>
          </w:tcPr>
          <w:p w14:paraId="2898192A">
            <w:pPr>
              <w:autoSpaceDE w:val="0"/>
              <w:autoSpaceDN w:val="0"/>
              <w:adjustRightInd w:val="0"/>
              <w:jc w:val="center"/>
              <w:rPr>
                <w:rFonts w:ascii="宋体" w:hAnsi="宋体" w:cs="宋体"/>
                <w:kern w:val="0"/>
              </w:rPr>
            </w:pPr>
            <w:r>
              <w:rPr>
                <w:rFonts w:hint="eastAsia" w:ascii="宋体" w:hAnsi="宋体" w:cs="宋体"/>
                <w:kern w:val="0"/>
              </w:rPr>
              <w:t>生产</w:t>
            </w:r>
          </w:p>
          <w:p w14:paraId="692A4407">
            <w:pPr>
              <w:autoSpaceDE w:val="0"/>
              <w:autoSpaceDN w:val="0"/>
              <w:adjustRightInd w:val="0"/>
              <w:jc w:val="center"/>
              <w:rPr>
                <w:rFonts w:ascii="宋体" w:hAnsi="宋体" w:cs="宋体"/>
                <w:kern w:val="0"/>
              </w:rPr>
            </w:pPr>
            <w:r>
              <w:rPr>
                <w:rFonts w:hint="eastAsia" w:ascii="宋体" w:hAnsi="宋体" w:cs="宋体"/>
                <w:kern w:val="0"/>
              </w:rPr>
              <w:t>能力</w:t>
            </w:r>
          </w:p>
        </w:tc>
        <w:tc>
          <w:tcPr>
            <w:tcW w:w="880" w:type="dxa"/>
            <w:tcBorders>
              <w:top w:val="single" w:color="auto" w:sz="4" w:space="0"/>
              <w:left w:val="single" w:color="auto" w:sz="4" w:space="0"/>
              <w:bottom w:val="single" w:color="auto" w:sz="4" w:space="0"/>
              <w:right w:val="single" w:color="auto" w:sz="4" w:space="0"/>
            </w:tcBorders>
            <w:vAlign w:val="center"/>
          </w:tcPr>
          <w:p w14:paraId="3CBD77C7">
            <w:pPr>
              <w:autoSpaceDE w:val="0"/>
              <w:autoSpaceDN w:val="0"/>
              <w:adjustRightInd w:val="0"/>
              <w:jc w:val="center"/>
              <w:rPr>
                <w:rFonts w:ascii="宋体" w:hAnsi="宋体" w:cs="宋体"/>
                <w:kern w:val="0"/>
              </w:rPr>
            </w:pPr>
            <w:r>
              <w:rPr>
                <w:rFonts w:hint="eastAsia" w:ascii="宋体" w:hAnsi="宋体" w:cs="宋体"/>
                <w:kern w:val="0"/>
              </w:rPr>
              <w:t>用于施</w:t>
            </w:r>
          </w:p>
          <w:p w14:paraId="50EAFA69">
            <w:pPr>
              <w:autoSpaceDE w:val="0"/>
              <w:autoSpaceDN w:val="0"/>
              <w:adjustRightInd w:val="0"/>
              <w:jc w:val="center"/>
              <w:rPr>
                <w:rFonts w:ascii="宋体" w:hAnsi="宋体" w:cs="宋体"/>
                <w:kern w:val="0"/>
              </w:rPr>
            </w:pPr>
            <w:r>
              <w:rPr>
                <w:rFonts w:hint="eastAsia" w:ascii="宋体" w:hAnsi="宋体" w:cs="宋体"/>
                <w:kern w:val="0"/>
              </w:rPr>
              <w:t>工部位</w:t>
            </w:r>
          </w:p>
        </w:tc>
        <w:tc>
          <w:tcPr>
            <w:tcW w:w="880" w:type="dxa"/>
            <w:tcBorders>
              <w:top w:val="single" w:color="auto" w:sz="4" w:space="0"/>
              <w:left w:val="single" w:color="auto" w:sz="4" w:space="0"/>
              <w:bottom w:val="single" w:color="auto" w:sz="4" w:space="0"/>
              <w:right w:val="single" w:color="auto" w:sz="4" w:space="0"/>
            </w:tcBorders>
            <w:vAlign w:val="center"/>
          </w:tcPr>
          <w:p w14:paraId="29F9DE94">
            <w:pPr>
              <w:autoSpaceDE w:val="0"/>
              <w:autoSpaceDN w:val="0"/>
              <w:adjustRightInd w:val="0"/>
              <w:jc w:val="center"/>
              <w:rPr>
                <w:rFonts w:ascii="宋体" w:hAnsi="宋体" w:cs="宋体"/>
                <w:kern w:val="0"/>
              </w:rPr>
            </w:pPr>
            <w:r>
              <w:rPr>
                <w:rFonts w:hint="eastAsia" w:ascii="宋体" w:hAnsi="宋体" w:cs="宋体"/>
                <w:kern w:val="0"/>
              </w:rPr>
              <w:t>备注</w:t>
            </w:r>
          </w:p>
        </w:tc>
      </w:tr>
      <w:tr w14:paraId="674FF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3DAE02AA">
            <w:pPr>
              <w:autoSpaceDE w:val="0"/>
              <w:autoSpaceDN w:val="0"/>
              <w:adjustRightInd w:val="0"/>
              <w:spacing w:line="420" w:lineRule="exact"/>
              <w:jc w:val="center"/>
              <w:rPr>
                <w:rFonts w:ascii="宋体" w:hAnsi="宋体" w:cs="宋体"/>
                <w:kern w:val="0"/>
              </w:rPr>
            </w:pPr>
          </w:p>
        </w:tc>
        <w:tc>
          <w:tcPr>
            <w:tcW w:w="1144" w:type="dxa"/>
            <w:tcBorders>
              <w:top w:val="single" w:color="auto" w:sz="4" w:space="0"/>
              <w:left w:val="single" w:color="auto" w:sz="4" w:space="0"/>
              <w:bottom w:val="single" w:color="auto" w:sz="4" w:space="0"/>
              <w:right w:val="single" w:color="auto" w:sz="4" w:space="0"/>
            </w:tcBorders>
            <w:vAlign w:val="center"/>
          </w:tcPr>
          <w:p w14:paraId="2FA2EB3D">
            <w:pPr>
              <w:autoSpaceDE w:val="0"/>
              <w:autoSpaceDN w:val="0"/>
              <w:adjustRightInd w:val="0"/>
              <w:spacing w:line="420" w:lineRule="exact"/>
              <w:jc w:val="center"/>
              <w:rPr>
                <w:rFonts w:ascii="宋体" w:hAnsi="宋体" w:cs="宋体"/>
                <w:kern w:val="0"/>
              </w:rPr>
            </w:pPr>
          </w:p>
        </w:tc>
        <w:tc>
          <w:tcPr>
            <w:tcW w:w="880" w:type="dxa"/>
            <w:tcBorders>
              <w:top w:val="single" w:color="auto" w:sz="4" w:space="0"/>
              <w:left w:val="single" w:color="auto" w:sz="4" w:space="0"/>
              <w:bottom w:val="single" w:color="auto" w:sz="4" w:space="0"/>
              <w:right w:val="single" w:color="auto" w:sz="4" w:space="0"/>
            </w:tcBorders>
            <w:vAlign w:val="center"/>
          </w:tcPr>
          <w:p w14:paraId="3D8FA64B">
            <w:pPr>
              <w:autoSpaceDE w:val="0"/>
              <w:autoSpaceDN w:val="0"/>
              <w:adjustRightInd w:val="0"/>
              <w:spacing w:line="420" w:lineRule="exact"/>
              <w:jc w:val="center"/>
              <w:rPr>
                <w:rFonts w:ascii="宋体" w:hAnsi="宋体" w:cs="宋体"/>
                <w:kern w:val="0"/>
              </w:rPr>
            </w:pPr>
          </w:p>
        </w:tc>
        <w:tc>
          <w:tcPr>
            <w:tcW w:w="880" w:type="dxa"/>
            <w:tcBorders>
              <w:top w:val="single" w:color="auto" w:sz="4" w:space="0"/>
              <w:left w:val="single" w:color="auto" w:sz="4" w:space="0"/>
              <w:bottom w:val="single" w:color="auto" w:sz="4" w:space="0"/>
              <w:right w:val="single" w:color="auto" w:sz="4" w:space="0"/>
            </w:tcBorders>
            <w:vAlign w:val="center"/>
          </w:tcPr>
          <w:p w14:paraId="414A097B">
            <w:pPr>
              <w:autoSpaceDE w:val="0"/>
              <w:autoSpaceDN w:val="0"/>
              <w:adjustRightInd w:val="0"/>
              <w:spacing w:line="420" w:lineRule="exact"/>
              <w:jc w:val="center"/>
              <w:rPr>
                <w:rFonts w:ascii="宋体" w:hAnsi="宋体" w:cs="宋体"/>
                <w:kern w:val="0"/>
              </w:rPr>
            </w:pPr>
          </w:p>
        </w:tc>
        <w:tc>
          <w:tcPr>
            <w:tcW w:w="880" w:type="dxa"/>
            <w:tcBorders>
              <w:top w:val="single" w:color="auto" w:sz="4" w:space="0"/>
              <w:left w:val="single" w:color="auto" w:sz="4" w:space="0"/>
              <w:bottom w:val="single" w:color="auto" w:sz="4" w:space="0"/>
              <w:right w:val="single" w:color="auto" w:sz="4" w:space="0"/>
            </w:tcBorders>
            <w:vAlign w:val="center"/>
          </w:tcPr>
          <w:p w14:paraId="05288ADE">
            <w:pPr>
              <w:autoSpaceDE w:val="0"/>
              <w:autoSpaceDN w:val="0"/>
              <w:adjustRightInd w:val="0"/>
              <w:spacing w:line="420" w:lineRule="exact"/>
              <w:jc w:val="center"/>
              <w:rPr>
                <w:rFonts w:ascii="宋体" w:hAnsi="宋体" w:cs="宋体"/>
                <w:kern w:val="0"/>
              </w:rPr>
            </w:pPr>
          </w:p>
        </w:tc>
        <w:tc>
          <w:tcPr>
            <w:tcW w:w="880" w:type="dxa"/>
            <w:tcBorders>
              <w:top w:val="single" w:color="auto" w:sz="4" w:space="0"/>
              <w:left w:val="single" w:color="auto" w:sz="4" w:space="0"/>
              <w:bottom w:val="single" w:color="auto" w:sz="4" w:space="0"/>
              <w:right w:val="single" w:color="auto" w:sz="4" w:space="0"/>
            </w:tcBorders>
            <w:vAlign w:val="center"/>
          </w:tcPr>
          <w:p w14:paraId="09460501">
            <w:pPr>
              <w:autoSpaceDE w:val="0"/>
              <w:autoSpaceDN w:val="0"/>
              <w:adjustRightInd w:val="0"/>
              <w:spacing w:line="420" w:lineRule="exact"/>
              <w:jc w:val="center"/>
              <w:rPr>
                <w:rFonts w:ascii="宋体" w:hAnsi="宋体" w:cs="宋体"/>
                <w:kern w:val="0"/>
              </w:rPr>
            </w:pPr>
          </w:p>
        </w:tc>
        <w:tc>
          <w:tcPr>
            <w:tcW w:w="1135" w:type="dxa"/>
            <w:tcBorders>
              <w:top w:val="single" w:color="auto" w:sz="4" w:space="0"/>
              <w:left w:val="single" w:color="auto" w:sz="4" w:space="0"/>
              <w:bottom w:val="single" w:color="auto" w:sz="4" w:space="0"/>
              <w:right w:val="single" w:color="auto" w:sz="4" w:space="0"/>
            </w:tcBorders>
            <w:vAlign w:val="center"/>
          </w:tcPr>
          <w:p w14:paraId="22E84592">
            <w:pPr>
              <w:autoSpaceDE w:val="0"/>
              <w:autoSpaceDN w:val="0"/>
              <w:adjustRightInd w:val="0"/>
              <w:spacing w:line="420" w:lineRule="exact"/>
              <w:jc w:val="center"/>
              <w:rPr>
                <w:rFonts w:ascii="宋体" w:hAnsi="宋体" w:cs="宋体"/>
                <w:kern w:val="0"/>
              </w:rPr>
            </w:pPr>
          </w:p>
        </w:tc>
        <w:tc>
          <w:tcPr>
            <w:tcW w:w="624" w:type="dxa"/>
            <w:tcBorders>
              <w:top w:val="single" w:color="auto" w:sz="4" w:space="0"/>
              <w:left w:val="single" w:color="auto" w:sz="4" w:space="0"/>
              <w:bottom w:val="single" w:color="auto" w:sz="4" w:space="0"/>
              <w:right w:val="single" w:color="auto" w:sz="4" w:space="0"/>
            </w:tcBorders>
            <w:vAlign w:val="center"/>
          </w:tcPr>
          <w:p w14:paraId="4D7856C9">
            <w:pPr>
              <w:autoSpaceDE w:val="0"/>
              <w:autoSpaceDN w:val="0"/>
              <w:adjustRightInd w:val="0"/>
              <w:spacing w:line="420" w:lineRule="exact"/>
              <w:jc w:val="center"/>
              <w:rPr>
                <w:rFonts w:ascii="宋体" w:hAnsi="宋体" w:cs="宋体"/>
                <w:kern w:val="0"/>
              </w:rPr>
            </w:pPr>
          </w:p>
        </w:tc>
        <w:tc>
          <w:tcPr>
            <w:tcW w:w="880" w:type="dxa"/>
            <w:tcBorders>
              <w:top w:val="single" w:color="auto" w:sz="4" w:space="0"/>
              <w:left w:val="single" w:color="auto" w:sz="4" w:space="0"/>
              <w:bottom w:val="single" w:color="auto" w:sz="4" w:space="0"/>
              <w:right w:val="single" w:color="auto" w:sz="4" w:space="0"/>
            </w:tcBorders>
            <w:vAlign w:val="center"/>
          </w:tcPr>
          <w:p w14:paraId="0430DA0A">
            <w:pPr>
              <w:autoSpaceDE w:val="0"/>
              <w:autoSpaceDN w:val="0"/>
              <w:adjustRightInd w:val="0"/>
              <w:spacing w:line="420" w:lineRule="exact"/>
              <w:jc w:val="center"/>
              <w:rPr>
                <w:rFonts w:ascii="宋体" w:hAnsi="宋体" w:cs="宋体"/>
                <w:kern w:val="0"/>
              </w:rPr>
            </w:pPr>
          </w:p>
        </w:tc>
        <w:tc>
          <w:tcPr>
            <w:tcW w:w="880" w:type="dxa"/>
            <w:tcBorders>
              <w:top w:val="single" w:color="auto" w:sz="4" w:space="0"/>
              <w:left w:val="single" w:color="auto" w:sz="4" w:space="0"/>
              <w:bottom w:val="single" w:color="auto" w:sz="4" w:space="0"/>
              <w:right w:val="single" w:color="auto" w:sz="4" w:space="0"/>
            </w:tcBorders>
            <w:vAlign w:val="center"/>
          </w:tcPr>
          <w:p w14:paraId="79D431F5">
            <w:pPr>
              <w:autoSpaceDE w:val="0"/>
              <w:autoSpaceDN w:val="0"/>
              <w:adjustRightInd w:val="0"/>
              <w:spacing w:line="420" w:lineRule="exact"/>
              <w:jc w:val="center"/>
              <w:rPr>
                <w:rFonts w:ascii="宋体" w:hAnsi="宋体" w:cs="宋体"/>
                <w:kern w:val="0"/>
              </w:rPr>
            </w:pPr>
          </w:p>
        </w:tc>
      </w:tr>
      <w:tr w14:paraId="32B9D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091ACF23">
            <w:pPr>
              <w:autoSpaceDE w:val="0"/>
              <w:autoSpaceDN w:val="0"/>
              <w:adjustRightInd w:val="0"/>
              <w:spacing w:line="420" w:lineRule="exact"/>
              <w:jc w:val="center"/>
              <w:rPr>
                <w:rFonts w:ascii="宋体" w:hAnsi="宋体" w:cs="宋体"/>
                <w:kern w:val="0"/>
              </w:rPr>
            </w:pPr>
          </w:p>
        </w:tc>
        <w:tc>
          <w:tcPr>
            <w:tcW w:w="1144" w:type="dxa"/>
            <w:tcBorders>
              <w:top w:val="single" w:color="auto" w:sz="4" w:space="0"/>
              <w:left w:val="single" w:color="auto" w:sz="4" w:space="0"/>
              <w:bottom w:val="single" w:color="auto" w:sz="4" w:space="0"/>
              <w:right w:val="single" w:color="auto" w:sz="4" w:space="0"/>
            </w:tcBorders>
            <w:vAlign w:val="center"/>
          </w:tcPr>
          <w:p w14:paraId="19A94787">
            <w:pPr>
              <w:autoSpaceDE w:val="0"/>
              <w:autoSpaceDN w:val="0"/>
              <w:adjustRightInd w:val="0"/>
              <w:spacing w:line="420" w:lineRule="exact"/>
              <w:jc w:val="center"/>
              <w:rPr>
                <w:rFonts w:ascii="宋体" w:hAnsi="宋体" w:cs="宋体"/>
                <w:kern w:val="0"/>
              </w:rPr>
            </w:pPr>
          </w:p>
        </w:tc>
        <w:tc>
          <w:tcPr>
            <w:tcW w:w="880" w:type="dxa"/>
            <w:tcBorders>
              <w:top w:val="single" w:color="auto" w:sz="4" w:space="0"/>
              <w:left w:val="single" w:color="auto" w:sz="4" w:space="0"/>
              <w:bottom w:val="single" w:color="auto" w:sz="4" w:space="0"/>
              <w:right w:val="single" w:color="auto" w:sz="4" w:space="0"/>
            </w:tcBorders>
            <w:vAlign w:val="center"/>
          </w:tcPr>
          <w:p w14:paraId="0C18ED5A">
            <w:pPr>
              <w:autoSpaceDE w:val="0"/>
              <w:autoSpaceDN w:val="0"/>
              <w:adjustRightInd w:val="0"/>
              <w:spacing w:line="420" w:lineRule="exact"/>
              <w:jc w:val="center"/>
              <w:rPr>
                <w:rFonts w:ascii="宋体" w:hAnsi="宋体" w:cs="宋体"/>
                <w:kern w:val="0"/>
              </w:rPr>
            </w:pPr>
          </w:p>
        </w:tc>
        <w:tc>
          <w:tcPr>
            <w:tcW w:w="880" w:type="dxa"/>
            <w:tcBorders>
              <w:top w:val="single" w:color="auto" w:sz="4" w:space="0"/>
              <w:left w:val="single" w:color="auto" w:sz="4" w:space="0"/>
              <w:bottom w:val="single" w:color="auto" w:sz="4" w:space="0"/>
              <w:right w:val="single" w:color="auto" w:sz="4" w:space="0"/>
            </w:tcBorders>
            <w:vAlign w:val="center"/>
          </w:tcPr>
          <w:p w14:paraId="232E4EC7">
            <w:pPr>
              <w:autoSpaceDE w:val="0"/>
              <w:autoSpaceDN w:val="0"/>
              <w:adjustRightInd w:val="0"/>
              <w:spacing w:line="420" w:lineRule="exact"/>
              <w:jc w:val="center"/>
              <w:rPr>
                <w:rFonts w:ascii="宋体" w:hAnsi="宋体" w:cs="宋体"/>
                <w:kern w:val="0"/>
              </w:rPr>
            </w:pPr>
          </w:p>
        </w:tc>
        <w:tc>
          <w:tcPr>
            <w:tcW w:w="880" w:type="dxa"/>
            <w:tcBorders>
              <w:top w:val="single" w:color="auto" w:sz="4" w:space="0"/>
              <w:left w:val="single" w:color="auto" w:sz="4" w:space="0"/>
              <w:bottom w:val="single" w:color="auto" w:sz="4" w:space="0"/>
              <w:right w:val="single" w:color="auto" w:sz="4" w:space="0"/>
            </w:tcBorders>
            <w:vAlign w:val="center"/>
          </w:tcPr>
          <w:p w14:paraId="71F9A64F">
            <w:pPr>
              <w:autoSpaceDE w:val="0"/>
              <w:autoSpaceDN w:val="0"/>
              <w:adjustRightInd w:val="0"/>
              <w:spacing w:line="420" w:lineRule="exact"/>
              <w:jc w:val="center"/>
              <w:rPr>
                <w:rFonts w:ascii="宋体" w:hAnsi="宋体" w:cs="宋体"/>
                <w:kern w:val="0"/>
              </w:rPr>
            </w:pPr>
          </w:p>
        </w:tc>
        <w:tc>
          <w:tcPr>
            <w:tcW w:w="880" w:type="dxa"/>
            <w:tcBorders>
              <w:top w:val="single" w:color="auto" w:sz="4" w:space="0"/>
              <w:left w:val="single" w:color="auto" w:sz="4" w:space="0"/>
              <w:bottom w:val="single" w:color="auto" w:sz="4" w:space="0"/>
              <w:right w:val="single" w:color="auto" w:sz="4" w:space="0"/>
            </w:tcBorders>
            <w:vAlign w:val="center"/>
          </w:tcPr>
          <w:p w14:paraId="4F237412">
            <w:pPr>
              <w:autoSpaceDE w:val="0"/>
              <w:autoSpaceDN w:val="0"/>
              <w:adjustRightInd w:val="0"/>
              <w:spacing w:line="420" w:lineRule="exact"/>
              <w:jc w:val="center"/>
              <w:rPr>
                <w:rFonts w:ascii="宋体" w:hAnsi="宋体" w:cs="宋体"/>
                <w:kern w:val="0"/>
              </w:rPr>
            </w:pPr>
          </w:p>
        </w:tc>
        <w:tc>
          <w:tcPr>
            <w:tcW w:w="1135" w:type="dxa"/>
            <w:tcBorders>
              <w:top w:val="single" w:color="auto" w:sz="4" w:space="0"/>
              <w:left w:val="single" w:color="auto" w:sz="4" w:space="0"/>
              <w:bottom w:val="single" w:color="auto" w:sz="4" w:space="0"/>
              <w:right w:val="single" w:color="auto" w:sz="4" w:space="0"/>
            </w:tcBorders>
            <w:vAlign w:val="center"/>
          </w:tcPr>
          <w:p w14:paraId="6192F95A">
            <w:pPr>
              <w:autoSpaceDE w:val="0"/>
              <w:autoSpaceDN w:val="0"/>
              <w:adjustRightInd w:val="0"/>
              <w:spacing w:line="420" w:lineRule="exact"/>
              <w:jc w:val="center"/>
              <w:rPr>
                <w:rFonts w:ascii="宋体" w:hAnsi="宋体" w:cs="宋体"/>
                <w:kern w:val="0"/>
              </w:rPr>
            </w:pPr>
          </w:p>
        </w:tc>
        <w:tc>
          <w:tcPr>
            <w:tcW w:w="624" w:type="dxa"/>
            <w:tcBorders>
              <w:top w:val="single" w:color="auto" w:sz="4" w:space="0"/>
              <w:left w:val="single" w:color="auto" w:sz="4" w:space="0"/>
              <w:bottom w:val="single" w:color="auto" w:sz="4" w:space="0"/>
              <w:right w:val="single" w:color="auto" w:sz="4" w:space="0"/>
            </w:tcBorders>
            <w:vAlign w:val="center"/>
          </w:tcPr>
          <w:p w14:paraId="581D2B80">
            <w:pPr>
              <w:autoSpaceDE w:val="0"/>
              <w:autoSpaceDN w:val="0"/>
              <w:adjustRightInd w:val="0"/>
              <w:spacing w:line="420" w:lineRule="exact"/>
              <w:jc w:val="center"/>
              <w:rPr>
                <w:rFonts w:ascii="宋体" w:hAnsi="宋体" w:cs="宋体"/>
                <w:kern w:val="0"/>
              </w:rPr>
            </w:pPr>
          </w:p>
        </w:tc>
        <w:tc>
          <w:tcPr>
            <w:tcW w:w="880" w:type="dxa"/>
            <w:tcBorders>
              <w:top w:val="single" w:color="auto" w:sz="4" w:space="0"/>
              <w:left w:val="single" w:color="auto" w:sz="4" w:space="0"/>
              <w:bottom w:val="single" w:color="auto" w:sz="4" w:space="0"/>
              <w:right w:val="single" w:color="auto" w:sz="4" w:space="0"/>
            </w:tcBorders>
            <w:vAlign w:val="center"/>
          </w:tcPr>
          <w:p w14:paraId="780518B2">
            <w:pPr>
              <w:autoSpaceDE w:val="0"/>
              <w:autoSpaceDN w:val="0"/>
              <w:adjustRightInd w:val="0"/>
              <w:spacing w:line="420" w:lineRule="exact"/>
              <w:jc w:val="center"/>
              <w:rPr>
                <w:rFonts w:ascii="宋体" w:hAnsi="宋体" w:cs="宋体"/>
                <w:kern w:val="0"/>
              </w:rPr>
            </w:pPr>
          </w:p>
        </w:tc>
        <w:tc>
          <w:tcPr>
            <w:tcW w:w="880" w:type="dxa"/>
            <w:tcBorders>
              <w:top w:val="single" w:color="auto" w:sz="4" w:space="0"/>
              <w:left w:val="single" w:color="auto" w:sz="4" w:space="0"/>
              <w:bottom w:val="single" w:color="auto" w:sz="4" w:space="0"/>
              <w:right w:val="single" w:color="auto" w:sz="4" w:space="0"/>
            </w:tcBorders>
            <w:vAlign w:val="center"/>
          </w:tcPr>
          <w:p w14:paraId="0446426E">
            <w:pPr>
              <w:autoSpaceDE w:val="0"/>
              <w:autoSpaceDN w:val="0"/>
              <w:adjustRightInd w:val="0"/>
              <w:spacing w:line="420" w:lineRule="exact"/>
              <w:jc w:val="center"/>
              <w:rPr>
                <w:rFonts w:ascii="宋体" w:hAnsi="宋体" w:cs="宋体"/>
                <w:kern w:val="0"/>
              </w:rPr>
            </w:pPr>
          </w:p>
        </w:tc>
      </w:tr>
      <w:tr w14:paraId="45856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29ACA809">
            <w:pPr>
              <w:autoSpaceDE w:val="0"/>
              <w:autoSpaceDN w:val="0"/>
              <w:adjustRightInd w:val="0"/>
              <w:spacing w:line="420" w:lineRule="exact"/>
              <w:jc w:val="center"/>
              <w:rPr>
                <w:rFonts w:ascii="宋体" w:hAnsi="宋体" w:cs="宋体"/>
                <w:kern w:val="0"/>
              </w:rPr>
            </w:pPr>
          </w:p>
        </w:tc>
        <w:tc>
          <w:tcPr>
            <w:tcW w:w="1144" w:type="dxa"/>
            <w:tcBorders>
              <w:top w:val="single" w:color="auto" w:sz="4" w:space="0"/>
              <w:left w:val="single" w:color="auto" w:sz="4" w:space="0"/>
              <w:bottom w:val="single" w:color="auto" w:sz="4" w:space="0"/>
              <w:right w:val="single" w:color="auto" w:sz="4" w:space="0"/>
            </w:tcBorders>
            <w:vAlign w:val="center"/>
          </w:tcPr>
          <w:p w14:paraId="22C130BF">
            <w:pPr>
              <w:autoSpaceDE w:val="0"/>
              <w:autoSpaceDN w:val="0"/>
              <w:adjustRightInd w:val="0"/>
              <w:spacing w:line="420" w:lineRule="exact"/>
              <w:jc w:val="center"/>
              <w:rPr>
                <w:rFonts w:ascii="宋体" w:hAnsi="宋体" w:cs="宋体"/>
                <w:kern w:val="0"/>
              </w:rPr>
            </w:pPr>
          </w:p>
        </w:tc>
        <w:tc>
          <w:tcPr>
            <w:tcW w:w="880" w:type="dxa"/>
            <w:tcBorders>
              <w:top w:val="single" w:color="auto" w:sz="4" w:space="0"/>
              <w:left w:val="single" w:color="auto" w:sz="4" w:space="0"/>
              <w:bottom w:val="single" w:color="auto" w:sz="4" w:space="0"/>
              <w:right w:val="single" w:color="auto" w:sz="4" w:space="0"/>
            </w:tcBorders>
            <w:vAlign w:val="center"/>
          </w:tcPr>
          <w:p w14:paraId="5AA59411">
            <w:pPr>
              <w:autoSpaceDE w:val="0"/>
              <w:autoSpaceDN w:val="0"/>
              <w:adjustRightInd w:val="0"/>
              <w:spacing w:line="420" w:lineRule="exact"/>
              <w:jc w:val="center"/>
              <w:rPr>
                <w:rFonts w:ascii="宋体" w:hAnsi="宋体" w:cs="宋体"/>
                <w:kern w:val="0"/>
              </w:rPr>
            </w:pPr>
          </w:p>
        </w:tc>
        <w:tc>
          <w:tcPr>
            <w:tcW w:w="880" w:type="dxa"/>
            <w:tcBorders>
              <w:top w:val="single" w:color="auto" w:sz="4" w:space="0"/>
              <w:left w:val="single" w:color="auto" w:sz="4" w:space="0"/>
              <w:bottom w:val="single" w:color="auto" w:sz="4" w:space="0"/>
              <w:right w:val="single" w:color="auto" w:sz="4" w:space="0"/>
            </w:tcBorders>
            <w:vAlign w:val="center"/>
          </w:tcPr>
          <w:p w14:paraId="27090B24">
            <w:pPr>
              <w:autoSpaceDE w:val="0"/>
              <w:autoSpaceDN w:val="0"/>
              <w:adjustRightInd w:val="0"/>
              <w:spacing w:line="420" w:lineRule="exact"/>
              <w:jc w:val="center"/>
              <w:rPr>
                <w:rFonts w:ascii="宋体" w:hAnsi="宋体" w:cs="宋体"/>
                <w:kern w:val="0"/>
              </w:rPr>
            </w:pPr>
          </w:p>
        </w:tc>
        <w:tc>
          <w:tcPr>
            <w:tcW w:w="880" w:type="dxa"/>
            <w:tcBorders>
              <w:top w:val="single" w:color="auto" w:sz="4" w:space="0"/>
              <w:left w:val="single" w:color="auto" w:sz="4" w:space="0"/>
              <w:bottom w:val="single" w:color="auto" w:sz="4" w:space="0"/>
              <w:right w:val="single" w:color="auto" w:sz="4" w:space="0"/>
            </w:tcBorders>
            <w:vAlign w:val="center"/>
          </w:tcPr>
          <w:p w14:paraId="0DBE7CCB">
            <w:pPr>
              <w:autoSpaceDE w:val="0"/>
              <w:autoSpaceDN w:val="0"/>
              <w:adjustRightInd w:val="0"/>
              <w:spacing w:line="420" w:lineRule="exact"/>
              <w:jc w:val="center"/>
              <w:rPr>
                <w:rFonts w:ascii="宋体" w:hAnsi="宋体" w:cs="宋体"/>
                <w:kern w:val="0"/>
              </w:rPr>
            </w:pPr>
          </w:p>
        </w:tc>
        <w:tc>
          <w:tcPr>
            <w:tcW w:w="880" w:type="dxa"/>
            <w:tcBorders>
              <w:top w:val="single" w:color="auto" w:sz="4" w:space="0"/>
              <w:left w:val="single" w:color="auto" w:sz="4" w:space="0"/>
              <w:bottom w:val="single" w:color="auto" w:sz="4" w:space="0"/>
              <w:right w:val="single" w:color="auto" w:sz="4" w:space="0"/>
            </w:tcBorders>
            <w:vAlign w:val="center"/>
          </w:tcPr>
          <w:p w14:paraId="3536E79A">
            <w:pPr>
              <w:autoSpaceDE w:val="0"/>
              <w:autoSpaceDN w:val="0"/>
              <w:adjustRightInd w:val="0"/>
              <w:spacing w:line="420" w:lineRule="exact"/>
              <w:jc w:val="center"/>
              <w:rPr>
                <w:rFonts w:ascii="宋体" w:hAnsi="宋体" w:cs="宋体"/>
                <w:kern w:val="0"/>
              </w:rPr>
            </w:pPr>
          </w:p>
        </w:tc>
        <w:tc>
          <w:tcPr>
            <w:tcW w:w="1135" w:type="dxa"/>
            <w:tcBorders>
              <w:top w:val="single" w:color="auto" w:sz="4" w:space="0"/>
              <w:left w:val="single" w:color="auto" w:sz="4" w:space="0"/>
              <w:bottom w:val="single" w:color="auto" w:sz="4" w:space="0"/>
              <w:right w:val="single" w:color="auto" w:sz="4" w:space="0"/>
            </w:tcBorders>
            <w:vAlign w:val="center"/>
          </w:tcPr>
          <w:p w14:paraId="67519641">
            <w:pPr>
              <w:autoSpaceDE w:val="0"/>
              <w:autoSpaceDN w:val="0"/>
              <w:adjustRightInd w:val="0"/>
              <w:spacing w:line="420" w:lineRule="exact"/>
              <w:jc w:val="center"/>
              <w:rPr>
                <w:rFonts w:ascii="宋体" w:hAnsi="宋体" w:cs="宋体"/>
                <w:kern w:val="0"/>
              </w:rPr>
            </w:pPr>
          </w:p>
        </w:tc>
        <w:tc>
          <w:tcPr>
            <w:tcW w:w="624" w:type="dxa"/>
            <w:tcBorders>
              <w:top w:val="single" w:color="auto" w:sz="4" w:space="0"/>
              <w:left w:val="single" w:color="auto" w:sz="4" w:space="0"/>
              <w:bottom w:val="single" w:color="auto" w:sz="4" w:space="0"/>
              <w:right w:val="single" w:color="auto" w:sz="4" w:space="0"/>
            </w:tcBorders>
            <w:vAlign w:val="center"/>
          </w:tcPr>
          <w:p w14:paraId="64A54D41">
            <w:pPr>
              <w:autoSpaceDE w:val="0"/>
              <w:autoSpaceDN w:val="0"/>
              <w:adjustRightInd w:val="0"/>
              <w:spacing w:line="420" w:lineRule="exact"/>
              <w:jc w:val="center"/>
              <w:rPr>
                <w:rFonts w:ascii="宋体" w:hAnsi="宋体" w:cs="宋体"/>
                <w:kern w:val="0"/>
              </w:rPr>
            </w:pPr>
          </w:p>
        </w:tc>
        <w:tc>
          <w:tcPr>
            <w:tcW w:w="880" w:type="dxa"/>
            <w:tcBorders>
              <w:top w:val="single" w:color="auto" w:sz="4" w:space="0"/>
              <w:left w:val="single" w:color="auto" w:sz="4" w:space="0"/>
              <w:bottom w:val="single" w:color="auto" w:sz="4" w:space="0"/>
              <w:right w:val="single" w:color="auto" w:sz="4" w:space="0"/>
            </w:tcBorders>
            <w:vAlign w:val="center"/>
          </w:tcPr>
          <w:p w14:paraId="61CD1604">
            <w:pPr>
              <w:autoSpaceDE w:val="0"/>
              <w:autoSpaceDN w:val="0"/>
              <w:adjustRightInd w:val="0"/>
              <w:spacing w:line="420" w:lineRule="exact"/>
              <w:jc w:val="center"/>
              <w:rPr>
                <w:rFonts w:ascii="宋体" w:hAnsi="宋体" w:cs="宋体"/>
                <w:kern w:val="0"/>
              </w:rPr>
            </w:pPr>
          </w:p>
        </w:tc>
        <w:tc>
          <w:tcPr>
            <w:tcW w:w="880" w:type="dxa"/>
            <w:tcBorders>
              <w:top w:val="single" w:color="auto" w:sz="4" w:space="0"/>
              <w:left w:val="single" w:color="auto" w:sz="4" w:space="0"/>
              <w:bottom w:val="single" w:color="auto" w:sz="4" w:space="0"/>
              <w:right w:val="single" w:color="auto" w:sz="4" w:space="0"/>
            </w:tcBorders>
            <w:vAlign w:val="center"/>
          </w:tcPr>
          <w:p w14:paraId="67084641">
            <w:pPr>
              <w:autoSpaceDE w:val="0"/>
              <w:autoSpaceDN w:val="0"/>
              <w:adjustRightInd w:val="0"/>
              <w:spacing w:line="420" w:lineRule="exact"/>
              <w:jc w:val="center"/>
              <w:rPr>
                <w:rFonts w:ascii="宋体" w:hAnsi="宋体" w:cs="宋体"/>
                <w:kern w:val="0"/>
              </w:rPr>
            </w:pPr>
          </w:p>
        </w:tc>
      </w:tr>
      <w:tr w14:paraId="0136D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3ACCFED9">
            <w:pPr>
              <w:autoSpaceDE w:val="0"/>
              <w:autoSpaceDN w:val="0"/>
              <w:adjustRightInd w:val="0"/>
              <w:spacing w:line="420" w:lineRule="exact"/>
              <w:jc w:val="center"/>
              <w:rPr>
                <w:rFonts w:ascii="宋体" w:hAnsi="宋体" w:cs="宋体"/>
                <w:kern w:val="0"/>
              </w:rPr>
            </w:pPr>
          </w:p>
        </w:tc>
        <w:tc>
          <w:tcPr>
            <w:tcW w:w="1144" w:type="dxa"/>
            <w:tcBorders>
              <w:top w:val="single" w:color="auto" w:sz="4" w:space="0"/>
              <w:left w:val="single" w:color="auto" w:sz="4" w:space="0"/>
              <w:bottom w:val="single" w:color="auto" w:sz="4" w:space="0"/>
              <w:right w:val="single" w:color="auto" w:sz="4" w:space="0"/>
            </w:tcBorders>
            <w:vAlign w:val="center"/>
          </w:tcPr>
          <w:p w14:paraId="389F6504">
            <w:pPr>
              <w:autoSpaceDE w:val="0"/>
              <w:autoSpaceDN w:val="0"/>
              <w:adjustRightInd w:val="0"/>
              <w:spacing w:line="420" w:lineRule="exact"/>
              <w:jc w:val="center"/>
              <w:rPr>
                <w:rFonts w:ascii="宋体" w:hAnsi="宋体" w:cs="宋体"/>
                <w:kern w:val="0"/>
              </w:rPr>
            </w:pPr>
          </w:p>
        </w:tc>
        <w:tc>
          <w:tcPr>
            <w:tcW w:w="880" w:type="dxa"/>
            <w:tcBorders>
              <w:top w:val="single" w:color="auto" w:sz="4" w:space="0"/>
              <w:left w:val="single" w:color="auto" w:sz="4" w:space="0"/>
              <w:bottom w:val="single" w:color="auto" w:sz="4" w:space="0"/>
              <w:right w:val="single" w:color="auto" w:sz="4" w:space="0"/>
            </w:tcBorders>
            <w:vAlign w:val="center"/>
          </w:tcPr>
          <w:p w14:paraId="3B66E62F">
            <w:pPr>
              <w:autoSpaceDE w:val="0"/>
              <w:autoSpaceDN w:val="0"/>
              <w:adjustRightInd w:val="0"/>
              <w:spacing w:line="420" w:lineRule="exact"/>
              <w:jc w:val="center"/>
              <w:rPr>
                <w:rFonts w:ascii="宋体" w:hAnsi="宋体" w:cs="宋体"/>
                <w:kern w:val="0"/>
              </w:rPr>
            </w:pPr>
          </w:p>
        </w:tc>
        <w:tc>
          <w:tcPr>
            <w:tcW w:w="880" w:type="dxa"/>
            <w:tcBorders>
              <w:top w:val="single" w:color="auto" w:sz="4" w:space="0"/>
              <w:left w:val="single" w:color="auto" w:sz="4" w:space="0"/>
              <w:bottom w:val="single" w:color="auto" w:sz="4" w:space="0"/>
              <w:right w:val="single" w:color="auto" w:sz="4" w:space="0"/>
            </w:tcBorders>
            <w:vAlign w:val="center"/>
          </w:tcPr>
          <w:p w14:paraId="2AD30CBA">
            <w:pPr>
              <w:autoSpaceDE w:val="0"/>
              <w:autoSpaceDN w:val="0"/>
              <w:adjustRightInd w:val="0"/>
              <w:spacing w:line="420" w:lineRule="exact"/>
              <w:jc w:val="center"/>
              <w:rPr>
                <w:rFonts w:ascii="宋体" w:hAnsi="宋体" w:cs="宋体"/>
                <w:kern w:val="0"/>
              </w:rPr>
            </w:pPr>
          </w:p>
        </w:tc>
        <w:tc>
          <w:tcPr>
            <w:tcW w:w="880" w:type="dxa"/>
            <w:tcBorders>
              <w:top w:val="single" w:color="auto" w:sz="4" w:space="0"/>
              <w:left w:val="single" w:color="auto" w:sz="4" w:space="0"/>
              <w:bottom w:val="single" w:color="auto" w:sz="4" w:space="0"/>
              <w:right w:val="single" w:color="auto" w:sz="4" w:space="0"/>
            </w:tcBorders>
            <w:vAlign w:val="center"/>
          </w:tcPr>
          <w:p w14:paraId="6829828A">
            <w:pPr>
              <w:autoSpaceDE w:val="0"/>
              <w:autoSpaceDN w:val="0"/>
              <w:adjustRightInd w:val="0"/>
              <w:spacing w:line="420" w:lineRule="exact"/>
              <w:jc w:val="center"/>
              <w:rPr>
                <w:rFonts w:ascii="宋体" w:hAnsi="宋体" w:cs="宋体"/>
                <w:kern w:val="0"/>
              </w:rPr>
            </w:pPr>
          </w:p>
        </w:tc>
        <w:tc>
          <w:tcPr>
            <w:tcW w:w="880" w:type="dxa"/>
            <w:tcBorders>
              <w:top w:val="single" w:color="auto" w:sz="4" w:space="0"/>
              <w:left w:val="single" w:color="auto" w:sz="4" w:space="0"/>
              <w:bottom w:val="single" w:color="auto" w:sz="4" w:space="0"/>
              <w:right w:val="single" w:color="auto" w:sz="4" w:space="0"/>
            </w:tcBorders>
            <w:vAlign w:val="center"/>
          </w:tcPr>
          <w:p w14:paraId="3FDB9FBB">
            <w:pPr>
              <w:autoSpaceDE w:val="0"/>
              <w:autoSpaceDN w:val="0"/>
              <w:adjustRightInd w:val="0"/>
              <w:spacing w:line="420" w:lineRule="exact"/>
              <w:jc w:val="center"/>
              <w:rPr>
                <w:rFonts w:ascii="宋体" w:hAnsi="宋体" w:cs="宋体"/>
                <w:kern w:val="0"/>
              </w:rPr>
            </w:pPr>
          </w:p>
        </w:tc>
        <w:tc>
          <w:tcPr>
            <w:tcW w:w="1135" w:type="dxa"/>
            <w:tcBorders>
              <w:top w:val="single" w:color="auto" w:sz="4" w:space="0"/>
              <w:left w:val="single" w:color="auto" w:sz="4" w:space="0"/>
              <w:bottom w:val="single" w:color="auto" w:sz="4" w:space="0"/>
              <w:right w:val="single" w:color="auto" w:sz="4" w:space="0"/>
            </w:tcBorders>
            <w:vAlign w:val="center"/>
          </w:tcPr>
          <w:p w14:paraId="67CFEABB">
            <w:pPr>
              <w:autoSpaceDE w:val="0"/>
              <w:autoSpaceDN w:val="0"/>
              <w:adjustRightInd w:val="0"/>
              <w:spacing w:line="420" w:lineRule="exact"/>
              <w:jc w:val="center"/>
              <w:rPr>
                <w:rFonts w:ascii="宋体" w:hAnsi="宋体" w:cs="宋体"/>
                <w:kern w:val="0"/>
              </w:rPr>
            </w:pPr>
          </w:p>
        </w:tc>
        <w:tc>
          <w:tcPr>
            <w:tcW w:w="624" w:type="dxa"/>
            <w:tcBorders>
              <w:top w:val="single" w:color="auto" w:sz="4" w:space="0"/>
              <w:left w:val="single" w:color="auto" w:sz="4" w:space="0"/>
              <w:bottom w:val="single" w:color="auto" w:sz="4" w:space="0"/>
              <w:right w:val="single" w:color="auto" w:sz="4" w:space="0"/>
            </w:tcBorders>
            <w:vAlign w:val="center"/>
          </w:tcPr>
          <w:p w14:paraId="504F544C">
            <w:pPr>
              <w:autoSpaceDE w:val="0"/>
              <w:autoSpaceDN w:val="0"/>
              <w:adjustRightInd w:val="0"/>
              <w:spacing w:line="420" w:lineRule="exact"/>
              <w:jc w:val="center"/>
              <w:rPr>
                <w:rFonts w:ascii="宋体" w:hAnsi="宋体" w:cs="宋体"/>
                <w:kern w:val="0"/>
              </w:rPr>
            </w:pPr>
          </w:p>
        </w:tc>
        <w:tc>
          <w:tcPr>
            <w:tcW w:w="880" w:type="dxa"/>
            <w:tcBorders>
              <w:top w:val="single" w:color="auto" w:sz="4" w:space="0"/>
              <w:left w:val="single" w:color="auto" w:sz="4" w:space="0"/>
              <w:bottom w:val="single" w:color="auto" w:sz="4" w:space="0"/>
              <w:right w:val="single" w:color="auto" w:sz="4" w:space="0"/>
            </w:tcBorders>
            <w:vAlign w:val="center"/>
          </w:tcPr>
          <w:p w14:paraId="4D91D6CF">
            <w:pPr>
              <w:autoSpaceDE w:val="0"/>
              <w:autoSpaceDN w:val="0"/>
              <w:adjustRightInd w:val="0"/>
              <w:spacing w:line="420" w:lineRule="exact"/>
              <w:jc w:val="center"/>
              <w:rPr>
                <w:rFonts w:ascii="宋体" w:hAnsi="宋体" w:cs="宋体"/>
                <w:kern w:val="0"/>
              </w:rPr>
            </w:pPr>
          </w:p>
        </w:tc>
        <w:tc>
          <w:tcPr>
            <w:tcW w:w="880" w:type="dxa"/>
            <w:tcBorders>
              <w:top w:val="single" w:color="auto" w:sz="4" w:space="0"/>
              <w:left w:val="single" w:color="auto" w:sz="4" w:space="0"/>
              <w:bottom w:val="single" w:color="auto" w:sz="4" w:space="0"/>
              <w:right w:val="single" w:color="auto" w:sz="4" w:space="0"/>
            </w:tcBorders>
            <w:vAlign w:val="center"/>
          </w:tcPr>
          <w:p w14:paraId="1D5B5BF1">
            <w:pPr>
              <w:autoSpaceDE w:val="0"/>
              <w:autoSpaceDN w:val="0"/>
              <w:adjustRightInd w:val="0"/>
              <w:spacing w:line="420" w:lineRule="exact"/>
              <w:jc w:val="center"/>
              <w:rPr>
                <w:rFonts w:ascii="宋体" w:hAnsi="宋体" w:cs="宋体"/>
                <w:kern w:val="0"/>
              </w:rPr>
            </w:pPr>
          </w:p>
        </w:tc>
      </w:tr>
      <w:tr w14:paraId="60605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653C944A">
            <w:pPr>
              <w:autoSpaceDE w:val="0"/>
              <w:autoSpaceDN w:val="0"/>
              <w:adjustRightInd w:val="0"/>
              <w:spacing w:line="420" w:lineRule="exact"/>
              <w:jc w:val="center"/>
              <w:rPr>
                <w:rFonts w:ascii="宋体" w:hAnsi="宋体" w:cs="宋体"/>
                <w:kern w:val="0"/>
              </w:rPr>
            </w:pPr>
          </w:p>
        </w:tc>
        <w:tc>
          <w:tcPr>
            <w:tcW w:w="1144" w:type="dxa"/>
            <w:tcBorders>
              <w:top w:val="single" w:color="auto" w:sz="4" w:space="0"/>
              <w:left w:val="single" w:color="auto" w:sz="4" w:space="0"/>
              <w:bottom w:val="single" w:color="auto" w:sz="4" w:space="0"/>
              <w:right w:val="single" w:color="auto" w:sz="4" w:space="0"/>
            </w:tcBorders>
            <w:vAlign w:val="center"/>
          </w:tcPr>
          <w:p w14:paraId="5A066E05">
            <w:pPr>
              <w:autoSpaceDE w:val="0"/>
              <w:autoSpaceDN w:val="0"/>
              <w:adjustRightInd w:val="0"/>
              <w:spacing w:line="420" w:lineRule="exact"/>
              <w:jc w:val="center"/>
              <w:rPr>
                <w:rFonts w:ascii="宋体" w:hAnsi="宋体" w:cs="宋体"/>
                <w:kern w:val="0"/>
              </w:rPr>
            </w:pPr>
          </w:p>
        </w:tc>
        <w:tc>
          <w:tcPr>
            <w:tcW w:w="880" w:type="dxa"/>
            <w:tcBorders>
              <w:top w:val="single" w:color="auto" w:sz="4" w:space="0"/>
              <w:left w:val="single" w:color="auto" w:sz="4" w:space="0"/>
              <w:bottom w:val="single" w:color="auto" w:sz="4" w:space="0"/>
              <w:right w:val="single" w:color="auto" w:sz="4" w:space="0"/>
            </w:tcBorders>
            <w:vAlign w:val="center"/>
          </w:tcPr>
          <w:p w14:paraId="08090513">
            <w:pPr>
              <w:autoSpaceDE w:val="0"/>
              <w:autoSpaceDN w:val="0"/>
              <w:adjustRightInd w:val="0"/>
              <w:spacing w:line="420" w:lineRule="exact"/>
              <w:jc w:val="center"/>
              <w:rPr>
                <w:rFonts w:ascii="宋体" w:hAnsi="宋体" w:cs="宋体"/>
                <w:kern w:val="0"/>
              </w:rPr>
            </w:pPr>
          </w:p>
        </w:tc>
        <w:tc>
          <w:tcPr>
            <w:tcW w:w="880" w:type="dxa"/>
            <w:tcBorders>
              <w:top w:val="single" w:color="auto" w:sz="4" w:space="0"/>
              <w:left w:val="single" w:color="auto" w:sz="4" w:space="0"/>
              <w:bottom w:val="single" w:color="auto" w:sz="4" w:space="0"/>
              <w:right w:val="single" w:color="auto" w:sz="4" w:space="0"/>
            </w:tcBorders>
            <w:vAlign w:val="center"/>
          </w:tcPr>
          <w:p w14:paraId="130BB9C6">
            <w:pPr>
              <w:autoSpaceDE w:val="0"/>
              <w:autoSpaceDN w:val="0"/>
              <w:adjustRightInd w:val="0"/>
              <w:spacing w:line="420" w:lineRule="exact"/>
              <w:jc w:val="center"/>
              <w:rPr>
                <w:rFonts w:ascii="宋体" w:hAnsi="宋体" w:cs="宋体"/>
                <w:kern w:val="0"/>
              </w:rPr>
            </w:pPr>
          </w:p>
        </w:tc>
        <w:tc>
          <w:tcPr>
            <w:tcW w:w="880" w:type="dxa"/>
            <w:tcBorders>
              <w:top w:val="single" w:color="auto" w:sz="4" w:space="0"/>
              <w:left w:val="single" w:color="auto" w:sz="4" w:space="0"/>
              <w:bottom w:val="single" w:color="auto" w:sz="4" w:space="0"/>
              <w:right w:val="single" w:color="auto" w:sz="4" w:space="0"/>
            </w:tcBorders>
            <w:vAlign w:val="center"/>
          </w:tcPr>
          <w:p w14:paraId="6C8F2FF0">
            <w:pPr>
              <w:autoSpaceDE w:val="0"/>
              <w:autoSpaceDN w:val="0"/>
              <w:adjustRightInd w:val="0"/>
              <w:spacing w:line="420" w:lineRule="exact"/>
              <w:jc w:val="center"/>
              <w:rPr>
                <w:rFonts w:ascii="宋体" w:hAnsi="宋体" w:cs="宋体"/>
                <w:kern w:val="0"/>
              </w:rPr>
            </w:pPr>
          </w:p>
        </w:tc>
        <w:tc>
          <w:tcPr>
            <w:tcW w:w="880" w:type="dxa"/>
            <w:tcBorders>
              <w:top w:val="single" w:color="auto" w:sz="4" w:space="0"/>
              <w:left w:val="single" w:color="auto" w:sz="4" w:space="0"/>
              <w:bottom w:val="single" w:color="auto" w:sz="4" w:space="0"/>
              <w:right w:val="single" w:color="auto" w:sz="4" w:space="0"/>
            </w:tcBorders>
            <w:vAlign w:val="center"/>
          </w:tcPr>
          <w:p w14:paraId="63AFCD8E">
            <w:pPr>
              <w:autoSpaceDE w:val="0"/>
              <w:autoSpaceDN w:val="0"/>
              <w:adjustRightInd w:val="0"/>
              <w:spacing w:line="420" w:lineRule="exact"/>
              <w:jc w:val="center"/>
              <w:rPr>
                <w:rFonts w:ascii="宋体" w:hAnsi="宋体" w:cs="宋体"/>
                <w:kern w:val="0"/>
              </w:rPr>
            </w:pPr>
          </w:p>
        </w:tc>
        <w:tc>
          <w:tcPr>
            <w:tcW w:w="1135" w:type="dxa"/>
            <w:tcBorders>
              <w:top w:val="single" w:color="auto" w:sz="4" w:space="0"/>
              <w:left w:val="single" w:color="auto" w:sz="4" w:space="0"/>
              <w:bottom w:val="single" w:color="auto" w:sz="4" w:space="0"/>
              <w:right w:val="single" w:color="auto" w:sz="4" w:space="0"/>
            </w:tcBorders>
            <w:vAlign w:val="center"/>
          </w:tcPr>
          <w:p w14:paraId="64332023">
            <w:pPr>
              <w:autoSpaceDE w:val="0"/>
              <w:autoSpaceDN w:val="0"/>
              <w:adjustRightInd w:val="0"/>
              <w:spacing w:line="420" w:lineRule="exact"/>
              <w:jc w:val="center"/>
              <w:rPr>
                <w:rFonts w:ascii="宋体" w:hAnsi="宋体" w:cs="宋体"/>
                <w:kern w:val="0"/>
              </w:rPr>
            </w:pPr>
          </w:p>
        </w:tc>
        <w:tc>
          <w:tcPr>
            <w:tcW w:w="624" w:type="dxa"/>
            <w:tcBorders>
              <w:top w:val="single" w:color="auto" w:sz="4" w:space="0"/>
              <w:left w:val="single" w:color="auto" w:sz="4" w:space="0"/>
              <w:bottom w:val="single" w:color="auto" w:sz="4" w:space="0"/>
              <w:right w:val="single" w:color="auto" w:sz="4" w:space="0"/>
            </w:tcBorders>
            <w:vAlign w:val="center"/>
          </w:tcPr>
          <w:p w14:paraId="5E82E7A8">
            <w:pPr>
              <w:autoSpaceDE w:val="0"/>
              <w:autoSpaceDN w:val="0"/>
              <w:adjustRightInd w:val="0"/>
              <w:spacing w:line="420" w:lineRule="exact"/>
              <w:jc w:val="center"/>
              <w:rPr>
                <w:rFonts w:ascii="宋体" w:hAnsi="宋体" w:cs="宋体"/>
                <w:kern w:val="0"/>
              </w:rPr>
            </w:pPr>
          </w:p>
        </w:tc>
        <w:tc>
          <w:tcPr>
            <w:tcW w:w="880" w:type="dxa"/>
            <w:tcBorders>
              <w:top w:val="single" w:color="auto" w:sz="4" w:space="0"/>
              <w:left w:val="single" w:color="auto" w:sz="4" w:space="0"/>
              <w:bottom w:val="single" w:color="auto" w:sz="4" w:space="0"/>
              <w:right w:val="single" w:color="auto" w:sz="4" w:space="0"/>
            </w:tcBorders>
            <w:vAlign w:val="center"/>
          </w:tcPr>
          <w:p w14:paraId="5C91785B">
            <w:pPr>
              <w:autoSpaceDE w:val="0"/>
              <w:autoSpaceDN w:val="0"/>
              <w:adjustRightInd w:val="0"/>
              <w:spacing w:line="420" w:lineRule="exact"/>
              <w:jc w:val="center"/>
              <w:rPr>
                <w:rFonts w:ascii="宋体" w:hAnsi="宋体" w:cs="宋体"/>
                <w:kern w:val="0"/>
              </w:rPr>
            </w:pPr>
          </w:p>
        </w:tc>
        <w:tc>
          <w:tcPr>
            <w:tcW w:w="880" w:type="dxa"/>
            <w:tcBorders>
              <w:top w:val="single" w:color="auto" w:sz="4" w:space="0"/>
              <w:left w:val="single" w:color="auto" w:sz="4" w:space="0"/>
              <w:bottom w:val="single" w:color="auto" w:sz="4" w:space="0"/>
              <w:right w:val="single" w:color="auto" w:sz="4" w:space="0"/>
            </w:tcBorders>
            <w:vAlign w:val="center"/>
          </w:tcPr>
          <w:p w14:paraId="4E97BB1B">
            <w:pPr>
              <w:autoSpaceDE w:val="0"/>
              <w:autoSpaceDN w:val="0"/>
              <w:adjustRightInd w:val="0"/>
              <w:spacing w:line="420" w:lineRule="exact"/>
              <w:jc w:val="center"/>
              <w:rPr>
                <w:rFonts w:ascii="宋体" w:hAnsi="宋体" w:cs="宋体"/>
                <w:kern w:val="0"/>
              </w:rPr>
            </w:pPr>
          </w:p>
        </w:tc>
      </w:tr>
    </w:tbl>
    <w:p w14:paraId="65038EA4">
      <w:pPr>
        <w:autoSpaceDE w:val="0"/>
        <w:autoSpaceDN w:val="0"/>
        <w:adjustRightInd w:val="0"/>
        <w:spacing w:line="420" w:lineRule="exact"/>
        <w:jc w:val="left"/>
        <w:rPr>
          <w:rFonts w:ascii="宋体" w:hAnsi="宋体" w:cs="宋体"/>
          <w:kern w:val="0"/>
        </w:rPr>
      </w:pPr>
    </w:p>
    <w:p w14:paraId="74878EFD">
      <w:pPr>
        <w:autoSpaceDE w:val="0"/>
        <w:autoSpaceDN w:val="0"/>
        <w:adjustRightInd w:val="0"/>
        <w:spacing w:line="420" w:lineRule="exact"/>
        <w:jc w:val="left"/>
        <w:rPr>
          <w:rFonts w:ascii="宋体" w:hAnsi="宋体" w:cs="宋体"/>
          <w:kern w:val="0"/>
        </w:rPr>
      </w:pPr>
      <w:r>
        <w:rPr>
          <w:rFonts w:hint="eastAsia" w:ascii="宋体" w:hAnsi="宋体" w:cs="宋体"/>
          <w:kern w:val="0"/>
        </w:rPr>
        <w:t>附表二：拟配备本</w:t>
      </w:r>
      <w:r>
        <w:rPr>
          <w:rFonts w:hint="eastAsia" w:ascii="宋体" w:hAnsi="宋体" w:cs="宋体"/>
          <w:kern w:val="0"/>
          <w:lang w:eastAsia="zh-CN"/>
        </w:rPr>
        <w:t>项目</w:t>
      </w:r>
      <w:r>
        <w:rPr>
          <w:rFonts w:hint="eastAsia" w:ascii="宋体" w:hAnsi="宋体" w:cs="宋体"/>
          <w:kern w:val="0"/>
        </w:rPr>
        <w:t>的试验和检测仪器设备表</w:t>
      </w:r>
    </w:p>
    <w:p w14:paraId="3FB4A4E7">
      <w:pPr>
        <w:autoSpaceDE w:val="0"/>
        <w:autoSpaceDN w:val="0"/>
        <w:adjustRightInd w:val="0"/>
        <w:spacing w:line="420" w:lineRule="exact"/>
        <w:jc w:val="left"/>
        <w:rPr>
          <w:rFonts w:ascii="宋体" w:hAnsi="宋体" w:cs="宋体"/>
          <w:kern w:val="0"/>
        </w:rPr>
      </w:pPr>
    </w:p>
    <w:tbl>
      <w:tblPr>
        <w:tblStyle w:val="34"/>
        <w:tblW w:w="8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171"/>
        <w:gridCol w:w="978"/>
        <w:gridCol w:w="978"/>
        <w:gridCol w:w="976"/>
        <w:gridCol w:w="842"/>
        <w:gridCol w:w="1112"/>
        <w:gridCol w:w="978"/>
        <w:gridCol w:w="974"/>
      </w:tblGrid>
      <w:tr w14:paraId="61BED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021022AE">
            <w:pPr>
              <w:autoSpaceDE w:val="0"/>
              <w:autoSpaceDN w:val="0"/>
              <w:adjustRightInd w:val="0"/>
              <w:jc w:val="center"/>
              <w:rPr>
                <w:rFonts w:ascii="宋体" w:hAnsi="宋体" w:cs="宋体"/>
                <w:kern w:val="0"/>
              </w:rPr>
            </w:pPr>
            <w:r>
              <w:rPr>
                <w:rFonts w:hint="eastAsia" w:ascii="宋体" w:hAnsi="宋体" w:cs="宋体"/>
                <w:kern w:val="0"/>
              </w:rPr>
              <w:t>序号</w:t>
            </w:r>
          </w:p>
        </w:tc>
        <w:tc>
          <w:tcPr>
            <w:tcW w:w="1171" w:type="dxa"/>
            <w:tcBorders>
              <w:top w:val="single" w:color="auto" w:sz="4" w:space="0"/>
              <w:left w:val="single" w:color="auto" w:sz="4" w:space="0"/>
              <w:bottom w:val="single" w:color="auto" w:sz="4" w:space="0"/>
              <w:right w:val="single" w:color="auto" w:sz="4" w:space="0"/>
            </w:tcBorders>
            <w:vAlign w:val="center"/>
          </w:tcPr>
          <w:p w14:paraId="38887310">
            <w:pPr>
              <w:autoSpaceDE w:val="0"/>
              <w:autoSpaceDN w:val="0"/>
              <w:adjustRightInd w:val="0"/>
              <w:jc w:val="center"/>
              <w:rPr>
                <w:rFonts w:ascii="宋体" w:hAnsi="宋体" w:cs="宋体"/>
                <w:kern w:val="0"/>
              </w:rPr>
            </w:pPr>
            <w:r>
              <w:rPr>
                <w:rFonts w:hint="eastAsia" w:ascii="宋体" w:hAnsi="宋体" w:cs="宋体"/>
                <w:kern w:val="0"/>
              </w:rPr>
              <w:t>仪器设备</w:t>
            </w:r>
          </w:p>
          <w:p w14:paraId="5BDF2893">
            <w:pPr>
              <w:autoSpaceDE w:val="0"/>
              <w:autoSpaceDN w:val="0"/>
              <w:adjustRightInd w:val="0"/>
              <w:jc w:val="center"/>
              <w:rPr>
                <w:rFonts w:ascii="宋体" w:hAnsi="宋体" w:cs="宋体"/>
                <w:kern w:val="0"/>
              </w:rPr>
            </w:pPr>
            <w:r>
              <w:rPr>
                <w:rFonts w:hint="eastAsia" w:ascii="宋体" w:hAnsi="宋体" w:cs="宋体"/>
                <w:kern w:val="0"/>
              </w:rPr>
              <w:t>名称</w:t>
            </w:r>
          </w:p>
        </w:tc>
        <w:tc>
          <w:tcPr>
            <w:tcW w:w="978" w:type="dxa"/>
            <w:tcBorders>
              <w:top w:val="single" w:color="auto" w:sz="4" w:space="0"/>
              <w:left w:val="single" w:color="auto" w:sz="4" w:space="0"/>
              <w:bottom w:val="single" w:color="auto" w:sz="4" w:space="0"/>
              <w:right w:val="single" w:color="auto" w:sz="4" w:space="0"/>
            </w:tcBorders>
            <w:vAlign w:val="center"/>
          </w:tcPr>
          <w:p w14:paraId="6727D51C">
            <w:pPr>
              <w:autoSpaceDE w:val="0"/>
              <w:autoSpaceDN w:val="0"/>
              <w:adjustRightInd w:val="0"/>
              <w:jc w:val="center"/>
              <w:rPr>
                <w:rFonts w:ascii="宋体" w:hAnsi="宋体" w:cs="宋体"/>
                <w:kern w:val="0"/>
              </w:rPr>
            </w:pPr>
            <w:r>
              <w:rPr>
                <w:rFonts w:hint="eastAsia" w:ascii="宋体" w:hAnsi="宋体" w:cs="宋体"/>
                <w:kern w:val="0"/>
              </w:rPr>
              <w:t>型号</w:t>
            </w:r>
          </w:p>
          <w:p w14:paraId="0C05E8D3">
            <w:pPr>
              <w:autoSpaceDE w:val="0"/>
              <w:autoSpaceDN w:val="0"/>
              <w:adjustRightInd w:val="0"/>
              <w:jc w:val="center"/>
              <w:rPr>
                <w:rFonts w:ascii="宋体" w:hAnsi="宋体" w:cs="宋体"/>
                <w:kern w:val="0"/>
              </w:rPr>
            </w:pPr>
            <w:r>
              <w:rPr>
                <w:rFonts w:hint="eastAsia" w:ascii="宋体" w:hAnsi="宋体" w:cs="宋体"/>
                <w:kern w:val="0"/>
              </w:rPr>
              <w:t>规格</w:t>
            </w:r>
          </w:p>
        </w:tc>
        <w:tc>
          <w:tcPr>
            <w:tcW w:w="978" w:type="dxa"/>
            <w:tcBorders>
              <w:top w:val="single" w:color="auto" w:sz="4" w:space="0"/>
              <w:left w:val="single" w:color="auto" w:sz="4" w:space="0"/>
              <w:bottom w:val="single" w:color="auto" w:sz="4" w:space="0"/>
              <w:right w:val="single" w:color="auto" w:sz="4" w:space="0"/>
            </w:tcBorders>
            <w:vAlign w:val="center"/>
          </w:tcPr>
          <w:p w14:paraId="4317054C">
            <w:pPr>
              <w:autoSpaceDE w:val="0"/>
              <w:autoSpaceDN w:val="0"/>
              <w:adjustRightInd w:val="0"/>
              <w:jc w:val="center"/>
              <w:rPr>
                <w:rFonts w:ascii="宋体" w:hAnsi="宋体" w:cs="宋体"/>
                <w:kern w:val="0"/>
              </w:rPr>
            </w:pPr>
            <w:r>
              <w:rPr>
                <w:rFonts w:hint="eastAsia" w:ascii="宋体" w:hAnsi="宋体" w:cs="宋体"/>
                <w:kern w:val="0"/>
              </w:rPr>
              <w:t>数量</w:t>
            </w:r>
          </w:p>
        </w:tc>
        <w:tc>
          <w:tcPr>
            <w:tcW w:w="976" w:type="dxa"/>
            <w:tcBorders>
              <w:top w:val="single" w:color="auto" w:sz="4" w:space="0"/>
              <w:left w:val="single" w:color="auto" w:sz="4" w:space="0"/>
              <w:bottom w:val="single" w:color="auto" w:sz="4" w:space="0"/>
              <w:right w:val="single" w:color="auto" w:sz="4" w:space="0"/>
            </w:tcBorders>
            <w:vAlign w:val="center"/>
          </w:tcPr>
          <w:p w14:paraId="4E0C6AEF">
            <w:pPr>
              <w:autoSpaceDE w:val="0"/>
              <w:autoSpaceDN w:val="0"/>
              <w:adjustRightInd w:val="0"/>
              <w:jc w:val="center"/>
              <w:rPr>
                <w:rFonts w:ascii="宋体" w:hAnsi="宋体" w:cs="宋体"/>
                <w:kern w:val="0"/>
              </w:rPr>
            </w:pPr>
            <w:r>
              <w:rPr>
                <w:rFonts w:hint="eastAsia" w:ascii="宋体" w:hAnsi="宋体" w:cs="宋体"/>
                <w:kern w:val="0"/>
              </w:rPr>
              <w:t>国别</w:t>
            </w:r>
          </w:p>
          <w:p w14:paraId="3235B445">
            <w:pPr>
              <w:autoSpaceDE w:val="0"/>
              <w:autoSpaceDN w:val="0"/>
              <w:adjustRightInd w:val="0"/>
              <w:jc w:val="center"/>
              <w:rPr>
                <w:rFonts w:ascii="宋体" w:hAnsi="宋体" w:cs="宋体"/>
                <w:kern w:val="0"/>
              </w:rPr>
            </w:pPr>
            <w:r>
              <w:rPr>
                <w:rFonts w:hint="eastAsia" w:ascii="宋体" w:hAnsi="宋体" w:cs="宋体"/>
                <w:kern w:val="0"/>
              </w:rPr>
              <w:t>产地</w:t>
            </w:r>
          </w:p>
        </w:tc>
        <w:tc>
          <w:tcPr>
            <w:tcW w:w="842" w:type="dxa"/>
            <w:tcBorders>
              <w:top w:val="single" w:color="auto" w:sz="4" w:space="0"/>
              <w:left w:val="single" w:color="auto" w:sz="4" w:space="0"/>
              <w:bottom w:val="single" w:color="auto" w:sz="4" w:space="0"/>
              <w:right w:val="single" w:color="auto" w:sz="4" w:space="0"/>
            </w:tcBorders>
            <w:vAlign w:val="center"/>
          </w:tcPr>
          <w:p w14:paraId="17DD6BB2">
            <w:pPr>
              <w:autoSpaceDE w:val="0"/>
              <w:autoSpaceDN w:val="0"/>
              <w:adjustRightInd w:val="0"/>
              <w:jc w:val="center"/>
              <w:rPr>
                <w:rFonts w:ascii="宋体" w:hAnsi="宋体" w:cs="宋体"/>
                <w:kern w:val="0"/>
              </w:rPr>
            </w:pPr>
            <w:r>
              <w:rPr>
                <w:rFonts w:hint="eastAsia" w:ascii="宋体" w:hAnsi="宋体" w:cs="宋体"/>
                <w:kern w:val="0"/>
              </w:rPr>
              <w:t>制造</w:t>
            </w:r>
          </w:p>
          <w:p w14:paraId="434DA425">
            <w:pPr>
              <w:autoSpaceDE w:val="0"/>
              <w:autoSpaceDN w:val="0"/>
              <w:adjustRightInd w:val="0"/>
              <w:jc w:val="center"/>
              <w:rPr>
                <w:rFonts w:ascii="宋体" w:hAnsi="宋体" w:cs="宋体"/>
                <w:kern w:val="0"/>
              </w:rPr>
            </w:pPr>
            <w:r>
              <w:rPr>
                <w:rFonts w:hint="eastAsia" w:ascii="宋体" w:hAnsi="宋体" w:cs="宋体"/>
                <w:kern w:val="0"/>
              </w:rPr>
              <w:t>年份</w:t>
            </w:r>
          </w:p>
        </w:tc>
        <w:tc>
          <w:tcPr>
            <w:tcW w:w="1112" w:type="dxa"/>
            <w:tcBorders>
              <w:top w:val="single" w:color="auto" w:sz="4" w:space="0"/>
              <w:left w:val="single" w:color="auto" w:sz="4" w:space="0"/>
              <w:bottom w:val="single" w:color="auto" w:sz="4" w:space="0"/>
              <w:right w:val="single" w:color="auto" w:sz="4" w:space="0"/>
            </w:tcBorders>
            <w:vAlign w:val="center"/>
          </w:tcPr>
          <w:p w14:paraId="236E937E">
            <w:pPr>
              <w:autoSpaceDE w:val="0"/>
              <w:autoSpaceDN w:val="0"/>
              <w:adjustRightInd w:val="0"/>
              <w:jc w:val="center"/>
              <w:rPr>
                <w:rFonts w:ascii="宋体" w:hAnsi="宋体" w:cs="宋体"/>
                <w:kern w:val="0"/>
              </w:rPr>
            </w:pPr>
            <w:r>
              <w:rPr>
                <w:rFonts w:hint="eastAsia" w:ascii="宋体" w:hAnsi="宋体" w:cs="宋体"/>
                <w:kern w:val="0"/>
              </w:rPr>
              <w:t>已使用台</w:t>
            </w:r>
          </w:p>
          <w:p w14:paraId="6CA69D2C">
            <w:pPr>
              <w:autoSpaceDE w:val="0"/>
              <w:autoSpaceDN w:val="0"/>
              <w:adjustRightInd w:val="0"/>
              <w:jc w:val="center"/>
              <w:rPr>
                <w:rFonts w:ascii="宋体" w:hAnsi="宋体" w:cs="宋体"/>
                <w:kern w:val="0"/>
              </w:rPr>
            </w:pPr>
            <w:r>
              <w:rPr>
                <w:rFonts w:hint="eastAsia" w:ascii="宋体" w:hAnsi="宋体" w:cs="宋体"/>
                <w:kern w:val="0"/>
              </w:rPr>
              <w:t>时数</w:t>
            </w:r>
          </w:p>
        </w:tc>
        <w:tc>
          <w:tcPr>
            <w:tcW w:w="978" w:type="dxa"/>
            <w:tcBorders>
              <w:top w:val="single" w:color="auto" w:sz="4" w:space="0"/>
              <w:left w:val="single" w:color="auto" w:sz="4" w:space="0"/>
              <w:bottom w:val="single" w:color="auto" w:sz="4" w:space="0"/>
              <w:right w:val="single" w:color="auto" w:sz="4" w:space="0"/>
            </w:tcBorders>
            <w:vAlign w:val="center"/>
          </w:tcPr>
          <w:p w14:paraId="6027941B">
            <w:pPr>
              <w:autoSpaceDE w:val="0"/>
              <w:autoSpaceDN w:val="0"/>
              <w:adjustRightInd w:val="0"/>
              <w:jc w:val="center"/>
              <w:rPr>
                <w:rFonts w:ascii="宋体" w:hAnsi="宋体" w:cs="宋体"/>
                <w:kern w:val="0"/>
              </w:rPr>
            </w:pPr>
            <w:r>
              <w:rPr>
                <w:rFonts w:hint="eastAsia" w:ascii="宋体" w:hAnsi="宋体" w:cs="宋体"/>
                <w:kern w:val="0"/>
              </w:rPr>
              <w:t>用途</w:t>
            </w:r>
          </w:p>
        </w:tc>
        <w:tc>
          <w:tcPr>
            <w:tcW w:w="974" w:type="dxa"/>
            <w:tcBorders>
              <w:top w:val="single" w:color="auto" w:sz="4" w:space="0"/>
              <w:left w:val="single" w:color="auto" w:sz="4" w:space="0"/>
              <w:bottom w:val="single" w:color="auto" w:sz="4" w:space="0"/>
              <w:right w:val="single" w:color="auto" w:sz="4" w:space="0"/>
            </w:tcBorders>
            <w:vAlign w:val="center"/>
          </w:tcPr>
          <w:p w14:paraId="31D23026">
            <w:pPr>
              <w:autoSpaceDE w:val="0"/>
              <w:autoSpaceDN w:val="0"/>
              <w:adjustRightInd w:val="0"/>
              <w:jc w:val="center"/>
              <w:rPr>
                <w:rFonts w:ascii="宋体" w:hAnsi="宋体" w:cs="宋体"/>
                <w:kern w:val="0"/>
              </w:rPr>
            </w:pPr>
            <w:r>
              <w:rPr>
                <w:rFonts w:hint="eastAsia" w:ascii="宋体" w:hAnsi="宋体" w:cs="宋体"/>
                <w:kern w:val="0"/>
              </w:rPr>
              <w:t>备注</w:t>
            </w:r>
          </w:p>
        </w:tc>
      </w:tr>
      <w:tr w14:paraId="161C2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1BF368DD">
            <w:pPr>
              <w:autoSpaceDE w:val="0"/>
              <w:autoSpaceDN w:val="0"/>
              <w:adjustRightInd w:val="0"/>
              <w:spacing w:line="420" w:lineRule="exact"/>
              <w:jc w:val="center"/>
              <w:rPr>
                <w:rFonts w:ascii="宋体" w:hAnsi="宋体" w:cs="宋体"/>
                <w:kern w:val="0"/>
              </w:rPr>
            </w:pPr>
          </w:p>
        </w:tc>
        <w:tc>
          <w:tcPr>
            <w:tcW w:w="1171" w:type="dxa"/>
            <w:tcBorders>
              <w:top w:val="single" w:color="auto" w:sz="4" w:space="0"/>
              <w:left w:val="single" w:color="auto" w:sz="4" w:space="0"/>
              <w:bottom w:val="single" w:color="auto" w:sz="4" w:space="0"/>
              <w:right w:val="single" w:color="auto" w:sz="4" w:space="0"/>
            </w:tcBorders>
            <w:vAlign w:val="center"/>
          </w:tcPr>
          <w:p w14:paraId="64299E39">
            <w:pPr>
              <w:autoSpaceDE w:val="0"/>
              <w:autoSpaceDN w:val="0"/>
              <w:adjustRightInd w:val="0"/>
              <w:spacing w:line="420" w:lineRule="exact"/>
              <w:jc w:val="center"/>
              <w:rPr>
                <w:rFonts w:ascii="宋体" w:hAnsi="宋体" w:cs="宋体"/>
                <w:kern w:val="0"/>
              </w:rPr>
            </w:pPr>
          </w:p>
        </w:tc>
        <w:tc>
          <w:tcPr>
            <w:tcW w:w="978" w:type="dxa"/>
            <w:tcBorders>
              <w:top w:val="single" w:color="auto" w:sz="4" w:space="0"/>
              <w:left w:val="single" w:color="auto" w:sz="4" w:space="0"/>
              <w:bottom w:val="single" w:color="auto" w:sz="4" w:space="0"/>
              <w:right w:val="single" w:color="auto" w:sz="4" w:space="0"/>
            </w:tcBorders>
            <w:vAlign w:val="center"/>
          </w:tcPr>
          <w:p w14:paraId="7E8F0FF1">
            <w:pPr>
              <w:autoSpaceDE w:val="0"/>
              <w:autoSpaceDN w:val="0"/>
              <w:adjustRightInd w:val="0"/>
              <w:spacing w:line="420" w:lineRule="exact"/>
              <w:jc w:val="center"/>
              <w:rPr>
                <w:rFonts w:ascii="宋体" w:hAnsi="宋体" w:cs="宋体"/>
                <w:kern w:val="0"/>
              </w:rPr>
            </w:pPr>
          </w:p>
        </w:tc>
        <w:tc>
          <w:tcPr>
            <w:tcW w:w="978" w:type="dxa"/>
            <w:tcBorders>
              <w:top w:val="single" w:color="auto" w:sz="4" w:space="0"/>
              <w:left w:val="single" w:color="auto" w:sz="4" w:space="0"/>
              <w:bottom w:val="single" w:color="auto" w:sz="4" w:space="0"/>
              <w:right w:val="single" w:color="auto" w:sz="4" w:space="0"/>
            </w:tcBorders>
            <w:vAlign w:val="center"/>
          </w:tcPr>
          <w:p w14:paraId="4B759BD7">
            <w:pPr>
              <w:autoSpaceDE w:val="0"/>
              <w:autoSpaceDN w:val="0"/>
              <w:adjustRightInd w:val="0"/>
              <w:spacing w:line="420" w:lineRule="exact"/>
              <w:jc w:val="center"/>
              <w:rPr>
                <w:rFonts w:ascii="宋体" w:hAnsi="宋体" w:cs="宋体"/>
                <w:kern w:val="0"/>
              </w:rPr>
            </w:pPr>
          </w:p>
        </w:tc>
        <w:tc>
          <w:tcPr>
            <w:tcW w:w="976" w:type="dxa"/>
            <w:tcBorders>
              <w:top w:val="single" w:color="auto" w:sz="4" w:space="0"/>
              <w:left w:val="single" w:color="auto" w:sz="4" w:space="0"/>
              <w:bottom w:val="single" w:color="auto" w:sz="4" w:space="0"/>
              <w:right w:val="single" w:color="auto" w:sz="4" w:space="0"/>
            </w:tcBorders>
            <w:vAlign w:val="center"/>
          </w:tcPr>
          <w:p w14:paraId="62DD41DA">
            <w:pPr>
              <w:autoSpaceDE w:val="0"/>
              <w:autoSpaceDN w:val="0"/>
              <w:adjustRightInd w:val="0"/>
              <w:spacing w:line="420" w:lineRule="exact"/>
              <w:jc w:val="center"/>
              <w:rPr>
                <w:rFonts w:ascii="宋体" w:hAnsi="宋体" w:cs="宋体"/>
                <w:kern w:val="0"/>
              </w:rPr>
            </w:pPr>
          </w:p>
        </w:tc>
        <w:tc>
          <w:tcPr>
            <w:tcW w:w="842" w:type="dxa"/>
            <w:tcBorders>
              <w:top w:val="single" w:color="auto" w:sz="4" w:space="0"/>
              <w:left w:val="single" w:color="auto" w:sz="4" w:space="0"/>
              <w:bottom w:val="single" w:color="auto" w:sz="4" w:space="0"/>
              <w:right w:val="single" w:color="auto" w:sz="4" w:space="0"/>
            </w:tcBorders>
            <w:vAlign w:val="center"/>
          </w:tcPr>
          <w:p w14:paraId="2527CA55">
            <w:pPr>
              <w:autoSpaceDE w:val="0"/>
              <w:autoSpaceDN w:val="0"/>
              <w:adjustRightInd w:val="0"/>
              <w:spacing w:line="420" w:lineRule="exact"/>
              <w:jc w:val="center"/>
              <w:rPr>
                <w:rFonts w:ascii="宋体" w:hAnsi="宋体" w:cs="宋体"/>
                <w:kern w:val="0"/>
              </w:rPr>
            </w:pPr>
          </w:p>
        </w:tc>
        <w:tc>
          <w:tcPr>
            <w:tcW w:w="1112" w:type="dxa"/>
            <w:tcBorders>
              <w:top w:val="single" w:color="auto" w:sz="4" w:space="0"/>
              <w:left w:val="single" w:color="auto" w:sz="4" w:space="0"/>
              <w:bottom w:val="single" w:color="auto" w:sz="4" w:space="0"/>
              <w:right w:val="single" w:color="auto" w:sz="4" w:space="0"/>
            </w:tcBorders>
            <w:vAlign w:val="center"/>
          </w:tcPr>
          <w:p w14:paraId="0E8EDC14">
            <w:pPr>
              <w:autoSpaceDE w:val="0"/>
              <w:autoSpaceDN w:val="0"/>
              <w:adjustRightInd w:val="0"/>
              <w:spacing w:line="420" w:lineRule="exact"/>
              <w:jc w:val="center"/>
              <w:rPr>
                <w:rFonts w:ascii="宋体" w:hAnsi="宋体" w:cs="宋体"/>
                <w:kern w:val="0"/>
              </w:rPr>
            </w:pPr>
          </w:p>
        </w:tc>
        <w:tc>
          <w:tcPr>
            <w:tcW w:w="978" w:type="dxa"/>
            <w:tcBorders>
              <w:top w:val="single" w:color="auto" w:sz="4" w:space="0"/>
              <w:left w:val="single" w:color="auto" w:sz="4" w:space="0"/>
              <w:bottom w:val="single" w:color="auto" w:sz="4" w:space="0"/>
              <w:right w:val="single" w:color="auto" w:sz="4" w:space="0"/>
            </w:tcBorders>
            <w:vAlign w:val="center"/>
          </w:tcPr>
          <w:p w14:paraId="2CE16871">
            <w:pPr>
              <w:autoSpaceDE w:val="0"/>
              <w:autoSpaceDN w:val="0"/>
              <w:adjustRightInd w:val="0"/>
              <w:spacing w:line="420" w:lineRule="exact"/>
              <w:jc w:val="center"/>
              <w:rPr>
                <w:rFonts w:ascii="宋体" w:hAnsi="宋体" w:cs="宋体"/>
                <w:kern w:val="0"/>
              </w:rPr>
            </w:pPr>
          </w:p>
        </w:tc>
        <w:tc>
          <w:tcPr>
            <w:tcW w:w="974" w:type="dxa"/>
            <w:tcBorders>
              <w:top w:val="single" w:color="auto" w:sz="4" w:space="0"/>
              <w:left w:val="single" w:color="auto" w:sz="4" w:space="0"/>
              <w:bottom w:val="single" w:color="auto" w:sz="4" w:space="0"/>
              <w:right w:val="single" w:color="auto" w:sz="4" w:space="0"/>
            </w:tcBorders>
            <w:vAlign w:val="center"/>
          </w:tcPr>
          <w:p w14:paraId="789AEA32">
            <w:pPr>
              <w:autoSpaceDE w:val="0"/>
              <w:autoSpaceDN w:val="0"/>
              <w:adjustRightInd w:val="0"/>
              <w:spacing w:line="420" w:lineRule="exact"/>
              <w:jc w:val="center"/>
              <w:rPr>
                <w:rFonts w:ascii="宋体" w:hAnsi="宋体" w:cs="宋体"/>
                <w:kern w:val="0"/>
              </w:rPr>
            </w:pPr>
          </w:p>
        </w:tc>
      </w:tr>
      <w:tr w14:paraId="0A5DF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07AFDE43">
            <w:pPr>
              <w:autoSpaceDE w:val="0"/>
              <w:autoSpaceDN w:val="0"/>
              <w:adjustRightInd w:val="0"/>
              <w:spacing w:line="420" w:lineRule="exact"/>
              <w:jc w:val="center"/>
              <w:rPr>
                <w:rFonts w:ascii="宋体" w:hAnsi="宋体" w:cs="宋体"/>
                <w:kern w:val="0"/>
              </w:rPr>
            </w:pPr>
          </w:p>
        </w:tc>
        <w:tc>
          <w:tcPr>
            <w:tcW w:w="1171" w:type="dxa"/>
            <w:tcBorders>
              <w:top w:val="single" w:color="auto" w:sz="4" w:space="0"/>
              <w:left w:val="single" w:color="auto" w:sz="4" w:space="0"/>
              <w:bottom w:val="single" w:color="auto" w:sz="4" w:space="0"/>
              <w:right w:val="single" w:color="auto" w:sz="4" w:space="0"/>
            </w:tcBorders>
            <w:vAlign w:val="center"/>
          </w:tcPr>
          <w:p w14:paraId="646AAE73">
            <w:pPr>
              <w:autoSpaceDE w:val="0"/>
              <w:autoSpaceDN w:val="0"/>
              <w:adjustRightInd w:val="0"/>
              <w:spacing w:line="420" w:lineRule="exact"/>
              <w:jc w:val="center"/>
              <w:rPr>
                <w:rFonts w:ascii="宋体" w:hAnsi="宋体" w:cs="宋体"/>
                <w:kern w:val="0"/>
              </w:rPr>
            </w:pPr>
          </w:p>
        </w:tc>
        <w:tc>
          <w:tcPr>
            <w:tcW w:w="978" w:type="dxa"/>
            <w:tcBorders>
              <w:top w:val="single" w:color="auto" w:sz="4" w:space="0"/>
              <w:left w:val="single" w:color="auto" w:sz="4" w:space="0"/>
              <w:bottom w:val="single" w:color="auto" w:sz="4" w:space="0"/>
              <w:right w:val="single" w:color="auto" w:sz="4" w:space="0"/>
            </w:tcBorders>
            <w:vAlign w:val="center"/>
          </w:tcPr>
          <w:p w14:paraId="00A0366C">
            <w:pPr>
              <w:autoSpaceDE w:val="0"/>
              <w:autoSpaceDN w:val="0"/>
              <w:adjustRightInd w:val="0"/>
              <w:spacing w:line="420" w:lineRule="exact"/>
              <w:jc w:val="center"/>
              <w:rPr>
                <w:rFonts w:ascii="宋体" w:hAnsi="宋体" w:cs="宋体"/>
                <w:kern w:val="0"/>
              </w:rPr>
            </w:pPr>
          </w:p>
        </w:tc>
        <w:tc>
          <w:tcPr>
            <w:tcW w:w="978" w:type="dxa"/>
            <w:tcBorders>
              <w:top w:val="single" w:color="auto" w:sz="4" w:space="0"/>
              <w:left w:val="single" w:color="auto" w:sz="4" w:space="0"/>
              <w:bottom w:val="single" w:color="auto" w:sz="4" w:space="0"/>
              <w:right w:val="single" w:color="auto" w:sz="4" w:space="0"/>
            </w:tcBorders>
            <w:vAlign w:val="center"/>
          </w:tcPr>
          <w:p w14:paraId="4BB1FF48">
            <w:pPr>
              <w:autoSpaceDE w:val="0"/>
              <w:autoSpaceDN w:val="0"/>
              <w:adjustRightInd w:val="0"/>
              <w:spacing w:line="420" w:lineRule="exact"/>
              <w:jc w:val="center"/>
              <w:rPr>
                <w:rFonts w:ascii="宋体" w:hAnsi="宋体" w:cs="宋体"/>
                <w:kern w:val="0"/>
              </w:rPr>
            </w:pPr>
          </w:p>
        </w:tc>
        <w:tc>
          <w:tcPr>
            <w:tcW w:w="976" w:type="dxa"/>
            <w:tcBorders>
              <w:top w:val="single" w:color="auto" w:sz="4" w:space="0"/>
              <w:left w:val="single" w:color="auto" w:sz="4" w:space="0"/>
              <w:bottom w:val="single" w:color="auto" w:sz="4" w:space="0"/>
              <w:right w:val="single" w:color="auto" w:sz="4" w:space="0"/>
            </w:tcBorders>
            <w:vAlign w:val="center"/>
          </w:tcPr>
          <w:p w14:paraId="0BB1D7C5">
            <w:pPr>
              <w:autoSpaceDE w:val="0"/>
              <w:autoSpaceDN w:val="0"/>
              <w:adjustRightInd w:val="0"/>
              <w:spacing w:line="420" w:lineRule="exact"/>
              <w:jc w:val="center"/>
              <w:rPr>
                <w:rFonts w:ascii="宋体" w:hAnsi="宋体" w:cs="宋体"/>
                <w:kern w:val="0"/>
              </w:rPr>
            </w:pPr>
          </w:p>
        </w:tc>
        <w:tc>
          <w:tcPr>
            <w:tcW w:w="842" w:type="dxa"/>
            <w:tcBorders>
              <w:top w:val="single" w:color="auto" w:sz="4" w:space="0"/>
              <w:left w:val="single" w:color="auto" w:sz="4" w:space="0"/>
              <w:bottom w:val="single" w:color="auto" w:sz="4" w:space="0"/>
              <w:right w:val="single" w:color="auto" w:sz="4" w:space="0"/>
            </w:tcBorders>
            <w:vAlign w:val="center"/>
          </w:tcPr>
          <w:p w14:paraId="7B54E113">
            <w:pPr>
              <w:autoSpaceDE w:val="0"/>
              <w:autoSpaceDN w:val="0"/>
              <w:adjustRightInd w:val="0"/>
              <w:spacing w:line="420" w:lineRule="exact"/>
              <w:jc w:val="center"/>
              <w:rPr>
                <w:rFonts w:ascii="宋体" w:hAnsi="宋体" w:cs="宋体"/>
                <w:kern w:val="0"/>
              </w:rPr>
            </w:pPr>
          </w:p>
        </w:tc>
        <w:tc>
          <w:tcPr>
            <w:tcW w:w="1112" w:type="dxa"/>
            <w:tcBorders>
              <w:top w:val="single" w:color="auto" w:sz="4" w:space="0"/>
              <w:left w:val="single" w:color="auto" w:sz="4" w:space="0"/>
              <w:bottom w:val="single" w:color="auto" w:sz="4" w:space="0"/>
              <w:right w:val="single" w:color="auto" w:sz="4" w:space="0"/>
            </w:tcBorders>
            <w:vAlign w:val="center"/>
          </w:tcPr>
          <w:p w14:paraId="5E4EECD7">
            <w:pPr>
              <w:autoSpaceDE w:val="0"/>
              <w:autoSpaceDN w:val="0"/>
              <w:adjustRightInd w:val="0"/>
              <w:spacing w:line="420" w:lineRule="exact"/>
              <w:jc w:val="center"/>
              <w:rPr>
                <w:rFonts w:ascii="宋体" w:hAnsi="宋体" w:cs="宋体"/>
                <w:kern w:val="0"/>
              </w:rPr>
            </w:pPr>
          </w:p>
        </w:tc>
        <w:tc>
          <w:tcPr>
            <w:tcW w:w="978" w:type="dxa"/>
            <w:tcBorders>
              <w:top w:val="single" w:color="auto" w:sz="4" w:space="0"/>
              <w:left w:val="single" w:color="auto" w:sz="4" w:space="0"/>
              <w:bottom w:val="single" w:color="auto" w:sz="4" w:space="0"/>
              <w:right w:val="single" w:color="auto" w:sz="4" w:space="0"/>
            </w:tcBorders>
            <w:vAlign w:val="center"/>
          </w:tcPr>
          <w:p w14:paraId="02B94250">
            <w:pPr>
              <w:autoSpaceDE w:val="0"/>
              <w:autoSpaceDN w:val="0"/>
              <w:adjustRightInd w:val="0"/>
              <w:spacing w:line="420" w:lineRule="exact"/>
              <w:jc w:val="center"/>
              <w:rPr>
                <w:rFonts w:ascii="宋体" w:hAnsi="宋体" w:cs="宋体"/>
                <w:kern w:val="0"/>
              </w:rPr>
            </w:pPr>
          </w:p>
        </w:tc>
        <w:tc>
          <w:tcPr>
            <w:tcW w:w="974" w:type="dxa"/>
            <w:tcBorders>
              <w:top w:val="single" w:color="auto" w:sz="4" w:space="0"/>
              <w:left w:val="single" w:color="auto" w:sz="4" w:space="0"/>
              <w:bottom w:val="single" w:color="auto" w:sz="4" w:space="0"/>
              <w:right w:val="single" w:color="auto" w:sz="4" w:space="0"/>
            </w:tcBorders>
            <w:vAlign w:val="center"/>
          </w:tcPr>
          <w:p w14:paraId="19649111">
            <w:pPr>
              <w:autoSpaceDE w:val="0"/>
              <w:autoSpaceDN w:val="0"/>
              <w:adjustRightInd w:val="0"/>
              <w:spacing w:line="420" w:lineRule="exact"/>
              <w:jc w:val="center"/>
              <w:rPr>
                <w:rFonts w:ascii="宋体" w:hAnsi="宋体" w:cs="宋体"/>
                <w:kern w:val="0"/>
              </w:rPr>
            </w:pPr>
          </w:p>
        </w:tc>
      </w:tr>
      <w:tr w14:paraId="6D7ED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03B4DF1B">
            <w:pPr>
              <w:autoSpaceDE w:val="0"/>
              <w:autoSpaceDN w:val="0"/>
              <w:adjustRightInd w:val="0"/>
              <w:spacing w:line="420" w:lineRule="exact"/>
              <w:jc w:val="center"/>
              <w:rPr>
                <w:rFonts w:ascii="宋体" w:hAnsi="宋体" w:cs="宋体"/>
                <w:kern w:val="0"/>
              </w:rPr>
            </w:pPr>
          </w:p>
        </w:tc>
        <w:tc>
          <w:tcPr>
            <w:tcW w:w="1171" w:type="dxa"/>
            <w:tcBorders>
              <w:top w:val="single" w:color="auto" w:sz="4" w:space="0"/>
              <w:left w:val="single" w:color="auto" w:sz="4" w:space="0"/>
              <w:bottom w:val="single" w:color="auto" w:sz="4" w:space="0"/>
              <w:right w:val="single" w:color="auto" w:sz="4" w:space="0"/>
            </w:tcBorders>
            <w:vAlign w:val="center"/>
          </w:tcPr>
          <w:p w14:paraId="474302DB">
            <w:pPr>
              <w:autoSpaceDE w:val="0"/>
              <w:autoSpaceDN w:val="0"/>
              <w:adjustRightInd w:val="0"/>
              <w:spacing w:line="420" w:lineRule="exact"/>
              <w:jc w:val="center"/>
              <w:rPr>
                <w:rFonts w:ascii="宋体" w:hAnsi="宋体" w:cs="宋体"/>
                <w:kern w:val="0"/>
              </w:rPr>
            </w:pPr>
          </w:p>
        </w:tc>
        <w:tc>
          <w:tcPr>
            <w:tcW w:w="978" w:type="dxa"/>
            <w:tcBorders>
              <w:top w:val="single" w:color="auto" w:sz="4" w:space="0"/>
              <w:left w:val="single" w:color="auto" w:sz="4" w:space="0"/>
              <w:bottom w:val="single" w:color="auto" w:sz="4" w:space="0"/>
              <w:right w:val="single" w:color="auto" w:sz="4" w:space="0"/>
            </w:tcBorders>
            <w:vAlign w:val="center"/>
          </w:tcPr>
          <w:p w14:paraId="52E24FFB">
            <w:pPr>
              <w:autoSpaceDE w:val="0"/>
              <w:autoSpaceDN w:val="0"/>
              <w:adjustRightInd w:val="0"/>
              <w:spacing w:line="420" w:lineRule="exact"/>
              <w:jc w:val="center"/>
              <w:rPr>
                <w:rFonts w:ascii="宋体" w:hAnsi="宋体" w:cs="宋体"/>
                <w:kern w:val="0"/>
              </w:rPr>
            </w:pPr>
          </w:p>
        </w:tc>
        <w:tc>
          <w:tcPr>
            <w:tcW w:w="978" w:type="dxa"/>
            <w:tcBorders>
              <w:top w:val="single" w:color="auto" w:sz="4" w:space="0"/>
              <w:left w:val="single" w:color="auto" w:sz="4" w:space="0"/>
              <w:bottom w:val="single" w:color="auto" w:sz="4" w:space="0"/>
              <w:right w:val="single" w:color="auto" w:sz="4" w:space="0"/>
            </w:tcBorders>
            <w:vAlign w:val="center"/>
          </w:tcPr>
          <w:p w14:paraId="7F70E0D1">
            <w:pPr>
              <w:autoSpaceDE w:val="0"/>
              <w:autoSpaceDN w:val="0"/>
              <w:adjustRightInd w:val="0"/>
              <w:spacing w:line="420" w:lineRule="exact"/>
              <w:jc w:val="center"/>
              <w:rPr>
                <w:rFonts w:ascii="宋体" w:hAnsi="宋体" w:cs="宋体"/>
                <w:kern w:val="0"/>
              </w:rPr>
            </w:pPr>
          </w:p>
        </w:tc>
        <w:tc>
          <w:tcPr>
            <w:tcW w:w="976" w:type="dxa"/>
            <w:tcBorders>
              <w:top w:val="single" w:color="auto" w:sz="4" w:space="0"/>
              <w:left w:val="single" w:color="auto" w:sz="4" w:space="0"/>
              <w:bottom w:val="single" w:color="auto" w:sz="4" w:space="0"/>
              <w:right w:val="single" w:color="auto" w:sz="4" w:space="0"/>
            </w:tcBorders>
            <w:vAlign w:val="center"/>
          </w:tcPr>
          <w:p w14:paraId="44AB7F1C">
            <w:pPr>
              <w:autoSpaceDE w:val="0"/>
              <w:autoSpaceDN w:val="0"/>
              <w:adjustRightInd w:val="0"/>
              <w:spacing w:line="420" w:lineRule="exact"/>
              <w:jc w:val="center"/>
              <w:rPr>
                <w:rFonts w:ascii="宋体" w:hAnsi="宋体" w:cs="宋体"/>
                <w:kern w:val="0"/>
              </w:rPr>
            </w:pPr>
          </w:p>
        </w:tc>
        <w:tc>
          <w:tcPr>
            <w:tcW w:w="842" w:type="dxa"/>
            <w:tcBorders>
              <w:top w:val="single" w:color="auto" w:sz="4" w:space="0"/>
              <w:left w:val="single" w:color="auto" w:sz="4" w:space="0"/>
              <w:bottom w:val="single" w:color="auto" w:sz="4" w:space="0"/>
              <w:right w:val="single" w:color="auto" w:sz="4" w:space="0"/>
            </w:tcBorders>
            <w:vAlign w:val="center"/>
          </w:tcPr>
          <w:p w14:paraId="7526F967">
            <w:pPr>
              <w:autoSpaceDE w:val="0"/>
              <w:autoSpaceDN w:val="0"/>
              <w:adjustRightInd w:val="0"/>
              <w:spacing w:line="420" w:lineRule="exact"/>
              <w:jc w:val="center"/>
              <w:rPr>
                <w:rFonts w:ascii="宋体" w:hAnsi="宋体" w:cs="宋体"/>
                <w:kern w:val="0"/>
              </w:rPr>
            </w:pPr>
          </w:p>
        </w:tc>
        <w:tc>
          <w:tcPr>
            <w:tcW w:w="1112" w:type="dxa"/>
            <w:tcBorders>
              <w:top w:val="single" w:color="auto" w:sz="4" w:space="0"/>
              <w:left w:val="single" w:color="auto" w:sz="4" w:space="0"/>
              <w:bottom w:val="single" w:color="auto" w:sz="4" w:space="0"/>
              <w:right w:val="single" w:color="auto" w:sz="4" w:space="0"/>
            </w:tcBorders>
            <w:vAlign w:val="center"/>
          </w:tcPr>
          <w:p w14:paraId="4400DAAA">
            <w:pPr>
              <w:autoSpaceDE w:val="0"/>
              <w:autoSpaceDN w:val="0"/>
              <w:adjustRightInd w:val="0"/>
              <w:spacing w:line="420" w:lineRule="exact"/>
              <w:jc w:val="center"/>
              <w:rPr>
                <w:rFonts w:ascii="宋体" w:hAnsi="宋体" w:cs="宋体"/>
                <w:kern w:val="0"/>
              </w:rPr>
            </w:pPr>
          </w:p>
        </w:tc>
        <w:tc>
          <w:tcPr>
            <w:tcW w:w="978" w:type="dxa"/>
            <w:tcBorders>
              <w:top w:val="single" w:color="auto" w:sz="4" w:space="0"/>
              <w:left w:val="single" w:color="auto" w:sz="4" w:space="0"/>
              <w:bottom w:val="single" w:color="auto" w:sz="4" w:space="0"/>
              <w:right w:val="single" w:color="auto" w:sz="4" w:space="0"/>
            </w:tcBorders>
            <w:vAlign w:val="center"/>
          </w:tcPr>
          <w:p w14:paraId="7537C2E3">
            <w:pPr>
              <w:autoSpaceDE w:val="0"/>
              <w:autoSpaceDN w:val="0"/>
              <w:adjustRightInd w:val="0"/>
              <w:spacing w:line="420" w:lineRule="exact"/>
              <w:jc w:val="center"/>
              <w:rPr>
                <w:rFonts w:ascii="宋体" w:hAnsi="宋体" w:cs="宋体"/>
                <w:kern w:val="0"/>
              </w:rPr>
            </w:pPr>
          </w:p>
        </w:tc>
        <w:tc>
          <w:tcPr>
            <w:tcW w:w="974" w:type="dxa"/>
            <w:tcBorders>
              <w:top w:val="single" w:color="auto" w:sz="4" w:space="0"/>
              <w:left w:val="single" w:color="auto" w:sz="4" w:space="0"/>
              <w:bottom w:val="single" w:color="auto" w:sz="4" w:space="0"/>
              <w:right w:val="single" w:color="auto" w:sz="4" w:space="0"/>
            </w:tcBorders>
            <w:vAlign w:val="center"/>
          </w:tcPr>
          <w:p w14:paraId="7C238031">
            <w:pPr>
              <w:autoSpaceDE w:val="0"/>
              <w:autoSpaceDN w:val="0"/>
              <w:adjustRightInd w:val="0"/>
              <w:spacing w:line="420" w:lineRule="exact"/>
              <w:jc w:val="center"/>
              <w:rPr>
                <w:rFonts w:ascii="宋体" w:hAnsi="宋体" w:cs="宋体"/>
                <w:kern w:val="0"/>
              </w:rPr>
            </w:pPr>
          </w:p>
        </w:tc>
      </w:tr>
      <w:tr w14:paraId="437E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108C2132">
            <w:pPr>
              <w:autoSpaceDE w:val="0"/>
              <w:autoSpaceDN w:val="0"/>
              <w:adjustRightInd w:val="0"/>
              <w:spacing w:line="420" w:lineRule="exact"/>
              <w:jc w:val="center"/>
              <w:rPr>
                <w:rFonts w:ascii="宋体" w:hAnsi="宋体" w:cs="宋体"/>
                <w:kern w:val="0"/>
              </w:rPr>
            </w:pPr>
          </w:p>
        </w:tc>
        <w:tc>
          <w:tcPr>
            <w:tcW w:w="1171" w:type="dxa"/>
            <w:tcBorders>
              <w:top w:val="single" w:color="auto" w:sz="4" w:space="0"/>
              <w:left w:val="single" w:color="auto" w:sz="4" w:space="0"/>
              <w:bottom w:val="single" w:color="auto" w:sz="4" w:space="0"/>
              <w:right w:val="single" w:color="auto" w:sz="4" w:space="0"/>
            </w:tcBorders>
            <w:vAlign w:val="center"/>
          </w:tcPr>
          <w:p w14:paraId="49CB5EC9">
            <w:pPr>
              <w:autoSpaceDE w:val="0"/>
              <w:autoSpaceDN w:val="0"/>
              <w:adjustRightInd w:val="0"/>
              <w:spacing w:line="420" w:lineRule="exact"/>
              <w:jc w:val="center"/>
              <w:rPr>
                <w:rFonts w:ascii="宋体" w:hAnsi="宋体" w:cs="宋体"/>
                <w:kern w:val="0"/>
              </w:rPr>
            </w:pPr>
          </w:p>
        </w:tc>
        <w:tc>
          <w:tcPr>
            <w:tcW w:w="978" w:type="dxa"/>
            <w:tcBorders>
              <w:top w:val="single" w:color="auto" w:sz="4" w:space="0"/>
              <w:left w:val="single" w:color="auto" w:sz="4" w:space="0"/>
              <w:bottom w:val="single" w:color="auto" w:sz="4" w:space="0"/>
              <w:right w:val="single" w:color="auto" w:sz="4" w:space="0"/>
            </w:tcBorders>
            <w:vAlign w:val="center"/>
          </w:tcPr>
          <w:p w14:paraId="4DFC43C6">
            <w:pPr>
              <w:autoSpaceDE w:val="0"/>
              <w:autoSpaceDN w:val="0"/>
              <w:adjustRightInd w:val="0"/>
              <w:spacing w:line="420" w:lineRule="exact"/>
              <w:jc w:val="center"/>
              <w:rPr>
                <w:rFonts w:ascii="宋体" w:hAnsi="宋体" w:cs="宋体"/>
                <w:kern w:val="0"/>
              </w:rPr>
            </w:pPr>
          </w:p>
        </w:tc>
        <w:tc>
          <w:tcPr>
            <w:tcW w:w="978" w:type="dxa"/>
            <w:tcBorders>
              <w:top w:val="single" w:color="auto" w:sz="4" w:space="0"/>
              <w:left w:val="single" w:color="auto" w:sz="4" w:space="0"/>
              <w:bottom w:val="single" w:color="auto" w:sz="4" w:space="0"/>
              <w:right w:val="single" w:color="auto" w:sz="4" w:space="0"/>
            </w:tcBorders>
            <w:vAlign w:val="center"/>
          </w:tcPr>
          <w:p w14:paraId="4A646CE2">
            <w:pPr>
              <w:autoSpaceDE w:val="0"/>
              <w:autoSpaceDN w:val="0"/>
              <w:adjustRightInd w:val="0"/>
              <w:spacing w:line="420" w:lineRule="exact"/>
              <w:jc w:val="center"/>
              <w:rPr>
                <w:rFonts w:ascii="宋体" w:hAnsi="宋体" w:cs="宋体"/>
                <w:kern w:val="0"/>
              </w:rPr>
            </w:pPr>
          </w:p>
        </w:tc>
        <w:tc>
          <w:tcPr>
            <w:tcW w:w="976" w:type="dxa"/>
            <w:tcBorders>
              <w:top w:val="single" w:color="auto" w:sz="4" w:space="0"/>
              <w:left w:val="single" w:color="auto" w:sz="4" w:space="0"/>
              <w:bottom w:val="single" w:color="auto" w:sz="4" w:space="0"/>
              <w:right w:val="single" w:color="auto" w:sz="4" w:space="0"/>
            </w:tcBorders>
            <w:vAlign w:val="center"/>
          </w:tcPr>
          <w:p w14:paraId="30E06B8E">
            <w:pPr>
              <w:autoSpaceDE w:val="0"/>
              <w:autoSpaceDN w:val="0"/>
              <w:adjustRightInd w:val="0"/>
              <w:spacing w:line="420" w:lineRule="exact"/>
              <w:jc w:val="center"/>
              <w:rPr>
                <w:rFonts w:ascii="宋体" w:hAnsi="宋体" w:cs="宋体"/>
                <w:kern w:val="0"/>
              </w:rPr>
            </w:pPr>
          </w:p>
        </w:tc>
        <w:tc>
          <w:tcPr>
            <w:tcW w:w="842" w:type="dxa"/>
            <w:tcBorders>
              <w:top w:val="single" w:color="auto" w:sz="4" w:space="0"/>
              <w:left w:val="single" w:color="auto" w:sz="4" w:space="0"/>
              <w:bottom w:val="single" w:color="auto" w:sz="4" w:space="0"/>
              <w:right w:val="single" w:color="auto" w:sz="4" w:space="0"/>
            </w:tcBorders>
            <w:vAlign w:val="center"/>
          </w:tcPr>
          <w:p w14:paraId="4D6C3CD1">
            <w:pPr>
              <w:autoSpaceDE w:val="0"/>
              <w:autoSpaceDN w:val="0"/>
              <w:adjustRightInd w:val="0"/>
              <w:spacing w:line="420" w:lineRule="exact"/>
              <w:jc w:val="center"/>
              <w:rPr>
                <w:rFonts w:ascii="宋体" w:hAnsi="宋体" w:cs="宋体"/>
                <w:kern w:val="0"/>
              </w:rPr>
            </w:pPr>
          </w:p>
        </w:tc>
        <w:tc>
          <w:tcPr>
            <w:tcW w:w="1112" w:type="dxa"/>
            <w:tcBorders>
              <w:top w:val="single" w:color="auto" w:sz="4" w:space="0"/>
              <w:left w:val="single" w:color="auto" w:sz="4" w:space="0"/>
              <w:bottom w:val="single" w:color="auto" w:sz="4" w:space="0"/>
              <w:right w:val="single" w:color="auto" w:sz="4" w:space="0"/>
            </w:tcBorders>
            <w:vAlign w:val="center"/>
          </w:tcPr>
          <w:p w14:paraId="52F63AE6">
            <w:pPr>
              <w:autoSpaceDE w:val="0"/>
              <w:autoSpaceDN w:val="0"/>
              <w:adjustRightInd w:val="0"/>
              <w:spacing w:line="420" w:lineRule="exact"/>
              <w:jc w:val="center"/>
              <w:rPr>
                <w:rFonts w:ascii="宋体" w:hAnsi="宋体" w:cs="宋体"/>
                <w:kern w:val="0"/>
              </w:rPr>
            </w:pPr>
          </w:p>
        </w:tc>
        <w:tc>
          <w:tcPr>
            <w:tcW w:w="978" w:type="dxa"/>
            <w:tcBorders>
              <w:top w:val="single" w:color="auto" w:sz="4" w:space="0"/>
              <w:left w:val="single" w:color="auto" w:sz="4" w:space="0"/>
              <w:bottom w:val="single" w:color="auto" w:sz="4" w:space="0"/>
              <w:right w:val="single" w:color="auto" w:sz="4" w:space="0"/>
            </w:tcBorders>
            <w:vAlign w:val="center"/>
          </w:tcPr>
          <w:p w14:paraId="21F22FD5">
            <w:pPr>
              <w:autoSpaceDE w:val="0"/>
              <w:autoSpaceDN w:val="0"/>
              <w:adjustRightInd w:val="0"/>
              <w:spacing w:line="420" w:lineRule="exact"/>
              <w:jc w:val="center"/>
              <w:rPr>
                <w:rFonts w:ascii="宋体" w:hAnsi="宋体" w:cs="宋体"/>
                <w:kern w:val="0"/>
              </w:rPr>
            </w:pPr>
          </w:p>
        </w:tc>
        <w:tc>
          <w:tcPr>
            <w:tcW w:w="974" w:type="dxa"/>
            <w:tcBorders>
              <w:top w:val="single" w:color="auto" w:sz="4" w:space="0"/>
              <w:left w:val="single" w:color="auto" w:sz="4" w:space="0"/>
              <w:bottom w:val="single" w:color="auto" w:sz="4" w:space="0"/>
              <w:right w:val="single" w:color="auto" w:sz="4" w:space="0"/>
            </w:tcBorders>
            <w:vAlign w:val="center"/>
          </w:tcPr>
          <w:p w14:paraId="27417DD1">
            <w:pPr>
              <w:autoSpaceDE w:val="0"/>
              <w:autoSpaceDN w:val="0"/>
              <w:adjustRightInd w:val="0"/>
              <w:spacing w:line="420" w:lineRule="exact"/>
              <w:jc w:val="center"/>
              <w:rPr>
                <w:rFonts w:ascii="宋体" w:hAnsi="宋体" w:cs="宋体"/>
                <w:kern w:val="0"/>
              </w:rPr>
            </w:pPr>
          </w:p>
        </w:tc>
      </w:tr>
    </w:tbl>
    <w:p w14:paraId="79DE448F">
      <w:pPr>
        <w:autoSpaceDE w:val="0"/>
        <w:autoSpaceDN w:val="0"/>
        <w:adjustRightInd w:val="0"/>
        <w:spacing w:line="420" w:lineRule="exact"/>
        <w:jc w:val="left"/>
        <w:rPr>
          <w:rFonts w:ascii="宋体" w:hAnsi="宋体" w:cs="宋体"/>
          <w:kern w:val="0"/>
        </w:rPr>
      </w:pPr>
      <w:r>
        <w:rPr>
          <w:rFonts w:hint="eastAsia" w:ascii="宋体" w:hAnsi="宋体" w:cs="宋体"/>
          <w:kern w:val="0"/>
        </w:rPr>
        <w:br w:type="page"/>
      </w:r>
    </w:p>
    <w:p w14:paraId="1690F8CD">
      <w:pPr>
        <w:autoSpaceDE w:val="0"/>
        <w:autoSpaceDN w:val="0"/>
        <w:adjustRightInd w:val="0"/>
        <w:spacing w:line="420" w:lineRule="exact"/>
        <w:jc w:val="left"/>
        <w:rPr>
          <w:rFonts w:ascii="宋体" w:hAnsi="宋体" w:cs="宋体"/>
          <w:kern w:val="0"/>
        </w:rPr>
      </w:pPr>
      <w:r>
        <w:rPr>
          <w:rFonts w:hint="eastAsia" w:ascii="宋体" w:hAnsi="宋体" w:cs="宋体"/>
          <w:kern w:val="0"/>
        </w:rPr>
        <w:t>附表三：劳动力计划表</w:t>
      </w:r>
    </w:p>
    <w:p w14:paraId="4D9EF7CA">
      <w:pPr>
        <w:autoSpaceDE w:val="0"/>
        <w:autoSpaceDN w:val="0"/>
        <w:adjustRightInd w:val="0"/>
        <w:spacing w:line="420" w:lineRule="exact"/>
        <w:jc w:val="right"/>
        <w:rPr>
          <w:rFonts w:ascii="宋体" w:hAnsi="宋体" w:cs="宋体"/>
          <w:kern w:val="0"/>
        </w:rPr>
      </w:pPr>
      <w:r>
        <w:rPr>
          <w:rFonts w:hint="eastAsia" w:ascii="宋体" w:hAnsi="宋体" w:cs="宋体"/>
          <w:kern w:val="0"/>
        </w:rPr>
        <w:t>单位：人</w:t>
      </w:r>
    </w:p>
    <w:tbl>
      <w:tblPr>
        <w:tblStyle w:val="34"/>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097"/>
        <w:gridCol w:w="1100"/>
        <w:gridCol w:w="1100"/>
        <w:gridCol w:w="1100"/>
        <w:gridCol w:w="1100"/>
        <w:gridCol w:w="1100"/>
        <w:gridCol w:w="1105"/>
      </w:tblGrid>
      <w:tr w14:paraId="4C77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jc w:val="center"/>
        </w:trPr>
        <w:tc>
          <w:tcPr>
            <w:tcW w:w="1097" w:type="dxa"/>
            <w:tcBorders>
              <w:top w:val="single" w:color="auto" w:sz="4" w:space="0"/>
              <w:left w:val="single" w:color="auto" w:sz="4" w:space="0"/>
              <w:bottom w:val="single" w:color="auto" w:sz="4" w:space="0"/>
              <w:right w:val="single" w:color="auto" w:sz="4" w:space="0"/>
            </w:tcBorders>
            <w:vAlign w:val="center"/>
          </w:tcPr>
          <w:p w14:paraId="098FA4EB">
            <w:pPr>
              <w:autoSpaceDE w:val="0"/>
              <w:autoSpaceDN w:val="0"/>
              <w:adjustRightInd w:val="0"/>
              <w:jc w:val="center"/>
              <w:rPr>
                <w:rFonts w:ascii="宋体" w:hAnsi="宋体" w:cs="宋体"/>
                <w:kern w:val="0"/>
              </w:rPr>
            </w:pPr>
            <w:r>
              <w:rPr>
                <w:rFonts w:hint="eastAsia" w:ascii="宋体" w:hAnsi="宋体" w:cs="宋体"/>
                <w:kern w:val="0"/>
              </w:rPr>
              <w:t>工种</w:t>
            </w:r>
          </w:p>
        </w:tc>
        <w:tc>
          <w:tcPr>
            <w:tcW w:w="7702" w:type="dxa"/>
            <w:gridSpan w:val="7"/>
            <w:tcBorders>
              <w:top w:val="single" w:color="auto" w:sz="4" w:space="0"/>
              <w:left w:val="single" w:color="auto" w:sz="4" w:space="0"/>
              <w:bottom w:val="single" w:color="auto" w:sz="4" w:space="0"/>
              <w:right w:val="single" w:color="auto" w:sz="4" w:space="0"/>
            </w:tcBorders>
            <w:vAlign w:val="center"/>
          </w:tcPr>
          <w:p w14:paraId="6895D487">
            <w:pPr>
              <w:autoSpaceDE w:val="0"/>
              <w:autoSpaceDN w:val="0"/>
              <w:adjustRightInd w:val="0"/>
              <w:jc w:val="center"/>
              <w:rPr>
                <w:rFonts w:ascii="宋体" w:hAnsi="宋体" w:cs="宋体"/>
                <w:kern w:val="0"/>
              </w:rPr>
            </w:pPr>
            <w:r>
              <w:rPr>
                <w:rFonts w:hint="eastAsia" w:ascii="宋体" w:hAnsi="宋体" w:cs="宋体"/>
                <w:kern w:val="0"/>
              </w:rPr>
              <w:t>按工程施工阶段投入劳动力情况</w:t>
            </w:r>
          </w:p>
        </w:tc>
      </w:tr>
      <w:tr w14:paraId="32FEC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97" w:type="dxa"/>
            <w:tcBorders>
              <w:top w:val="single" w:color="auto" w:sz="4" w:space="0"/>
              <w:left w:val="single" w:color="auto" w:sz="4" w:space="0"/>
              <w:bottom w:val="single" w:color="auto" w:sz="4" w:space="0"/>
              <w:right w:val="single" w:color="auto" w:sz="4" w:space="0"/>
            </w:tcBorders>
            <w:vAlign w:val="center"/>
          </w:tcPr>
          <w:p w14:paraId="379AFEB9">
            <w:pPr>
              <w:autoSpaceDE w:val="0"/>
              <w:autoSpaceDN w:val="0"/>
              <w:adjustRightInd w:val="0"/>
              <w:jc w:val="center"/>
              <w:rPr>
                <w:rFonts w:ascii="宋体" w:hAnsi="宋体" w:cs="宋体"/>
                <w:kern w:val="0"/>
              </w:rPr>
            </w:pPr>
          </w:p>
        </w:tc>
        <w:tc>
          <w:tcPr>
            <w:tcW w:w="1097" w:type="dxa"/>
            <w:tcBorders>
              <w:top w:val="single" w:color="auto" w:sz="4" w:space="0"/>
              <w:left w:val="single" w:color="auto" w:sz="4" w:space="0"/>
              <w:bottom w:val="single" w:color="auto" w:sz="4" w:space="0"/>
              <w:right w:val="single" w:color="auto" w:sz="4" w:space="0"/>
            </w:tcBorders>
            <w:vAlign w:val="center"/>
          </w:tcPr>
          <w:p w14:paraId="39B09F9A">
            <w:pPr>
              <w:autoSpaceDE w:val="0"/>
              <w:autoSpaceDN w:val="0"/>
              <w:adjustRightInd w:val="0"/>
              <w:jc w:val="center"/>
              <w:rPr>
                <w:rFonts w:ascii="宋体" w:hAnsi="宋体" w:cs="宋体"/>
                <w:kern w:val="0"/>
              </w:rPr>
            </w:pPr>
          </w:p>
        </w:tc>
        <w:tc>
          <w:tcPr>
            <w:tcW w:w="1100" w:type="dxa"/>
            <w:tcBorders>
              <w:top w:val="single" w:color="auto" w:sz="4" w:space="0"/>
              <w:left w:val="single" w:color="auto" w:sz="4" w:space="0"/>
              <w:bottom w:val="single" w:color="auto" w:sz="4" w:space="0"/>
              <w:right w:val="single" w:color="auto" w:sz="4" w:space="0"/>
            </w:tcBorders>
            <w:vAlign w:val="center"/>
          </w:tcPr>
          <w:p w14:paraId="48FA5709">
            <w:pPr>
              <w:autoSpaceDE w:val="0"/>
              <w:autoSpaceDN w:val="0"/>
              <w:adjustRightInd w:val="0"/>
              <w:jc w:val="center"/>
              <w:rPr>
                <w:rFonts w:ascii="宋体" w:hAnsi="宋体" w:cs="宋体"/>
                <w:kern w:val="0"/>
              </w:rPr>
            </w:pPr>
          </w:p>
        </w:tc>
        <w:tc>
          <w:tcPr>
            <w:tcW w:w="1100" w:type="dxa"/>
            <w:tcBorders>
              <w:top w:val="single" w:color="auto" w:sz="4" w:space="0"/>
              <w:left w:val="single" w:color="auto" w:sz="4" w:space="0"/>
              <w:bottom w:val="single" w:color="auto" w:sz="4" w:space="0"/>
              <w:right w:val="single" w:color="auto" w:sz="4" w:space="0"/>
            </w:tcBorders>
            <w:vAlign w:val="center"/>
          </w:tcPr>
          <w:p w14:paraId="2F1BCA85">
            <w:pPr>
              <w:autoSpaceDE w:val="0"/>
              <w:autoSpaceDN w:val="0"/>
              <w:adjustRightInd w:val="0"/>
              <w:jc w:val="center"/>
              <w:rPr>
                <w:rFonts w:ascii="宋体" w:hAnsi="宋体" w:cs="宋体"/>
                <w:kern w:val="0"/>
              </w:rPr>
            </w:pPr>
          </w:p>
        </w:tc>
        <w:tc>
          <w:tcPr>
            <w:tcW w:w="1100" w:type="dxa"/>
            <w:tcBorders>
              <w:top w:val="single" w:color="auto" w:sz="4" w:space="0"/>
              <w:left w:val="single" w:color="auto" w:sz="4" w:space="0"/>
              <w:bottom w:val="single" w:color="auto" w:sz="4" w:space="0"/>
              <w:right w:val="single" w:color="auto" w:sz="4" w:space="0"/>
            </w:tcBorders>
            <w:vAlign w:val="center"/>
          </w:tcPr>
          <w:p w14:paraId="4706DE36">
            <w:pPr>
              <w:autoSpaceDE w:val="0"/>
              <w:autoSpaceDN w:val="0"/>
              <w:adjustRightInd w:val="0"/>
              <w:jc w:val="center"/>
              <w:rPr>
                <w:rFonts w:ascii="宋体" w:hAnsi="宋体" w:cs="宋体"/>
                <w:kern w:val="0"/>
              </w:rPr>
            </w:pPr>
          </w:p>
        </w:tc>
        <w:tc>
          <w:tcPr>
            <w:tcW w:w="1100" w:type="dxa"/>
            <w:tcBorders>
              <w:top w:val="single" w:color="auto" w:sz="4" w:space="0"/>
              <w:left w:val="single" w:color="auto" w:sz="4" w:space="0"/>
              <w:bottom w:val="single" w:color="auto" w:sz="4" w:space="0"/>
              <w:right w:val="single" w:color="auto" w:sz="4" w:space="0"/>
            </w:tcBorders>
            <w:vAlign w:val="center"/>
          </w:tcPr>
          <w:p w14:paraId="2279221C">
            <w:pPr>
              <w:autoSpaceDE w:val="0"/>
              <w:autoSpaceDN w:val="0"/>
              <w:adjustRightInd w:val="0"/>
              <w:jc w:val="center"/>
              <w:rPr>
                <w:rFonts w:ascii="宋体" w:hAnsi="宋体" w:cs="宋体"/>
                <w:kern w:val="0"/>
              </w:rPr>
            </w:pPr>
          </w:p>
        </w:tc>
        <w:tc>
          <w:tcPr>
            <w:tcW w:w="1100" w:type="dxa"/>
            <w:tcBorders>
              <w:top w:val="single" w:color="auto" w:sz="4" w:space="0"/>
              <w:left w:val="single" w:color="auto" w:sz="4" w:space="0"/>
              <w:bottom w:val="single" w:color="auto" w:sz="4" w:space="0"/>
              <w:right w:val="single" w:color="auto" w:sz="4" w:space="0"/>
            </w:tcBorders>
            <w:vAlign w:val="center"/>
          </w:tcPr>
          <w:p w14:paraId="048A237E">
            <w:pPr>
              <w:autoSpaceDE w:val="0"/>
              <w:autoSpaceDN w:val="0"/>
              <w:adjustRightInd w:val="0"/>
              <w:jc w:val="center"/>
              <w:rPr>
                <w:rFonts w:ascii="宋体" w:hAnsi="宋体" w:cs="宋体"/>
                <w:kern w:val="0"/>
              </w:rPr>
            </w:pPr>
          </w:p>
        </w:tc>
        <w:tc>
          <w:tcPr>
            <w:tcW w:w="1105" w:type="dxa"/>
            <w:tcBorders>
              <w:top w:val="single" w:color="auto" w:sz="4" w:space="0"/>
              <w:left w:val="single" w:color="auto" w:sz="4" w:space="0"/>
              <w:bottom w:val="single" w:color="auto" w:sz="4" w:space="0"/>
              <w:right w:val="single" w:color="auto" w:sz="4" w:space="0"/>
            </w:tcBorders>
            <w:vAlign w:val="center"/>
          </w:tcPr>
          <w:p w14:paraId="1A9E9266">
            <w:pPr>
              <w:autoSpaceDE w:val="0"/>
              <w:autoSpaceDN w:val="0"/>
              <w:adjustRightInd w:val="0"/>
              <w:jc w:val="center"/>
              <w:rPr>
                <w:rFonts w:ascii="宋体" w:hAnsi="宋体" w:cs="宋体"/>
                <w:kern w:val="0"/>
              </w:rPr>
            </w:pPr>
          </w:p>
        </w:tc>
      </w:tr>
      <w:tr w14:paraId="7636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4" w:hRule="atLeast"/>
          <w:jc w:val="center"/>
        </w:trPr>
        <w:tc>
          <w:tcPr>
            <w:tcW w:w="1097" w:type="dxa"/>
            <w:tcBorders>
              <w:top w:val="single" w:color="auto" w:sz="4" w:space="0"/>
              <w:left w:val="single" w:color="auto" w:sz="4" w:space="0"/>
              <w:bottom w:val="single" w:color="auto" w:sz="4" w:space="0"/>
              <w:right w:val="single" w:color="auto" w:sz="4" w:space="0"/>
            </w:tcBorders>
            <w:vAlign w:val="center"/>
          </w:tcPr>
          <w:p w14:paraId="55047F2B">
            <w:pPr>
              <w:autoSpaceDE w:val="0"/>
              <w:autoSpaceDN w:val="0"/>
              <w:adjustRightInd w:val="0"/>
              <w:jc w:val="center"/>
              <w:rPr>
                <w:rFonts w:ascii="宋体" w:hAnsi="宋体" w:cs="宋体"/>
                <w:kern w:val="0"/>
              </w:rPr>
            </w:pPr>
          </w:p>
        </w:tc>
        <w:tc>
          <w:tcPr>
            <w:tcW w:w="1097" w:type="dxa"/>
            <w:tcBorders>
              <w:top w:val="single" w:color="auto" w:sz="4" w:space="0"/>
              <w:left w:val="single" w:color="auto" w:sz="4" w:space="0"/>
              <w:bottom w:val="single" w:color="auto" w:sz="4" w:space="0"/>
              <w:right w:val="single" w:color="auto" w:sz="4" w:space="0"/>
            </w:tcBorders>
            <w:vAlign w:val="center"/>
          </w:tcPr>
          <w:p w14:paraId="0C073E51">
            <w:pPr>
              <w:autoSpaceDE w:val="0"/>
              <w:autoSpaceDN w:val="0"/>
              <w:adjustRightInd w:val="0"/>
              <w:jc w:val="center"/>
              <w:rPr>
                <w:rFonts w:ascii="宋体" w:hAnsi="宋体" w:cs="宋体"/>
                <w:kern w:val="0"/>
              </w:rPr>
            </w:pPr>
          </w:p>
        </w:tc>
        <w:tc>
          <w:tcPr>
            <w:tcW w:w="1100" w:type="dxa"/>
            <w:tcBorders>
              <w:top w:val="single" w:color="auto" w:sz="4" w:space="0"/>
              <w:left w:val="single" w:color="auto" w:sz="4" w:space="0"/>
              <w:bottom w:val="single" w:color="auto" w:sz="4" w:space="0"/>
              <w:right w:val="single" w:color="auto" w:sz="4" w:space="0"/>
            </w:tcBorders>
            <w:vAlign w:val="center"/>
          </w:tcPr>
          <w:p w14:paraId="1EFA3A08">
            <w:pPr>
              <w:autoSpaceDE w:val="0"/>
              <w:autoSpaceDN w:val="0"/>
              <w:adjustRightInd w:val="0"/>
              <w:jc w:val="center"/>
              <w:rPr>
                <w:rFonts w:ascii="宋体" w:hAnsi="宋体" w:cs="宋体"/>
                <w:kern w:val="0"/>
              </w:rPr>
            </w:pPr>
          </w:p>
        </w:tc>
        <w:tc>
          <w:tcPr>
            <w:tcW w:w="1100" w:type="dxa"/>
            <w:tcBorders>
              <w:top w:val="single" w:color="auto" w:sz="4" w:space="0"/>
              <w:left w:val="single" w:color="auto" w:sz="4" w:space="0"/>
              <w:bottom w:val="single" w:color="auto" w:sz="4" w:space="0"/>
              <w:right w:val="single" w:color="auto" w:sz="4" w:space="0"/>
            </w:tcBorders>
            <w:vAlign w:val="center"/>
          </w:tcPr>
          <w:p w14:paraId="69952AF0">
            <w:pPr>
              <w:autoSpaceDE w:val="0"/>
              <w:autoSpaceDN w:val="0"/>
              <w:adjustRightInd w:val="0"/>
              <w:jc w:val="center"/>
              <w:rPr>
                <w:rFonts w:ascii="宋体" w:hAnsi="宋体" w:cs="宋体"/>
                <w:kern w:val="0"/>
              </w:rPr>
            </w:pPr>
          </w:p>
        </w:tc>
        <w:tc>
          <w:tcPr>
            <w:tcW w:w="1100" w:type="dxa"/>
            <w:tcBorders>
              <w:top w:val="single" w:color="auto" w:sz="4" w:space="0"/>
              <w:left w:val="single" w:color="auto" w:sz="4" w:space="0"/>
              <w:bottom w:val="single" w:color="auto" w:sz="4" w:space="0"/>
              <w:right w:val="single" w:color="auto" w:sz="4" w:space="0"/>
            </w:tcBorders>
            <w:vAlign w:val="center"/>
          </w:tcPr>
          <w:p w14:paraId="15371659">
            <w:pPr>
              <w:autoSpaceDE w:val="0"/>
              <w:autoSpaceDN w:val="0"/>
              <w:adjustRightInd w:val="0"/>
              <w:jc w:val="center"/>
              <w:rPr>
                <w:rFonts w:ascii="宋体" w:hAnsi="宋体" w:cs="宋体"/>
                <w:kern w:val="0"/>
              </w:rPr>
            </w:pPr>
          </w:p>
        </w:tc>
        <w:tc>
          <w:tcPr>
            <w:tcW w:w="1100" w:type="dxa"/>
            <w:tcBorders>
              <w:top w:val="single" w:color="auto" w:sz="4" w:space="0"/>
              <w:left w:val="single" w:color="auto" w:sz="4" w:space="0"/>
              <w:bottom w:val="single" w:color="auto" w:sz="4" w:space="0"/>
              <w:right w:val="single" w:color="auto" w:sz="4" w:space="0"/>
            </w:tcBorders>
            <w:vAlign w:val="center"/>
          </w:tcPr>
          <w:p w14:paraId="11808B94">
            <w:pPr>
              <w:autoSpaceDE w:val="0"/>
              <w:autoSpaceDN w:val="0"/>
              <w:adjustRightInd w:val="0"/>
              <w:jc w:val="center"/>
              <w:rPr>
                <w:rFonts w:ascii="宋体" w:hAnsi="宋体" w:cs="宋体"/>
                <w:kern w:val="0"/>
              </w:rPr>
            </w:pPr>
          </w:p>
        </w:tc>
        <w:tc>
          <w:tcPr>
            <w:tcW w:w="1100" w:type="dxa"/>
            <w:tcBorders>
              <w:top w:val="single" w:color="auto" w:sz="4" w:space="0"/>
              <w:left w:val="single" w:color="auto" w:sz="4" w:space="0"/>
              <w:bottom w:val="single" w:color="auto" w:sz="4" w:space="0"/>
              <w:right w:val="single" w:color="auto" w:sz="4" w:space="0"/>
            </w:tcBorders>
            <w:vAlign w:val="center"/>
          </w:tcPr>
          <w:p w14:paraId="0DA9C586">
            <w:pPr>
              <w:autoSpaceDE w:val="0"/>
              <w:autoSpaceDN w:val="0"/>
              <w:adjustRightInd w:val="0"/>
              <w:jc w:val="center"/>
              <w:rPr>
                <w:rFonts w:ascii="宋体" w:hAnsi="宋体" w:cs="宋体"/>
                <w:kern w:val="0"/>
              </w:rPr>
            </w:pPr>
          </w:p>
        </w:tc>
        <w:tc>
          <w:tcPr>
            <w:tcW w:w="1105" w:type="dxa"/>
            <w:tcBorders>
              <w:top w:val="single" w:color="auto" w:sz="4" w:space="0"/>
              <w:left w:val="single" w:color="auto" w:sz="4" w:space="0"/>
              <w:bottom w:val="single" w:color="auto" w:sz="4" w:space="0"/>
              <w:right w:val="single" w:color="auto" w:sz="4" w:space="0"/>
            </w:tcBorders>
            <w:vAlign w:val="center"/>
          </w:tcPr>
          <w:p w14:paraId="61CE7B04">
            <w:pPr>
              <w:autoSpaceDE w:val="0"/>
              <w:autoSpaceDN w:val="0"/>
              <w:adjustRightInd w:val="0"/>
              <w:jc w:val="center"/>
              <w:rPr>
                <w:rFonts w:ascii="宋体" w:hAnsi="宋体" w:cs="宋体"/>
                <w:kern w:val="0"/>
              </w:rPr>
            </w:pPr>
          </w:p>
        </w:tc>
      </w:tr>
      <w:tr w14:paraId="0D0D4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1" w:hRule="atLeast"/>
          <w:jc w:val="center"/>
        </w:trPr>
        <w:tc>
          <w:tcPr>
            <w:tcW w:w="1097" w:type="dxa"/>
            <w:tcBorders>
              <w:top w:val="single" w:color="auto" w:sz="4" w:space="0"/>
              <w:left w:val="single" w:color="auto" w:sz="4" w:space="0"/>
              <w:bottom w:val="single" w:color="auto" w:sz="4" w:space="0"/>
              <w:right w:val="single" w:color="auto" w:sz="4" w:space="0"/>
            </w:tcBorders>
            <w:vAlign w:val="center"/>
          </w:tcPr>
          <w:p w14:paraId="53E2C989">
            <w:pPr>
              <w:autoSpaceDE w:val="0"/>
              <w:autoSpaceDN w:val="0"/>
              <w:adjustRightInd w:val="0"/>
              <w:jc w:val="center"/>
              <w:rPr>
                <w:rFonts w:ascii="宋体" w:hAnsi="宋体" w:cs="宋体"/>
                <w:kern w:val="0"/>
              </w:rPr>
            </w:pPr>
          </w:p>
        </w:tc>
        <w:tc>
          <w:tcPr>
            <w:tcW w:w="1097" w:type="dxa"/>
            <w:tcBorders>
              <w:top w:val="single" w:color="auto" w:sz="4" w:space="0"/>
              <w:left w:val="single" w:color="auto" w:sz="4" w:space="0"/>
              <w:bottom w:val="single" w:color="auto" w:sz="4" w:space="0"/>
              <w:right w:val="single" w:color="auto" w:sz="4" w:space="0"/>
            </w:tcBorders>
            <w:vAlign w:val="center"/>
          </w:tcPr>
          <w:p w14:paraId="6D1753F7">
            <w:pPr>
              <w:autoSpaceDE w:val="0"/>
              <w:autoSpaceDN w:val="0"/>
              <w:adjustRightInd w:val="0"/>
              <w:jc w:val="center"/>
              <w:rPr>
                <w:rFonts w:ascii="宋体" w:hAnsi="宋体" w:cs="宋体"/>
                <w:kern w:val="0"/>
              </w:rPr>
            </w:pPr>
          </w:p>
        </w:tc>
        <w:tc>
          <w:tcPr>
            <w:tcW w:w="1100" w:type="dxa"/>
            <w:tcBorders>
              <w:top w:val="single" w:color="auto" w:sz="4" w:space="0"/>
              <w:left w:val="single" w:color="auto" w:sz="4" w:space="0"/>
              <w:bottom w:val="single" w:color="auto" w:sz="4" w:space="0"/>
              <w:right w:val="single" w:color="auto" w:sz="4" w:space="0"/>
            </w:tcBorders>
            <w:vAlign w:val="center"/>
          </w:tcPr>
          <w:p w14:paraId="3A8C587D">
            <w:pPr>
              <w:autoSpaceDE w:val="0"/>
              <w:autoSpaceDN w:val="0"/>
              <w:adjustRightInd w:val="0"/>
              <w:jc w:val="center"/>
              <w:rPr>
                <w:rFonts w:ascii="宋体" w:hAnsi="宋体" w:cs="宋体"/>
                <w:kern w:val="0"/>
              </w:rPr>
            </w:pPr>
          </w:p>
        </w:tc>
        <w:tc>
          <w:tcPr>
            <w:tcW w:w="1100" w:type="dxa"/>
            <w:tcBorders>
              <w:top w:val="single" w:color="auto" w:sz="4" w:space="0"/>
              <w:left w:val="single" w:color="auto" w:sz="4" w:space="0"/>
              <w:bottom w:val="single" w:color="auto" w:sz="4" w:space="0"/>
              <w:right w:val="single" w:color="auto" w:sz="4" w:space="0"/>
            </w:tcBorders>
            <w:vAlign w:val="center"/>
          </w:tcPr>
          <w:p w14:paraId="3CBA7035">
            <w:pPr>
              <w:autoSpaceDE w:val="0"/>
              <w:autoSpaceDN w:val="0"/>
              <w:adjustRightInd w:val="0"/>
              <w:jc w:val="center"/>
              <w:rPr>
                <w:rFonts w:ascii="宋体" w:hAnsi="宋体" w:cs="宋体"/>
                <w:kern w:val="0"/>
              </w:rPr>
            </w:pPr>
          </w:p>
        </w:tc>
        <w:tc>
          <w:tcPr>
            <w:tcW w:w="1100" w:type="dxa"/>
            <w:tcBorders>
              <w:top w:val="single" w:color="auto" w:sz="4" w:space="0"/>
              <w:left w:val="single" w:color="auto" w:sz="4" w:space="0"/>
              <w:bottom w:val="single" w:color="auto" w:sz="4" w:space="0"/>
              <w:right w:val="single" w:color="auto" w:sz="4" w:space="0"/>
            </w:tcBorders>
            <w:vAlign w:val="center"/>
          </w:tcPr>
          <w:p w14:paraId="3D61D8C1">
            <w:pPr>
              <w:autoSpaceDE w:val="0"/>
              <w:autoSpaceDN w:val="0"/>
              <w:adjustRightInd w:val="0"/>
              <w:jc w:val="center"/>
              <w:rPr>
                <w:rFonts w:ascii="宋体" w:hAnsi="宋体" w:cs="宋体"/>
                <w:kern w:val="0"/>
              </w:rPr>
            </w:pPr>
          </w:p>
        </w:tc>
        <w:tc>
          <w:tcPr>
            <w:tcW w:w="1100" w:type="dxa"/>
            <w:tcBorders>
              <w:top w:val="single" w:color="auto" w:sz="4" w:space="0"/>
              <w:left w:val="single" w:color="auto" w:sz="4" w:space="0"/>
              <w:bottom w:val="single" w:color="auto" w:sz="4" w:space="0"/>
              <w:right w:val="single" w:color="auto" w:sz="4" w:space="0"/>
            </w:tcBorders>
            <w:vAlign w:val="center"/>
          </w:tcPr>
          <w:p w14:paraId="0C07D336">
            <w:pPr>
              <w:autoSpaceDE w:val="0"/>
              <w:autoSpaceDN w:val="0"/>
              <w:adjustRightInd w:val="0"/>
              <w:jc w:val="center"/>
              <w:rPr>
                <w:rFonts w:ascii="宋体" w:hAnsi="宋体" w:cs="宋体"/>
                <w:kern w:val="0"/>
              </w:rPr>
            </w:pPr>
          </w:p>
        </w:tc>
        <w:tc>
          <w:tcPr>
            <w:tcW w:w="1100" w:type="dxa"/>
            <w:tcBorders>
              <w:top w:val="single" w:color="auto" w:sz="4" w:space="0"/>
              <w:left w:val="single" w:color="auto" w:sz="4" w:space="0"/>
              <w:bottom w:val="single" w:color="auto" w:sz="4" w:space="0"/>
              <w:right w:val="single" w:color="auto" w:sz="4" w:space="0"/>
            </w:tcBorders>
            <w:vAlign w:val="center"/>
          </w:tcPr>
          <w:p w14:paraId="4DE59DDA">
            <w:pPr>
              <w:autoSpaceDE w:val="0"/>
              <w:autoSpaceDN w:val="0"/>
              <w:adjustRightInd w:val="0"/>
              <w:jc w:val="center"/>
              <w:rPr>
                <w:rFonts w:ascii="宋体" w:hAnsi="宋体" w:cs="宋体"/>
                <w:kern w:val="0"/>
              </w:rPr>
            </w:pPr>
          </w:p>
        </w:tc>
        <w:tc>
          <w:tcPr>
            <w:tcW w:w="1105" w:type="dxa"/>
            <w:tcBorders>
              <w:top w:val="single" w:color="auto" w:sz="4" w:space="0"/>
              <w:left w:val="single" w:color="auto" w:sz="4" w:space="0"/>
              <w:bottom w:val="single" w:color="auto" w:sz="4" w:space="0"/>
              <w:right w:val="single" w:color="auto" w:sz="4" w:space="0"/>
            </w:tcBorders>
            <w:vAlign w:val="center"/>
          </w:tcPr>
          <w:p w14:paraId="2437059A">
            <w:pPr>
              <w:autoSpaceDE w:val="0"/>
              <w:autoSpaceDN w:val="0"/>
              <w:adjustRightInd w:val="0"/>
              <w:jc w:val="center"/>
              <w:rPr>
                <w:rFonts w:ascii="宋体" w:hAnsi="宋体" w:cs="宋体"/>
                <w:kern w:val="0"/>
              </w:rPr>
            </w:pPr>
          </w:p>
        </w:tc>
      </w:tr>
    </w:tbl>
    <w:p w14:paraId="6BDB3128">
      <w:pPr>
        <w:autoSpaceDE w:val="0"/>
        <w:autoSpaceDN w:val="0"/>
        <w:adjustRightInd w:val="0"/>
        <w:spacing w:line="420" w:lineRule="exact"/>
        <w:jc w:val="left"/>
        <w:rPr>
          <w:rFonts w:ascii="宋体" w:hAnsi="宋体" w:cs="宋体"/>
          <w:kern w:val="0"/>
        </w:rPr>
      </w:pPr>
    </w:p>
    <w:p w14:paraId="7E6B8174">
      <w:pPr>
        <w:autoSpaceDE w:val="0"/>
        <w:autoSpaceDN w:val="0"/>
        <w:adjustRightInd w:val="0"/>
        <w:spacing w:line="420" w:lineRule="exact"/>
        <w:jc w:val="left"/>
        <w:rPr>
          <w:rFonts w:ascii="宋体" w:hAnsi="宋体" w:cs="宋体"/>
          <w:kern w:val="0"/>
        </w:rPr>
      </w:pPr>
      <w:r>
        <w:rPr>
          <w:rFonts w:hint="eastAsia" w:ascii="宋体" w:hAnsi="宋体" w:cs="宋体"/>
          <w:kern w:val="0"/>
        </w:rPr>
        <w:t>附表四：计划开、竣工日期和施工进度网络图</w:t>
      </w:r>
    </w:p>
    <w:p w14:paraId="54A8CC2E">
      <w:pPr>
        <w:autoSpaceDE w:val="0"/>
        <w:autoSpaceDN w:val="0"/>
        <w:adjustRightInd w:val="0"/>
        <w:spacing w:line="420" w:lineRule="exact"/>
        <w:jc w:val="left"/>
        <w:rPr>
          <w:rFonts w:ascii="宋体" w:hAnsi="宋体" w:cs="宋体"/>
          <w:kern w:val="0"/>
        </w:rPr>
      </w:pPr>
    </w:p>
    <w:p w14:paraId="61117C2B">
      <w:pPr>
        <w:autoSpaceDE w:val="0"/>
        <w:autoSpaceDN w:val="0"/>
        <w:adjustRightInd w:val="0"/>
        <w:spacing w:line="360" w:lineRule="auto"/>
        <w:ind w:firstLine="420" w:firstLineChars="200"/>
        <w:jc w:val="left"/>
        <w:rPr>
          <w:rFonts w:ascii="宋体" w:hAnsi="宋体" w:cs="宋体"/>
          <w:kern w:val="0"/>
        </w:rPr>
      </w:pPr>
      <w:r>
        <w:rPr>
          <w:rFonts w:hint="eastAsia" w:ascii="宋体" w:hAnsi="宋体" w:cs="宋体"/>
          <w:kern w:val="0"/>
        </w:rPr>
        <w:t>1. 供应商应递交施工进度网络图或施工进度表，说明按招标文件要求的计划工期进行施工的各个关键日期。</w:t>
      </w:r>
    </w:p>
    <w:p w14:paraId="206C2D94">
      <w:pPr>
        <w:autoSpaceDE w:val="0"/>
        <w:autoSpaceDN w:val="0"/>
        <w:adjustRightInd w:val="0"/>
        <w:spacing w:line="360" w:lineRule="auto"/>
        <w:ind w:firstLine="420" w:firstLineChars="200"/>
        <w:jc w:val="left"/>
        <w:rPr>
          <w:rFonts w:ascii="宋体" w:hAnsi="宋体" w:cs="宋体"/>
          <w:kern w:val="0"/>
        </w:rPr>
      </w:pPr>
      <w:r>
        <w:rPr>
          <w:rFonts w:hint="eastAsia" w:ascii="宋体" w:hAnsi="宋体" w:cs="宋体"/>
          <w:kern w:val="0"/>
        </w:rPr>
        <w:t>2. 施工进度表可采用网络图（或横道图）表示。</w:t>
      </w:r>
    </w:p>
    <w:p w14:paraId="0DDDD9CC">
      <w:pPr>
        <w:autoSpaceDE w:val="0"/>
        <w:autoSpaceDN w:val="0"/>
        <w:adjustRightInd w:val="0"/>
        <w:spacing w:line="420" w:lineRule="exact"/>
        <w:jc w:val="left"/>
        <w:rPr>
          <w:rFonts w:ascii="宋体" w:hAnsi="宋体" w:cs="宋体"/>
          <w:kern w:val="0"/>
        </w:rPr>
      </w:pPr>
    </w:p>
    <w:p w14:paraId="70BCF1B6">
      <w:pPr>
        <w:autoSpaceDE w:val="0"/>
        <w:autoSpaceDN w:val="0"/>
        <w:adjustRightInd w:val="0"/>
        <w:spacing w:line="420" w:lineRule="exact"/>
        <w:jc w:val="left"/>
        <w:rPr>
          <w:rFonts w:ascii="宋体" w:hAnsi="宋体" w:cs="宋体"/>
          <w:kern w:val="0"/>
        </w:rPr>
      </w:pPr>
      <w:r>
        <w:rPr>
          <w:rFonts w:hint="eastAsia" w:ascii="宋体" w:hAnsi="宋体" w:cs="宋体"/>
          <w:kern w:val="0"/>
        </w:rPr>
        <w:t>附表五：施工总平面图</w:t>
      </w:r>
    </w:p>
    <w:p w14:paraId="66804069">
      <w:pPr>
        <w:autoSpaceDE w:val="0"/>
        <w:autoSpaceDN w:val="0"/>
        <w:adjustRightInd w:val="0"/>
        <w:spacing w:line="420" w:lineRule="exact"/>
        <w:jc w:val="left"/>
        <w:rPr>
          <w:rFonts w:ascii="宋体" w:hAnsi="宋体" w:cs="宋体"/>
          <w:kern w:val="0"/>
        </w:rPr>
      </w:pPr>
    </w:p>
    <w:p w14:paraId="708498AA">
      <w:pPr>
        <w:autoSpaceDE w:val="0"/>
        <w:autoSpaceDN w:val="0"/>
        <w:adjustRightInd w:val="0"/>
        <w:spacing w:line="360" w:lineRule="auto"/>
        <w:ind w:firstLine="420" w:firstLineChars="200"/>
        <w:jc w:val="left"/>
        <w:rPr>
          <w:rFonts w:ascii="宋体" w:hAnsi="宋体" w:cs="宋体"/>
          <w:kern w:val="0"/>
        </w:rPr>
      </w:pPr>
      <w:r>
        <w:rPr>
          <w:rFonts w:hint="eastAsia" w:ascii="宋体" w:hAnsi="宋体" w:cs="宋体"/>
          <w:kern w:val="0"/>
        </w:rPr>
        <w:t>供应商应递交一份施工总平面图，绘出现场临时设施布置图表并附文字说明。</w:t>
      </w:r>
    </w:p>
    <w:p w14:paraId="5457CD0A">
      <w:pPr>
        <w:autoSpaceDE w:val="0"/>
        <w:autoSpaceDN w:val="0"/>
        <w:adjustRightInd w:val="0"/>
        <w:spacing w:line="360" w:lineRule="auto"/>
        <w:ind w:firstLine="420" w:firstLineChars="200"/>
        <w:jc w:val="left"/>
        <w:rPr>
          <w:rFonts w:ascii="宋体" w:hAnsi="宋体" w:cs="宋体"/>
          <w:kern w:val="0"/>
        </w:rPr>
      </w:pPr>
    </w:p>
    <w:p w14:paraId="3A5F0869">
      <w:pPr>
        <w:rPr>
          <w:rFonts w:ascii="宋体" w:hAnsi="宋体" w:cs="宋体"/>
          <w:kern w:val="0"/>
        </w:rPr>
      </w:pPr>
      <w:r>
        <w:rPr>
          <w:rFonts w:hint="eastAsia" w:ascii="宋体" w:hAnsi="宋体" w:cs="宋体"/>
          <w:kern w:val="0"/>
        </w:rPr>
        <w:br w:type="page"/>
      </w:r>
    </w:p>
    <w:p w14:paraId="394C85E0">
      <w:pPr>
        <w:autoSpaceDE w:val="0"/>
        <w:autoSpaceDN w:val="0"/>
        <w:adjustRightInd w:val="0"/>
        <w:spacing w:line="420" w:lineRule="exact"/>
        <w:jc w:val="left"/>
        <w:rPr>
          <w:rFonts w:ascii="宋体" w:hAnsi="宋体" w:cs="宋体"/>
          <w:kern w:val="0"/>
        </w:rPr>
      </w:pPr>
      <w:bookmarkStart w:id="1233" w:name="_Toc504054270"/>
      <w:bookmarkEnd w:id="1233"/>
      <w:bookmarkStart w:id="1234" w:name="_Toc512676452"/>
      <w:r>
        <w:rPr>
          <w:rFonts w:hint="eastAsia" w:ascii="宋体" w:hAnsi="宋体" w:cs="宋体"/>
          <w:kern w:val="0"/>
        </w:rPr>
        <w:t>附表六：临时用地表</w:t>
      </w:r>
      <w:bookmarkEnd w:id="1234"/>
    </w:p>
    <w:p w14:paraId="1A1AE47F">
      <w:pPr>
        <w:autoSpaceDE w:val="0"/>
        <w:autoSpaceDN w:val="0"/>
        <w:adjustRightInd w:val="0"/>
        <w:spacing w:line="420" w:lineRule="exact"/>
        <w:jc w:val="left"/>
        <w:rPr>
          <w:rFonts w:ascii="宋体" w:hAnsi="宋体" w:cs="宋体"/>
          <w:kern w:val="0"/>
        </w:rPr>
      </w:pPr>
    </w:p>
    <w:tbl>
      <w:tblPr>
        <w:tblStyle w:val="34"/>
        <w:tblW w:w="8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7"/>
        <w:gridCol w:w="2197"/>
        <w:gridCol w:w="2198"/>
        <w:gridCol w:w="1965"/>
      </w:tblGrid>
      <w:tr w14:paraId="18831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2197" w:type="dxa"/>
            <w:tcBorders>
              <w:top w:val="single" w:color="auto" w:sz="4" w:space="0"/>
              <w:left w:val="single" w:color="auto" w:sz="4" w:space="0"/>
              <w:bottom w:val="single" w:color="auto" w:sz="4" w:space="0"/>
              <w:right w:val="single" w:color="auto" w:sz="4" w:space="0"/>
            </w:tcBorders>
            <w:vAlign w:val="center"/>
          </w:tcPr>
          <w:p w14:paraId="0BD5E860">
            <w:pPr>
              <w:autoSpaceDE w:val="0"/>
              <w:autoSpaceDN w:val="0"/>
              <w:adjustRightInd w:val="0"/>
              <w:spacing w:line="420" w:lineRule="exact"/>
              <w:jc w:val="center"/>
              <w:rPr>
                <w:rFonts w:ascii="宋体" w:hAnsi="宋体" w:cs="宋体"/>
                <w:kern w:val="0"/>
              </w:rPr>
            </w:pPr>
            <w:r>
              <w:rPr>
                <w:rFonts w:hint="eastAsia" w:ascii="宋体" w:hAnsi="宋体" w:cs="宋体"/>
                <w:kern w:val="0"/>
              </w:rPr>
              <w:t>用 途</w:t>
            </w:r>
          </w:p>
        </w:tc>
        <w:tc>
          <w:tcPr>
            <w:tcW w:w="2197" w:type="dxa"/>
            <w:tcBorders>
              <w:top w:val="single" w:color="auto" w:sz="4" w:space="0"/>
              <w:left w:val="single" w:color="auto" w:sz="4" w:space="0"/>
              <w:bottom w:val="single" w:color="auto" w:sz="4" w:space="0"/>
              <w:right w:val="single" w:color="auto" w:sz="4" w:space="0"/>
            </w:tcBorders>
            <w:vAlign w:val="center"/>
          </w:tcPr>
          <w:p w14:paraId="2E4DB71F">
            <w:pPr>
              <w:autoSpaceDE w:val="0"/>
              <w:autoSpaceDN w:val="0"/>
              <w:adjustRightInd w:val="0"/>
              <w:spacing w:line="420" w:lineRule="exact"/>
              <w:jc w:val="center"/>
              <w:rPr>
                <w:rFonts w:ascii="宋体" w:hAnsi="宋体" w:cs="宋体"/>
                <w:kern w:val="0"/>
              </w:rPr>
            </w:pPr>
            <w:r>
              <w:rPr>
                <w:rFonts w:hint="eastAsia" w:ascii="宋体" w:hAnsi="宋体" w:cs="宋体"/>
                <w:kern w:val="0"/>
              </w:rPr>
              <w:t>面 积（平方米）</w:t>
            </w:r>
          </w:p>
        </w:tc>
        <w:tc>
          <w:tcPr>
            <w:tcW w:w="2198" w:type="dxa"/>
            <w:tcBorders>
              <w:top w:val="single" w:color="auto" w:sz="4" w:space="0"/>
              <w:left w:val="single" w:color="auto" w:sz="4" w:space="0"/>
              <w:bottom w:val="single" w:color="auto" w:sz="4" w:space="0"/>
              <w:right w:val="single" w:color="auto" w:sz="4" w:space="0"/>
            </w:tcBorders>
            <w:vAlign w:val="center"/>
          </w:tcPr>
          <w:p w14:paraId="0DC82E69">
            <w:pPr>
              <w:autoSpaceDE w:val="0"/>
              <w:autoSpaceDN w:val="0"/>
              <w:adjustRightInd w:val="0"/>
              <w:spacing w:line="420" w:lineRule="exact"/>
              <w:jc w:val="center"/>
              <w:rPr>
                <w:rFonts w:ascii="宋体" w:hAnsi="宋体" w:cs="宋体"/>
                <w:kern w:val="0"/>
              </w:rPr>
            </w:pPr>
            <w:r>
              <w:rPr>
                <w:rFonts w:hint="eastAsia" w:ascii="宋体" w:hAnsi="宋体" w:cs="宋体"/>
                <w:kern w:val="0"/>
              </w:rPr>
              <w:t>位 置</w:t>
            </w:r>
          </w:p>
        </w:tc>
        <w:tc>
          <w:tcPr>
            <w:tcW w:w="1965" w:type="dxa"/>
            <w:tcBorders>
              <w:top w:val="single" w:color="auto" w:sz="4" w:space="0"/>
              <w:left w:val="single" w:color="auto" w:sz="4" w:space="0"/>
              <w:bottom w:val="single" w:color="auto" w:sz="4" w:space="0"/>
              <w:right w:val="single" w:color="auto" w:sz="4" w:space="0"/>
            </w:tcBorders>
            <w:vAlign w:val="center"/>
          </w:tcPr>
          <w:p w14:paraId="6E6FD16B">
            <w:pPr>
              <w:autoSpaceDE w:val="0"/>
              <w:autoSpaceDN w:val="0"/>
              <w:adjustRightInd w:val="0"/>
              <w:spacing w:line="420" w:lineRule="exact"/>
              <w:jc w:val="center"/>
              <w:rPr>
                <w:rFonts w:ascii="宋体" w:hAnsi="宋体" w:cs="宋体"/>
                <w:kern w:val="0"/>
              </w:rPr>
            </w:pPr>
            <w:r>
              <w:rPr>
                <w:rFonts w:hint="eastAsia" w:ascii="宋体" w:hAnsi="宋体" w:cs="宋体"/>
                <w:kern w:val="0"/>
              </w:rPr>
              <w:t>需用时间</w:t>
            </w:r>
          </w:p>
        </w:tc>
      </w:tr>
      <w:tr w14:paraId="28894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97" w:type="dxa"/>
            <w:tcBorders>
              <w:top w:val="single" w:color="auto" w:sz="4" w:space="0"/>
              <w:left w:val="single" w:color="auto" w:sz="4" w:space="0"/>
              <w:bottom w:val="single" w:color="auto" w:sz="4" w:space="0"/>
              <w:right w:val="single" w:color="auto" w:sz="4" w:space="0"/>
            </w:tcBorders>
            <w:vAlign w:val="center"/>
          </w:tcPr>
          <w:p w14:paraId="5B1E2208">
            <w:pPr>
              <w:autoSpaceDE w:val="0"/>
              <w:autoSpaceDN w:val="0"/>
              <w:adjustRightInd w:val="0"/>
              <w:spacing w:line="420" w:lineRule="exact"/>
              <w:jc w:val="center"/>
              <w:rPr>
                <w:rFonts w:ascii="宋体" w:hAnsi="宋体" w:cs="宋体"/>
                <w:kern w:val="0"/>
              </w:rPr>
            </w:pPr>
          </w:p>
        </w:tc>
        <w:tc>
          <w:tcPr>
            <w:tcW w:w="2197" w:type="dxa"/>
            <w:tcBorders>
              <w:top w:val="single" w:color="auto" w:sz="4" w:space="0"/>
              <w:left w:val="single" w:color="auto" w:sz="4" w:space="0"/>
              <w:bottom w:val="single" w:color="auto" w:sz="4" w:space="0"/>
              <w:right w:val="single" w:color="auto" w:sz="4" w:space="0"/>
            </w:tcBorders>
            <w:vAlign w:val="center"/>
          </w:tcPr>
          <w:p w14:paraId="1BBD76E3">
            <w:pPr>
              <w:autoSpaceDE w:val="0"/>
              <w:autoSpaceDN w:val="0"/>
              <w:adjustRightInd w:val="0"/>
              <w:spacing w:line="420" w:lineRule="exact"/>
              <w:jc w:val="center"/>
              <w:rPr>
                <w:rFonts w:ascii="宋体" w:hAnsi="宋体" w:cs="宋体"/>
                <w:kern w:val="0"/>
              </w:rPr>
            </w:pPr>
          </w:p>
        </w:tc>
        <w:tc>
          <w:tcPr>
            <w:tcW w:w="2198" w:type="dxa"/>
            <w:tcBorders>
              <w:top w:val="single" w:color="auto" w:sz="4" w:space="0"/>
              <w:left w:val="single" w:color="auto" w:sz="4" w:space="0"/>
              <w:bottom w:val="single" w:color="auto" w:sz="4" w:space="0"/>
              <w:right w:val="single" w:color="auto" w:sz="4" w:space="0"/>
            </w:tcBorders>
            <w:vAlign w:val="center"/>
          </w:tcPr>
          <w:p w14:paraId="718BC1E9">
            <w:pPr>
              <w:autoSpaceDE w:val="0"/>
              <w:autoSpaceDN w:val="0"/>
              <w:adjustRightInd w:val="0"/>
              <w:spacing w:line="420" w:lineRule="exact"/>
              <w:jc w:val="center"/>
              <w:rPr>
                <w:rFonts w:ascii="宋体" w:hAnsi="宋体" w:cs="宋体"/>
                <w:kern w:val="0"/>
              </w:rPr>
            </w:pPr>
          </w:p>
        </w:tc>
        <w:tc>
          <w:tcPr>
            <w:tcW w:w="1965" w:type="dxa"/>
            <w:tcBorders>
              <w:top w:val="single" w:color="auto" w:sz="4" w:space="0"/>
              <w:left w:val="single" w:color="auto" w:sz="4" w:space="0"/>
              <w:bottom w:val="single" w:color="auto" w:sz="4" w:space="0"/>
              <w:right w:val="single" w:color="auto" w:sz="4" w:space="0"/>
            </w:tcBorders>
            <w:vAlign w:val="center"/>
          </w:tcPr>
          <w:p w14:paraId="799978CF">
            <w:pPr>
              <w:autoSpaceDE w:val="0"/>
              <w:autoSpaceDN w:val="0"/>
              <w:adjustRightInd w:val="0"/>
              <w:spacing w:line="420" w:lineRule="exact"/>
              <w:jc w:val="center"/>
              <w:rPr>
                <w:rFonts w:ascii="宋体" w:hAnsi="宋体" w:cs="宋体"/>
                <w:kern w:val="0"/>
              </w:rPr>
            </w:pPr>
          </w:p>
        </w:tc>
      </w:tr>
      <w:tr w14:paraId="1D201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2197" w:type="dxa"/>
            <w:tcBorders>
              <w:top w:val="single" w:color="auto" w:sz="4" w:space="0"/>
              <w:left w:val="single" w:color="auto" w:sz="4" w:space="0"/>
              <w:bottom w:val="single" w:color="auto" w:sz="4" w:space="0"/>
              <w:right w:val="single" w:color="auto" w:sz="4" w:space="0"/>
            </w:tcBorders>
            <w:vAlign w:val="center"/>
          </w:tcPr>
          <w:p w14:paraId="1F47F202">
            <w:pPr>
              <w:autoSpaceDE w:val="0"/>
              <w:autoSpaceDN w:val="0"/>
              <w:adjustRightInd w:val="0"/>
              <w:spacing w:line="420" w:lineRule="exact"/>
              <w:jc w:val="center"/>
              <w:rPr>
                <w:rFonts w:ascii="宋体" w:hAnsi="宋体" w:cs="宋体"/>
                <w:kern w:val="0"/>
              </w:rPr>
            </w:pPr>
          </w:p>
        </w:tc>
        <w:tc>
          <w:tcPr>
            <w:tcW w:w="2197" w:type="dxa"/>
            <w:tcBorders>
              <w:top w:val="single" w:color="auto" w:sz="4" w:space="0"/>
              <w:left w:val="single" w:color="auto" w:sz="4" w:space="0"/>
              <w:bottom w:val="single" w:color="auto" w:sz="4" w:space="0"/>
              <w:right w:val="single" w:color="auto" w:sz="4" w:space="0"/>
            </w:tcBorders>
            <w:vAlign w:val="center"/>
          </w:tcPr>
          <w:p w14:paraId="5059C83F">
            <w:pPr>
              <w:autoSpaceDE w:val="0"/>
              <w:autoSpaceDN w:val="0"/>
              <w:adjustRightInd w:val="0"/>
              <w:spacing w:line="420" w:lineRule="exact"/>
              <w:jc w:val="center"/>
              <w:rPr>
                <w:rFonts w:ascii="宋体" w:hAnsi="宋体" w:cs="宋体"/>
                <w:kern w:val="0"/>
              </w:rPr>
            </w:pPr>
          </w:p>
        </w:tc>
        <w:tc>
          <w:tcPr>
            <w:tcW w:w="2198" w:type="dxa"/>
            <w:tcBorders>
              <w:top w:val="single" w:color="auto" w:sz="4" w:space="0"/>
              <w:left w:val="single" w:color="auto" w:sz="4" w:space="0"/>
              <w:bottom w:val="single" w:color="auto" w:sz="4" w:space="0"/>
              <w:right w:val="single" w:color="auto" w:sz="4" w:space="0"/>
            </w:tcBorders>
            <w:vAlign w:val="center"/>
          </w:tcPr>
          <w:p w14:paraId="72C2A7DE">
            <w:pPr>
              <w:autoSpaceDE w:val="0"/>
              <w:autoSpaceDN w:val="0"/>
              <w:adjustRightInd w:val="0"/>
              <w:spacing w:line="420" w:lineRule="exact"/>
              <w:jc w:val="center"/>
              <w:rPr>
                <w:rFonts w:ascii="宋体" w:hAnsi="宋体" w:cs="宋体"/>
                <w:kern w:val="0"/>
              </w:rPr>
            </w:pPr>
          </w:p>
        </w:tc>
        <w:tc>
          <w:tcPr>
            <w:tcW w:w="1965" w:type="dxa"/>
            <w:tcBorders>
              <w:top w:val="single" w:color="auto" w:sz="4" w:space="0"/>
              <w:left w:val="single" w:color="auto" w:sz="4" w:space="0"/>
              <w:bottom w:val="single" w:color="auto" w:sz="4" w:space="0"/>
              <w:right w:val="single" w:color="auto" w:sz="4" w:space="0"/>
            </w:tcBorders>
            <w:vAlign w:val="center"/>
          </w:tcPr>
          <w:p w14:paraId="021AE359">
            <w:pPr>
              <w:autoSpaceDE w:val="0"/>
              <w:autoSpaceDN w:val="0"/>
              <w:adjustRightInd w:val="0"/>
              <w:spacing w:line="420" w:lineRule="exact"/>
              <w:jc w:val="center"/>
              <w:rPr>
                <w:rFonts w:ascii="宋体" w:hAnsi="宋体" w:cs="宋体"/>
                <w:kern w:val="0"/>
              </w:rPr>
            </w:pPr>
          </w:p>
        </w:tc>
      </w:tr>
      <w:tr w14:paraId="3F830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97" w:type="dxa"/>
            <w:tcBorders>
              <w:top w:val="single" w:color="auto" w:sz="4" w:space="0"/>
              <w:left w:val="single" w:color="auto" w:sz="4" w:space="0"/>
              <w:bottom w:val="single" w:color="auto" w:sz="4" w:space="0"/>
              <w:right w:val="single" w:color="auto" w:sz="4" w:space="0"/>
            </w:tcBorders>
            <w:vAlign w:val="center"/>
          </w:tcPr>
          <w:p w14:paraId="5E6CA968">
            <w:pPr>
              <w:autoSpaceDE w:val="0"/>
              <w:autoSpaceDN w:val="0"/>
              <w:adjustRightInd w:val="0"/>
              <w:spacing w:line="420" w:lineRule="exact"/>
              <w:jc w:val="center"/>
              <w:rPr>
                <w:rFonts w:ascii="宋体" w:hAnsi="宋体" w:cs="宋体"/>
                <w:kern w:val="0"/>
              </w:rPr>
            </w:pPr>
          </w:p>
        </w:tc>
        <w:tc>
          <w:tcPr>
            <w:tcW w:w="2197" w:type="dxa"/>
            <w:tcBorders>
              <w:top w:val="single" w:color="auto" w:sz="4" w:space="0"/>
              <w:left w:val="single" w:color="auto" w:sz="4" w:space="0"/>
              <w:bottom w:val="single" w:color="auto" w:sz="4" w:space="0"/>
              <w:right w:val="single" w:color="auto" w:sz="4" w:space="0"/>
            </w:tcBorders>
            <w:vAlign w:val="center"/>
          </w:tcPr>
          <w:p w14:paraId="64A61C1F">
            <w:pPr>
              <w:autoSpaceDE w:val="0"/>
              <w:autoSpaceDN w:val="0"/>
              <w:adjustRightInd w:val="0"/>
              <w:spacing w:line="420" w:lineRule="exact"/>
              <w:jc w:val="center"/>
              <w:rPr>
                <w:rFonts w:ascii="宋体" w:hAnsi="宋体" w:cs="宋体"/>
                <w:kern w:val="0"/>
              </w:rPr>
            </w:pPr>
          </w:p>
        </w:tc>
        <w:tc>
          <w:tcPr>
            <w:tcW w:w="2198" w:type="dxa"/>
            <w:tcBorders>
              <w:top w:val="single" w:color="auto" w:sz="4" w:space="0"/>
              <w:left w:val="single" w:color="auto" w:sz="4" w:space="0"/>
              <w:bottom w:val="single" w:color="auto" w:sz="4" w:space="0"/>
              <w:right w:val="single" w:color="auto" w:sz="4" w:space="0"/>
            </w:tcBorders>
            <w:vAlign w:val="center"/>
          </w:tcPr>
          <w:p w14:paraId="3C4703BD">
            <w:pPr>
              <w:autoSpaceDE w:val="0"/>
              <w:autoSpaceDN w:val="0"/>
              <w:adjustRightInd w:val="0"/>
              <w:spacing w:line="420" w:lineRule="exact"/>
              <w:jc w:val="center"/>
              <w:rPr>
                <w:rFonts w:ascii="宋体" w:hAnsi="宋体" w:cs="宋体"/>
                <w:kern w:val="0"/>
              </w:rPr>
            </w:pPr>
          </w:p>
        </w:tc>
        <w:tc>
          <w:tcPr>
            <w:tcW w:w="1965" w:type="dxa"/>
            <w:tcBorders>
              <w:top w:val="single" w:color="auto" w:sz="4" w:space="0"/>
              <w:left w:val="single" w:color="auto" w:sz="4" w:space="0"/>
              <w:bottom w:val="single" w:color="auto" w:sz="4" w:space="0"/>
              <w:right w:val="single" w:color="auto" w:sz="4" w:space="0"/>
            </w:tcBorders>
            <w:vAlign w:val="center"/>
          </w:tcPr>
          <w:p w14:paraId="7234CADE">
            <w:pPr>
              <w:autoSpaceDE w:val="0"/>
              <w:autoSpaceDN w:val="0"/>
              <w:adjustRightInd w:val="0"/>
              <w:spacing w:line="420" w:lineRule="exact"/>
              <w:jc w:val="center"/>
              <w:rPr>
                <w:rFonts w:ascii="宋体" w:hAnsi="宋体" w:cs="宋体"/>
                <w:kern w:val="0"/>
              </w:rPr>
            </w:pPr>
          </w:p>
        </w:tc>
      </w:tr>
      <w:tr w14:paraId="1520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2197" w:type="dxa"/>
            <w:tcBorders>
              <w:top w:val="single" w:color="auto" w:sz="4" w:space="0"/>
              <w:left w:val="single" w:color="auto" w:sz="4" w:space="0"/>
              <w:bottom w:val="single" w:color="auto" w:sz="4" w:space="0"/>
              <w:right w:val="single" w:color="auto" w:sz="4" w:space="0"/>
            </w:tcBorders>
            <w:vAlign w:val="center"/>
          </w:tcPr>
          <w:p w14:paraId="3A239823">
            <w:pPr>
              <w:autoSpaceDE w:val="0"/>
              <w:autoSpaceDN w:val="0"/>
              <w:adjustRightInd w:val="0"/>
              <w:spacing w:line="420" w:lineRule="exact"/>
              <w:jc w:val="center"/>
              <w:rPr>
                <w:rFonts w:ascii="宋体" w:hAnsi="宋体" w:cs="宋体"/>
                <w:kern w:val="0"/>
              </w:rPr>
            </w:pPr>
          </w:p>
        </w:tc>
        <w:tc>
          <w:tcPr>
            <w:tcW w:w="2197" w:type="dxa"/>
            <w:tcBorders>
              <w:top w:val="single" w:color="auto" w:sz="4" w:space="0"/>
              <w:left w:val="single" w:color="auto" w:sz="4" w:space="0"/>
              <w:bottom w:val="single" w:color="auto" w:sz="4" w:space="0"/>
              <w:right w:val="single" w:color="auto" w:sz="4" w:space="0"/>
            </w:tcBorders>
            <w:vAlign w:val="center"/>
          </w:tcPr>
          <w:p w14:paraId="7504B2A4">
            <w:pPr>
              <w:autoSpaceDE w:val="0"/>
              <w:autoSpaceDN w:val="0"/>
              <w:adjustRightInd w:val="0"/>
              <w:spacing w:line="420" w:lineRule="exact"/>
              <w:jc w:val="center"/>
              <w:rPr>
                <w:rFonts w:ascii="宋体" w:hAnsi="宋体" w:cs="宋体"/>
                <w:kern w:val="0"/>
              </w:rPr>
            </w:pPr>
          </w:p>
        </w:tc>
        <w:tc>
          <w:tcPr>
            <w:tcW w:w="2198" w:type="dxa"/>
            <w:tcBorders>
              <w:top w:val="single" w:color="auto" w:sz="4" w:space="0"/>
              <w:left w:val="single" w:color="auto" w:sz="4" w:space="0"/>
              <w:bottom w:val="single" w:color="auto" w:sz="4" w:space="0"/>
              <w:right w:val="single" w:color="auto" w:sz="4" w:space="0"/>
            </w:tcBorders>
            <w:vAlign w:val="center"/>
          </w:tcPr>
          <w:p w14:paraId="3FDCAA85">
            <w:pPr>
              <w:autoSpaceDE w:val="0"/>
              <w:autoSpaceDN w:val="0"/>
              <w:adjustRightInd w:val="0"/>
              <w:spacing w:line="420" w:lineRule="exact"/>
              <w:jc w:val="center"/>
              <w:rPr>
                <w:rFonts w:ascii="宋体" w:hAnsi="宋体" w:cs="宋体"/>
                <w:kern w:val="0"/>
              </w:rPr>
            </w:pPr>
          </w:p>
        </w:tc>
        <w:tc>
          <w:tcPr>
            <w:tcW w:w="1965" w:type="dxa"/>
            <w:tcBorders>
              <w:top w:val="single" w:color="auto" w:sz="4" w:space="0"/>
              <w:left w:val="single" w:color="auto" w:sz="4" w:space="0"/>
              <w:bottom w:val="single" w:color="auto" w:sz="4" w:space="0"/>
              <w:right w:val="single" w:color="auto" w:sz="4" w:space="0"/>
            </w:tcBorders>
            <w:vAlign w:val="center"/>
          </w:tcPr>
          <w:p w14:paraId="11B7280F">
            <w:pPr>
              <w:autoSpaceDE w:val="0"/>
              <w:autoSpaceDN w:val="0"/>
              <w:adjustRightInd w:val="0"/>
              <w:spacing w:line="420" w:lineRule="exact"/>
              <w:jc w:val="center"/>
              <w:rPr>
                <w:rFonts w:ascii="宋体" w:hAnsi="宋体" w:cs="宋体"/>
                <w:kern w:val="0"/>
              </w:rPr>
            </w:pPr>
          </w:p>
        </w:tc>
      </w:tr>
      <w:tr w14:paraId="39F3E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97" w:type="dxa"/>
            <w:tcBorders>
              <w:top w:val="single" w:color="auto" w:sz="4" w:space="0"/>
              <w:left w:val="single" w:color="auto" w:sz="4" w:space="0"/>
              <w:bottom w:val="single" w:color="auto" w:sz="4" w:space="0"/>
              <w:right w:val="single" w:color="auto" w:sz="4" w:space="0"/>
            </w:tcBorders>
            <w:vAlign w:val="center"/>
          </w:tcPr>
          <w:p w14:paraId="721BF92B">
            <w:pPr>
              <w:autoSpaceDE w:val="0"/>
              <w:autoSpaceDN w:val="0"/>
              <w:adjustRightInd w:val="0"/>
              <w:spacing w:line="420" w:lineRule="exact"/>
              <w:jc w:val="center"/>
              <w:rPr>
                <w:rFonts w:ascii="宋体" w:hAnsi="宋体" w:cs="宋体"/>
                <w:kern w:val="0"/>
              </w:rPr>
            </w:pPr>
          </w:p>
        </w:tc>
        <w:tc>
          <w:tcPr>
            <w:tcW w:w="2197" w:type="dxa"/>
            <w:tcBorders>
              <w:top w:val="single" w:color="auto" w:sz="4" w:space="0"/>
              <w:left w:val="single" w:color="auto" w:sz="4" w:space="0"/>
              <w:bottom w:val="single" w:color="auto" w:sz="4" w:space="0"/>
              <w:right w:val="single" w:color="auto" w:sz="4" w:space="0"/>
            </w:tcBorders>
            <w:vAlign w:val="center"/>
          </w:tcPr>
          <w:p w14:paraId="04D31096">
            <w:pPr>
              <w:autoSpaceDE w:val="0"/>
              <w:autoSpaceDN w:val="0"/>
              <w:adjustRightInd w:val="0"/>
              <w:spacing w:line="420" w:lineRule="exact"/>
              <w:jc w:val="center"/>
              <w:rPr>
                <w:rFonts w:ascii="宋体" w:hAnsi="宋体" w:cs="宋体"/>
                <w:kern w:val="0"/>
              </w:rPr>
            </w:pPr>
          </w:p>
        </w:tc>
        <w:tc>
          <w:tcPr>
            <w:tcW w:w="2198" w:type="dxa"/>
            <w:tcBorders>
              <w:top w:val="single" w:color="auto" w:sz="4" w:space="0"/>
              <w:left w:val="single" w:color="auto" w:sz="4" w:space="0"/>
              <w:bottom w:val="single" w:color="auto" w:sz="4" w:space="0"/>
              <w:right w:val="single" w:color="auto" w:sz="4" w:space="0"/>
            </w:tcBorders>
            <w:vAlign w:val="center"/>
          </w:tcPr>
          <w:p w14:paraId="626D42C2">
            <w:pPr>
              <w:autoSpaceDE w:val="0"/>
              <w:autoSpaceDN w:val="0"/>
              <w:adjustRightInd w:val="0"/>
              <w:spacing w:line="420" w:lineRule="exact"/>
              <w:jc w:val="center"/>
              <w:rPr>
                <w:rFonts w:ascii="宋体" w:hAnsi="宋体" w:cs="宋体"/>
                <w:kern w:val="0"/>
              </w:rPr>
            </w:pPr>
          </w:p>
        </w:tc>
        <w:tc>
          <w:tcPr>
            <w:tcW w:w="1965" w:type="dxa"/>
            <w:tcBorders>
              <w:top w:val="single" w:color="auto" w:sz="4" w:space="0"/>
              <w:left w:val="single" w:color="auto" w:sz="4" w:space="0"/>
              <w:bottom w:val="single" w:color="auto" w:sz="4" w:space="0"/>
              <w:right w:val="single" w:color="auto" w:sz="4" w:space="0"/>
            </w:tcBorders>
            <w:vAlign w:val="center"/>
          </w:tcPr>
          <w:p w14:paraId="30E7D5E3">
            <w:pPr>
              <w:autoSpaceDE w:val="0"/>
              <w:autoSpaceDN w:val="0"/>
              <w:adjustRightInd w:val="0"/>
              <w:spacing w:line="420" w:lineRule="exact"/>
              <w:jc w:val="center"/>
              <w:rPr>
                <w:rFonts w:ascii="宋体" w:hAnsi="宋体" w:cs="宋体"/>
                <w:kern w:val="0"/>
              </w:rPr>
            </w:pPr>
          </w:p>
        </w:tc>
      </w:tr>
      <w:tr w14:paraId="5172A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2197" w:type="dxa"/>
            <w:tcBorders>
              <w:top w:val="single" w:color="auto" w:sz="4" w:space="0"/>
              <w:left w:val="single" w:color="auto" w:sz="4" w:space="0"/>
              <w:bottom w:val="single" w:color="auto" w:sz="4" w:space="0"/>
              <w:right w:val="single" w:color="auto" w:sz="4" w:space="0"/>
            </w:tcBorders>
            <w:vAlign w:val="center"/>
          </w:tcPr>
          <w:p w14:paraId="7B945779">
            <w:pPr>
              <w:autoSpaceDE w:val="0"/>
              <w:autoSpaceDN w:val="0"/>
              <w:adjustRightInd w:val="0"/>
              <w:spacing w:line="420" w:lineRule="exact"/>
              <w:jc w:val="center"/>
              <w:rPr>
                <w:rFonts w:ascii="宋体" w:hAnsi="宋体" w:cs="宋体"/>
                <w:kern w:val="0"/>
              </w:rPr>
            </w:pPr>
          </w:p>
        </w:tc>
        <w:tc>
          <w:tcPr>
            <w:tcW w:w="2197" w:type="dxa"/>
            <w:tcBorders>
              <w:top w:val="single" w:color="auto" w:sz="4" w:space="0"/>
              <w:left w:val="single" w:color="auto" w:sz="4" w:space="0"/>
              <w:bottom w:val="single" w:color="auto" w:sz="4" w:space="0"/>
              <w:right w:val="single" w:color="auto" w:sz="4" w:space="0"/>
            </w:tcBorders>
            <w:vAlign w:val="center"/>
          </w:tcPr>
          <w:p w14:paraId="72643872">
            <w:pPr>
              <w:autoSpaceDE w:val="0"/>
              <w:autoSpaceDN w:val="0"/>
              <w:adjustRightInd w:val="0"/>
              <w:spacing w:line="420" w:lineRule="exact"/>
              <w:jc w:val="center"/>
              <w:rPr>
                <w:rFonts w:ascii="宋体" w:hAnsi="宋体" w:cs="宋体"/>
                <w:kern w:val="0"/>
              </w:rPr>
            </w:pPr>
          </w:p>
        </w:tc>
        <w:tc>
          <w:tcPr>
            <w:tcW w:w="2198" w:type="dxa"/>
            <w:tcBorders>
              <w:top w:val="single" w:color="auto" w:sz="4" w:space="0"/>
              <w:left w:val="single" w:color="auto" w:sz="4" w:space="0"/>
              <w:bottom w:val="single" w:color="auto" w:sz="4" w:space="0"/>
              <w:right w:val="single" w:color="auto" w:sz="4" w:space="0"/>
            </w:tcBorders>
            <w:vAlign w:val="center"/>
          </w:tcPr>
          <w:p w14:paraId="0E89438C">
            <w:pPr>
              <w:autoSpaceDE w:val="0"/>
              <w:autoSpaceDN w:val="0"/>
              <w:adjustRightInd w:val="0"/>
              <w:spacing w:line="420" w:lineRule="exact"/>
              <w:jc w:val="center"/>
              <w:rPr>
                <w:rFonts w:ascii="宋体" w:hAnsi="宋体" w:cs="宋体"/>
                <w:kern w:val="0"/>
              </w:rPr>
            </w:pPr>
          </w:p>
        </w:tc>
        <w:tc>
          <w:tcPr>
            <w:tcW w:w="1965" w:type="dxa"/>
            <w:tcBorders>
              <w:top w:val="single" w:color="auto" w:sz="4" w:space="0"/>
              <w:left w:val="single" w:color="auto" w:sz="4" w:space="0"/>
              <w:bottom w:val="single" w:color="auto" w:sz="4" w:space="0"/>
              <w:right w:val="single" w:color="auto" w:sz="4" w:space="0"/>
            </w:tcBorders>
            <w:vAlign w:val="center"/>
          </w:tcPr>
          <w:p w14:paraId="32B8C2BD">
            <w:pPr>
              <w:autoSpaceDE w:val="0"/>
              <w:autoSpaceDN w:val="0"/>
              <w:adjustRightInd w:val="0"/>
              <w:spacing w:line="420" w:lineRule="exact"/>
              <w:jc w:val="center"/>
              <w:rPr>
                <w:rFonts w:ascii="宋体" w:hAnsi="宋体" w:cs="宋体"/>
                <w:kern w:val="0"/>
              </w:rPr>
            </w:pPr>
          </w:p>
        </w:tc>
      </w:tr>
      <w:tr w14:paraId="71CA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97" w:type="dxa"/>
            <w:tcBorders>
              <w:top w:val="single" w:color="auto" w:sz="4" w:space="0"/>
              <w:left w:val="single" w:color="auto" w:sz="4" w:space="0"/>
              <w:bottom w:val="single" w:color="auto" w:sz="4" w:space="0"/>
              <w:right w:val="single" w:color="auto" w:sz="4" w:space="0"/>
            </w:tcBorders>
            <w:vAlign w:val="center"/>
          </w:tcPr>
          <w:p w14:paraId="5C4FB416">
            <w:pPr>
              <w:autoSpaceDE w:val="0"/>
              <w:autoSpaceDN w:val="0"/>
              <w:adjustRightInd w:val="0"/>
              <w:spacing w:line="420" w:lineRule="exact"/>
              <w:jc w:val="center"/>
              <w:rPr>
                <w:rFonts w:ascii="宋体" w:hAnsi="宋体" w:cs="宋体"/>
                <w:kern w:val="0"/>
              </w:rPr>
            </w:pPr>
          </w:p>
        </w:tc>
        <w:tc>
          <w:tcPr>
            <w:tcW w:w="2197" w:type="dxa"/>
            <w:tcBorders>
              <w:top w:val="single" w:color="auto" w:sz="4" w:space="0"/>
              <w:left w:val="single" w:color="auto" w:sz="4" w:space="0"/>
              <w:bottom w:val="single" w:color="auto" w:sz="4" w:space="0"/>
              <w:right w:val="single" w:color="auto" w:sz="4" w:space="0"/>
            </w:tcBorders>
            <w:vAlign w:val="center"/>
          </w:tcPr>
          <w:p w14:paraId="2BAECA68">
            <w:pPr>
              <w:autoSpaceDE w:val="0"/>
              <w:autoSpaceDN w:val="0"/>
              <w:adjustRightInd w:val="0"/>
              <w:spacing w:line="420" w:lineRule="exact"/>
              <w:jc w:val="center"/>
              <w:rPr>
                <w:rFonts w:ascii="宋体" w:hAnsi="宋体" w:cs="宋体"/>
                <w:kern w:val="0"/>
              </w:rPr>
            </w:pPr>
          </w:p>
        </w:tc>
        <w:tc>
          <w:tcPr>
            <w:tcW w:w="2198" w:type="dxa"/>
            <w:tcBorders>
              <w:top w:val="single" w:color="auto" w:sz="4" w:space="0"/>
              <w:left w:val="single" w:color="auto" w:sz="4" w:space="0"/>
              <w:bottom w:val="single" w:color="auto" w:sz="4" w:space="0"/>
              <w:right w:val="single" w:color="auto" w:sz="4" w:space="0"/>
            </w:tcBorders>
            <w:vAlign w:val="center"/>
          </w:tcPr>
          <w:p w14:paraId="125795E6">
            <w:pPr>
              <w:autoSpaceDE w:val="0"/>
              <w:autoSpaceDN w:val="0"/>
              <w:adjustRightInd w:val="0"/>
              <w:spacing w:line="420" w:lineRule="exact"/>
              <w:jc w:val="center"/>
              <w:rPr>
                <w:rFonts w:ascii="宋体" w:hAnsi="宋体" w:cs="宋体"/>
                <w:kern w:val="0"/>
              </w:rPr>
            </w:pPr>
          </w:p>
        </w:tc>
        <w:tc>
          <w:tcPr>
            <w:tcW w:w="1965" w:type="dxa"/>
            <w:tcBorders>
              <w:top w:val="single" w:color="auto" w:sz="4" w:space="0"/>
              <w:left w:val="single" w:color="auto" w:sz="4" w:space="0"/>
              <w:bottom w:val="single" w:color="auto" w:sz="4" w:space="0"/>
              <w:right w:val="single" w:color="auto" w:sz="4" w:space="0"/>
            </w:tcBorders>
            <w:vAlign w:val="center"/>
          </w:tcPr>
          <w:p w14:paraId="0DCD9EDE">
            <w:pPr>
              <w:autoSpaceDE w:val="0"/>
              <w:autoSpaceDN w:val="0"/>
              <w:adjustRightInd w:val="0"/>
              <w:spacing w:line="420" w:lineRule="exact"/>
              <w:jc w:val="center"/>
              <w:rPr>
                <w:rFonts w:ascii="宋体" w:hAnsi="宋体" w:cs="宋体"/>
                <w:kern w:val="0"/>
              </w:rPr>
            </w:pPr>
          </w:p>
        </w:tc>
      </w:tr>
      <w:tr w14:paraId="27FEF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2197" w:type="dxa"/>
            <w:tcBorders>
              <w:top w:val="single" w:color="auto" w:sz="4" w:space="0"/>
              <w:left w:val="single" w:color="auto" w:sz="4" w:space="0"/>
              <w:bottom w:val="single" w:color="auto" w:sz="4" w:space="0"/>
              <w:right w:val="single" w:color="auto" w:sz="4" w:space="0"/>
            </w:tcBorders>
            <w:vAlign w:val="center"/>
          </w:tcPr>
          <w:p w14:paraId="597EFE99">
            <w:pPr>
              <w:autoSpaceDE w:val="0"/>
              <w:autoSpaceDN w:val="0"/>
              <w:adjustRightInd w:val="0"/>
              <w:spacing w:line="420" w:lineRule="exact"/>
              <w:jc w:val="center"/>
              <w:rPr>
                <w:rFonts w:ascii="宋体" w:hAnsi="宋体" w:cs="宋体"/>
                <w:kern w:val="0"/>
              </w:rPr>
            </w:pPr>
          </w:p>
        </w:tc>
        <w:tc>
          <w:tcPr>
            <w:tcW w:w="2197" w:type="dxa"/>
            <w:tcBorders>
              <w:top w:val="single" w:color="auto" w:sz="4" w:space="0"/>
              <w:left w:val="single" w:color="auto" w:sz="4" w:space="0"/>
              <w:bottom w:val="single" w:color="auto" w:sz="4" w:space="0"/>
              <w:right w:val="single" w:color="auto" w:sz="4" w:space="0"/>
            </w:tcBorders>
            <w:vAlign w:val="center"/>
          </w:tcPr>
          <w:p w14:paraId="0604BFA0">
            <w:pPr>
              <w:autoSpaceDE w:val="0"/>
              <w:autoSpaceDN w:val="0"/>
              <w:adjustRightInd w:val="0"/>
              <w:spacing w:line="420" w:lineRule="exact"/>
              <w:jc w:val="center"/>
              <w:rPr>
                <w:rFonts w:ascii="宋体" w:hAnsi="宋体" w:cs="宋体"/>
                <w:kern w:val="0"/>
              </w:rPr>
            </w:pPr>
          </w:p>
        </w:tc>
        <w:tc>
          <w:tcPr>
            <w:tcW w:w="2198" w:type="dxa"/>
            <w:tcBorders>
              <w:top w:val="single" w:color="auto" w:sz="4" w:space="0"/>
              <w:left w:val="single" w:color="auto" w:sz="4" w:space="0"/>
              <w:bottom w:val="single" w:color="auto" w:sz="4" w:space="0"/>
              <w:right w:val="single" w:color="auto" w:sz="4" w:space="0"/>
            </w:tcBorders>
            <w:vAlign w:val="center"/>
          </w:tcPr>
          <w:p w14:paraId="0DA21686">
            <w:pPr>
              <w:autoSpaceDE w:val="0"/>
              <w:autoSpaceDN w:val="0"/>
              <w:adjustRightInd w:val="0"/>
              <w:spacing w:line="420" w:lineRule="exact"/>
              <w:jc w:val="center"/>
              <w:rPr>
                <w:rFonts w:ascii="宋体" w:hAnsi="宋体" w:cs="宋体"/>
                <w:kern w:val="0"/>
              </w:rPr>
            </w:pPr>
          </w:p>
        </w:tc>
        <w:tc>
          <w:tcPr>
            <w:tcW w:w="1965" w:type="dxa"/>
            <w:tcBorders>
              <w:top w:val="single" w:color="auto" w:sz="4" w:space="0"/>
              <w:left w:val="single" w:color="auto" w:sz="4" w:space="0"/>
              <w:bottom w:val="single" w:color="auto" w:sz="4" w:space="0"/>
              <w:right w:val="single" w:color="auto" w:sz="4" w:space="0"/>
            </w:tcBorders>
            <w:vAlign w:val="center"/>
          </w:tcPr>
          <w:p w14:paraId="09B3401E">
            <w:pPr>
              <w:autoSpaceDE w:val="0"/>
              <w:autoSpaceDN w:val="0"/>
              <w:adjustRightInd w:val="0"/>
              <w:spacing w:line="420" w:lineRule="exact"/>
              <w:jc w:val="center"/>
              <w:rPr>
                <w:rFonts w:ascii="宋体" w:hAnsi="宋体" w:cs="宋体"/>
                <w:kern w:val="0"/>
              </w:rPr>
            </w:pPr>
          </w:p>
        </w:tc>
      </w:tr>
      <w:tr w14:paraId="42E21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97" w:type="dxa"/>
            <w:tcBorders>
              <w:top w:val="single" w:color="auto" w:sz="4" w:space="0"/>
              <w:left w:val="single" w:color="auto" w:sz="4" w:space="0"/>
              <w:bottom w:val="single" w:color="auto" w:sz="4" w:space="0"/>
              <w:right w:val="single" w:color="auto" w:sz="4" w:space="0"/>
            </w:tcBorders>
            <w:vAlign w:val="center"/>
          </w:tcPr>
          <w:p w14:paraId="119E25D7">
            <w:pPr>
              <w:autoSpaceDE w:val="0"/>
              <w:autoSpaceDN w:val="0"/>
              <w:adjustRightInd w:val="0"/>
              <w:spacing w:line="420" w:lineRule="exact"/>
              <w:jc w:val="center"/>
              <w:rPr>
                <w:rFonts w:ascii="宋体" w:hAnsi="宋体" w:cs="宋体"/>
                <w:kern w:val="0"/>
              </w:rPr>
            </w:pPr>
          </w:p>
        </w:tc>
        <w:tc>
          <w:tcPr>
            <w:tcW w:w="2197" w:type="dxa"/>
            <w:tcBorders>
              <w:top w:val="single" w:color="auto" w:sz="4" w:space="0"/>
              <w:left w:val="single" w:color="auto" w:sz="4" w:space="0"/>
              <w:bottom w:val="single" w:color="auto" w:sz="4" w:space="0"/>
              <w:right w:val="single" w:color="auto" w:sz="4" w:space="0"/>
            </w:tcBorders>
            <w:vAlign w:val="center"/>
          </w:tcPr>
          <w:p w14:paraId="01EA86F8">
            <w:pPr>
              <w:autoSpaceDE w:val="0"/>
              <w:autoSpaceDN w:val="0"/>
              <w:adjustRightInd w:val="0"/>
              <w:spacing w:line="420" w:lineRule="exact"/>
              <w:jc w:val="center"/>
              <w:rPr>
                <w:rFonts w:ascii="宋体" w:hAnsi="宋体" w:cs="宋体"/>
                <w:kern w:val="0"/>
              </w:rPr>
            </w:pPr>
          </w:p>
        </w:tc>
        <w:tc>
          <w:tcPr>
            <w:tcW w:w="2198" w:type="dxa"/>
            <w:tcBorders>
              <w:top w:val="single" w:color="auto" w:sz="4" w:space="0"/>
              <w:left w:val="single" w:color="auto" w:sz="4" w:space="0"/>
              <w:bottom w:val="single" w:color="auto" w:sz="4" w:space="0"/>
              <w:right w:val="single" w:color="auto" w:sz="4" w:space="0"/>
            </w:tcBorders>
            <w:vAlign w:val="center"/>
          </w:tcPr>
          <w:p w14:paraId="29AEB70E">
            <w:pPr>
              <w:autoSpaceDE w:val="0"/>
              <w:autoSpaceDN w:val="0"/>
              <w:adjustRightInd w:val="0"/>
              <w:spacing w:line="420" w:lineRule="exact"/>
              <w:jc w:val="center"/>
              <w:rPr>
                <w:rFonts w:ascii="宋体" w:hAnsi="宋体" w:cs="宋体"/>
                <w:kern w:val="0"/>
              </w:rPr>
            </w:pPr>
          </w:p>
        </w:tc>
        <w:tc>
          <w:tcPr>
            <w:tcW w:w="1965" w:type="dxa"/>
            <w:tcBorders>
              <w:top w:val="single" w:color="auto" w:sz="4" w:space="0"/>
              <w:left w:val="single" w:color="auto" w:sz="4" w:space="0"/>
              <w:bottom w:val="single" w:color="auto" w:sz="4" w:space="0"/>
              <w:right w:val="single" w:color="auto" w:sz="4" w:space="0"/>
            </w:tcBorders>
            <w:vAlign w:val="center"/>
          </w:tcPr>
          <w:p w14:paraId="178B4077">
            <w:pPr>
              <w:autoSpaceDE w:val="0"/>
              <w:autoSpaceDN w:val="0"/>
              <w:adjustRightInd w:val="0"/>
              <w:spacing w:line="420" w:lineRule="exact"/>
              <w:jc w:val="center"/>
              <w:rPr>
                <w:rFonts w:ascii="宋体" w:hAnsi="宋体" w:cs="宋体"/>
                <w:kern w:val="0"/>
              </w:rPr>
            </w:pPr>
          </w:p>
        </w:tc>
      </w:tr>
      <w:tr w14:paraId="7258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2197" w:type="dxa"/>
            <w:tcBorders>
              <w:top w:val="single" w:color="auto" w:sz="4" w:space="0"/>
              <w:left w:val="single" w:color="auto" w:sz="4" w:space="0"/>
              <w:bottom w:val="single" w:color="auto" w:sz="4" w:space="0"/>
              <w:right w:val="single" w:color="auto" w:sz="4" w:space="0"/>
            </w:tcBorders>
            <w:vAlign w:val="center"/>
          </w:tcPr>
          <w:p w14:paraId="2A31A3E8">
            <w:pPr>
              <w:autoSpaceDE w:val="0"/>
              <w:autoSpaceDN w:val="0"/>
              <w:adjustRightInd w:val="0"/>
              <w:spacing w:line="420" w:lineRule="exact"/>
              <w:jc w:val="center"/>
              <w:rPr>
                <w:rFonts w:ascii="宋体" w:hAnsi="宋体" w:cs="宋体"/>
                <w:kern w:val="0"/>
              </w:rPr>
            </w:pPr>
          </w:p>
        </w:tc>
        <w:tc>
          <w:tcPr>
            <w:tcW w:w="2197" w:type="dxa"/>
            <w:tcBorders>
              <w:top w:val="single" w:color="auto" w:sz="4" w:space="0"/>
              <w:left w:val="single" w:color="auto" w:sz="4" w:space="0"/>
              <w:bottom w:val="single" w:color="auto" w:sz="4" w:space="0"/>
              <w:right w:val="single" w:color="auto" w:sz="4" w:space="0"/>
            </w:tcBorders>
            <w:vAlign w:val="center"/>
          </w:tcPr>
          <w:p w14:paraId="7BD58786">
            <w:pPr>
              <w:autoSpaceDE w:val="0"/>
              <w:autoSpaceDN w:val="0"/>
              <w:adjustRightInd w:val="0"/>
              <w:spacing w:line="420" w:lineRule="exact"/>
              <w:jc w:val="center"/>
              <w:rPr>
                <w:rFonts w:ascii="宋体" w:hAnsi="宋体" w:cs="宋体"/>
                <w:kern w:val="0"/>
              </w:rPr>
            </w:pPr>
          </w:p>
        </w:tc>
        <w:tc>
          <w:tcPr>
            <w:tcW w:w="2198" w:type="dxa"/>
            <w:tcBorders>
              <w:top w:val="single" w:color="auto" w:sz="4" w:space="0"/>
              <w:left w:val="single" w:color="auto" w:sz="4" w:space="0"/>
              <w:bottom w:val="single" w:color="auto" w:sz="4" w:space="0"/>
              <w:right w:val="single" w:color="auto" w:sz="4" w:space="0"/>
            </w:tcBorders>
            <w:vAlign w:val="center"/>
          </w:tcPr>
          <w:p w14:paraId="585365AD">
            <w:pPr>
              <w:autoSpaceDE w:val="0"/>
              <w:autoSpaceDN w:val="0"/>
              <w:adjustRightInd w:val="0"/>
              <w:spacing w:line="420" w:lineRule="exact"/>
              <w:jc w:val="center"/>
              <w:rPr>
                <w:rFonts w:ascii="宋体" w:hAnsi="宋体" w:cs="宋体"/>
                <w:kern w:val="0"/>
              </w:rPr>
            </w:pPr>
          </w:p>
        </w:tc>
        <w:tc>
          <w:tcPr>
            <w:tcW w:w="1965" w:type="dxa"/>
            <w:tcBorders>
              <w:top w:val="single" w:color="auto" w:sz="4" w:space="0"/>
              <w:left w:val="single" w:color="auto" w:sz="4" w:space="0"/>
              <w:bottom w:val="single" w:color="auto" w:sz="4" w:space="0"/>
              <w:right w:val="single" w:color="auto" w:sz="4" w:space="0"/>
            </w:tcBorders>
            <w:vAlign w:val="center"/>
          </w:tcPr>
          <w:p w14:paraId="5372CE0B">
            <w:pPr>
              <w:autoSpaceDE w:val="0"/>
              <w:autoSpaceDN w:val="0"/>
              <w:adjustRightInd w:val="0"/>
              <w:spacing w:line="420" w:lineRule="exact"/>
              <w:jc w:val="center"/>
              <w:rPr>
                <w:rFonts w:ascii="宋体" w:hAnsi="宋体" w:cs="宋体"/>
                <w:kern w:val="0"/>
              </w:rPr>
            </w:pPr>
          </w:p>
        </w:tc>
      </w:tr>
      <w:tr w14:paraId="36146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197" w:type="dxa"/>
            <w:tcBorders>
              <w:top w:val="single" w:color="auto" w:sz="4" w:space="0"/>
              <w:left w:val="single" w:color="auto" w:sz="4" w:space="0"/>
              <w:bottom w:val="single" w:color="auto" w:sz="4" w:space="0"/>
              <w:right w:val="single" w:color="auto" w:sz="4" w:space="0"/>
            </w:tcBorders>
            <w:vAlign w:val="center"/>
          </w:tcPr>
          <w:p w14:paraId="763350F4">
            <w:pPr>
              <w:autoSpaceDE w:val="0"/>
              <w:autoSpaceDN w:val="0"/>
              <w:adjustRightInd w:val="0"/>
              <w:spacing w:line="420" w:lineRule="exact"/>
              <w:jc w:val="center"/>
              <w:rPr>
                <w:rFonts w:ascii="宋体" w:hAnsi="宋体" w:cs="宋体"/>
                <w:kern w:val="0"/>
              </w:rPr>
            </w:pPr>
          </w:p>
        </w:tc>
        <w:tc>
          <w:tcPr>
            <w:tcW w:w="2197" w:type="dxa"/>
            <w:tcBorders>
              <w:top w:val="single" w:color="auto" w:sz="4" w:space="0"/>
              <w:left w:val="single" w:color="auto" w:sz="4" w:space="0"/>
              <w:bottom w:val="single" w:color="auto" w:sz="4" w:space="0"/>
              <w:right w:val="single" w:color="auto" w:sz="4" w:space="0"/>
            </w:tcBorders>
            <w:vAlign w:val="center"/>
          </w:tcPr>
          <w:p w14:paraId="3C149EB3">
            <w:pPr>
              <w:autoSpaceDE w:val="0"/>
              <w:autoSpaceDN w:val="0"/>
              <w:adjustRightInd w:val="0"/>
              <w:spacing w:line="420" w:lineRule="exact"/>
              <w:jc w:val="center"/>
              <w:rPr>
                <w:rFonts w:ascii="宋体" w:hAnsi="宋体" w:cs="宋体"/>
                <w:kern w:val="0"/>
              </w:rPr>
            </w:pPr>
          </w:p>
        </w:tc>
        <w:tc>
          <w:tcPr>
            <w:tcW w:w="2198" w:type="dxa"/>
            <w:tcBorders>
              <w:top w:val="single" w:color="auto" w:sz="4" w:space="0"/>
              <w:left w:val="single" w:color="auto" w:sz="4" w:space="0"/>
              <w:bottom w:val="single" w:color="auto" w:sz="4" w:space="0"/>
              <w:right w:val="single" w:color="auto" w:sz="4" w:space="0"/>
            </w:tcBorders>
            <w:vAlign w:val="center"/>
          </w:tcPr>
          <w:p w14:paraId="1E39A927">
            <w:pPr>
              <w:autoSpaceDE w:val="0"/>
              <w:autoSpaceDN w:val="0"/>
              <w:adjustRightInd w:val="0"/>
              <w:spacing w:line="420" w:lineRule="exact"/>
              <w:jc w:val="center"/>
              <w:rPr>
                <w:rFonts w:ascii="宋体" w:hAnsi="宋体" w:cs="宋体"/>
                <w:kern w:val="0"/>
              </w:rPr>
            </w:pPr>
          </w:p>
        </w:tc>
        <w:tc>
          <w:tcPr>
            <w:tcW w:w="1965" w:type="dxa"/>
            <w:tcBorders>
              <w:top w:val="single" w:color="auto" w:sz="4" w:space="0"/>
              <w:left w:val="single" w:color="auto" w:sz="4" w:space="0"/>
              <w:bottom w:val="single" w:color="auto" w:sz="4" w:space="0"/>
              <w:right w:val="single" w:color="auto" w:sz="4" w:space="0"/>
            </w:tcBorders>
            <w:vAlign w:val="center"/>
          </w:tcPr>
          <w:p w14:paraId="6C5F99DD">
            <w:pPr>
              <w:autoSpaceDE w:val="0"/>
              <w:autoSpaceDN w:val="0"/>
              <w:adjustRightInd w:val="0"/>
              <w:spacing w:line="420" w:lineRule="exact"/>
              <w:jc w:val="center"/>
              <w:rPr>
                <w:rFonts w:ascii="宋体" w:hAnsi="宋体" w:cs="宋体"/>
                <w:kern w:val="0"/>
              </w:rPr>
            </w:pPr>
          </w:p>
        </w:tc>
      </w:tr>
    </w:tbl>
    <w:p w14:paraId="326AAEAA">
      <w:pPr>
        <w:spacing w:before="240" w:after="120" w:line="440" w:lineRule="exact"/>
        <w:jc w:val="center"/>
        <w:outlineLvl w:val="1"/>
        <w:rPr>
          <w:rFonts w:ascii="宋体" w:hAnsi="宋体"/>
          <w:sz w:val="28"/>
          <w:szCs w:val="28"/>
        </w:rPr>
      </w:pPr>
      <w:r>
        <w:rPr>
          <w:rFonts w:hint="eastAsia" w:ascii="宋体" w:hAnsi="宋体"/>
        </w:rPr>
        <w:br w:type="page"/>
      </w:r>
      <w:bookmarkStart w:id="1235" w:name="_Toc31665"/>
      <w:bookmarkEnd w:id="1235"/>
      <w:bookmarkStart w:id="1236" w:name="_Toc26782"/>
      <w:bookmarkStart w:id="1237" w:name="_Toc7654"/>
      <w:bookmarkStart w:id="1238" w:name="_Toc549"/>
      <w:bookmarkStart w:id="1239" w:name="_Toc10394"/>
      <w:bookmarkStart w:id="1240" w:name="_Toc129073533"/>
      <w:bookmarkStart w:id="1241" w:name="_Toc2121"/>
      <w:bookmarkStart w:id="1242" w:name="_Toc18388"/>
      <w:r>
        <w:rPr>
          <w:rFonts w:hint="eastAsia" w:ascii="宋体" w:hAnsi="宋体" w:eastAsia="宋体" w:cs="Times New Roman"/>
          <w:b/>
          <w:bCs/>
          <w:sz w:val="28"/>
          <w:szCs w:val="28"/>
        </w:rPr>
        <w:t>六、项目管理机构</w:t>
      </w:r>
      <w:bookmarkEnd w:id="1236"/>
      <w:bookmarkEnd w:id="1237"/>
      <w:bookmarkEnd w:id="1238"/>
      <w:bookmarkEnd w:id="1239"/>
      <w:bookmarkEnd w:id="1240"/>
      <w:bookmarkEnd w:id="1241"/>
      <w:bookmarkEnd w:id="1242"/>
    </w:p>
    <w:p w14:paraId="64B28E1B">
      <w:pPr>
        <w:spacing w:after="240" w:line="420" w:lineRule="exact"/>
        <w:outlineLvl w:val="2"/>
        <w:rPr>
          <w:rFonts w:ascii="宋体" w:hAnsi="宋体"/>
          <w:sz w:val="24"/>
          <w:szCs w:val="24"/>
        </w:rPr>
      </w:pPr>
      <w:bookmarkStart w:id="1243" w:name="_Toc19777"/>
      <w:bookmarkStart w:id="1244" w:name="_Toc11553"/>
      <w:bookmarkStart w:id="1245" w:name="_Toc30739"/>
      <w:bookmarkStart w:id="1246" w:name="_Toc129073534"/>
      <w:r>
        <w:rPr>
          <w:rFonts w:hint="eastAsia" w:ascii="宋体" w:hAnsi="宋体"/>
          <w:sz w:val="24"/>
          <w:szCs w:val="24"/>
        </w:rPr>
        <w:t>（一）项目管理机构组成表</w:t>
      </w:r>
      <w:bookmarkEnd w:id="1243"/>
      <w:bookmarkEnd w:id="1244"/>
      <w:bookmarkEnd w:id="1245"/>
      <w:bookmarkEnd w:id="1246"/>
    </w:p>
    <w:tbl>
      <w:tblPr>
        <w:tblStyle w:val="3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709"/>
        <w:gridCol w:w="709"/>
        <w:gridCol w:w="1134"/>
        <w:gridCol w:w="771"/>
        <w:gridCol w:w="1409"/>
        <w:gridCol w:w="850"/>
        <w:gridCol w:w="1136"/>
        <w:gridCol w:w="765"/>
      </w:tblGrid>
      <w:tr w14:paraId="37BBD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tcBorders>
              <w:top w:val="single" w:color="auto" w:sz="4" w:space="0"/>
              <w:left w:val="single" w:color="auto" w:sz="4" w:space="0"/>
              <w:bottom w:val="single" w:color="auto" w:sz="4" w:space="0"/>
              <w:right w:val="single" w:color="auto" w:sz="4" w:space="0"/>
            </w:tcBorders>
            <w:vAlign w:val="center"/>
          </w:tcPr>
          <w:p w14:paraId="01B7149E">
            <w:pPr>
              <w:jc w:val="center"/>
              <w:rPr>
                <w:rFonts w:ascii="宋体" w:hAnsi="宋体"/>
              </w:rPr>
            </w:pPr>
            <w:r>
              <w:rPr>
                <w:rFonts w:hint="eastAsia" w:ascii="宋体" w:hAnsi="宋体"/>
              </w:rPr>
              <w:t>职务</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415608B2">
            <w:pPr>
              <w:jc w:val="center"/>
              <w:rPr>
                <w:rFonts w:ascii="宋体" w:hAnsi="宋体"/>
              </w:rPr>
            </w:pPr>
            <w:r>
              <w:rPr>
                <w:rFonts w:hint="eastAsia" w:ascii="宋体" w:hAnsi="宋体"/>
              </w:rPr>
              <w:t>姓名</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5616DBE1">
            <w:pPr>
              <w:jc w:val="center"/>
              <w:rPr>
                <w:rFonts w:ascii="宋体" w:hAnsi="宋体"/>
              </w:rPr>
            </w:pPr>
            <w:r>
              <w:rPr>
                <w:rFonts w:hint="eastAsia" w:ascii="宋体" w:hAnsi="宋体"/>
              </w:rPr>
              <w:t>职称</w:t>
            </w:r>
          </w:p>
        </w:tc>
        <w:tc>
          <w:tcPr>
            <w:tcW w:w="5300" w:type="dxa"/>
            <w:gridSpan w:val="5"/>
            <w:tcBorders>
              <w:top w:val="single" w:color="auto" w:sz="4" w:space="0"/>
              <w:left w:val="single" w:color="auto" w:sz="4" w:space="0"/>
              <w:bottom w:val="single" w:color="auto" w:sz="4" w:space="0"/>
              <w:right w:val="single" w:color="auto" w:sz="4" w:space="0"/>
            </w:tcBorders>
            <w:vAlign w:val="center"/>
          </w:tcPr>
          <w:p w14:paraId="43BB2E20">
            <w:pPr>
              <w:jc w:val="center"/>
              <w:rPr>
                <w:rFonts w:ascii="宋体" w:hAnsi="宋体"/>
              </w:rPr>
            </w:pPr>
            <w:r>
              <w:rPr>
                <w:rFonts w:hint="eastAsia" w:ascii="宋体" w:hAnsi="宋体"/>
              </w:rPr>
              <w:t>执业或职业资格证明</w:t>
            </w:r>
          </w:p>
        </w:tc>
        <w:tc>
          <w:tcPr>
            <w:tcW w:w="765" w:type="dxa"/>
            <w:tcBorders>
              <w:top w:val="single" w:color="auto" w:sz="4" w:space="0"/>
              <w:left w:val="single" w:color="auto" w:sz="4" w:space="0"/>
              <w:bottom w:val="single" w:color="auto" w:sz="4" w:space="0"/>
              <w:right w:val="single" w:color="auto" w:sz="4" w:space="0"/>
            </w:tcBorders>
            <w:vAlign w:val="center"/>
          </w:tcPr>
          <w:p w14:paraId="431C41CE">
            <w:pPr>
              <w:jc w:val="center"/>
              <w:rPr>
                <w:rFonts w:ascii="宋体" w:hAnsi="宋体"/>
              </w:rPr>
            </w:pPr>
            <w:r>
              <w:rPr>
                <w:rFonts w:hint="eastAsia" w:ascii="宋体" w:hAnsi="宋体"/>
              </w:rPr>
              <w:t>备注</w:t>
            </w:r>
          </w:p>
        </w:tc>
      </w:tr>
      <w:tr w14:paraId="2834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13B1DC8">
            <w:pPr>
              <w:widowControl/>
              <w:jc w:val="left"/>
              <w:rPr>
                <w:rFonts w:ascii="宋体" w:hAnsi="宋体"/>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5FF7674">
            <w:pPr>
              <w:widowControl/>
              <w:jc w:val="left"/>
              <w:rPr>
                <w:rFonts w:ascii="宋体" w:hAnsi="宋体"/>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4FA8D80">
            <w:pPr>
              <w:widowControl/>
              <w:jc w:val="left"/>
              <w:rPr>
                <w:rFonts w:ascii="宋体" w:hAnsi="宋体"/>
              </w:rPr>
            </w:pPr>
          </w:p>
        </w:tc>
        <w:tc>
          <w:tcPr>
            <w:tcW w:w="1134" w:type="dxa"/>
            <w:tcBorders>
              <w:top w:val="single" w:color="auto" w:sz="4" w:space="0"/>
              <w:left w:val="single" w:color="auto" w:sz="4" w:space="0"/>
              <w:bottom w:val="single" w:color="auto" w:sz="4" w:space="0"/>
              <w:right w:val="single" w:color="auto" w:sz="4" w:space="0"/>
            </w:tcBorders>
            <w:vAlign w:val="center"/>
          </w:tcPr>
          <w:p w14:paraId="3AAAC78F">
            <w:pPr>
              <w:jc w:val="center"/>
              <w:rPr>
                <w:rFonts w:ascii="宋体" w:hAnsi="宋体"/>
              </w:rPr>
            </w:pPr>
            <w:r>
              <w:rPr>
                <w:rFonts w:hint="eastAsia" w:ascii="宋体" w:hAnsi="宋体"/>
              </w:rPr>
              <w:t>证书名称</w:t>
            </w:r>
          </w:p>
        </w:tc>
        <w:tc>
          <w:tcPr>
            <w:tcW w:w="771" w:type="dxa"/>
            <w:tcBorders>
              <w:top w:val="single" w:color="auto" w:sz="4" w:space="0"/>
              <w:left w:val="single" w:color="auto" w:sz="4" w:space="0"/>
              <w:bottom w:val="single" w:color="auto" w:sz="4" w:space="0"/>
              <w:right w:val="single" w:color="auto" w:sz="4" w:space="0"/>
            </w:tcBorders>
            <w:vAlign w:val="center"/>
          </w:tcPr>
          <w:p w14:paraId="5CCCE905">
            <w:pPr>
              <w:jc w:val="center"/>
              <w:rPr>
                <w:rFonts w:ascii="宋体" w:hAnsi="宋体"/>
              </w:rPr>
            </w:pPr>
            <w:r>
              <w:rPr>
                <w:rFonts w:hint="eastAsia" w:ascii="宋体" w:hAnsi="宋体"/>
              </w:rPr>
              <w:t>级别</w:t>
            </w:r>
          </w:p>
        </w:tc>
        <w:tc>
          <w:tcPr>
            <w:tcW w:w="1409" w:type="dxa"/>
            <w:tcBorders>
              <w:top w:val="single" w:color="auto" w:sz="4" w:space="0"/>
              <w:left w:val="single" w:color="auto" w:sz="4" w:space="0"/>
              <w:bottom w:val="single" w:color="auto" w:sz="4" w:space="0"/>
              <w:right w:val="single" w:color="auto" w:sz="4" w:space="0"/>
            </w:tcBorders>
            <w:vAlign w:val="center"/>
          </w:tcPr>
          <w:p w14:paraId="40DD2DA6">
            <w:pPr>
              <w:jc w:val="center"/>
              <w:rPr>
                <w:rFonts w:ascii="宋体" w:hAnsi="宋体"/>
              </w:rPr>
            </w:pPr>
            <w:r>
              <w:rPr>
                <w:rFonts w:hint="eastAsia" w:ascii="宋体" w:hAnsi="宋体"/>
              </w:rPr>
              <w:t>证号</w:t>
            </w:r>
          </w:p>
        </w:tc>
        <w:tc>
          <w:tcPr>
            <w:tcW w:w="850" w:type="dxa"/>
            <w:tcBorders>
              <w:top w:val="single" w:color="auto" w:sz="4" w:space="0"/>
              <w:left w:val="single" w:color="auto" w:sz="4" w:space="0"/>
              <w:bottom w:val="single" w:color="auto" w:sz="4" w:space="0"/>
              <w:right w:val="single" w:color="auto" w:sz="4" w:space="0"/>
            </w:tcBorders>
            <w:vAlign w:val="center"/>
          </w:tcPr>
          <w:p w14:paraId="6CC4E085">
            <w:pPr>
              <w:jc w:val="center"/>
              <w:rPr>
                <w:rFonts w:ascii="宋体" w:hAnsi="宋体"/>
              </w:rPr>
            </w:pPr>
            <w:r>
              <w:rPr>
                <w:rFonts w:hint="eastAsia" w:ascii="宋体" w:hAnsi="宋体"/>
              </w:rPr>
              <w:t>专业</w:t>
            </w:r>
          </w:p>
        </w:tc>
        <w:tc>
          <w:tcPr>
            <w:tcW w:w="1136" w:type="dxa"/>
            <w:tcBorders>
              <w:top w:val="single" w:color="auto" w:sz="4" w:space="0"/>
              <w:left w:val="single" w:color="auto" w:sz="4" w:space="0"/>
              <w:bottom w:val="single" w:color="auto" w:sz="4" w:space="0"/>
              <w:right w:val="single" w:color="auto" w:sz="4" w:space="0"/>
            </w:tcBorders>
            <w:vAlign w:val="center"/>
          </w:tcPr>
          <w:p w14:paraId="4BF544B1">
            <w:pPr>
              <w:jc w:val="center"/>
              <w:rPr>
                <w:rFonts w:ascii="宋体" w:hAnsi="宋体"/>
              </w:rPr>
            </w:pPr>
            <w:r>
              <w:rPr>
                <w:rFonts w:hint="eastAsia" w:ascii="宋体" w:hAnsi="宋体"/>
              </w:rPr>
              <w:t>养老保险</w:t>
            </w:r>
          </w:p>
        </w:tc>
        <w:tc>
          <w:tcPr>
            <w:tcW w:w="765" w:type="dxa"/>
            <w:tcBorders>
              <w:top w:val="single" w:color="auto" w:sz="4" w:space="0"/>
              <w:left w:val="single" w:color="auto" w:sz="4" w:space="0"/>
              <w:right w:val="single" w:color="auto" w:sz="4" w:space="0"/>
            </w:tcBorders>
            <w:vAlign w:val="center"/>
          </w:tcPr>
          <w:p w14:paraId="5F57A59A">
            <w:pPr>
              <w:widowControl/>
              <w:jc w:val="left"/>
              <w:rPr>
                <w:rFonts w:ascii="宋体" w:hAnsi="宋体"/>
              </w:rPr>
            </w:pPr>
          </w:p>
        </w:tc>
      </w:tr>
      <w:tr w14:paraId="5FF4F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04278EA">
            <w:pPr>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384C765B">
            <w:pPr>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2551EDDB">
            <w:pPr>
              <w:jc w:val="center"/>
              <w:rPr>
                <w:rFonts w:ascii="宋体" w:hAnsi="宋体"/>
              </w:rPr>
            </w:pPr>
          </w:p>
        </w:tc>
        <w:tc>
          <w:tcPr>
            <w:tcW w:w="1134" w:type="dxa"/>
            <w:tcBorders>
              <w:top w:val="single" w:color="auto" w:sz="4" w:space="0"/>
              <w:left w:val="single" w:color="auto" w:sz="4" w:space="0"/>
              <w:bottom w:val="single" w:color="auto" w:sz="4" w:space="0"/>
              <w:right w:val="single" w:color="auto" w:sz="4" w:space="0"/>
            </w:tcBorders>
            <w:vAlign w:val="center"/>
          </w:tcPr>
          <w:p w14:paraId="6293DAE5">
            <w:pPr>
              <w:jc w:val="center"/>
              <w:rPr>
                <w:rFonts w:ascii="宋体" w:hAnsi="宋体"/>
              </w:rPr>
            </w:pPr>
          </w:p>
        </w:tc>
        <w:tc>
          <w:tcPr>
            <w:tcW w:w="771" w:type="dxa"/>
            <w:tcBorders>
              <w:top w:val="single" w:color="auto" w:sz="4" w:space="0"/>
              <w:left w:val="single" w:color="auto" w:sz="4" w:space="0"/>
              <w:bottom w:val="single" w:color="auto" w:sz="4" w:space="0"/>
              <w:right w:val="single" w:color="auto" w:sz="4" w:space="0"/>
            </w:tcBorders>
            <w:vAlign w:val="center"/>
          </w:tcPr>
          <w:p w14:paraId="15AF0664">
            <w:pPr>
              <w:jc w:val="center"/>
              <w:rPr>
                <w:rFonts w:ascii="宋体" w:hAnsi="宋体"/>
              </w:rPr>
            </w:pPr>
          </w:p>
        </w:tc>
        <w:tc>
          <w:tcPr>
            <w:tcW w:w="1409" w:type="dxa"/>
            <w:tcBorders>
              <w:top w:val="single" w:color="auto" w:sz="4" w:space="0"/>
              <w:left w:val="single" w:color="auto" w:sz="4" w:space="0"/>
              <w:bottom w:val="single" w:color="auto" w:sz="4" w:space="0"/>
              <w:right w:val="single" w:color="auto" w:sz="4" w:space="0"/>
            </w:tcBorders>
            <w:vAlign w:val="center"/>
          </w:tcPr>
          <w:p w14:paraId="01AA632B">
            <w:pPr>
              <w:jc w:val="center"/>
              <w:rPr>
                <w:rFonts w:ascii="宋体" w:hAnsi="宋体"/>
              </w:rPr>
            </w:pPr>
          </w:p>
        </w:tc>
        <w:tc>
          <w:tcPr>
            <w:tcW w:w="850" w:type="dxa"/>
            <w:tcBorders>
              <w:top w:val="single" w:color="auto" w:sz="4" w:space="0"/>
              <w:left w:val="single" w:color="auto" w:sz="4" w:space="0"/>
              <w:bottom w:val="single" w:color="auto" w:sz="4" w:space="0"/>
              <w:right w:val="single" w:color="auto" w:sz="4" w:space="0"/>
            </w:tcBorders>
            <w:vAlign w:val="center"/>
          </w:tcPr>
          <w:p w14:paraId="384CDB7F">
            <w:pPr>
              <w:jc w:val="center"/>
              <w:rPr>
                <w:rFonts w:ascii="宋体" w:hAnsi="宋体"/>
              </w:rPr>
            </w:pPr>
          </w:p>
        </w:tc>
        <w:tc>
          <w:tcPr>
            <w:tcW w:w="1136" w:type="dxa"/>
            <w:tcBorders>
              <w:top w:val="single" w:color="auto" w:sz="4" w:space="0"/>
              <w:left w:val="single" w:color="auto" w:sz="4" w:space="0"/>
              <w:bottom w:val="single" w:color="auto" w:sz="4" w:space="0"/>
              <w:right w:val="single" w:color="auto" w:sz="4" w:space="0"/>
            </w:tcBorders>
            <w:vAlign w:val="center"/>
          </w:tcPr>
          <w:p w14:paraId="25DFFF1B">
            <w:pPr>
              <w:jc w:val="center"/>
              <w:rPr>
                <w:rFonts w:ascii="宋体" w:hAnsi="宋体"/>
              </w:rPr>
            </w:pPr>
          </w:p>
        </w:tc>
        <w:tc>
          <w:tcPr>
            <w:tcW w:w="765" w:type="dxa"/>
            <w:tcBorders>
              <w:top w:val="single" w:color="auto" w:sz="4" w:space="0"/>
              <w:left w:val="single" w:color="auto" w:sz="4" w:space="0"/>
              <w:bottom w:val="single" w:color="auto" w:sz="4" w:space="0"/>
              <w:right w:val="single" w:color="auto" w:sz="4" w:space="0"/>
            </w:tcBorders>
            <w:vAlign w:val="center"/>
          </w:tcPr>
          <w:p w14:paraId="254769FE">
            <w:pPr>
              <w:jc w:val="center"/>
              <w:rPr>
                <w:rFonts w:ascii="宋体" w:hAnsi="宋体"/>
              </w:rPr>
            </w:pPr>
          </w:p>
        </w:tc>
      </w:tr>
      <w:tr w14:paraId="652D9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3D9E9C0">
            <w:pPr>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65D2E10D">
            <w:pPr>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50F4E530">
            <w:pPr>
              <w:jc w:val="center"/>
              <w:rPr>
                <w:rFonts w:ascii="宋体" w:hAnsi="宋体"/>
              </w:rPr>
            </w:pPr>
          </w:p>
        </w:tc>
        <w:tc>
          <w:tcPr>
            <w:tcW w:w="1134" w:type="dxa"/>
            <w:tcBorders>
              <w:top w:val="single" w:color="auto" w:sz="4" w:space="0"/>
              <w:left w:val="single" w:color="auto" w:sz="4" w:space="0"/>
              <w:bottom w:val="single" w:color="auto" w:sz="4" w:space="0"/>
              <w:right w:val="single" w:color="auto" w:sz="4" w:space="0"/>
            </w:tcBorders>
            <w:vAlign w:val="center"/>
          </w:tcPr>
          <w:p w14:paraId="64F06426">
            <w:pPr>
              <w:jc w:val="center"/>
              <w:rPr>
                <w:rFonts w:ascii="宋体" w:hAnsi="宋体"/>
              </w:rPr>
            </w:pPr>
          </w:p>
        </w:tc>
        <w:tc>
          <w:tcPr>
            <w:tcW w:w="771" w:type="dxa"/>
            <w:tcBorders>
              <w:top w:val="single" w:color="auto" w:sz="4" w:space="0"/>
              <w:left w:val="single" w:color="auto" w:sz="4" w:space="0"/>
              <w:bottom w:val="single" w:color="auto" w:sz="4" w:space="0"/>
              <w:right w:val="single" w:color="auto" w:sz="4" w:space="0"/>
            </w:tcBorders>
            <w:vAlign w:val="center"/>
          </w:tcPr>
          <w:p w14:paraId="38A007DF">
            <w:pPr>
              <w:jc w:val="center"/>
              <w:rPr>
                <w:rFonts w:ascii="宋体" w:hAnsi="宋体"/>
              </w:rPr>
            </w:pPr>
          </w:p>
        </w:tc>
        <w:tc>
          <w:tcPr>
            <w:tcW w:w="1409" w:type="dxa"/>
            <w:tcBorders>
              <w:top w:val="single" w:color="auto" w:sz="4" w:space="0"/>
              <w:left w:val="single" w:color="auto" w:sz="4" w:space="0"/>
              <w:bottom w:val="single" w:color="auto" w:sz="4" w:space="0"/>
              <w:right w:val="single" w:color="auto" w:sz="4" w:space="0"/>
            </w:tcBorders>
            <w:vAlign w:val="center"/>
          </w:tcPr>
          <w:p w14:paraId="4566F22C">
            <w:pPr>
              <w:jc w:val="center"/>
              <w:rPr>
                <w:rFonts w:ascii="宋体" w:hAnsi="宋体"/>
              </w:rPr>
            </w:pPr>
          </w:p>
        </w:tc>
        <w:tc>
          <w:tcPr>
            <w:tcW w:w="850" w:type="dxa"/>
            <w:tcBorders>
              <w:top w:val="single" w:color="auto" w:sz="4" w:space="0"/>
              <w:left w:val="single" w:color="auto" w:sz="4" w:space="0"/>
              <w:bottom w:val="single" w:color="auto" w:sz="4" w:space="0"/>
              <w:right w:val="single" w:color="auto" w:sz="4" w:space="0"/>
            </w:tcBorders>
            <w:vAlign w:val="center"/>
          </w:tcPr>
          <w:p w14:paraId="5B1B3CD2">
            <w:pPr>
              <w:jc w:val="center"/>
              <w:rPr>
                <w:rFonts w:ascii="宋体" w:hAnsi="宋体"/>
              </w:rPr>
            </w:pPr>
          </w:p>
        </w:tc>
        <w:tc>
          <w:tcPr>
            <w:tcW w:w="1136" w:type="dxa"/>
            <w:tcBorders>
              <w:top w:val="single" w:color="auto" w:sz="4" w:space="0"/>
              <w:left w:val="single" w:color="auto" w:sz="4" w:space="0"/>
              <w:bottom w:val="single" w:color="auto" w:sz="4" w:space="0"/>
              <w:right w:val="single" w:color="auto" w:sz="4" w:space="0"/>
            </w:tcBorders>
            <w:vAlign w:val="center"/>
          </w:tcPr>
          <w:p w14:paraId="78AE2EFD">
            <w:pPr>
              <w:jc w:val="center"/>
              <w:rPr>
                <w:rFonts w:ascii="宋体" w:hAnsi="宋体"/>
              </w:rPr>
            </w:pPr>
          </w:p>
        </w:tc>
        <w:tc>
          <w:tcPr>
            <w:tcW w:w="765" w:type="dxa"/>
            <w:tcBorders>
              <w:top w:val="single" w:color="auto" w:sz="4" w:space="0"/>
              <w:left w:val="single" w:color="auto" w:sz="4" w:space="0"/>
              <w:bottom w:val="single" w:color="auto" w:sz="4" w:space="0"/>
              <w:right w:val="single" w:color="auto" w:sz="4" w:space="0"/>
            </w:tcBorders>
            <w:vAlign w:val="center"/>
          </w:tcPr>
          <w:p w14:paraId="53F41E86">
            <w:pPr>
              <w:jc w:val="center"/>
              <w:rPr>
                <w:rFonts w:ascii="宋体" w:hAnsi="宋体"/>
              </w:rPr>
            </w:pPr>
          </w:p>
        </w:tc>
      </w:tr>
      <w:tr w14:paraId="3D79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5D1D8CDD">
            <w:pPr>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510DBBF3">
            <w:pPr>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7A86C0C8">
            <w:pPr>
              <w:jc w:val="center"/>
              <w:rPr>
                <w:rFonts w:ascii="宋体" w:hAnsi="宋体"/>
              </w:rPr>
            </w:pPr>
          </w:p>
        </w:tc>
        <w:tc>
          <w:tcPr>
            <w:tcW w:w="1134" w:type="dxa"/>
            <w:tcBorders>
              <w:top w:val="single" w:color="auto" w:sz="4" w:space="0"/>
              <w:left w:val="single" w:color="auto" w:sz="4" w:space="0"/>
              <w:bottom w:val="single" w:color="auto" w:sz="4" w:space="0"/>
              <w:right w:val="single" w:color="auto" w:sz="4" w:space="0"/>
            </w:tcBorders>
            <w:vAlign w:val="center"/>
          </w:tcPr>
          <w:p w14:paraId="1E35D81A">
            <w:pPr>
              <w:jc w:val="center"/>
              <w:rPr>
                <w:rFonts w:ascii="宋体" w:hAnsi="宋体"/>
              </w:rPr>
            </w:pPr>
          </w:p>
        </w:tc>
        <w:tc>
          <w:tcPr>
            <w:tcW w:w="771" w:type="dxa"/>
            <w:tcBorders>
              <w:top w:val="single" w:color="auto" w:sz="4" w:space="0"/>
              <w:left w:val="single" w:color="auto" w:sz="4" w:space="0"/>
              <w:bottom w:val="single" w:color="auto" w:sz="4" w:space="0"/>
              <w:right w:val="single" w:color="auto" w:sz="4" w:space="0"/>
            </w:tcBorders>
            <w:vAlign w:val="center"/>
          </w:tcPr>
          <w:p w14:paraId="05F16C64">
            <w:pPr>
              <w:jc w:val="center"/>
              <w:rPr>
                <w:rFonts w:ascii="宋体" w:hAnsi="宋体"/>
              </w:rPr>
            </w:pPr>
          </w:p>
        </w:tc>
        <w:tc>
          <w:tcPr>
            <w:tcW w:w="1409" w:type="dxa"/>
            <w:tcBorders>
              <w:top w:val="single" w:color="auto" w:sz="4" w:space="0"/>
              <w:left w:val="single" w:color="auto" w:sz="4" w:space="0"/>
              <w:bottom w:val="single" w:color="auto" w:sz="4" w:space="0"/>
              <w:right w:val="single" w:color="auto" w:sz="4" w:space="0"/>
            </w:tcBorders>
            <w:vAlign w:val="center"/>
          </w:tcPr>
          <w:p w14:paraId="2B4E0DBD">
            <w:pPr>
              <w:jc w:val="center"/>
              <w:rPr>
                <w:rFonts w:ascii="宋体" w:hAnsi="宋体"/>
              </w:rPr>
            </w:pPr>
          </w:p>
        </w:tc>
        <w:tc>
          <w:tcPr>
            <w:tcW w:w="850" w:type="dxa"/>
            <w:tcBorders>
              <w:top w:val="single" w:color="auto" w:sz="4" w:space="0"/>
              <w:left w:val="single" w:color="auto" w:sz="4" w:space="0"/>
              <w:bottom w:val="single" w:color="auto" w:sz="4" w:space="0"/>
              <w:right w:val="single" w:color="auto" w:sz="4" w:space="0"/>
            </w:tcBorders>
            <w:vAlign w:val="center"/>
          </w:tcPr>
          <w:p w14:paraId="252D4E59">
            <w:pPr>
              <w:jc w:val="center"/>
              <w:rPr>
                <w:rFonts w:ascii="宋体" w:hAnsi="宋体"/>
              </w:rPr>
            </w:pPr>
          </w:p>
        </w:tc>
        <w:tc>
          <w:tcPr>
            <w:tcW w:w="1136" w:type="dxa"/>
            <w:tcBorders>
              <w:top w:val="single" w:color="auto" w:sz="4" w:space="0"/>
              <w:left w:val="single" w:color="auto" w:sz="4" w:space="0"/>
              <w:bottom w:val="single" w:color="auto" w:sz="4" w:space="0"/>
              <w:right w:val="single" w:color="auto" w:sz="4" w:space="0"/>
            </w:tcBorders>
            <w:vAlign w:val="center"/>
          </w:tcPr>
          <w:p w14:paraId="70FF7E5B">
            <w:pPr>
              <w:jc w:val="center"/>
              <w:rPr>
                <w:rFonts w:ascii="宋体" w:hAnsi="宋体"/>
              </w:rPr>
            </w:pPr>
          </w:p>
        </w:tc>
        <w:tc>
          <w:tcPr>
            <w:tcW w:w="765" w:type="dxa"/>
            <w:tcBorders>
              <w:top w:val="single" w:color="auto" w:sz="4" w:space="0"/>
              <w:left w:val="single" w:color="auto" w:sz="4" w:space="0"/>
              <w:bottom w:val="single" w:color="auto" w:sz="4" w:space="0"/>
              <w:right w:val="single" w:color="auto" w:sz="4" w:space="0"/>
            </w:tcBorders>
            <w:vAlign w:val="center"/>
          </w:tcPr>
          <w:p w14:paraId="5423F70A">
            <w:pPr>
              <w:jc w:val="center"/>
              <w:rPr>
                <w:rFonts w:ascii="宋体" w:hAnsi="宋体"/>
              </w:rPr>
            </w:pPr>
          </w:p>
        </w:tc>
      </w:tr>
      <w:tr w14:paraId="1DA4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5F093CC2">
            <w:pPr>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7987CB6A">
            <w:pPr>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1898E104">
            <w:pPr>
              <w:jc w:val="center"/>
              <w:rPr>
                <w:rFonts w:ascii="宋体" w:hAnsi="宋体"/>
              </w:rPr>
            </w:pPr>
          </w:p>
        </w:tc>
        <w:tc>
          <w:tcPr>
            <w:tcW w:w="1134" w:type="dxa"/>
            <w:tcBorders>
              <w:top w:val="single" w:color="auto" w:sz="4" w:space="0"/>
              <w:left w:val="single" w:color="auto" w:sz="4" w:space="0"/>
              <w:bottom w:val="single" w:color="auto" w:sz="4" w:space="0"/>
              <w:right w:val="single" w:color="auto" w:sz="4" w:space="0"/>
            </w:tcBorders>
            <w:vAlign w:val="center"/>
          </w:tcPr>
          <w:p w14:paraId="19C79A4A">
            <w:pPr>
              <w:jc w:val="center"/>
              <w:rPr>
                <w:rFonts w:ascii="宋体" w:hAnsi="宋体"/>
              </w:rPr>
            </w:pPr>
          </w:p>
        </w:tc>
        <w:tc>
          <w:tcPr>
            <w:tcW w:w="771" w:type="dxa"/>
            <w:tcBorders>
              <w:top w:val="single" w:color="auto" w:sz="4" w:space="0"/>
              <w:left w:val="single" w:color="auto" w:sz="4" w:space="0"/>
              <w:bottom w:val="single" w:color="auto" w:sz="4" w:space="0"/>
              <w:right w:val="single" w:color="auto" w:sz="4" w:space="0"/>
            </w:tcBorders>
            <w:vAlign w:val="center"/>
          </w:tcPr>
          <w:p w14:paraId="63A0A9E3">
            <w:pPr>
              <w:jc w:val="center"/>
              <w:rPr>
                <w:rFonts w:ascii="宋体" w:hAnsi="宋体"/>
              </w:rPr>
            </w:pPr>
          </w:p>
        </w:tc>
        <w:tc>
          <w:tcPr>
            <w:tcW w:w="1409" w:type="dxa"/>
            <w:tcBorders>
              <w:top w:val="single" w:color="auto" w:sz="4" w:space="0"/>
              <w:left w:val="single" w:color="auto" w:sz="4" w:space="0"/>
              <w:bottom w:val="single" w:color="auto" w:sz="4" w:space="0"/>
              <w:right w:val="single" w:color="auto" w:sz="4" w:space="0"/>
            </w:tcBorders>
            <w:vAlign w:val="center"/>
          </w:tcPr>
          <w:p w14:paraId="220F0954">
            <w:pPr>
              <w:jc w:val="center"/>
              <w:rPr>
                <w:rFonts w:ascii="宋体" w:hAnsi="宋体"/>
              </w:rPr>
            </w:pPr>
          </w:p>
        </w:tc>
        <w:tc>
          <w:tcPr>
            <w:tcW w:w="850" w:type="dxa"/>
            <w:tcBorders>
              <w:top w:val="single" w:color="auto" w:sz="4" w:space="0"/>
              <w:left w:val="single" w:color="auto" w:sz="4" w:space="0"/>
              <w:bottom w:val="single" w:color="auto" w:sz="4" w:space="0"/>
              <w:right w:val="single" w:color="auto" w:sz="4" w:space="0"/>
            </w:tcBorders>
            <w:vAlign w:val="center"/>
          </w:tcPr>
          <w:p w14:paraId="54291FC5">
            <w:pPr>
              <w:jc w:val="center"/>
              <w:rPr>
                <w:rFonts w:ascii="宋体" w:hAnsi="宋体"/>
              </w:rPr>
            </w:pPr>
          </w:p>
        </w:tc>
        <w:tc>
          <w:tcPr>
            <w:tcW w:w="1136" w:type="dxa"/>
            <w:tcBorders>
              <w:top w:val="single" w:color="auto" w:sz="4" w:space="0"/>
              <w:left w:val="single" w:color="auto" w:sz="4" w:space="0"/>
              <w:bottom w:val="single" w:color="auto" w:sz="4" w:space="0"/>
              <w:right w:val="single" w:color="auto" w:sz="4" w:space="0"/>
            </w:tcBorders>
            <w:vAlign w:val="center"/>
          </w:tcPr>
          <w:p w14:paraId="4281B67C">
            <w:pPr>
              <w:jc w:val="center"/>
              <w:rPr>
                <w:rFonts w:ascii="宋体" w:hAnsi="宋体"/>
              </w:rPr>
            </w:pPr>
          </w:p>
        </w:tc>
        <w:tc>
          <w:tcPr>
            <w:tcW w:w="765" w:type="dxa"/>
            <w:tcBorders>
              <w:top w:val="single" w:color="auto" w:sz="4" w:space="0"/>
              <w:left w:val="single" w:color="auto" w:sz="4" w:space="0"/>
              <w:bottom w:val="single" w:color="auto" w:sz="4" w:space="0"/>
              <w:right w:val="single" w:color="auto" w:sz="4" w:space="0"/>
            </w:tcBorders>
            <w:vAlign w:val="center"/>
          </w:tcPr>
          <w:p w14:paraId="25982D84">
            <w:pPr>
              <w:jc w:val="center"/>
              <w:rPr>
                <w:rFonts w:ascii="宋体" w:hAnsi="宋体"/>
              </w:rPr>
            </w:pPr>
          </w:p>
        </w:tc>
      </w:tr>
      <w:tr w14:paraId="59F94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3C6BBF70">
            <w:pPr>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2194AF24">
            <w:pPr>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072430EF">
            <w:pPr>
              <w:jc w:val="center"/>
              <w:rPr>
                <w:rFonts w:ascii="宋体" w:hAnsi="宋体"/>
              </w:rPr>
            </w:pPr>
          </w:p>
        </w:tc>
        <w:tc>
          <w:tcPr>
            <w:tcW w:w="1134" w:type="dxa"/>
            <w:tcBorders>
              <w:top w:val="single" w:color="auto" w:sz="4" w:space="0"/>
              <w:left w:val="single" w:color="auto" w:sz="4" w:space="0"/>
              <w:bottom w:val="single" w:color="auto" w:sz="4" w:space="0"/>
              <w:right w:val="single" w:color="auto" w:sz="4" w:space="0"/>
            </w:tcBorders>
            <w:vAlign w:val="center"/>
          </w:tcPr>
          <w:p w14:paraId="10453B63">
            <w:pPr>
              <w:jc w:val="center"/>
              <w:rPr>
                <w:rFonts w:ascii="宋体" w:hAnsi="宋体"/>
              </w:rPr>
            </w:pPr>
          </w:p>
        </w:tc>
        <w:tc>
          <w:tcPr>
            <w:tcW w:w="771" w:type="dxa"/>
            <w:tcBorders>
              <w:top w:val="single" w:color="auto" w:sz="4" w:space="0"/>
              <w:left w:val="single" w:color="auto" w:sz="4" w:space="0"/>
              <w:bottom w:val="single" w:color="auto" w:sz="4" w:space="0"/>
              <w:right w:val="single" w:color="auto" w:sz="4" w:space="0"/>
            </w:tcBorders>
            <w:vAlign w:val="center"/>
          </w:tcPr>
          <w:p w14:paraId="16801A7D">
            <w:pPr>
              <w:jc w:val="center"/>
              <w:rPr>
                <w:rFonts w:ascii="宋体" w:hAnsi="宋体"/>
              </w:rPr>
            </w:pPr>
          </w:p>
        </w:tc>
        <w:tc>
          <w:tcPr>
            <w:tcW w:w="1409" w:type="dxa"/>
            <w:tcBorders>
              <w:top w:val="single" w:color="auto" w:sz="4" w:space="0"/>
              <w:left w:val="single" w:color="auto" w:sz="4" w:space="0"/>
              <w:bottom w:val="single" w:color="auto" w:sz="4" w:space="0"/>
              <w:right w:val="single" w:color="auto" w:sz="4" w:space="0"/>
            </w:tcBorders>
            <w:vAlign w:val="center"/>
          </w:tcPr>
          <w:p w14:paraId="62F49522">
            <w:pPr>
              <w:jc w:val="center"/>
              <w:rPr>
                <w:rFonts w:ascii="宋体" w:hAnsi="宋体"/>
              </w:rPr>
            </w:pPr>
          </w:p>
        </w:tc>
        <w:tc>
          <w:tcPr>
            <w:tcW w:w="850" w:type="dxa"/>
            <w:tcBorders>
              <w:top w:val="single" w:color="auto" w:sz="4" w:space="0"/>
              <w:left w:val="single" w:color="auto" w:sz="4" w:space="0"/>
              <w:bottom w:val="single" w:color="auto" w:sz="4" w:space="0"/>
              <w:right w:val="single" w:color="auto" w:sz="4" w:space="0"/>
            </w:tcBorders>
            <w:vAlign w:val="center"/>
          </w:tcPr>
          <w:p w14:paraId="26A6B8E2">
            <w:pPr>
              <w:jc w:val="center"/>
              <w:rPr>
                <w:rFonts w:ascii="宋体" w:hAnsi="宋体"/>
              </w:rPr>
            </w:pPr>
          </w:p>
        </w:tc>
        <w:tc>
          <w:tcPr>
            <w:tcW w:w="1136" w:type="dxa"/>
            <w:tcBorders>
              <w:top w:val="single" w:color="auto" w:sz="4" w:space="0"/>
              <w:left w:val="single" w:color="auto" w:sz="4" w:space="0"/>
              <w:bottom w:val="single" w:color="auto" w:sz="4" w:space="0"/>
              <w:right w:val="single" w:color="auto" w:sz="4" w:space="0"/>
            </w:tcBorders>
            <w:vAlign w:val="center"/>
          </w:tcPr>
          <w:p w14:paraId="57410651">
            <w:pPr>
              <w:jc w:val="center"/>
              <w:rPr>
                <w:rFonts w:ascii="宋体" w:hAnsi="宋体"/>
              </w:rPr>
            </w:pPr>
          </w:p>
        </w:tc>
        <w:tc>
          <w:tcPr>
            <w:tcW w:w="765" w:type="dxa"/>
            <w:tcBorders>
              <w:top w:val="single" w:color="auto" w:sz="4" w:space="0"/>
              <w:left w:val="single" w:color="auto" w:sz="4" w:space="0"/>
              <w:bottom w:val="single" w:color="auto" w:sz="4" w:space="0"/>
              <w:right w:val="single" w:color="auto" w:sz="4" w:space="0"/>
            </w:tcBorders>
            <w:vAlign w:val="center"/>
          </w:tcPr>
          <w:p w14:paraId="73E44DF1">
            <w:pPr>
              <w:jc w:val="center"/>
              <w:rPr>
                <w:rFonts w:ascii="宋体" w:hAnsi="宋体"/>
              </w:rPr>
            </w:pPr>
          </w:p>
        </w:tc>
      </w:tr>
      <w:tr w14:paraId="56708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13313260">
            <w:pPr>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44E22383">
            <w:pPr>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549C3501">
            <w:pPr>
              <w:jc w:val="center"/>
              <w:rPr>
                <w:rFonts w:ascii="宋体" w:hAnsi="宋体"/>
              </w:rPr>
            </w:pPr>
          </w:p>
        </w:tc>
        <w:tc>
          <w:tcPr>
            <w:tcW w:w="1134" w:type="dxa"/>
            <w:tcBorders>
              <w:top w:val="single" w:color="auto" w:sz="4" w:space="0"/>
              <w:left w:val="single" w:color="auto" w:sz="4" w:space="0"/>
              <w:bottom w:val="single" w:color="auto" w:sz="4" w:space="0"/>
              <w:right w:val="single" w:color="auto" w:sz="4" w:space="0"/>
            </w:tcBorders>
            <w:vAlign w:val="center"/>
          </w:tcPr>
          <w:p w14:paraId="6F6B3461">
            <w:pPr>
              <w:jc w:val="center"/>
              <w:rPr>
                <w:rFonts w:ascii="宋体" w:hAnsi="宋体"/>
              </w:rPr>
            </w:pPr>
          </w:p>
        </w:tc>
        <w:tc>
          <w:tcPr>
            <w:tcW w:w="771" w:type="dxa"/>
            <w:tcBorders>
              <w:top w:val="single" w:color="auto" w:sz="4" w:space="0"/>
              <w:left w:val="single" w:color="auto" w:sz="4" w:space="0"/>
              <w:bottom w:val="single" w:color="auto" w:sz="4" w:space="0"/>
              <w:right w:val="single" w:color="auto" w:sz="4" w:space="0"/>
            </w:tcBorders>
            <w:vAlign w:val="center"/>
          </w:tcPr>
          <w:p w14:paraId="266F84BA">
            <w:pPr>
              <w:jc w:val="center"/>
              <w:rPr>
                <w:rFonts w:ascii="宋体" w:hAnsi="宋体"/>
              </w:rPr>
            </w:pPr>
          </w:p>
        </w:tc>
        <w:tc>
          <w:tcPr>
            <w:tcW w:w="1409" w:type="dxa"/>
            <w:tcBorders>
              <w:top w:val="single" w:color="auto" w:sz="4" w:space="0"/>
              <w:left w:val="single" w:color="auto" w:sz="4" w:space="0"/>
              <w:bottom w:val="single" w:color="auto" w:sz="4" w:space="0"/>
              <w:right w:val="single" w:color="auto" w:sz="4" w:space="0"/>
            </w:tcBorders>
            <w:vAlign w:val="center"/>
          </w:tcPr>
          <w:p w14:paraId="02E81309">
            <w:pPr>
              <w:jc w:val="center"/>
              <w:rPr>
                <w:rFonts w:ascii="宋体" w:hAnsi="宋体"/>
              </w:rPr>
            </w:pPr>
          </w:p>
        </w:tc>
        <w:tc>
          <w:tcPr>
            <w:tcW w:w="850" w:type="dxa"/>
            <w:tcBorders>
              <w:top w:val="single" w:color="auto" w:sz="4" w:space="0"/>
              <w:left w:val="single" w:color="auto" w:sz="4" w:space="0"/>
              <w:bottom w:val="single" w:color="auto" w:sz="4" w:space="0"/>
              <w:right w:val="single" w:color="auto" w:sz="4" w:space="0"/>
            </w:tcBorders>
            <w:vAlign w:val="center"/>
          </w:tcPr>
          <w:p w14:paraId="7583FB7A">
            <w:pPr>
              <w:jc w:val="center"/>
              <w:rPr>
                <w:rFonts w:ascii="宋体" w:hAnsi="宋体"/>
              </w:rPr>
            </w:pPr>
          </w:p>
        </w:tc>
        <w:tc>
          <w:tcPr>
            <w:tcW w:w="1136" w:type="dxa"/>
            <w:tcBorders>
              <w:top w:val="single" w:color="auto" w:sz="4" w:space="0"/>
              <w:left w:val="single" w:color="auto" w:sz="4" w:space="0"/>
              <w:bottom w:val="single" w:color="auto" w:sz="4" w:space="0"/>
              <w:right w:val="single" w:color="auto" w:sz="4" w:space="0"/>
            </w:tcBorders>
            <w:vAlign w:val="center"/>
          </w:tcPr>
          <w:p w14:paraId="253F9414">
            <w:pPr>
              <w:jc w:val="center"/>
              <w:rPr>
                <w:rFonts w:ascii="宋体" w:hAnsi="宋体"/>
              </w:rPr>
            </w:pPr>
          </w:p>
        </w:tc>
        <w:tc>
          <w:tcPr>
            <w:tcW w:w="765" w:type="dxa"/>
            <w:tcBorders>
              <w:top w:val="single" w:color="auto" w:sz="4" w:space="0"/>
              <w:left w:val="single" w:color="auto" w:sz="4" w:space="0"/>
              <w:bottom w:val="single" w:color="auto" w:sz="4" w:space="0"/>
              <w:right w:val="single" w:color="auto" w:sz="4" w:space="0"/>
            </w:tcBorders>
            <w:vAlign w:val="center"/>
          </w:tcPr>
          <w:p w14:paraId="5D68E446">
            <w:pPr>
              <w:jc w:val="center"/>
              <w:rPr>
                <w:rFonts w:ascii="宋体" w:hAnsi="宋体"/>
              </w:rPr>
            </w:pPr>
          </w:p>
        </w:tc>
      </w:tr>
      <w:tr w14:paraId="4021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453ADD13">
            <w:pPr>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64BE9C43">
            <w:pPr>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49024C7F">
            <w:pPr>
              <w:jc w:val="center"/>
              <w:rPr>
                <w:rFonts w:ascii="宋体" w:hAnsi="宋体"/>
              </w:rPr>
            </w:pPr>
          </w:p>
        </w:tc>
        <w:tc>
          <w:tcPr>
            <w:tcW w:w="1134" w:type="dxa"/>
            <w:tcBorders>
              <w:top w:val="single" w:color="auto" w:sz="4" w:space="0"/>
              <w:left w:val="single" w:color="auto" w:sz="4" w:space="0"/>
              <w:bottom w:val="single" w:color="auto" w:sz="4" w:space="0"/>
              <w:right w:val="single" w:color="auto" w:sz="4" w:space="0"/>
            </w:tcBorders>
            <w:vAlign w:val="center"/>
          </w:tcPr>
          <w:p w14:paraId="17EAAF94">
            <w:pPr>
              <w:jc w:val="center"/>
              <w:rPr>
                <w:rFonts w:ascii="宋体" w:hAnsi="宋体"/>
              </w:rPr>
            </w:pPr>
          </w:p>
        </w:tc>
        <w:tc>
          <w:tcPr>
            <w:tcW w:w="771" w:type="dxa"/>
            <w:tcBorders>
              <w:top w:val="single" w:color="auto" w:sz="4" w:space="0"/>
              <w:left w:val="single" w:color="auto" w:sz="4" w:space="0"/>
              <w:bottom w:val="single" w:color="auto" w:sz="4" w:space="0"/>
              <w:right w:val="single" w:color="auto" w:sz="4" w:space="0"/>
            </w:tcBorders>
            <w:vAlign w:val="center"/>
          </w:tcPr>
          <w:p w14:paraId="71C23D49">
            <w:pPr>
              <w:jc w:val="center"/>
              <w:rPr>
                <w:rFonts w:ascii="宋体" w:hAnsi="宋体"/>
              </w:rPr>
            </w:pPr>
          </w:p>
        </w:tc>
        <w:tc>
          <w:tcPr>
            <w:tcW w:w="1409" w:type="dxa"/>
            <w:tcBorders>
              <w:top w:val="single" w:color="auto" w:sz="4" w:space="0"/>
              <w:left w:val="single" w:color="auto" w:sz="4" w:space="0"/>
              <w:bottom w:val="single" w:color="auto" w:sz="4" w:space="0"/>
              <w:right w:val="single" w:color="auto" w:sz="4" w:space="0"/>
            </w:tcBorders>
            <w:vAlign w:val="center"/>
          </w:tcPr>
          <w:p w14:paraId="0629F929">
            <w:pPr>
              <w:jc w:val="center"/>
              <w:rPr>
                <w:rFonts w:ascii="宋体" w:hAnsi="宋体"/>
              </w:rPr>
            </w:pPr>
          </w:p>
        </w:tc>
        <w:tc>
          <w:tcPr>
            <w:tcW w:w="850" w:type="dxa"/>
            <w:tcBorders>
              <w:top w:val="single" w:color="auto" w:sz="4" w:space="0"/>
              <w:left w:val="single" w:color="auto" w:sz="4" w:space="0"/>
              <w:bottom w:val="single" w:color="auto" w:sz="4" w:space="0"/>
              <w:right w:val="single" w:color="auto" w:sz="4" w:space="0"/>
            </w:tcBorders>
            <w:vAlign w:val="center"/>
          </w:tcPr>
          <w:p w14:paraId="264A68FE">
            <w:pPr>
              <w:jc w:val="center"/>
              <w:rPr>
                <w:rFonts w:ascii="宋体" w:hAnsi="宋体"/>
              </w:rPr>
            </w:pPr>
          </w:p>
        </w:tc>
        <w:tc>
          <w:tcPr>
            <w:tcW w:w="1136" w:type="dxa"/>
            <w:tcBorders>
              <w:top w:val="single" w:color="auto" w:sz="4" w:space="0"/>
              <w:left w:val="single" w:color="auto" w:sz="4" w:space="0"/>
              <w:bottom w:val="single" w:color="auto" w:sz="4" w:space="0"/>
              <w:right w:val="single" w:color="auto" w:sz="4" w:space="0"/>
            </w:tcBorders>
            <w:vAlign w:val="center"/>
          </w:tcPr>
          <w:p w14:paraId="5B719283">
            <w:pPr>
              <w:jc w:val="center"/>
              <w:rPr>
                <w:rFonts w:ascii="宋体" w:hAnsi="宋体"/>
              </w:rPr>
            </w:pPr>
          </w:p>
        </w:tc>
        <w:tc>
          <w:tcPr>
            <w:tcW w:w="765" w:type="dxa"/>
            <w:tcBorders>
              <w:top w:val="single" w:color="auto" w:sz="4" w:space="0"/>
              <w:left w:val="single" w:color="auto" w:sz="4" w:space="0"/>
              <w:bottom w:val="single" w:color="auto" w:sz="4" w:space="0"/>
              <w:right w:val="single" w:color="auto" w:sz="4" w:space="0"/>
            </w:tcBorders>
            <w:vAlign w:val="center"/>
          </w:tcPr>
          <w:p w14:paraId="1215FC24">
            <w:pPr>
              <w:jc w:val="center"/>
              <w:rPr>
                <w:rFonts w:ascii="宋体" w:hAnsi="宋体"/>
              </w:rPr>
            </w:pPr>
          </w:p>
        </w:tc>
      </w:tr>
      <w:tr w14:paraId="5430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5DB4FE78">
            <w:pPr>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781B2223">
            <w:pPr>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40B753F1">
            <w:pPr>
              <w:jc w:val="center"/>
              <w:rPr>
                <w:rFonts w:ascii="宋体" w:hAnsi="宋体"/>
              </w:rPr>
            </w:pPr>
          </w:p>
        </w:tc>
        <w:tc>
          <w:tcPr>
            <w:tcW w:w="1134" w:type="dxa"/>
            <w:tcBorders>
              <w:top w:val="single" w:color="auto" w:sz="4" w:space="0"/>
              <w:left w:val="single" w:color="auto" w:sz="4" w:space="0"/>
              <w:bottom w:val="single" w:color="auto" w:sz="4" w:space="0"/>
              <w:right w:val="single" w:color="auto" w:sz="4" w:space="0"/>
            </w:tcBorders>
            <w:vAlign w:val="center"/>
          </w:tcPr>
          <w:p w14:paraId="282DF1EB">
            <w:pPr>
              <w:jc w:val="center"/>
              <w:rPr>
                <w:rFonts w:ascii="宋体" w:hAnsi="宋体"/>
              </w:rPr>
            </w:pPr>
          </w:p>
        </w:tc>
        <w:tc>
          <w:tcPr>
            <w:tcW w:w="771" w:type="dxa"/>
            <w:tcBorders>
              <w:top w:val="single" w:color="auto" w:sz="4" w:space="0"/>
              <w:left w:val="single" w:color="auto" w:sz="4" w:space="0"/>
              <w:bottom w:val="single" w:color="auto" w:sz="4" w:space="0"/>
              <w:right w:val="single" w:color="auto" w:sz="4" w:space="0"/>
            </w:tcBorders>
            <w:vAlign w:val="center"/>
          </w:tcPr>
          <w:p w14:paraId="3EFE4F26">
            <w:pPr>
              <w:jc w:val="center"/>
              <w:rPr>
                <w:rFonts w:ascii="宋体" w:hAnsi="宋体"/>
              </w:rPr>
            </w:pPr>
          </w:p>
        </w:tc>
        <w:tc>
          <w:tcPr>
            <w:tcW w:w="1409" w:type="dxa"/>
            <w:tcBorders>
              <w:top w:val="single" w:color="auto" w:sz="4" w:space="0"/>
              <w:left w:val="single" w:color="auto" w:sz="4" w:space="0"/>
              <w:bottom w:val="single" w:color="auto" w:sz="4" w:space="0"/>
              <w:right w:val="single" w:color="auto" w:sz="4" w:space="0"/>
            </w:tcBorders>
            <w:vAlign w:val="center"/>
          </w:tcPr>
          <w:p w14:paraId="4CE2D8EA">
            <w:pPr>
              <w:jc w:val="center"/>
              <w:rPr>
                <w:rFonts w:ascii="宋体" w:hAnsi="宋体"/>
              </w:rPr>
            </w:pPr>
          </w:p>
        </w:tc>
        <w:tc>
          <w:tcPr>
            <w:tcW w:w="850" w:type="dxa"/>
            <w:tcBorders>
              <w:top w:val="single" w:color="auto" w:sz="4" w:space="0"/>
              <w:left w:val="single" w:color="auto" w:sz="4" w:space="0"/>
              <w:bottom w:val="single" w:color="auto" w:sz="4" w:space="0"/>
              <w:right w:val="single" w:color="auto" w:sz="4" w:space="0"/>
            </w:tcBorders>
            <w:vAlign w:val="center"/>
          </w:tcPr>
          <w:p w14:paraId="7A7E93CB">
            <w:pPr>
              <w:jc w:val="center"/>
              <w:rPr>
                <w:rFonts w:ascii="宋体" w:hAnsi="宋体"/>
              </w:rPr>
            </w:pPr>
          </w:p>
        </w:tc>
        <w:tc>
          <w:tcPr>
            <w:tcW w:w="1136" w:type="dxa"/>
            <w:tcBorders>
              <w:top w:val="single" w:color="auto" w:sz="4" w:space="0"/>
              <w:left w:val="single" w:color="auto" w:sz="4" w:space="0"/>
              <w:bottom w:val="single" w:color="auto" w:sz="4" w:space="0"/>
              <w:right w:val="single" w:color="auto" w:sz="4" w:space="0"/>
            </w:tcBorders>
            <w:vAlign w:val="center"/>
          </w:tcPr>
          <w:p w14:paraId="7DF89424">
            <w:pPr>
              <w:jc w:val="center"/>
              <w:rPr>
                <w:rFonts w:ascii="宋体" w:hAnsi="宋体"/>
              </w:rPr>
            </w:pPr>
          </w:p>
        </w:tc>
        <w:tc>
          <w:tcPr>
            <w:tcW w:w="765" w:type="dxa"/>
            <w:tcBorders>
              <w:top w:val="single" w:color="auto" w:sz="4" w:space="0"/>
              <w:left w:val="single" w:color="auto" w:sz="4" w:space="0"/>
              <w:bottom w:val="single" w:color="auto" w:sz="4" w:space="0"/>
              <w:right w:val="single" w:color="auto" w:sz="4" w:space="0"/>
            </w:tcBorders>
            <w:vAlign w:val="center"/>
          </w:tcPr>
          <w:p w14:paraId="6CDB7CC6">
            <w:pPr>
              <w:jc w:val="center"/>
              <w:rPr>
                <w:rFonts w:ascii="宋体" w:hAnsi="宋体"/>
              </w:rPr>
            </w:pPr>
          </w:p>
        </w:tc>
      </w:tr>
      <w:tr w14:paraId="2AFED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FD1EF2B">
            <w:pPr>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1CBA8831">
            <w:pPr>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3E4791A6">
            <w:pPr>
              <w:jc w:val="center"/>
              <w:rPr>
                <w:rFonts w:ascii="宋体" w:hAnsi="宋体"/>
              </w:rPr>
            </w:pPr>
          </w:p>
        </w:tc>
        <w:tc>
          <w:tcPr>
            <w:tcW w:w="1134" w:type="dxa"/>
            <w:tcBorders>
              <w:top w:val="single" w:color="auto" w:sz="4" w:space="0"/>
              <w:left w:val="single" w:color="auto" w:sz="4" w:space="0"/>
              <w:bottom w:val="single" w:color="auto" w:sz="4" w:space="0"/>
              <w:right w:val="single" w:color="auto" w:sz="4" w:space="0"/>
            </w:tcBorders>
            <w:vAlign w:val="center"/>
          </w:tcPr>
          <w:p w14:paraId="4C4D2834">
            <w:pPr>
              <w:jc w:val="center"/>
              <w:rPr>
                <w:rFonts w:ascii="宋体" w:hAnsi="宋体"/>
              </w:rPr>
            </w:pPr>
          </w:p>
        </w:tc>
        <w:tc>
          <w:tcPr>
            <w:tcW w:w="771" w:type="dxa"/>
            <w:tcBorders>
              <w:top w:val="single" w:color="auto" w:sz="4" w:space="0"/>
              <w:left w:val="single" w:color="auto" w:sz="4" w:space="0"/>
              <w:bottom w:val="single" w:color="auto" w:sz="4" w:space="0"/>
              <w:right w:val="single" w:color="auto" w:sz="4" w:space="0"/>
            </w:tcBorders>
            <w:vAlign w:val="center"/>
          </w:tcPr>
          <w:p w14:paraId="225D1E27">
            <w:pPr>
              <w:jc w:val="center"/>
              <w:rPr>
                <w:rFonts w:ascii="宋体" w:hAnsi="宋体"/>
              </w:rPr>
            </w:pPr>
          </w:p>
        </w:tc>
        <w:tc>
          <w:tcPr>
            <w:tcW w:w="1409" w:type="dxa"/>
            <w:tcBorders>
              <w:top w:val="single" w:color="auto" w:sz="4" w:space="0"/>
              <w:left w:val="single" w:color="auto" w:sz="4" w:space="0"/>
              <w:bottom w:val="single" w:color="auto" w:sz="4" w:space="0"/>
              <w:right w:val="single" w:color="auto" w:sz="4" w:space="0"/>
            </w:tcBorders>
            <w:vAlign w:val="center"/>
          </w:tcPr>
          <w:p w14:paraId="0FB72DE8">
            <w:pPr>
              <w:jc w:val="center"/>
              <w:rPr>
                <w:rFonts w:ascii="宋体" w:hAnsi="宋体"/>
              </w:rPr>
            </w:pPr>
          </w:p>
        </w:tc>
        <w:tc>
          <w:tcPr>
            <w:tcW w:w="850" w:type="dxa"/>
            <w:tcBorders>
              <w:top w:val="single" w:color="auto" w:sz="4" w:space="0"/>
              <w:left w:val="single" w:color="auto" w:sz="4" w:space="0"/>
              <w:bottom w:val="single" w:color="auto" w:sz="4" w:space="0"/>
              <w:right w:val="single" w:color="auto" w:sz="4" w:space="0"/>
            </w:tcBorders>
            <w:vAlign w:val="center"/>
          </w:tcPr>
          <w:p w14:paraId="748D3326">
            <w:pPr>
              <w:jc w:val="center"/>
              <w:rPr>
                <w:rFonts w:ascii="宋体" w:hAnsi="宋体"/>
              </w:rPr>
            </w:pPr>
          </w:p>
        </w:tc>
        <w:tc>
          <w:tcPr>
            <w:tcW w:w="1136" w:type="dxa"/>
            <w:tcBorders>
              <w:top w:val="single" w:color="auto" w:sz="4" w:space="0"/>
              <w:left w:val="single" w:color="auto" w:sz="4" w:space="0"/>
              <w:bottom w:val="single" w:color="auto" w:sz="4" w:space="0"/>
              <w:right w:val="single" w:color="auto" w:sz="4" w:space="0"/>
            </w:tcBorders>
            <w:vAlign w:val="center"/>
          </w:tcPr>
          <w:p w14:paraId="39A2DDA0">
            <w:pPr>
              <w:jc w:val="center"/>
              <w:rPr>
                <w:rFonts w:ascii="宋体" w:hAnsi="宋体"/>
              </w:rPr>
            </w:pPr>
          </w:p>
        </w:tc>
        <w:tc>
          <w:tcPr>
            <w:tcW w:w="765" w:type="dxa"/>
            <w:tcBorders>
              <w:top w:val="single" w:color="auto" w:sz="4" w:space="0"/>
              <w:left w:val="single" w:color="auto" w:sz="4" w:space="0"/>
              <w:bottom w:val="single" w:color="auto" w:sz="4" w:space="0"/>
              <w:right w:val="single" w:color="auto" w:sz="4" w:space="0"/>
            </w:tcBorders>
            <w:vAlign w:val="center"/>
          </w:tcPr>
          <w:p w14:paraId="4103ABB9">
            <w:pPr>
              <w:jc w:val="center"/>
              <w:rPr>
                <w:rFonts w:ascii="宋体" w:hAnsi="宋体"/>
              </w:rPr>
            </w:pPr>
          </w:p>
        </w:tc>
      </w:tr>
      <w:tr w14:paraId="09B27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458EA0B2">
            <w:pPr>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0C1205F8">
            <w:pPr>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1B06A2B3">
            <w:pPr>
              <w:jc w:val="center"/>
              <w:rPr>
                <w:rFonts w:ascii="宋体" w:hAnsi="宋体"/>
              </w:rPr>
            </w:pPr>
          </w:p>
        </w:tc>
        <w:tc>
          <w:tcPr>
            <w:tcW w:w="1134" w:type="dxa"/>
            <w:tcBorders>
              <w:top w:val="single" w:color="auto" w:sz="4" w:space="0"/>
              <w:left w:val="single" w:color="auto" w:sz="4" w:space="0"/>
              <w:bottom w:val="single" w:color="auto" w:sz="4" w:space="0"/>
              <w:right w:val="single" w:color="auto" w:sz="4" w:space="0"/>
            </w:tcBorders>
            <w:vAlign w:val="center"/>
          </w:tcPr>
          <w:p w14:paraId="5F569670">
            <w:pPr>
              <w:jc w:val="center"/>
              <w:rPr>
                <w:rFonts w:ascii="宋体" w:hAnsi="宋体"/>
              </w:rPr>
            </w:pPr>
          </w:p>
        </w:tc>
        <w:tc>
          <w:tcPr>
            <w:tcW w:w="771" w:type="dxa"/>
            <w:tcBorders>
              <w:top w:val="single" w:color="auto" w:sz="4" w:space="0"/>
              <w:left w:val="single" w:color="auto" w:sz="4" w:space="0"/>
              <w:bottom w:val="single" w:color="auto" w:sz="4" w:space="0"/>
              <w:right w:val="single" w:color="auto" w:sz="4" w:space="0"/>
            </w:tcBorders>
            <w:vAlign w:val="center"/>
          </w:tcPr>
          <w:p w14:paraId="182CD18F">
            <w:pPr>
              <w:jc w:val="center"/>
              <w:rPr>
                <w:rFonts w:ascii="宋体" w:hAnsi="宋体"/>
              </w:rPr>
            </w:pPr>
          </w:p>
        </w:tc>
        <w:tc>
          <w:tcPr>
            <w:tcW w:w="1409" w:type="dxa"/>
            <w:tcBorders>
              <w:top w:val="single" w:color="auto" w:sz="4" w:space="0"/>
              <w:left w:val="single" w:color="auto" w:sz="4" w:space="0"/>
              <w:bottom w:val="single" w:color="auto" w:sz="4" w:space="0"/>
              <w:right w:val="single" w:color="auto" w:sz="4" w:space="0"/>
            </w:tcBorders>
            <w:vAlign w:val="center"/>
          </w:tcPr>
          <w:p w14:paraId="3E7B6347">
            <w:pPr>
              <w:jc w:val="center"/>
              <w:rPr>
                <w:rFonts w:ascii="宋体" w:hAnsi="宋体"/>
              </w:rPr>
            </w:pPr>
          </w:p>
        </w:tc>
        <w:tc>
          <w:tcPr>
            <w:tcW w:w="850" w:type="dxa"/>
            <w:tcBorders>
              <w:top w:val="single" w:color="auto" w:sz="4" w:space="0"/>
              <w:left w:val="single" w:color="auto" w:sz="4" w:space="0"/>
              <w:bottom w:val="single" w:color="auto" w:sz="4" w:space="0"/>
              <w:right w:val="single" w:color="auto" w:sz="4" w:space="0"/>
            </w:tcBorders>
            <w:vAlign w:val="center"/>
          </w:tcPr>
          <w:p w14:paraId="74FA81E8">
            <w:pPr>
              <w:jc w:val="center"/>
              <w:rPr>
                <w:rFonts w:ascii="宋体" w:hAnsi="宋体"/>
              </w:rPr>
            </w:pPr>
          </w:p>
        </w:tc>
        <w:tc>
          <w:tcPr>
            <w:tcW w:w="1136" w:type="dxa"/>
            <w:tcBorders>
              <w:top w:val="single" w:color="auto" w:sz="4" w:space="0"/>
              <w:left w:val="single" w:color="auto" w:sz="4" w:space="0"/>
              <w:bottom w:val="single" w:color="auto" w:sz="4" w:space="0"/>
              <w:right w:val="single" w:color="auto" w:sz="4" w:space="0"/>
            </w:tcBorders>
            <w:vAlign w:val="center"/>
          </w:tcPr>
          <w:p w14:paraId="480AC3E8">
            <w:pPr>
              <w:jc w:val="center"/>
              <w:rPr>
                <w:rFonts w:ascii="宋体" w:hAnsi="宋体"/>
              </w:rPr>
            </w:pPr>
          </w:p>
        </w:tc>
        <w:tc>
          <w:tcPr>
            <w:tcW w:w="765" w:type="dxa"/>
            <w:tcBorders>
              <w:top w:val="single" w:color="auto" w:sz="4" w:space="0"/>
              <w:left w:val="single" w:color="auto" w:sz="4" w:space="0"/>
              <w:bottom w:val="single" w:color="auto" w:sz="4" w:space="0"/>
              <w:right w:val="single" w:color="auto" w:sz="4" w:space="0"/>
            </w:tcBorders>
            <w:vAlign w:val="center"/>
          </w:tcPr>
          <w:p w14:paraId="1C0DEC53">
            <w:pPr>
              <w:jc w:val="center"/>
              <w:rPr>
                <w:rFonts w:ascii="宋体" w:hAnsi="宋体"/>
              </w:rPr>
            </w:pPr>
          </w:p>
        </w:tc>
      </w:tr>
      <w:tr w14:paraId="0038E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003E3407">
            <w:pPr>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7AD7F773">
            <w:pPr>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24C01B55">
            <w:pPr>
              <w:jc w:val="center"/>
              <w:rPr>
                <w:rFonts w:ascii="宋体" w:hAnsi="宋体"/>
              </w:rPr>
            </w:pPr>
          </w:p>
        </w:tc>
        <w:tc>
          <w:tcPr>
            <w:tcW w:w="1134" w:type="dxa"/>
            <w:tcBorders>
              <w:top w:val="single" w:color="auto" w:sz="4" w:space="0"/>
              <w:left w:val="single" w:color="auto" w:sz="4" w:space="0"/>
              <w:bottom w:val="single" w:color="auto" w:sz="4" w:space="0"/>
              <w:right w:val="single" w:color="auto" w:sz="4" w:space="0"/>
            </w:tcBorders>
            <w:vAlign w:val="center"/>
          </w:tcPr>
          <w:p w14:paraId="2509BB82">
            <w:pPr>
              <w:jc w:val="center"/>
              <w:rPr>
                <w:rFonts w:ascii="宋体" w:hAnsi="宋体"/>
              </w:rPr>
            </w:pPr>
          </w:p>
        </w:tc>
        <w:tc>
          <w:tcPr>
            <w:tcW w:w="771" w:type="dxa"/>
            <w:tcBorders>
              <w:top w:val="single" w:color="auto" w:sz="4" w:space="0"/>
              <w:left w:val="single" w:color="auto" w:sz="4" w:space="0"/>
              <w:bottom w:val="single" w:color="auto" w:sz="4" w:space="0"/>
              <w:right w:val="single" w:color="auto" w:sz="4" w:space="0"/>
            </w:tcBorders>
            <w:vAlign w:val="center"/>
          </w:tcPr>
          <w:p w14:paraId="250D6212">
            <w:pPr>
              <w:jc w:val="center"/>
              <w:rPr>
                <w:rFonts w:ascii="宋体" w:hAnsi="宋体"/>
              </w:rPr>
            </w:pPr>
          </w:p>
        </w:tc>
        <w:tc>
          <w:tcPr>
            <w:tcW w:w="1409" w:type="dxa"/>
            <w:tcBorders>
              <w:top w:val="single" w:color="auto" w:sz="4" w:space="0"/>
              <w:left w:val="single" w:color="auto" w:sz="4" w:space="0"/>
              <w:bottom w:val="single" w:color="auto" w:sz="4" w:space="0"/>
              <w:right w:val="single" w:color="auto" w:sz="4" w:space="0"/>
            </w:tcBorders>
            <w:vAlign w:val="center"/>
          </w:tcPr>
          <w:p w14:paraId="2BD4DEF7">
            <w:pPr>
              <w:jc w:val="center"/>
              <w:rPr>
                <w:rFonts w:ascii="宋体" w:hAnsi="宋体"/>
              </w:rPr>
            </w:pPr>
          </w:p>
        </w:tc>
        <w:tc>
          <w:tcPr>
            <w:tcW w:w="850" w:type="dxa"/>
            <w:tcBorders>
              <w:top w:val="single" w:color="auto" w:sz="4" w:space="0"/>
              <w:left w:val="single" w:color="auto" w:sz="4" w:space="0"/>
              <w:bottom w:val="single" w:color="auto" w:sz="4" w:space="0"/>
              <w:right w:val="single" w:color="auto" w:sz="4" w:space="0"/>
            </w:tcBorders>
            <w:vAlign w:val="center"/>
          </w:tcPr>
          <w:p w14:paraId="63B27C55">
            <w:pPr>
              <w:jc w:val="center"/>
              <w:rPr>
                <w:rFonts w:ascii="宋体" w:hAnsi="宋体"/>
              </w:rPr>
            </w:pPr>
          </w:p>
        </w:tc>
        <w:tc>
          <w:tcPr>
            <w:tcW w:w="1136" w:type="dxa"/>
            <w:tcBorders>
              <w:top w:val="single" w:color="auto" w:sz="4" w:space="0"/>
              <w:left w:val="single" w:color="auto" w:sz="4" w:space="0"/>
              <w:bottom w:val="single" w:color="auto" w:sz="4" w:space="0"/>
              <w:right w:val="single" w:color="auto" w:sz="4" w:space="0"/>
            </w:tcBorders>
            <w:vAlign w:val="center"/>
          </w:tcPr>
          <w:p w14:paraId="4F224D30">
            <w:pPr>
              <w:jc w:val="center"/>
              <w:rPr>
                <w:rFonts w:ascii="宋体" w:hAnsi="宋体"/>
              </w:rPr>
            </w:pPr>
          </w:p>
        </w:tc>
        <w:tc>
          <w:tcPr>
            <w:tcW w:w="765" w:type="dxa"/>
            <w:tcBorders>
              <w:top w:val="single" w:color="auto" w:sz="4" w:space="0"/>
              <w:left w:val="single" w:color="auto" w:sz="4" w:space="0"/>
              <w:bottom w:val="single" w:color="auto" w:sz="4" w:space="0"/>
              <w:right w:val="single" w:color="auto" w:sz="4" w:space="0"/>
            </w:tcBorders>
            <w:vAlign w:val="center"/>
          </w:tcPr>
          <w:p w14:paraId="24A75129">
            <w:pPr>
              <w:jc w:val="center"/>
              <w:rPr>
                <w:rFonts w:ascii="宋体" w:hAnsi="宋体"/>
              </w:rPr>
            </w:pPr>
          </w:p>
        </w:tc>
      </w:tr>
      <w:tr w14:paraId="5CDD1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1FE86B72">
            <w:pPr>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3411C637">
            <w:pPr>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2B5A8352">
            <w:pPr>
              <w:jc w:val="center"/>
              <w:rPr>
                <w:rFonts w:ascii="宋体" w:hAnsi="宋体"/>
              </w:rPr>
            </w:pPr>
          </w:p>
        </w:tc>
        <w:tc>
          <w:tcPr>
            <w:tcW w:w="1134" w:type="dxa"/>
            <w:tcBorders>
              <w:top w:val="single" w:color="auto" w:sz="4" w:space="0"/>
              <w:left w:val="single" w:color="auto" w:sz="4" w:space="0"/>
              <w:bottom w:val="single" w:color="auto" w:sz="4" w:space="0"/>
              <w:right w:val="single" w:color="auto" w:sz="4" w:space="0"/>
            </w:tcBorders>
            <w:vAlign w:val="center"/>
          </w:tcPr>
          <w:p w14:paraId="0BD7F5B1">
            <w:pPr>
              <w:jc w:val="center"/>
              <w:rPr>
                <w:rFonts w:ascii="宋体" w:hAnsi="宋体"/>
              </w:rPr>
            </w:pPr>
          </w:p>
        </w:tc>
        <w:tc>
          <w:tcPr>
            <w:tcW w:w="771" w:type="dxa"/>
            <w:tcBorders>
              <w:top w:val="single" w:color="auto" w:sz="4" w:space="0"/>
              <w:left w:val="single" w:color="auto" w:sz="4" w:space="0"/>
              <w:bottom w:val="single" w:color="auto" w:sz="4" w:space="0"/>
              <w:right w:val="single" w:color="auto" w:sz="4" w:space="0"/>
            </w:tcBorders>
            <w:vAlign w:val="center"/>
          </w:tcPr>
          <w:p w14:paraId="7A1D911F">
            <w:pPr>
              <w:jc w:val="center"/>
              <w:rPr>
                <w:rFonts w:ascii="宋体" w:hAnsi="宋体"/>
              </w:rPr>
            </w:pPr>
          </w:p>
        </w:tc>
        <w:tc>
          <w:tcPr>
            <w:tcW w:w="1409" w:type="dxa"/>
            <w:tcBorders>
              <w:top w:val="single" w:color="auto" w:sz="4" w:space="0"/>
              <w:left w:val="single" w:color="auto" w:sz="4" w:space="0"/>
              <w:bottom w:val="single" w:color="auto" w:sz="4" w:space="0"/>
              <w:right w:val="single" w:color="auto" w:sz="4" w:space="0"/>
            </w:tcBorders>
            <w:vAlign w:val="center"/>
          </w:tcPr>
          <w:p w14:paraId="6FA4E942">
            <w:pPr>
              <w:jc w:val="center"/>
              <w:rPr>
                <w:rFonts w:ascii="宋体" w:hAnsi="宋体"/>
              </w:rPr>
            </w:pPr>
          </w:p>
        </w:tc>
        <w:tc>
          <w:tcPr>
            <w:tcW w:w="850" w:type="dxa"/>
            <w:tcBorders>
              <w:top w:val="single" w:color="auto" w:sz="4" w:space="0"/>
              <w:left w:val="single" w:color="auto" w:sz="4" w:space="0"/>
              <w:bottom w:val="single" w:color="auto" w:sz="4" w:space="0"/>
              <w:right w:val="single" w:color="auto" w:sz="4" w:space="0"/>
            </w:tcBorders>
            <w:vAlign w:val="center"/>
          </w:tcPr>
          <w:p w14:paraId="280EAE88">
            <w:pPr>
              <w:jc w:val="center"/>
              <w:rPr>
                <w:rFonts w:ascii="宋体" w:hAnsi="宋体"/>
              </w:rPr>
            </w:pPr>
          </w:p>
        </w:tc>
        <w:tc>
          <w:tcPr>
            <w:tcW w:w="1136" w:type="dxa"/>
            <w:tcBorders>
              <w:top w:val="single" w:color="auto" w:sz="4" w:space="0"/>
              <w:left w:val="single" w:color="auto" w:sz="4" w:space="0"/>
              <w:bottom w:val="single" w:color="auto" w:sz="4" w:space="0"/>
              <w:right w:val="single" w:color="auto" w:sz="4" w:space="0"/>
            </w:tcBorders>
            <w:vAlign w:val="center"/>
          </w:tcPr>
          <w:p w14:paraId="3AE799E8">
            <w:pPr>
              <w:jc w:val="center"/>
              <w:rPr>
                <w:rFonts w:ascii="宋体" w:hAnsi="宋体"/>
              </w:rPr>
            </w:pPr>
          </w:p>
        </w:tc>
        <w:tc>
          <w:tcPr>
            <w:tcW w:w="765" w:type="dxa"/>
            <w:tcBorders>
              <w:top w:val="single" w:color="auto" w:sz="4" w:space="0"/>
              <w:left w:val="single" w:color="auto" w:sz="4" w:space="0"/>
              <w:bottom w:val="single" w:color="auto" w:sz="4" w:space="0"/>
              <w:right w:val="single" w:color="auto" w:sz="4" w:space="0"/>
            </w:tcBorders>
            <w:vAlign w:val="center"/>
          </w:tcPr>
          <w:p w14:paraId="4AEEA3CA">
            <w:pPr>
              <w:jc w:val="center"/>
              <w:rPr>
                <w:rFonts w:ascii="宋体" w:hAnsi="宋体"/>
              </w:rPr>
            </w:pPr>
          </w:p>
        </w:tc>
      </w:tr>
      <w:tr w14:paraId="03A7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699F1EF6">
            <w:pPr>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3CB8D169">
            <w:pPr>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70DFC0D2">
            <w:pPr>
              <w:jc w:val="center"/>
              <w:rPr>
                <w:rFonts w:ascii="宋体" w:hAnsi="宋体"/>
              </w:rPr>
            </w:pPr>
          </w:p>
        </w:tc>
        <w:tc>
          <w:tcPr>
            <w:tcW w:w="1134" w:type="dxa"/>
            <w:tcBorders>
              <w:top w:val="single" w:color="auto" w:sz="4" w:space="0"/>
              <w:left w:val="single" w:color="auto" w:sz="4" w:space="0"/>
              <w:bottom w:val="single" w:color="auto" w:sz="4" w:space="0"/>
              <w:right w:val="single" w:color="auto" w:sz="4" w:space="0"/>
            </w:tcBorders>
            <w:vAlign w:val="center"/>
          </w:tcPr>
          <w:p w14:paraId="3403D68D">
            <w:pPr>
              <w:jc w:val="center"/>
              <w:rPr>
                <w:rFonts w:ascii="宋体" w:hAnsi="宋体"/>
              </w:rPr>
            </w:pPr>
          </w:p>
        </w:tc>
        <w:tc>
          <w:tcPr>
            <w:tcW w:w="771" w:type="dxa"/>
            <w:tcBorders>
              <w:top w:val="single" w:color="auto" w:sz="4" w:space="0"/>
              <w:left w:val="single" w:color="auto" w:sz="4" w:space="0"/>
              <w:bottom w:val="single" w:color="auto" w:sz="4" w:space="0"/>
              <w:right w:val="single" w:color="auto" w:sz="4" w:space="0"/>
            </w:tcBorders>
            <w:vAlign w:val="center"/>
          </w:tcPr>
          <w:p w14:paraId="2B688461">
            <w:pPr>
              <w:jc w:val="center"/>
              <w:rPr>
                <w:rFonts w:ascii="宋体" w:hAnsi="宋体"/>
              </w:rPr>
            </w:pPr>
          </w:p>
        </w:tc>
        <w:tc>
          <w:tcPr>
            <w:tcW w:w="1409" w:type="dxa"/>
            <w:tcBorders>
              <w:top w:val="single" w:color="auto" w:sz="4" w:space="0"/>
              <w:left w:val="single" w:color="auto" w:sz="4" w:space="0"/>
              <w:bottom w:val="single" w:color="auto" w:sz="4" w:space="0"/>
              <w:right w:val="single" w:color="auto" w:sz="4" w:space="0"/>
            </w:tcBorders>
            <w:vAlign w:val="center"/>
          </w:tcPr>
          <w:p w14:paraId="68BF6008">
            <w:pPr>
              <w:jc w:val="center"/>
              <w:rPr>
                <w:rFonts w:ascii="宋体" w:hAnsi="宋体"/>
              </w:rPr>
            </w:pPr>
          </w:p>
        </w:tc>
        <w:tc>
          <w:tcPr>
            <w:tcW w:w="850" w:type="dxa"/>
            <w:tcBorders>
              <w:top w:val="single" w:color="auto" w:sz="4" w:space="0"/>
              <w:left w:val="single" w:color="auto" w:sz="4" w:space="0"/>
              <w:bottom w:val="single" w:color="auto" w:sz="4" w:space="0"/>
              <w:right w:val="single" w:color="auto" w:sz="4" w:space="0"/>
            </w:tcBorders>
            <w:vAlign w:val="center"/>
          </w:tcPr>
          <w:p w14:paraId="2B3B219A">
            <w:pPr>
              <w:jc w:val="center"/>
              <w:rPr>
                <w:rFonts w:ascii="宋体" w:hAnsi="宋体"/>
              </w:rPr>
            </w:pPr>
          </w:p>
        </w:tc>
        <w:tc>
          <w:tcPr>
            <w:tcW w:w="1136" w:type="dxa"/>
            <w:tcBorders>
              <w:top w:val="single" w:color="auto" w:sz="4" w:space="0"/>
              <w:left w:val="single" w:color="auto" w:sz="4" w:space="0"/>
              <w:bottom w:val="single" w:color="auto" w:sz="4" w:space="0"/>
              <w:right w:val="single" w:color="auto" w:sz="4" w:space="0"/>
            </w:tcBorders>
            <w:vAlign w:val="center"/>
          </w:tcPr>
          <w:p w14:paraId="6F0C4340">
            <w:pPr>
              <w:jc w:val="center"/>
              <w:rPr>
                <w:rFonts w:ascii="宋体" w:hAnsi="宋体"/>
              </w:rPr>
            </w:pPr>
          </w:p>
        </w:tc>
        <w:tc>
          <w:tcPr>
            <w:tcW w:w="765" w:type="dxa"/>
            <w:tcBorders>
              <w:top w:val="single" w:color="auto" w:sz="4" w:space="0"/>
              <w:left w:val="single" w:color="auto" w:sz="4" w:space="0"/>
              <w:bottom w:val="single" w:color="auto" w:sz="4" w:space="0"/>
              <w:right w:val="single" w:color="auto" w:sz="4" w:space="0"/>
            </w:tcBorders>
            <w:vAlign w:val="center"/>
          </w:tcPr>
          <w:p w14:paraId="7980D3C8">
            <w:pPr>
              <w:jc w:val="center"/>
              <w:rPr>
                <w:rFonts w:ascii="宋体" w:hAnsi="宋体"/>
              </w:rPr>
            </w:pPr>
          </w:p>
        </w:tc>
      </w:tr>
    </w:tbl>
    <w:p w14:paraId="35A7F8D2">
      <w:pPr>
        <w:spacing w:line="420" w:lineRule="exact"/>
        <w:rPr>
          <w:rFonts w:ascii="宋体" w:hAnsi="宋体"/>
        </w:rPr>
      </w:pPr>
    </w:p>
    <w:p w14:paraId="609945A9">
      <w:pPr>
        <w:spacing w:before="120" w:after="240" w:line="420" w:lineRule="exact"/>
        <w:ind w:firstLine="422"/>
        <w:outlineLvl w:val="2"/>
        <w:rPr>
          <w:rFonts w:ascii="宋体" w:hAnsi="宋体"/>
          <w:sz w:val="24"/>
          <w:szCs w:val="24"/>
        </w:rPr>
      </w:pPr>
      <w:r>
        <w:rPr>
          <w:rFonts w:hint="eastAsia" w:ascii="宋体" w:hAnsi="宋体"/>
          <w:b/>
          <w:bCs/>
          <w:sz w:val="28"/>
          <w:szCs w:val="28"/>
        </w:rPr>
        <w:br w:type="page"/>
      </w:r>
      <w:bookmarkStart w:id="1247" w:name="_Toc15977"/>
      <w:bookmarkStart w:id="1248" w:name="_Toc129073535"/>
      <w:bookmarkStart w:id="1249" w:name="_Toc28162"/>
      <w:bookmarkStart w:id="1250" w:name="_Toc29027"/>
      <w:r>
        <w:rPr>
          <w:rFonts w:hint="eastAsia" w:ascii="宋体" w:hAnsi="宋体"/>
          <w:sz w:val="24"/>
          <w:szCs w:val="24"/>
        </w:rPr>
        <w:t>（二）主要人员简历表</w:t>
      </w:r>
      <w:bookmarkEnd w:id="1247"/>
      <w:bookmarkEnd w:id="1248"/>
      <w:bookmarkEnd w:id="1249"/>
      <w:bookmarkEnd w:id="1250"/>
    </w:p>
    <w:p w14:paraId="5174B72F">
      <w:pPr>
        <w:spacing w:line="420" w:lineRule="exact"/>
        <w:rPr>
          <w:rFonts w:ascii="宋体" w:hAnsi="宋体"/>
        </w:rPr>
      </w:pPr>
      <w:r>
        <w:rPr>
          <w:rFonts w:hint="eastAsia" w:ascii="宋体" w:hAnsi="宋体"/>
        </w:rPr>
        <w:t>附1：项目经理简历表</w:t>
      </w:r>
    </w:p>
    <w:p w14:paraId="3CCB2D5D">
      <w:pPr>
        <w:spacing w:line="420" w:lineRule="exact"/>
        <w:ind w:firstLine="420" w:firstLineChars="200"/>
        <w:rPr>
          <w:rFonts w:ascii="宋体" w:hAnsi="宋体"/>
        </w:rPr>
      </w:pPr>
      <w:r>
        <w:rPr>
          <w:rFonts w:hint="eastAsia" w:ascii="宋体" w:hAnsi="宋体"/>
        </w:rPr>
        <w:t>项目经理应附项目经理身份证、注册证、安考证、职称证（如有要求）、学历证（如有要求）、社保证明复印件等。</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1035"/>
        <w:gridCol w:w="1134"/>
        <w:gridCol w:w="1275"/>
        <w:gridCol w:w="1843"/>
        <w:gridCol w:w="2126"/>
      </w:tblGrid>
      <w:tr w14:paraId="556D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393B0325">
            <w:pPr>
              <w:jc w:val="center"/>
              <w:rPr>
                <w:rFonts w:ascii="宋体" w:hAnsi="宋体"/>
              </w:rPr>
            </w:pPr>
            <w:r>
              <w:rPr>
                <w:rFonts w:hint="eastAsia" w:ascii="宋体" w:hAnsi="宋体"/>
              </w:rPr>
              <w:t>姓  名</w:t>
            </w:r>
          </w:p>
        </w:tc>
        <w:tc>
          <w:tcPr>
            <w:tcW w:w="1035" w:type="dxa"/>
            <w:tcBorders>
              <w:top w:val="single" w:color="auto" w:sz="4" w:space="0"/>
              <w:left w:val="single" w:color="auto" w:sz="4" w:space="0"/>
              <w:bottom w:val="single" w:color="auto" w:sz="4" w:space="0"/>
              <w:right w:val="single" w:color="auto" w:sz="4" w:space="0"/>
            </w:tcBorders>
            <w:vAlign w:val="center"/>
          </w:tcPr>
          <w:p w14:paraId="1C55112C">
            <w:pPr>
              <w:jc w:val="center"/>
              <w:rPr>
                <w:rFonts w:ascii="宋体" w:hAnsi="宋体"/>
              </w:rPr>
            </w:pPr>
          </w:p>
        </w:tc>
        <w:tc>
          <w:tcPr>
            <w:tcW w:w="1134" w:type="dxa"/>
            <w:tcBorders>
              <w:top w:val="single" w:color="auto" w:sz="4" w:space="0"/>
              <w:left w:val="single" w:color="auto" w:sz="4" w:space="0"/>
              <w:bottom w:val="single" w:color="auto" w:sz="4" w:space="0"/>
              <w:right w:val="single" w:color="auto" w:sz="4" w:space="0"/>
            </w:tcBorders>
            <w:vAlign w:val="center"/>
          </w:tcPr>
          <w:p w14:paraId="0256D4C9">
            <w:pPr>
              <w:jc w:val="center"/>
              <w:rPr>
                <w:rFonts w:ascii="宋体" w:hAnsi="宋体"/>
              </w:rPr>
            </w:pPr>
            <w:r>
              <w:rPr>
                <w:rFonts w:hint="eastAsia" w:ascii="宋体" w:hAnsi="宋体"/>
              </w:rPr>
              <w:t>年  龄</w:t>
            </w:r>
          </w:p>
        </w:tc>
        <w:tc>
          <w:tcPr>
            <w:tcW w:w="1275" w:type="dxa"/>
            <w:tcBorders>
              <w:top w:val="single" w:color="auto" w:sz="4" w:space="0"/>
              <w:left w:val="single" w:color="auto" w:sz="4" w:space="0"/>
              <w:bottom w:val="single" w:color="auto" w:sz="4" w:space="0"/>
              <w:right w:val="single" w:color="auto" w:sz="4" w:space="0"/>
            </w:tcBorders>
            <w:vAlign w:val="center"/>
          </w:tcPr>
          <w:p w14:paraId="247B3813">
            <w:pPr>
              <w:jc w:val="center"/>
              <w:rPr>
                <w:rFonts w:ascii="宋体" w:hAnsi="宋体"/>
              </w:rPr>
            </w:pPr>
          </w:p>
        </w:tc>
        <w:tc>
          <w:tcPr>
            <w:tcW w:w="1843" w:type="dxa"/>
            <w:tcBorders>
              <w:top w:val="single" w:color="auto" w:sz="4" w:space="0"/>
              <w:left w:val="single" w:color="auto" w:sz="4" w:space="0"/>
              <w:bottom w:val="single" w:color="auto" w:sz="4" w:space="0"/>
              <w:right w:val="single" w:color="auto" w:sz="4" w:space="0"/>
            </w:tcBorders>
            <w:vAlign w:val="center"/>
          </w:tcPr>
          <w:p w14:paraId="2BEF5C4E">
            <w:pPr>
              <w:jc w:val="center"/>
              <w:rPr>
                <w:rFonts w:ascii="宋体" w:hAnsi="宋体"/>
              </w:rPr>
            </w:pPr>
            <w:r>
              <w:rPr>
                <w:rFonts w:hint="eastAsia" w:ascii="宋体" w:hAnsi="宋体"/>
              </w:rPr>
              <w:t>学历</w:t>
            </w:r>
          </w:p>
        </w:tc>
        <w:tc>
          <w:tcPr>
            <w:tcW w:w="2126" w:type="dxa"/>
            <w:tcBorders>
              <w:top w:val="single" w:color="auto" w:sz="4" w:space="0"/>
              <w:left w:val="single" w:color="auto" w:sz="4" w:space="0"/>
              <w:bottom w:val="single" w:color="auto" w:sz="4" w:space="0"/>
              <w:right w:val="single" w:color="auto" w:sz="4" w:space="0"/>
            </w:tcBorders>
            <w:vAlign w:val="center"/>
          </w:tcPr>
          <w:p w14:paraId="13B8FF17">
            <w:pPr>
              <w:jc w:val="center"/>
              <w:rPr>
                <w:rFonts w:ascii="宋体" w:hAnsi="宋体"/>
              </w:rPr>
            </w:pPr>
          </w:p>
        </w:tc>
      </w:tr>
      <w:tr w14:paraId="1820B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6D502993">
            <w:pPr>
              <w:jc w:val="center"/>
              <w:rPr>
                <w:rFonts w:ascii="宋体" w:hAnsi="宋体"/>
              </w:rPr>
            </w:pPr>
            <w:r>
              <w:rPr>
                <w:rFonts w:hint="eastAsia" w:ascii="宋体" w:hAnsi="宋体"/>
              </w:rPr>
              <w:t>职  称</w:t>
            </w:r>
          </w:p>
        </w:tc>
        <w:tc>
          <w:tcPr>
            <w:tcW w:w="1035" w:type="dxa"/>
            <w:tcBorders>
              <w:top w:val="single" w:color="auto" w:sz="4" w:space="0"/>
              <w:left w:val="single" w:color="auto" w:sz="4" w:space="0"/>
              <w:bottom w:val="single" w:color="auto" w:sz="4" w:space="0"/>
              <w:right w:val="single" w:color="auto" w:sz="4" w:space="0"/>
            </w:tcBorders>
            <w:vAlign w:val="center"/>
          </w:tcPr>
          <w:p w14:paraId="20524A04">
            <w:pPr>
              <w:jc w:val="center"/>
              <w:rPr>
                <w:rFonts w:ascii="宋体" w:hAnsi="宋体"/>
              </w:rPr>
            </w:pPr>
          </w:p>
        </w:tc>
        <w:tc>
          <w:tcPr>
            <w:tcW w:w="1134" w:type="dxa"/>
            <w:tcBorders>
              <w:top w:val="single" w:color="auto" w:sz="4" w:space="0"/>
              <w:left w:val="single" w:color="auto" w:sz="4" w:space="0"/>
              <w:bottom w:val="single" w:color="auto" w:sz="4" w:space="0"/>
              <w:right w:val="single" w:color="auto" w:sz="4" w:space="0"/>
            </w:tcBorders>
            <w:vAlign w:val="center"/>
          </w:tcPr>
          <w:p w14:paraId="7F00FEF5">
            <w:pPr>
              <w:jc w:val="center"/>
              <w:rPr>
                <w:rFonts w:ascii="宋体" w:hAnsi="宋体"/>
              </w:rPr>
            </w:pPr>
            <w:r>
              <w:rPr>
                <w:rFonts w:hint="eastAsia" w:ascii="宋体" w:hAnsi="宋体"/>
              </w:rPr>
              <w:t>职  务</w:t>
            </w:r>
          </w:p>
        </w:tc>
        <w:tc>
          <w:tcPr>
            <w:tcW w:w="1275" w:type="dxa"/>
            <w:tcBorders>
              <w:top w:val="single" w:color="auto" w:sz="4" w:space="0"/>
              <w:left w:val="single" w:color="auto" w:sz="4" w:space="0"/>
              <w:bottom w:val="single" w:color="auto" w:sz="4" w:space="0"/>
              <w:right w:val="single" w:color="auto" w:sz="4" w:space="0"/>
            </w:tcBorders>
            <w:vAlign w:val="center"/>
          </w:tcPr>
          <w:p w14:paraId="38E39F07">
            <w:pPr>
              <w:jc w:val="center"/>
              <w:rPr>
                <w:rFonts w:ascii="宋体" w:hAnsi="宋体"/>
              </w:rPr>
            </w:pPr>
          </w:p>
        </w:tc>
        <w:tc>
          <w:tcPr>
            <w:tcW w:w="1843" w:type="dxa"/>
            <w:tcBorders>
              <w:top w:val="single" w:color="auto" w:sz="4" w:space="0"/>
              <w:left w:val="single" w:color="auto" w:sz="4" w:space="0"/>
              <w:bottom w:val="single" w:color="auto" w:sz="4" w:space="0"/>
              <w:right w:val="single" w:color="auto" w:sz="4" w:space="0"/>
            </w:tcBorders>
            <w:vAlign w:val="center"/>
          </w:tcPr>
          <w:p w14:paraId="1776D5BD">
            <w:pPr>
              <w:jc w:val="center"/>
              <w:rPr>
                <w:rFonts w:ascii="宋体" w:hAnsi="宋体"/>
              </w:rPr>
            </w:pPr>
            <w:r>
              <w:rPr>
                <w:rFonts w:hint="eastAsia" w:ascii="宋体" w:hAnsi="宋体"/>
              </w:rPr>
              <w:t>拟在本工程任职</w:t>
            </w:r>
          </w:p>
        </w:tc>
        <w:tc>
          <w:tcPr>
            <w:tcW w:w="2126" w:type="dxa"/>
            <w:tcBorders>
              <w:top w:val="single" w:color="auto" w:sz="4" w:space="0"/>
              <w:left w:val="single" w:color="auto" w:sz="4" w:space="0"/>
              <w:bottom w:val="single" w:color="auto" w:sz="4" w:space="0"/>
              <w:right w:val="single" w:color="auto" w:sz="4" w:space="0"/>
            </w:tcBorders>
            <w:vAlign w:val="center"/>
          </w:tcPr>
          <w:p w14:paraId="37F96419">
            <w:pPr>
              <w:jc w:val="center"/>
              <w:rPr>
                <w:rFonts w:ascii="宋体" w:hAnsi="宋体"/>
              </w:rPr>
            </w:pPr>
            <w:r>
              <w:rPr>
                <w:rFonts w:hint="eastAsia" w:ascii="宋体" w:hAnsi="宋体"/>
              </w:rPr>
              <w:t>项目经理</w:t>
            </w:r>
          </w:p>
        </w:tc>
      </w:tr>
      <w:tr w14:paraId="33979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3EDC9703">
            <w:pPr>
              <w:jc w:val="center"/>
              <w:rPr>
                <w:rFonts w:ascii="宋体" w:hAnsi="宋体"/>
              </w:rPr>
            </w:pPr>
            <w:r>
              <w:rPr>
                <w:rFonts w:hint="eastAsia" w:ascii="宋体" w:hAnsi="宋体"/>
              </w:rPr>
              <w:t>毕业学校</w:t>
            </w:r>
          </w:p>
        </w:tc>
        <w:tc>
          <w:tcPr>
            <w:tcW w:w="7413" w:type="dxa"/>
            <w:gridSpan w:val="5"/>
            <w:tcBorders>
              <w:top w:val="single" w:color="auto" w:sz="4" w:space="0"/>
              <w:left w:val="single" w:color="auto" w:sz="4" w:space="0"/>
              <w:bottom w:val="single" w:color="auto" w:sz="4" w:space="0"/>
              <w:right w:val="single" w:color="auto" w:sz="4" w:space="0"/>
            </w:tcBorders>
            <w:vAlign w:val="center"/>
          </w:tcPr>
          <w:p w14:paraId="15A14168">
            <w:pPr>
              <w:ind w:firstLine="360"/>
              <w:rPr>
                <w:rFonts w:ascii="宋体" w:hAnsi="宋体"/>
              </w:rPr>
            </w:pPr>
            <w:r>
              <w:rPr>
                <w:rFonts w:hint="eastAsia" w:ascii="宋体" w:hAnsi="宋体"/>
              </w:rPr>
              <w:t>年毕业于                  学校            专业</w:t>
            </w:r>
          </w:p>
        </w:tc>
      </w:tr>
      <w:tr w14:paraId="2B13D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5" w:type="dxa"/>
            <w:gridSpan w:val="6"/>
            <w:tcBorders>
              <w:top w:val="single" w:color="auto" w:sz="4" w:space="0"/>
              <w:left w:val="single" w:color="auto" w:sz="4" w:space="0"/>
              <w:bottom w:val="single" w:color="auto" w:sz="4" w:space="0"/>
              <w:right w:val="single" w:color="auto" w:sz="4" w:space="0"/>
            </w:tcBorders>
            <w:vAlign w:val="center"/>
          </w:tcPr>
          <w:p w14:paraId="115E24D8">
            <w:pPr>
              <w:jc w:val="center"/>
              <w:rPr>
                <w:rFonts w:ascii="宋体" w:hAnsi="宋体"/>
              </w:rPr>
            </w:pPr>
            <w:r>
              <w:rPr>
                <w:rFonts w:hint="eastAsia" w:ascii="宋体" w:hAnsi="宋体"/>
              </w:rPr>
              <w:t>主要工作经历</w:t>
            </w:r>
          </w:p>
        </w:tc>
      </w:tr>
      <w:tr w14:paraId="127E1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2001E851">
            <w:pPr>
              <w:jc w:val="center"/>
              <w:rPr>
                <w:rFonts w:ascii="宋体" w:hAnsi="宋体"/>
              </w:rPr>
            </w:pPr>
            <w:r>
              <w:rPr>
                <w:rFonts w:hint="eastAsia" w:ascii="宋体" w:hAnsi="宋体"/>
              </w:rPr>
              <w:t>时  间</w:t>
            </w:r>
          </w:p>
        </w:tc>
        <w:tc>
          <w:tcPr>
            <w:tcW w:w="3444" w:type="dxa"/>
            <w:gridSpan w:val="3"/>
            <w:tcBorders>
              <w:top w:val="single" w:color="auto" w:sz="4" w:space="0"/>
              <w:left w:val="single" w:color="auto" w:sz="4" w:space="0"/>
              <w:bottom w:val="single" w:color="auto" w:sz="4" w:space="0"/>
              <w:right w:val="single" w:color="auto" w:sz="4" w:space="0"/>
            </w:tcBorders>
            <w:vAlign w:val="center"/>
          </w:tcPr>
          <w:p w14:paraId="0656DF16">
            <w:pPr>
              <w:jc w:val="center"/>
              <w:rPr>
                <w:rFonts w:ascii="宋体" w:hAnsi="宋体"/>
              </w:rPr>
            </w:pPr>
            <w:r>
              <w:rPr>
                <w:rFonts w:hint="eastAsia" w:ascii="宋体" w:hAnsi="宋体"/>
              </w:rPr>
              <w:t>参加过的类似项目名称</w:t>
            </w:r>
          </w:p>
        </w:tc>
        <w:tc>
          <w:tcPr>
            <w:tcW w:w="1843" w:type="dxa"/>
            <w:tcBorders>
              <w:top w:val="single" w:color="auto" w:sz="4" w:space="0"/>
              <w:left w:val="single" w:color="auto" w:sz="4" w:space="0"/>
              <w:bottom w:val="single" w:color="auto" w:sz="4" w:space="0"/>
              <w:right w:val="single" w:color="auto" w:sz="4" w:space="0"/>
            </w:tcBorders>
            <w:vAlign w:val="center"/>
          </w:tcPr>
          <w:p w14:paraId="11F296D8">
            <w:pPr>
              <w:jc w:val="center"/>
              <w:rPr>
                <w:rFonts w:ascii="宋体" w:hAnsi="宋体"/>
              </w:rPr>
            </w:pPr>
            <w:r>
              <w:rPr>
                <w:rFonts w:hint="eastAsia" w:ascii="宋体" w:hAnsi="宋体"/>
              </w:rPr>
              <w:t>工程概况说明</w:t>
            </w:r>
          </w:p>
        </w:tc>
        <w:tc>
          <w:tcPr>
            <w:tcW w:w="2126" w:type="dxa"/>
            <w:tcBorders>
              <w:top w:val="single" w:color="auto" w:sz="4" w:space="0"/>
              <w:left w:val="single" w:color="auto" w:sz="4" w:space="0"/>
              <w:bottom w:val="single" w:color="auto" w:sz="4" w:space="0"/>
              <w:right w:val="single" w:color="auto" w:sz="4" w:space="0"/>
            </w:tcBorders>
            <w:vAlign w:val="center"/>
          </w:tcPr>
          <w:p w14:paraId="304BB01F">
            <w:pPr>
              <w:jc w:val="center"/>
              <w:rPr>
                <w:rFonts w:ascii="宋体" w:hAnsi="宋体"/>
              </w:rPr>
            </w:pPr>
            <w:r>
              <w:rPr>
                <w:rFonts w:hint="eastAsia" w:ascii="宋体" w:hAnsi="宋体"/>
              </w:rPr>
              <w:t>发包人及联系电话</w:t>
            </w:r>
          </w:p>
        </w:tc>
      </w:tr>
      <w:tr w14:paraId="35702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684991C6">
            <w:pPr>
              <w:jc w:val="center"/>
              <w:rPr>
                <w:rFonts w:ascii="宋体" w:hAnsi="宋体"/>
              </w:rPr>
            </w:pPr>
          </w:p>
        </w:tc>
        <w:tc>
          <w:tcPr>
            <w:tcW w:w="3444" w:type="dxa"/>
            <w:gridSpan w:val="3"/>
            <w:tcBorders>
              <w:top w:val="single" w:color="auto" w:sz="4" w:space="0"/>
              <w:left w:val="single" w:color="auto" w:sz="4" w:space="0"/>
              <w:bottom w:val="single" w:color="auto" w:sz="4" w:space="0"/>
              <w:right w:val="single" w:color="auto" w:sz="4" w:space="0"/>
            </w:tcBorders>
            <w:vAlign w:val="center"/>
          </w:tcPr>
          <w:p w14:paraId="7EBA4098">
            <w:pPr>
              <w:jc w:val="center"/>
              <w:rPr>
                <w:rFonts w:ascii="宋体" w:hAnsi="宋体"/>
              </w:rPr>
            </w:pPr>
          </w:p>
        </w:tc>
        <w:tc>
          <w:tcPr>
            <w:tcW w:w="1843" w:type="dxa"/>
            <w:tcBorders>
              <w:top w:val="single" w:color="auto" w:sz="4" w:space="0"/>
              <w:left w:val="single" w:color="auto" w:sz="4" w:space="0"/>
              <w:bottom w:val="single" w:color="auto" w:sz="4" w:space="0"/>
              <w:right w:val="single" w:color="auto" w:sz="4" w:space="0"/>
            </w:tcBorders>
            <w:vAlign w:val="center"/>
          </w:tcPr>
          <w:p w14:paraId="343782DA">
            <w:pPr>
              <w:jc w:val="center"/>
              <w:rPr>
                <w:rFonts w:ascii="宋体" w:hAnsi="宋体"/>
              </w:rPr>
            </w:pPr>
          </w:p>
        </w:tc>
        <w:tc>
          <w:tcPr>
            <w:tcW w:w="2126" w:type="dxa"/>
            <w:tcBorders>
              <w:top w:val="single" w:color="auto" w:sz="4" w:space="0"/>
              <w:left w:val="single" w:color="auto" w:sz="4" w:space="0"/>
              <w:bottom w:val="single" w:color="auto" w:sz="4" w:space="0"/>
              <w:right w:val="single" w:color="auto" w:sz="4" w:space="0"/>
            </w:tcBorders>
            <w:vAlign w:val="center"/>
          </w:tcPr>
          <w:p w14:paraId="09FB3F79">
            <w:pPr>
              <w:jc w:val="center"/>
              <w:rPr>
                <w:rFonts w:ascii="宋体" w:hAnsi="宋体"/>
              </w:rPr>
            </w:pPr>
          </w:p>
        </w:tc>
      </w:tr>
      <w:tr w14:paraId="1F091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392F22E8">
            <w:pPr>
              <w:jc w:val="center"/>
              <w:rPr>
                <w:rFonts w:ascii="宋体" w:hAnsi="宋体"/>
              </w:rPr>
            </w:pPr>
          </w:p>
        </w:tc>
        <w:tc>
          <w:tcPr>
            <w:tcW w:w="3444" w:type="dxa"/>
            <w:gridSpan w:val="3"/>
            <w:tcBorders>
              <w:top w:val="single" w:color="auto" w:sz="4" w:space="0"/>
              <w:left w:val="single" w:color="auto" w:sz="4" w:space="0"/>
              <w:bottom w:val="single" w:color="auto" w:sz="4" w:space="0"/>
              <w:right w:val="single" w:color="auto" w:sz="4" w:space="0"/>
            </w:tcBorders>
            <w:vAlign w:val="center"/>
          </w:tcPr>
          <w:p w14:paraId="530074A2">
            <w:pPr>
              <w:jc w:val="center"/>
              <w:rPr>
                <w:rFonts w:ascii="宋体" w:hAnsi="宋体"/>
              </w:rPr>
            </w:pPr>
          </w:p>
        </w:tc>
        <w:tc>
          <w:tcPr>
            <w:tcW w:w="1843" w:type="dxa"/>
            <w:tcBorders>
              <w:top w:val="single" w:color="auto" w:sz="4" w:space="0"/>
              <w:left w:val="single" w:color="auto" w:sz="4" w:space="0"/>
              <w:bottom w:val="single" w:color="auto" w:sz="4" w:space="0"/>
              <w:right w:val="single" w:color="auto" w:sz="4" w:space="0"/>
            </w:tcBorders>
            <w:vAlign w:val="center"/>
          </w:tcPr>
          <w:p w14:paraId="1FBFAEFB">
            <w:pPr>
              <w:jc w:val="center"/>
              <w:rPr>
                <w:rFonts w:ascii="宋体" w:hAnsi="宋体"/>
              </w:rPr>
            </w:pPr>
          </w:p>
        </w:tc>
        <w:tc>
          <w:tcPr>
            <w:tcW w:w="2126" w:type="dxa"/>
            <w:tcBorders>
              <w:top w:val="single" w:color="auto" w:sz="4" w:space="0"/>
              <w:left w:val="single" w:color="auto" w:sz="4" w:space="0"/>
              <w:bottom w:val="single" w:color="auto" w:sz="4" w:space="0"/>
              <w:right w:val="single" w:color="auto" w:sz="4" w:space="0"/>
            </w:tcBorders>
            <w:vAlign w:val="center"/>
          </w:tcPr>
          <w:p w14:paraId="1F9CCAC9">
            <w:pPr>
              <w:jc w:val="center"/>
              <w:rPr>
                <w:rFonts w:ascii="宋体" w:hAnsi="宋体"/>
              </w:rPr>
            </w:pPr>
          </w:p>
        </w:tc>
      </w:tr>
      <w:tr w14:paraId="350A0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10C2949C">
            <w:pPr>
              <w:jc w:val="center"/>
              <w:rPr>
                <w:rFonts w:ascii="宋体" w:hAnsi="宋体"/>
              </w:rPr>
            </w:pPr>
          </w:p>
        </w:tc>
        <w:tc>
          <w:tcPr>
            <w:tcW w:w="3444" w:type="dxa"/>
            <w:gridSpan w:val="3"/>
            <w:tcBorders>
              <w:top w:val="single" w:color="auto" w:sz="4" w:space="0"/>
              <w:left w:val="single" w:color="auto" w:sz="4" w:space="0"/>
              <w:bottom w:val="single" w:color="auto" w:sz="4" w:space="0"/>
              <w:right w:val="single" w:color="auto" w:sz="4" w:space="0"/>
            </w:tcBorders>
            <w:vAlign w:val="center"/>
          </w:tcPr>
          <w:p w14:paraId="7ECE0D46">
            <w:pPr>
              <w:jc w:val="center"/>
              <w:rPr>
                <w:rFonts w:ascii="宋体" w:hAnsi="宋体"/>
              </w:rPr>
            </w:pPr>
          </w:p>
        </w:tc>
        <w:tc>
          <w:tcPr>
            <w:tcW w:w="1843" w:type="dxa"/>
            <w:tcBorders>
              <w:top w:val="single" w:color="auto" w:sz="4" w:space="0"/>
              <w:left w:val="single" w:color="auto" w:sz="4" w:space="0"/>
              <w:bottom w:val="single" w:color="auto" w:sz="4" w:space="0"/>
              <w:right w:val="single" w:color="auto" w:sz="4" w:space="0"/>
            </w:tcBorders>
            <w:vAlign w:val="center"/>
          </w:tcPr>
          <w:p w14:paraId="32C09DCE">
            <w:pPr>
              <w:jc w:val="center"/>
              <w:rPr>
                <w:rFonts w:ascii="宋体" w:hAnsi="宋体"/>
              </w:rPr>
            </w:pPr>
          </w:p>
        </w:tc>
        <w:tc>
          <w:tcPr>
            <w:tcW w:w="2126" w:type="dxa"/>
            <w:tcBorders>
              <w:top w:val="single" w:color="auto" w:sz="4" w:space="0"/>
              <w:left w:val="single" w:color="auto" w:sz="4" w:space="0"/>
              <w:bottom w:val="single" w:color="auto" w:sz="4" w:space="0"/>
              <w:right w:val="single" w:color="auto" w:sz="4" w:space="0"/>
            </w:tcBorders>
            <w:vAlign w:val="center"/>
          </w:tcPr>
          <w:p w14:paraId="2CC8B10A">
            <w:pPr>
              <w:jc w:val="center"/>
              <w:rPr>
                <w:rFonts w:ascii="宋体" w:hAnsi="宋体"/>
              </w:rPr>
            </w:pPr>
          </w:p>
        </w:tc>
      </w:tr>
      <w:tr w14:paraId="59611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66CEDF82">
            <w:pPr>
              <w:jc w:val="center"/>
              <w:rPr>
                <w:rFonts w:ascii="宋体" w:hAnsi="宋体"/>
              </w:rPr>
            </w:pPr>
          </w:p>
        </w:tc>
        <w:tc>
          <w:tcPr>
            <w:tcW w:w="3444" w:type="dxa"/>
            <w:gridSpan w:val="3"/>
            <w:tcBorders>
              <w:top w:val="single" w:color="auto" w:sz="4" w:space="0"/>
              <w:left w:val="single" w:color="auto" w:sz="4" w:space="0"/>
              <w:bottom w:val="single" w:color="auto" w:sz="4" w:space="0"/>
              <w:right w:val="single" w:color="auto" w:sz="4" w:space="0"/>
            </w:tcBorders>
            <w:vAlign w:val="center"/>
          </w:tcPr>
          <w:p w14:paraId="4494ACA3">
            <w:pPr>
              <w:jc w:val="center"/>
              <w:rPr>
                <w:rFonts w:ascii="宋体" w:hAnsi="宋体"/>
              </w:rPr>
            </w:pPr>
          </w:p>
        </w:tc>
        <w:tc>
          <w:tcPr>
            <w:tcW w:w="1843" w:type="dxa"/>
            <w:tcBorders>
              <w:top w:val="single" w:color="auto" w:sz="4" w:space="0"/>
              <w:left w:val="single" w:color="auto" w:sz="4" w:space="0"/>
              <w:bottom w:val="single" w:color="auto" w:sz="4" w:space="0"/>
              <w:right w:val="single" w:color="auto" w:sz="4" w:space="0"/>
            </w:tcBorders>
            <w:vAlign w:val="center"/>
          </w:tcPr>
          <w:p w14:paraId="23DCA049">
            <w:pPr>
              <w:jc w:val="center"/>
              <w:rPr>
                <w:rFonts w:ascii="宋体" w:hAnsi="宋体"/>
              </w:rPr>
            </w:pPr>
          </w:p>
        </w:tc>
        <w:tc>
          <w:tcPr>
            <w:tcW w:w="2126" w:type="dxa"/>
            <w:tcBorders>
              <w:top w:val="single" w:color="auto" w:sz="4" w:space="0"/>
              <w:left w:val="single" w:color="auto" w:sz="4" w:space="0"/>
              <w:bottom w:val="single" w:color="auto" w:sz="4" w:space="0"/>
              <w:right w:val="single" w:color="auto" w:sz="4" w:space="0"/>
            </w:tcBorders>
            <w:vAlign w:val="center"/>
          </w:tcPr>
          <w:p w14:paraId="018AD3B6">
            <w:pPr>
              <w:jc w:val="center"/>
              <w:rPr>
                <w:rFonts w:ascii="宋体" w:hAnsi="宋体"/>
              </w:rPr>
            </w:pPr>
          </w:p>
        </w:tc>
      </w:tr>
      <w:tr w14:paraId="6494F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5B2E9862">
            <w:pPr>
              <w:jc w:val="center"/>
              <w:rPr>
                <w:rFonts w:ascii="宋体" w:hAnsi="宋体"/>
              </w:rPr>
            </w:pPr>
          </w:p>
        </w:tc>
        <w:tc>
          <w:tcPr>
            <w:tcW w:w="3444" w:type="dxa"/>
            <w:gridSpan w:val="3"/>
            <w:tcBorders>
              <w:top w:val="single" w:color="auto" w:sz="4" w:space="0"/>
              <w:left w:val="single" w:color="auto" w:sz="4" w:space="0"/>
              <w:bottom w:val="single" w:color="auto" w:sz="4" w:space="0"/>
              <w:right w:val="single" w:color="auto" w:sz="4" w:space="0"/>
            </w:tcBorders>
            <w:vAlign w:val="center"/>
          </w:tcPr>
          <w:p w14:paraId="784EEFB2">
            <w:pPr>
              <w:jc w:val="center"/>
              <w:rPr>
                <w:rFonts w:ascii="宋体" w:hAnsi="宋体"/>
              </w:rPr>
            </w:pPr>
          </w:p>
        </w:tc>
        <w:tc>
          <w:tcPr>
            <w:tcW w:w="1843" w:type="dxa"/>
            <w:tcBorders>
              <w:top w:val="single" w:color="auto" w:sz="4" w:space="0"/>
              <w:left w:val="single" w:color="auto" w:sz="4" w:space="0"/>
              <w:bottom w:val="single" w:color="auto" w:sz="4" w:space="0"/>
              <w:right w:val="single" w:color="auto" w:sz="4" w:space="0"/>
            </w:tcBorders>
            <w:vAlign w:val="center"/>
          </w:tcPr>
          <w:p w14:paraId="7A00E212">
            <w:pPr>
              <w:jc w:val="center"/>
              <w:rPr>
                <w:rFonts w:ascii="宋体" w:hAnsi="宋体"/>
              </w:rPr>
            </w:pPr>
          </w:p>
        </w:tc>
        <w:tc>
          <w:tcPr>
            <w:tcW w:w="2126" w:type="dxa"/>
            <w:tcBorders>
              <w:top w:val="single" w:color="auto" w:sz="4" w:space="0"/>
              <w:left w:val="single" w:color="auto" w:sz="4" w:space="0"/>
              <w:bottom w:val="single" w:color="auto" w:sz="4" w:space="0"/>
              <w:right w:val="single" w:color="auto" w:sz="4" w:space="0"/>
            </w:tcBorders>
            <w:vAlign w:val="center"/>
          </w:tcPr>
          <w:p w14:paraId="068D28DD">
            <w:pPr>
              <w:jc w:val="center"/>
              <w:rPr>
                <w:rFonts w:ascii="宋体" w:hAnsi="宋体"/>
              </w:rPr>
            </w:pPr>
          </w:p>
        </w:tc>
      </w:tr>
      <w:tr w14:paraId="5D642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4E261580">
            <w:pPr>
              <w:jc w:val="center"/>
              <w:rPr>
                <w:rFonts w:ascii="宋体" w:hAnsi="宋体"/>
              </w:rPr>
            </w:pPr>
          </w:p>
        </w:tc>
        <w:tc>
          <w:tcPr>
            <w:tcW w:w="3444" w:type="dxa"/>
            <w:gridSpan w:val="3"/>
            <w:tcBorders>
              <w:top w:val="single" w:color="auto" w:sz="4" w:space="0"/>
              <w:left w:val="single" w:color="auto" w:sz="4" w:space="0"/>
              <w:bottom w:val="single" w:color="auto" w:sz="4" w:space="0"/>
              <w:right w:val="single" w:color="auto" w:sz="4" w:space="0"/>
            </w:tcBorders>
            <w:vAlign w:val="center"/>
          </w:tcPr>
          <w:p w14:paraId="204E4903">
            <w:pPr>
              <w:jc w:val="center"/>
              <w:rPr>
                <w:rFonts w:ascii="宋体" w:hAnsi="宋体"/>
              </w:rPr>
            </w:pPr>
          </w:p>
        </w:tc>
        <w:tc>
          <w:tcPr>
            <w:tcW w:w="1843" w:type="dxa"/>
            <w:tcBorders>
              <w:top w:val="single" w:color="auto" w:sz="4" w:space="0"/>
              <w:left w:val="single" w:color="auto" w:sz="4" w:space="0"/>
              <w:bottom w:val="single" w:color="auto" w:sz="4" w:space="0"/>
              <w:right w:val="single" w:color="auto" w:sz="4" w:space="0"/>
            </w:tcBorders>
            <w:vAlign w:val="center"/>
          </w:tcPr>
          <w:p w14:paraId="2061E8DF">
            <w:pPr>
              <w:jc w:val="center"/>
              <w:rPr>
                <w:rFonts w:ascii="宋体" w:hAnsi="宋体"/>
              </w:rPr>
            </w:pPr>
          </w:p>
        </w:tc>
        <w:tc>
          <w:tcPr>
            <w:tcW w:w="2126" w:type="dxa"/>
            <w:tcBorders>
              <w:top w:val="single" w:color="auto" w:sz="4" w:space="0"/>
              <w:left w:val="single" w:color="auto" w:sz="4" w:space="0"/>
              <w:bottom w:val="single" w:color="auto" w:sz="4" w:space="0"/>
              <w:right w:val="single" w:color="auto" w:sz="4" w:space="0"/>
            </w:tcBorders>
            <w:vAlign w:val="center"/>
          </w:tcPr>
          <w:p w14:paraId="436AAEA4">
            <w:pPr>
              <w:jc w:val="center"/>
              <w:rPr>
                <w:rFonts w:ascii="宋体" w:hAnsi="宋体"/>
              </w:rPr>
            </w:pPr>
          </w:p>
        </w:tc>
      </w:tr>
      <w:tr w14:paraId="13FD0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28E36AF6">
            <w:pPr>
              <w:jc w:val="center"/>
              <w:rPr>
                <w:rFonts w:ascii="宋体" w:hAnsi="宋体"/>
              </w:rPr>
            </w:pPr>
          </w:p>
        </w:tc>
        <w:tc>
          <w:tcPr>
            <w:tcW w:w="3444" w:type="dxa"/>
            <w:gridSpan w:val="3"/>
            <w:tcBorders>
              <w:top w:val="single" w:color="auto" w:sz="4" w:space="0"/>
              <w:left w:val="single" w:color="auto" w:sz="4" w:space="0"/>
              <w:bottom w:val="single" w:color="auto" w:sz="4" w:space="0"/>
              <w:right w:val="single" w:color="auto" w:sz="4" w:space="0"/>
            </w:tcBorders>
            <w:vAlign w:val="center"/>
          </w:tcPr>
          <w:p w14:paraId="79AB511A">
            <w:pPr>
              <w:jc w:val="center"/>
              <w:rPr>
                <w:rFonts w:ascii="宋体" w:hAnsi="宋体"/>
              </w:rPr>
            </w:pPr>
          </w:p>
        </w:tc>
        <w:tc>
          <w:tcPr>
            <w:tcW w:w="1843" w:type="dxa"/>
            <w:tcBorders>
              <w:top w:val="single" w:color="auto" w:sz="4" w:space="0"/>
              <w:left w:val="single" w:color="auto" w:sz="4" w:space="0"/>
              <w:bottom w:val="single" w:color="auto" w:sz="4" w:space="0"/>
              <w:right w:val="single" w:color="auto" w:sz="4" w:space="0"/>
            </w:tcBorders>
            <w:vAlign w:val="center"/>
          </w:tcPr>
          <w:p w14:paraId="0D5CCC00">
            <w:pPr>
              <w:jc w:val="center"/>
              <w:rPr>
                <w:rFonts w:ascii="宋体" w:hAnsi="宋体"/>
              </w:rPr>
            </w:pPr>
          </w:p>
        </w:tc>
        <w:tc>
          <w:tcPr>
            <w:tcW w:w="2126" w:type="dxa"/>
            <w:tcBorders>
              <w:top w:val="single" w:color="auto" w:sz="4" w:space="0"/>
              <w:left w:val="single" w:color="auto" w:sz="4" w:space="0"/>
              <w:bottom w:val="single" w:color="auto" w:sz="4" w:space="0"/>
              <w:right w:val="single" w:color="auto" w:sz="4" w:space="0"/>
            </w:tcBorders>
            <w:vAlign w:val="center"/>
          </w:tcPr>
          <w:p w14:paraId="42E27D27">
            <w:pPr>
              <w:jc w:val="center"/>
              <w:rPr>
                <w:rFonts w:ascii="宋体" w:hAnsi="宋体"/>
              </w:rPr>
            </w:pPr>
          </w:p>
        </w:tc>
      </w:tr>
    </w:tbl>
    <w:p w14:paraId="5921E97C">
      <w:pPr>
        <w:spacing w:line="420" w:lineRule="exact"/>
        <w:rPr>
          <w:rFonts w:ascii="宋体" w:hAnsi="宋体"/>
        </w:rPr>
      </w:pPr>
      <w:r>
        <w:rPr>
          <w:rFonts w:hint="eastAsia" w:ascii="宋体" w:hAnsi="宋体"/>
        </w:rPr>
        <w:br w:type="page"/>
      </w:r>
      <w:r>
        <w:rPr>
          <w:rFonts w:hint="eastAsia" w:ascii="宋体" w:hAnsi="宋体"/>
        </w:rPr>
        <w:t>附2：主要项目管理人员简历表</w:t>
      </w:r>
    </w:p>
    <w:p w14:paraId="176B2C5B">
      <w:pPr>
        <w:spacing w:line="420" w:lineRule="exact"/>
        <w:ind w:firstLine="420" w:firstLineChars="200"/>
        <w:rPr>
          <w:rFonts w:ascii="宋体" w:hAnsi="宋体"/>
        </w:rPr>
      </w:pPr>
      <w:r>
        <w:rPr>
          <w:rFonts w:hint="eastAsia" w:ascii="宋体" w:hAnsi="宋体"/>
        </w:rPr>
        <w:t>主要项目管理人员指项目技术负责人、其他主要管理人员（施工员、安全员、材料员、质检(量)员、测量员、造价人员）等岗位人员。技术负责人应附身份证、职称证（如有要求）、学历证（如有要求）。其他管理人员应附有效的职称证或执业证或上岗证书复印件。</w:t>
      </w:r>
    </w:p>
    <w:tbl>
      <w:tblPr>
        <w:tblStyle w:val="34"/>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800"/>
        <w:gridCol w:w="799"/>
        <w:gridCol w:w="1603"/>
        <w:gridCol w:w="1599"/>
        <w:gridCol w:w="800"/>
        <w:gridCol w:w="1098"/>
        <w:gridCol w:w="939"/>
      </w:tblGrid>
      <w:tr w14:paraId="2B387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98" w:type="dxa"/>
            <w:tcBorders>
              <w:top w:val="single" w:color="auto" w:sz="4" w:space="0"/>
              <w:left w:val="single" w:color="auto" w:sz="4" w:space="0"/>
              <w:bottom w:val="single" w:color="auto" w:sz="4" w:space="0"/>
              <w:right w:val="single" w:color="auto" w:sz="4" w:space="0"/>
            </w:tcBorders>
            <w:vAlign w:val="center"/>
          </w:tcPr>
          <w:p w14:paraId="7BE2F811">
            <w:pPr>
              <w:autoSpaceDE w:val="0"/>
              <w:autoSpaceDN w:val="0"/>
              <w:adjustRightInd w:val="0"/>
              <w:jc w:val="center"/>
              <w:rPr>
                <w:rFonts w:ascii="宋体" w:hAnsi="宋体"/>
                <w:kern w:val="0"/>
              </w:rPr>
            </w:pPr>
            <w:r>
              <w:rPr>
                <w:rFonts w:hint="eastAsia" w:ascii="宋体" w:hAnsi="宋体"/>
                <w:kern w:val="0"/>
              </w:rPr>
              <w:t>姓 名</w:t>
            </w:r>
          </w:p>
        </w:tc>
        <w:tc>
          <w:tcPr>
            <w:tcW w:w="1599" w:type="dxa"/>
            <w:gridSpan w:val="2"/>
            <w:tcBorders>
              <w:top w:val="single" w:color="auto" w:sz="4" w:space="0"/>
              <w:left w:val="single" w:color="auto" w:sz="4" w:space="0"/>
              <w:bottom w:val="single" w:color="auto" w:sz="4" w:space="0"/>
              <w:right w:val="single" w:color="auto" w:sz="4" w:space="0"/>
            </w:tcBorders>
            <w:vAlign w:val="center"/>
          </w:tcPr>
          <w:p w14:paraId="7D1FDC18">
            <w:pPr>
              <w:autoSpaceDE w:val="0"/>
              <w:autoSpaceDN w:val="0"/>
              <w:adjustRightInd w:val="0"/>
              <w:jc w:val="center"/>
              <w:rPr>
                <w:rFonts w:ascii="宋体" w:hAnsi="宋体"/>
                <w:kern w:val="0"/>
              </w:rPr>
            </w:pPr>
          </w:p>
        </w:tc>
        <w:tc>
          <w:tcPr>
            <w:tcW w:w="1603" w:type="dxa"/>
            <w:tcBorders>
              <w:top w:val="single" w:color="auto" w:sz="4" w:space="0"/>
              <w:left w:val="single" w:color="auto" w:sz="4" w:space="0"/>
              <w:bottom w:val="single" w:color="auto" w:sz="4" w:space="0"/>
              <w:right w:val="single" w:color="auto" w:sz="4" w:space="0"/>
            </w:tcBorders>
            <w:vAlign w:val="center"/>
          </w:tcPr>
          <w:p w14:paraId="76896C74">
            <w:pPr>
              <w:autoSpaceDE w:val="0"/>
              <w:autoSpaceDN w:val="0"/>
              <w:adjustRightInd w:val="0"/>
              <w:jc w:val="center"/>
              <w:rPr>
                <w:rFonts w:ascii="宋体" w:hAnsi="宋体"/>
                <w:kern w:val="0"/>
              </w:rPr>
            </w:pPr>
            <w:r>
              <w:rPr>
                <w:rFonts w:hint="eastAsia" w:ascii="宋体" w:hAnsi="宋体"/>
                <w:kern w:val="0"/>
              </w:rPr>
              <w:t>年 龄</w:t>
            </w:r>
          </w:p>
        </w:tc>
        <w:tc>
          <w:tcPr>
            <w:tcW w:w="1599" w:type="dxa"/>
            <w:tcBorders>
              <w:top w:val="single" w:color="auto" w:sz="4" w:space="0"/>
              <w:left w:val="single" w:color="auto" w:sz="4" w:space="0"/>
              <w:bottom w:val="single" w:color="auto" w:sz="4" w:space="0"/>
              <w:right w:val="single" w:color="auto" w:sz="4" w:space="0"/>
            </w:tcBorders>
            <w:vAlign w:val="center"/>
          </w:tcPr>
          <w:p w14:paraId="41F1E915">
            <w:pPr>
              <w:autoSpaceDE w:val="0"/>
              <w:autoSpaceDN w:val="0"/>
              <w:adjustRightInd w:val="0"/>
              <w:jc w:val="center"/>
              <w:rPr>
                <w:rFonts w:ascii="宋体" w:hAnsi="宋体"/>
                <w:kern w:val="0"/>
              </w:rPr>
            </w:pPr>
          </w:p>
        </w:tc>
        <w:tc>
          <w:tcPr>
            <w:tcW w:w="1898" w:type="dxa"/>
            <w:gridSpan w:val="2"/>
            <w:tcBorders>
              <w:top w:val="single" w:color="auto" w:sz="4" w:space="0"/>
              <w:left w:val="single" w:color="auto" w:sz="4" w:space="0"/>
              <w:bottom w:val="single" w:color="auto" w:sz="4" w:space="0"/>
              <w:right w:val="single" w:color="auto" w:sz="4" w:space="0"/>
            </w:tcBorders>
            <w:vAlign w:val="center"/>
          </w:tcPr>
          <w:p w14:paraId="547E874B">
            <w:pPr>
              <w:autoSpaceDE w:val="0"/>
              <w:autoSpaceDN w:val="0"/>
              <w:adjustRightInd w:val="0"/>
              <w:jc w:val="center"/>
              <w:rPr>
                <w:rFonts w:ascii="宋体" w:hAnsi="宋体"/>
                <w:kern w:val="0"/>
              </w:rPr>
            </w:pPr>
            <w:r>
              <w:rPr>
                <w:rFonts w:hint="eastAsia" w:ascii="宋体" w:hAnsi="宋体"/>
                <w:kern w:val="0"/>
              </w:rPr>
              <w:t>学 历</w:t>
            </w:r>
          </w:p>
        </w:tc>
        <w:tc>
          <w:tcPr>
            <w:tcW w:w="939" w:type="dxa"/>
            <w:tcBorders>
              <w:top w:val="single" w:color="auto" w:sz="4" w:space="0"/>
              <w:left w:val="single" w:color="auto" w:sz="4" w:space="0"/>
              <w:bottom w:val="single" w:color="auto" w:sz="4" w:space="0"/>
              <w:right w:val="single" w:color="auto" w:sz="4" w:space="0"/>
            </w:tcBorders>
            <w:vAlign w:val="center"/>
          </w:tcPr>
          <w:p w14:paraId="6CA0082D">
            <w:pPr>
              <w:autoSpaceDE w:val="0"/>
              <w:autoSpaceDN w:val="0"/>
              <w:adjustRightInd w:val="0"/>
              <w:jc w:val="center"/>
              <w:rPr>
                <w:rFonts w:ascii="宋体" w:hAnsi="宋体"/>
                <w:kern w:val="0"/>
              </w:rPr>
            </w:pPr>
          </w:p>
        </w:tc>
      </w:tr>
      <w:tr w14:paraId="30A1D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598" w:type="dxa"/>
            <w:tcBorders>
              <w:top w:val="single" w:color="auto" w:sz="4" w:space="0"/>
              <w:left w:val="single" w:color="auto" w:sz="4" w:space="0"/>
              <w:bottom w:val="single" w:color="auto" w:sz="4" w:space="0"/>
              <w:right w:val="single" w:color="auto" w:sz="4" w:space="0"/>
            </w:tcBorders>
            <w:vAlign w:val="center"/>
          </w:tcPr>
          <w:p w14:paraId="68CF823E">
            <w:pPr>
              <w:autoSpaceDE w:val="0"/>
              <w:autoSpaceDN w:val="0"/>
              <w:adjustRightInd w:val="0"/>
              <w:jc w:val="center"/>
              <w:rPr>
                <w:rFonts w:ascii="宋体" w:hAnsi="宋体"/>
                <w:kern w:val="0"/>
              </w:rPr>
            </w:pPr>
            <w:r>
              <w:rPr>
                <w:rFonts w:hint="eastAsia" w:ascii="宋体" w:hAnsi="宋体"/>
                <w:kern w:val="0"/>
              </w:rPr>
              <w:t>职 称</w:t>
            </w:r>
          </w:p>
        </w:tc>
        <w:tc>
          <w:tcPr>
            <w:tcW w:w="1599" w:type="dxa"/>
            <w:gridSpan w:val="2"/>
            <w:tcBorders>
              <w:top w:val="single" w:color="auto" w:sz="4" w:space="0"/>
              <w:left w:val="single" w:color="auto" w:sz="4" w:space="0"/>
              <w:bottom w:val="single" w:color="auto" w:sz="4" w:space="0"/>
              <w:right w:val="single" w:color="auto" w:sz="4" w:space="0"/>
            </w:tcBorders>
            <w:vAlign w:val="center"/>
          </w:tcPr>
          <w:p w14:paraId="02DA99C4">
            <w:pPr>
              <w:autoSpaceDE w:val="0"/>
              <w:autoSpaceDN w:val="0"/>
              <w:adjustRightInd w:val="0"/>
              <w:jc w:val="center"/>
              <w:rPr>
                <w:rFonts w:ascii="宋体" w:hAnsi="宋体"/>
                <w:kern w:val="0"/>
              </w:rPr>
            </w:pPr>
          </w:p>
        </w:tc>
        <w:tc>
          <w:tcPr>
            <w:tcW w:w="1603" w:type="dxa"/>
            <w:tcBorders>
              <w:top w:val="single" w:color="auto" w:sz="4" w:space="0"/>
              <w:left w:val="single" w:color="auto" w:sz="4" w:space="0"/>
              <w:bottom w:val="single" w:color="auto" w:sz="4" w:space="0"/>
              <w:right w:val="single" w:color="auto" w:sz="4" w:space="0"/>
            </w:tcBorders>
            <w:vAlign w:val="center"/>
          </w:tcPr>
          <w:p w14:paraId="204F30A1">
            <w:pPr>
              <w:autoSpaceDE w:val="0"/>
              <w:autoSpaceDN w:val="0"/>
              <w:adjustRightInd w:val="0"/>
              <w:jc w:val="center"/>
              <w:rPr>
                <w:rFonts w:ascii="宋体" w:hAnsi="宋体"/>
                <w:kern w:val="0"/>
              </w:rPr>
            </w:pPr>
            <w:r>
              <w:rPr>
                <w:rFonts w:hint="eastAsia" w:ascii="宋体" w:hAnsi="宋体"/>
                <w:kern w:val="0"/>
              </w:rPr>
              <w:t>职 务</w:t>
            </w:r>
          </w:p>
        </w:tc>
        <w:tc>
          <w:tcPr>
            <w:tcW w:w="1599" w:type="dxa"/>
            <w:tcBorders>
              <w:top w:val="single" w:color="auto" w:sz="4" w:space="0"/>
              <w:left w:val="single" w:color="auto" w:sz="4" w:space="0"/>
              <w:bottom w:val="single" w:color="auto" w:sz="4" w:space="0"/>
              <w:right w:val="single" w:color="auto" w:sz="4" w:space="0"/>
            </w:tcBorders>
            <w:vAlign w:val="center"/>
          </w:tcPr>
          <w:p w14:paraId="20FD3BAB">
            <w:pPr>
              <w:autoSpaceDE w:val="0"/>
              <w:autoSpaceDN w:val="0"/>
              <w:adjustRightInd w:val="0"/>
              <w:jc w:val="center"/>
              <w:rPr>
                <w:rFonts w:ascii="宋体" w:hAnsi="宋体"/>
                <w:kern w:val="0"/>
              </w:rPr>
            </w:pPr>
          </w:p>
        </w:tc>
        <w:tc>
          <w:tcPr>
            <w:tcW w:w="1898" w:type="dxa"/>
            <w:gridSpan w:val="2"/>
            <w:tcBorders>
              <w:top w:val="single" w:color="auto" w:sz="4" w:space="0"/>
              <w:left w:val="single" w:color="auto" w:sz="4" w:space="0"/>
              <w:bottom w:val="single" w:color="auto" w:sz="4" w:space="0"/>
              <w:right w:val="single" w:color="auto" w:sz="4" w:space="0"/>
            </w:tcBorders>
            <w:vAlign w:val="center"/>
          </w:tcPr>
          <w:p w14:paraId="074A0CD0">
            <w:pPr>
              <w:autoSpaceDE w:val="0"/>
              <w:autoSpaceDN w:val="0"/>
              <w:adjustRightInd w:val="0"/>
              <w:jc w:val="center"/>
              <w:rPr>
                <w:rFonts w:ascii="宋体" w:hAnsi="宋体"/>
                <w:kern w:val="0"/>
              </w:rPr>
            </w:pPr>
            <w:r>
              <w:rPr>
                <w:rFonts w:hint="eastAsia" w:ascii="宋体" w:hAnsi="宋体"/>
                <w:kern w:val="0"/>
              </w:rPr>
              <w:t>拟在本合同任职</w:t>
            </w:r>
          </w:p>
        </w:tc>
        <w:tc>
          <w:tcPr>
            <w:tcW w:w="939" w:type="dxa"/>
            <w:tcBorders>
              <w:top w:val="single" w:color="auto" w:sz="4" w:space="0"/>
              <w:left w:val="single" w:color="auto" w:sz="4" w:space="0"/>
              <w:bottom w:val="single" w:color="auto" w:sz="4" w:space="0"/>
              <w:right w:val="single" w:color="auto" w:sz="4" w:space="0"/>
            </w:tcBorders>
            <w:vAlign w:val="center"/>
          </w:tcPr>
          <w:p w14:paraId="3D8C59F6">
            <w:pPr>
              <w:autoSpaceDE w:val="0"/>
              <w:autoSpaceDN w:val="0"/>
              <w:adjustRightInd w:val="0"/>
              <w:jc w:val="center"/>
              <w:rPr>
                <w:rFonts w:ascii="宋体" w:hAnsi="宋体"/>
                <w:kern w:val="0"/>
              </w:rPr>
            </w:pPr>
          </w:p>
        </w:tc>
      </w:tr>
      <w:tr w14:paraId="6B67F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98" w:type="dxa"/>
            <w:tcBorders>
              <w:top w:val="single" w:color="auto" w:sz="4" w:space="0"/>
              <w:left w:val="single" w:color="auto" w:sz="4" w:space="0"/>
              <w:bottom w:val="single" w:color="auto" w:sz="4" w:space="0"/>
              <w:right w:val="single" w:color="auto" w:sz="4" w:space="0"/>
            </w:tcBorders>
            <w:vAlign w:val="center"/>
          </w:tcPr>
          <w:p w14:paraId="24AFEFB4">
            <w:pPr>
              <w:autoSpaceDE w:val="0"/>
              <w:autoSpaceDN w:val="0"/>
              <w:adjustRightInd w:val="0"/>
              <w:jc w:val="center"/>
              <w:rPr>
                <w:rFonts w:ascii="宋体" w:hAnsi="宋体"/>
                <w:kern w:val="0"/>
              </w:rPr>
            </w:pPr>
            <w:r>
              <w:rPr>
                <w:rFonts w:hint="eastAsia" w:ascii="宋体" w:hAnsi="宋体"/>
                <w:kern w:val="0"/>
              </w:rPr>
              <w:t>毕业学校</w:t>
            </w:r>
          </w:p>
        </w:tc>
        <w:tc>
          <w:tcPr>
            <w:tcW w:w="7638" w:type="dxa"/>
            <w:gridSpan w:val="7"/>
            <w:tcBorders>
              <w:top w:val="single" w:color="auto" w:sz="4" w:space="0"/>
              <w:left w:val="single" w:color="auto" w:sz="4" w:space="0"/>
              <w:bottom w:val="single" w:color="auto" w:sz="4" w:space="0"/>
              <w:right w:val="single" w:color="auto" w:sz="4" w:space="0"/>
            </w:tcBorders>
            <w:vAlign w:val="center"/>
          </w:tcPr>
          <w:p w14:paraId="49A60781">
            <w:pPr>
              <w:autoSpaceDE w:val="0"/>
              <w:autoSpaceDN w:val="0"/>
              <w:adjustRightInd w:val="0"/>
              <w:jc w:val="center"/>
              <w:rPr>
                <w:rFonts w:ascii="宋体" w:hAnsi="宋体"/>
                <w:kern w:val="0"/>
              </w:rPr>
            </w:pPr>
            <w:r>
              <w:rPr>
                <w:rFonts w:hint="eastAsia" w:ascii="宋体" w:hAnsi="宋体"/>
                <w:kern w:val="0"/>
              </w:rPr>
              <w:t xml:space="preserve">年毕业于                       学校专业         </w:t>
            </w:r>
          </w:p>
        </w:tc>
      </w:tr>
      <w:tr w14:paraId="685C0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236" w:type="dxa"/>
            <w:gridSpan w:val="8"/>
            <w:tcBorders>
              <w:top w:val="single" w:color="auto" w:sz="4" w:space="0"/>
              <w:left w:val="single" w:color="auto" w:sz="4" w:space="0"/>
              <w:bottom w:val="single" w:color="auto" w:sz="4" w:space="0"/>
              <w:right w:val="single" w:color="auto" w:sz="4" w:space="0"/>
            </w:tcBorders>
            <w:vAlign w:val="center"/>
          </w:tcPr>
          <w:p w14:paraId="6FCD194C">
            <w:pPr>
              <w:autoSpaceDE w:val="0"/>
              <w:autoSpaceDN w:val="0"/>
              <w:adjustRightInd w:val="0"/>
              <w:jc w:val="center"/>
              <w:rPr>
                <w:rFonts w:ascii="宋体" w:hAnsi="宋体"/>
                <w:kern w:val="0"/>
              </w:rPr>
            </w:pPr>
            <w:r>
              <w:rPr>
                <w:rFonts w:hint="eastAsia" w:ascii="宋体" w:hAnsi="宋体"/>
                <w:kern w:val="0"/>
              </w:rPr>
              <w:t>主要工作经历</w:t>
            </w:r>
          </w:p>
        </w:tc>
      </w:tr>
      <w:tr w14:paraId="136DA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398" w:type="dxa"/>
            <w:gridSpan w:val="2"/>
            <w:tcBorders>
              <w:top w:val="single" w:color="auto" w:sz="4" w:space="0"/>
              <w:left w:val="single" w:color="auto" w:sz="4" w:space="0"/>
              <w:bottom w:val="single" w:color="auto" w:sz="4" w:space="0"/>
              <w:right w:val="single" w:color="auto" w:sz="4" w:space="0"/>
            </w:tcBorders>
            <w:vAlign w:val="center"/>
          </w:tcPr>
          <w:p w14:paraId="6AF61F72">
            <w:pPr>
              <w:autoSpaceDE w:val="0"/>
              <w:autoSpaceDN w:val="0"/>
              <w:adjustRightInd w:val="0"/>
              <w:jc w:val="center"/>
              <w:rPr>
                <w:rFonts w:ascii="宋体" w:hAnsi="宋体"/>
                <w:kern w:val="0"/>
              </w:rPr>
            </w:pPr>
            <w:r>
              <w:rPr>
                <w:rFonts w:hint="eastAsia" w:ascii="宋体" w:hAnsi="宋体"/>
                <w:kern w:val="0"/>
              </w:rPr>
              <w:t>时 间</w:t>
            </w:r>
          </w:p>
        </w:tc>
        <w:tc>
          <w:tcPr>
            <w:tcW w:w="2402" w:type="dxa"/>
            <w:gridSpan w:val="2"/>
            <w:tcBorders>
              <w:top w:val="single" w:color="auto" w:sz="4" w:space="0"/>
              <w:left w:val="single" w:color="auto" w:sz="4" w:space="0"/>
              <w:bottom w:val="single" w:color="auto" w:sz="4" w:space="0"/>
              <w:right w:val="single" w:color="auto" w:sz="4" w:space="0"/>
            </w:tcBorders>
            <w:vAlign w:val="center"/>
          </w:tcPr>
          <w:p w14:paraId="310C8B84">
            <w:pPr>
              <w:autoSpaceDE w:val="0"/>
              <w:autoSpaceDN w:val="0"/>
              <w:adjustRightInd w:val="0"/>
              <w:jc w:val="center"/>
              <w:rPr>
                <w:rFonts w:ascii="宋体" w:hAnsi="宋体"/>
                <w:kern w:val="0"/>
              </w:rPr>
            </w:pPr>
            <w:r>
              <w:rPr>
                <w:rFonts w:hint="eastAsia" w:ascii="宋体" w:hAnsi="宋体"/>
                <w:kern w:val="0"/>
              </w:rPr>
              <w:t>参加过的类似项目</w:t>
            </w:r>
          </w:p>
        </w:tc>
        <w:tc>
          <w:tcPr>
            <w:tcW w:w="2399" w:type="dxa"/>
            <w:gridSpan w:val="2"/>
            <w:tcBorders>
              <w:top w:val="single" w:color="auto" w:sz="4" w:space="0"/>
              <w:left w:val="single" w:color="auto" w:sz="4" w:space="0"/>
              <w:bottom w:val="single" w:color="auto" w:sz="4" w:space="0"/>
              <w:right w:val="single" w:color="auto" w:sz="4" w:space="0"/>
            </w:tcBorders>
            <w:vAlign w:val="center"/>
          </w:tcPr>
          <w:p w14:paraId="56A1D10F">
            <w:pPr>
              <w:autoSpaceDE w:val="0"/>
              <w:autoSpaceDN w:val="0"/>
              <w:adjustRightInd w:val="0"/>
              <w:jc w:val="center"/>
              <w:rPr>
                <w:rFonts w:ascii="宋体" w:hAnsi="宋体"/>
                <w:kern w:val="0"/>
              </w:rPr>
            </w:pPr>
            <w:r>
              <w:rPr>
                <w:rFonts w:hint="eastAsia" w:ascii="宋体" w:hAnsi="宋体"/>
                <w:kern w:val="0"/>
              </w:rPr>
              <w:t>担任职务</w:t>
            </w:r>
          </w:p>
        </w:tc>
        <w:tc>
          <w:tcPr>
            <w:tcW w:w="2037" w:type="dxa"/>
            <w:gridSpan w:val="2"/>
            <w:tcBorders>
              <w:top w:val="single" w:color="auto" w:sz="4" w:space="0"/>
              <w:left w:val="single" w:color="auto" w:sz="4" w:space="0"/>
              <w:bottom w:val="single" w:color="auto" w:sz="4" w:space="0"/>
              <w:right w:val="single" w:color="auto" w:sz="4" w:space="0"/>
            </w:tcBorders>
            <w:vAlign w:val="center"/>
          </w:tcPr>
          <w:p w14:paraId="5B04484B">
            <w:pPr>
              <w:autoSpaceDE w:val="0"/>
              <w:autoSpaceDN w:val="0"/>
              <w:adjustRightInd w:val="0"/>
              <w:jc w:val="center"/>
              <w:rPr>
                <w:rFonts w:ascii="宋体" w:hAnsi="宋体"/>
                <w:kern w:val="0"/>
              </w:rPr>
            </w:pPr>
            <w:r>
              <w:rPr>
                <w:rFonts w:hint="eastAsia" w:ascii="宋体" w:hAnsi="宋体"/>
                <w:kern w:val="0"/>
              </w:rPr>
              <w:t>发包人及联系电话</w:t>
            </w:r>
          </w:p>
        </w:tc>
      </w:tr>
      <w:tr w14:paraId="1C65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2398" w:type="dxa"/>
            <w:gridSpan w:val="2"/>
            <w:tcBorders>
              <w:top w:val="single" w:color="auto" w:sz="4" w:space="0"/>
              <w:left w:val="single" w:color="auto" w:sz="4" w:space="0"/>
              <w:bottom w:val="single" w:color="auto" w:sz="4" w:space="0"/>
              <w:right w:val="single" w:color="auto" w:sz="4" w:space="0"/>
            </w:tcBorders>
            <w:vAlign w:val="center"/>
          </w:tcPr>
          <w:p w14:paraId="3ABE42C8">
            <w:pPr>
              <w:autoSpaceDE w:val="0"/>
              <w:autoSpaceDN w:val="0"/>
              <w:adjustRightInd w:val="0"/>
              <w:spacing w:line="420" w:lineRule="exact"/>
              <w:jc w:val="center"/>
              <w:rPr>
                <w:rFonts w:ascii="宋体" w:hAnsi="宋体"/>
                <w:kern w:val="0"/>
              </w:rPr>
            </w:pPr>
          </w:p>
        </w:tc>
        <w:tc>
          <w:tcPr>
            <w:tcW w:w="2402" w:type="dxa"/>
            <w:gridSpan w:val="2"/>
            <w:tcBorders>
              <w:top w:val="single" w:color="auto" w:sz="4" w:space="0"/>
              <w:left w:val="single" w:color="auto" w:sz="4" w:space="0"/>
              <w:bottom w:val="single" w:color="auto" w:sz="4" w:space="0"/>
              <w:right w:val="single" w:color="auto" w:sz="4" w:space="0"/>
            </w:tcBorders>
            <w:vAlign w:val="center"/>
          </w:tcPr>
          <w:p w14:paraId="30B0C2E6">
            <w:pPr>
              <w:autoSpaceDE w:val="0"/>
              <w:autoSpaceDN w:val="0"/>
              <w:adjustRightInd w:val="0"/>
              <w:spacing w:line="420" w:lineRule="exact"/>
              <w:jc w:val="center"/>
              <w:rPr>
                <w:rFonts w:ascii="宋体" w:hAnsi="宋体"/>
                <w:kern w:val="0"/>
              </w:rPr>
            </w:pPr>
          </w:p>
        </w:tc>
        <w:tc>
          <w:tcPr>
            <w:tcW w:w="2399" w:type="dxa"/>
            <w:gridSpan w:val="2"/>
            <w:tcBorders>
              <w:top w:val="single" w:color="auto" w:sz="4" w:space="0"/>
              <w:left w:val="single" w:color="auto" w:sz="4" w:space="0"/>
              <w:bottom w:val="single" w:color="auto" w:sz="4" w:space="0"/>
              <w:right w:val="single" w:color="auto" w:sz="4" w:space="0"/>
            </w:tcBorders>
            <w:vAlign w:val="center"/>
          </w:tcPr>
          <w:p w14:paraId="2823A913">
            <w:pPr>
              <w:autoSpaceDE w:val="0"/>
              <w:autoSpaceDN w:val="0"/>
              <w:adjustRightInd w:val="0"/>
              <w:spacing w:line="420" w:lineRule="exact"/>
              <w:jc w:val="center"/>
              <w:rPr>
                <w:rFonts w:ascii="宋体" w:hAnsi="宋体"/>
                <w:kern w:val="0"/>
              </w:rPr>
            </w:pPr>
          </w:p>
        </w:tc>
        <w:tc>
          <w:tcPr>
            <w:tcW w:w="2037" w:type="dxa"/>
            <w:gridSpan w:val="2"/>
            <w:tcBorders>
              <w:top w:val="single" w:color="auto" w:sz="4" w:space="0"/>
              <w:left w:val="single" w:color="auto" w:sz="4" w:space="0"/>
              <w:bottom w:val="single" w:color="auto" w:sz="4" w:space="0"/>
              <w:right w:val="single" w:color="auto" w:sz="4" w:space="0"/>
            </w:tcBorders>
            <w:vAlign w:val="center"/>
          </w:tcPr>
          <w:p w14:paraId="5339A0A6">
            <w:pPr>
              <w:autoSpaceDE w:val="0"/>
              <w:autoSpaceDN w:val="0"/>
              <w:adjustRightInd w:val="0"/>
              <w:spacing w:line="420" w:lineRule="exact"/>
              <w:jc w:val="center"/>
              <w:rPr>
                <w:rFonts w:ascii="宋体" w:hAnsi="宋体"/>
                <w:kern w:val="0"/>
              </w:rPr>
            </w:pPr>
          </w:p>
        </w:tc>
      </w:tr>
      <w:tr w14:paraId="5370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2398" w:type="dxa"/>
            <w:gridSpan w:val="2"/>
            <w:tcBorders>
              <w:top w:val="single" w:color="auto" w:sz="4" w:space="0"/>
              <w:left w:val="single" w:color="auto" w:sz="4" w:space="0"/>
              <w:bottom w:val="single" w:color="auto" w:sz="4" w:space="0"/>
              <w:right w:val="single" w:color="auto" w:sz="4" w:space="0"/>
            </w:tcBorders>
            <w:vAlign w:val="center"/>
          </w:tcPr>
          <w:p w14:paraId="5AF95014">
            <w:pPr>
              <w:autoSpaceDE w:val="0"/>
              <w:autoSpaceDN w:val="0"/>
              <w:adjustRightInd w:val="0"/>
              <w:spacing w:line="420" w:lineRule="exact"/>
              <w:jc w:val="center"/>
              <w:rPr>
                <w:rFonts w:ascii="宋体" w:hAnsi="宋体"/>
                <w:kern w:val="0"/>
              </w:rPr>
            </w:pPr>
          </w:p>
        </w:tc>
        <w:tc>
          <w:tcPr>
            <w:tcW w:w="2402" w:type="dxa"/>
            <w:gridSpan w:val="2"/>
            <w:tcBorders>
              <w:top w:val="single" w:color="auto" w:sz="4" w:space="0"/>
              <w:left w:val="single" w:color="auto" w:sz="4" w:space="0"/>
              <w:bottom w:val="single" w:color="auto" w:sz="4" w:space="0"/>
              <w:right w:val="single" w:color="auto" w:sz="4" w:space="0"/>
            </w:tcBorders>
            <w:vAlign w:val="center"/>
          </w:tcPr>
          <w:p w14:paraId="67D7239B">
            <w:pPr>
              <w:autoSpaceDE w:val="0"/>
              <w:autoSpaceDN w:val="0"/>
              <w:adjustRightInd w:val="0"/>
              <w:spacing w:line="420" w:lineRule="exact"/>
              <w:jc w:val="center"/>
              <w:rPr>
                <w:rFonts w:ascii="宋体" w:hAnsi="宋体"/>
                <w:kern w:val="0"/>
              </w:rPr>
            </w:pPr>
          </w:p>
        </w:tc>
        <w:tc>
          <w:tcPr>
            <w:tcW w:w="2399" w:type="dxa"/>
            <w:gridSpan w:val="2"/>
            <w:tcBorders>
              <w:top w:val="single" w:color="auto" w:sz="4" w:space="0"/>
              <w:left w:val="single" w:color="auto" w:sz="4" w:space="0"/>
              <w:bottom w:val="single" w:color="auto" w:sz="4" w:space="0"/>
              <w:right w:val="single" w:color="auto" w:sz="4" w:space="0"/>
            </w:tcBorders>
            <w:vAlign w:val="center"/>
          </w:tcPr>
          <w:p w14:paraId="24387719">
            <w:pPr>
              <w:autoSpaceDE w:val="0"/>
              <w:autoSpaceDN w:val="0"/>
              <w:adjustRightInd w:val="0"/>
              <w:spacing w:line="420" w:lineRule="exact"/>
              <w:jc w:val="center"/>
              <w:rPr>
                <w:rFonts w:ascii="宋体" w:hAnsi="宋体"/>
                <w:kern w:val="0"/>
              </w:rPr>
            </w:pPr>
          </w:p>
        </w:tc>
        <w:tc>
          <w:tcPr>
            <w:tcW w:w="2037" w:type="dxa"/>
            <w:gridSpan w:val="2"/>
            <w:tcBorders>
              <w:top w:val="single" w:color="auto" w:sz="4" w:space="0"/>
              <w:left w:val="single" w:color="auto" w:sz="4" w:space="0"/>
              <w:bottom w:val="single" w:color="auto" w:sz="4" w:space="0"/>
              <w:right w:val="single" w:color="auto" w:sz="4" w:space="0"/>
            </w:tcBorders>
            <w:vAlign w:val="center"/>
          </w:tcPr>
          <w:p w14:paraId="563C5C8B">
            <w:pPr>
              <w:autoSpaceDE w:val="0"/>
              <w:autoSpaceDN w:val="0"/>
              <w:adjustRightInd w:val="0"/>
              <w:spacing w:line="420" w:lineRule="exact"/>
              <w:jc w:val="center"/>
              <w:rPr>
                <w:rFonts w:ascii="宋体" w:hAnsi="宋体"/>
                <w:kern w:val="0"/>
              </w:rPr>
            </w:pPr>
          </w:p>
        </w:tc>
      </w:tr>
      <w:tr w14:paraId="0D6EA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2398" w:type="dxa"/>
            <w:gridSpan w:val="2"/>
            <w:tcBorders>
              <w:top w:val="single" w:color="auto" w:sz="4" w:space="0"/>
              <w:left w:val="single" w:color="auto" w:sz="4" w:space="0"/>
              <w:bottom w:val="single" w:color="auto" w:sz="4" w:space="0"/>
              <w:right w:val="single" w:color="auto" w:sz="4" w:space="0"/>
            </w:tcBorders>
            <w:vAlign w:val="center"/>
          </w:tcPr>
          <w:p w14:paraId="359D5411">
            <w:pPr>
              <w:autoSpaceDE w:val="0"/>
              <w:autoSpaceDN w:val="0"/>
              <w:adjustRightInd w:val="0"/>
              <w:spacing w:line="420" w:lineRule="exact"/>
              <w:jc w:val="center"/>
              <w:rPr>
                <w:rFonts w:ascii="宋体" w:hAnsi="宋体"/>
                <w:kern w:val="0"/>
              </w:rPr>
            </w:pPr>
          </w:p>
        </w:tc>
        <w:tc>
          <w:tcPr>
            <w:tcW w:w="2402" w:type="dxa"/>
            <w:gridSpan w:val="2"/>
            <w:tcBorders>
              <w:top w:val="single" w:color="auto" w:sz="4" w:space="0"/>
              <w:left w:val="single" w:color="auto" w:sz="4" w:space="0"/>
              <w:bottom w:val="single" w:color="auto" w:sz="4" w:space="0"/>
              <w:right w:val="single" w:color="auto" w:sz="4" w:space="0"/>
            </w:tcBorders>
            <w:vAlign w:val="center"/>
          </w:tcPr>
          <w:p w14:paraId="0A0229BB">
            <w:pPr>
              <w:autoSpaceDE w:val="0"/>
              <w:autoSpaceDN w:val="0"/>
              <w:adjustRightInd w:val="0"/>
              <w:spacing w:line="420" w:lineRule="exact"/>
              <w:jc w:val="center"/>
              <w:rPr>
                <w:rFonts w:ascii="宋体" w:hAnsi="宋体"/>
                <w:kern w:val="0"/>
              </w:rPr>
            </w:pPr>
          </w:p>
        </w:tc>
        <w:tc>
          <w:tcPr>
            <w:tcW w:w="2399" w:type="dxa"/>
            <w:gridSpan w:val="2"/>
            <w:tcBorders>
              <w:top w:val="single" w:color="auto" w:sz="4" w:space="0"/>
              <w:left w:val="single" w:color="auto" w:sz="4" w:space="0"/>
              <w:bottom w:val="single" w:color="auto" w:sz="4" w:space="0"/>
              <w:right w:val="single" w:color="auto" w:sz="4" w:space="0"/>
            </w:tcBorders>
            <w:vAlign w:val="center"/>
          </w:tcPr>
          <w:p w14:paraId="3F878788">
            <w:pPr>
              <w:autoSpaceDE w:val="0"/>
              <w:autoSpaceDN w:val="0"/>
              <w:adjustRightInd w:val="0"/>
              <w:spacing w:line="420" w:lineRule="exact"/>
              <w:jc w:val="center"/>
              <w:rPr>
                <w:rFonts w:ascii="宋体" w:hAnsi="宋体"/>
                <w:kern w:val="0"/>
              </w:rPr>
            </w:pPr>
          </w:p>
        </w:tc>
        <w:tc>
          <w:tcPr>
            <w:tcW w:w="2037" w:type="dxa"/>
            <w:gridSpan w:val="2"/>
            <w:tcBorders>
              <w:top w:val="single" w:color="auto" w:sz="4" w:space="0"/>
              <w:left w:val="single" w:color="auto" w:sz="4" w:space="0"/>
              <w:bottom w:val="single" w:color="auto" w:sz="4" w:space="0"/>
              <w:right w:val="single" w:color="auto" w:sz="4" w:space="0"/>
            </w:tcBorders>
            <w:vAlign w:val="center"/>
          </w:tcPr>
          <w:p w14:paraId="60B3F472">
            <w:pPr>
              <w:autoSpaceDE w:val="0"/>
              <w:autoSpaceDN w:val="0"/>
              <w:adjustRightInd w:val="0"/>
              <w:spacing w:line="420" w:lineRule="exact"/>
              <w:jc w:val="center"/>
              <w:rPr>
                <w:rFonts w:ascii="宋体" w:hAnsi="宋体"/>
                <w:kern w:val="0"/>
              </w:rPr>
            </w:pPr>
          </w:p>
        </w:tc>
      </w:tr>
      <w:tr w14:paraId="32F1F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2398" w:type="dxa"/>
            <w:gridSpan w:val="2"/>
            <w:tcBorders>
              <w:top w:val="single" w:color="auto" w:sz="4" w:space="0"/>
              <w:left w:val="single" w:color="auto" w:sz="4" w:space="0"/>
              <w:bottom w:val="single" w:color="auto" w:sz="4" w:space="0"/>
              <w:right w:val="single" w:color="auto" w:sz="4" w:space="0"/>
            </w:tcBorders>
            <w:vAlign w:val="center"/>
          </w:tcPr>
          <w:p w14:paraId="029D2E10">
            <w:pPr>
              <w:autoSpaceDE w:val="0"/>
              <w:autoSpaceDN w:val="0"/>
              <w:adjustRightInd w:val="0"/>
              <w:spacing w:line="420" w:lineRule="exact"/>
              <w:jc w:val="center"/>
              <w:rPr>
                <w:rFonts w:ascii="宋体" w:hAnsi="宋体"/>
                <w:kern w:val="0"/>
              </w:rPr>
            </w:pPr>
          </w:p>
        </w:tc>
        <w:tc>
          <w:tcPr>
            <w:tcW w:w="2402" w:type="dxa"/>
            <w:gridSpan w:val="2"/>
            <w:tcBorders>
              <w:top w:val="single" w:color="auto" w:sz="4" w:space="0"/>
              <w:left w:val="single" w:color="auto" w:sz="4" w:space="0"/>
              <w:bottom w:val="single" w:color="auto" w:sz="4" w:space="0"/>
              <w:right w:val="single" w:color="auto" w:sz="4" w:space="0"/>
            </w:tcBorders>
            <w:vAlign w:val="center"/>
          </w:tcPr>
          <w:p w14:paraId="732BCF9B">
            <w:pPr>
              <w:autoSpaceDE w:val="0"/>
              <w:autoSpaceDN w:val="0"/>
              <w:adjustRightInd w:val="0"/>
              <w:spacing w:line="420" w:lineRule="exact"/>
              <w:jc w:val="center"/>
              <w:rPr>
                <w:rFonts w:ascii="宋体" w:hAnsi="宋体"/>
                <w:kern w:val="0"/>
              </w:rPr>
            </w:pPr>
          </w:p>
        </w:tc>
        <w:tc>
          <w:tcPr>
            <w:tcW w:w="2399" w:type="dxa"/>
            <w:gridSpan w:val="2"/>
            <w:tcBorders>
              <w:top w:val="single" w:color="auto" w:sz="4" w:space="0"/>
              <w:left w:val="single" w:color="auto" w:sz="4" w:space="0"/>
              <w:bottom w:val="single" w:color="auto" w:sz="4" w:space="0"/>
              <w:right w:val="single" w:color="auto" w:sz="4" w:space="0"/>
            </w:tcBorders>
            <w:vAlign w:val="center"/>
          </w:tcPr>
          <w:p w14:paraId="13EB627F">
            <w:pPr>
              <w:autoSpaceDE w:val="0"/>
              <w:autoSpaceDN w:val="0"/>
              <w:adjustRightInd w:val="0"/>
              <w:spacing w:line="420" w:lineRule="exact"/>
              <w:jc w:val="center"/>
              <w:rPr>
                <w:rFonts w:ascii="宋体" w:hAnsi="宋体"/>
                <w:kern w:val="0"/>
              </w:rPr>
            </w:pPr>
          </w:p>
        </w:tc>
        <w:tc>
          <w:tcPr>
            <w:tcW w:w="2037" w:type="dxa"/>
            <w:gridSpan w:val="2"/>
            <w:tcBorders>
              <w:top w:val="single" w:color="auto" w:sz="4" w:space="0"/>
              <w:left w:val="single" w:color="auto" w:sz="4" w:space="0"/>
              <w:bottom w:val="single" w:color="auto" w:sz="4" w:space="0"/>
              <w:right w:val="single" w:color="auto" w:sz="4" w:space="0"/>
            </w:tcBorders>
            <w:vAlign w:val="center"/>
          </w:tcPr>
          <w:p w14:paraId="34877D42">
            <w:pPr>
              <w:autoSpaceDE w:val="0"/>
              <w:autoSpaceDN w:val="0"/>
              <w:adjustRightInd w:val="0"/>
              <w:spacing w:line="420" w:lineRule="exact"/>
              <w:jc w:val="center"/>
              <w:rPr>
                <w:rFonts w:ascii="宋体" w:hAnsi="宋体"/>
                <w:kern w:val="0"/>
              </w:rPr>
            </w:pPr>
          </w:p>
        </w:tc>
      </w:tr>
      <w:tr w14:paraId="1C267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2398" w:type="dxa"/>
            <w:gridSpan w:val="2"/>
            <w:tcBorders>
              <w:top w:val="single" w:color="auto" w:sz="4" w:space="0"/>
              <w:left w:val="single" w:color="auto" w:sz="4" w:space="0"/>
              <w:bottom w:val="single" w:color="auto" w:sz="4" w:space="0"/>
              <w:right w:val="single" w:color="auto" w:sz="4" w:space="0"/>
            </w:tcBorders>
            <w:vAlign w:val="center"/>
          </w:tcPr>
          <w:p w14:paraId="01E671C8">
            <w:pPr>
              <w:autoSpaceDE w:val="0"/>
              <w:autoSpaceDN w:val="0"/>
              <w:adjustRightInd w:val="0"/>
              <w:spacing w:line="420" w:lineRule="exact"/>
              <w:jc w:val="center"/>
              <w:rPr>
                <w:rFonts w:ascii="宋体" w:hAnsi="宋体"/>
                <w:kern w:val="0"/>
              </w:rPr>
            </w:pPr>
          </w:p>
        </w:tc>
        <w:tc>
          <w:tcPr>
            <w:tcW w:w="2402" w:type="dxa"/>
            <w:gridSpan w:val="2"/>
            <w:tcBorders>
              <w:top w:val="single" w:color="auto" w:sz="4" w:space="0"/>
              <w:left w:val="single" w:color="auto" w:sz="4" w:space="0"/>
              <w:bottom w:val="single" w:color="auto" w:sz="4" w:space="0"/>
              <w:right w:val="single" w:color="auto" w:sz="4" w:space="0"/>
            </w:tcBorders>
            <w:vAlign w:val="center"/>
          </w:tcPr>
          <w:p w14:paraId="1AA206F4">
            <w:pPr>
              <w:autoSpaceDE w:val="0"/>
              <w:autoSpaceDN w:val="0"/>
              <w:adjustRightInd w:val="0"/>
              <w:spacing w:line="420" w:lineRule="exact"/>
              <w:jc w:val="center"/>
              <w:rPr>
                <w:rFonts w:ascii="宋体" w:hAnsi="宋体"/>
                <w:kern w:val="0"/>
              </w:rPr>
            </w:pPr>
          </w:p>
        </w:tc>
        <w:tc>
          <w:tcPr>
            <w:tcW w:w="2399" w:type="dxa"/>
            <w:gridSpan w:val="2"/>
            <w:tcBorders>
              <w:top w:val="single" w:color="auto" w:sz="4" w:space="0"/>
              <w:left w:val="single" w:color="auto" w:sz="4" w:space="0"/>
              <w:bottom w:val="single" w:color="auto" w:sz="4" w:space="0"/>
              <w:right w:val="single" w:color="auto" w:sz="4" w:space="0"/>
            </w:tcBorders>
            <w:vAlign w:val="center"/>
          </w:tcPr>
          <w:p w14:paraId="031099B5">
            <w:pPr>
              <w:autoSpaceDE w:val="0"/>
              <w:autoSpaceDN w:val="0"/>
              <w:adjustRightInd w:val="0"/>
              <w:spacing w:line="420" w:lineRule="exact"/>
              <w:jc w:val="center"/>
              <w:rPr>
                <w:rFonts w:ascii="宋体" w:hAnsi="宋体"/>
                <w:kern w:val="0"/>
              </w:rPr>
            </w:pPr>
          </w:p>
        </w:tc>
        <w:tc>
          <w:tcPr>
            <w:tcW w:w="2037" w:type="dxa"/>
            <w:gridSpan w:val="2"/>
            <w:tcBorders>
              <w:top w:val="single" w:color="auto" w:sz="4" w:space="0"/>
              <w:left w:val="single" w:color="auto" w:sz="4" w:space="0"/>
              <w:bottom w:val="single" w:color="auto" w:sz="4" w:space="0"/>
              <w:right w:val="single" w:color="auto" w:sz="4" w:space="0"/>
            </w:tcBorders>
            <w:vAlign w:val="center"/>
          </w:tcPr>
          <w:p w14:paraId="48EE4D67">
            <w:pPr>
              <w:autoSpaceDE w:val="0"/>
              <w:autoSpaceDN w:val="0"/>
              <w:adjustRightInd w:val="0"/>
              <w:spacing w:line="420" w:lineRule="exact"/>
              <w:jc w:val="center"/>
              <w:rPr>
                <w:rFonts w:ascii="宋体" w:hAnsi="宋体"/>
                <w:kern w:val="0"/>
              </w:rPr>
            </w:pPr>
          </w:p>
        </w:tc>
      </w:tr>
    </w:tbl>
    <w:p w14:paraId="05D1F8EA">
      <w:pPr>
        <w:spacing w:before="240" w:after="120" w:line="440" w:lineRule="exact"/>
        <w:jc w:val="center"/>
        <w:rPr>
          <w:rFonts w:ascii="宋体" w:hAnsi="宋体"/>
          <w:sz w:val="24"/>
          <w:szCs w:val="24"/>
        </w:rPr>
      </w:pPr>
      <w:r>
        <w:rPr>
          <w:rFonts w:hint="eastAsia" w:ascii="宋体" w:hAnsi="宋体"/>
        </w:rPr>
        <w:br w:type="page"/>
      </w:r>
    </w:p>
    <w:p w14:paraId="3703FE81">
      <w:pPr>
        <w:spacing w:before="240" w:after="120" w:line="440" w:lineRule="exact"/>
        <w:ind w:firstLine="422"/>
        <w:jc w:val="center"/>
        <w:outlineLvl w:val="1"/>
        <w:rPr>
          <w:rFonts w:ascii="宋体" w:hAnsi="宋体"/>
          <w:sz w:val="28"/>
          <w:szCs w:val="28"/>
        </w:rPr>
      </w:pPr>
      <w:bookmarkStart w:id="1251" w:name="_Toc18166"/>
      <w:bookmarkEnd w:id="1251"/>
      <w:bookmarkStart w:id="1252" w:name="_Toc19912"/>
      <w:bookmarkStart w:id="1253" w:name="_Toc28228"/>
      <w:bookmarkStart w:id="1254" w:name="_Toc129073536"/>
      <w:bookmarkStart w:id="1255" w:name="_Toc18954"/>
      <w:bookmarkStart w:id="1256" w:name="_Toc7925"/>
      <w:bookmarkStart w:id="1257" w:name="_Toc2897"/>
      <w:bookmarkStart w:id="1258" w:name="_Toc502"/>
      <w:r>
        <w:rPr>
          <w:rFonts w:hint="eastAsia" w:ascii="宋体" w:hAnsi="宋体"/>
          <w:b/>
          <w:bCs/>
          <w:sz w:val="28"/>
          <w:szCs w:val="28"/>
        </w:rPr>
        <w:t>七、资格审查资料</w:t>
      </w:r>
      <w:bookmarkEnd w:id="1252"/>
      <w:bookmarkEnd w:id="1253"/>
      <w:bookmarkEnd w:id="1254"/>
      <w:bookmarkEnd w:id="1255"/>
      <w:bookmarkEnd w:id="1256"/>
      <w:bookmarkEnd w:id="1257"/>
      <w:bookmarkEnd w:id="1258"/>
    </w:p>
    <w:p w14:paraId="61873730">
      <w:pPr>
        <w:spacing w:before="120" w:after="240" w:line="440" w:lineRule="exact"/>
        <w:outlineLvl w:val="2"/>
        <w:rPr>
          <w:rFonts w:ascii="宋体" w:hAnsi="宋体"/>
          <w:sz w:val="24"/>
          <w:szCs w:val="24"/>
        </w:rPr>
      </w:pPr>
      <w:bookmarkStart w:id="1259" w:name="_Toc12448"/>
      <w:bookmarkStart w:id="1260" w:name="_Toc20545"/>
      <w:bookmarkStart w:id="1261" w:name="_Toc129073537"/>
      <w:bookmarkStart w:id="1262" w:name="_Toc21906"/>
      <w:r>
        <w:rPr>
          <w:rFonts w:hint="eastAsia" w:ascii="宋体" w:hAnsi="宋体"/>
          <w:sz w:val="24"/>
          <w:szCs w:val="24"/>
        </w:rPr>
        <w:t>（一）供应商基本情况表</w:t>
      </w:r>
      <w:bookmarkEnd w:id="1259"/>
      <w:bookmarkEnd w:id="1260"/>
      <w:bookmarkEnd w:id="1261"/>
      <w:bookmarkEnd w:id="1262"/>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5"/>
        <w:gridCol w:w="897"/>
        <w:gridCol w:w="1021"/>
        <w:gridCol w:w="1276"/>
        <w:gridCol w:w="1701"/>
        <w:gridCol w:w="709"/>
        <w:gridCol w:w="1416"/>
      </w:tblGrid>
      <w:tr w14:paraId="1FFF7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0B6106BE">
            <w:pPr>
              <w:jc w:val="center"/>
              <w:rPr>
                <w:rFonts w:ascii="宋体" w:hAnsi="宋体"/>
              </w:rPr>
            </w:pPr>
            <w:r>
              <w:rPr>
                <w:rFonts w:hint="eastAsia" w:ascii="宋体" w:hAnsi="宋体"/>
              </w:rPr>
              <w:t>供应商名称</w:t>
            </w:r>
          </w:p>
        </w:tc>
        <w:tc>
          <w:tcPr>
            <w:tcW w:w="7020" w:type="dxa"/>
            <w:gridSpan w:val="6"/>
            <w:tcBorders>
              <w:top w:val="single" w:color="auto" w:sz="4" w:space="0"/>
              <w:left w:val="single" w:color="auto" w:sz="4" w:space="0"/>
              <w:bottom w:val="single" w:color="auto" w:sz="4" w:space="0"/>
              <w:right w:val="single" w:color="auto" w:sz="4" w:space="0"/>
            </w:tcBorders>
            <w:vAlign w:val="center"/>
          </w:tcPr>
          <w:p w14:paraId="7180F063">
            <w:pPr>
              <w:jc w:val="center"/>
              <w:rPr>
                <w:rFonts w:ascii="宋体" w:hAnsi="宋体"/>
              </w:rPr>
            </w:pPr>
          </w:p>
        </w:tc>
      </w:tr>
      <w:tr w14:paraId="161FC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5D47A2A9">
            <w:pPr>
              <w:jc w:val="center"/>
              <w:rPr>
                <w:rFonts w:ascii="宋体" w:hAnsi="宋体"/>
              </w:rPr>
            </w:pPr>
            <w:r>
              <w:rPr>
                <w:rFonts w:hint="eastAsia" w:ascii="宋体" w:hAnsi="宋体"/>
              </w:rPr>
              <w:t>注册地址</w:t>
            </w:r>
          </w:p>
        </w:tc>
        <w:tc>
          <w:tcPr>
            <w:tcW w:w="3194" w:type="dxa"/>
            <w:gridSpan w:val="3"/>
            <w:tcBorders>
              <w:top w:val="single" w:color="auto" w:sz="4" w:space="0"/>
              <w:left w:val="single" w:color="auto" w:sz="4" w:space="0"/>
              <w:bottom w:val="single" w:color="auto" w:sz="4" w:space="0"/>
              <w:right w:val="single" w:color="auto" w:sz="4" w:space="0"/>
            </w:tcBorders>
            <w:vAlign w:val="center"/>
          </w:tcPr>
          <w:p w14:paraId="56F9DF99">
            <w:pPr>
              <w:jc w:val="center"/>
              <w:rPr>
                <w:rFonts w:ascii="宋体" w:hAnsi="宋体"/>
              </w:rPr>
            </w:pPr>
          </w:p>
        </w:tc>
        <w:tc>
          <w:tcPr>
            <w:tcW w:w="1701" w:type="dxa"/>
            <w:tcBorders>
              <w:top w:val="single" w:color="auto" w:sz="4" w:space="0"/>
              <w:left w:val="single" w:color="auto" w:sz="4" w:space="0"/>
              <w:bottom w:val="single" w:color="auto" w:sz="4" w:space="0"/>
              <w:right w:val="single" w:color="auto" w:sz="4" w:space="0"/>
            </w:tcBorders>
            <w:vAlign w:val="center"/>
          </w:tcPr>
          <w:p w14:paraId="28AC3525">
            <w:pPr>
              <w:jc w:val="center"/>
              <w:rPr>
                <w:rFonts w:ascii="宋体" w:hAnsi="宋体"/>
              </w:rPr>
            </w:pPr>
            <w:r>
              <w:rPr>
                <w:rFonts w:hint="eastAsia" w:ascii="宋体" w:hAnsi="宋体"/>
              </w:rPr>
              <w:t>邮政编码</w:t>
            </w:r>
          </w:p>
        </w:tc>
        <w:tc>
          <w:tcPr>
            <w:tcW w:w="2125" w:type="dxa"/>
            <w:gridSpan w:val="2"/>
            <w:tcBorders>
              <w:top w:val="single" w:color="auto" w:sz="4" w:space="0"/>
              <w:left w:val="single" w:color="auto" w:sz="4" w:space="0"/>
              <w:bottom w:val="single" w:color="auto" w:sz="4" w:space="0"/>
              <w:right w:val="single" w:color="auto" w:sz="4" w:space="0"/>
            </w:tcBorders>
            <w:vAlign w:val="center"/>
          </w:tcPr>
          <w:p w14:paraId="484E7EC7">
            <w:pPr>
              <w:jc w:val="center"/>
              <w:rPr>
                <w:rFonts w:ascii="宋体" w:hAnsi="宋体"/>
              </w:rPr>
            </w:pPr>
          </w:p>
        </w:tc>
      </w:tr>
      <w:tr w14:paraId="5440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tcBorders>
              <w:top w:val="nil"/>
              <w:left w:val="single" w:color="auto" w:sz="4" w:space="0"/>
              <w:bottom w:val="single" w:color="auto" w:sz="4" w:space="0"/>
              <w:right w:val="single" w:color="auto" w:sz="4" w:space="0"/>
            </w:tcBorders>
            <w:vAlign w:val="center"/>
          </w:tcPr>
          <w:p w14:paraId="32D24ABE">
            <w:pPr>
              <w:jc w:val="center"/>
              <w:rPr>
                <w:rFonts w:ascii="宋体" w:hAnsi="宋体"/>
              </w:rPr>
            </w:pPr>
            <w:r>
              <w:rPr>
                <w:rFonts w:hint="eastAsia" w:ascii="宋体" w:hAnsi="宋体"/>
              </w:rPr>
              <w:t>联系方式</w:t>
            </w:r>
          </w:p>
        </w:tc>
        <w:tc>
          <w:tcPr>
            <w:tcW w:w="897" w:type="dxa"/>
            <w:tcBorders>
              <w:top w:val="single" w:color="auto" w:sz="4" w:space="0"/>
              <w:left w:val="single" w:color="auto" w:sz="4" w:space="0"/>
              <w:bottom w:val="single" w:color="auto" w:sz="4" w:space="0"/>
              <w:right w:val="single" w:color="auto" w:sz="4" w:space="0"/>
            </w:tcBorders>
            <w:vAlign w:val="center"/>
          </w:tcPr>
          <w:p w14:paraId="0BA5C88C">
            <w:pPr>
              <w:jc w:val="center"/>
              <w:rPr>
                <w:rFonts w:ascii="宋体" w:hAnsi="宋体"/>
              </w:rPr>
            </w:pPr>
            <w:r>
              <w:rPr>
                <w:rFonts w:hint="eastAsia" w:ascii="宋体" w:hAnsi="宋体"/>
              </w:rPr>
              <w:t>联系人</w:t>
            </w:r>
          </w:p>
        </w:tc>
        <w:tc>
          <w:tcPr>
            <w:tcW w:w="2297" w:type="dxa"/>
            <w:gridSpan w:val="2"/>
            <w:tcBorders>
              <w:top w:val="single" w:color="auto" w:sz="4" w:space="0"/>
              <w:left w:val="single" w:color="auto" w:sz="4" w:space="0"/>
              <w:bottom w:val="single" w:color="auto" w:sz="4" w:space="0"/>
              <w:right w:val="single" w:color="auto" w:sz="4" w:space="0"/>
            </w:tcBorders>
            <w:vAlign w:val="center"/>
          </w:tcPr>
          <w:p w14:paraId="6114BF05">
            <w:pPr>
              <w:jc w:val="center"/>
              <w:rPr>
                <w:rFonts w:ascii="宋体" w:hAnsi="宋体"/>
              </w:rPr>
            </w:pPr>
          </w:p>
        </w:tc>
        <w:tc>
          <w:tcPr>
            <w:tcW w:w="1701" w:type="dxa"/>
            <w:tcBorders>
              <w:top w:val="single" w:color="auto" w:sz="4" w:space="0"/>
              <w:left w:val="single" w:color="auto" w:sz="4" w:space="0"/>
              <w:bottom w:val="single" w:color="auto" w:sz="4" w:space="0"/>
              <w:right w:val="single" w:color="auto" w:sz="4" w:space="0"/>
            </w:tcBorders>
            <w:vAlign w:val="center"/>
          </w:tcPr>
          <w:p w14:paraId="628251ED">
            <w:pPr>
              <w:jc w:val="center"/>
              <w:rPr>
                <w:rFonts w:ascii="宋体" w:hAnsi="宋体"/>
              </w:rPr>
            </w:pPr>
            <w:r>
              <w:rPr>
                <w:rFonts w:hint="eastAsia" w:ascii="宋体" w:hAnsi="宋体"/>
              </w:rPr>
              <w:t>电  话</w:t>
            </w:r>
          </w:p>
        </w:tc>
        <w:tc>
          <w:tcPr>
            <w:tcW w:w="2125" w:type="dxa"/>
            <w:gridSpan w:val="2"/>
            <w:tcBorders>
              <w:top w:val="single" w:color="auto" w:sz="4" w:space="0"/>
              <w:left w:val="single" w:color="auto" w:sz="4" w:space="0"/>
              <w:bottom w:val="single" w:color="auto" w:sz="4" w:space="0"/>
              <w:right w:val="single" w:color="auto" w:sz="4" w:space="0"/>
            </w:tcBorders>
            <w:vAlign w:val="center"/>
          </w:tcPr>
          <w:p w14:paraId="04DEC95F">
            <w:pPr>
              <w:jc w:val="center"/>
              <w:rPr>
                <w:rFonts w:ascii="宋体" w:hAnsi="宋体"/>
              </w:rPr>
            </w:pPr>
          </w:p>
        </w:tc>
      </w:tr>
      <w:tr w14:paraId="3F18E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652B6FEB">
            <w:pPr>
              <w:widowControl/>
              <w:jc w:val="left"/>
              <w:rPr>
                <w:rFonts w:ascii="宋体" w:hAnsi="宋体"/>
              </w:rPr>
            </w:pPr>
          </w:p>
        </w:tc>
        <w:tc>
          <w:tcPr>
            <w:tcW w:w="897" w:type="dxa"/>
            <w:tcBorders>
              <w:top w:val="single" w:color="auto" w:sz="4" w:space="0"/>
              <w:left w:val="single" w:color="auto" w:sz="4" w:space="0"/>
              <w:bottom w:val="single" w:color="auto" w:sz="4" w:space="0"/>
              <w:right w:val="single" w:color="auto" w:sz="4" w:space="0"/>
            </w:tcBorders>
            <w:vAlign w:val="center"/>
          </w:tcPr>
          <w:p w14:paraId="692312F2">
            <w:pPr>
              <w:jc w:val="center"/>
              <w:rPr>
                <w:rFonts w:ascii="宋体" w:hAnsi="宋体"/>
              </w:rPr>
            </w:pPr>
            <w:r>
              <w:rPr>
                <w:rFonts w:hint="eastAsia" w:ascii="宋体" w:hAnsi="宋体"/>
              </w:rPr>
              <w:t>传  真</w:t>
            </w:r>
          </w:p>
        </w:tc>
        <w:tc>
          <w:tcPr>
            <w:tcW w:w="2297" w:type="dxa"/>
            <w:gridSpan w:val="2"/>
            <w:tcBorders>
              <w:top w:val="single" w:color="auto" w:sz="4" w:space="0"/>
              <w:left w:val="single" w:color="auto" w:sz="4" w:space="0"/>
              <w:bottom w:val="single" w:color="auto" w:sz="4" w:space="0"/>
              <w:right w:val="single" w:color="auto" w:sz="4" w:space="0"/>
            </w:tcBorders>
            <w:vAlign w:val="center"/>
          </w:tcPr>
          <w:p w14:paraId="649F6D83">
            <w:pPr>
              <w:jc w:val="center"/>
              <w:rPr>
                <w:rFonts w:ascii="宋体" w:hAnsi="宋体"/>
              </w:rPr>
            </w:pPr>
          </w:p>
        </w:tc>
        <w:tc>
          <w:tcPr>
            <w:tcW w:w="1701" w:type="dxa"/>
            <w:tcBorders>
              <w:top w:val="single" w:color="auto" w:sz="4" w:space="0"/>
              <w:left w:val="single" w:color="auto" w:sz="4" w:space="0"/>
              <w:bottom w:val="single" w:color="auto" w:sz="4" w:space="0"/>
              <w:right w:val="single" w:color="auto" w:sz="4" w:space="0"/>
            </w:tcBorders>
            <w:vAlign w:val="center"/>
          </w:tcPr>
          <w:p w14:paraId="3D5DC364">
            <w:pPr>
              <w:jc w:val="center"/>
              <w:rPr>
                <w:rFonts w:ascii="宋体" w:hAnsi="宋体"/>
              </w:rPr>
            </w:pPr>
            <w:r>
              <w:rPr>
                <w:rFonts w:hint="eastAsia" w:ascii="宋体" w:hAnsi="宋体"/>
              </w:rPr>
              <w:t>网  址</w:t>
            </w:r>
          </w:p>
        </w:tc>
        <w:tc>
          <w:tcPr>
            <w:tcW w:w="2125" w:type="dxa"/>
            <w:gridSpan w:val="2"/>
            <w:tcBorders>
              <w:top w:val="single" w:color="auto" w:sz="4" w:space="0"/>
              <w:left w:val="single" w:color="auto" w:sz="4" w:space="0"/>
              <w:bottom w:val="single" w:color="auto" w:sz="4" w:space="0"/>
              <w:right w:val="single" w:color="auto" w:sz="4" w:space="0"/>
            </w:tcBorders>
            <w:vAlign w:val="center"/>
          </w:tcPr>
          <w:p w14:paraId="183854C6">
            <w:pPr>
              <w:jc w:val="center"/>
              <w:rPr>
                <w:rFonts w:ascii="宋体" w:hAnsi="宋体"/>
              </w:rPr>
            </w:pPr>
          </w:p>
        </w:tc>
      </w:tr>
      <w:tr w14:paraId="11BC8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70091A60">
            <w:pPr>
              <w:jc w:val="center"/>
              <w:rPr>
                <w:rFonts w:ascii="宋体" w:hAnsi="宋体"/>
              </w:rPr>
            </w:pPr>
            <w:r>
              <w:rPr>
                <w:rFonts w:hint="eastAsia" w:ascii="宋体" w:hAnsi="宋体"/>
              </w:rPr>
              <w:t>组织结构</w:t>
            </w:r>
          </w:p>
        </w:tc>
        <w:tc>
          <w:tcPr>
            <w:tcW w:w="7020" w:type="dxa"/>
            <w:gridSpan w:val="6"/>
            <w:tcBorders>
              <w:top w:val="single" w:color="auto" w:sz="4" w:space="0"/>
              <w:left w:val="single" w:color="auto" w:sz="4" w:space="0"/>
              <w:bottom w:val="single" w:color="auto" w:sz="4" w:space="0"/>
              <w:right w:val="single" w:color="auto" w:sz="4" w:space="0"/>
            </w:tcBorders>
            <w:vAlign w:val="center"/>
          </w:tcPr>
          <w:p w14:paraId="0C9E7D3A">
            <w:pPr>
              <w:jc w:val="center"/>
              <w:rPr>
                <w:rFonts w:ascii="宋体" w:hAnsi="宋体"/>
              </w:rPr>
            </w:pPr>
          </w:p>
        </w:tc>
      </w:tr>
      <w:tr w14:paraId="78BE9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1DDC0F41">
            <w:pPr>
              <w:jc w:val="center"/>
              <w:rPr>
                <w:rFonts w:ascii="宋体" w:hAnsi="宋体"/>
              </w:rPr>
            </w:pPr>
            <w:r>
              <w:rPr>
                <w:rFonts w:hint="eastAsia" w:ascii="宋体" w:hAnsi="宋体"/>
              </w:rPr>
              <w:t>法定代表人</w:t>
            </w:r>
          </w:p>
        </w:tc>
        <w:tc>
          <w:tcPr>
            <w:tcW w:w="897" w:type="dxa"/>
            <w:tcBorders>
              <w:top w:val="single" w:color="auto" w:sz="4" w:space="0"/>
              <w:left w:val="single" w:color="auto" w:sz="4" w:space="0"/>
              <w:bottom w:val="single" w:color="auto" w:sz="4" w:space="0"/>
              <w:right w:val="single" w:color="auto" w:sz="4" w:space="0"/>
            </w:tcBorders>
            <w:vAlign w:val="center"/>
          </w:tcPr>
          <w:p w14:paraId="3CFF55BB">
            <w:pPr>
              <w:jc w:val="center"/>
              <w:rPr>
                <w:rFonts w:ascii="宋体" w:hAnsi="宋体"/>
              </w:rPr>
            </w:pPr>
            <w:r>
              <w:rPr>
                <w:rFonts w:hint="eastAsia" w:ascii="宋体" w:hAnsi="宋体"/>
              </w:rPr>
              <w:t>姓名</w:t>
            </w:r>
          </w:p>
        </w:tc>
        <w:tc>
          <w:tcPr>
            <w:tcW w:w="1021" w:type="dxa"/>
            <w:tcBorders>
              <w:top w:val="single" w:color="auto" w:sz="4" w:space="0"/>
              <w:left w:val="single" w:color="auto" w:sz="4" w:space="0"/>
              <w:bottom w:val="single" w:color="auto" w:sz="4" w:space="0"/>
              <w:right w:val="single" w:color="auto" w:sz="4" w:space="0"/>
            </w:tcBorders>
            <w:vAlign w:val="center"/>
          </w:tcPr>
          <w:p w14:paraId="58B2042D">
            <w:pPr>
              <w:jc w:val="center"/>
              <w:rPr>
                <w:rFonts w:ascii="宋体" w:hAnsi="宋体"/>
              </w:rPr>
            </w:pPr>
          </w:p>
        </w:tc>
        <w:tc>
          <w:tcPr>
            <w:tcW w:w="1276" w:type="dxa"/>
            <w:tcBorders>
              <w:top w:val="single" w:color="auto" w:sz="4" w:space="0"/>
              <w:left w:val="single" w:color="auto" w:sz="4" w:space="0"/>
              <w:bottom w:val="single" w:color="auto" w:sz="4" w:space="0"/>
              <w:right w:val="single" w:color="auto" w:sz="4" w:space="0"/>
            </w:tcBorders>
            <w:vAlign w:val="center"/>
          </w:tcPr>
          <w:p w14:paraId="2AE3FBF1">
            <w:pPr>
              <w:jc w:val="center"/>
              <w:rPr>
                <w:rFonts w:ascii="宋体" w:hAnsi="宋体"/>
              </w:rPr>
            </w:pPr>
            <w:r>
              <w:rPr>
                <w:rFonts w:hint="eastAsia" w:ascii="宋体" w:hAnsi="宋体"/>
              </w:rPr>
              <w:t>技术职称</w:t>
            </w:r>
          </w:p>
        </w:tc>
        <w:tc>
          <w:tcPr>
            <w:tcW w:w="1701" w:type="dxa"/>
            <w:tcBorders>
              <w:top w:val="single" w:color="auto" w:sz="4" w:space="0"/>
              <w:left w:val="single" w:color="auto" w:sz="4" w:space="0"/>
              <w:bottom w:val="single" w:color="auto" w:sz="4" w:space="0"/>
              <w:right w:val="single" w:color="auto" w:sz="4" w:space="0"/>
            </w:tcBorders>
            <w:vAlign w:val="center"/>
          </w:tcPr>
          <w:p w14:paraId="0FCAC946">
            <w:pPr>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6170B260">
            <w:pPr>
              <w:jc w:val="center"/>
              <w:rPr>
                <w:rFonts w:ascii="宋体" w:hAnsi="宋体"/>
              </w:rPr>
            </w:pPr>
            <w:r>
              <w:rPr>
                <w:rFonts w:hint="eastAsia" w:ascii="宋体" w:hAnsi="宋体"/>
              </w:rPr>
              <w:t>电话</w:t>
            </w:r>
          </w:p>
        </w:tc>
        <w:tc>
          <w:tcPr>
            <w:tcW w:w="1416" w:type="dxa"/>
            <w:tcBorders>
              <w:top w:val="single" w:color="auto" w:sz="4" w:space="0"/>
              <w:left w:val="single" w:color="auto" w:sz="4" w:space="0"/>
              <w:bottom w:val="single" w:color="auto" w:sz="4" w:space="0"/>
              <w:right w:val="single" w:color="auto" w:sz="4" w:space="0"/>
            </w:tcBorders>
            <w:vAlign w:val="center"/>
          </w:tcPr>
          <w:p w14:paraId="71500356">
            <w:pPr>
              <w:jc w:val="center"/>
              <w:rPr>
                <w:rFonts w:ascii="宋体" w:hAnsi="宋体"/>
              </w:rPr>
            </w:pPr>
          </w:p>
        </w:tc>
      </w:tr>
      <w:tr w14:paraId="20E3F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76AA62F2">
            <w:pPr>
              <w:jc w:val="center"/>
              <w:rPr>
                <w:rFonts w:ascii="宋体" w:hAnsi="宋体"/>
              </w:rPr>
            </w:pPr>
            <w:r>
              <w:rPr>
                <w:rFonts w:hint="eastAsia" w:ascii="宋体" w:hAnsi="宋体"/>
              </w:rPr>
              <w:t>技术负责人</w:t>
            </w:r>
          </w:p>
        </w:tc>
        <w:tc>
          <w:tcPr>
            <w:tcW w:w="897" w:type="dxa"/>
            <w:tcBorders>
              <w:top w:val="single" w:color="auto" w:sz="4" w:space="0"/>
              <w:left w:val="single" w:color="auto" w:sz="4" w:space="0"/>
              <w:bottom w:val="single" w:color="auto" w:sz="4" w:space="0"/>
              <w:right w:val="single" w:color="auto" w:sz="4" w:space="0"/>
            </w:tcBorders>
            <w:vAlign w:val="center"/>
          </w:tcPr>
          <w:p w14:paraId="5727E7E0">
            <w:pPr>
              <w:jc w:val="center"/>
              <w:rPr>
                <w:rFonts w:ascii="宋体" w:hAnsi="宋体"/>
              </w:rPr>
            </w:pPr>
            <w:r>
              <w:rPr>
                <w:rFonts w:hint="eastAsia" w:ascii="宋体" w:hAnsi="宋体"/>
              </w:rPr>
              <w:t>姓名</w:t>
            </w:r>
          </w:p>
        </w:tc>
        <w:tc>
          <w:tcPr>
            <w:tcW w:w="1021" w:type="dxa"/>
            <w:tcBorders>
              <w:top w:val="single" w:color="auto" w:sz="4" w:space="0"/>
              <w:left w:val="single" w:color="auto" w:sz="4" w:space="0"/>
              <w:bottom w:val="single" w:color="auto" w:sz="4" w:space="0"/>
              <w:right w:val="single" w:color="auto" w:sz="4" w:space="0"/>
            </w:tcBorders>
            <w:vAlign w:val="center"/>
          </w:tcPr>
          <w:p w14:paraId="13C90A2E">
            <w:pPr>
              <w:jc w:val="center"/>
              <w:rPr>
                <w:rFonts w:ascii="宋体" w:hAnsi="宋体"/>
              </w:rPr>
            </w:pPr>
          </w:p>
        </w:tc>
        <w:tc>
          <w:tcPr>
            <w:tcW w:w="1276" w:type="dxa"/>
            <w:tcBorders>
              <w:top w:val="single" w:color="auto" w:sz="4" w:space="0"/>
              <w:left w:val="single" w:color="auto" w:sz="4" w:space="0"/>
              <w:bottom w:val="single" w:color="auto" w:sz="4" w:space="0"/>
              <w:right w:val="single" w:color="auto" w:sz="4" w:space="0"/>
            </w:tcBorders>
            <w:vAlign w:val="center"/>
          </w:tcPr>
          <w:p w14:paraId="66A640E5">
            <w:pPr>
              <w:jc w:val="center"/>
              <w:rPr>
                <w:rFonts w:ascii="宋体" w:hAnsi="宋体"/>
              </w:rPr>
            </w:pPr>
            <w:r>
              <w:rPr>
                <w:rFonts w:hint="eastAsia" w:ascii="宋体" w:hAnsi="宋体"/>
              </w:rPr>
              <w:t>技术职称</w:t>
            </w:r>
          </w:p>
        </w:tc>
        <w:tc>
          <w:tcPr>
            <w:tcW w:w="1701" w:type="dxa"/>
            <w:tcBorders>
              <w:top w:val="single" w:color="auto" w:sz="4" w:space="0"/>
              <w:left w:val="single" w:color="auto" w:sz="4" w:space="0"/>
              <w:bottom w:val="single" w:color="auto" w:sz="4" w:space="0"/>
              <w:right w:val="single" w:color="auto" w:sz="4" w:space="0"/>
            </w:tcBorders>
            <w:vAlign w:val="center"/>
          </w:tcPr>
          <w:p w14:paraId="463799E0">
            <w:pPr>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588B762E">
            <w:pPr>
              <w:jc w:val="center"/>
              <w:rPr>
                <w:rFonts w:ascii="宋体" w:hAnsi="宋体"/>
              </w:rPr>
            </w:pPr>
            <w:r>
              <w:rPr>
                <w:rFonts w:hint="eastAsia" w:ascii="宋体" w:hAnsi="宋体"/>
              </w:rPr>
              <w:t>电话</w:t>
            </w:r>
          </w:p>
        </w:tc>
        <w:tc>
          <w:tcPr>
            <w:tcW w:w="1416" w:type="dxa"/>
            <w:tcBorders>
              <w:top w:val="single" w:color="auto" w:sz="4" w:space="0"/>
              <w:left w:val="single" w:color="auto" w:sz="4" w:space="0"/>
              <w:bottom w:val="single" w:color="auto" w:sz="4" w:space="0"/>
              <w:right w:val="single" w:color="auto" w:sz="4" w:space="0"/>
            </w:tcBorders>
            <w:vAlign w:val="center"/>
          </w:tcPr>
          <w:p w14:paraId="5A93BED8">
            <w:pPr>
              <w:jc w:val="center"/>
              <w:rPr>
                <w:rFonts w:ascii="宋体" w:hAnsi="宋体"/>
              </w:rPr>
            </w:pPr>
          </w:p>
        </w:tc>
      </w:tr>
      <w:tr w14:paraId="1C48F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47EAE6CF">
            <w:pPr>
              <w:jc w:val="center"/>
              <w:rPr>
                <w:rFonts w:ascii="宋体" w:hAnsi="宋体"/>
              </w:rPr>
            </w:pPr>
            <w:r>
              <w:rPr>
                <w:rFonts w:hint="eastAsia" w:ascii="宋体" w:hAnsi="宋体"/>
              </w:rPr>
              <w:t>成立时间</w:t>
            </w:r>
          </w:p>
        </w:tc>
        <w:tc>
          <w:tcPr>
            <w:tcW w:w="1918" w:type="dxa"/>
            <w:gridSpan w:val="2"/>
            <w:tcBorders>
              <w:top w:val="single" w:color="auto" w:sz="4" w:space="0"/>
              <w:left w:val="single" w:color="auto" w:sz="4" w:space="0"/>
              <w:bottom w:val="single" w:color="auto" w:sz="4" w:space="0"/>
              <w:right w:val="single" w:color="auto" w:sz="4" w:space="0"/>
            </w:tcBorders>
            <w:vAlign w:val="center"/>
          </w:tcPr>
          <w:p w14:paraId="22C16175">
            <w:pPr>
              <w:jc w:val="center"/>
              <w:rPr>
                <w:rFonts w:ascii="宋体" w:hAnsi="宋体"/>
              </w:rPr>
            </w:pPr>
          </w:p>
        </w:tc>
        <w:tc>
          <w:tcPr>
            <w:tcW w:w="5102" w:type="dxa"/>
            <w:gridSpan w:val="4"/>
            <w:tcBorders>
              <w:top w:val="single" w:color="auto" w:sz="4" w:space="0"/>
              <w:left w:val="single" w:color="auto" w:sz="4" w:space="0"/>
              <w:bottom w:val="single" w:color="auto" w:sz="4" w:space="0"/>
              <w:right w:val="single" w:color="auto" w:sz="4" w:space="0"/>
            </w:tcBorders>
            <w:vAlign w:val="center"/>
          </w:tcPr>
          <w:p w14:paraId="59EC0D4E">
            <w:pPr>
              <w:jc w:val="center"/>
              <w:rPr>
                <w:rFonts w:ascii="宋体" w:hAnsi="宋体"/>
              </w:rPr>
            </w:pPr>
            <w:r>
              <w:rPr>
                <w:rFonts w:hint="eastAsia" w:ascii="宋体" w:hAnsi="宋体"/>
              </w:rPr>
              <w:t>员工总人数：</w:t>
            </w:r>
          </w:p>
        </w:tc>
      </w:tr>
      <w:tr w14:paraId="51E62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76BAEA58">
            <w:pPr>
              <w:jc w:val="center"/>
              <w:rPr>
                <w:rFonts w:ascii="宋体" w:hAnsi="宋体"/>
              </w:rPr>
            </w:pPr>
            <w:r>
              <w:rPr>
                <w:rFonts w:hint="eastAsia" w:ascii="宋体" w:hAnsi="宋体"/>
              </w:rPr>
              <w:t>营业执照号</w:t>
            </w:r>
          </w:p>
        </w:tc>
        <w:tc>
          <w:tcPr>
            <w:tcW w:w="1918" w:type="dxa"/>
            <w:gridSpan w:val="2"/>
            <w:tcBorders>
              <w:top w:val="single" w:color="auto" w:sz="4" w:space="0"/>
              <w:left w:val="single" w:color="auto" w:sz="4" w:space="0"/>
              <w:bottom w:val="single" w:color="auto" w:sz="4" w:space="0"/>
              <w:right w:val="single" w:color="auto" w:sz="4" w:space="0"/>
            </w:tcBorders>
            <w:vAlign w:val="center"/>
          </w:tcPr>
          <w:p w14:paraId="2F041C3B">
            <w:pPr>
              <w:jc w:val="center"/>
              <w:rPr>
                <w:rFonts w:ascii="宋体" w:hAnsi="宋体"/>
              </w:rPr>
            </w:pPr>
          </w:p>
        </w:tc>
        <w:tc>
          <w:tcPr>
            <w:tcW w:w="1276" w:type="dxa"/>
            <w:vMerge w:val="restart"/>
            <w:tcBorders>
              <w:top w:val="nil"/>
              <w:left w:val="single" w:color="auto" w:sz="4" w:space="0"/>
              <w:bottom w:val="single" w:color="auto" w:sz="4" w:space="0"/>
              <w:right w:val="single" w:color="auto" w:sz="4" w:space="0"/>
            </w:tcBorders>
            <w:vAlign w:val="center"/>
          </w:tcPr>
          <w:p w14:paraId="3DF41AF5">
            <w:pPr>
              <w:jc w:val="center"/>
              <w:rPr>
                <w:rFonts w:ascii="宋体" w:hAnsi="宋体"/>
              </w:rPr>
            </w:pPr>
            <w:r>
              <w:rPr>
                <w:rFonts w:hint="eastAsia" w:ascii="宋体" w:hAnsi="宋体"/>
              </w:rPr>
              <w:t>其中</w:t>
            </w:r>
          </w:p>
        </w:tc>
        <w:tc>
          <w:tcPr>
            <w:tcW w:w="1701" w:type="dxa"/>
            <w:tcBorders>
              <w:top w:val="single" w:color="auto" w:sz="4" w:space="0"/>
              <w:left w:val="single" w:color="auto" w:sz="4" w:space="0"/>
              <w:bottom w:val="single" w:color="auto" w:sz="4" w:space="0"/>
              <w:right w:val="single" w:color="auto" w:sz="4" w:space="0"/>
            </w:tcBorders>
            <w:vAlign w:val="center"/>
          </w:tcPr>
          <w:p w14:paraId="104E969B">
            <w:pPr>
              <w:jc w:val="center"/>
              <w:rPr>
                <w:rFonts w:ascii="宋体" w:hAnsi="宋体"/>
              </w:rPr>
            </w:pPr>
            <w:r>
              <w:rPr>
                <w:rFonts w:hint="eastAsia" w:ascii="宋体" w:hAnsi="宋体"/>
              </w:rPr>
              <w:t>高级职称人员</w:t>
            </w:r>
          </w:p>
        </w:tc>
        <w:tc>
          <w:tcPr>
            <w:tcW w:w="2125" w:type="dxa"/>
            <w:gridSpan w:val="2"/>
            <w:tcBorders>
              <w:top w:val="single" w:color="auto" w:sz="4" w:space="0"/>
              <w:left w:val="single" w:color="auto" w:sz="4" w:space="0"/>
              <w:bottom w:val="single" w:color="auto" w:sz="4" w:space="0"/>
              <w:right w:val="single" w:color="auto" w:sz="4" w:space="0"/>
            </w:tcBorders>
            <w:vAlign w:val="center"/>
          </w:tcPr>
          <w:p w14:paraId="0D735A9C">
            <w:pPr>
              <w:jc w:val="center"/>
              <w:rPr>
                <w:rFonts w:ascii="宋体" w:hAnsi="宋体"/>
              </w:rPr>
            </w:pPr>
          </w:p>
        </w:tc>
      </w:tr>
      <w:tr w14:paraId="4405E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15F2B896">
            <w:pPr>
              <w:jc w:val="center"/>
              <w:rPr>
                <w:rFonts w:ascii="宋体" w:hAnsi="宋体"/>
              </w:rPr>
            </w:pPr>
            <w:r>
              <w:rPr>
                <w:rFonts w:hint="eastAsia" w:ascii="宋体" w:hAnsi="宋体"/>
              </w:rPr>
              <w:t>注册资金</w:t>
            </w:r>
          </w:p>
        </w:tc>
        <w:tc>
          <w:tcPr>
            <w:tcW w:w="1918" w:type="dxa"/>
            <w:gridSpan w:val="2"/>
            <w:tcBorders>
              <w:top w:val="single" w:color="auto" w:sz="4" w:space="0"/>
              <w:left w:val="single" w:color="auto" w:sz="4" w:space="0"/>
              <w:bottom w:val="single" w:color="auto" w:sz="4" w:space="0"/>
              <w:right w:val="single" w:color="auto" w:sz="4" w:space="0"/>
            </w:tcBorders>
            <w:vAlign w:val="center"/>
          </w:tcPr>
          <w:p w14:paraId="441CFCCD">
            <w:pPr>
              <w:jc w:val="center"/>
              <w:rPr>
                <w:rFonts w:ascii="宋体" w:hAnsi="宋体"/>
              </w:rPr>
            </w:pPr>
          </w:p>
        </w:tc>
        <w:tc>
          <w:tcPr>
            <w:tcW w:w="0" w:type="auto"/>
            <w:vMerge w:val="continue"/>
            <w:tcBorders>
              <w:top w:val="nil"/>
              <w:left w:val="single" w:color="auto" w:sz="4" w:space="0"/>
              <w:bottom w:val="single" w:color="auto" w:sz="4" w:space="0"/>
              <w:right w:val="single" w:color="auto" w:sz="4" w:space="0"/>
            </w:tcBorders>
            <w:vAlign w:val="center"/>
          </w:tcPr>
          <w:p w14:paraId="1A8CD3C6">
            <w:pPr>
              <w:widowControl/>
              <w:jc w:val="left"/>
              <w:rPr>
                <w:rFonts w:ascii="宋体" w:hAnsi="宋体"/>
              </w:rPr>
            </w:pPr>
          </w:p>
        </w:tc>
        <w:tc>
          <w:tcPr>
            <w:tcW w:w="1701" w:type="dxa"/>
            <w:tcBorders>
              <w:top w:val="single" w:color="auto" w:sz="4" w:space="0"/>
              <w:left w:val="single" w:color="auto" w:sz="4" w:space="0"/>
              <w:bottom w:val="single" w:color="auto" w:sz="4" w:space="0"/>
              <w:right w:val="single" w:color="auto" w:sz="4" w:space="0"/>
            </w:tcBorders>
            <w:vAlign w:val="center"/>
          </w:tcPr>
          <w:p w14:paraId="5F15114A">
            <w:pPr>
              <w:jc w:val="center"/>
              <w:rPr>
                <w:rFonts w:ascii="宋体" w:hAnsi="宋体"/>
              </w:rPr>
            </w:pPr>
            <w:r>
              <w:rPr>
                <w:rFonts w:hint="eastAsia" w:ascii="宋体" w:hAnsi="宋体"/>
              </w:rPr>
              <w:t>中级职称人员</w:t>
            </w:r>
          </w:p>
        </w:tc>
        <w:tc>
          <w:tcPr>
            <w:tcW w:w="2125" w:type="dxa"/>
            <w:gridSpan w:val="2"/>
            <w:tcBorders>
              <w:top w:val="single" w:color="auto" w:sz="4" w:space="0"/>
              <w:left w:val="single" w:color="auto" w:sz="4" w:space="0"/>
              <w:bottom w:val="single" w:color="auto" w:sz="4" w:space="0"/>
              <w:right w:val="single" w:color="auto" w:sz="4" w:space="0"/>
            </w:tcBorders>
            <w:vAlign w:val="center"/>
          </w:tcPr>
          <w:p w14:paraId="49F534A3">
            <w:pPr>
              <w:jc w:val="center"/>
              <w:rPr>
                <w:rFonts w:ascii="宋体" w:hAnsi="宋体"/>
              </w:rPr>
            </w:pPr>
          </w:p>
        </w:tc>
      </w:tr>
      <w:tr w14:paraId="3A59C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14E97A47">
            <w:pPr>
              <w:jc w:val="center"/>
              <w:rPr>
                <w:rFonts w:ascii="宋体" w:hAnsi="宋体"/>
              </w:rPr>
            </w:pPr>
            <w:r>
              <w:rPr>
                <w:rFonts w:hint="eastAsia" w:ascii="宋体" w:hAnsi="宋体"/>
              </w:rPr>
              <w:t>开户银行</w:t>
            </w:r>
          </w:p>
        </w:tc>
        <w:tc>
          <w:tcPr>
            <w:tcW w:w="1918" w:type="dxa"/>
            <w:gridSpan w:val="2"/>
            <w:tcBorders>
              <w:top w:val="single" w:color="auto" w:sz="4" w:space="0"/>
              <w:left w:val="single" w:color="auto" w:sz="4" w:space="0"/>
              <w:bottom w:val="single" w:color="auto" w:sz="4" w:space="0"/>
              <w:right w:val="single" w:color="auto" w:sz="4" w:space="0"/>
            </w:tcBorders>
            <w:vAlign w:val="center"/>
          </w:tcPr>
          <w:p w14:paraId="4F366442">
            <w:pPr>
              <w:jc w:val="center"/>
              <w:rPr>
                <w:rFonts w:ascii="宋体" w:hAnsi="宋体"/>
              </w:rPr>
            </w:pPr>
          </w:p>
        </w:tc>
        <w:tc>
          <w:tcPr>
            <w:tcW w:w="0" w:type="auto"/>
            <w:vMerge w:val="continue"/>
            <w:tcBorders>
              <w:top w:val="nil"/>
              <w:left w:val="single" w:color="auto" w:sz="4" w:space="0"/>
              <w:bottom w:val="single" w:color="auto" w:sz="4" w:space="0"/>
              <w:right w:val="single" w:color="auto" w:sz="4" w:space="0"/>
            </w:tcBorders>
            <w:vAlign w:val="center"/>
          </w:tcPr>
          <w:p w14:paraId="52B92D95">
            <w:pPr>
              <w:widowControl/>
              <w:jc w:val="left"/>
              <w:rPr>
                <w:rFonts w:ascii="宋体" w:hAnsi="宋体"/>
              </w:rPr>
            </w:pPr>
          </w:p>
        </w:tc>
        <w:tc>
          <w:tcPr>
            <w:tcW w:w="1701" w:type="dxa"/>
            <w:tcBorders>
              <w:top w:val="single" w:color="auto" w:sz="4" w:space="0"/>
              <w:left w:val="single" w:color="auto" w:sz="4" w:space="0"/>
              <w:bottom w:val="single" w:color="auto" w:sz="4" w:space="0"/>
              <w:right w:val="single" w:color="auto" w:sz="4" w:space="0"/>
            </w:tcBorders>
            <w:vAlign w:val="center"/>
          </w:tcPr>
          <w:p w14:paraId="27D5426C">
            <w:pPr>
              <w:jc w:val="center"/>
              <w:rPr>
                <w:rFonts w:ascii="宋体" w:hAnsi="宋体"/>
              </w:rPr>
            </w:pPr>
            <w:r>
              <w:rPr>
                <w:rFonts w:hint="eastAsia" w:ascii="宋体" w:hAnsi="宋体"/>
              </w:rPr>
              <w:t>初级职称人员</w:t>
            </w:r>
          </w:p>
        </w:tc>
        <w:tc>
          <w:tcPr>
            <w:tcW w:w="2125" w:type="dxa"/>
            <w:gridSpan w:val="2"/>
            <w:tcBorders>
              <w:top w:val="single" w:color="auto" w:sz="4" w:space="0"/>
              <w:left w:val="single" w:color="auto" w:sz="4" w:space="0"/>
              <w:bottom w:val="single" w:color="auto" w:sz="4" w:space="0"/>
              <w:right w:val="single" w:color="auto" w:sz="4" w:space="0"/>
            </w:tcBorders>
            <w:vAlign w:val="center"/>
          </w:tcPr>
          <w:p w14:paraId="3476107B">
            <w:pPr>
              <w:jc w:val="center"/>
              <w:rPr>
                <w:rFonts w:ascii="宋体" w:hAnsi="宋体"/>
              </w:rPr>
            </w:pPr>
          </w:p>
        </w:tc>
      </w:tr>
      <w:tr w14:paraId="52C9A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2B539589">
            <w:pPr>
              <w:jc w:val="center"/>
              <w:rPr>
                <w:rFonts w:ascii="宋体" w:hAnsi="宋体"/>
              </w:rPr>
            </w:pPr>
            <w:r>
              <w:rPr>
                <w:rFonts w:hint="eastAsia" w:ascii="宋体" w:hAnsi="宋体"/>
              </w:rPr>
              <w:t>账号</w:t>
            </w:r>
          </w:p>
        </w:tc>
        <w:tc>
          <w:tcPr>
            <w:tcW w:w="1918" w:type="dxa"/>
            <w:gridSpan w:val="2"/>
            <w:tcBorders>
              <w:top w:val="single" w:color="auto" w:sz="4" w:space="0"/>
              <w:left w:val="single" w:color="auto" w:sz="4" w:space="0"/>
              <w:bottom w:val="single" w:color="auto" w:sz="4" w:space="0"/>
              <w:right w:val="single" w:color="auto" w:sz="4" w:space="0"/>
            </w:tcBorders>
            <w:vAlign w:val="center"/>
          </w:tcPr>
          <w:p w14:paraId="4309A778">
            <w:pPr>
              <w:jc w:val="center"/>
              <w:rPr>
                <w:rFonts w:ascii="宋体" w:hAnsi="宋体"/>
              </w:rPr>
            </w:pPr>
          </w:p>
        </w:tc>
        <w:tc>
          <w:tcPr>
            <w:tcW w:w="0" w:type="auto"/>
            <w:vMerge w:val="continue"/>
            <w:tcBorders>
              <w:top w:val="nil"/>
              <w:left w:val="single" w:color="auto" w:sz="4" w:space="0"/>
              <w:bottom w:val="single" w:color="auto" w:sz="4" w:space="0"/>
              <w:right w:val="single" w:color="auto" w:sz="4" w:space="0"/>
            </w:tcBorders>
            <w:vAlign w:val="center"/>
          </w:tcPr>
          <w:p w14:paraId="34893C04">
            <w:pPr>
              <w:widowControl/>
              <w:jc w:val="left"/>
              <w:rPr>
                <w:rFonts w:ascii="宋体" w:hAnsi="宋体"/>
              </w:rPr>
            </w:pPr>
          </w:p>
        </w:tc>
        <w:tc>
          <w:tcPr>
            <w:tcW w:w="1701" w:type="dxa"/>
            <w:tcBorders>
              <w:top w:val="single" w:color="auto" w:sz="4" w:space="0"/>
              <w:left w:val="single" w:color="auto" w:sz="4" w:space="0"/>
              <w:bottom w:val="single" w:color="auto" w:sz="4" w:space="0"/>
              <w:right w:val="single" w:color="auto" w:sz="4" w:space="0"/>
            </w:tcBorders>
            <w:vAlign w:val="center"/>
          </w:tcPr>
          <w:p w14:paraId="0A570F2A">
            <w:pPr>
              <w:jc w:val="center"/>
              <w:rPr>
                <w:rFonts w:ascii="宋体" w:hAnsi="宋体"/>
              </w:rPr>
            </w:pPr>
            <w:r>
              <w:rPr>
                <w:rFonts w:hint="eastAsia" w:ascii="宋体" w:hAnsi="宋体"/>
              </w:rPr>
              <w:t>技  工</w:t>
            </w:r>
          </w:p>
        </w:tc>
        <w:tc>
          <w:tcPr>
            <w:tcW w:w="2125" w:type="dxa"/>
            <w:gridSpan w:val="2"/>
            <w:tcBorders>
              <w:top w:val="single" w:color="auto" w:sz="4" w:space="0"/>
              <w:left w:val="single" w:color="auto" w:sz="4" w:space="0"/>
              <w:bottom w:val="single" w:color="auto" w:sz="4" w:space="0"/>
              <w:right w:val="single" w:color="auto" w:sz="4" w:space="0"/>
            </w:tcBorders>
            <w:vAlign w:val="center"/>
          </w:tcPr>
          <w:p w14:paraId="02314283">
            <w:pPr>
              <w:jc w:val="center"/>
              <w:rPr>
                <w:rFonts w:ascii="宋体" w:hAnsi="宋体"/>
              </w:rPr>
            </w:pPr>
          </w:p>
        </w:tc>
      </w:tr>
      <w:tr w14:paraId="4D3B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6987408A">
            <w:pPr>
              <w:jc w:val="center"/>
              <w:rPr>
                <w:rFonts w:ascii="宋体" w:hAnsi="宋体"/>
              </w:rPr>
            </w:pPr>
            <w:r>
              <w:rPr>
                <w:rFonts w:hint="eastAsia" w:ascii="宋体" w:hAnsi="宋体"/>
              </w:rPr>
              <w:t>经营范围</w:t>
            </w:r>
          </w:p>
        </w:tc>
        <w:tc>
          <w:tcPr>
            <w:tcW w:w="7020" w:type="dxa"/>
            <w:gridSpan w:val="6"/>
            <w:tcBorders>
              <w:top w:val="single" w:color="auto" w:sz="4" w:space="0"/>
              <w:left w:val="single" w:color="auto" w:sz="4" w:space="0"/>
              <w:bottom w:val="single" w:color="auto" w:sz="4" w:space="0"/>
              <w:right w:val="single" w:color="auto" w:sz="4" w:space="0"/>
            </w:tcBorders>
            <w:vAlign w:val="center"/>
          </w:tcPr>
          <w:p w14:paraId="3CBD1F1E">
            <w:pPr>
              <w:jc w:val="center"/>
              <w:rPr>
                <w:rFonts w:ascii="宋体" w:hAnsi="宋体"/>
              </w:rPr>
            </w:pPr>
          </w:p>
        </w:tc>
      </w:tr>
      <w:tr w14:paraId="0BD39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53C32156">
            <w:pPr>
              <w:jc w:val="center"/>
              <w:rPr>
                <w:rFonts w:ascii="宋体" w:hAnsi="宋体"/>
              </w:rPr>
            </w:pPr>
            <w:r>
              <w:rPr>
                <w:rFonts w:hint="eastAsia" w:ascii="宋体" w:hAnsi="宋体"/>
              </w:rPr>
              <w:t>备注</w:t>
            </w:r>
          </w:p>
        </w:tc>
        <w:tc>
          <w:tcPr>
            <w:tcW w:w="7020" w:type="dxa"/>
            <w:gridSpan w:val="6"/>
            <w:tcBorders>
              <w:top w:val="single" w:color="auto" w:sz="4" w:space="0"/>
              <w:left w:val="single" w:color="auto" w:sz="4" w:space="0"/>
              <w:bottom w:val="single" w:color="auto" w:sz="4" w:space="0"/>
              <w:right w:val="single" w:color="auto" w:sz="4" w:space="0"/>
            </w:tcBorders>
            <w:vAlign w:val="center"/>
          </w:tcPr>
          <w:p w14:paraId="1DD4A24F">
            <w:pPr>
              <w:jc w:val="center"/>
              <w:rPr>
                <w:rFonts w:ascii="宋体" w:hAnsi="宋体"/>
              </w:rPr>
            </w:pPr>
          </w:p>
        </w:tc>
      </w:tr>
    </w:tbl>
    <w:p w14:paraId="694AD310">
      <w:pPr>
        <w:spacing w:line="440" w:lineRule="exact"/>
        <w:ind w:firstLine="480" w:firstLineChars="200"/>
        <w:rPr>
          <w:rFonts w:ascii="宋体" w:hAnsi="宋体"/>
          <w:sz w:val="24"/>
          <w:szCs w:val="24"/>
        </w:rPr>
      </w:pPr>
    </w:p>
    <w:p w14:paraId="054A501D">
      <w:pPr>
        <w:spacing w:line="360" w:lineRule="auto"/>
        <w:jc w:val="center"/>
        <w:rPr>
          <w:rFonts w:ascii="宋体" w:hAnsi="宋体" w:cs="宋体"/>
          <w:sz w:val="28"/>
          <w:szCs w:val="28"/>
        </w:rPr>
      </w:pPr>
      <w:r>
        <w:rPr>
          <w:rFonts w:hint="eastAsia" w:ascii="宋体" w:hAnsi="宋体"/>
        </w:rPr>
        <w:br w:type="page"/>
      </w:r>
      <w:r>
        <w:rPr>
          <w:rFonts w:hint="eastAsia" w:ascii="宋体" w:hAnsi="宋体" w:cs="宋体"/>
          <w:sz w:val="28"/>
          <w:szCs w:val="28"/>
        </w:rPr>
        <w:t>1、具有独立承担民事责任的能力</w:t>
      </w:r>
    </w:p>
    <w:p w14:paraId="18D97EF8">
      <w:pPr>
        <w:spacing w:line="360" w:lineRule="auto"/>
        <w:ind w:firstLine="420"/>
        <w:jc w:val="center"/>
        <w:rPr>
          <w:rFonts w:ascii="宋体" w:hAnsi="宋体" w:cs="宋体"/>
          <w:sz w:val="28"/>
          <w:szCs w:val="28"/>
        </w:rPr>
      </w:pPr>
    </w:p>
    <w:p w14:paraId="74A2A669">
      <w:pPr>
        <w:spacing w:line="360" w:lineRule="auto"/>
        <w:jc w:val="center"/>
        <w:rPr>
          <w:rFonts w:ascii="宋体" w:hAnsi="宋体" w:cs="宋体"/>
        </w:rPr>
      </w:pPr>
      <w:r>
        <w:rPr>
          <w:rFonts w:hint="eastAsia" w:ascii="宋体" w:hAnsi="宋体" w:cs="宋体"/>
        </w:rPr>
        <w:t>（附法人或者其他组织的营业执照等证明文件）</w:t>
      </w:r>
    </w:p>
    <w:p w14:paraId="666215E1">
      <w:pPr>
        <w:spacing w:line="360" w:lineRule="auto"/>
        <w:ind w:firstLine="420"/>
        <w:jc w:val="center"/>
        <w:rPr>
          <w:rFonts w:ascii="宋体" w:hAnsi="宋体" w:cs="宋体"/>
          <w:sz w:val="28"/>
          <w:szCs w:val="28"/>
        </w:rPr>
      </w:pPr>
    </w:p>
    <w:p w14:paraId="50E16B40">
      <w:pPr>
        <w:spacing w:line="360" w:lineRule="auto"/>
        <w:ind w:firstLine="420"/>
        <w:jc w:val="center"/>
        <w:rPr>
          <w:rFonts w:ascii="宋体" w:hAnsi="宋体" w:cs="宋体"/>
          <w:sz w:val="28"/>
          <w:szCs w:val="28"/>
        </w:rPr>
      </w:pPr>
      <w:bookmarkStart w:id="1263" w:name="_Toc134452826"/>
    </w:p>
    <w:p w14:paraId="6E862210">
      <w:pPr>
        <w:spacing w:line="360" w:lineRule="auto"/>
        <w:ind w:firstLine="420"/>
        <w:rPr>
          <w:sz w:val="28"/>
          <w:szCs w:val="28"/>
        </w:rPr>
      </w:pPr>
      <w:r>
        <w:rPr>
          <w:rFonts w:hint="eastAsia"/>
          <w:sz w:val="28"/>
          <w:szCs w:val="28"/>
        </w:rPr>
        <w:br w:type="page"/>
      </w:r>
    </w:p>
    <w:p w14:paraId="0FFEC8C3">
      <w:pPr>
        <w:spacing w:line="360" w:lineRule="auto"/>
        <w:ind w:firstLine="420"/>
        <w:jc w:val="center"/>
        <w:rPr>
          <w:rFonts w:ascii="宋体" w:hAnsi="宋体" w:cs="宋体"/>
          <w:sz w:val="28"/>
          <w:szCs w:val="28"/>
        </w:rPr>
      </w:pPr>
      <w:r>
        <w:rPr>
          <w:rFonts w:hint="eastAsia" w:ascii="宋体" w:hAnsi="宋体" w:cs="宋体"/>
          <w:sz w:val="28"/>
          <w:szCs w:val="28"/>
        </w:rPr>
        <w:t>2、具有良好的商业信誉和健全的财务会计制度</w:t>
      </w:r>
      <w:bookmarkEnd w:id="1263"/>
    </w:p>
    <w:p w14:paraId="3E4E32C3">
      <w:pPr>
        <w:spacing w:line="360" w:lineRule="auto"/>
        <w:ind w:firstLine="420"/>
        <w:jc w:val="center"/>
        <w:rPr>
          <w:rFonts w:ascii="宋体" w:hAnsi="宋体" w:cs="宋体"/>
          <w:sz w:val="28"/>
          <w:szCs w:val="28"/>
        </w:rPr>
      </w:pPr>
    </w:p>
    <w:p w14:paraId="324430BC">
      <w:pPr>
        <w:spacing w:line="360" w:lineRule="auto"/>
        <w:rPr>
          <w:rFonts w:ascii="宋体" w:hAnsi="宋体" w:cs="宋体"/>
        </w:rPr>
      </w:pPr>
      <w:r>
        <w:rPr>
          <w:rFonts w:hint="eastAsia" w:ascii="宋体" w:hAnsi="宋体" w:cs="宋体"/>
        </w:rPr>
        <w:t>202</w:t>
      </w:r>
      <w:r>
        <w:rPr>
          <w:rFonts w:hint="eastAsia" w:ascii="宋体" w:hAnsi="宋体" w:cs="宋体"/>
          <w:lang w:val="en-US" w:eastAsia="zh-CN"/>
        </w:rPr>
        <w:t>4</w:t>
      </w:r>
      <w:r>
        <w:rPr>
          <w:rFonts w:hint="eastAsia" w:ascii="宋体" w:hAnsi="宋体" w:cs="宋体"/>
        </w:rPr>
        <w:t>年度经第三方审计机构出具的审计报告</w:t>
      </w:r>
      <w:r>
        <w:rPr>
          <w:rFonts w:hint="eastAsia" w:ascii="宋体" w:hAnsi="宋体" w:cs="宋体"/>
          <w:lang w:eastAsia="zh-CN"/>
        </w:rPr>
        <w:t>或</w:t>
      </w:r>
      <w:r>
        <w:rPr>
          <w:rFonts w:hint="eastAsia" w:ascii="宋体" w:hAnsi="宋体" w:cs="宋体"/>
        </w:rPr>
        <w:t>基本开户银行出具的有效资信证明</w:t>
      </w:r>
    </w:p>
    <w:p w14:paraId="1856FCE9">
      <w:pPr>
        <w:spacing w:line="360" w:lineRule="auto"/>
        <w:ind w:firstLine="420"/>
        <w:jc w:val="center"/>
        <w:rPr>
          <w:rFonts w:ascii="宋体" w:hAnsi="宋体" w:cs="宋体"/>
          <w:sz w:val="28"/>
          <w:szCs w:val="28"/>
        </w:rPr>
      </w:pPr>
    </w:p>
    <w:p w14:paraId="0AB14D63">
      <w:pPr>
        <w:spacing w:line="360" w:lineRule="auto"/>
        <w:ind w:firstLine="420"/>
        <w:jc w:val="center"/>
        <w:rPr>
          <w:rFonts w:ascii="宋体" w:hAnsi="宋体" w:cs="宋体"/>
          <w:sz w:val="28"/>
          <w:szCs w:val="28"/>
        </w:rPr>
      </w:pPr>
      <w:bookmarkStart w:id="1264" w:name="_Toc134452827"/>
    </w:p>
    <w:p w14:paraId="658A68FB">
      <w:pPr>
        <w:spacing w:line="360" w:lineRule="auto"/>
        <w:ind w:firstLine="420"/>
        <w:rPr>
          <w:sz w:val="28"/>
          <w:szCs w:val="28"/>
        </w:rPr>
      </w:pPr>
      <w:r>
        <w:rPr>
          <w:rFonts w:hint="eastAsia"/>
          <w:sz w:val="28"/>
          <w:szCs w:val="28"/>
        </w:rPr>
        <w:br w:type="page"/>
      </w:r>
    </w:p>
    <w:p w14:paraId="26A56D90">
      <w:pPr>
        <w:spacing w:line="360" w:lineRule="auto"/>
        <w:ind w:firstLine="420"/>
        <w:jc w:val="center"/>
        <w:rPr>
          <w:rFonts w:ascii="宋体" w:hAnsi="宋体" w:cs="宋体"/>
          <w:sz w:val="28"/>
          <w:szCs w:val="28"/>
        </w:rPr>
      </w:pPr>
      <w:r>
        <w:rPr>
          <w:rFonts w:hint="eastAsia" w:ascii="宋体" w:hAnsi="宋体" w:cs="宋体"/>
          <w:sz w:val="28"/>
          <w:szCs w:val="28"/>
        </w:rPr>
        <w:t>3、具有履行合同所必需的设备和专业技术能力</w:t>
      </w:r>
      <w:bookmarkEnd w:id="1264"/>
    </w:p>
    <w:p w14:paraId="38C5D55D">
      <w:pPr>
        <w:spacing w:line="360" w:lineRule="auto"/>
        <w:ind w:firstLine="420"/>
        <w:jc w:val="center"/>
        <w:rPr>
          <w:rFonts w:ascii="宋体" w:hAnsi="宋体" w:cs="宋体"/>
          <w:sz w:val="28"/>
          <w:szCs w:val="28"/>
        </w:rPr>
      </w:pPr>
    </w:p>
    <w:p w14:paraId="792706B0">
      <w:pPr>
        <w:spacing w:line="360" w:lineRule="auto"/>
        <w:jc w:val="center"/>
        <w:rPr>
          <w:rFonts w:ascii="宋体" w:hAnsi="宋体" w:cs="宋体"/>
        </w:rPr>
      </w:pPr>
      <w:r>
        <w:rPr>
          <w:rFonts w:hint="eastAsia" w:ascii="宋体" w:hAnsi="宋体" w:cs="宋体"/>
        </w:rPr>
        <w:t>附承诺书，加盖单位公章</w:t>
      </w:r>
    </w:p>
    <w:p w14:paraId="6A212409">
      <w:pPr>
        <w:spacing w:line="360" w:lineRule="auto"/>
        <w:ind w:firstLine="420"/>
        <w:jc w:val="center"/>
        <w:rPr>
          <w:rFonts w:ascii="宋体" w:hAnsi="宋体" w:cs="宋体"/>
          <w:sz w:val="28"/>
          <w:szCs w:val="28"/>
        </w:rPr>
      </w:pPr>
    </w:p>
    <w:p w14:paraId="7797070F">
      <w:pPr>
        <w:spacing w:line="360" w:lineRule="auto"/>
        <w:ind w:firstLine="420"/>
        <w:jc w:val="center"/>
        <w:rPr>
          <w:rFonts w:ascii="宋体" w:hAnsi="宋体" w:cs="宋体"/>
          <w:sz w:val="28"/>
          <w:szCs w:val="28"/>
        </w:rPr>
      </w:pPr>
      <w:bookmarkStart w:id="1265" w:name="_Toc134452828"/>
    </w:p>
    <w:p w14:paraId="66207C70">
      <w:pPr>
        <w:spacing w:line="360" w:lineRule="auto"/>
        <w:ind w:firstLine="420"/>
        <w:rPr>
          <w:sz w:val="28"/>
          <w:szCs w:val="28"/>
        </w:rPr>
      </w:pPr>
      <w:r>
        <w:rPr>
          <w:rFonts w:hint="eastAsia"/>
          <w:sz w:val="28"/>
          <w:szCs w:val="28"/>
        </w:rPr>
        <w:br w:type="page"/>
      </w:r>
    </w:p>
    <w:p w14:paraId="2645290F">
      <w:pPr>
        <w:spacing w:line="360" w:lineRule="auto"/>
        <w:ind w:firstLine="420"/>
        <w:jc w:val="center"/>
        <w:rPr>
          <w:rFonts w:ascii="宋体" w:hAnsi="宋体" w:cs="宋体"/>
          <w:sz w:val="28"/>
          <w:szCs w:val="28"/>
        </w:rPr>
      </w:pPr>
      <w:r>
        <w:rPr>
          <w:rFonts w:hint="eastAsia" w:ascii="宋体" w:hAnsi="宋体" w:cs="宋体"/>
          <w:sz w:val="28"/>
          <w:szCs w:val="28"/>
        </w:rPr>
        <w:t>4、有依法缴纳税收和社会保障资金的良好记录</w:t>
      </w:r>
      <w:bookmarkEnd w:id="1265"/>
    </w:p>
    <w:p w14:paraId="51A1BC0F">
      <w:pPr>
        <w:spacing w:line="360" w:lineRule="auto"/>
        <w:ind w:firstLine="420"/>
        <w:jc w:val="center"/>
        <w:rPr>
          <w:rFonts w:ascii="宋体" w:hAnsi="宋体" w:cs="宋体"/>
          <w:sz w:val="28"/>
          <w:szCs w:val="28"/>
        </w:rPr>
      </w:pPr>
    </w:p>
    <w:p w14:paraId="15F1BFFC">
      <w:pPr>
        <w:spacing w:line="360" w:lineRule="auto"/>
        <w:ind w:firstLine="361"/>
        <w:rPr>
          <w:rFonts w:ascii="宋体" w:hAnsi="宋体" w:cs="宋体"/>
          <w:b/>
          <w:bCs/>
        </w:rPr>
      </w:pPr>
      <w:r>
        <w:rPr>
          <w:rFonts w:hint="eastAsia" w:ascii="宋体" w:hAnsi="宋体" w:cs="宋体"/>
          <w:b/>
          <w:bCs/>
        </w:rPr>
        <w:t>1．附202</w:t>
      </w:r>
      <w:r>
        <w:rPr>
          <w:rFonts w:hint="eastAsia" w:ascii="宋体" w:hAnsi="宋体" w:cs="宋体"/>
          <w:b/>
          <w:bCs/>
          <w:lang w:val="en-US" w:eastAsia="zh-CN"/>
        </w:rPr>
        <w:t>5</w:t>
      </w:r>
      <w:r>
        <w:rPr>
          <w:rFonts w:hint="eastAsia" w:ascii="宋体" w:hAnsi="宋体" w:cs="宋体"/>
          <w:b/>
          <w:bCs/>
        </w:rPr>
        <w:t>年1月至今任意</w:t>
      </w:r>
      <w:r>
        <w:rPr>
          <w:rFonts w:hint="eastAsia" w:ascii="宋体" w:hAnsi="宋体" w:cs="宋体"/>
          <w:b/>
          <w:bCs/>
          <w:lang w:val="en-US" w:eastAsia="zh-CN"/>
        </w:rPr>
        <w:t>1</w:t>
      </w:r>
      <w:r>
        <w:rPr>
          <w:rFonts w:hint="eastAsia" w:ascii="宋体" w:hAnsi="宋体" w:cs="宋体"/>
          <w:b/>
          <w:bCs/>
        </w:rPr>
        <w:t>个月的缴纳税收的凭据；</w:t>
      </w:r>
    </w:p>
    <w:p w14:paraId="0F0DF7A1">
      <w:pPr>
        <w:spacing w:line="360" w:lineRule="auto"/>
        <w:rPr>
          <w:rFonts w:ascii="宋体" w:hAnsi="宋体" w:cs="宋体"/>
        </w:rPr>
      </w:pPr>
      <w:r>
        <w:rPr>
          <w:rFonts w:hint="eastAsia" w:ascii="宋体" w:hAnsi="宋体" w:cs="宋体"/>
        </w:rPr>
        <w:t xml:space="preserve">（1）纳税证明必须包含增值税或营业税或企业所得税其中之一； </w:t>
      </w:r>
    </w:p>
    <w:p w14:paraId="22B2FBE1">
      <w:pPr>
        <w:spacing w:line="360" w:lineRule="auto"/>
        <w:rPr>
          <w:rFonts w:ascii="宋体" w:hAnsi="宋体" w:cs="宋体"/>
        </w:rPr>
      </w:pPr>
      <w:r>
        <w:rPr>
          <w:rFonts w:hint="eastAsia" w:ascii="宋体" w:hAnsi="宋体" w:cs="宋体"/>
        </w:rPr>
        <w:t>（2）供应商依法免税，应提供依法免税的相应证明文件。</w:t>
      </w:r>
    </w:p>
    <w:p w14:paraId="5011527E">
      <w:pPr>
        <w:spacing w:line="360" w:lineRule="auto"/>
        <w:ind w:firstLine="361"/>
        <w:rPr>
          <w:rFonts w:ascii="宋体" w:hAnsi="宋体" w:cs="宋体"/>
          <w:b/>
          <w:bCs/>
        </w:rPr>
      </w:pPr>
      <w:r>
        <w:rPr>
          <w:rFonts w:hint="eastAsia" w:ascii="宋体" w:hAnsi="宋体" w:cs="宋体"/>
          <w:b/>
          <w:bCs/>
        </w:rPr>
        <w:t>2．附202</w:t>
      </w:r>
      <w:r>
        <w:rPr>
          <w:rFonts w:hint="eastAsia" w:ascii="宋体" w:hAnsi="宋体" w:cs="宋体"/>
          <w:b/>
          <w:bCs/>
          <w:lang w:val="en-US" w:eastAsia="zh-CN"/>
        </w:rPr>
        <w:t>5</w:t>
      </w:r>
      <w:r>
        <w:rPr>
          <w:rFonts w:hint="eastAsia" w:ascii="宋体" w:hAnsi="宋体" w:cs="宋体"/>
          <w:b/>
          <w:bCs/>
        </w:rPr>
        <w:t>年1月至今任意</w:t>
      </w:r>
      <w:r>
        <w:rPr>
          <w:rFonts w:hint="eastAsia" w:ascii="宋体" w:hAnsi="宋体" w:cs="宋体"/>
          <w:b/>
          <w:bCs/>
          <w:lang w:val="en-US" w:eastAsia="zh-CN"/>
        </w:rPr>
        <w:t>1</w:t>
      </w:r>
      <w:r>
        <w:rPr>
          <w:rFonts w:hint="eastAsia" w:ascii="宋体" w:hAnsi="宋体" w:cs="宋体"/>
          <w:b/>
          <w:bCs/>
        </w:rPr>
        <w:t>个月的缴纳社会保险的凭据；</w:t>
      </w:r>
    </w:p>
    <w:p w14:paraId="625AAEC7">
      <w:pPr>
        <w:spacing w:line="360" w:lineRule="auto"/>
        <w:rPr>
          <w:rFonts w:ascii="宋体" w:hAnsi="宋体" w:cs="宋体"/>
        </w:rPr>
      </w:pPr>
      <w:r>
        <w:rPr>
          <w:rFonts w:hint="eastAsia" w:ascii="宋体" w:hAnsi="宋体" w:cs="宋体"/>
        </w:rPr>
        <w:t>供应商不需要缴纳社保的，需提供能够有效证明其属于国家允许不缴纳社保的相关证明文件。</w:t>
      </w:r>
    </w:p>
    <w:p w14:paraId="1F976DFA">
      <w:pPr>
        <w:widowControl/>
        <w:spacing w:line="360" w:lineRule="auto"/>
        <w:jc w:val="left"/>
        <w:rPr>
          <w:sz w:val="24"/>
          <w:szCs w:val="24"/>
        </w:rPr>
      </w:pPr>
      <w:r>
        <w:rPr>
          <w:sz w:val="24"/>
          <w:szCs w:val="24"/>
        </w:rPr>
        <w:br w:type="page"/>
      </w:r>
    </w:p>
    <w:p w14:paraId="0D4EFE64">
      <w:pPr>
        <w:spacing w:line="360" w:lineRule="auto"/>
        <w:ind w:firstLine="420"/>
        <w:jc w:val="center"/>
        <w:rPr>
          <w:rFonts w:ascii="宋体" w:hAnsi="宋体" w:cs="宋体"/>
          <w:sz w:val="28"/>
          <w:szCs w:val="28"/>
        </w:rPr>
      </w:pPr>
      <w:bookmarkStart w:id="1266" w:name="_Toc134452829"/>
      <w:r>
        <w:rPr>
          <w:rFonts w:hint="eastAsia" w:ascii="宋体" w:hAnsi="宋体" w:cs="宋体"/>
          <w:sz w:val="28"/>
          <w:szCs w:val="28"/>
        </w:rPr>
        <w:t>5、参加政府采购活动前三年内，在经营活动中没有重大违法记录声明</w:t>
      </w:r>
      <w:bookmarkEnd w:id="1266"/>
    </w:p>
    <w:p w14:paraId="386433DC">
      <w:pPr>
        <w:spacing w:line="360" w:lineRule="auto"/>
        <w:ind w:firstLine="420"/>
        <w:jc w:val="center"/>
        <w:rPr>
          <w:rFonts w:ascii="宋体" w:hAnsi="宋体" w:cs="宋体"/>
          <w:sz w:val="28"/>
          <w:szCs w:val="28"/>
        </w:rPr>
      </w:pPr>
    </w:p>
    <w:p w14:paraId="753A9856">
      <w:pPr>
        <w:spacing w:line="360" w:lineRule="auto"/>
        <w:jc w:val="center"/>
        <w:rPr>
          <w:rFonts w:ascii="宋体" w:hAnsi="宋体" w:cs="宋体"/>
        </w:rPr>
      </w:pPr>
      <w:r>
        <w:rPr>
          <w:rFonts w:hint="eastAsia" w:ascii="宋体" w:hAnsi="宋体" w:cs="宋体"/>
        </w:rPr>
        <w:t>附参加政府采购活动前三年内，在经营活动中没有重大违法记录声明（格式自拟）</w:t>
      </w:r>
    </w:p>
    <w:p w14:paraId="6E4AB0C1">
      <w:pPr>
        <w:spacing w:line="360" w:lineRule="auto"/>
        <w:ind w:firstLine="420"/>
        <w:jc w:val="center"/>
        <w:rPr>
          <w:rFonts w:ascii="宋体" w:hAnsi="宋体" w:cs="宋体"/>
          <w:sz w:val="28"/>
          <w:szCs w:val="28"/>
        </w:rPr>
      </w:pPr>
    </w:p>
    <w:p w14:paraId="537B6B55">
      <w:pPr>
        <w:spacing w:line="360" w:lineRule="auto"/>
        <w:ind w:firstLine="420"/>
        <w:rPr>
          <w:sz w:val="28"/>
          <w:szCs w:val="28"/>
        </w:rPr>
      </w:pPr>
      <w:bookmarkStart w:id="1267" w:name="_Toc134452830"/>
      <w:r>
        <w:rPr>
          <w:rFonts w:hint="eastAsia"/>
          <w:sz w:val="28"/>
          <w:szCs w:val="28"/>
        </w:rPr>
        <w:br w:type="page"/>
      </w:r>
    </w:p>
    <w:p w14:paraId="21DE1A25">
      <w:pPr>
        <w:spacing w:line="360" w:lineRule="auto"/>
        <w:ind w:firstLine="420"/>
        <w:jc w:val="center"/>
        <w:rPr>
          <w:rFonts w:ascii="宋体" w:hAnsi="宋体" w:cs="宋体"/>
          <w:sz w:val="28"/>
          <w:szCs w:val="28"/>
        </w:rPr>
      </w:pPr>
      <w:r>
        <w:rPr>
          <w:rFonts w:hint="eastAsia" w:ascii="宋体" w:hAnsi="宋体" w:cs="宋体"/>
          <w:sz w:val="28"/>
          <w:szCs w:val="28"/>
        </w:rPr>
        <w:t>6、</w:t>
      </w:r>
      <w:bookmarkEnd w:id="1267"/>
      <w:r>
        <w:rPr>
          <w:rFonts w:hint="eastAsia" w:ascii="宋体" w:hAnsi="宋体" w:cs="宋体"/>
          <w:sz w:val="28"/>
          <w:szCs w:val="28"/>
        </w:rPr>
        <w:t>特定资格</w:t>
      </w:r>
    </w:p>
    <w:p w14:paraId="309D51FF">
      <w:pPr>
        <w:widowControl/>
        <w:spacing w:line="360" w:lineRule="auto"/>
        <w:jc w:val="left"/>
      </w:pPr>
      <w:r>
        <w:rPr>
          <w:rFonts w:hint="eastAsia"/>
        </w:rPr>
        <w:t>提供下列符合特定资格要求的资料证明：</w:t>
      </w:r>
    </w:p>
    <w:p w14:paraId="6F23D601">
      <w:pPr>
        <w:widowControl/>
        <w:spacing w:line="360" w:lineRule="auto"/>
        <w:ind w:firstLine="420" w:firstLineChars="200"/>
        <w:jc w:val="left"/>
        <w:rPr>
          <w:rFonts w:ascii="宋体" w:hAnsi="宋体"/>
        </w:rPr>
      </w:pPr>
      <w:bookmarkStart w:id="1268" w:name="_Toc134452831"/>
      <w:r>
        <w:rPr>
          <w:rFonts w:hint="eastAsia" w:ascii="宋体" w:hAnsi="宋体"/>
        </w:rPr>
        <w:t>资质要求：供应商具有建设行政主管部门</w:t>
      </w:r>
      <w:r>
        <w:rPr>
          <w:rFonts w:hint="eastAsia" w:ascii="宋体" w:hAnsi="宋体"/>
          <w:color w:val="auto"/>
        </w:rPr>
        <w:t>颁发的建筑施工总承包</w:t>
      </w:r>
      <w:r>
        <w:rPr>
          <w:rFonts w:hint="eastAsia" w:ascii="宋体" w:hAnsi="宋体"/>
          <w:color w:val="auto"/>
          <w:lang w:eastAsia="zh-CN"/>
        </w:rPr>
        <w:t>叁</w:t>
      </w:r>
      <w:r>
        <w:rPr>
          <w:rFonts w:hint="eastAsia" w:ascii="宋体" w:hAnsi="宋体"/>
          <w:color w:val="auto"/>
        </w:rPr>
        <w:t>级</w:t>
      </w:r>
      <w:r>
        <w:rPr>
          <w:rFonts w:hint="eastAsia" w:ascii="宋体" w:hAnsi="宋体"/>
          <w:color w:val="auto"/>
          <w:lang w:val="en-US" w:eastAsia="zh-CN"/>
        </w:rPr>
        <w:t>或</w:t>
      </w:r>
      <w:r>
        <w:rPr>
          <w:rFonts w:hint="eastAsia" w:ascii="宋体" w:hAnsi="宋体"/>
          <w:color w:val="auto"/>
          <w:lang w:eastAsia="zh-CN"/>
        </w:rPr>
        <w:t>建筑装修装饰工程专业承包贰级</w:t>
      </w:r>
      <w:r>
        <w:rPr>
          <w:rFonts w:hint="eastAsia" w:ascii="宋体" w:hAnsi="宋体"/>
          <w:color w:val="auto"/>
        </w:rPr>
        <w:t>及以上资质，并</w:t>
      </w:r>
      <w:r>
        <w:rPr>
          <w:rFonts w:hint="eastAsia" w:ascii="宋体" w:hAnsi="宋体"/>
        </w:rPr>
        <w:t>具有有效的安全生产许可证，并在人员、设备、资金等方面具备相应的施工能力；</w:t>
      </w:r>
    </w:p>
    <w:p w14:paraId="775DA10F">
      <w:pPr>
        <w:widowControl/>
        <w:spacing w:line="360" w:lineRule="auto"/>
        <w:ind w:firstLine="420" w:firstLineChars="200"/>
        <w:jc w:val="left"/>
        <w:rPr>
          <w:rFonts w:ascii="宋体" w:hAnsi="宋体"/>
        </w:rPr>
      </w:pPr>
      <w:r>
        <w:rPr>
          <w:rFonts w:hint="eastAsia" w:ascii="宋体" w:hAnsi="宋体"/>
        </w:rPr>
        <w:t>拟派项目经理须具有建筑专业二级及以上注册建造师资格和有效的安全生产考核合格证，须提供</w:t>
      </w:r>
      <w:r>
        <w:rPr>
          <w:rFonts w:hint="eastAsia" w:ascii="宋体" w:hAnsi="宋体"/>
          <w:lang w:eastAsia="zh-CN"/>
        </w:rPr>
        <w:t>2025年1月以来供应商为其缴纳的</w:t>
      </w:r>
      <w:r>
        <w:rPr>
          <w:rFonts w:hint="eastAsia" w:ascii="宋体" w:hAnsi="宋体"/>
        </w:rPr>
        <w:t>任意3个月养老保险证明，且同时未在其他在建施工项目担任项目经理（自行承诺）；项目经理在中国执行信息公开网未被列入“失信被执行人”名单（自行承诺）</w:t>
      </w:r>
    </w:p>
    <w:p w14:paraId="309A0F1A">
      <w:pPr>
        <w:spacing w:line="360" w:lineRule="auto"/>
        <w:ind w:firstLine="420" w:firstLineChars="200"/>
        <w:rPr>
          <w:sz w:val="28"/>
          <w:szCs w:val="28"/>
        </w:rPr>
      </w:pPr>
      <w:r>
        <w:rPr>
          <w:rFonts w:hint="eastAsia" w:ascii="宋体" w:hAnsi="宋体" w:cs="宋体"/>
        </w:rPr>
        <w:br w:type="page"/>
      </w:r>
    </w:p>
    <w:p w14:paraId="7310CB31">
      <w:pPr>
        <w:spacing w:line="360" w:lineRule="auto"/>
        <w:ind w:firstLine="420"/>
        <w:jc w:val="center"/>
        <w:rPr>
          <w:rFonts w:ascii="宋体" w:hAnsi="宋体" w:cs="宋体"/>
          <w:sz w:val="28"/>
          <w:szCs w:val="28"/>
        </w:rPr>
      </w:pPr>
      <w:r>
        <w:rPr>
          <w:rFonts w:hint="eastAsia" w:ascii="宋体" w:hAnsi="宋体" w:cs="宋体"/>
          <w:sz w:val="28"/>
          <w:szCs w:val="28"/>
        </w:rPr>
        <w:t>7、信用记录查询</w:t>
      </w:r>
      <w:bookmarkEnd w:id="1268"/>
    </w:p>
    <w:p w14:paraId="749ED857">
      <w:pPr>
        <w:spacing w:line="360" w:lineRule="auto"/>
        <w:ind w:firstLine="420" w:firstLineChars="200"/>
      </w:pPr>
      <w:r>
        <w:rPr>
          <w:rFonts w:hint="eastAsia" w:ascii="宋体" w:hAnsi="宋体"/>
        </w:rPr>
        <w:t>根据《关于在政府采购活动中查询及使用信用记录有关问题的通知》(财库[2016]125号) 和豫财购【2016】15 号的规定，对列入失信被执行人、重大税收违法失信主体、政府采购严重违法失信行为记录名单的供应商，拒绝参与本项目政府采购活动。【查询渠道：“信用中国”网站（www.creditchina.gov.cn）、中国政府采购网（www.ccgp.gov.cn）】；</w:t>
      </w:r>
    </w:p>
    <w:p w14:paraId="7F26180E">
      <w:pPr>
        <w:spacing w:line="360" w:lineRule="auto"/>
        <w:ind w:firstLine="420" w:firstLineChars="200"/>
      </w:pPr>
      <w:r>
        <w:rPr>
          <w:rFonts w:hint="eastAsia"/>
        </w:rPr>
        <w:t>建议供应商附入响应文件内查询记录，未附入的不得作为无效响应处理，采购人或采购代理机构开标后对所有供应商信用记录进行查询，以采购代理机构开标当日查询结果作为评审依据，经查询之后，网站信息发生的任何变更均不再作为评审依据</w:t>
      </w:r>
      <w:r>
        <w:rPr>
          <w:rFonts w:hint="eastAsia"/>
          <w:lang w:eastAsia="zh-CN"/>
        </w:rPr>
        <w:t>。</w:t>
      </w:r>
    </w:p>
    <w:p w14:paraId="2FECDD98">
      <w:pPr>
        <w:widowControl/>
        <w:spacing w:line="360" w:lineRule="auto"/>
        <w:jc w:val="left"/>
        <w:rPr>
          <w:sz w:val="24"/>
          <w:szCs w:val="24"/>
        </w:rPr>
      </w:pPr>
    </w:p>
    <w:p w14:paraId="3F4181D1">
      <w:pPr>
        <w:spacing w:line="360" w:lineRule="auto"/>
        <w:ind w:firstLine="420"/>
        <w:rPr>
          <w:sz w:val="28"/>
          <w:szCs w:val="28"/>
        </w:rPr>
      </w:pPr>
      <w:bookmarkStart w:id="1269" w:name="_Toc134452832"/>
      <w:r>
        <w:rPr>
          <w:rFonts w:hint="eastAsia"/>
          <w:sz w:val="28"/>
          <w:szCs w:val="28"/>
        </w:rPr>
        <w:br w:type="page"/>
      </w:r>
    </w:p>
    <w:bookmarkEnd w:id="1269"/>
    <w:p w14:paraId="3B622E01">
      <w:pPr>
        <w:numPr>
          <w:ilvl w:val="0"/>
          <w:numId w:val="11"/>
        </w:numPr>
        <w:spacing w:line="360" w:lineRule="auto"/>
        <w:ind w:firstLine="420"/>
        <w:jc w:val="center"/>
        <w:rPr>
          <w:rFonts w:hint="eastAsia" w:ascii="宋体" w:hAnsi="宋体" w:cs="宋体"/>
          <w:sz w:val="28"/>
          <w:szCs w:val="28"/>
          <w:lang w:val="en-US" w:eastAsia="zh-CN"/>
        </w:rPr>
      </w:pPr>
      <w:r>
        <w:rPr>
          <w:rFonts w:hint="eastAsia" w:ascii="宋体" w:hAnsi="宋体" w:cs="宋体"/>
          <w:sz w:val="28"/>
          <w:szCs w:val="28"/>
        </w:rPr>
        <w:t>单位负责人为同一人或者存在直接控股关系、管理关系的不同供应商，不得参加同一合同项下的政府采购活动</w:t>
      </w:r>
      <w:r>
        <w:rPr>
          <w:rFonts w:hint="eastAsia" w:ascii="宋体" w:hAnsi="宋体" w:cs="宋体"/>
          <w:sz w:val="28"/>
          <w:szCs w:val="28"/>
          <w:lang w:val="en-US" w:eastAsia="zh-CN"/>
        </w:rPr>
        <w:t>.</w:t>
      </w:r>
    </w:p>
    <w:p w14:paraId="4B7C3C5B">
      <w:pPr>
        <w:numPr>
          <w:ilvl w:val="0"/>
          <w:numId w:val="0"/>
        </w:numPr>
        <w:spacing w:line="360" w:lineRule="auto"/>
        <w:jc w:val="center"/>
        <w:rPr>
          <w:rFonts w:hint="eastAsia" w:ascii="宋体" w:hAnsi="宋体" w:cs="宋体"/>
          <w:sz w:val="28"/>
          <w:szCs w:val="28"/>
        </w:rPr>
        <w:sectPr>
          <w:pgSz w:w="11906" w:h="16838"/>
          <w:pgMar w:top="1440" w:right="1429" w:bottom="1440" w:left="1451" w:header="851" w:footer="992" w:gutter="0"/>
          <w:cols w:space="425" w:num="1"/>
          <w:docGrid w:type="lines" w:linePitch="312" w:charSpace="0"/>
        </w:sectPr>
      </w:pPr>
      <w:r>
        <w:rPr>
          <w:rFonts w:hint="eastAsia" w:ascii="宋体" w:hAnsi="宋体" w:cs="宋体"/>
          <w:sz w:val="28"/>
          <w:szCs w:val="28"/>
        </w:rPr>
        <w:t>提供声明函。</w:t>
      </w:r>
    </w:p>
    <w:p w14:paraId="37CA6FEE">
      <w:pPr>
        <w:numPr>
          <w:ilvl w:val="0"/>
          <w:numId w:val="11"/>
        </w:numPr>
        <w:spacing w:line="360" w:lineRule="auto"/>
        <w:ind w:firstLine="420"/>
        <w:jc w:val="center"/>
        <w:rPr>
          <w:rFonts w:hint="eastAsia" w:ascii="宋体" w:hAnsi="宋体" w:cs="宋体"/>
          <w:sz w:val="28"/>
          <w:szCs w:val="28"/>
          <w:lang w:val="en-US" w:eastAsia="zh-CN"/>
        </w:rPr>
        <w:sectPr>
          <w:pgSz w:w="11906" w:h="16838"/>
          <w:pgMar w:top="1440" w:right="1429" w:bottom="1440" w:left="1451" w:header="851" w:footer="992" w:gutter="0"/>
          <w:cols w:space="425" w:num="1"/>
          <w:docGrid w:type="lines" w:linePitch="312" w:charSpace="0"/>
        </w:sectPr>
      </w:pPr>
      <w:r>
        <w:rPr>
          <w:rFonts w:hint="eastAsia" w:ascii="宋体" w:hAnsi="宋体" w:cs="宋体"/>
          <w:sz w:val="28"/>
          <w:szCs w:val="28"/>
          <w:lang w:val="en-US" w:eastAsia="zh-CN"/>
        </w:rPr>
        <w:t>供应商认为的其他证明材料</w:t>
      </w:r>
    </w:p>
    <w:p w14:paraId="02E79701">
      <w:pPr>
        <w:spacing w:before="120" w:after="240" w:line="440" w:lineRule="exact"/>
        <w:outlineLvl w:val="2"/>
        <w:rPr>
          <w:rFonts w:hint="eastAsia" w:ascii="宋体" w:hAnsi="宋体" w:eastAsia="宋体" w:cs="Times New Roman"/>
          <w:sz w:val="24"/>
          <w:szCs w:val="24"/>
          <w:lang w:val="en-US" w:eastAsia="zh-CN"/>
        </w:rPr>
      </w:pPr>
      <w:bookmarkStart w:id="1270" w:name="_Toc134452833"/>
      <w:bookmarkStart w:id="1271" w:name="_Toc6698"/>
      <w:r>
        <w:rPr>
          <w:rFonts w:hint="eastAsia" w:ascii="宋体" w:hAnsi="宋体" w:eastAsia="宋体" w:cs="Times New Roman"/>
          <w:sz w:val="24"/>
          <w:szCs w:val="24"/>
          <w:lang w:val="en-US" w:eastAsia="zh-CN"/>
        </w:rPr>
        <w:t>（二）</w:t>
      </w:r>
      <w:bookmarkEnd w:id="1270"/>
      <w:r>
        <w:rPr>
          <w:rFonts w:hint="eastAsia" w:ascii="宋体" w:hAnsi="宋体" w:eastAsia="宋体" w:cs="Times New Roman"/>
          <w:sz w:val="24"/>
          <w:szCs w:val="24"/>
          <w:lang w:val="en-US" w:eastAsia="zh-CN"/>
        </w:rPr>
        <w:t>落实政府采购政策</w:t>
      </w:r>
      <w:bookmarkEnd w:id="1271"/>
    </w:p>
    <w:p w14:paraId="130388B2">
      <w:pPr>
        <w:spacing w:line="360" w:lineRule="auto"/>
        <w:jc w:val="center"/>
        <w:rPr>
          <w:sz w:val="24"/>
          <w:szCs w:val="24"/>
        </w:rPr>
      </w:pPr>
      <w:r>
        <w:rPr>
          <w:rFonts w:hint="eastAsia"/>
          <w:sz w:val="24"/>
          <w:szCs w:val="24"/>
        </w:rPr>
        <w:t>（1）中小企业声明函（工程、服务）</w:t>
      </w:r>
    </w:p>
    <w:p w14:paraId="1472B93B">
      <w:pPr>
        <w:widowControl/>
        <w:spacing w:line="360" w:lineRule="auto"/>
        <w:ind w:firstLine="360"/>
        <w:jc w:val="left"/>
        <w:textAlignment w:val="baseline"/>
        <w:rPr>
          <w:rFonts w:cs="宋体"/>
          <w:kern w:val="0"/>
        </w:rPr>
      </w:pPr>
      <w:r>
        <w:rPr>
          <w:rFonts w:hint="eastAsia" w:cs="宋体"/>
          <w:kern w:val="0"/>
        </w:rPr>
        <w:t>本公司（联合体）郑重声明，根据《政府采购促进中小企业发展管理办法》（财库﹝2020﹞46号）的规定，本公司（联合体）参加</w:t>
      </w:r>
      <w:r>
        <w:rPr>
          <w:rFonts w:hint="eastAsia" w:cs="宋体"/>
          <w:kern w:val="0"/>
          <w:u w:val="single"/>
        </w:rPr>
        <w:t>（单位名称）</w:t>
      </w:r>
      <w:r>
        <w:rPr>
          <w:rFonts w:hint="eastAsia" w:cs="宋体"/>
          <w:kern w:val="0"/>
        </w:rPr>
        <w:t>的</w:t>
      </w:r>
      <w:r>
        <w:rPr>
          <w:rFonts w:hint="eastAsia" w:cs="宋体"/>
          <w:kern w:val="0"/>
          <w:u w:val="single"/>
        </w:rPr>
        <w:t>（项目名称）</w:t>
      </w:r>
      <w:r>
        <w:rPr>
          <w:rFonts w:hint="eastAsia" w:cs="宋体"/>
          <w:kern w:val="0"/>
        </w:rPr>
        <w:t>采购活动，工程的施工单位全部为符合政策要求的中小企业（或者：服务全部由符合政策要求的中小企业承接）。相关企业（含联合体中的中小企业、签订分包意向协议的中小企业）的具体情况如下：</w:t>
      </w:r>
    </w:p>
    <w:p w14:paraId="767BB549">
      <w:pPr>
        <w:widowControl/>
        <w:spacing w:line="360" w:lineRule="auto"/>
        <w:ind w:firstLine="360"/>
        <w:jc w:val="left"/>
        <w:textAlignment w:val="baseline"/>
        <w:rPr>
          <w:rFonts w:cs="宋体"/>
          <w:kern w:val="0"/>
        </w:rPr>
      </w:pPr>
      <w:r>
        <w:rPr>
          <w:rFonts w:hint="eastAsia" w:cs="宋体"/>
          <w:kern w:val="0"/>
        </w:rPr>
        <w:t xml:space="preserve">1. </w:t>
      </w:r>
      <w:r>
        <w:rPr>
          <w:rFonts w:hint="eastAsia" w:cs="宋体"/>
          <w:kern w:val="0"/>
          <w:u w:val="single"/>
        </w:rPr>
        <w:t>（标的名称）</w:t>
      </w:r>
      <w:r>
        <w:rPr>
          <w:rFonts w:hint="eastAsia" w:cs="宋体"/>
          <w:kern w:val="0"/>
        </w:rPr>
        <w:t>，属于</w:t>
      </w:r>
      <w:r>
        <w:rPr>
          <w:rFonts w:hint="eastAsia" w:cs="宋体"/>
          <w:kern w:val="0"/>
          <w:u w:val="single"/>
        </w:rPr>
        <w:t>（竞争性磋商文件中明确的所属行业）</w:t>
      </w:r>
      <w:r>
        <w:rPr>
          <w:rFonts w:hint="eastAsia" w:cs="宋体"/>
          <w:kern w:val="0"/>
        </w:rPr>
        <w:t>；承建（承接）企业为</w:t>
      </w:r>
      <w:r>
        <w:rPr>
          <w:rFonts w:hint="eastAsia" w:cs="宋体"/>
          <w:kern w:val="0"/>
          <w:u w:val="single"/>
        </w:rPr>
        <w:t>（企业名称）</w:t>
      </w:r>
      <w:r>
        <w:rPr>
          <w:rFonts w:hint="eastAsia" w:cs="宋体"/>
          <w:kern w:val="0"/>
        </w:rPr>
        <w:t>，从业人员人，营业收入为万元，资产总额为万元，属于（中型企业、小型企业、微型企业）；</w:t>
      </w:r>
    </w:p>
    <w:p w14:paraId="7492C749">
      <w:pPr>
        <w:widowControl/>
        <w:spacing w:line="360" w:lineRule="auto"/>
        <w:ind w:firstLine="360"/>
        <w:jc w:val="left"/>
        <w:textAlignment w:val="baseline"/>
        <w:rPr>
          <w:rFonts w:cs="宋体"/>
          <w:kern w:val="0"/>
        </w:rPr>
      </w:pPr>
      <w:r>
        <w:rPr>
          <w:rFonts w:hint="eastAsia" w:cs="宋体"/>
          <w:kern w:val="0"/>
        </w:rPr>
        <w:t>2.</w:t>
      </w:r>
      <w:r>
        <w:rPr>
          <w:rFonts w:hint="eastAsia" w:cs="宋体"/>
          <w:kern w:val="0"/>
          <w:u w:val="single"/>
        </w:rPr>
        <w:t>（标的名称）</w:t>
      </w:r>
      <w:r>
        <w:rPr>
          <w:rFonts w:hint="eastAsia" w:cs="宋体"/>
          <w:kern w:val="0"/>
        </w:rPr>
        <w:t>，属于</w:t>
      </w:r>
      <w:r>
        <w:rPr>
          <w:rFonts w:hint="eastAsia" w:cs="宋体"/>
          <w:kern w:val="0"/>
          <w:u w:val="single"/>
        </w:rPr>
        <w:t>（竞争性磋商文件中明确的所属行业）</w:t>
      </w:r>
      <w:r>
        <w:rPr>
          <w:rFonts w:hint="eastAsia" w:cs="宋体"/>
          <w:kern w:val="0"/>
        </w:rPr>
        <w:t>；承建（承接）企业为</w:t>
      </w:r>
      <w:r>
        <w:rPr>
          <w:rFonts w:hint="eastAsia" w:cs="宋体"/>
          <w:kern w:val="0"/>
          <w:u w:val="single"/>
        </w:rPr>
        <w:t>（企业名称）</w:t>
      </w:r>
      <w:r>
        <w:rPr>
          <w:rFonts w:hint="eastAsia" w:cs="宋体"/>
          <w:kern w:val="0"/>
        </w:rPr>
        <w:t>，从业人员人，营业收入为万元，资产总额为万元，属于（中型企业、小型企业、微型企业）；</w:t>
      </w:r>
    </w:p>
    <w:p w14:paraId="18382C44">
      <w:pPr>
        <w:widowControl/>
        <w:spacing w:line="360" w:lineRule="auto"/>
        <w:ind w:firstLine="360"/>
        <w:jc w:val="left"/>
        <w:textAlignment w:val="baseline"/>
        <w:rPr>
          <w:rFonts w:cs="宋体"/>
          <w:kern w:val="0"/>
        </w:rPr>
      </w:pPr>
      <w:r>
        <w:rPr>
          <w:rFonts w:hint="eastAsia" w:cs="宋体"/>
          <w:kern w:val="0"/>
        </w:rPr>
        <w:t>……</w:t>
      </w:r>
    </w:p>
    <w:p w14:paraId="796CD412">
      <w:pPr>
        <w:widowControl/>
        <w:spacing w:line="360" w:lineRule="auto"/>
        <w:ind w:firstLine="360"/>
        <w:jc w:val="left"/>
        <w:textAlignment w:val="baseline"/>
        <w:rPr>
          <w:rFonts w:cs="宋体"/>
          <w:kern w:val="0"/>
        </w:rPr>
      </w:pPr>
      <w:r>
        <w:rPr>
          <w:rFonts w:hint="eastAsia" w:cs="宋体"/>
          <w:kern w:val="0"/>
        </w:rPr>
        <w:t>以上企业，不属于大企业的分支机构，不存在控股股东为大企业的情形，也不存在与大企业的负责人为同一人的情形。</w:t>
      </w:r>
    </w:p>
    <w:p w14:paraId="12AEDC2D">
      <w:pPr>
        <w:widowControl/>
        <w:spacing w:line="360" w:lineRule="auto"/>
        <w:ind w:firstLine="360"/>
        <w:jc w:val="left"/>
        <w:textAlignment w:val="baseline"/>
        <w:rPr>
          <w:rFonts w:cs="宋体"/>
          <w:kern w:val="0"/>
        </w:rPr>
      </w:pPr>
      <w:r>
        <w:rPr>
          <w:rFonts w:hint="eastAsia" w:cs="宋体"/>
          <w:kern w:val="0"/>
        </w:rPr>
        <w:t>本企业对上述声明内容的真实性负责。如有虚假，将依法承担相应责任。</w:t>
      </w:r>
    </w:p>
    <w:p w14:paraId="4A81B77C">
      <w:pPr>
        <w:widowControl/>
        <w:spacing w:line="360" w:lineRule="auto"/>
        <w:ind w:firstLine="4410" w:firstLineChars="2100"/>
        <w:jc w:val="left"/>
        <w:textAlignment w:val="baseline"/>
        <w:rPr>
          <w:rFonts w:cs="宋体"/>
          <w:kern w:val="0"/>
        </w:rPr>
      </w:pPr>
      <w:r>
        <w:rPr>
          <w:rFonts w:hint="eastAsia" w:cs="宋体"/>
          <w:kern w:val="0"/>
        </w:rPr>
        <w:t>企业名称（</w:t>
      </w:r>
      <w:r>
        <w:rPr>
          <w:rFonts w:hint="eastAsia"/>
        </w:rPr>
        <w:t>盖章</w:t>
      </w:r>
      <w:r>
        <w:rPr>
          <w:rFonts w:hint="eastAsia" w:cs="宋体"/>
          <w:kern w:val="0"/>
        </w:rPr>
        <w:t>）：</w:t>
      </w:r>
    </w:p>
    <w:p w14:paraId="25597E2B">
      <w:pPr>
        <w:widowControl/>
        <w:spacing w:line="360" w:lineRule="auto"/>
        <w:ind w:firstLine="4410" w:firstLineChars="2100"/>
        <w:textAlignment w:val="baseline"/>
        <w:rPr>
          <w:rFonts w:cs="宋体"/>
          <w:kern w:val="0"/>
        </w:rPr>
      </w:pPr>
      <w:r>
        <w:rPr>
          <w:rFonts w:hint="eastAsia" w:cs="宋体"/>
          <w:kern w:val="0"/>
        </w:rPr>
        <w:t>日期：</w:t>
      </w:r>
    </w:p>
    <w:p w14:paraId="282B0707">
      <w:pPr>
        <w:spacing w:line="360" w:lineRule="auto"/>
        <w:ind w:firstLine="361"/>
        <w:rPr>
          <w:rFonts w:hint="eastAsia" w:cs="宋体"/>
          <w:b/>
          <w:bCs/>
        </w:rPr>
      </w:pPr>
    </w:p>
    <w:p w14:paraId="4815A165">
      <w:pPr>
        <w:spacing w:line="360" w:lineRule="auto"/>
        <w:ind w:firstLine="361"/>
        <w:rPr>
          <w:rFonts w:cs="宋体"/>
          <w:b/>
          <w:bCs/>
        </w:rPr>
      </w:pPr>
      <w:r>
        <w:rPr>
          <w:rFonts w:hint="eastAsia" w:cs="宋体"/>
          <w:b/>
          <w:bCs/>
        </w:rPr>
        <w:t>说明：</w:t>
      </w:r>
    </w:p>
    <w:p w14:paraId="5488AEE3">
      <w:pPr>
        <w:spacing w:line="360" w:lineRule="auto"/>
        <w:ind w:firstLine="361"/>
        <w:rPr>
          <w:rFonts w:cs="宋体"/>
          <w:b/>
          <w:bCs/>
        </w:rPr>
      </w:pPr>
      <w:r>
        <w:rPr>
          <w:rFonts w:hint="eastAsia" w:cs="宋体"/>
          <w:b/>
          <w:bCs/>
        </w:rPr>
        <w:t>（1）从业人员、营业收入、资产总额填报上一年度数据，无上一年度数据的新成立企业可不填报。</w:t>
      </w:r>
    </w:p>
    <w:p w14:paraId="15769A14">
      <w:pPr>
        <w:pStyle w:val="17"/>
        <w:spacing w:line="360" w:lineRule="auto"/>
        <w:ind w:firstLine="316"/>
        <w:rPr>
          <w:rFonts w:hAnsi="Times New Roman"/>
          <w:b/>
          <w:bCs/>
          <w:sz w:val="24"/>
          <w:szCs w:val="24"/>
        </w:rPr>
      </w:pPr>
      <w:r>
        <w:rPr>
          <w:rFonts w:hint="eastAsia" w:hAnsi="Times New Roman"/>
          <w:b/>
          <w:bCs/>
          <w:sz w:val="21"/>
          <w:szCs w:val="21"/>
        </w:rPr>
        <w:t>（</w:t>
      </w:r>
      <w:r>
        <w:rPr>
          <w:rFonts w:hAnsi="Times New Roman"/>
          <w:b/>
          <w:bCs/>
          <w:sz w:val="21"/>
          <w:szCs w:val="21"/>
        </w:rPr>
        <w:t>2</w:t>
      </w:r>
      <w:r>
        <w:rPr>
          <w:rFonts w:hint="eastAsia" w:hAnsi="Times New Roman"/>
          <w:b/>
          <w:bCs/>
          <w:sz w:val="21"/>
          <w:szCs w:val="21"/>
        </w:rPr>
        <w:t>）本采购标的所属行业为建筑业。</w:t>
      </w:r>
    </w:p>
    <w:p w14:paraId="508C09D6">
      <w:pPr>
        <w:widowControl/>
        <w:spacing w:line="360" w:lineRule="auto"/>
        <w:jc w:val="left"/>
        <w:rPr>
          <w:rFonts w:cstheme="majorBidi"/>
          <w:b/>
          <w:bCs/>
          <w:sz w:val="24"/>
          <w:szCs w:val="24"/>
        </w:rPr>
      </w:pPr>
      <w:r>
        <w:rPr>
          <w:sz w:val="24"/>
          <w:szCs w:val="24"/>
        </w:rPr>
        <w:br w:type="page"/>
      </w:r>
    </w:p>
    <w:p w14:paraId="7F4C9C4E">
      <w:pPr>
        <w:spacing w:line="360" w:lineRule="auto"/>
        <w:jc w:val="center"/>
        <w:rPr>
          <w:sz w:val="24"/>
          <w:szCs w:val="24"/>
        </w:rPr>
      </w:pPr>
      <w:r>
        <w:rPr>
          <w:rFonts w:hint="eastAsia" w:cstheme="minorBidi"/>
          <w:sz w:val="24"/>
          <w:szCs w:val="24"/>
        </w:rPr>
        <w:t>（2）</w:t>
      </w:r>
      <w:r>
        <w:rPr>
          <w:rFonts w:hint="eastAsia"/>
          <w:sz w:val="24"/>
          <w:szCs w:val="24"/>
        </w:rPr>
        <w:t>残疾人福利性单位声明函</w:t>
      </w:r>
    </w:p>
    <w:p w14:paraId="240D36BF">
      <w:pPr>
        <w:tabs>
          <w:tab w:val="left" w:pos="840"/>
        </w:tabs>
        <w:spacing w:line="360" w:lineRule="auto"/>
        <w:jc w:val="center"/>
        <w:rPr>
          <w:rFonts w:cs="宋体"/>
          <w:sz w:val="24"/>
          <w:szCs w:val="24"/>
        </w:rPr>
      </w:pPr>
    </w:p>
    <w:p w14:paraId="5E3A0A2C">
      <w:pPr>
        <w:tabs>
          <w:tab w:val="left" w:pos="840"/>
        </w:tabs>
        <w:spacing w:line="360" w:lineRule="auto"/>
        <w:jc w:val="center"/>
        <w:rPr>
          <w:rFonts w:cs="宋体"/>
        </w:rPr>
      </w:pPr>
      <w:r>
        <w:rPr>
          <w:rFonts w:hint="eastAsia" w:cs="宋体"/>
        </w:rPr>
        <w:t>（不属于的无需提供）</w:t>
      </w:r>
    </w:p>
    <w:p w14:paraId="1E1BEADF">
      <w:pPr>
        <w:spacing w:line="360" w:lineRule="auto"/>
        <w:ind w:firstLine="367" w:firstLineChars="175"/>
        <w:rPr>
          <w:rFonts w:cs="宋体"/>
        </w:rPr>
      </w:pPr>
      <w:r>
        <w:rPr>
          <w:rFonts w:hint="eastAsia" w:cs="宋体"/>
        </w:rPr>
        <w:t>本单位郑重声明，根据《财政部民政部中国残疾人联合会关于促进残疾人就业政府采购政策的通知》（财库〔2017〕14</w:t>
      </w:r>
      <w:r>
        <w:rPr>
          <w:rFonts w:cs="宋体"/>
        </w:rPr>
        <w:t>1</w:t>
      </w:r>
      <w:r>
        <w:rPr>
          <w:rFonts w:hint="eastAsia" w:cs="宋体"/>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91C47D3">
      <w:pPr>
        <w:spacing w:line="360" w:lineRule="auto"/>
        <w:ind w:firstLine="367" w:firstLineChars="175"/>
        <w:rPr>
          <w:rFonts w:cs="宋体"/>
        </w:rPr>
      </w:pPr>
      <w:r>
        <w:rPr>
          <w:rFonts w:hint="eastAsia" w:cs="宋体"/>
        </w:rPr>
        <w:t>本单位对上述声明的真实性负责。如有虚假，将依法承担相应责任。</w:t>
      </w:r>
    </w:p>
    <w:p w14:paraId="66DE9806">
      <w:pPr>
        <w:spacing w:line="360" w:lineRule="auto"/>
        <w:jc w:val="center"/>
        <w:rPr>
          <w:rFonts w:cs="宋体"/>
        </w:rPr>
      </w:pPr>
      <w:r>
        <w:rPr>
          <w:rFonts w:hint="eastAsia" w:cs="宋体"/>
        </w:rPr>
        <w:t>单位名称（</w:t>
      </w:r>
      <w:r>
        <w:rPr>
          <w:rFonts w:hint="eastAsia"/>
        </w:rPr>
        <w:t>公章</w:t>
      </w:r>
      <w:r>
        <w:rPr>
          <w:rFonts w:hint="eastAsia" w:cs="宋体"/>
        </w:rPr>
        <w:t>）：</w:t>
      </w:r>
    </w:p>
    <w:p w14:paraId="783230B9">
      <w:pPr>
        <w:spacing w:line="360" w:lineRule="auto"/>
        <w:ind w:firstLine="3570" w:firstLineChars="1700"/>
        <w:rPr>
          <w:rFonts w:cs="宋体"/>
        </w:rPr>
      </w:pPr>
      <w:r>
        <w:rPr>
          <w:rFonts w:hint="eastAsia" w:cs="宋体"/>
        </w:rPr>
        <w:t>日期：</w:t>
      </w:r>
      <w:bookmarkStart w:id="1272" w:name="_Toc17210008"/>
    </w:p>
    <w:p w14:paraId="5662C69C">
      <w:pPr>
        <w:spacing w:line="360" w:lineRule="auto"/>
        <w:jc w:val="left"/>
        <w:rPr>
          <w:rFonts w:cs="宋体"/>
        </w:rPr>
      </w:pPr>
    </w:p>
    <w:p w14:paraId="396F4F20">
      <w:pPr>
        <w:spacing w:line="360" w:lineRule="auto"/>
        <w:jc w:val="left"/>
        <w:rPr>
          <w:rFonts w:cs="宋体"/>
        </w:rPr>
      </w:pPr>
      <w:r>
        <w:rPr>
          <w:rFonts w:hint="eastAsia" w:cs="宋体"/>
        </w:rPr>
        <w:t>说明：</w:t>
      </w:r>
    </w:p>
    <w:p w14:paraId="28781400">
      <w:pPr>
        <w:spacing w:line="360" w:lineRule="auto"/>
        <w:jc w:val="left"/>
      </w:pPr>
      <w:r>
        <w:rPr>
          <w:rFonts w:hint="eastAsia"/>
        </w:rPr>
        <w:t>《财政部民政部中国残疾人联合会关于促进残疾人就业政府采购政策的通知》（财库（2017〔141〕号）的规定：</w:t>
      </w:r>
      <w:bookmarkEnd w:id="1272"/>
    </w:p>
    <w:p w14:paraId="4AE42E48">
      <w:pPr>
        <w:spacing w:line="360" w:lineRule="auto"/>
        <w:ind w:firstLine="420" w:firstLineChars="200"/>
        <w:jc w:val="left"/>
      </w:pPr>
      <w:bookmarkStart w:id="1273" w:name="_Toc17210009"/>
      <w:r>
        <w:rPr>
          <w:rFonts w:hint="eastAsia"/>
        </w:rPr>
        <w:t>一、享受政府采购支持政策的残疾人福利性单位应当同时满足以下条件：</w:t>
      </w:r>
      <w:bookmarkEnd w:id="1273"/>
    </w:p>
    <w:p w14:paraId="06940DB7">
      <w:pPr>
        <w:spacing w:line="360" w:lineRule="auto"/>
        <w:ind w:firstLine="420" w:firstLineChars="200"/>
        <w:jc w:val="left"/>
      </w:pPr>
      <w:bookmarkStart w:id="1274" w:name="_Toc17210010"/>
      <w:r>
        <w:rPr>
          <w:rFonts w:hint="eastAsia"/>
        </w:rPr>
        <w:t>（一）安置的残疾人占本单位在职职工人数的比例不低于25%（含25%），并且安置的残疾人人数不少于10人（含10人）；</w:t>
      </w:r>
      <w:bookmarkEnd w:id="1274"/>
    </w:p>
    <w:p w14:paraId="4D47A8BD">
      <w:pPr>
        <w:spacing w:line="360" w:lineRule="auto"/>
        <w:ind w:firstLine="420" w:firstLineChars="200"/>
        <w:jc w:val="left"/>
      </w:pPr>
      <w:bookmarkStart w:id="1275" w:name="_Toc17210011"/>
      <w:r>
        <w:rPr>
          <w:rFonts w:hint="eastAsia"/>
        </w:rPr>
        <w:t>（二）依法与安置的每位残疾人签订了一年以上（含一年）的劳动合同或服务协议；</w:t>
      </w:r>
      <w:bookmarkEnd w:id="1275"/>
    </w:p>
    <w:p w14:paraId="12D86B84">
      <w:pPr>
        <w:spacing w:line="360" w:lineRule="auto"/>
        <w:ind w:firstLine="420" w:firstLineChars="200"/>
        <w:jc w:val="left"/>
      </w:pPr>
      <w:bookmarkStart w:id="1276" w:name="_Toc17210012"/>
      <w:r>
        <w:rPr>
          <w:rFonts w:hint="eastAsia"/>
        </w:rPr>
        <w:t>（三）为安置的每位残疾人按月足额缴纳了基本养老保险、基本医疗保险、失业保险、工伤保险和生育保险等社会保险费；</w:t>
      </w:r>
      <w:bookmarkEnd w:id="1276"/>
    </w:p>
    <w:p w14:paraId="44DE73D2">
      <w:pPr>
        <w:spacing w:line="360" w:lineRule="auto"/>
        <w:ind w:firstLine="420" w:firstLineChars="200"/>
        <w:jc w:val="left"/>
      </w:pPr>
      <w:bookmarkStart w:id="1277" w:name="_Toc17210013"/>
      <w:r>
        <w:rPr>
          <w:rFonts w:hint="eastAsia"/>
        </w:rPr>
        <w:t>（四）通过银行等金融机构向安置的每位残疾人，按月支付了不低于单位所在区县适用的经省级人民政府批准的月最低工资标准的工资；</w:t>
      </w:r>
      <w:bookmarkEnd w:id="1277"/>
    </w:p>
    <w:p w14:paraId="5B2EFB71">
      <w:pPr>
        <w:spacing w:line="360" w:lineRule="auto"/>
        <w:ind w:firstLine="420" w:firstLineChars="200"/>
        <w:jc w:val="left"/>
      </w:pPr>
      <w:bookmarkStart w:id="1278" w:name="_Toc17210014"/>
      <w:r>
        <w:rPr>
          <w:rFonts w:hint="eastAsia"/>
        </w:rPr>
        <w:t>（五）提供本单位制造的货物、承担的工程或者服务（以下简称产品），或者提供其他残疾人福利性单位制造的货物（不包括使用非残疾人福利性单位注册商标的货物）。</w:t>
      </w:r>
      <w:bookmarkEnd w:id="1278"/>
    </w:p>
    <w:p w14:paraId="6F9C9E13">
      <w:pPr>
        <w:spacing w:line="360" w:lineRule="auto"/>
        <w:ind w:firstLine="422" w:firstLineChars="200"/>
        <w:jc w:val="left"/>
        <w:rPr>
          <w:b/>
        </w:rPr>
      </w:pPr>
      <w:r>
        <w:rPr>
          <w:rFonts w:hint="eastAsia"/>
          <w:b/>
        </w:rPr>
        <w:t>注意</w:t>
      </w:r>
      <w:r>
        <w:rPr>
          <w:b/>
        </w:rPr>
        <w:t>：如果供应商不是残疾人福利性单位，则不需要提供《残疾人福利性单位声明函》。否则，因此导致虚假投标的后果由供应商自行承担。</w:t>
      </w:r>
    </w:p>
    <w:p w14:paraId="50CE6F58">
      <w:pPr>
        <w:spacing w:line="360" w:lineRule="auto"/>
        <w:ind w:firstLine="361"/>
        <w:rPr>
          <w:rStyle w:val="40"/>
          <w:rFonts w:asciiTheme="minorEastAsia" w:hAnsiTheme="minorEastAsia" w:eastAsiaTheme="minorEastAsia" w:cstheme="minorEastAsia"/>
          <w:sz w:val="24"/>
          <w:szCs w:val="24"/>
        </w:rPr>
      </w:pPr>
      <w:bookmarkStart w:id="1279" w:name="_Toc4931"/>
      <w:bookmarkStart w:id="1280" w:name="_Toc25897"/>
      <w:bookmarkStart w:id="1281" w:name="_Toc3519"/>
      <w:bookmarkStart w:id="1282" w:name="_Toc15451"/>
      <w:bookmarkStart w:id="1283" w:name="_Toc17208"/>
      <w:bookmarkStart w:id="1284" w:name="_Toc11507"/>
      <w:r>
        <w:rPr>
          <w:rStyle w:val="40"/>
          <w:rFonts w:hint="eastAsia" w:asciiTheme="minorEastAsia" w:hAnsiTheme="minorEastAsia" w:eastAsiaTheme="minorEastAsia" w:cstheme="minorEastAsia"/>
          <w:sz w:val="24"/>
          <w:szCs w:val="24"/>
        </w:rPr>
        <w:br w:type="page"/>
      </w:r>
    </w:p>
    <w:p w14:paraId="3DE2FDF4">
      <w:pPr>
        <w:spacing w:line="360" w:lineRule="auto"/>
        <w:ind w:firstLine="361"/>
        <w:jc w:val="center"/>
        <w:rPr>
          <w:rStyle w:val="40"/>
          <w:rFonts w:asciiTheme="minorEastAsia" w:hAnsiTheme="minorEastAsia" w:eastAsiaTheme="minorEastAsia" w:cstheme="minorEastAsia"/>
          <w:sz w:val="24"/>
          <w:szCs w:val="24"/>
        </w:rPr>
      </w:pPr>
      <w:bookmarkStart w:id="1285" w:name="_Toc32648"/>
      <w:bookmarkStart w:id="1286" w:name="_Toc11309"/>
      <w:bookmarkStart w:id="1287" w:name="_Toc525"/>
      <w:bookmarkStart w:id="1288" w:name="_Toc5266"/>
      <w:bookmarkStart w:id="1289" w:name="_Toc22692"/>
      <w:bookmarkStart w:id="1290" w:name="_Toc3510"/>
      <w:bookmarkStart w:id="1291" w:name="_Toc12279"/>
      <w:r>
        <w:rPr>
          <w:rStyle w:val="40"/>
          <w:rFonts w:hint="eastAsia" w:asciiTheme="minorEastAsia" w:hAnsiTheme="minorEastAsia" w:cstheme="minorEastAsia"/>
          <w:sz w:val="24"/>
          <w:szCs w:val="24"/>
        </w:rPr>
        <w:t>（3）</w:t>
      </w:r>
      <w:r>
        <w:rPr>
          <w:rStyle w:val="40"/>
          <w:rFonts w:hint="eastAsia" w:asciiTheme="minorEastAsia" w:hAnsiTheme="minorEastAsia" w:eastAsiaTheme="minorEastAsia" w:cstheme="minorEastAsia"/>
          <w:sz w:val="24"/>
          <w:szCs w:val="24"/>
        </w:rPr>
        <w:t>监狱企业证明</w:t>
      </w:r>
    </w:p>
    <w:bookmarkEnd w:id="1279"/>
    <w:bookmarkEnd w:id="1280"/>
    <w:bookmarkEnd w:id="1281"/>
    <w:bookmarkEnd w:id="1282"/>
    <w:bookmarkEnd w:id="1283"/>
    <w:bookmarkEnd w:id="1284"/>
    <w:bookmarkEnd w:id="1285"/>
    <w:bookmarkEnd w:id="1286"/>
    <w:bookmarkEnd w:id="1287"/>
    <w:bookmarkEnd w:id="1288"/>
    <w:bookmarkEnd w:id="1289"/>
    <w:bookmarkEnd w:id="1290"/>
    <w:bookmarkEnd w:id="1291"/>
    <w:p w14:paraId="35BDACFA">
      <w:pPr>
        <w:pStyle w:val="74"/>
        <w:spacing w:line="360" w:lineRule="auto"/>
        <w:ind w:firstLine="480" w:firstLineChars="200"/>
        <w:jc w:val="center"/>
        <w:rPr>
          <w:rStyle w:val="70"/>
          <w:rFonts w:asciiTheme="minorEastAsia" w:hAnsiTheme="minorEastAsia" w:eastAsiaTheme="minorEastAsia" w:cstheme="minorEastAsia"/>
          <w:sz w:val="24"/>
        </w:rPr>
      </w:pPr>
    </w:p>
    <w:p w14:paraId="4EE73E2B">
      <w:pPr>
        <w:pStyle w:val="74"/>
        <w:spacing w:line="360" w:lineRule="auto"/>
        <w:ind w:firstLine="420" w:firstLineChars="200"/>
        <w:jc w:val="center"/>
        <w:rPr>
          <w:rStyle w:val="70"/>
          <w:rFonts w:asciiTheme="minorEastAsia" w:hAnsiTheme="minorEastAsia" w:eastAsiaTheme="minorEastAsia" w:cstheme="minorEastAsia"/>
          <w:szCs w:val="21"/>
        </w:rPr>
      </w:pPr>
      <w:r>
        <w:rPr>
          <w:rStyle w:val="70"/>
          <w:rFonts w:hint="eastAsia" w:asciiTheme="minorEastAsia" w:hAnsiTheme="minorEastAsia" w:eastAsiaTheme="minorEastAsia" w:cstheme="minorEastAsia"/>
          <w:szCs w:val="21"/>
        </w:rPr>
        <w:t>（不属于的无需提供）</w:t>
      </w:r>
    </w:p>
    <w:p w14:paraId="283CA14A">
      <w:pPr>
        <w:spacing w:line="360" w:lineRule="auto"/>
        <w:ind w:firstLine="420" w:firstLineChars="200"/>
        <w:rPr>
          <w:rFonts w:asciiTheme="minorEastAsia" w:hAnsiTheme="minorEastAsia" w:eastAsiaTheme="minorEastAsia" w:cstheme="minorEastAsia"/>
        </w:rPr>
      </w:pPr>
    </w:p>
    <w:p w14:paraId="55C3538F">
      <w:pPr>
        <w:rPr>
          <w:rFonts w:ascii="宋体" w:hAnsi="宋体"/>
          <w:b/>
          <w:bCs/>
          <w:kern w:val="0"/>
          <w:sz w:val="24"/>
          <w:szCs w:val="24"/>
        </w:rPr>
      </w:pPr>
      <w:r>
        <w:rPr>
          <w:rFonts w:hint="eastAsia" w:asciiTheme="minorEastAsia" w:hAnsiTheme="minorEastAsia" w:eastAsiaTheme="minorEastAsia" w:cstheme="minorEastAsia"/>
        </w:rPr>
        <w:t>提供省级以上监狱管理局、戒毒管理局（含新疆生产建设兵团）出具的属于监狱企业的证明文件。</w:t>
      </w:r>
      <w:r>
        <w:rPr>
          <w:rFonts w:hint="eastAsia" w:ascii="宋体" w:hAnsi="宋体"/>
          <w:b/>
          <w:bCs/>
          <w:kern w:val="0"/>
          <w:sz w:val="24"/>
          <w:szCs w:val="24"/>
        </w:rPr>
        <w:br w:type="page"/>
      </w:r>
    </w:p>
    <w:p w14:paraId="3809A6DA">
      <w:pPr>
        <w:wordWrap w:val="0"/>
        <w:spacing w:line="360" w:lineRule="auto"/>
        <w:jc w:val="center"/>
        <w:outlineLvl w:val="1"/>
        <w:rPr>
          <w:rFonts w:eastAsia="黑体" w:cs="宋体"/>
          <w:bCs/>
          <w:kern w:val="0"/>
          <w:sz w:val="32"/>
          <w:szCs w:val="32"/>
        </w:rPr>
      </w:pPr>
      <w:bookmarkStart w:id="1292" w:name="_Toc129073541"/>
      <w:bookmarkStart w:id="1293" w:name="_Toc25064"/>
      <w:bookmarkStart w:id="1294" w:name="_Toc17279"/>
      <w:bookmarkStart w:id="1295" w:name="_Toc3616"/>
      <w:bookmarkStart w:id="1296" w:name="_Toc6135"/>
      <w:bookmarkStart w:id="1297" w:name="_Toc9162"/>
      <w:bookmarkStart w:id="1298" w:name="_Toc1489"/>
      <w:bookmarkStart w:id="1299" w:name="_Toc26829"/>
      <w:bookmarkStart w:id="1300" w:name="_Toc8617"/>
      <w:bookmarkStart w:id="1301" w:name="_Toc25671"/>
      <w:bookmarkStart w:id="1302" w:name="_Toc28000"/>
      <w:r>
        <w:rPr>
          <w:rFonts w:hint="eastAsia" w:eastAsia="黑体" w:cs="宋体"/>
          <w:bCs/>
          <w:kern w:val="0"/>
          <w:sz w:val="32"/>
          <w:szCs w:val="32"/>
        </w:rPr>
        <w:t>八、类似项目</w:t>
      </w:r>
      <w:bookmarkEnd w:id="1292"/>
      <w:r>
        <w:rPr>
          <w:rFonts w:hint="eastAsia" w:eastAsia="黑体" w:cs="宋体"/>
          <w:bCs/>
          <w:kern w:val="0"/>
          <w:sz w:val="32"/>
          <w:szCs w:val="32"/>
        </w:rPr>
        <w:t>业绩</w:t>
      </w:r>
      <w:bookmarkEnd w:id="1293"/>
      <w:bookmarkEnd w:id="1294"/>
      <w:bookmarkEnd w:id="1295"/>
      <w:bookmarkEnd w:id="1296"/>
      <w:bookmarkEnd w:id="1297"/>
      <w:bookmarkEnd w:id="1298"/>
      <w:bookmarkEnd w:id="1299"/>
      <w:bookmarkEnd w:id="1300"/>
      <w:bookmarkEnd w:id="1301"/>
      <w:bookmarkEnd w:id="1302"/>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3181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69" w:type="dxa"/>
            <w:tcBorders>
              <w:top w:val="single" w:color="auto" w:sz="4" w:space="0"/>
              <w:left w:val="single" w:color="auto" w:sz="4" w:space="0"/>
              <w:bottom w:val="single" w:color="auto" w:sz="4" w:space="0"/>
              <w:right w:val="single" w:color="auto" w:sz="4" w:space="0"/>
            </w:tcBorders>
            <w:vAlign w:val="center"/>
          </w:tcPr>
          <w:p w14:paraId="31336300">
            <w:pPr>
              <w:topLinePunct/>
              <w:spacing w:line="440" w:lineRule="exact"/>
              <w:jc w:val="center"/>
            </w:pPr>
            <w:r>
              <w:rPr>
                <w:rFonts w:ascii="宋体" w:hAnsi="宋体"/>
              </w:rPr>
              <w:t>项目名称</w:t>
            </w:r>
          </w:p>
        </w:tc>
        <w:tc>
          <w:tcPr>
            <w:tcW w:w="6253" w:type="dxa"/>
            <w:tcBorders>
              <w:top w:val="single" w:color="auto" w:sz="4" w:space="0"/>
              <w:left w:val="single" w:color="auto" w:sz="4" w:space="0"/>
              <w:bottom w:val="single" w:color="auto" w:sz="4" w:space="0"/>
              <w:right w:val="single" w:color="auto" w:sz="4" w:space="0"/>
            </w:tcBorders>
          </w:tcPr>
          <w:p w14:paraId="15E5862E">
            <w:pPr>
              <w:topLinePunct/>
              <w:spacing w:line="440" w:lineRule="exact"/>
            </w:pPr>
          </w:p>
        </w:tc>
      </w:tr>
      <w:tr w14:paraId="54208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69" w:type="dxa"/>
            <w:tcBorders>
              <w:top w:val="single" w:color="auto" w:sz="4" w:space="0"/>
              <w:left w:val="single" w:color="auto" w:sz="4" w:space="0"/>
              <w:bottom w:val="single" w:color="auto" w:sz="4" w:space="0"/>
              <w:right w:val="single" w:color="auto" w:sz="4" w:space="0"/>
            </w:tcBorders>
            <w:vAlign w:val="center"/>
          </w:tcPr>
          <w:p w14:paraId="5FE33D8F">
            <w:pPr>
              <w:topLinePunct/>
              <w:spacing w:line="440" w:lineRule="exact"/>
              <w:jc w:val="center"/>
            </w:pPr>
            <w:r>
              <w:rPr>
                <w:rFonts w:ascii="宋体" w:hAnsi="宋体"/>
              </w:rPr>
              <w:t>项目所在地</w:t>
            </w:r>
          </w:p>
        </w:tc>
        <w:tc>
          <w:tcPr>
            <w:tcW w:w="6253" w:type="dxa"/>
            <w:tcBorders>
              <w:top w:val="single" w:color="auto" w:sz="4" w:space="0"/>
              <w:left w:val="single" w:color="auto" w:sz="4" w:space="0"/>
              <w:bottom w:val="single" w:color="auto" w:sz="4" w:space="0"/>
              <w:right w:val="single" w:color="auto" w:sz="4" w:space="0"/>
            </w:tcBorders>
          </w:tcPr>
          <w:p w14:paraId="15E7F41E">
            <w:pPr>
              <w:topLinePunct/>
              <w:spacing w:line="440" w:lineRule="exact"/>
            </w:pPr>
          </w:p>
        </w:tc>
      </w:tr>
      <w:tr w14:paraId="0F41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69" w:type="dxa"/>
            <w:tcBorders>
              <w:top w:val="single" w:color="auto" w:sz="4" w:space="0"/>
              <w:left w:val="single" w:color="auto" w:sz="4" w:space="0"/>
              <w:bottom w:val="single" w:color="auto" w:sz="4" w:space="0"/>
              <w:right w:val="single" w:color="auto" w:sz="4" w:space="0"/>
            </w:tcBorders>
            <w:vAlign w:val="center"/>
          </w:tcPr>
          <w:p w14:paraId="1C742E05">
            <w:pPr>
              <w:topLinePunct/>
              <w:spacing w:line="440" w:lineRule="exact"/>
              <w:jc w:val="center"/>
            </w:pPr>
            <w:r>
              <w:rPr>
                <w:rFonts w:ascii="宋体" w:hAnsi="宋体"/>
              </w:rPr>
              <w:t>发包人名称</w:t>
            </w:r>
          </w:p>
        </w:tc>
        <w:tc>
          <w:tcPr>
            <w:tcW w:w="6253" w:type="dxa"/>
            <w:tcBorders>
              <w:top w:val="single" w:color="auto" w:sz="4" w:space="0"/>
              <w:left w:val="single" w:color="auto" w:sz="4" w:space="0"/>
              <w:bottom w:val="single" w:color="auto" w:sz="4" w:space="0"/>
              <w:right w:val="single" w:color="auto" w:sz="4" w:space="0"/>
            </w:tcBorders>
          </w:tcPr>
          <w:p w14:paraId="0C80A471">
            <w:pPr>
              <w:topLinePunct/>
              <w:spacing w:line="440" w:lineRule="exact"/>
            </w:pPr>
          </w:p>
        </w:tc>
      </w:tr>
      <w:tr w14:paraId="5F21F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69" w:type="dxa"/>
            <w:tcBorders>
              <w:top w:val="single" w:color="auto" w:sz="4" w:space="0"/>
              <w:left w:val="single" w:color="auto" w:sz="4" w:space="0"/>
              <w:bottom w:val="single" w:color="auto" w:sz="4" w:space="0"/>
              <w:right w:val="single" w:color="auto" w:sz="4" w:space="0"/>
            </w:tcBorders>
            <w:vAlign w:val="center"/>
          </w:tcPr>
          <w:p w14:paraId="10FD2FB1">
            <w:pPr>
              <w:topLinePunct/>
              <w:spacing w:line="440" w:lineRule="exact"/>
              <w:jc w:val="center"/>
            </w:pPr>
            <w:r>
              <w:rPr>
                <w:rFonts w:ascii="宋体" w:hAnsi="宋体"/>
              </w:rPr>
              <w:t>发包人地址</w:t>
            </w:r>
          </w:p>
        </w:tc>
        <w:tc>
          <w:tcPr>
            <w:tcW w:w="6253" w:type="dxa"/>
            <w:tcBorders>
              <w:top w:val="single" w:color="auto" w:sz="4" w:space="0"/>
              <w:left w:val="single" w:color="auto" w:sz="4" w:space="0"/>
              <w:bottom w:val="single" w:color="auto" w:sz="4" w:space="0"/>
              <w:right w:val="single" w:color="auto" w:sz="4" w:space="0"/>
            </w:tcBorders>
          </w:tcPr>
          <w:p w14:paraId="102D976B">
            <w:pPr>
              <w:topLinePunct/>
              <w:spacing w:line="440" w:lineRule="exact"/>
            </w:pPr>
          </w:p>
        </w:tc>
      </w:tr>
      <w:tr w14:paraId="52761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69" w:type="dxa"/>
            <w:tcBorders>
              <w:top w:val="single" w:color="auto" w:sz="4" w:space="0"/>
              <w:left w:val="single" w:color="auto" w:sz="4" w:space="0"/>
              <w:bottom w:val="single" w:color="auto" w:sz="4" w:space="0"/>
              <w:right w:val="single" w:color="auto" w:sz="4" w:space="0"/>
            </w:tcBorders>
            <w:vAlign w:val="center"/>
          </w:tcPr>
          <w:p w14:paraId="55597B23">
            <w:pPr>
              <w:topLinePunct/>
              <w:spacing w:line="440" w:lineRule="exact"/>
              <w:jc w:val="center"/>
            </w:pPr>
            <w:r>
              <w:rPr>
                <w:rFonts w:ascii="宋体" w:hAnsi="宋体"/>
              </w:rPr>
              <w:t>发包人电话</w:t>
            </w:r>
          </w:p>
        </w:tc>
        <w:tc>
          <w:tcPr>
            <w:tcW w:w="6253" w:type="dxa"/>
            <w:tcBorders>
              <w:top w:val="single" w:color="auto" w:sz="4" w:space="0"/>
              <w:left w:val="single" w:color="auto" w:sz="4" w:space="0"/>
              <w:bottom w:val="single" w:color="auto" w:sz="4" w:space="0"/>
              <w:right w:val="single" w:color="auto" w:sz="4" w:space="0"/>
            </w:tcBorders>
          </w:tcPr>
          <w:p w14:paraId="5A50C8B9">
            <w:pPr>
              <w:topLinePunct/>
              <w:spacing w:line="440" w:lineRule="exact"/>
            </w:pPr>
          </w:p>
        </w:tc>
      </w:tr>
      <w:tr w14:paraId="49CA9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69" w:type="dxa"/>
            <w:tcBorders>
              <w:top w:val="single" w:color="auto" w:sz="4" w:space="0"/>
              <w:left w:val="single" w:color="auto" w:sz="4" w:space="0"/>
              <w:bottom w:val="single" w:color="auto" w:sz="4" w:space="0"/>
              <w:right w:val="single" w:color="auto" w:sz="4" w:space="0"/>
            </w:tcBorders>
            <w:vAlign w:val="center"/>
          </w:tcPr>
          <w:p w14:paraId="38E6850E">
            <w:pPr>
              <w:topLinePunct/>
              <w:spacing w:line="440" w:lineRule="exact"/>
              <w:jc w:val="center"/>
            </w:pPr>
            <w:r>
              <w:rPr>
                <w:rFonts w:ascii="宋体" w:hAnsi="宋体"/>
              </w:rPr>
              <w:t>合同价格</w:t>
            </w:r>
          </w:p>
        </w:tc>
        <w:tc>
          <w:tcPr>
            <w:tcW w:w="6253" w:type="dxa"/>
            <w:tcBorders>
              <w:top w:val="single" w:color="auto" w:sz="4" w:space="0"/>
              <w:left w:val="single" w:color="auto" w:sz="4" w:space="0"/>
              <w:bottom w:val="single" w:color="auto" w:sz="4" w:space="0"/>
              <w:right w:val="single" w:color="auto" w:sz="4" w:space="0"/>
            </w:tcBorders>
          </w:tcPr>
          <w:p w14:paraId="5115CD26">
            <w:pPr>
              <w:topLinePunct/>
              <w:spacing w:line="440" w:lineRule="exact"/>
            </w:pPr>
          </w:p>
        </w:tc>
      </w:tr>
      <w:tr w14:paraId="1F3E5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tcBorders>
              <w:top w:val="single" w:color="auto" w:sz="4" w:space="0"/>
              <w:left w:val="single" w:color="auto" w:sz="4" w:space="0"/>
              <w:bottom w:val="single" w:color="auto" w:sz="4" w:space="0"/>
              <w:right w:val="single" w:color="auto" w:sz="4" w:space="0"/>
            </w:tcBorders>
            <w:vAlign w:val="center"/>
          </w:tcPr>
          <w:p w14:paraId="57BB2438">
            <w:pPr>
              <w:topLinePunct/>
              <w:spacing w:line="440" w:lineRule="exact"/>
              <w:jc w:val="center"/>
            </w:pPr>
            <w:r>
              <w:rPr>
                <w:rFonts w:ascii="宋体" w:hAnsi="宋体"/>
              </w:rPr>
              <w:t>开工日期</w:t>
            </w:r>
          </w:p>
        </w:tc>
        <w:tc>
          <w:tcPr>
            <w:tcW w:w="6253" w:type="dxa"/>
            <w:tcBorders>
              <w:top w:val="single" w:color="auto" w:sz="4" w:space="0"/>
              <w:left w:val="single" w:color="auto" w:sz="4" w:space="0"/>
              <w:bottom w:val="single" w:color="auto" w:sz="4" w:space="0"/>
              <w:right w:val="single" w:color="auto" w:sz="4" w:space="0"/>
            </w:tcBorders>
          </w:tcPr>
          <w:p w14:paraId="4753D07C">
            <w:pPr>
              <w:topLinePunct/>
              <w:spacing w:line="440" w:lineRule="exact"/>
            </w:pPr>
          </w:p>
        </w:tc>
      </w:tr>
      <w:tr w14:paraId="5E4F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269" w:type="dxa"/>
            <w:tcBorders>
              <w:top w:val="single" w:color="auto" w:sz="4" w:space="0"/>
              <w:left w:val="single" w:color="auto" w:sz="4" w:space="0"/>
              <w:bottom w:val="single" w:color="auto" w:sz="4" w:space="0"/>
              <w:right w:val="single" w:color="auto" w:sz="4" w:space="0"/>
            </w:tcBorders>
            <w:vAlign w:val="center"/>
          </w:tcPr>
          <w:p w14:paraId="5F622E4E">
            <w:pPr>
              <w:topLinePunct/>
              <w:spacing w:line="440" w:lineRule="exact"/>
              <w:jc w:val="center"/>
            </w:pPr>
            <w:r>
              <w:rPr>
                <w:rFonts w:hint="eastAsia" w:ascii="宋体" w:hAnsi="宋体"/>
              </w:rPr>
              <w:t>竣工</w:t>
            </w:r>
            <w:r>
              <w:rPr>
                <w:rFonts w:ascii="宋体" w:hAnsi="宋体"/>
              </w:rPr>
              <w:t>日期</w:t>
            </w:r>
          </w:p>
        </w:tc>
        <w:tc>
          <w:tcPr>
            <w:tcW w:w="6253" w:type="dxa"/>
            <w:tcBorders>
              <w:top w:val="single" w:color="auto" w:sz="4" w:space="0"/>
              <w:left w:val="single" w:color="auto" w:sz="4" w:space="0"/>
              <w:bottom w:val="single" w:color="auto" w:sz="4" w:space="0"/>
              <w:right w:val="single" w:color="auto" w:sz="4" w:space="0"/>
            </w:tcBorders>
          </w:tcPr>
          <w:p w14:paraId="3340010C">
            <w:pPr>
              <w:topLinePunct/>
              <w:spacing w:line="440" w:lineRule="exact"/>
            </w:pPr>
          </w:p>
        </w:tc>
      </w:tr>
      <w:tr w14:paraId="3774D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69" w:type="dxa"/>
            <w:tcBorders>
              <w:top w:val="single" w:color="auto" w:sz="4" w:space="0"/>
              <w:left w:val="single" w:color="auto" w:sz="4" w:space="0"/>
              <w:bottom w:val="single" w:color="auto" w:sz="4" w:space="0"/>
              <w:right w:val="single" w:color="auto" w:sz="4" w:space="0"/>
            </w:tcBorders>
            <w:vAlign w:val="center"/>
          </w:tcPr>
          <w:p w14:paraId="3AB9517B">
            <w:pPr>
              <w:topLinePunct/>
              <w:spacing w:line="440" w:lineRule="exact"/>
              <w:jc w:val="center"/>
            </w:pPr>
            <w:r>
              <w:rPr>
                <w:rFonts w:ascii="宋体" w:hAnsi="宋体"/>
              </w:rPr>
              <w:t>承担的工作</w:t>
            </w:r>
          </w:p>
        </w:tc>
        <w:tc>
          <w:tcPr>
            <w:tcW w:w="6253" w:type="dxa"/>
            <w:tcBorders>
              <w:top w:val="single" w:color="auto" w:sz="4" w:space="0"/>
              <w:left w:val="single" w:color="auto" w:sz="4" w:space="0"/>
              <w:bottom w:val="single" w:color="auto" w:sz="4" w:space="0"/>
              <w:right w:val="single" w:color="auto" w:sz="4" w:space="0"/>
            </w:tcBorders>
          </w:tcPr>
          <w:p w14:paraId="21CC560D">
            <w:pPr>
              <w:topLinePunct/>
              <w:spacing w:line="440" w:lineRule="exact"/>
            </w:pPr>
          </w:p>
        </w:tc>
      </w:tr>
      <w:tr w14:paraId="0CD99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269" w:type="dxa"/>
            <w:tcBorders>
              <w:top w:val="single" w:color="auto" w:sz="4" w:space="0"/>
              <w:left w:val="single" w:color="auto" w:sz="4" w:space="0"/>
              <w:bottom w:val="single" w:color="auto" w:sz="4" w:space="0"/>
              <w:right w:val="single" w:color="auto" w:sz="4" w:space="0"/>
            </w:tcBorders>
            <w:vAlign w:val="center"/>
          </w:tcPr>
          <w:p w14:paraId="7E392E4D">
            <w:pPr>
              <w:topLinePunct/>
              <w:spacing w:line="440" w:lineRule="exact"/>
              <w:jc w:val="center"/>
            </w:pPr>
            <w:r>
              <w:rPr>
                <w:rFonts w:ascii="宋体" w:hAnsi="宋体"/>
              </w:rPr>
              <w:t>工程质量</w:t>
            </w:r>
          </w:p>
        </w:tc>
        <w:tc>
          <w:tcPr>
            <w:tcW w:w="6253" w:type="dxa"/>
            <w:tcBorders>
              <w:top w:val="single" w:color="auto" w:sz="4" w:space="0"/>
              <w:left w:val="single" w:color="auto" w:sz="4" w:space="0"/>
              <w:bottom w:val="single" w:color="auto" w:sz="4" w:space="0"/>
              <w:right w:val="single" w:color="auto" w:sz="4" w:space="0"/>
            </w:tcBorders>
          </w:tcPr>
          <w:p w14:paraId="7B28BCFC">
            <w:pPr>
              <w:topLinePunct/>
              <w:spacing w:line="440" w:lineRule="exact"/>
            </w:pPr>
          </w:p>
        </w:tc>
      </w:tr>
      <w:tr w14:paraId="5B81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269" w:type="dxa"/>
            <w:tcBorders>
              <w:top w:val="single" w:color="auto" w:sz="4" w:space="0"/>
              <w:left w:val="single" w:color="auto" w:sz="4" w:space="0"/>
              <w:bottom w:val="single" w:color="auto" w:sz="4" w:space="0"/>
              <w:right w:val="single" w:color="auto" w:sz="4" w:space="0"/>
            </w:tcBorders>
            <w:vAlign w:val="center"/>
          </w:tcPr>
          <w:p w14:paraId="51AE8E8A">
            <w:pPr>
              <w:topLinePunct/>
              <w:spacing w:line="440" w:lineRule="exact"/>
              <w:jc w:val="center"/>
            </w:pPr>
            <w:r>
              <w:rPr>
                <w:rFonts w:ascii="宋体" w:hAnsi="宋体"/>
              </w:rPr>
              <w:t>项目经理</w:t>
            </w:r>
          </w:p>
        </w:tc>
        <w:tc>
          <w:tcPr>
            <w:tcW w:w="6253" w:type="dxa"/>
            <w:tcBorders>
              <w:top w:val="single" w:color="auto" w:sz="4" w:space="0"/>
              <w:left w:val="single" w:color="auto" w:sz="4" w:space="0"/>
              <w:bottom w:val="single" w:color="auto" w:sz="4" w:space="0"/>
              <w:right w:val="single" w:color="auto" w:sz="4" w:space="0"/>
            </w:tcBorders>
          </w:tcPr>
          <w:p w14:paraId="071FB495">
            <w:pPr>
              <w:topLinePunct/>
              <w:spacing w:line="440" w:lineRule="exact"/>
            </w:pPr>
          </w:p>
        </w:tc>
      </w:tr>
      <w:tr w14:paraId="7B34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69" w:type="dxa"/>
            <w:tcBorders>
              <w:top w:val="single" w:color="auto" w:sz="4" w:space="0"/>
              <w:left w:val="single" w:color="auto" w:sz="4" w:space="0"/>
              <w:bottom w:val="single" w:color="auto" w:sz="4" w:space="0"/>
              <w:right w:val="single" w:color="auto" w:sz="4" w:space="0"/>
            </w:tcBorders>
            <w:vAlign w:val="center"/>
          </w:tcPr>
          <w:p w14:paraId="1F819A9E">
            <w:pPr>
              <w:topLinePunct/>
              <w:spacing w:line="440" w:lineRule="exact"/>
              <w:jc w:val="center"/>
            </w:pPr>
            <w:r>
              <w:rPr>
                <w:rFonts w:ascii="宋体" w:hAnsi="宋体"/>
              </w:rPr>
              <w:t>技术负责人</w:t>
            </w:r>
          </w:p>
        </w:tc>
        <w:tc>
          <w:tcPr>
            <w:tcW w:w="6253" w:type="dxa"/>
            <w:tcBorders>
              <w:top w:val="single" w:color="auto" w:sz="4" w:space="0"/>
              <w:left w:val="single" w:color="auto" w:sz="4" w:space="0"/>
              <w:bottom w:val="single" w:color="auto" w:sz="4" w:space="0"/>
              <w:right w:val="single" w:color="auto" w:sz="4" w:space="0"/>
            </w:tcBorders>
          </w:tcPr>
          <w:p w14:paraId="79591E28">
            <w:pPr>
              <w:topLinePunct/>
              <w:spacing w:line="440" w:lineRule="exact"/>
            </w:pPr>
          </w:p>
        </w:tc>
      </w:tr>
      <w:tr w14:paraId="77DCC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tcBorders>
              <w:top w:val="single" w:color="auto" w:sz="4" w:space="0"/>
              <w:left w:val="single" w:color="auto" w:sz="4" w:space="0"/>
              <w:bottom w:val="single" w:color="auto" w:sz="4" w:space="0"/>
              <w:right w:val="single" w:color="auto" w:sz="4" w:space="0"/>
            </w:tcBorders>
            <w:vAlign w:val="center"/>
          </w:tcPr>
          <w:p w14:paraId="1A2A9FF0">
            <w:pPr>
              <w:topLinePunct/>
              <w:spacing w:line="440" w:lineRule="exact"/>
              <w:jc w:val="center"/>
            </w:pPr>
            <w:r>
              <w:rPr>
                <w:rFonts w:ascii="宋体" w:hAnsi="宋体"/>
              </w:rPr>
              <w:t>项目描述</w:t>
            </w:r>
          </w:p>
        </w:tc>
        <w:tc>
          <w:tcPr>
            <w:tcW w:w="6253" w:type="dxa"/>
            <w:tcBorders>
              <w:top w:val="single" w:color="auto" w:sz="4" w:space="0"/>
              <w:left w:val="single" w:color="auto" w:sz="4" w:space="0"/>
              <w:bottom w:val="single" w:color="auto" w:sz="4" w:space="0"/>
              <w:right w:val="single" w:color="auto" w:sz="4" w:space="0"/>
            </w:tcBorders>
          </w:tcPr>
          <w:p w14:paraId="56EE76ED">
            <w:pPr>
              <w:topLinePunct/>
              <w:spacing w:line="440" w:lineRule="exact"/>
            </w:pPr>
          </w:p>
          <w:p w14:paraId="22578094">
            <w:pPr>
              <w:topLinePunct/>
              <w:spacing w:line="440" w:lineRule="exact"/>
            </w:pPr>
          </w:p>
          <w:p w14:paraId="5B780D82">
            <w:pPr>
              <w:topLinePunct/>
              <w:spacing w:line="440" w:lineRule="exact"/>
            </w:pPr>
          </w:p>
        </w:tc>
      </w:tr>
      <w:tr w14:paraId="479BF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tcBorders>
              <w:top w:val="single" w:color="auto" w:sz="4" w:space="0"/>
              <w:left w:val="single" w:color="auto" w:sz="4" w:space="0"/>
              <w:bottom w:val="single" w:color="auto" w:sz="4" w:space="0"/>
              <w:right w:val="single" w:color="auto" w:sz="4" w:space="0"/>
            </w:tcBorders>
            <w:vAlign w:val="center"/>
          </w:tcPr>
          <w:p w14:paraId="15FC4AF1">
            <w:pPr>
              <w:topLinePunct/>
              <w:spacing w:line="440" w:lineRule="exact"/>
              <w:jc w:val="center"/>
            </w:pPr>
            <w:r>
              <w:rPr>
                <w:rFonts w:ascii="宋体" w:hAnsi="宋体"/>
              </w:rPr>
              <w:t>备注</w:t>
            </w:r>
          </w:p>
        </w:tc>
        <w:tc>
          <w:tcPr>
            <w:tcW w:w="6253" w:type="dxa"/>
            <w:tcBorders>
              <w:top w:val="single" w:color="auto" w:sz="4" w:space="0"/>
              <w:left w:val="single" w:color="auto" w:sz="4" w:space="0"/>
              <w:bottom w:val="single" w:color="auto" w:sz="4" w:space="0"/>
              <w:right w:val="single" w:color="auto" w:sz="4" w:space="0"/>
            </w:tcBorders>
          </w:tcPr>
          <w:p w14:paraId="02B8CFFC">
            <w:pPr>
              <w:topLinePunct/>
              <w:spacing w:line="440" w:lineRule="exact"/>
            </w:pPr>
          </w:p>
        </w:tc>
      </w:tr>
    </w:tbl>
    <w:p w14:paraId="6129CB88">
      <w:pPr>
        <w:ind w:firstLine="422"/>
        <w:rPr>
          <w:rFonts w:ascii="宋体" w:hAnsi="宋体"/>
          <w:b/>
          <w:bCs/>
          <w:sz w:val="28"/>
          <w:szCs w:val="28"/>
        </w:rPr>
      </w:pPr>
      <w:bookmarkStart w:id="1303" w:name="_Toc8014"/>
      <w:bookmarkEnd w:id="1303"/>
      <w:r>
        <w:rPr>
          <w:rFonts w:hint="eastAsia" w:ascii="宋体" w:hAnsi="宋体"/>
          <w:b/>
          <w:bCs/>
          <w:sz w:val="28"/>
          <w:szCs w:val="28"/>
        </w:rPr>
        <w:br w:type="page"/>
      </w:r>
    </w:p>
    <w:p w14:paraId="2BE307D8">
      <w:pPr>
        <w:pStyle w:val="58"/>
        <w:jc w:val="center"/>
        <w:rPr>
          <w:sz w:val="32"/>
          <w:szCs w:val="32"/>
        </w:rPr>
      </w:pPr>
      <w:bookmarkStart w:id="1304" w:name="_Toc25234"/>
      <w:bookmarkEnd w:id="1304"/>
      <w:bookmarkStart w:id="1305" w:name="_Toc31423"/>
      <w:bookmarkStart w:id="1306" w:name="_Toc11654"/>
      <w:bookmarkStart w:id="1307" w:name="_Toc16776"/>
      <w:bookmarkStart w:id="1308" w:name="_Toc24383"/>
      <w:bookmarkStart w:id="1309" w:name="_Toc7978"/>
      <w:bookmarkStart w:id="1310" w:name="_Toc3345"/>
      <w:bookmarkStart w:id="1311" w:name="_Toc25737"/>
      <w:bookmarkStart w:id="1312" w:name="_Toc6351"/>
      <w:bookmarkStart w:id="1313" w:name="_Toc5085"/>
      <w:bookmarkStart w:id="1314" w:name="_Toc23897"/>
      <w:r>
        <w:rPr>
          <w:rFonts w:hint="eastAsia"/>
          <w:sz w:val="32"/>
          <w:szCs w:val="32"/>
        </w:rPr>
        <w:t>九、服务承诺</w:t>
      </w:r>
      <w:bookmarkEnd w:id="1305"/>
      <w:bookmarkEnd w:id="1306"/>
      <w:bookmarkEnd w:id="1307"/>
      <w:bookmarkEnd w:id="1308"/>
      <w:bookmarkEnd w:id="1309"/>
      <w:bookmarkEnd w:id="1310"/>
    </w:p>
    <w:p w14:paraId="635722AA">
      <w:pPr>
        <w:rPr>
          <w:sz w:val="32"/>
          <w:szCs w:val="32"/>
        </w:rPr>
      </w:pPr>
    </w:p>
    <w:p w14:paraId="4A25ECAC">
      <w:pPr>
        <w:rPr>
          <w:sz w:val="32"/>
          <w:szCs w:val="32"/>
        </w:rPr>
      </w:pPr>
    </w:p>
    <w:p w14:paraId="2AF352B7">
      <w:pPr>
        <w:rPr>
          <w:sz w:val="32"/>
          <w:szCs w:val="32"/>
        </w:rPr>
      </w:pPr>
    </w:p>
    <w:p w14:paraId="1D768D27">
      <w:pPr>
        <w:rPr>
          <w:sz w:val="32"/>
          <w:szCs w:val="32"/>
        </w:rPr>
      </w:pPr>
    </w:p>
    <w:p w14:paraId="7B077204">
      <w:pPr>
        <w:rPr>
          <w:sz w:val="32"/>
          <w:szCs w:val="32"/>
        </w:rPr>
      </w:pPr>
    </w:p>
    <w:p w14:paraId="567574AE">
      <w:pPr>
        <w:rPr>
          <w:sz w:val="32"/>
          <w:szCs w:val="32"/>
        </w:rPr>
      </w:pPr>
    </w:p>
    <w:p w14:paraId="10A27167">
      <w:pPr>
        <w:rPr>
          <w:sz w:val="32"/>
          <w:szCs w:val="32"/>
        </w:rPr>
      </w:pPr>
    </w:p>
    <w:p w14:paraId="5EE7D67F">
      <w:pPr>
        <w:rPr>
          <w:sz w:val="32"/>
          <w:szCs w:val="32"/>
        </w:rPr>
      </w:pPr>
    </w:p>
    <w:p w14:paraId="6C9AAC22">
      <w:pPr>
        <w:rPr>
          <w:sz w:val="32"/>
          <w:szCs w:val="32"/>
        </w:rPr>
      </w:pPr>
    </w:p>
    <w:p w14:paraId="12876AE3">
      <w:pPr>
        <w:rPr>
          <w:sz w:val="32"/>
          <w:szCs w:val="32"/>
        </w:rPr>
      </w:pPr>
      <w:r>
        <w:rPr>
          <w:rFonts w:hint="eastAsia"/>
          <w:sz w:val="32"/>
          <w:szCs w:val="32"/>
        </w:rPr>
        <w:br w:type="page"/>
      </w:r>
    </w:p>
    <w:p w14:paraId="632C645B">
      <w:pPr>
        <w:pStyle w:val="58"/>
        <w:jc w:val="center"/>
        <w:rPr>
          <w:sz w:val="32"/>
          <w:szCs w:val="32"/>
        </w:rPr>
      </w:pPr>
      <w:bookmarkStart w:id="1315" w:name="_Toc21806"/>
      <w:bookmarkStart w:id="1316" w:name="_Toc1630"/>
      <w:bookmarkStart w:id="1317" w:name="_Toc29525"/>
      <w:bookmarkStart w:id="1318" w:name="_Toc6234"/>
      <w:bookmarkStart w:id="1319" w:name="_Toc3400"/>
      <w:bookmarkStart w:id="1320" w:name="_Toc5692"/>
      <w:r>
        <w:rPr>
          <w:rFonts w:hint="eastAsia"/>
          <w:sz w:val="32"/>
          <w:szCs w:val="32"/>
        </w:rPr>
        <w:t>十、其他材料</w:t>
      </w:r>
      <w:bookmarkEnd w:id="1311"/>
      <w:bookmarkEnd w:id="1312"/>
      <w:bookmarkEnd w:id="1313"/>
      <w:bookmarkEnd w:id="1314"/>
      <w:bookmarkEnd w:id="1315"/>
      <w:bookmarkEnd w:id="1316"/>
      <w:bookmarkEnd w:id="1317"/>
      <w:bookmarkEnd w:id="1318"/>
      <w:bookmarkEnd w:id="1319"/>
      <w:bookmarkEnd w:id="1320"/>
    </w:p>
    <w:p w14:paraId="7B5D4FF5">
      <w:pPr>
        <w:pStyle w:val="4"/>
        <w:bidi w:val="0"/>
        <w:jc w:val="center"/>
        <w:rPr>
          <w:sz w:val="28"/>
          <w:szCs w:val="28"/>
        </w:rPr>
      </w:pPr>
      <w:bookmarkStart w:id="1321" w:name="_Toc31919"/>
      <w:bookmarkStart w:id="1322" w:name="_Toc8747"/>
      <w:bookmarkStart w:id="1323" w:name="_Toc2514"/>
      <w:bookmarkStart w:id="1324" w:name="_Toc21768"/>
      <w:bookmarkStart w:id="1325" w:name="_Toc868"/>
      <w:r>
        <w:rPr>
          <w:rFonts w:hint="eastAsia"/>
          <w:sz w:val="28"/>
          <w:szCs w:val="28"/>
        </w:rPr>
        <w:t>1、反商业贿赂承诺书</w:t>
      </w:r>
      <w:bookmarkEnd w:id="1321"/>
      <w:bookmarkEnd w:id="1322"/>
      <w:bookmarkEnd w:id="1323"/>
      <w:bookmarkEnd w:id="1324"/>
      <w:bookmarkEnd w:id="1325"/>
    </w:p>
    <w:p w14:paraId="673F69D3">
      <w:pPr>
        <w:spacing w:line="500" w:lineRule="exact"/>
        <w:rPr>
          <w:rFonts w:ascii="宋体" w:hAnsi="宋体"/>
          <w:kern w:val="0"/>
        </w:rPr>
      </w:pPr>
      <w:r>
        <w:rPr>
          <w:rFonts w:hint="eastAsia" w:ascii="宋体" w:hAnsi="宋体"/>
          <w:kern w:val="0"/>
        </w:rPr>
        <w:t>我公司承诺：</w:t>
      </w:r>
    </w:p>
    <w:p w14:paraId="5E1D3C3D">
      <w:pPr>
        <w:spacing w:line="500" w:lineRule="exact"/>
        <w:ind w:firstLine="360"/>
        <w:rPr>
          <w:rFonts w:ascii="宋体" w:hAnsi="宋体"/>
          <w:kern w:val="0"/>
        </w:rPr>
      </w:pPr>
      <w:r>
        <w:rPr>
          <w:rFonts w:hint="eastAsia" w:ascii="宋体" w:hAnsi="宋体"/>
          <w:kern w:val="0"/>
        </w:rPr>
        <w:t>在招标活动中，我公司保证做到：</w:t>
      </w:r>
    </w:p>
    <w:p w14:paraId="4C0C7854">
      <w:pPr>
        <w:spacing w:line="500" w:lineRule="exact"/>
        <w:ind w:firstLine="360"/>
        <w:rPr>
          <w:rFonts w:ascii="宋体" w:hAnsi="宋体"/>
          <w:kern w:val="0"/>
        </w:rPr>
      </w:pPr>
      <w:r>
        <w:rPr>
          <w:rFonts w:hint="eastAsia" w:ascii="宋体" w:hAnsi="宋体"/>
          <w:kern w:val="0"/>
        </w:rPr>
        <w:t>一、公平竞争参见本次招标活动。</w:t>
      </w:r>
    </w:p>
    <w:p w14:paraId="242089F1">
      <w:pPr>
        <w:spacing w:line="500" w:lineRule="exact"/>
        <w:ind w:firstLine="360"/>
        <w:rPr>
          <w:rFonts w:ascii="宋体" w:hAnsi="宋体"/>
          <w:kern w:val="0"/>
        </w:rPr>
      </w:pPr>
      <w:r>
        <w:rPr>
          <w:rFonts w:hint="eastAsia" w:ascii="宋体" w:hAnsi="宋体"/>
          <w:kern w:val="0"/>
        </w:rPr>
        <w:t>二、杜绝任何形式的商业贿赂行为。不向国家工作人员、政府采购代理机构工作人员、评审专家及亲属提供礼品礼金、有价证券、购物券、回扣、佣金、咨询费、劳务费、资助费、宣传费、宴请；不为其报销各种消费凭证，不支付其旅游、娱乐等费用。</w:t>
      </w:r>
    </w:p>
    <w:p w14:paraId="1FDEB5AA">
      <w:pPr>
        <w:spacing w:line="500" w:lineRule="exact"/>
        <w:ind w:firstLine="360"/>
        <w:rPr>
          <w:rFonts w:ascii="宋体" w:hAnsi="宋体"/>
          <w:kern w:val="0"/>
        </w:rPr>
      </w:pPr>
      <w:r>
        <w:rPr>
          <w:rFonts w:hint="eastAsia" w:ascii="宋体" w:hAnsi="宋体"/>
          <w:kern w:val="0"/>
        </w:rPr>
        <w:t>三、若出现上述行为，我公司及参与投标的工作人员愿意接受按照国家法律法规等有关规定给予的处罚。</w:t>
      </w:r>
    </w:p>
    <w:p w14:paraId="2D428892">
      <w:pPr>
        <w:spacing w:line="500" w:lineRule="exact"/>
        <w:ind w:firstLine="360"/>
        <w:rPr>
          <w:rFonts w:ascii="宋体" w:hAnsi="宋体"/>
          <w:kern w:val="0"/>
        </w:rPr>
      </w:pPr>
    </w:p>
    <w:p w14:paraId="280A130F">
      <w:pPr>
        <w:spacing w:line="500" w:lineRule="exact"/>
        <w:ind w:firstLine="360"/>
        <w:rPr>
          <w:rFonts w:ascii="宋体" w:hAnsi="宋体"/>
          <w:kern w:val="0"/>
        </w:rPr>
      </w:pPr>
    </w:p>
    <w:p w14:paraId="1C9AEDCF">
      <w:pPr>
        <w:spacing w:line="360" w:lineRule="auto"/>
        <w:ind w:firstLine="420" w:firstLineChars="200"/>
        <w:rPr>
          <w:rFonts w:ascii="宋体" w:hAnsi="宋体" w:cs="宋体"/>
        </w:rPr>
      </w:pPr>
      <w:r>
        <w:rPr>
          <w:rFonts w:hint="eastAsia" w:ascii="宋体" w:hAnsi="宋体" w:cs="宋体"/>
        </w:rPr>
        <w:t>供应商名称：</w:t>
      </w:r>
      <w:r>
        <w:rPr>
          <w:rFonts w:hint="eastAsia" w:ascii="宋体" w:hAnsi="宋体" w:cs="宋体"/>
          <w:u w:val="single"/>
        </w:rPr>
        <w:t xml:space="preserve">                        </w:t>
      </w:r>
      <w:r>
        <w:rPr>
          <w:rFonts w:hint="eastAsia" w:ascii="宋体" w:hAnsi="宋体" w:cs="宋体"/>
        </w:rPr>
        <w:t>（单位电子印章）</w:t>
      </w:r>
    </w:p>
    <w:p w14:paraId="5C45FAED">
      <w:pPr>
        <w:spacing w:line="360" w:lineRule="auto"/>
        <w:ind w:firstLine="420" w:firstLineChars="200"/>
        <w:rPr>
          <w:rFonts w:ascii="宋体" w:hAnsi="宋体" w:cs="宋体"/>
        </w:rPr>
      </w:pPr>
      <w:r>
        <w:rPr>
          <w:rFonts w:hint="eastAsia" w:ascii="宋体" w:hAnsi="宋体" w:cs="宋体"/>
        </w:rPr>
        <w:t>法定代表人或其委托代理人：</w:t>
      </w:r>
      <w:r>
        <w:rPr>
          <w:rFonts w:hint="eastAsia" w:ascii="宋体" w:hAnsi="宋体" w:cs="宋体"/>
          <w:u w:val="single"/>
        </w:rPr>
        <w:t xml:space="preserve">          </w:t>
      </w:r>
      <w:r>
        <w:rPr>
          <w:rFonts w:hint="eastAsia" w:ascii="宋体" w:hAnsi="宋体" w:cs="宋体"/>
        </w:rPr>
        <w:t>（电子签章或签字）</w:t>
      </w:r>
    </w:p>
    <w:p w14:paraId="3ED1D363">
      <w:pPr>
        <w:spacing w:line="360" w:lineRule="auto"/>
        <w:ind w:firstLine="420" w:firstLineChars="200"/>
        <w:rPr>
          <w:rFonts w:eastAsiaTheme="minorEastAsia"/>
          <w:b/>
        </w:rPr>
      </w:pPr>
      <w:r>
        <w:rPr>
          <w:rFonts w:hint="eastAsia" w:ascii="宋体" w:hAnsi="宋体" w:cs="宋体"/>
        </w:rPr>
        <w:t>日      期：   年  月   日</w:t>
      </w:r>
    </w:p>
    <w:p w14:paraId="623EE719">
      <w:pPr>
        <w:pStyle w:val="43"/>
        <w:ind w:firstLine="361"/>
        <w:rPr>
          <w:b/>
          <w:bCs/>
          <w:color w:val="auto"/>
        </w:rPr>
      </w:pPr>
    </w:p>
    <w:p w14:paraId="51E8A6B6">
      <w:pPr>
        <w:pStyle w:val="27"/>
        <w:ind w:firstLine="361"/>
        <w:rPr>
          <w:rFonts w:ascii="宋体" w:hAnsi="宋体"/>
          <w:b/>
          <w:bCs/>
          <w:kern w:val="0"/>
          <w:sz w:val="24"/>
          <w:szCs w:val="24"/>
        </w:rPr>
      </w:pPr>
    </w:p>
    <w:p w14:paraId="5872147A">
      <w:pPr>
        <w:ind w:firstLine="420"/>
        <w:rPr>
          <w:sz w:val="28"/>
          <w:szCs w:val="28"/>
        </w:rPr>
      </w:pPr>
      <w:r>
        <w:rPr>
          <w:rFonts w:hint="eastAsia"/>
          <w:sz w:val="28"/>
          <w:szCs w:val="28"/>
        </w:rPr>
        <w:br w:type="page"/>
      </w:r>
    </w:p>
    <w:p w14:paraId="4E07022C">
      <w:pPr>
        <w:pStyle w:val="4"/>
        <w:bidi w:val="0"/>
        <w:jc w:val="center"/>
        <w:rPr>
          <w:rFonts w:hint="eastAsia" w:ascii="Times New Roman" w:hAnsi="Times New Roman" w:cs="Times New Roman"/>
          <w:sz w:val="28"/>
          <w:szCs w:val="28"/>
        </w:rPr>
      </w:pPr>
      <w:bookmarkStart w:id="1326" w:name="_Toc18870"/>
      <w:bookmarkStart w:id="1327" w:name="_Toc27540"/>
      <w:bookmarkStart w:id="1328" w:name="_Toc17091"/>
      <w:bookmarkStart w:id="1329" w:name="_Toc11181"/>
      <w:bookmarkStart w:id="1330" w:name="_Toc25774"/>
      <w:bookmarkStart w:id="1331" w:name="_Toc28223"/>
      <w:bookmarkStart w:id="1332" w:name="_Toc8768"/>
      <w:bookmarkStart w:id="1333" w:name="_Toc29864"/>
      <w:r>
        <w:rPr>
          <w:rFonts w:hint="eastAsia" w:ascii="Times New Roman" w:hAnsi="Times New Roman" w:cs="Times New Roman"/>
          <w:sz w:val="28"/>
          <w:szCs w:val="28"/>
        </w:rPr>
        <w:t>2、磋商承诺函</w:t>
      </w:r>
      <w:bookmarkEnd w:id="1326"/>
      <w:bookmarkEnd w:id="1327"/>
      <w:bookmarkEnd w:id="1328"/>
      <w:bookmarkEnd w:id="1329"/>
      <w:bookmarkEnd w:id="1330"/>
      <w:bookmarkEnd w:id="1331"/>
      <w:bookmarkEnd w:id="1332"/>
      <w:bookmarkEnd w:id="1333"/>
    </w:p>
    <w:p w14:paraId="7906D6F7">
      <w:pPr>
        <w:spacing w:line="360" w:lineRule="auto"/>
      </w:pPr>
      <w:r>
        <w:rPr>
          <w:rFonts w:hint="eastAsia"/>
        </w:rPr>
        <w:t>致</w:t>
      </w:r>
      <w:r>
        <w:rPr>
          <w:rFonts w:hint="eastAsia"/>
          <w:u w:val="single"/>
        </w:rPr>
        <w:t>（采购人或采购代理机构）</w:t>
      </w:r>
      <w:r>
        <w:rPr>
          <w:rFonts w:hint="eastAsia"/>
        </w:rPr>
        <w:t>：</w:t>
      </w:r>
    </w:p>
    <w:p w14:paraId="128CF9EB">
      <w:pPr>
        <w:spacing w:line="360" w:lineRule="auto"/>
        <w:ind w:firstLine="420" w:firstLineChars="200"/>
      </w:pPr>
      <w:r>
        <w:rPr>
          <w:rFonts w:hint="eastAsia"/>
        </w:rPr>
        <w:t>我公司作为本次采购项目的供应商，根据竞争性磋商文件要求，现郑重承诺如下：</w:t>
      </w:r>
    </w:p>
    <w:p w14:paraId="5718C1BD">
      <w:pPr>
        <w:spacing w:line="360" w:lineRule="auto"/>
      </w:pPr>
      <w:r>
        <w:rPr>
          <w:rFonts w:hint="eastAsia"/>
        </w:rPr>
        <w:t>一、具备《中华人民共和国政府采购法》第二十二条第一款和本项目规定的条件：</w:t>
      </w:r>
    </w:p>
    <w:p w14:paraId="207AF63C">
      <w:pPr>
        <w:spacing w:line="360" w:lineRule="auto"/>
        <w:ind w:firstLine="420" w:firstLineChars="200"/>
      </w:pPr>
      <w:r>
        <w:rPr>
          <w:rFonts w:hint="eastAsia"/>
        </w:rPr>
        <w:t>（一）具有独立承担民事责任的能力；</w:t>
      </w:r>
    </w:p>
    <w:p w14:paraId="6501478C">
      <w:pPr>
        <w:spacing w:line="360" w:lineRule="auto"/>
        <w:ind w:firstLine="420" w:firstLineChars="200"/>
      </w:pPr>
      <w:r>
        <w:rPr>
          <w:rFonts w:hint="eastAsia"/>
        </w:rPr>
        <w:t>（二）具有良好的商业信誉和健全的财务会计制度；</w:t>
      </w:r>
    </w:p>
    <w:p w14:paraId="04F6501B">
      <w:pPr>
        <w:spacing w:line="360" w:lineRule="auto"/>
        <w:ind w:firstLine="420" w:firstLineChars="200"/>
      </w:pPr>
      <w:r>
        <w:rPr>
          <w:rFonts w:hint="eastAsia"/>
        </w:rPr>
        <w:t>（三）具有履行合同所必需的设备和专业技术能力；</w:t>
      </w:r>
    </w:p>
    <w:p w14:paraId="516AFF3A">
      <w:pPr>
        <w:spacing w:line="360" w:lineRule="auto"/>
        <w:ind w:firstLine="420" w:firstLineChars="200"/>
      </w:pPr>
      <w:r>
        <w:rPr>
          <w:rFonts w:hint="eastAsia"/>
        </w:rPr>
        <w:t>（四）有依法缴纳税收和社会保障资金的良好记录；</w:t>
      </w:r>
    </w:p>
    <w:p w14:paraId="18565CA7">
      <w:pPr>
        <w:spacing w:line="360" w:lineRule="auto"/>
        <w:ind w:firstLine="420" w:firstLineChars="200"/>
      </w:pPr>
      <w:r>
        <w:rPr>
          <w:rFonts w:hint="eastAsia"/>
        </w:rPr>
        <w:t>（五）参加政府采购活动前三年内，在经营活动中没有重大违法记录；</w:t>
      </w:r>
    </w:p>
    <w:p w14:paraId="16D32332">
      <w:pPr>
        <w:spacing w:line="360" w:lineRule="auto"/>
        <w:ind w:firstLine="420" w:firstLineChars="200"/>
      </w:pPr>
      <w:r>
        <w:rPr>
          <w:rFonts w:hint="eastAsia"/>
        </w:rPr>
        <w:t>（六）法律、行政法规规定的其他条件；</w:t>
      </w:r>
    </w:p>
    <w:p w14:paraId="0525517D">
      <w:pPr>
        <w:spacing w:line="360" w:lineRule="auto"/>
        <w:ind w:firstLine="420" w:firstLineChars="200"/>
      </w:pPr>
      <w:r>
        <w:rPr>
          <w:rFonts w:hint="eastAsia"/>
        </w:rPr>
        <w:t>（七）根据采购项目提出的特殊条件。</w:t>
      </w:r>
    </w:p>
    <w:p w14:paraId="10E681B2">
      <w:pPr>
        <w:spacing w:line="360" w:lineRule="auto"/>
        <w:jc w:val="left"/>
      </w:pPr>
      <w:r>
        <w:rPr>
          <w:rFonts w:hint="eastAsia"/>
        </w:rPr>
        <w:t>二、参加本次招标采购活动，不存在和其他供应商在同一合同项下的采购项目中，同时委托同一个自然人、同一家庭的人员、同一单位的人员作为代理人的行为。</w:t>
      </w:r>
    </w:p>
    <w:p w14:paraId="38E835D0">
      <w:pPr>
        <w:spacing w:line="360" w:lineRule="auto"/>
      </w:pPr>
      <w:r>
        <w:rPr>
          <w:rFonts w:hint="eastAsia"/>
        </w:rPr>
        <w:t>三、存在以下行为之一的愿意接受相关部门的处理：</w:t>
      </w:r>
    </w:p>
    <w:p w14:paraId="67B20A0C">
      <w:pPr>
        <w:spacing w:line="360" w:lineRule="auto"/>
        <w:ind w:firstLine="420" w:firstLineChars="200"/>
      </w:pPr>
      <w:r>
        <w:rPr>
          <w:rFonts w:hint="eastAsia"/>
        </w:rPr>
        <w:t>（一）磋商有效期内撤销响应文件的；</w:t>
      </w:r>
    </w:p>
    <w:p w14:paraId="536951DA">
      <w:pPr>
        <w:spacing w:line="360" w:lineRule="auto"/>
        <w:ind w:firstLine="420" w:firstLineChars="200"/>
      </w:pPr>
      <w:r>
        <w:rPr>
          <w:rFonts w:hint="eastAsia"/>
        </w:rPr>
        <w:t>（二）在采购人确定中标人以前放弃中标候选资格的；</w:t>
      </w:r>
    </w:p>
    <w:p w14:paraId="7BC1538A">
      <w:pPr>
        <w:spacing w:line="360" w:lineRule="auto"/>
        <w:ind w:firstLine="420" w:firstLineChars="200"/>
      </w:pPr>
      <w:r>
        <w:rPr>
          <w:rFonts w:hint="eastAsia"/>
        </w:rPr>
        <w:t>（三）由于成交供应商的原因未能按照竞争性磋商文件的规定与采购人签订合同；</w:t>
      </w:r>
    </w:p>
    <w:p w14:paraId="7539E1CF">
      <w:pPr>
        <w:spacing w:line="360" w:lineRule="auto"/>
        <w:ind w:firstLine="420" w:firstLineChars="200"/>
      </w:pPr>
      <w:r>
        <w:rPr>
          <w:rFonts w:hint="eastAsia"/>
        </w:rPr>
        <w:t>（四）在响应文件中提供虚假材料谋取中标；</w:t>
      </w:r>
    </w:p>
    <w:p w14:paraId="2F034D25">
      <w:pPr>
        <w:spacing w:line="360" w:lineRule="auto"/>
        <w:ind w:firstLine="420" w:firstLineChars="200"/>
      </w:pPr>
      <w:r>
        <w:rPr>
          <w:rFonts w:hint="eastAsia"/>
        </w:rPr>
        <w:t>（五）与采购人、其他供应商或者采购代理机构恶意串通的；</w:t>
      </w:r>
    </w:p>
    <w:p w14:paraId="7882A927">
      <w:pPr>
        <w:spacing w:line="360" w:lineRule="auto"/>
        <w:ind w:firstLine="420" w:firstLineChars="200"/>
      </w:pPr>
      <w:r>
        <w:rPr>
          <w:rFonts w:hint="eastAsia"/>
        </w:rPr>
        <w:t>（六）磋商有效期内，供应商在政府采购活动中有违法、违规、违纪行为。</w:t>
      </w:r>
    </w:p>
    <w:p w14:paraId="24949256">
      <w:pPr>
        <w:spacing w:line="360" w:lineRule="auto"/>
        <w:ind w:firstLine="420" w:firstLineChars="200"/>
      </w:pPr>
      <w:r>
        <w:rPr>
          <w:rFonts w:hint="eastAsia"/>
        </w:rPr>
        <w:t>由此产生的一切法律后果和责任由我公司承担。我公司声明放弃对此提出任何异议和追索的权利。</w:t>
      </w:r>
    </w:p>
    <w:p w14:paraId="2F6D34CE">
      <w:pPr>
        <w:spacing w:line="360" w:lineRule="auto"/>
        <w:ind w:firstLine="420" w:firstLineChars="200"/>
      </w:pPr>
      <w:r>
        <w:rPr>
          <w:rFonts w:hint="eastAsia"/>
        </w:rPr>
        <w:t>本公司对上述承诺的内容事项真实性负责。如经查实上述承诺的内容事项存在虚假，我公司愿意接受以提供虚假材料谋取中标追究法律责任。</w:t>
      </w:r>
    </w:p>
    <w:p w14:paraId="3696D511">
      <w:pPr>
        <w:spacing w:line="520" w:lineRule="exact"/>
        <w:ind w:firstLine="420" w:firstLineChars="200"/>
        <w:rPr>
          <w:rFonts w:ascii="宋体" w:hAnsi="宋体" w:cs="宋体"/>
        </w:rPr>
      </w:pPr>
      <w:r>
        <w:rPr>
          <w:rFonts w:hint="eastAsia" w:ascii="宋体" w:hAnsi="宋体" w:cs="宋体"/>
        </w:rPr>
        <w:t>供应商名称：</w:t>
      </w:r>
      <w:r>
        <w:rPr>
          <w:rFonts w:hint="eastAsia" w:ascii="宋体" w:hAnsi="宋体" w:cs="宋体"/>
          <w:u w:val="single"/>
        </w:rPr>
        <w:t xml:space="preserve">                        </w:t>
      </w:r>
      <w:r>
        <w:rPr>
          <w:rFonts w:hint="eastAsia" w:ascii="宋体" w:hAnsi="宋体" w:cs="宋体"/>
        </w:rPr>
        <w:t>（单位电子印章）</w:t>
      </w:r>
    </w:p>
    <w:p w14:paraId="3EF85B72">
      <w:pPr>
        <w:spacing w:line="520" w:lineRule="exact"/>
        <w:ind w:firstLine="420" w:firstLineChars="200"/>
        <w:rPr>
          <w:rFonts w:ascii="宋体" w:hAnsi="宋体" w:cs="宋体"/>
        </w:rPr>
      </w:pPr>
      <w:r>
        <w:rPr>
          <w:rFonts w:hint="eastAsia" w:ascii="宋体" w:hAnsi="宋体" w:cs="宋体"/>
        </w:rPr>
        <w:t>法定代表人或其委托代理人：</w:t>
      </w:r>
      <w:r>
        <w:rPr>
          <w:rFonts w:hint="eastAsia" w:ascii="宋体" w:hAnsi="宋体" w:cs="宋体"/>
          <w:u w:val="single"/>
        </w:rPr>
        <w:t xml:space="preserve">          </w:t>
      </w:r>
      <w:r>
        <w:rPr>
          <w:rFonts w:hint="eastAsia" w:ascii="宋体" w:hAnsi="宋体" w:cs="宋体"/>
        </w:rPr>
        <w:t>（电子签章或签字）</w:t>
      </w:r>
    </w:p>
    <w:p w14:paraId="0CDED6C1">
      <w:pPr>
        <w:spacing w:line="360" w:lineRule="auto"/>
        <w:ind w:firstLine="420" w:firstLineChars="200"/>
        <w:rPr>
          <w:rFonts w:eastAsiaTheme="minorEastAsia"/>
          <w:b/>
        </w:rPr>
      </w:pPr>
      <w:r>
        <w:rPr>
          <w:rFonts w:hint="eastAsia" w:ascii="宋体" w:hAnsi="宋体" w:cs="宋体"/>
        </w:rPr>
        <w:t>日      期：   年  月   日</w:t>
      </w:r>
    </w:p>
    <w:p w14:paraId="52AC085E">
      <w:pPr>
        <w:ind w:firstLine="2380" w:firstLineChars="850"/>
        <w:rPr>
          <w:rFonts w:ascii="宋体" w:hAnsi="宋体"/>
          <w:kern w:val="0"/>
          <w:sz w:val="28"/>
          <w:szCs w:val="28"/>
        </w:rPr>
      </w:pPr>
    </w:p>
    <w:p w14:paraId="099386EB">
      <w:pPr>
        <w:widowControl/>
        <w:ind w:firstLine="361"/>
        <w:jc w:val="left"/>
      </w:pPr>
      <w:r>
        <w:rPr>
          <w:rFonts w:hint="eastAsia" w:ascii="宋体" w:hAnsi="宋体"/>
          <w:b/>
          <w:bCs/>
          <w:kern w:val="0"/>
          <w:sz w:val="24"/>
          <w:szCs w:val="24"/>
        </w:rPr>
        <w:br w:type="page"/>
      </w:r>
    </w:p>
    <w:p w14:paraId="65E459C3">
      <w:pPr>
        <w:pStyle w:val="4"/>
        <w:bidi w:val="0"/>
        <w:jc w:val="center"/>
        <w:rPr>
          <w:rFonts w:hint="eastAsia" w:ascii="Times New Roman" w:hAnsi="Times New Roman" w:cs="Times New Roman"/>
          <w:sz w:val="28"/>
          <w:szCs w:val="28"/>
        </w:rPr>
      </w:pPr>
      <w:bookmarkStart w:id="1334" w:name="_Toc8971"/>
      <w:bookmarkStart w:id="1335" w:name="_Toc30595"/>
      <w:bookmarkStart w:id="1336" w:name="_Toc3177"/>
      <w:bookmarkStart w:id="1337" w:name="_Toc13454"/>
      <w:bookmarkStart w:id="1338" w:name="_Toc15558"/>
      <w:bookmarkStart w:id="1339" w:name="_Toc21735"/>
      <w:bookmarkStart w:id="1340" w:name="_Toc15903"/>
      <w:bookmarkStart w:id="1341" w:name="_Toc23901"/>
      <w:r>
        <w:rPr>
          <w:rFonts w:hint="eastAsia" w:ascii="Times New Roman" w:hAnsi="Times New Roman" w:cs="Times New Roman"/>
          <w:sz w:val="28"/>
          <w:szCs w:val="28"/>
        </w:rPr>
        <w:t>3、代理服务费承诺函</w:t>
      </w:r>
      <w:bookmarkEnd w:id="1334"/>
      <w:bookmarkEnd w:id="1335"/>
      <w:bookmarkEnd w:id="1336"/>
      <w:bookmarkEnd w:id="1337"/>
      <w:bookmarkEnd w:id="1338"/>
      <w:bookmarkEnd w:id="1339"/>
      <w:bookmarkEnd w:id="1340"/>
      <w:bookmarkEnd w:id="1341"/>
    </w:p>
    <w:p w14:paraId="6FB15FBA">
      <w:pPr>
        <w:widowControl/>
        <w:spacing w:line="360" w:lineRule="auto"/>
        <w:jc w:val="left"/>
      </w:pPr>
      <w:r>
        <w:rPr>
          <w:rFonts w:hint="eastAsia" w:ascii="宋体" w:hAnsi="宋体" w:cs="宋体"/>
          <w:kern w:val="0"/>
        </w:rPr>
        <w:t>致（采购人及采购代理机构）：</w:t>
      </w:r>
    </w:p>
    <w:p w14:paraId="07553BD5">
      <w:pPr>
        <w:widowControl/>
        <w:spacing w:line="360" w:lineRule="auto"/>
        <w:ind w:firstLine="420" w:firstLineChars="200"/>
        <w:jc w:val="left"/>
      </w:pPr>
      <w:r>
        <w:rPr>
          <w:rFonts w:hint="eastAsia" w:ascii="宋体" w:hAnsi="宋体" w:cs="宋体"/>
          <w:kern w:val="0"/>
        </w:rPr>
        <w:t>我们在贵公司组织的</w:t>
      </w:r>
      <w:r>
        <w:rPr>
          <w:rFonts w:hint="eastAsia" w:ascii="宋体" w:hAnsi="宋体" w:cs="宋体"/>
          <w:kern w:val="0"/>
          <w:u w:val="single"/>
        </w:rPr>
        <w:t xml:space="preserve">         </w:t>
      </w:r>
      <w:r>
        <w:rPr>
          <w:rFonts w:hint="eastAsia" w:ascii="宋体" w:hAnsi="宋体" w:cs="宋体"/>
          <w:kern w:val="0"/>
        </w:rPr>
        <w:t>项目竞争性磋商采购中若获中标（成交），我们保证在中标（成交）公告发布后</w:t>
      </w:r>
      <w:r>
        <w:rPr>
          <w:rFonts w:hint="eastAsia" w:ascii="宋体" w:hAnsi="宋体" w:cs="宋体"/>
          <w:kern w:val="0"/>
          <w:lang w:val="en-US" w:eastAsia="zh-CN"/>
        </w:rPr>
        <w:t>5</w:t>
      </w:r>
      <w:r>
        <w:rPr>
          <w:rFonts w:hint="eastAsia" w:ascii="宋体" w:hAnsi="宋体" w:cs="宋体"/>
          <w:kern w:val="0"/>
        </w:rPr>
        <w:t>个工作日内，按采购文件的规定，以银行转账或现金</w:t>
      </w:r>
      <w:r>
        <w:rPr>
          <w:rFonts w:hint="eastAsia" w:ascii="宋体" w:hAnsi="宋体" w:cs="宋体"/>
          <w:kern w:val="0"/>
          <w:lang w:eastAsia="zh-CN"/>
        </w:rPr>
        <w:t>形式</w:t>
      </w:r>
      <w:r>
        <w:rPr>
          <w:rFonts w:hint="eastAsia" w:ascii="宋体" w:hAnsi="宋体" w:cs="宋体"/>
          <w:kern w:val="0"/>
        </w:rPr>
        <w:t xml:space="preserve">，向贵公司一次性支付代理服务费用。否则，由此产生的一切法律后果和责任由我公司承担。我公司声明放弃对此提出任何异议和追索的权利。 </w:t>
      </w:r>
    </w:p>
    <w:p w14:paraId="3237B453">
      <w:pPr>
        <w:widowControl/>
        <w:spacing w:line="360" w:lineRule="auto"/>
        <w:ind w:firstLine="420" w:firstLineChars="200"/>
        <w:jc w:val="left"/>
      </w:pPr>
      <w:r>
        <w:rPr>
          <w:rFonts w:hint="eastAsia" w:ascii="宋体" w:hAnsi="宋体" w:cs="宋体"/>
          <w:kern w:val="0"/>
        </w:rPr>
        <w:t xml:space="preserve">特此承诺。 </w:t>
      </w:r>
    </w:p>
    <w:p w14:paraId="1B740272">
      <w:pPr>
        <w:spacing w:line="520" w:lineRule="exact"/>
        <w:ind w:firstLine="420" w:firstLineChars="200"/>
        <w:rPr>
          <w:rFonts w:ascii="宋体" w:hAnsi="宋体" w:cs="宋体"/>
        </w:rPr>
      </w:pPr>
      <w:r>
        <w:rPr>
          <w:rFonts w:hint="eastAsia" w:ascii="宋体" w:hAnsi="宋体" w:cs="宋体"/>
        </w:rPr>
        <w:t>供应商名称：</w:t>
      </w:r>
      <w:r>
        <w:rPr>
          <w:rFonts w:hint="eastAsia" w:ascii="宋体" w:hAnsi="宋体" w:cs="宋体"/>
          <w:u w:val="single"/>
        </w:rPr>
        <w:t xml:space="preserve">                        </w:t>
      </w:r>
      <w:r>
        <w:rPr>
          <w:rFonts w:hint="eastAsia" w:ascii="宋体" w:hAnsi="宋体" w:cs="宋体"/>
        </w:rPr>
        <w:t>（单位电子印章）</w:t>
      </w:r>
    </w:p>
    <w:p w14:paraId="6E99F749">
      <w:pPr>
        <w:spacing w:line="520" w:lineRule="exact"/>
        <w:ind w:firstLine="420" w:firstLineChars="200"/>
        <w:rPr>
          <w:rFonts w:ascii="宋体" w:hAnsi="宋体" w:cs="宋体"/>
        </w:rPr>
      </w:pPr>
      <w:r>
        <w:rPr>
          <w:rFonts w:hint="eastAsia" w:ascii="宋体" w:hAnsi="宋体" w:cs="宋体"/>
        </w:rPr>
        <w:t>法定代表人或其委托代理人：</w:t>
      </w:r>
      <w:r>
        <w:rPr>
          <w:rFonts w:hint="eastAsia" w:ascii="宋体" w:hAnsi="宋体" w:cs="宋体"/>
          <w:u w:val="single"/>
        </w:rPr>
        <w:t xml:space="preserve">          </w:t>
      </w:r>
      <w:r>
        <w:rPr>
          <w:rFonts w:hint="eastAsia" w:ascii="宋体" w:hAnsi="宋体" w:cs="宋体"/>
        </w:rPr>
        <w:t>（电子签章或签字）</w:t>
      </w:r>
    </w:p>
    <w:p w14:paraId="0D18BC0C">
      <w:pPr>
        <w:spacing w:line="360" w:lineRule="auto"/>
        <w:ind w:firstLine="420" w:firstLineChars="200"/>
        <w:rPr>
          <w:rFonts w:eastAsiaTheme="minorEastAsia"/>
          <w:b/>
        </w:rPr>
      </w:pPr>
      <w:r>
        <w:rPr>
          <w:rFonts w:hint="eastAsia" w:ascii="宋体" w:hAnsi="宋体" w:cs="宋体"/>
        </w:rPr>
        <w:t>日      期：   年  月   日</w:t>
      </w:r>
    </w:p>
    <w:p w14:paraId="6D08992F">
      <w:pPr>
        <w:widowControl/>
        <w:spacing w:line="360" w:lineRule="auto"/>
        <w:ind w:firstLine="3780" w:firstLineChars="1800"/>
        <w:jc w:val="left"/>
      </w:pPr>
      <w:r>
        <w:rPr>
          <w:rFonts w:hint="eastAsia" w:ascii="宋体" w:hAnsi="宋体" w:cs="宋体"/>
          <w:kern w:val="0"/>
        </w:rPr>
        <w:t xml:space="preserve"> </w:t>
      </w:r>
    </w:p>
    <w:p w14:paraId="486D479D">
      <w:pPr>
        <w:ind w:firstLine="361"/>
        <w:rPr>
          <w:rFonts w:ascii="宋体" w:hAnsi="宋体"/>
          <w:b/>
          <w:bCs/>
          <w:kern w:val="0"/>
          <w:sz w:val="24"/>
          <w:szCs w:val="24"/>
        </w:rPr>
      </w:pPr>
    </w:p>
    <w:p w14:paraId="6589F2C4">
      <w:pPr>
        <w:ind w:firstLine="361"/>
        <w:rPr>
          <w:rFonts w:ascii="宋体" w:hAnsi="宋体"/>
          <w:b/>
          <w:bCs/>
          <w:kern w:val="0"/>
          <w:sz w:val="24"/>
          <w:szCs w:val="24"/>
        </w:rPr>
      </w:pPr>
      <w:r>
        <w:rPr>
          <w:rFonts w:hint="eastAsia" w:ascii="宋体" w:hAnsi="宋体"/>
          <w:b/>
          <w:bCs/>
          <w:kern w:val="0"/>
          <w:sz w:val="24"/>
          <w:szCs w:val="24"/>
        </w:rPr>
        <w:br w:type="page"/>
      </w:r>
    </w:p>
    <w:p w14:paraId="462641E4">
      <w:pPr>
        <w:pStyle w:val="4"/>
        <w:bidi w:val="0"/>
        <w:jc w:val="center"/>
        <w:rPr>
          <w:rFonts w:hint="eastAsia" w:ascii="Times New Roman" w:hAnsi="Times New Roman" w:cs="Times New Roman"/>
          <w:sz w:val="28"/>
          <w:szCs w:val="28"/>
        </w:rPr>
      </w:pPr>
      <w:bookmarkStart w:id="1342" w:name="_Toc10972"/>
      <w:r>
        <w:rPr>
          <w:rFonts w:hint="eastAsia" w:ascii="Times New Roman" w:hAnsi="Times New Roman" w:cs="Times New Roman"/>
          <w:sz w:val="28"/>
          <w:szCs w:val="28"/>
          <w:lang w:val="en-US" w:eastAsia="zh-CN"/>
        </w:rPr>
        <w:t>4</w:t>
      </w:r>
      <w:r>
        <w:rPr>
          <w:rFonts w:hint="eastAsia" w:ascii="Times New Roman" w:hAnsi="Times New Roman" w:cs="Times New Roman"/>
          <w:sz w:val="28"/>
          <w:szCs w:val="28"/>
        </w:rPr>
        <w:t>、根据竞争性磋商文件要求，或供应商认为需要提交的资料（如有）</w:t>
      </w:r>
      <w:bookmarkEnd w:id="1342"/>
    </w:p>
    <w:p w14:paraId="76F6287C">
      <w:pPr>
        <w:rPr>
          <w:rFonts w:asciiTheme="minorEastAsia" w:hAnsiTheme="minorEastAsia" w:eastAsiaTheme="minorEastAsia" w:cstheme="minorEastAsia"/>
        </w:rPr>
      </w:pPr>
      <w:bookmarkStart w:id="1343" w:name="_Toc28531"/>
      <w:bookmarkEnd w:id="1343"/>
    </w:p>
    <w:p w14:paraId="5507F77C">
      <w:pPr>
        <w:rPr>
          <w:rFonts w:asciiTheme="minorEastAsia" w:hAnsiTheme="minorEastAsia" w:eastAsiaTheme="minorEastAsia" w:cstheme="minorEastAsia"/>
        </w:rPr>
      </w:pPr>
    </w:p>
    <w:sectPr>
      <w:pgSz w:w="11906" w:h="16838"/>
      <w:pgMar w:top="1440" w:right="1429" w:bottom="1440" w:left="14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E8E501D-B5C2-48A9-B8B4-DB961F9C689D}"/>
  </w:font>
  <w:font w:name="黑体">
    <w:panose1 w:val="02010609060101010101"/>
    <w:charset w:val="86"/>
    <w:family w:val="auto"/>
    <w:pitch w:val="default"/>
    <w:sig w:usb0="800002BF" w:usb1="38CF7CFA" w:usb2="00000016" w:usb3="00000000" w:csb0="00040001" w:csb1="00000000"/>
    <w:embedRegular r:id="rId2" w:fontKey="{733EB211-DCD6-4B4C-9F58-CFF1FB8392E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DFE5BC9B-E37F-4C1D-B7F0-A7FDCF51B8C7}"/>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embedRegular r:id="rId4" w:fontKey="{BD0E75C5-C3EB-486A-AD2F-EB8D3CCD866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F247A">
    <w:pPr>
      <w:pStyle w:val="21"/>
      <w:pBdr>
        <w:top w:val="thinThickSmallGap" w:color="974706" w:themeColor="accent6" w:themeShade="7F" w:sz="12" w:space="1"/>
        <w:left w:val="none" w:color="auto" w:sz="0" w:space="4"/>
        <w:bottom w:val="none" w:color="auto" w:sz="0" w:space="1"/>
        <w:right w:val="none" w:color="auto" w:sz="0" w:space="4"/>
      </w:pBdr>
      <w:tabs>
        <w:tab w:val="left" w:pos="5340"/>
        <w:tab w:val="left" w:pos="8190"/>
      </w:tabs>
      <w:jc w:val="left"/>
      <w:rPr>
        <w:rFonts w:hint="default" w:eastAsia="宋体"/>
        <w:lang w:val="en-US" w:eastAsia="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3" name="Text Box 1029"/>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a:effectLst/>
                    </wps:spPr>
                    <wps:txbx>
                      <w:txbxContent>
                        <w:p w14:paraId="0561D568">
                          <w:pPr>
                            <w:pStyle w:val="21"/>
                            <w:tabs>
                              <w:tab w:val="center" w:pos="4153"/>
                              <w:tab w:val="right" w:pos="8306"/>
                            </w:tabs>
                          </w:pPr>
                          <w:r>
                            <w:t>第</w:t>
                          </w:r>
                          <w:r>
                            <w:fldChar w:fldCharType="begin"/>
                          </w:r>
                          <w:r>
                            <w:instrText xml:space="preserve"> PAGE  \* MERGEFORMAT </w:instrText>
                          </w:r>
                          <w:r>
                            <w:fldChar w:fldCharType="separate"/>
                          </w:r>
                          <w:r>
                            <w:t>15</w:t>
                          </w:r>
                          <w:r>
                            <w:fldChar w:fldCharType="end"/>
                          </w:r>
                          <w:r>
                            <w:t>页</w:t>
                          </w:r>
                        </w:p>
                      </w:txbxContent>
                    </wps:txbx>
                    <wps:bodyPr rot="0" vert="horz" wrap="none" lIns="0" tIns="0" rIns="0" bIns="0" anchor="t" anchorCtr="0" upright="1">
                      <a:spAutoFit/>
                    </wps:bodyPr>
                  </wps:wsp>
                </a:graphicData>
              </a:graphic>
            </wp:anchor>
          </w:drawing>
        </mc:Choice>
        <mc:Fallback>
          <w:pict>
            <v:shape id="Text Box 1029"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f/xsx0gAAAAMBAAAPAAAAAAAAAAEAIAAAACIAAABkcnMvZG93bnJl&#10;di54bWxQSwECFAAUAAAACACHTuJADLKdBQMCAAASBAAADgAAAAAAAAABACAAAAAhAQAAZHJzL2Uy&#10;b0RvYy54bWxQSwUGAAAAAAYABgBZAQAAlgUAAAAA&#10;">
              <v:fill on="f" focussize="0,0"/>
              <v:stroke on="f"/>
              <v:imagedata o:title=""/>
              <o:lock v:ext="edit" aspectratio="f"/>
              <v:textbox inset="0mm,0mm,0mm,0mm" style="mso-fit-shape-to-text:t;">
                <w:txbxContent>
                  <w:p w14:paraId="0561D568">
                    <w:pPr>
                      <w:pStyle w:val="21"/>
                      <w:tabs>
                        <w:tab w:val="center" w:pos="4153"/>
                        <w:tab w:val="right" w:pos="8306"/>
                      </w:tabs>
                    </w:pPr>
                    <w:r>
                      <w:t>第</w:t>
                    </w:r>
                    <w:r>
                      <w:fldChar w:fldCharType="begin"/>
                    </w:r>
                    <w:r>
                      <w:instrText xml:space="preserve"> PAGE  \* MERGEFORMAT </w:instrText>
                    </w:r>
                    <w:r>
                      <w:fldChar w:fldCharType="separate"/>
                    </w:r>
                    <w:r>
                      <w:t>15</w:t>
                    </w:r>
                    <w:r>
                      <w:fldChar w:fldCharType="end"/>
                    </w:r>
                    <w:r>
                      <w:t>页</w:t>
                    </w:r>
                  </w:p>
                </w:txbxContent>
              </v:textbox>
            </v:shape>
          </w:pict>
        </mc:Fallback>
      </mc:AlternateContent>
    </w:r>
    <w:r>
      <w:rPr>
        <w:rFonts w:hint="eastAsia"/>
      </w:rPr>
      <w:t>中建山河建设管理集团有限公司</w:t>
    </w:r>
    <w:r>
      <w:rPr>
        <w:rFonts w:hint="eastAsia"/>
        <w:lang w:val="en-US" w:eastAsia="zh-CN"/>
      </w:rPr>
      <w:t xml:space="preserve">                                                           0371-86556161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3B93F">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C4360">
    <w:pPr>
      <w:pStyle w:val="22"/>
      <w:pBdr>
        <w:bottom w:val="thinThickSmallGap" w:color="993300" w:sz="12" w:space="1"/>
      </w:pBdr>
      <w:tabs>
        <w:tab w:val="center" w:pos="4153"/>
        <w:tab w:val="right" w:pos="8306"/>
      </w:tabs>
      <w:jc w:val="left"/>
    </w:pPr>
    <w:r>
      <w:rPr>
        <w:rFonts w:hint="eastAsia"/>
        <w:lang w:eastAsia="zh-CN"/>
      </w:rPr>
      <w:t>河南省科学院激光制造研究所中原量子谷大型仪器共享平台基础设施建设项目</w:t>
    </w:r>
    <w:r>
      <w:rPr>
        <w:rFonts w:hint="eastAsia"/>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DA23A">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2C5FD">
    <w:pPr>
      <w:pStyle w:val="2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454BAA"/>
    <w:multiLevelType w:val="singleLevel"/>
    <w:tmpl w:val="95454BAA"/>
    <w:lvl w:ilvl="0" w:tentative="0">
      <w:start w:val="1"/>
      <w:numFmt w:val="decimal"/>
      <w:suff w:val="space"/>
      <w:lvlText w:val="%1."/>
      <w:lvlJc w:val="left"/>
    </w:lvl>
  </w:abstractNum>
  <w:abstractNum w:abstractNumId="1">
    <w:nsid w:val="9D071915"/>
    <w:multiLevelType w:val="singleLevel"/>
    <w:tmpl w:val="9D071915"/>
    <w:lvl w:ilvl="0" w:tentative="0">
      <w:start w:val="1"/>
      <w:numFmt w:val="chineseCounting"/>
      <w:suff w:val="nothing"/>
      <w:lvlText w:val="%1、"/>
      <w:lvlJc w:val="left"/>
      <w:pPr>
        <w:ind w:left="-2"/>
      </w:pPr>
      <w:rPr>
        <w:rFonts w:hint="eastAsia"/>
      </w:rPr>
    </w:lvl>
  </w:abstractNum>
  <w:abstractNum w:abstractNumId="2">
    <w:nsid w:val="BE4A9FEE"/>
    <w:multiLevelType w:val="singleLevel"/>
    <w:tmpl w:val="BE4A9FEE"/>
    <w:lvl w:ilvl="0" w:tentative="0">
      <w:start w:val="1"/>
      <w:numFmt w:val="decimal"/>
      <w:lvlText w:val="%1."/>
      <w:lvlJc w:val="left"/>
      <w:pPr>
        <w:tabs>
          <w:tab w:val="left" w:pos="312"/>
        </w:tabs>
      </w:pPr>
    </w:lvl>
  </w:abstractNum>
  <w:abstractNum w:abstractNumId="3">
    <w:nsid w:val="00000006"/>
    <w:multiLevelType w:val="singleLevel"/>
    <w:tmpl w:val="00000006"/>
    <w:lvl w:ilvl="0" w:tentative="0">
      <w:start w:val="1"/>
      <w:numFmt w:val="decimal"/>
      <w:suff w:val="nothing"/>
      <w:lvlText w:val="（%1）"/>
      <w:lvlJc w:val="left"/>
    </w:lvl>
  </w:abstractNum>
  <w:abstractNum w:abstractNumId="4">
    <w:nsid w:val="06657EA5"/>
    <w:multiLevelType w:val="multilevel"/>
    <w:tmpl w:val="06657EA5"/>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2B16144B"/>
    <w:multiLevelType w:val="multilevel"/>
    <w:tmpl w:val="2B16144B"/>
    <w:lvl w:ilvl="0" w:tentative="0">
      <w:start w:val="1"/>
      <w:numFmt w:val="japaneseCounting"/>
      <w:lvlText w:val="（%1）"/>
      <w:lvlJc w:val="left"/>
      <w:pPr>
        <w:ind w:left="720" w:hanging="7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6">
    <w:nsid w:val="3CB27E4D"/>
    <w:multiLevelType w:val="singleLevel"/>
    <w:tmpl w:val="3CB27E4D"/>
    <w:lvl w:ilvl="0" w:tentative="0">
      <w:start w:val="3"/>
      <w:numFmt w:val="decimal"/>
      <w:suff w:val="nothing"/>
      <w:lvlText w:val="（%1）"/>
      <w:lvlJc w:val="left"/>
    </w:lvl>
  </w:abstractNum>
  <w:abstractNum w:abstractNumId="7">
    <w:nsid w:val="4F3FF634"/>
    <w:multiLevelType w:val="singleLevel"/>
    <w:tmpl w:val="4F3FF634"/>
    <w:lvl w:ilvl="0" w:tentative="0">
      <w:start w:val="2"/>
      <w:numFmt w:val="decimal"/>
      <w:lvlText w:val="%1."/>
      <w:lvlJc w:val="left"/>
      <w:pPr>
        <w:tabs>
          <w:tab w:val="left" w:pos="312"/>
        </w:tabs>
      </w:pPr>
    </w:lvl>
  </w:abstractNum>
  <w:abstractNum w:abstractNumId="8">
    <w:nsid w:val="501727D8"/>
    <w:multiLevelType w:val="singleLevel"/>
    <w:tmpl w:val="501727D8"/>
    <w:lvl w:ilvl="0" w:tentative="0">
      <w:start w:val="1"/>
      <w:numFmt w:val="chineseCounting"/>
      <w:suff w:val="nothing"/>
      <w:lvlText w:val="%1、"/>
      <w:lvlJc w:val="left"/>
      <w:pPr>
        <w:ind w:left="0" w:firstLine="420"/>
      </w:pPr>
      <w:rPr>
        <w:rFonts w:hint="eastAsia"/>
      </w:rPr>
    </w:lvl>
  </w:abstractNum>
  <w:abstractNum w:abstractNumId="9">
    <w:nsid w:val="5C9F8AE3"/>
    <w:multiLevelType w:val="singleLevel"/>
    <w:tmpl w:val="5C9F8AE3"/>
    <w:lvl w:ilvl="0" w:tentative="0">
      <w:start w:val="1"/>
      <w:numFmt w:val="decimal"/>
      <w:lvlText w:val="%1."/>
      <w:lvlJc w:val="left"/>
      <w:pPr>
        <w:tabs>
          <w:tab w:val="left" w:pos="312"/>
        </w:tabs>
      </w:pPr>
    </w:lvl>
  </w:abstractNum>
  <w:abstractNum w:abstractNumId="10">
    <w:nsid w:val="72CAF20C"/>
    <w:multiLevelType w:val="singleLevel"/>
    <w:tmpl w:val="72CAF20C"/>
    <w:lvl w:ilvl="0" w:tentative="0">
      <w:start w:val="8"/>
      <w:numFmt w:val="decimal"/>
      <w:suff w:val="nothing"/>
      <w:lvlText w:val="%1、"/>
      <w:lvlJc w:val="left"/>
    </w:lvl>
  </w:abstractNum>
  <w:num w:numId="1">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9"/>
  </w:num>
  <w:num w:numId="4">
    <w:abstractNumId w:val="2"/>
  </w:num>
  <w:num w:numId="5">
    <w:abstractNumId w:val="6"/>
  </w:num>
  <w:num w:numId="6">
    <w:abstractNumId w:val="3"/>
  </w:num>
  <w:num w:numId="7">
    <w:abstractNumId w:val="1"/>
  </w:num>
  <w:num w:numId="8">
    <w:abstractNumId w:val="0"/>
  </w:num>
  <w:num w:numId="9">
    <w:abstractNumId w:val="8"/>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zMjAzZGIyZWZkMzgyZWM3OGFkNzkwYzU2NGMyODEifQ=="/>
  </w:docVars>
  <w:rsids>
    <w:rsidRoot w:val="000476C9"/>
    <w:rsid w:val="00026639"/>
    <w:rsid w:val="00034701"/>
    <w:rsid w:val="00045082"/>
    <w:rsid w:val="000476C9"/>
    <w:rsid w:val="00057290"/>
    <w:rsid w:val="00062802"/>
    <w:rsid w:val="000668F4"/>
    <w:rsid w:val="000777ED"/>
    <w:rsid w:val="0008223B"/>
    <w:rsid w:val="000A66D4"/>
    <w:rsid w:val="000B6609"/>
    <w:rsid w:val="000D3F0A"/>
    <w:rsid w:val="000F7C87"/>
    <w:rsid w:val="00144FBB"/>
    <w:rsid w:val="0014612A"/>
    <w:rsid w:val="001510F6"/>
    <w:rsid w:val="00151F1C"/>
    <w:rsid w:val="00175831"/>
    <w:rsid w:val="001A14F3"/>
    <w:rsid w:val="001B0DAA"/>
    <w:rsid w:val="001B24B1"/>
    <w:rsid w:val="001C2871"/>
    <w:rsid w:val="001F7133"/>
    <w:rsid w:val="002271F3"/>
    <w:rsid w:val="00240D24"/>
    <w:rsid w:val="002425B6"/>
    <w:rsid w:val="00244C65"/>
    <w:rsid w:val="00275FFB"/>
    <w:rsid w:val="00292550"/>
    <w:rsid w:val="0029733A"/>
    <w:rsid w:val="002A1552"/>
    <w:rsid w:val="002B2621"/>
    <w:rsid w:val="002C1748"/>
    <w:rsid w:val="002E53AA"/>
    <w:rsid w:val="003227E0"/>
    <w:rsid w:val="00322DFC"/>
    <w:rsid w:val="00326937"/>
    <w:rsid w:val="00330614"/>
    <w:rsid w:val="003474C9"/>
    <w:rsid w:val="00367CE5"/>
    <w:rsid w:val="003807AB"/>
    <w:rsid w:val="003C64AF"/>
    <w:rsid w:val="003D5DFE"/>
    <w:rsid w:val="003E20F9"/>
    <w:rsid w:val="003E7BC3"/>
    <w:rsid w:val="00400DE3"/>
    <w:rsid w:val="00405225"/>
    <w:rsid w:val="00424164"/>
    <w:rsid w:val="004663C9"/>
    <w:rsid w:val="004816EF"/>
    <w:rsid w:val="004A0225"/>
    <w:rsid w:val="004A10A5"/>
    <w:rsid w:val="004B11C6"/>
    <w:rsid w:val="004C0E37"/>
    <w:rsid w:val="004E24D6"/>
    <w:rsid w:val="004F456D"/>
    <w:rsid w:val="005005A2"/>
    <w:rsid w:val="00505C81"/>
    <w:rsid w:val="005215D2"/>
    <w:rsid w:val="00532B08"/>
    <w:rsid w:val="00537B29"/>
    <w:rsid w:val="005444BA"/>
    <w:rsid w:val="00550033"/>
    <w:rsid w:val="0057333D"/>
    <w:rsid w:val="00577B8E"/>
    <w:rsid w:val="005917E6"/>
    <w:rsid w:val="005F53E0"/>
    <w:rsid w:val="00602D3C"/>
    <w:rsid w:val="0062617D"/>
    <w:rsid w:val="00640840"/>
    <w:rsid w:val="0064742B"/>
    <w:rsid w:val="006710DA"/>
    <w:rsid w:val="00681BD2"/>
    <w:rsid w:val="00683439"/>
    <w:rsid w:val="00684BC4"/>
    <w:rsid w:val="006871EC"/>
    <w:rsid w:val="006E5964"/>
    <w:rsid w:val="006F7044"/>
    <w:rsid w:val="0074045A"/>
    <w:rsid w:val="00756D45"/>
    <w:rsid w:val="00760939"/>
    <w:rsid w:val="00764030"/>
    <w:rsid w:val="00776356"/>
    <w:rsid w:val="007D68EE"/>
    <w:rsid w:val="007E7F11"/>
    <w:rsid w:val="00824EE4"/>
    <w:rsid w:val="008365BA"/>
    <w:rsid w:val="00837206"/>
    <w:rsid w:val="00851610"/>
    <w:rsid w:val="008534FF"/>
    <w:rsid w:val="00860F18"/>
    <w:rsid w:val="008649CB"/>
    <w:rsid w:val="00894909"/>
    <w:rsid w:val="008A164C"/>
    <w:rsid w:val="008A2295"/>
    <w:rsid w:val="008A74D6"/>
    <w:rsid w:val="008B5E4B"/>
    <w:rsid w:val="008B6428"/>
    <w:rsid w:val="008D726A"/>
    <w:rsid w:val="008F29F6"/>
    <w:rsid w:val="009137FC"/>
    <w:rsid w:val="009214B1"/>
    <w:rsid w:val="00952BE2"/>
    <w:rsid w:val="00957CB3"/>
    <w:rsid w:val="00986758"/>
    <w:rsid w:val="009C39BA"/>
    <w:rsid w:val="009F0E01"/>
    <w:rsid w:val="00A1156B"/>
    <w:rsid w:val="00A50E03"/>
    <w:rsid w:val="00A62C7A"/>
    <w:rsid w:val="00A652EC"/>
    <w:rsid w:val="00AE17B1"/>
    <w:rsid w:val="00B22A6B"/>
    <w:rsid w:val="00B33920"/>
    <w:rsid w:val="00B443F9"/>
    <w:rsid w:val="00B67F2B"/>
    <w:rsid w:val="00B77E67"/>
    <w:rsid w:val="00B84663"/>
    <w:rsid w:val="00B87CE2"/>
    <w:rsid w:val="00BB029C"/>
    <w:rsid w:val="00BB7B8B"/>
    <w:rsid w:val="00BC1A2E"/>
    <w:rsid w:val="00BD2E83"/>
    <w:rsid w:val="00BD36A1"/>
    <w:rsid w:val="00BE5B5A"/>
    <w:rsid w:val="00BF349F"/>
    <w:rsid w:val="00C209FF"/>
    <w:rsid w:val="00C20AB3"/>
    <w:rsid w:val="00C21D32"/>
    <w:rsid w:val="00C31D5F"/>
    <w:rsid w:val="00C42BBA"/>
    <w:rsid w:val="00C62744"/>
    <w:rsid w:val="00C83482"/>
    <w:rsid w:val="00CA1226"/>
    <w:rsid w:val="00CF5683"/>
    <w:rsid w:val="00D06B18"/>
    <w:rsid w:val="00D14936"/>
    <w:rsid w:val="00D32D28"/>
    <w:rsid w:val="00D3404E"/>
    <w:rsid w:val="00D36493"/>
    <w:rsid w:val="00D37CC9"/>
    <w:rsid w:val="00D6125F"/>
    <w:rsid w:val="00D72690"/>
    <w:rsid w:val="00D75E70"/>
    <w:rsid w:val="00D95568"/>
    <w:rsid w:val="00DA1EA6"/>
    <w:rsid w:val="00DA25C6"/>
    <w:rsid w:val="00DA2E69"/>
    <w:rsid w:val="00DB20ED"/>
    <w:rsid w:val="00DC05CB"/>
    <w:rsid w:val="00DE0AFC"/>
    <w:rsid w:val="00E014B8"/>
    <w:rsid w:val="00E06260"/>
    <w:rsid w:val="00E1171E"/>
    <w:rsid w:val="00E36BAB"/>
    <w:rsid w:val="00E36E21"/>
    <w:rsid w:val="00E44227"/>
    <w:rsid w:val="00E73AA8"/>
    <w:rsid w:val="00EA0870"/>
    <w:rsid w:val="00F30D99"/>
    <w:rsid w:val="00F44504"/>
    <w:rsid w:val="00F45A60"/>
    <w:rsid w:val="00F55064"/>
    <w:rsid w:val="00F5582E"/>
    <w:rsid w:val="00F61FFF"/>
    <w:rsid w:val="00F750C2"/>
    <w:rsid w:val="00F90F36"/>
    <w:rsid w:val="00F923B3"/>
    <w:rsid w:val="00F93F1C"/>
    <w:rsid w:val="00F96B8D"/>
    <w:rsid w:val="00FC6419"/>
    <w:rsid w:val="00FD30DF"/>
    <w:rsid w:val="00FD7CE1"/>
    <w:rsid w:val="00FF616C"/>
    <w:rsid w:val="011D57BA"/>
    <w:rsid w:val="013C107F"/>
    <w:rsid w:val="015E4AD6"/>
    <w:rsid w:val="02683E33"/>
    <w:rsid w:val="026B74AB"/>
    <w:rsid w:val="02A8425B"/>
    <w:rsid w:val="03682B05"/>
    <w:rsid w:val="037203C5"/>
    <w:rsid w:val="03B634FC"/>
    <w:rsid w:val="043F474B"/>
    <w:rsid w:val="048B5BE2"/>
    <w:rsid w:val="04AD1794"/>
    <w:rsid w:val="04CC622E"/>
    <w:rsid w:val="04DE4697"/>
    <w:rsid w:val="050413E9"/>
    <w:rsid w:val="06252B7A"/>
    <w:rsid w:val="074D53D1"/>
    <w:rsid w:val="07BE62CF"/>
    <w:rsid w:val="08365E65"/>
    <w:rsid w:val="084D31AF"/>
    <w:rsid w:val="09067F2D"/>
    <w:rsid w:val="09CA5076"/>
    <w:rsid w:val="0A960326"/>
    <w:rsid w:val="0ABB6AF5"/>
    <w:rsid w:val="0B9A495D"/>
    <w:rsid w:val="0BC2098C"/>
    <w:rsid w:val="0BC8771C"/>
    <w:rsid w:val="0C4813F5"/>
    <w:rsid w:val="0D1C63F1"/>
    <w:rsid w:val="0D8B0A01"/>
    <w:rsid w:val="0DA22F44"/>
    <w:rsid w:val="0DAB4AF2"/>
    <w:rsid w:val="0DC304A3"/>
    <w:rsid w:val="0F40449E"/>
    <w:rsid w:val="0FE03B0E"/>
    <w:rsid w:val="104D3C95"/>
    <w:rsid w:val="107D490A"/>
    <w:rsid w:val="10CB69D9"/>
    <w:rsid w:val="11CB5870"/>
    <w:rsid w:val="11DB7351"/>
    <w:rsid w:val="13491142"/>
    <w:rsid w:val="13EC250A"/>
    <w:rsid w:val="15A4794F"/>
    <w:rsid w:val="15E7507B"/>
    <w:rsid w:val="164E4CC1"/>
    <w:rsid w:val="173739A8"/>
    <w:rsid w:val="181723D0"/>
    <w:rsid w:val="18624A54"/>
    <w:rsid w:val="19AF5A77"/>
    <w:rsid w:val="19E27BFB"/>
    <w:rsid w:val="1A3D12D5"/>
    <w:rsid w:val="1B2E70E0"/>
    <w:rsid w:val="1D097B94"/>
    <w:rsid w:val="1D0E3BAD"/>
    <w:rsid w:val="1E5135A1"/>
    <w:rsid w:val="1EB458DE"/>
    <w:rsid w:val="1EFC0947"/>
    <w:rsid w:val="1FBD1CB2"/>
    <w:rsid w:val="203467D2"/>
    <w:rsid w:val="206C37BB"/>
    <w:rsid w:val="21880C58"/>
    <w:rsid w:val="23C6058D"/>
    <w:rsid w:val="250749B9"/>
    <w:rsid w:val="25286310"/>
    <w:rsid w:val="25934EDA"/>
    <w:rsid w:val="25DC3714"/>
    <w:rsid w:val="26E56F7C"/>
    <w:rsid w:val="275029CF"/>
    <w:rsid w:val="2751713C"/>
    <w:rsid w:val="28777F5F"/>
    <w:rsid w:val="2920429C"/>
    <w:rsid w:val="29704C13"/>
    <w:rsid w:val="29836F76"/>
    <w:rsid w:val="2A37125A"/>
    <w:rsid w:val="2ABB39C8"/>
    <w:rsid w:val="2AFB01F2"/>
    <w:rsid w:val="2B9E594C"/>
    <w:rsid w:val="2C72328F"/>
    <w:rsid w:val="2CED02A4"/>
    <w:rsid w:val="2E1626D1"/>
    <w:rsid w:val="2F2B7A68"/>
    <w:rsid w:val="2F621DA1"/>
    <w:rsid w:val="2FE75783"/>
    <w:rsid w:val="2FF479A2"/>
    <w:rsid w:val="30EF681F"/>
    <w:rsid w:val="3184574F"/>
    <w:rsid w:val="31A8136A"/>
    <w:rsid w:val="31AF6288"/>
    <w:rsid w:val="33122EA7"/>
    <w:rsid w:val="3330065B"/>
    <w:rsid w:val="337E053C"/>
    <w:rsid w:val="351647A5"/>
    <w:rsid w:val="354A72A2"/>
    <w:rsid w:val="35B8564A"/>
    <w:rsid w:val="365D1039"/>
    <w:rsid w:val="36823889"/>
    <w:rsid w:val="368A369C"/>
    <w:rsid w:val="373115A2"/>
    <w:rsid w:val="37752091"/>
    <w:rsid w:val="37A938D1"/>
    <w:rsid w:val="386D4D82"/>
    <w:rsid w:val="388E7474"/>
    <w:rsid w:val="38CD4005"/>
    <w:rsid w:val="38DE5815"/>
    <w:rsid w:val="392E6561"/>
    <w:rsid w:val="3962620A"/>
    <w:rsid w:val="3A053765"/>
    <w:rsid w:val="3A4B6CA1"/>
    <w:rsid w:val="3A9E7D64"/>
    <w:rsid w:val="3B4C2C28"/>
    <w:rsid w:val="3BE979D8"/>
    <w:rsid w:val="3C20265B"/>
    <w:rsid w:val="3C726A35"/>
    <w:rsid w:val="3CFF3BB8"/>
    <w:rsid w:val="3D0F14E0"/>
    <w:rsid w:val="3E091A7C"/>
    <w:rsid w:val="3E8E295D"/>
    <w:rsid w:val="3EB968CD"/>
    <w:rsid w:val="3EBC01CF"/>
    <w:rsid w:val="3EDE6333"/>
    <w:rsid w:val="3EF9316D"/>
    <w:rsid w:val="3F0B4808"/>
    <w:rsid w:val="3FCF35E7"/>
    <w:rsid w:val="3FD15E98"/>
    <w:rsid w:val="40172CE9"/>
    <w:rsid w:val="423F358D"/>
    <w:rsid w:val="425F6E1E"/>
    <w:rsid w:val="42891119"/>
    <w:rsid w:val="43642E41"/>
    <w:rsid w:val="4397710C"/>
    <w:rsid w:val="43A83DBD"/>
    <w:rsid w:val="43B14016"/>
    <w:rsid w:val="44254A04"/>
    <w:rsid w:val="44FA0EC4"/>
    <w:rsid w:val="455B5566"/>
    <w:rsid w:val="45EA50CF"/>
    <w:rsid w:val="4613418B"/>
    <w:rsid w:val="470F4311"/>
    <w:rsid w:val="478D6B48"/>
    <w:rsid w:val="47CE254F"/>
    <w:rsid w:val="49045382"/>
    <w:rsid w:val="49184B37"/>
    <w:rsid w:val="4ADA638B"/>
    <w:rsid w:val="4B0D02C1"/>
    <w:rsid w:val="4B1222A6"/>
    <w:rsid w:val="4B496369"/>
    <w:rsid w:val="4B534597"/>
    <w:rsid w:val="4B907CAA"/>
    <w:rsid w:val="4BB03EA9"/>
    <w:rsid w:val="4E4E10B8"/>
    <w:rsid w:val="4F0E03D1"/>
    <w:rsid w:val="4F6E3FB9"/>
    <w:rsid w:val="500104BA"/>
    <w:rsid w:val="50533167"/>
    <w:rsid w:val="50901EE7"/>
    <w:rsid w:val="51256043"/>
    <w:rsid w:val="5164532F"/>
    <w:rsid w:val="516F213E"/>
    <w:rsid w:val="517E7983"/>
    <w:rsid w:val="524B02A0"/>
    <w:rsid w:val="52A02E49"/>
    <w:rsid w:val="52BF26C9"/>
    <w:rsid w:val="52C35B14"/>
    <w:rsid w:val="53EB5322"/>
    <w:rsid w:val="551560C9"/>
    <w:rsid w:val="55825812"/>
    <w:rsid w:val="55FA184D"/>
    <w:rsid w:val="5637484F"/>
    <w:rsid w:val="56450569"/>
    <w:rsid w:val="57147053"/>
    <w:rsid w:val="58AB6A17"/>
    <w:rsid w:val="58C008BD"/>
    <w:rsid w:val="593353A4"/>
    <w:rsid w:val="593F66A5"/>
    <w:rsid w:val="5A12169D"/>
    <w:rsid w:val="5AA61FA3"/>
    <w:rsid w:val="5AB64AFF"/>
    <w:rsid w:val="5CEE378D"/>
    <w:rsid w:val="5D520385"/>
    <w:rsid w:val="5DB81516"/>
    <w:rsid w:val="5DD45079"/>
    <w:rsid w:val="5DD666D1"/>
    <w:rsid w:val="5DF322AD"/>
    <w:rsid w:val="5E151A5E"/>
    <w:rsid w:val="5ECE1C7D"/>
    <w:rsid w:val="5F4A33E1"/>
    <w:rsid w:val="5F83325D"/>
    <w:rsid w:val="602120CC"/>
    <w:rsid w:val="61AB4C9B"/>
    <w:rsid w:val="61DE2022"/>
    <w:rsid w:val="6247450C"/>
    <w:rsid w:val="626A2EA0"/>
    <w:rsid w:val="633839B4"/>
    <w:rsid w:val="6366279D"/>
    <w:rsid w:val="63E1404C"/>
    <w:rsid w:val="64030466"/>
    <w:rsid w:val="6404737B"/>
    <w:rsid w:val="65384DFF"/>
    <w:rsid w:val="657A0B9E"/>
    <w:rsid w:val="657A4758"/>
    <w:rsid w:val="65B850E5"/>
    <w:rsid w:val="65D5198E"/>
    <w:rsid w:val="666B0DCC"/>
    <w:rsid w:val="66A24825"/>
    <w:rsid w:val="66A76F35"/>
    <w:rsid w:val="67373FBB"/>
    <w:rsid w:val="68776D2D"/>
    <w:rsid w:val="689A7643"/>
    <w:rsid w:val="690C1B6B"/>
    <w:rsid w:val="69110F2F"/>
    <w:rsid w:val="69114541"/>
    <w:rsid w:val="6A03764C"/>
    <w:rsid w:val="6A241853"/>
    <w:rsid w:val="6AB778B5"/>
    <w:rsid w:val="6ACC0C75"/>
    <w:rsid w:val="6B2B1DA7"/>
    <w:rsid w:val="6BF13A6A"/>
    <w:rsid w:val="6C21592D"/>
    <w:rsid w:val="6C4B29AA"/>
    <w:rsid w:val="6C6A2BC9"/>
    <w:rsid w:val="6CDA3D2E"/>
    <w:rsid w:val="6D307BA8"/>
    <w:rsid w:val="6D3D7907"/>
    <w:rsid w:val="6D68651B"/>
    <w:rsid w:val="6DD9677A"/>
    <w:rsid w:val="6E543704"/>
    <w:rsid w:val="6ECD0E99"/>
    <w:rsid w:val="6EDB691B"/>
    <w:rsid w:val="6F453913"/>
    <w:rsid w:val="711C2B67"/>
    <w:rsid w:val="71BD40FA"/>
    <w:rsid w:val="723D2D95"/>
    <w:rsid w:val="730970C1"/>
    <w:rsid w:val="73A155A6"/>
    <w:rsid w:val="73CD0149"/>
    <w:rsid w:val="7403404F"/>
    <w:rsid w:val="74250EE0"/>
    <w:rsid w:val="7435737E"/>
    <w:rsid w:val="75410DEE"/>
    <w:rsid w:val="76BD0DC7"/>
    <w:rsid w:val="771A4B55"/>
    <w:rsid w:val="7735228D"/>
    <w:rsid w:val="77A97B4A"/>
    <w:rsid w:val="780C3702"/>
    <w:rsid w:val="795D3D16"/>
    <w:rsid w:val="796C6E19"/>
    <w:rsid w:val="79703A50"/>
    <w:rsid w:val="7A2B7977"/>
    <w:rsid w:val="7A5343EF"/>
    <w:rsid w:val="7A707EDB"/>
    <w:rsid w:val="7A961744"/>
    <w:rsid w:val="7A9B107F"/>
    <w:rsid w:val="7AC45BBA"/>
    <w:rsid w:val="7B032B0B"/>
    <w:rsid w:val="7B0F10E1"/>
    <w:rsid w:val="7B422B82"/>
    <w:rsid w:val="7B9D23E8"/>
    <w:rsid w:val="7BE97AEA"/>
    <w:rsid w:val="7C692C9D"/>
    <w:rsid w:val="7CF76632"/>
    <w:rsid w:val="7D1F6AD9"/>
    <w:rsid w:val="7DF87373"/>
    <w:rsid w:val="7E111057"/>
    <w:rsid w:val="7E360B54"/>
    <w:rsid w:val="7E7B31DC"/>
    <w:rsid w:val="7ECA1745"/>
    <w:rsid w:val="7F857B2A"/>
    <w:rsid w:val="7FBB64BE"/>
    <w:rsid w:val="7FCB7F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50"/>
    <w:autoRedefine/>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51"/>
    <w:autoRedefine/>
    <w:qFormat/>
    <w:uiPriority w:val="99"/>
    <w:pPr>
      <w:keepNext/>
      <w:keepLines/>
      <w:spacing w:before="260" w:after="260" w:line="412" w:lineRule="auto"/>
      <w:outlineLvl w:val="1"/>
    </w:pPr>
    <w:rPr>
      <w:rFonts w:ascii="Arial" w:hAnsi="Arial" w:eastAsia="黑体" w:cs="Arial"/>
      <w:b/>
      <w:kern w:val="0"/>
      <w:sz w:val="32"/>
      <w:szCs w:val="32"/>
    </w:rPr>
  </w:style>
  <w:style w:type="paragraph" w:styleId="4">
    <w:name w:val="heading 3"/>
    <w:basedOn w:val="1"/>
    <w:next w:val="1"/>
    <w:link w:val="40"/>
    <w:qFormat/>
    <w:uiPriority w:val="99"/>
    <w:pPr>
      <w:keepNext/>
      <w:keepLines/>
      <w:spacing w:before="260" w:after="260" w:line="412" w:lineRule="auto"/>
      <w:ind w:left="459"/>
      <w:outlineLvl w:val="2"/>
    </w:pPr>
    <w:rPr>
      <w:rFonts w:eastAsia="仿宋_GB2312"/>
      <w:b/>
      <w:bCs/>
      <w:kern w:val="0"/>
      <w:sz w:val="32"/>
      <w:szCs w:val="32"/>
    </w:rPr>
  </w:style>
  <w:style w:type="paragraph" w:styleId="5">
    <w:name w:val="heading 4"/>
    <w:basedOn w:val="1"/>
    <w:next w:val="1"/>
    <w:link w:val="42"/>
    <w:qFormat/>
    <w:uiPriority w:val="99"/>
    <w:pPr>
      <w:keepNext/>
      <w:keepLines/>
      <w:spacing w:before="280" w:after="290" w:line="372" w:lineRule="auto"/>
      <w:outlineLvl w:val="3"/>
    </w:pPr>
    <w:rPr>
      <w:rFonts w:ascii="Arial" w:hAnsi="Arial" w:eastAsia="黑体" w:cs="Arial"/>
      <w:b/>
      <w:bCs/>
      <w:kern w:val="0"/>
      <w:sz w:val="28"/>
      <w:szCs w:val="28"/>
    </w:rPr>
  </w:style>
  <w:style w:type="character" w:default="1" w:styleId="35">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7">
    <w:name w:val="table of authorities"/>
    <w:basedOn w:val="1"/>
    <w:next w:val="1"/>
    <w:autoRedefine/>
    <w:qFormat/>
    <w:uiPriority w:val="0"/>
    <w:pPr>
      <w:ind w:left="420" w:leftChars="200"/>
    </w:pPr>
    <w:rPr>
      <w:rFonts w:ascii="Calibri" w:hAnsi="Calibri"/>
    </w:rPr>
  </w:style>
  <w:style w:type="paragraph" w:styleId="8">
    <w:name w:val="index 8"/>
    <w:basedOn w:val="1"/>
    <w:next w:val="1"/>
    <w:unhideWhenUsed/>
    <w:qFormat/>
    <w:uiPriority w:val="99"/>
    <w:pPr>
      <w:jc w:val="center"/>
    </w:pPr>
    <w:rPr>
      <w:color w:val="000000"/>
      <w:sz w:val="32"/>
      <w:szCs w:val="32"/>
    </w:rPr>
  </w:style>
  <w:style w:type="paragraph" w:styleId="9">
    <w:name w:val="annotation text"/>
    <w:basedOn w:val="1"/>
    <w:link w:val="54"/>
    <w:unhideWhenUsed/>
    <w:qFormat/>
    <w:uiPriority w:val="99"/>
    <w:pPr>
      <w:jc w:val="left"/>
    </w:pPr>
    <w:rPr>
      <w:kern w:val="0"/>
      <w:sz w:val="20"/>
      <w:szCs w:val="20"/>
    </w:rPr>
  </w:style>
  <w:style w:type="paragraph" w:styleId="10">
    <w:name w:val="Body Text 3"/>
    <w:basedOn w:val="1"/>
    <w:link w:val="55"/>
    <w:unhideWhenUsed/>
    <w:qFormat/>
    <w:uiPriority w:val="99"/>
    <w:rPr>
      <w:kern w:val="0"/>
      <w:sz w:val="24"/>
      <w:szCs w:val="24"/>
    </w:rPr>
  </w:style>
  <w:style w:type="paragraph" w:styleId="11">
    <w:name w:val="Body Text"/>
    <w:basedOn w:val="1"/>
    <w:next w:val="12"/>
    <w:link w:val="57"/>
    <w:unhideWhenUsed/>
    <w:qFormat/>
    <w:uiPriority w:val="99"/>
    <w:pPr>
      <w:spacing w:before="100" w:beforeAutospacing="1" w:after="120"/>
    </w:pPr>
    <w:rPr>
      <w:kern w:val="0"/>
      <w:sz w:val="20"/>
      <w:szCs w:val="20"/>
    </w:rPr>
  </w:style>
  <w:style w:type="paragraph" w:styleId="12">
    <w:name w:val="Body Text 2"/>
    <w:basedOn w:val="1"/>
    <w:next w:val="11"/>
    <w:qFormat/>
    <w:uiPriority w:val="0"/>
    <w:pPr>
      <w:spacing w:line="360" w:lineRule="auto"/>
      <w:ind w:firstLine="480" w:firstLineChars="200"/>
    </w:pPr>
    <w:rPr>
      <w:rFonts w:ascii="仿宋_GB2312" w:hAnsi="宋体" w:eastAsia="仿宋_GB2312"/>
      <w:sz w:val="24"/>
      <w:szCs w:val="20"/>
    </w:rPr>
  </w:style>
  <w:style w:type="paragraph" w:styleId="13">
    <w:name w:val="Body Text Indent"/>
    <w:basedOn w:val="1"/>
    <w:next w:val="14"/>
    <w:unhideWhenUsed/>
    <w:qFormat/>
    <w:uiPriority w:val="0"/>
    <w:pPr>
      <w:ind w:firstLine="353" w:firstLineChars="147"/>
    </w:pPr>
    <w:rPr>
      <w:rFonts w:ascii="宋体" w:hAnsi="宋体"/>
      <w:kern w:val="0"/>
    </w:rPr>
  </w:style>
  <w:style w:type="paragraph" w:styleId="14">
    <w:name w:val="envelope return"/>
    <w:basedOn w:val="1"/>
    <w:qFormat/>
    <w:uiPriority w:val="0"/>
    <w:pPr>
      <w:snapToGrid w:val="0"/>
    </w:pPr>
    <w:rPr>
      <w:rFonts w:ascii="Arial" w:hAnsi="Arial"/>
    </w:rPr>
  </w:style>
  <w:style w:type="paragraph" w:styleId="15">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6">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7">
    <w:name w:val="Plain Text"/>
    <w:basedOn w:val="1"/>
    <w:link w:val="52"/>
    <w:unhideWhenUsed/>
    <w:qFormat/>
    <w:uiPriority w:val="99"/>
    <w:rPr>
      <w:rFonts w:hAnsi="Courier New"/>
      <w:kern w:val="0"/>
      <w:sz w:val="20"/>
      <w:szCs w:val="20"/>
    </w:rPr>
  </w:style>
  <w:style w:type="paragraph" w:styleId="18">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19">
    <w:name w:val="Date"/>
    <w:basedOn w:val="1"/>
    <w:next w:val="1"/>
    <w:qFormat/>
    <w:uiPriority w:val="99"/>
    <w:pPr>
      <w:ind w:left="100" w:leftChars="2500"/>
    </w:pPr>
  </w:style>
  <w:style w:type="paragraph" w:styleId="20">
    <w:name w:val="Balloon Text"/>
    <w:basedOn w:val="1"/>
    <w:link w:val="66"/>
    <w:semiHidden/>
    <w:unhideWhenUsed/>
    <w:qFormat/>
    <w:uiPriority w:val="99"/>
    <w:rPr>
      <w:sz w:val="18"/>
      <w:szCs w:val="18"/>
    </w:rPr>
  </w:style>
  <w:style w:type="paragraph" w:styleId="21">
    <w:name w:val="footer"/>
    <w:basedOn w:val="1"/>
    <w:next w:val="1"/>
    <w:link w:val="64"/>
    <w:unhideWhenUsed/>
    <w:qFormat/>
    <w:uiPriority w:val="99"/>
    <w:pPr>
      <w:snapToGrid w:val="0"/>
      <w:jc w:val="left"/>
    </w:pPr>
    <w:rPr>
      <w:kern w:val="0"/>
      <w:sz w:val="18"/>
      <w:szCs w:val="18"/>
    </w:rPr>
  </w:style>
  <w:style w:type="paragraph" w:styleId="22">
    <w:name w:val="header"/>
    <w:basedOn w:val="1"/>
    <w:next w:val="23"/>
    <w:link w:val="63"/>
    <w:unhideWhenUsed/>
    <w:qFormat/>
    <w:uiPriority w:val="99"/>
    <w:pPr>
      <w:pBdr>
        <w:bottom w:val="single" w:color="auto" w:sz="6" w:space="1"/>
      </w:pBdr>
      <w:snapToGrid w:val="0"/>
      <w:jc w:val="center"/>
    </w:pPr>
    <w:rPr>
      <w:kern w:val="0"/>
      <w:sz w:val="18"/>
      <w:szCs w:val="18"/>
    </w:rPr>
  </w:style>
  <w:style w:type="paragraph" w:customStyle="1" w:styleId="23">
    <w:name w:val="正文1"/>
    <w:basedOn w:val="1"/>
    <w:next w:val="24"/>
    <w:qFormat/>
    <w:uiPriority w:val="0"/>
    <w:pPr>
      <w:spacing w:line="380" w:lineRule="exact"/>
      <w:jc w:val="center"/>
    </w:pPr>
    <w:rPr>
      <w:rFonts w:ascii="黑体" w:eastAsia="黑体"/>
    </w:rPr>
  </w:style>
  <w:style w:type="paragraph" w:customStyle="1" w:styleId="24">
    <w:name w:val="表格"/>
    <w:basedOn w:val="1"/>
    <w:next w:val="1"/>
    <w:qFormat/>
    <w:uiPriority w:val="0"/>
    <w:pPr>
      <w:jc w:val="center"/>
    </w:pPr>
    <w:rPr>
      <w:rFonts w:ascii="华文细黑"/>
    </w:rPr>
  </w:style>
  <w:style w:type="paragraph" w:styleId="25">
    <w:name w:val="toc 1"/>
    <w:basedOn w:val="1"/>
    <w:next w:val="1"/>
    <w:unhideWhenUsed/>
    <w:qFormat/>
    <w:uiPriority w:val="39"/>
    <w:pPr>
      <w:widowControl/>
      <w:spacing w:before="100" w:beforeAutospacing="1" w:after="100" w:line="273" w:lineRule="auto"/>
      <w:jc w:val="center"/>
    </w:pPr>
    <w:rPr>
      <w:rFonts w:ascii="Calibri" w:hAnsi="Calibri" w:cs="Calibri"/>
      <w:kern w:val="0"/>
      <w:sz w:val="22"/>
      <w:szCs w:val="22"/>
    </w:rPr>
  </w:style>
  <w:style w:type="paragraph" w:styleId="26">
    <w:name w:val="toc 4"/>
    <w:basedOn w:val="1"/>
    <w:next w:val="1"/>
    <w:autoRedefine/>
    <w:unhideWhenUsed/>
    <w:qFormat/>
    <w:uiPriority w:val="39"/>
    <w:pPr>
      <w:ind w:left="1260" w:leftChars="600"/>
    </w:pPr>
    <w:rPr>
      <w:rFonts w:asciiTheme="minorHAnsi" w:hAnsiTheme="minorHAnsi" w:eastAsiaTheme="minorEastAsia" w:cstheme="minorBidi"/>
      <w:szCs w:val="22"/>
    </w:rPr>
  </w:style>
  <w:style w:type="paragraph" w:styleId="27">
    <w:name w:val="footnote text"/>
    <w:basedOn w:val="1"/>
    <w:link w:val="53"/>
    <w:autoRedefine/>
    <w:unhideWhenUsed/>
    <w:qFormat/>
    <w:uiPriority w:val="99"/>
    <w:pPr>
      <w:snapToGrid w:val="0"/>
      <w:jc w:val="left"/>
    </w:pPr>
    <w:rPr>
      <w:sz w:val="18"/>
      <w:szCs w:val="18"/>
    </w:rPr>
  </w:style>
  <w:style w:type="paragraph" w:styleId="28">
    <w:name w:val="toc 6"/>
    <w:basedOn w:val="1"/>
    <w:next w:val="1"/>
    <w:autoRedefine/>
    <w:unhideWhenUsed/>
    <w:qFormat/>
    <w:uiPriority w:val="39"/>
    <w:pPr>
      <w:ind w:left="2100" w:leftChars="1000"/>
    </w:pPr>
    <w:rPr>
      <w:rFonts w:asciiTheme="minorHAnsi" w:hAnsiTheme="minorHAnsi" w:eastAsiaTheme="minorEastAsia" w:cstheme="minorBidi"/>
      <w:szCs w:val="22"/>
    </w:rPr>
  </w:style>
  <w:style w:type="paragraph" w:styleId="29">
    <w:name w:val="toc 2"/>
    <w:basedOn w:val="1"/>
    <w:next w:val="1"/>
    <w:autoRedefine/>
    <w:unhideWhenUsed/>
    <w:qFormat/>
    <w:uiPriority w:val="39"/>
    <w:pPr>
      <w:widowControl/>
      <w:spacing w:before="100" w:beforeAutospacing="1" w:after="100" w:line="273" w:lineRule="auto"/>
      <w:ind w:left="220"/>
      <w:jc w:val="left"/>
    </w:pPr>
    <w:rPr>
      <w:rFonts w:ascii="Calibri" w:hAnsi="Calibri" w:cs="Calibri"/>
      <w:kern w:val="0"/>
      <w:sz w:val="22"/>
      <w:szCs w:val="22"/>
    </w:rPr>
  </w:style>
  <w:style w:type="paragraph" w:styleId="30">
    <w:name w:val="toc 9"/>
    <w:basedOn w:val="1"/>
    <w:next w:val="1"/>
    <w:autoRedefine/>
    <w:unhideWhenUsed/>
    <w:qFormat/>
    <w:uiPriority w:val="39"/>
    <w:pPr>
      <w:ind w:left="3360" w:leftChars="1600"/>
    </w:pPr>
    <w:rPr>
      <w:rFonts w:asciiTheme="minorHAnsi" w:hAnsiTheme="minorHAnsi" w:eastAsiaTheme="minorEastAsia" w:cstheme="minorBidi"/>
      <w:szCs w:val="22"/>
    </w:rPr>
  </w:style>
  <w:style w:type="paragraph" w:styleId="31">
    <w:name w:val="Normal (Web)"/>
    <w:basedOn w:val="1"/>
    <w:autoRedefine/>
    <w:qFormat/>
    <w:uiPriority w:val="0"/>
    <w:pPr>
      <w:spacing w:line="432" w:lineRule="auto"/>
    </w:pPr>
    <w:rPr>
      <w:kern w:val="0"/>
    </w:rPr>
  </w:style>
  <w:style w:type="paragraph" w:styleId="32">
    <w:name w:val="annotation subject"/>
    <w:basedOn w:val="9"/>
    <w:next w:val="9"/>
    <w:link w:val="68"/>
    <w:autoRedefine/>
    <w:semiHidden/>
    <w:unhideWhenUsed/>
    <w:qFormat/>
    <w:uiPriority w:val="99"/>
    <w:rPr>
      <w:b/>
      <w:bCs/>
      <w:kern w:val="2"/>
      <w:sz w:val="21"/>
      <w:szCs w:val="21"/>
    </w:rPr>
  </w:style>
  <w:style w:type="paragraph" w:styleId="33">
    <w:name w:val="Body Text First Indent 2"/>
    <w:basedOn w:val="13"/>
    <w:next w:val="1"/>
    <w:autoRedefine/>
    <w:unhideWhenUsed/>
    <w:qFormat/>
    <w:uiPriority w:val="0"/>
    <w:pPr>
      <w:spacing w:after="120"/>
      <w:ind w:left="420" w:leftChars="200" w:firstLine="420" w:firstLineChars="200"/>
    </w:pPr>
    <w:rPr>
      <w:rFonts w:ascii="Times New Roman" w:hAnsi="Times New Roman"/>
      <w:kern w:val="2"/>
    </w:rPr>
  </w:style>
  <w:style w:type="character" w:styleId="36">
    <w:name w:val="Strong"/>
    <w:basedOn w:val="35"/>
    <w:autoRedefine/>
    <w:qFormat/>
    <w:uiPriority w:val="22"/>
    <w:rPr>
      <w:b/>
    </w:rPr>
  </w:style>
  <w:style w:type="character" w:styleId="37">
    <w:name w:val="FollowedHyperlink"/>
    <w:basedOn w:val="35"/>
    <w:autoRedefine/>
    <w:unhideWhenUsed/>
    <w:qFormat/>
    <w:uiPriority w:val="99"/>
    <w:rPr>
      <w:color w:val="800080"/>
      <w:u w:val="single"/>
    </w:rPr>
  </w:style>
  <w:style w:type="character" w:styleId="38">
    <w:name w:val="Hyperlink"/>
    <w:basedOn w:val="35"/>
    <w:autoRedefine/>
    <w:unhideWhenUsed/>
    <w:qFormat/>
    <w:uiPriority w:val="99"/>
    <w:rPr>
      <w:color w:val="0000FF"/>
      <w:u w:val="single"/>
    </w:rPr>
  </w:style>
  <w:style w:type="character" w:styleId="39">
    <w:name w:val="annotation reference"/>
    <w:basedOn w:val="35"/>
    <w:autoRedefine/>
    <w:semiHidden/>
    <w:unhideWhenUsed/>
    <w:qFormat/>
    <w:uiPriority w:val="99"/>
    <w:rPr>
      <w:sz w:val="21"/>
      <w:szCs w:val="21"/>
    </w:rPr>
  </w:style>
  <w:style w:type="character" w:customStyle="1" w:styleId="40">
    <w:name w:val="标题 3 字符"/>
    <w:basedOn w:val="35"/>
    <w:link w:val="4"/>
    <w:autoRedefine/>
    <w:qFormat/>
    <w:uiPriority w:val="99"/>
    <w:rPr>
      <w:rFonts w:ascii="Times New Roman" w:hAnsi="Times New Roman" w:eastAsia="仿宋_GB2312" w:cs="Times New Roman"/>
      <w:b/>
      <w:bCs/>
      <w:kern w:val="0"/>
      <w:sz w:val="32"/>
      <w:szCs w:val="32"/>
    </w:rPr>
  </w:style>
  <w:style w:type="paragraph" w:customStyle="1" w:styleId="41">
    <w:name w:val="Body Text First Indent1"/>
    <w:basedOn w:val="11"/>
    <w:qFormat/>
    <w:uiPriority w:val="0"/>
    <w:pPr>
      <w:spacing w:after="120"/>
      <w:ind w:firstLine="420" w:firstLineChars="100"/>
    </w:pPr>
    <w:rPr>
      <w:sz w:val="22"/>
      <w:szCs w:val="22"/>
    </w:rPr>
  </w:style>
  <w:style w:type="character" w:customStyle="1" w:styleId="42">
    <w:name w:val="标题 4 字符"/>
    <w:basedOn w:val="35"/>
    <w:link w:val="5"/>
    <w:autoRedefine/>
    <w:qFormat/>
    <w:uiPriority w:val="99"/>
    <w:rPr>
      <w:rFonts w:ascii="Arial" w:hAnsi="Arial" w:eastAsia="黑体" w:cs="Arial"/>
      <w:b/>
      <w:bCs/>
      <w:kern w:val="0"/>
      <w:sz w:val="28"/>
      <w:szCs w:val="28"/>
    </w:rPr>
  </w:style>
  <w:style w:type="paragraph" w:customStyle="1" w:styleId="43">
    <w:name w:val="Default"/>
    <w:basedOn w:val="1"/>
    <w:next w:val="44"/>
    <w:autoRedefine/>
    <w:qFormat/>
    <w:uiPriority w:val="0"/>
    <w:pPr>
      <w:autoSpaceDE w:val="0"/>
      <w:autoSpaceDN w:val="0"/>
      <w:adjustRightInd w:val="0"/>
      <w:jc w:val="left"/>
    </w:pPr>
    <w:rPr>
      <w:rFonts w:ascii="宋体" w:hAnsi="宋体" w:cs="宋体"/>
      <w:color w:val="000000"/>
      <w:kern w:val="0"/>
      <w:sz w:val="24"/>
      <w:szCs w:val="24"/>
    </w:rPr>
  </w:style>
  <w:style w:type="paragraph" w:customStyle="1" w:styleId="44">
    <w:name w:val="Char Char10 Char Char Char Char"/>
    <w:basedOn w:val="1"/>
    <w:next w:val="45"/>
    <w:autoRedefine/>
    <w:qFormat/>
    <w:uiPriority w:val="99"/>
  </w:style>
  <w:style w:type="paragraph" w:customStyle="1" w:styleId="45">
    <w:name w:val="xl87"/>
    <w:basedOn w:val="1"/>
    <w:next w:val="46"/>
    <w:autoRedefine/>
    <w:qFormat/>
    <w:uiPriority w:val="0"/>
    <w:pPr>
      <w:widowControl/>
      <w:shd w:val="clear" w:color="FFFFFF" w:fill="FFFFFF"/>
      <w:spacing w:before="100" w:beforeAutospacing="1" w:after="100" w:afterAutospacing="1"/>
      <w:jc w:val="right"/>
      <w:textAlignment w:val="top"/>
    </w:pPr>
    <w:rPr>
      <w:rFonts w:ascii="宋体" w:hAnsi="宋体" w:cs="宋体"/>
      <w:kern w:val="0"/>
      <w:sz w:val="24"/>
    </w:rPr>
  </w:style>
  <w:style w:type="paragraph" w:customStyle="1" w:styleId="46">
    <w:name w:val="xl72"/>
    <w:basedOn w:val="1"/>
    <w:next w:val="19"/>
    <w:autoRedefine/>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47">
    <w:name w:val="大标题"/>
    <w:basedOn w:val="1"/>
    <w:next w:val="33"/>
    <w:autoRedefine/>
    <w:qFormat/>
    <w:uiPriority w:val="0"/>
    <w:pPr>
      <w:jc w:val="center"/>
    </w:pPr>
    <w:rPr>
      <w:rFonts w:ascii="Arial" w:hAnsi="Arial"/>
      <w:b/>
      <w:sz w:val="28"/>
      <w:szCs w:val="24"/>
    </w:rPr>
  </w:style>
  <w:style w:type="paragraph" w:customStyle="1" w:styleId="48">
    <w:name w:val="style4"/>
    <w:basedOn w:val="1"/>
    <w:next w:val="49"/>
    <w:autoRedefine/>
    <w:qFormat/>
    <w:uiPriority w:val="0"/>
    <w:pPr>
      <w:widowControl/>
      <w:spacing w:before="280" w:after="280"/>
    </w:pPr>
    <w:rPr>
      <w:rFonts w:ascii="宋体" w:hAnsi="宋体" w:cs="宋体"/>
      <w:sz w:val="18"/>
      <w:szCs w:val="18"/>
    </w:rPr>
  </w:style>
  <w:style w:type="paragraph" w:customStyle="1" w:styleId="49">
    <w:name w:val="2"/>
    <w:basedOn w:val="1"/>
    <w:next w:val="1"/>
    <w:autoRedefine/>
    <w:qFormat/>
    <w:uiPriority w:val="0"/>
    <w:rPr>
      <w:kern w:val="0"/>
    </w:rPr>
  </w:style>
  <w:style w:type="character" w:customStyle="1" w:styleId="50">
    <w:name w:val="标题 1 字符"/>
    <w:basedOn w:val="35"/>
    <w:link w:val="2"/>
    <w:autoRedefine/>
    <w:qFormat/>
    <w:uiPriority w:val="99"/>
    <w:rPr>
      <w:rFonts w:ascii="Times New Roman" w:hAnsi="Times New Roman" w:eastAsia="宋体" w:cs="Times New Roman"/>
      <w:b/>
      <w:bCs/>
      <w:kern w:val="44"/>
      <w:sz w:val="44"/>
      <w:szCs w:val="44"/>
    </w:rPr>
  </w:style>
  <w:style w:type="character" w:customStyle="1" w:styleId="51">
    <w:name w:val="标题 2 字符"/>
    <w:basedOn w:val="35"/>
    <w:link w:val="3"/>
    <w:autoRedefine/>
    <w:qFormat/>
    <w:uiPriority w:val="99"/>
    <w:rPr>
      <w:rFonts w:ascii="Arial" w:hAnsi="Arial" w:eastAsia="黑体" w:cs="Arial"/>
      <w:b/>
      <w:kern w:val="0"/>
      <w:sz w:val="32"/>
      <w:szCs w:val="32"/>
    </w:rPr>
  </w:style>
  <w:style w:type="character" w:customStyle="1" w:styleId="52">
    <w:name w:val="纯文本 字符"/>
    <w:basedOn w:val="35"/>
    <w:link w:val="17"/>
    <w:autoRedefine/>
    <w:qFormat/>
    <w:uiPriority w:val="99"/>
    <w:rPr>
      <w:rFonts w:ascii="Times New Roman" w:hAnsi="Courier New" w:eastAsia="宋体" w:cs="Times New Roman"/>
      <w:kern w:val="0"/>
      <w:sz w:val="20"/>
      <w:szCs w:val="20"/>
    </w:rPr>
  </w:style>
  <w:style w:type="character" w:customStyle="1" w:styleId="53">
    <w:name w:val="脚注文本 字符"/>
    <w:basedOn w:val="35"/>
    <w:link w:val="27"/>
    <w:autoRedefine/>
    <w:qFormat/>
    <w:uiPriority w:val="99"/>
    <w:rPr>
      <w:rFonts w:ascii="Times New Roman" w:hAnsi="Times New Roman" w:eastAsia="宋体" w:cs="Times New Roman"/>
      <w:sz w:val="18"/>
      <w:szCs w:val="18"/>
    </w:rPr>
  </w:style>
  <w:style w:type="character" w:customStyle="1" w:styleId="54">
    <w:name w:val="批注文字 字符"/>
    <w:basedOn w:val="35"/>
    <w:link w:val="9"/>
    <w:autoRedefine/>
    <w:qFormat/>
    <w:uiPriority w:val="99"/>
    <w:rPr>
      <w:rFonts w:ascii="Times New Roman" w:hAnsi="Times New Roman" w:eastAsia="宋体" w:cs="Times New Roman"/>
      <w:kern w:val="0"/>
      <w:sz w:val="20"/>
      <w:szCs w:val="20"/>
    </w:rPr>
  </w:style>
  <w:style w:type="character" w:customStyle="1" w:styleId="55">
    <w:name w:val="正文文本 3 字符"/>
    <w:basedOn w:val="35"/>
    <w:link w:val="10"/>
    <w:autoRedefine/>
    <w:qFormat/>
    <w:uiPriority w:val="99"/>
    <w:rPr>
      <w:rFonts w:ascii="Times New Roman" w:hAnsi="Times New Roman" w:eastAsia="宋体" w:cs="Times New Roman"/>
      <w:kern w:val="0"/>
      <w:sz w:val="24"/>
      <w:szCs w:val="24"/>
    </w:rPr>
  </w:style>
  <w:style w:type="paragraph" w:customStyle="1" w:styleId="56">
    <w:name w:val="标题 41"/>
    <w:basedOn w:val="1"/>
    <w:autoRedefine/>
    <w:qFormat/>
    <w:uiPriority w:val="0"/>
    <w:pPr>
      <w:spacing w:before="100" w:beforeAutospacing="1" w:after="100" w:afterAutospacing="1"/>
      <w:ind w:left="1205" w:hanging="486"/>
      <w:outlineLvl w:val="4"/>
    </w:pPr>
    <w:rPr>
      <w:b/>
      <w:bCs/>
      <w:sz w:val="24"/>
      <w:szCs w:val="24"/>
    </w:rPr>
  </w:style>
  <w:style w:type="character" w:customStyle="1" w:styleId="57">
    <w:name w:val="正文文本 字符"/>
    <w:basedOn w:val="35"/>
    <w:link w:val="11"/>
    <w:autoRedefine/>
    <w:qFormat/>
    <w:uiPriority w:val="99"/>
    <w:rPr>
      <w:rFonts w:ascii="Times New Roman" w:hAnsi="Times New Roman" w:eastAsia="宋体" w:cs="Times New Roman"/>
      <w:kern w:val="0"/>
      <w:sz w:val="20"/>
      <w:szCs w:val="20"/>
    </w:rPr>
  </w:style>
  <w:style w:type="paragraph" w:customStyle="1" w:styleId="58">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sz w:val="28"/>
      <w:szCs w:val="28"/>
    </w:rPr>
  </w:style>
  <w:style w:type="paragraph" w:customStyle="1" w:styleId="59">
    <w:name w:val="样式 标题 3 + (中文) 黑体 小四 非加粗 段前: 7.8 磅 段后: 0 磅 行距: 固定值 20 磅"/>
    <w:basedOn w:val="4"/>
    <w:autoRedefine/>
    <w:qFormat/>
    <w:uiPriority w:val="0"/>
    <w:pPr>
      <w:spacing w:before="0" w:after="0" w:line="400" w:lineRule="exact"/>
      <w:ind w:left="0"/>
    </w:pPr>
    <w:rPr>
      <w:rFonts w:eastAsia="黑体" w:cs="宋体"/>
      <w:b w:val="0"/>
      <w:bCs w:val="0"/>
      <w:sz w:val="24"/>
      <w:szCs w:val="24"/>
    </w:rPr>
  </w:style>
  <w:style w:type="paragraph" w:customStyle="1" w:styleId="60">
    <w:name w:val="Table Paragraph"/>
    <w:basedOn w:val="1"/>
    <w:autoRedefine/>
    <w:qFormat/>
    <w:uiPriority w:val="1"/>
  </w:style>
  <w:style w:type="paragraph" w:customStyle="1" w:styleId="61">
    <w:name w:val="无间隔11"/>
    <w:basedOn w:val="1"/>
    <w:autoRedefine/>
    <w:qFormat/>
    <w:uiPriority w:val="0"/>
    <w:rPr>
      <w:rFonts w:ascii="Calibri" w:hAnsi="Calibri" w:cs="Calibri"/>
    </w:rPr>
  </w:style>
  <w:style w:type="paragraph" w:customStyle="1" w:styleId="62">
    <w:name w:val="段"/>
    <w:basedOn w:val="1"/>
    <w:next w:val="1"/>
    <w:autoRedefine/>
    <w:qFormat/>
    <w:uiPriority w:val="0"/>
    <w:pPr>
      <w:widowControl/>
      <w:autoSpaceDE w:val="0"/>
      <w:autoSpaceDN w:val="0"/>
      <w:adjustRightInd w:val="0"/>
      <w:snapToGrid w:val="0"/>
      <w:spacing w:line="360" w:lineRule="auto"/>
      <w:ind w:firstLine="200" w:firstLineChars="200"/>
    </w:pPr>
    <w:rPr>
      <w:rFonts w:ascii="宋体" w:hAnsi="宋体" w:cs="宋体"/>
      <w:kern w:val="0"/>
      <w:sz w:val="24"/>
      <w:szCs w:val="24"/>
    </w:rPr>
  </w:style>
  <w:style w:type="character" w:customStyle="1" w:styleId="63">
    <w:name w:val="页眉 字符"/>
    <w:basedOn w:val="35"/>
    <w:link w:val="22"/>
    <w:autoRedefine/>
    <w:qFormat/>
    <w:uiPriority w:val="99"/>
    <w:rPr>
      <w:rFonts w:ascii="Times New Roman" w:hAnsi="Times New Roman" w:eastAsia="宋体" w:cs="Times New Roman"/>
      <w:kern w:val="0"/>
      <w:sz w:val="18"/>
      <w:szCs w:val="18"/>
    </w:rPr>
  </w:style>
  <w:style w:type="character" w:customStyle="1" w:styleId="64">
    <w:name w:val="页脚 字符"/>
    <w:basedOn w:val="35"/>
    <w:link w:val="21"/>
    <w:autoRedefine/>
    <w:qFormat/>
    <w:uiPriority w:val="99"/>
    <w:rPr>
      <w:rFonts w:ascii="Times New Roman" w:hAnsi="Times New Roman" w:eastAsia="宋体" w:cs="Times New Roman"/>
      <w:kern w:val="0"/>
      <w:sz w:val="18"/>
      <w:szCs w:val="18"/>
    </w:rPr>
  </w:style>
  <w:style w:type="character" w:customStyle="1" w:styleId="65">
    <w:name w:val="15"/>
    <w:basedOn w:val="35"/>
    <w:autoRedefine/>
    <w:qFormat/>
    <w:uiPriority w:val="0"/>
    <w:rPr>
      <w:rFonts w:hint="default" w:ascii="Arial" w:hAnsi="Arial" w:eastAsia="黑体" w:cs="Arial"/>
      <w:b/>
      <w:sz w:val="32"/>
      <w:szCs w:val="32"/>
    </w:rPr>
  </w:style>
  <w:style w:type="character" w:customStyle="1" w:styleId="66">
    <w:name w:val="批注框文本 字符"/>
    <w:basedOn w:val="35"/>
    <w:link w:val="20"/>
    <w:autoRedefine/>
    <w:semiHidden/>
    <w:qFormat/>
    <w:uiPriority w:val="99"/>
    <w:rPr>
      <w:rFonts w:ascii="Times New Roman" w:hAnsi="Times New Roman" w:eastAsia="宋体" w:cs="Times New Roman"/>
      <w:sz w:val="18"/>
      <w:szCs w:val="18"/>
    </w:rPr>
  </w:style>
  <w:style w:type="paragraph" w:customStyle="1" w:styleId="67">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8">
    <w:name w:val="批注主题 字符"/>
    <w:basedOn w:val="54"/>
    <w:link w:val="32"/>
    <w:autoRedefine/>
    <w:semiHidden/>
    <w:qFormat/>
    <w:uiPriority w:val="99"/>
    <w:rPr>
      <w:rFonts w:ascii="Times New Roman" w:hAnsi="Times New Roman" w:eastAsia="宋体" w:cs="Times New Roman"/>
      <w:b/>
      <w:bCs/>
      <w:kern w:val="2"/>
      <w:sz w:val="21"/>
      <w:szCs w:val="21"/>
    </w:rPr>
  </w:style>
  <w:style w:type="paragraph" w:styleId="69">
    <w:name w:val="List Paragraph"/>
    <w:basedOn w:val="1"/>
    <w:autoRedefine/>
    <w:qFormat/>
    <w:uiPriority w:val="1"/>
    <w:pPr>
      <w:ind w:left="112" w:firstLine="436"/>
    </w:pPr>
  </w:style>
  <w:style w:type="character" w:customStyle="1" w:styleId="70">
    <w:name w:val="NormalCharacter"/>
    <w:autoRedefine/>
    <w:semiHidden/>
    <w:qFormat/>
    <w:uiPriority w:val="0"/>
  </w:style>
  <w:style w:type="paragraph" w:customStyle="1" w:styleId="71">
    <w:name w:val="PlainText"/>
    <w:basedOn w:val="1"/>
    <w:autoRedefine/>
    <w:qFormat/>
    <w:uiPriority w:val="0"/>
    <w:rPr>
      <w:rFonts w:ascii="宋体" w:hAnsi="Courier New"/>
    </w:rPr>
  </w:style>
  <w:style w:type="paragraph" w:customStyle="1" w:styleId="72">
    <w:name w:val="Heading4"/>
    <w:basedOn w:val="1"/>
    <w:next w:val="1"/>
    <w:autoRedefine/>
    <w:qFormat/>
    <w:uiPriority w:val="0"/>
    <w:pPr>
      <w:keepNext/>
      <w:keepLines/>
    </w:pPr>
    <w:rPr>
      <w:rFonts w:ascii="Arial" w:hAnsi="Arial"/>
      <w:b/>
    </w:rPr>
  </w:style>
  <w:style w:type="paragraph" w:customStyle="1" w:styleId="73">
    <w:name w:val="Table Text"/>
    <w:basedOn w:val="1"/>
    <w:autoRedefine/>
    <w:semiHidden/>
    <w:qFormat/>
    <w:uiPriority w:val="0"/>
    <w:rPr>
      <w:rFonts w:ascii="宋体" w:hAnsi="宋体" w:cs="宋体"/>
      <w:sz w:val="24"/>
      <w:szCs w:val="24"/>
      <w:lang w:eastAsia="en-US"/>
    </w:rPr>
  </w:style>
  <w:style w:type="paragraph" w:customStyle="1" w:styleId="74">
    <w:name w:val="UserStyle_34"/>
    <w:autoRedefine/>
    <w:qFormat/>
    <w:uiPriority w:val="0"/>
    <w:pPr>
      <w:jc w:val="both"/>
      <w:textAlignment w:val="baseline"/>
    </w:pPr>
    <w:rPr>
      <w:rFonts w:ascii="Times New Roman" w:hAnsi="Times New Roman" w:eastAsia="宋体"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9D2A55-15CD-4BD6-85CC-6125A9026EF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105</Pages>
  <Words>16187</Words>
  <Characters>17514</Characters>
  <Lines>427</Lines>
  <Paragraphs>120</Paragraphs>
  <TotalTime>1</TotalTime>
  <ScaleCrop>false</ScaleCrop>
  <LinksUpToDate>false</LinksUpToDate>
  <CharactersWithSpaces>17806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2024-07-05T01:04:00Z</dcterms:created>
  <dc:creator>PC</dc:creator>
  <cp:lastModifiedBy>程萌</cp:lastModifiedBy>
  <cp:lastPrinted>2024-05-30T10:30:00Z</cp:lastPrinted>
  <dcterms:modified xsi:type="dcterms:W3CDTF">2025-07-29T02:55:11Z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D9283C14B48D4F6DA1B030340B0CA606_13</vt:lpwstr>
  </property>
  <property fmtid="{D5CDD505-2E9C-101B-9397-08002B2CF9AE}" pid="4" name="KSOTemplateDocerSaveRecord">
    <vt:lpwstr>eyJoZGlkIjoiOWYzM2E4Y2U1ZWM4ZTQzM2NmZDhiMmI3OTEzMDM4OTgiLCJ1c2VySWQiOiIxNjE2MjM4MjM0In0=</vt:lpwstr>
  </property>
</Properties>
</file>