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2722DC">
      <w:pPr>
        <w:jc w:val="center"/>
        <w:rPr>
          <w:rFonts w:eastAsia="黑体"/>
          <w:sz w:val="36"/>
        </w:rPr>
      </w:pPr>
      <w:r>
        <w:drawing>
          <wp:inline distT="0" distB="0" distL="114300" distR="114300">
            <wp:extent cx="5876925" cy="8308340"/>
            <wp:effectExtent l="0" t="0" r="571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3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A49CE">
      <w:pPr>
        <w:jc w:val="center"/>
        <w:rPr>
          <w:rFonts w:hint="eastAsia" w:eastAsia="黑体"/>
          <w:sz w:val="36"/>
        </w:rPr>
      </w:pPr>
    </w:p>
    <w:p w14:paraId="66BCBDC5">
      <w:pPr>
        <w:jc w:val="center"/>
        <w:rPr>
          <w:rFonts w:hint="eastAsia" w:eastAsia="黑体"/>
          <w:sz w:val="36"/>
        </w:rPr>
      </w:pPr>
    </w:p>
    <w:p w14:paraId="4E87F0F7">
      <w:pPr>
        <w:jc w:val="center"/>
        <w:rPr>
          <w:rFonts w:eastAsia="黑体"/>
          <w:sz w:val="36"/>
        </w:rPr>
      </w:pPr>
      <w:r>
        <w:rPr>
          <w:rFonts w:hint="eastAsia" w:eastAsia="黑体"/>
          <w:sz w:val="36"/>
        </w:rPr>
        <w:t>填写说明</w:t>
      </w:r>
    </w:p>
    <w:p w14:paraId="1BF5000B">
      <w:pPr>
        <w:rPr>
          <w:sz w:val="13"/>
        </w:rPr>
      </w:pPr>
    </w:p>
    <w:p w14:paraId="13040618">
      <w:pPr>
        <w:numPr>
          <w:ilvl w:val="0"/>
          <w:numId w:val="1"/>
        </w:numPr>
        <w:spacing w:line="312" w:lineRule="auto"/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>本合同为中华人民共和国科学技术部印制的技术服务合同示范</w:t>
      </w:r>
    </w:p>
    <w:p w14:paraId="3DE95AC5">
      <w:pPr>
        <w:spacing w:line="312" w:lineRule="auto"/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>文本，各技术合同登记机构可推介技术合同当事人参照使用。</w:t>
      </w:r>
    </w:p>
    <w:p w14:paraId="3FB7E369">
      <w:pPr>
        <w:spacing w:line="312" w:lineRule="auto"/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>二、本合同书适用于一方当事人（受托方）以技术知识为另一方（委托方）解决特定技术问题所订立的合同。</w:t>
      </w:r>
    </w:p>
    <w:p w14:paraId="4002842B">
      <w:pPr>
        <w:spacing w:line="312" w:lineRule="auto"/>
        <w:ind w:firstLine="555"/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>三、</w:t>
      </w:r>
      <w:r>
        <w:rPr>
          <w:rFonts w:hint="eastAsia" w:eastAsia="楷体_GB2312"/>
          <w:spacing w:val="6"/>
          <w:sz w:val="28"/>
        </w:rPr>
        <w:t>签约一方为多个当事人的，可按各自在合同关系中的作用等，</w:t>
      </w:r>
    </w:p>
    <w:p w14:paraId="736CB4AC">
      <w:pPr>
        <w:spacing w:line="312" w:lineRule="auto"/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>在“委托方”、“受托方”项下（增页）分别排列为共同委托人或共同受</w:t>
      </w:r>
    </w:p>
    <w:p w14:paraId="0CDA2C2F">
      <w:pPr>
        <w:spacing w:line="312" w:lineRule="auto"/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>托人。</w:t>
      </w:r>
    </w:p>
    <w:p w14:paraId="4DBA3FB7">
      <w:pPr>
        <w:spacing w:line="312" w:lineRule="auto"/>
        <w:ind w:firstLine="555"/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>四、本合同书未尽事项，可由当事人附页另行约定，并作为本合同</w:t>
      </w:r>
    </w:p>
    <w:p w14:paraId="044A6407">
      <w:pPr>
        <w:spacing w:line="312" w:lineRule="auto"/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>的组成部分。</w:t>
      </w:r>
    </w:p>
    <w:p w14:paraId="2A70AC40">
      <w:pPr>
        <w:spacing w:line="312" w:lineRule="auto"/>
        <w:ind w:firstLine="555"/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>五、当事人使用本合同书时约定无需填写的条款，应在该条款处注</w:t>
      </w:r>
    </w:p>
    <w:p w14:paraId="609AEA7C">
      <w:pPr>
        <w:spacing w:line="312" w:lineRule="auto"/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>明“无”等字样。</w:t>
      </w:r>
    </w:p>
    <w:p w14:paraId="249AD01B">
      <w:pPr>
        <w:rPr>
          <w:sz w:val="28"/>
        </w:rPr>
      </w:pPr>
    </w:p>
    <w:p w14:paraId="1B4FB4B8">
      <w:pPr>
        <w:rPr>
          <w:sz w:val="28"/>
        </w:rPr>
      </w:pPr>
    </w:p>
    <w:p w14:paraId="7F97216D">
      <w:pPr>
        <w:rPr>
          <w:sz w:val="28"/>
        </w:rPr>
      </w:pPr>
    </w:p>
    <w:p w14:paraId="46736A73">
      <w:pPr>
        <w:rPr>
          <w:sz w:val="28"/>
        </w:rPr>
      </w:pPr>
    </w:p>
    <w:p w14:paraId="286A4F5F">
      <w:pPr>
        <w:rPr>
          <w:sz w:val="28"/>
        </w:rPr>
      </w:pPr>
    </w:p>
    <w:p w14:paraId="3F578543">
      <w:pPr>
        <w:rPr>
          <w:sz w:val="28"/>
        </w:rPr>
      </w:pPr>
    </w:p>
    <w:p w14:paraId="04A8D574">
      <w:pPr>
        <w:rPr>
          <w:sz w:val="28"/>
        </w:rPr>
      </w:pPr>
    </w:p>
    <w:p w14:paraId="5889672E">
      <w:pPr>
        <w:rPr>
          <w:sz w:val="28"/>
        </w:rPr>
      </w:pPr>
    </w:p>
    <w:p w14:paraId="3EE7B433">
      <w:pPr>
        <w:jc w:val="center"/>
        <w:rPr>
          <w:sz w:val="36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304" w:right="1469" w:bottom="1304" w:left="1469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17BB43B3">
      <w:pPr>
        <w:spacing w:line="360" w:lineRule="auto"/>
        <w:rPr>
          <w:rFonts w:hint="eastAsia" w:ascii="仿宋" w:hAnsi="仿宋" w:eastAsia="仿宋" w:cs="仿宋"/>
          <w:sz w:val="28"/>
          <w:u w:val="single"/>
          <w:lang w:eastAsia="zh-CN"/>
        </w:rPr>
      </w:pPr>
      <w:r>
        <w:rPr>
          <w:rFonts w:hint="eastAsia" w:ascii="仿宋" w:hAnsi="仿宋" w:eastAsia="仿宋" w:cs="仿宋"/>
          <w:sz w:val="28"/>
        </w:rPr>
        <w:t>委托方（甲方）：</w:t>
      </w:r>
      <w:r>
        <w:rPr>
          <w:rFonts w:hint="eastAsia" w:ascii="仿宋" w:hAnsi="仿宋" w:eastAsia="仿宋" w:cs="仿宋"/>
          <w:sz w:val="28"/>
          <w:u w:val="single"/>
          <w:lang w:eastAsia="zh-CN"/>
        </w:rPr>
        <w:t>河南中医药大学</w:t>
      </w:r>
    </w:p>
    <w:p w14:paraId="72870765">
      <w:pPr>
        <w:spacing w:line="360" w:lineRule="auto"/>
        <w:rPr>
          <w:rFonts w:hint="eastAsia" w:ascii="仿宋" w:hAnsi="仿宋" w:eastAsia="仿宋" w:cs="仿宋"/>
          <w:sz w:val="28"/>
          <w:u w:val="single"/>
          <w:lang w:eastAsia="zh-CN"/>
        </w:rPr>
      </w:pPr>
      <w:r>
        <w:rPr>
          <w:rFonts w:hint="eastAsia" w:ascii="仿宋" w:hAnsi="仿宋" w:eastAsia="仿宋" w:cs="仿宋"/>
          <w:sz w:val="28"/>
        </w:rPr>
        <w:t>住所地：</w:t>
      </w:r>
      <w:r>
        <w:rPr>
          <w:rFonts w:hint="eastAsia" w:ascii="仿宋" w:hAnsi="仿宋" w:eastAsia="仿宋" w:cs="仿宋"/>
          <w:sz w:val="28"/>
          <w:u w:val="single"/>
          <w:lang w:eastAsia="zh-CN"/>
        </w:rPr>
        <w:t>河南省郑州市郑东新区金水东路156号</w:t>
      </w:r>
    </w:p>
    <w:p w14:paraId="48305B56">
      <w:pPr>
        <w:spacing w:line="360" w:lineRule="auto"/>
        <w:rPr>
          <w:rFonts w:hint="eastAsia" w:ascii="仿宋" w:hAnsi="仿宋" w:eastAsia="仿宋" w:cs="仿宋"/>
          <w:sz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法定代表人：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 xml:space="preserve">       </w:t>
      </w:r>
    </w:p>
    <w:p w14:paraId="5BDC7A2C">
      <w:pPr>
        <w:spacing w:line="360" w:lineRule="auto"/>
        <w:rPr>
          <w:rFonts w:hint="eastAsia" w:ascii="仿宋" w:hAnsi="仿宋" w:eastAsia="仿宋" w:cs="仿宋"/>
          <w:sz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项目负责人：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 xml:space="preserve">  余海滨     </w:t>
      </w:r>
    </w:p>
    <w:p w14:paraId="598679B5">
      <w:pPr>
        <w:tabs>
          <w:tab w:val="left" w:pos="1050"/>
        </w:tabs>
        <w:spacing w:line="360" w:lineRule="auto"/>
        <w:rPr>
          <w:rFonts w:hint="eastAsia" w:ascii="仿宋" w:hAnsi="仿宋" w:eastAsia="仿宋" w:cs="仿宋"/>
          <w:sz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项目联系人：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 xml:space="preserve">   余海滨     </w:t>
      </w:r>
    </w:p>
    <w:p w14:paraId="6BDE03CC">
      <w:pPr>
        <w:spacing w:line="360" w:lineRule="auto"/>
        <w:rPr>
          <w:rFonts w:hint="eastAsia" w:ascii="仿宋" w:hAnsi="仿宋" w:eastAsia="仿宋" w:cs="仿宋"/>
          <w:sz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通讯地址：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u w:val="single"/>
          <w:lang w:eastAsia="zh-CN"/>
        </w:rPr>
        <w:t>河南省郑州市郑东新区金水东路156号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 xml:space="preserve">       </w:t>
      </w:r>
    </w:p>
    <w:p w14:paraId="14C1DC08">
      <w:pPr>
        <w:spacing w:line="360" w:lineRule="auto"/>
        <w:rPr>
          <w:rFonts w:hint="eastAsia" w:ascii="仿宋" w:hAnsi="仿宋" w:eastAsia="仿宋" w:cs="仿宋"/>
          <w:sz w:val="28"/>
          <w:u w:val="single"/>
        </w:rPr>
      </w:pPr>
      <w:r>
        <w:rPr>
          <w:rFonts w:hint="eastAsia" w:ascii="仿宋" w:hAnsi="仿宋" w:eastAsia="仿宋" w:cs="仿宋"/>
          <w:sz w:val="28"/>
        </w:rPr>
        <w:t>电话：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 xml:space="preserve">  13526671773          </w:t>
      </w:r>
      <w:r>
        <w:rPr>
          <w:rFonts w:hint="eastAsia" w:ascii="仿宋" w:hAnsi="仿宋" w:eastAsia="仿宋" w:cs="仿宋"/>
          <w:sz w:val="28"/>
        </w:rPr>
        <w:t>传真：</w:t>
      </w:r>
      <w:r>
        <w:rPr>
          <w:rFonts w:hint="eastAsia" w:ascii="仿宋" w:hAnsi="仿宋" w:eastAsia="仿宋" w:cs="仿宋"/>
          <w:sz w:val="28"/>
          <w:u w:val="single"/>
        </w:rPr>
        <w:t>无</w:t>
      </w:r>
    </w:p>
    <w:p w14:paraId="2C9F29B8">
      <w:pPr>
        <w:spacing w:line="360" w:lineRule="auto"/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电子信箱：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 xml:space="preserve">                       </w:t>
      </w:r>
    </w:p>
    <w:p w14:paraId="39B6E5FA">
      <w:pPr>
        <w:spacing w:line="360" w:lineRule="auto"/>
        <w:rPr>
          <w:rFonts w:hint="eastAsia" w:ascii="仿宋" w:hAnsi="仿宋" w:eastAsia="仿宋" w:cs="仿宋"/>
          <w:sz w:val="28"/>
        </w:rPr>
      </w:pPr>
    </w:p>
    <w:p w14:paraId="600426DE">
      <w:pPr>
        <w:spacing w:line="360" w:lineRule="auto"/>
        <w:rPr>
          <w:rFonts w:hint="eastAsia" w:ascii="仿宋" w:hAnsi="仿宋" w:eastAsia="仿宋" w:cs="仿宋"/>
          <w:sz w:val="28"/>
        </w:rPr>
      </w:pPr>
    </w:p>
    <w:p w14:paraId="1F836840">
      <w:pPr>
        <w:spacing w:line="360" w:lineRule="auto"/>
        <w:rPr>
          <w:rFonts w:hint="eastAsia" w:ascii="仿宋" w:hAnsi="仿宋" w:eastAsia="仿宋" w:cs="仿宋"/>
          <w:sz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受托方（乙方）：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 xml:space="preserve">   北京中腾佰脉医疗科技有限责任公司    </w:t>
      </w:r>
    </w:p>
    <w:p w14:paraId="5B3F2503">
      <w:pPr>
        <w:spacing w:line="360" w:lineRule="auto"/>
        <w:rPr>
          <w:rFonts w:hint="eastAsia" w:ascii="仿宋" w:hAnsi="仿宋" w:eastAsia="仿宋" w:cs="仿宋"/>
          <w:sz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住所地：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 xml:space="preserve">  北京市东城区东直门南大街11号C座11层1105室    </w:t>
      </w:r>
    </w:p>
    <w:p w14:paraId="2451D88E">
      <w:pPr>
        <w:spacing w:line="360" w:lineRule="auto"/>
        <w:rPr>
          <w:rFonts w:hint="eastAsia" w:ascii="仿宋" w:hAnsi="仿宋" w:eastAsia="仿宋" w:cs="仿宋"/>
          <w:sz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法定代表人：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 xml:space="preserve">   彭春龙    </w:t>
      </w:r>
    </w:p>
    <w:p w14:paraId="35F4E062">
      <w:pPr>
        <w:spacing w:line="360" w:lineRule="auto"/>
        <w:rPr>
          <w:rFonts w:hint="eastAsia" w:ascii="仿宋" w:hAnsi="仿宋" w:eastAsia="仿宋" w:cs="仿宋"/>
          <w:sz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项目负责人：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 xml:space="preserve">  彭春龙          </w:t>
      </w:r>
    </w:p>
    <w:p w14:paraId="749B3831">
      <w:pPr>
        <w:spacing w:line="360" w:lineRule="auto"/>
        <w:rPr>
          <w:rFonts w:hint="eastAsia" w:ascii="仿宋" w:hAnsi="仿宋" w:eastAsia="仿宋" w:cs="仿宋"/>
          <w:sz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项目联系人：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 xml:space="preserve">   张越峰   </w:t>
      </w:r>
    </w:p>
    <w:p w14:paraId="68C399AA">
      <w:pPr>
        <w:tabs>
          <w:tab w:val="left" w:pos="8100"/>
        </w:tabs>
        <w:spacing w:line="360" w:lineRule="auto"/>
        <w:rPr>
          <w:rFonts w:hint="eastAsia" w:ascii="仿宋" w:hAnsi="仿宋" w:eastAsia="仿宋" w:cs="仿宋"/>
          <w:sz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通讯地址：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 xml:space="preserve">   北京市海淀区西海国际中心一号1208        </w:t>
      </w:r>
    </w:p>
    <w:p w14:paraId="3A869F02">
      <w:pPr>
        <w:spacing w:line="360" w:lineRule="auto"/>
        <w:rPr>
          <w:rFonts w:hint="eastAsia" w:ascii="仿宋" w:hAnsi="仿宋" w:eastAsia="仿宋" w:cs="仿宋"/>
          <w:sz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电话：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 xml:space="preserve">   18611194852           </w:t>
      </w:r>
      <w:r>
        <w:rPr>
          <w:rFonts w:hint="eastAsia" w:ascii="仿宋" w:hAnsi="仿宋" w:eastAsia="仿宋" w:cs="仿宋"/>
          <w:sz w:val="28"/>
        </w:rPr>
        <w:t>传真：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 xml:space="preserve"> 无 </w:t>
      </w:r>
    </w:p>
    <w:p w14:paraId="7A0C5D2B">
      <w:pPr>
        <w:spacing w:line="360" w:lineRule="auto"/>
        <w:rPr>
          <w:rFonts w:hint="eastAsia" w:ascii="仿宋" w:hAnsi="仿宋" w:eastAsia="仿宋" w:cs="仿宋"/>
          <w:sz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电子信箱：</w:t>
      </w:r>
      <w:r>
        <w:rPr>
          <w:rFonts w:hint="eastAsia" w:ascii="仿宋" w:hAnsi="仿宋" w:eastAsia="仿宋" w:cs="仿宋"/>
          <w:sz w:val="28"/>
          <w:u w:val="single"/>
          <w:lang w:val="en-US" w:eastAsia="zh-CN"/>
        </w:rPr>
        <w:t xml:space="preserve">  18611194852@126.com      </w:t>
      </w:r>
    </w:p>
    <w:p w14:paraId="32348F23">
      <w:pPr>
        <w:spacing w:line="520" w:lineRule="exact"/>
        <w:jc w:val="center"/>
        <w:rPr>
          <w:rFonts w:hint="eastAsia" w:eastAsia="黑体"/>
          <w:sz w:val="44"/>
        </w:rPr>
      </w:pPr>
    </w:p>
    <w:p w14:paraId="578EBE02">
      <w:pPr>
        <w:spacing w:line="520" w:lineRule="exact"/>
        <w:jc w:val="center"/>
        <w:rPr>
          <w:rFonts w:hint="eastAsia" w:eastAsia="黑体"/>
          <w:sz w:val="44"/>
        </w:rPr>
      </w:pPr>
    </w:p>
    <w:p w14:paraId="7117E3EF">
      <w:pPr>
        <w:spacing w:line="520" w:lineRule="exact"/>
        <w:jc w:val="center"/>
        <w:rPr>
          <w:rFonts w:hint="eastAsia" w:eastAsia="黑体"/>
          <w:sz w:val="44"/>
        </w:rPr>
      </w:pPr>
    </w:p>
    <w:p w14:paraId="59957DF2">
      <w:pPr>
        <w:spacing w:line="520" w:lineRule="exact"/>
        <w:jc w:val="center"/>
        <w:rPr>
          <w:rFonts w:hint="eastAsia" w:eastAsia="黑体"/>
          <w:sz w:val="44"/>
        </w:rPr>
      </w:pPr>
    </w:p>
    <w:p w14:paraId="33EC2CBD">
      <w:pPr>
        <w:spacing w:line="520" w:lineRule="exact"/>
        <w:jc w:val="center"/>
        <w:rPr>
          <w:rFonts w:hint="eastAsia" w:eastAsia="黑体"/>
          <w:sz w:val="44"/>
        </w:rPr>
      </w:pPr>
    </w:p>
    <w:p w14:paraId="5244C7BD">
      <w:pPr>
        <w:spacing w:line="520" w:lineRule="exact"/>
        <w:jc w:val="center"/>
        <w:rPr>
          <w:rFonts w:hint="eastAsia" w:eastAsia="黑体"/>
          <w:sz w:val="44"/>
        </w:rPr>
      </w:pPr>
    </w:p>
    <w:p w14:paraId="7026CCCD">
      <w:pPr>
        <w:spacing w:line="520" w:lineRule="exact"/>
        <w:jc w:val="center"/>
        <w:rPr>
          <w:rFonts w:hint="eastAsia" w:eastAsia="黑体"/>
          <w:sz w:val="44"/>
        </w:rPr>
      </w:pPr>
    </w:p>
    <w:p w14:paraId="5A11B89F">
      <w:pPr>
        <w:autoSpaceDE w:val="0"/>
        <w:autoSpaceDN w:val="0"/>
        <w:adjustRightInd w:val="0"/>
        <w:spacing w:line="360" w:lineRule="auto"/>
        <w:ind w:firstLine="560" w:firstLineChars="20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本合同甲方委托乙方进行“河南中医药大学呼吸疾病中西医结合智慧诊疗AI   平台建设”的专项技术服务，并支付相应的技术服务报酬。双方经过平等协商，在真实、充分地表达各自意愿的基础上，根据《中华人民共和国民法典》等法律法规，达成如下协议，并由双方共同恪守。</w:t>
      </w:r>
    </w:p>
    <w:p w14:paraId="30151DEF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第一条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甲方委托乙方进行技术服务的内容如下：</w:t>
      </w:r>
    </w:p>
    <w:p w14:paraId="04F2F0F7">
      <w:pPr>
        <w:spacing w:line="360" w:lineRule="auto"/>
        <w:ind w:firstLine="280" w:firstLineChars="10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1.技术服务的目标：</w:t>
      </w:r>
    </w:p>
    <w:p w14:paraId="7F20CD06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基于多模态大语言模型，综合整合文本知识节点、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临床</w:t>
      </w:r>
      <w:r>
        <w:rPr>
          <w:rFonts w:hint="eastAsia" w:ascii="仿宋" w:hAnsi="仿宋" w:eastAsia="仿宋" w:cs="仿宋"/>
          <w:sz w:val="28"/>
          <w:szCs w:val="28"/>
        </w:rPr>
        <w:t>影像特征和舌脉象等多种数据源，从而构建一个全面的呼吸疾病知识图谱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其次</w:t>
      </w:r>
      <w:r>
        <w:rPr>
          <w:rFonts w:hint="eastAsia" w:ascii="仿宋" w:hAnsi="仿宋" w:eastAsia="仿宋" w:cs="仿宋"/>
          <w:sz w:val="28"/>
          <w:szCs w:val="28"/>
        </w:rPr>
        <w:t>，在知识图谱基础上开发一个呼吸疾病AI诊疗系统，实现患者与医生之间的数据互动，实现中西医结合的智能诊疗体系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，推动中西医的有效结合，为临床提供个性化、精准化的诊疗方案。促进医疗服务的智能化与高效化，为患者提供更优质的健康保障。</w:t>
      </w:r>
    </w:p>
    <w:p w14:paraId="6EE83A1D">
      <w:pPr>
        <w:pStyle w:val="8"/>
        <w:numPr>
          <w:ilvl w:val="0"/>
          <w:numId w:val="0"/>
        </w:numPr>
        <w:spacing w:line="360" w:lineRule="auto"/>
        <w:ind w:leftChars="1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技术服务的内容：</w:t>
      </w:r>
      <w:bookmarkStart w:id="0" w:name="_Toc160180257"/>
    </w:p>
    <w:p w14:paraId="4ACB2695">
      <w:pPr>
        <w:pStyle w:val="8"/>
        <w:numPr>
          <w:ilvl w:val="0"/>
          <w:numId w:val="0"/>
        </w:numPr>
        <w:spacing w:line="360" w:lineRule="auto"/>
        <w:ind w:leftChars="100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801995" cy="3385185"/>
            <wp:effectExtent l="0" t="0" r="444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474EE">
      <w:pPr>
        <w:pStyle w:val="8"/>
        <w:numPr>
          <w:ilvl w:val="0"/>
          <w:numId w:val="0"/>
        </w:numPr>
        <w:spacing w:line="360" w:lineRule="auto"/>
        <w:ind w:leftChars="10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技术路线图</w:t>
      </w:r>
    </w:p>
    <w:bookmarkEnd w:id="0"/>
    <w:p w14:paraId="10B99A43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(1)数据资产平台</w:t>
      </w:r>
    </w:p>
    <w:p w14:paraId="08C8984E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数据资产平台通过整合医学文本、舌象、影像、病案、队列及术语数据库，保障数据全生命周期的完整性、一致性和时效性。为AI智慧诊疗服务奠定坚实基础，推动数字医疗高质量发展。</w:t>
      </w:r>
    </w:p>
    <w:p w14:paraId="10AA1232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①多模态数据资源库</w:t>
      </w:r>
    </w:p>
    <w:p w14:paraId="1DE179E6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专科数据库集群：整合医学文本资源库（含电子病历、科研文献）、舌象基础库、影像基础库、标准术语数据库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0D87779E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病案数据中心：存储结构化病案，内置智能质控引擎，通过质控规则（完整性、逻辑一致性、编码准确性）自动标记问题数据。</w:t>
      </w:r>
    </w:p>
    <w:p w14:paraId="78F90890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多病种队列库：构建专科队列，包含患者全周期诊疗数据、生物样本信息、随访记录，支持CRF表单自定义与数据动态更新。</w:t>
      </w:r>
    </w:p>
    <w:p w14:paraId="46F46082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②全流程数据治理</w:t>
      </w:r>
    </w:p>
    <w:p w14:paraId="7EB52137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智能采集与清洗：部署ETL工具链实现多源数据自动接入，应用文本结构化技术对非结构化文本（如入院、病程、出院记录）进行实体识别与标准化处理。</w:t>
      </w:r>
    </w:p>
    <w:p w14:paraId="6E8DB807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③科研数据服务中枢</w:t>
      </w:r>
    </w:p>
    <w:p w14:paraId="105359EB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队列数据精准调取：提供可视化条件筛选器（疾病分期、用药史、检验指标区间等），并提供生存分析、倾向性评分匹配等多种统计模型，研究成果可视化图表。</w:t>
      </w:r>
    </w:p>
    <w:p w14:paraId="01A82913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④数据价值评估及安全和权限管理</w:t>
      </w:r>
    </w:p>
    <w:p w14:paraId="6C328E32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用户满意度监测：构建包含数据完整性（35%）、响应速度（25%）、应用成效（40%）的评估模型，通过AI情感分析处理用户反馈，满意度看板实时刷新。</w:t>
      </w:r>
    </w:p>
    <w:p w14:paraId="2A211B51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数据管理：实施数据加密、访问控制等措施，确保数据的安全性和隐私保护。</w:t>
      </w:r>
    </w:p>
    <w:p w14:paraId="3EB69FD4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(2)人工智能引擎服务平台</w:t>
      </w:r>
    </w:p>
    <w:p w14:paraId="272A2C9C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①中西医结合知识图谱构建</w:t>
      </w:r>
    </w:p>
    <w:p w14:paraId="1EB2F28F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系统需内置中西医症状、疾病、基因、中药和靶点等的知识库包含6种实体、5万余条直接实体关系和近15万间接关系，提供基础性的网络药理学数据资源库。</w:t>
      </w:r>
    </w:p>
    <w:p w14:paraId="29046039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面向呼吸疾病的中西医结合精准医学知识图谱，基于数据资产平台数据，使用信息抽取和多源信息融合的方法，建立证候-症状-疾病-基因（蛋白）-药物等，实现临床诊疗与生物学基础相结合的中西医结合异质多维知识图谱。</w:t>
      </w:r>
    </w:p>
    <w:p w14:paraId="47101D06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②中医临床数据挖掘和辅助诊疗方法研究</w:t>
      </w:r>
    </w:p>
    <w:p w14:paraId="5762A9BA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利用真实世界回顾性数据，应用中医特色分析模型分析临床诊疗数据。</w:t>
      </w:r>
    </w:p>
    <w:p w14:paraId="5EE44924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1）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精准人群划分</w:t>
      </w:r>
    </w:p>
    <w:p w14:paraId="0763C161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根据临床病例提取的各类特征，划分为若干个患者亚群，划分为非重叠划分。在得到亚群划分之后，对结果进行分析，对亚群特异性进行分析。</w:t>
      </w:r>
    </w:p>
    <w:p w14:paraId="0145C0B6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（a）通过富集分析发现不同亚群的特异性特征。</w:t>
      </w:r>
    </w:p>
    <w:p w14:paraId="14655DF4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（b）通过kaplan-meier生存曲线以及logrank检验方法进行不同亚群的差异分析。</w:t>
      </w:r>
    </w:p>
    <w:p w14:paraId="65260617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2）病症治效特征分析</w:t>
      </w:r>
    </w:p>
    <w:p w14:paraId="713630E4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通过多维检索分析（OLAP）等方法，分析病例的病症证治效特征。如年龄、性别等人口学特征，基础疾病情况，临床表现特征、中医药应用情况等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。</w:t>
      </w:r>
    </w:p>
    <w:p w14:paraId="48A7893E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3）适应症分析</w:t>
      </w:r>
    </w:p>
    <w:p w14:paraId="5DAB0741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通过处方名，抽取处方对应的患者病例中所有症状，对该方和提取出的症状进行统计分析，探索目标处方在指南文献之外的适应症。</w:t>
      </w:r>
    </w:p>
    <w:p w14:paraId="02429BEC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）回顾性队列的临床治疗方案疗效评价</w:t>
      </w:r>
    </w:p>
    <w:p w14:paraId="0C0B4DA4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分组基线比较采用曼-惠特尼U检验（Mann-Whitney U test）计算两组分布上的差异。</w:t>
      </w:r>
    </w:p>
    <w:p w14:paraId="5B710279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采用卡方检验或Fisher精确检验计算两组在变量上的分布差异，计算两组的症状特征差异，如（性别，症状，疾病，中药，西药，中成药）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。</w:t>
      </w:r>
    </w:p>
    <w:p w14:paraId="63A6419A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两组数据生存分析，如：KM生存曲线、Cox回归分析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。</w:t>
      </w:r>
    </w:p>
    <w:p w14:paraId="44E382CE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倾向性评分比较两组数据，最后输出匹配结果表，包含匹配数量，变量smd和p值等信息。</w:t>
      </w:r>
    </w:p>
    <w:p w14:paraId="4A1AD1D6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）核心处方分子机理分析</w:t>
      </w:r>
    </w:p>
    <w:p w14:paraId="63816CD0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基于网络药理学分析方法进行方证机制分析，探索诊疗经验的分子生物学证据；通过该环节分析可完成的工作有:</w:t>
      </w:r>
    </w:p>
    <w:p w14:paraId="40535C7B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（a）成分关联</w:t>
      </w:r>
    </w:p>
    <w:p w14:paraId="7E16E1D7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可在核心用药的基础上，列出对应的各药化学成分列表，并提供成分选择；</w:t>
      </w:r>
    </w:p>
    <w:p w14:paraId="3958621C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（b）基因关联</w:t>
      </w:r>
    </w:p>
    <w:p w14:paraId="6081F7E6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系统可选择关注的疾病临床特征，并列出对应的表型基因，提供基因选择；</w:t>
      </w:r>
    </w:p>
    <w:p w14:paraId="68A72134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（c）基因模块分析</w:t>
      </w:r>
    </w:p>
    <w:p w14:paraId="1AF4852F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分析疾病特征与药物成分，使用PPI网络（String9）根据其相关性进行了社团划分，划分为314个模块(M1-M314)得出作用基因的交集基因模块；</w:t>
      </w:r>
    </w:p>
    <w:p w14:paraId="29E80483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（d）基因富集分析</w:t>
      </w:r>
    </w:p>
    <w:p w14:paraId="383182A3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提取特定中药、合并疾病、症状或基因模块相关的基因列表，应用PathWay和GO（Gene Ontology）的基因列表进行相关性分析，以得出该基因列表在那些功能类群或代谢通路上产生了富集，进而从分子层面对中药、合并疾病、症状或基因模块的功能进行分析。</w:t>
      </w:r>
    </w:p>
    <w:p w14:paraId="5D6D1862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Pathway分析：指代谢通路，对基因列表进行pathway分析，可以了解实验条件下显著改变的代谢通路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。</w:t>
      </w:r>
    </w:p>
    <w:p w14:paraId="1EDE5C5B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GO分析：基因本体，包括分子功能（Molecular Function），生物过程（biological process）和细胞组成（cellular component）等部分。通过基因的GO 分析，可以探索治疗方案可能和哪些基因功能的改变有关。进一步解释临床有效方证的生物学机制。</w:t>
      </w:r>
    </w:p>
    <w:p w14:paraId="734D2622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③知识问答引擎构建</w:t>
      </w:r>
    </w:p>
    <w:p w14:paraId="0D2BE0E6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基于中西医结合精准知识图谱和中医临床数据挖掘结果，整合中医有关呼吸系统疾病的知识，包括疾病分类、相关症状、辨证施治原则及常用中药和疗法，形成全面的知识库。并利用真实世界的临床诊疗数据挖掘分析结果，从中提取有效的临床实践经验，以提高系统答案的可靠性和实用性。采用自然语言处理技术，对用户的提问进行语义理解，并根据知识图谱和临床数据生成精准的回答。此外，系统还将集成用户反馈机制，通过不断的互动收集和更新信息，优化问答引擎的响应速度和准确度，提升用户体验和满意度。</w:t>
      </w:r>
    </w:p>
    <w:p w14:paraId="0032E1CC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④多模态智能诊断引擎构建</w:t>
      </w:r>
    </w:p>
    <w:p w14:paraId="043657D1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基于真实世界临床病例数据集与辨证论治知识图谱，结合强化学习、知识图谱推理、分析学习等人工智能技术，进行可解释性辨证论治诊断决策系列模型研制，包括针对患者四诊信息采集的智能问答模型、针对病证结合的人群分型判别模型及智能辨证模型，为贯通临床辅助提供决策支持。</w:t>
      </w:r>
    </w:p>
    <w:p w14:paraId="33B7CF01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⑤智能处方推荐引擎构建</w:t>
      </w:r>
    </w:p>
    <w:p w14:paraId="4B06B9FD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以名老中医及其传承团队为依托，利用真实世界回顾性数据和前瞻性名医诊疗数据，采用大语言模型(LLM)技术构建TCM-GPT，提供准确推荐临床处方(药物组成及剂量）和预后评估等功能的智能引擎，并在名老中医本人深度参与下，进行处方推荐的优化，实现与名医的高匹配度。</w:t>
      </w:r>
    </w:p>
    <w:p w14:paraId="3D963C1D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(3)患者小程序</w:t>
      </w:r>
    </w:p>
    <w:p w14:paraId="0C2AAD58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AI智慧诊疗平台患者小程序端整合多种功能模块，为患者提供全面便捷的医疗健康服务。平台以智能化、个性化的服务，显著提升患者就医体验，推动医疗服务向高效便捷方向发展。</w:t>
      </w:r>
    </w:p>
    <w:p w14:paraId="06808A02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①健康信息管理</w:t>
      </w:r>
    </w:p>
    <w:p w14:paraId="0FC28BC5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患者小程序端实现了患者个人健康信息的集中管理，方便患者随时跟踪自己的诊疗记录和健康变化，为患者提供了一个全面的个人健康信息平台。</w:t>
      </w:r>
    </w:p>
    <w:p w14:paraId="24475C9F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②智能问诊与咨询</w:t>
      </w:r>
    </w:p>
    <w:p w14:paraId="7F962ED0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AI问诊：调用人工智能引擎，对患者的症状进行快速初步分析，提供即时的健康建议，降低了患者寻求医疗帮助的门槛。</w:t>
      </w:r>
    </w:p>
    <w:p w14:paraId="3260F1C2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在线问诊：允许患者与医生进行实时沟通，进一步提高了医疗咨询的便捷性，消除了传统就诊中的时间和空间限制。</w:t>
      </w:r>
    </w:p>
    <w:p w14:paraId="1B8AA87B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知识问答：为患者提供了丰富的健康知识和常见问题解答，提升了患者的健康素养。</w:t>
      </w:r>
    </w:p>
    <w:p w14:paraId="72B1EDFA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③健康宣教与自我管理</w:t>
      </w:r>
    </w:p>
    <w:p w14:paraId="53686062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个性化健康宣教：根据患者的具体健康状况和需求，推送疾病预防、健康生活方式、康复指导等教育内容，帮助患者更好地管理自身健康。</w:t>
      </w:r>
    </w:p>
    <w:p w14:paraId="58B7552D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用药提醒：系统根据患者的处方信息，自动设置用药提醒，确保患者按时服药，提高用药依从性。</w:t>
      </w:r>
    </w:p>
    <w:p w14:paraId="2E5775EB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④就医辅助服务</w:t>
      </w:r>
    </w:p>
    <w:p w14:paraId="2DDA834E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预约检查检验：患者可在小程序上预约各类检查检验项目，无需排队等候，节省时间，提高就医效率。</w:t>
      </w:r>
    </w:p>
    <w:p w14:paraId="7BC2FA62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处方购买与物流查询：患者可直接在小程序上购买处方药品，并实时查看处方药品的物流状态，及时了解药品配送进度，确保药品按时送达。</w:t>
      </w:r>
    </w:p>
    <w:p w14:paraId="4AC69D51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(4)医生智慧诊疗</w:t>
      </w:r>
    </w:p>
    <w:p w14:paraId="5D30DE1B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AI智慧诊疗平台构建医生端多终端工作台（APP、PC），深度融合在线接诊、患者管理、数据采集分析及人工智能辅助诊疗等核心功能，推动数字医疗高质量发展，增强患者对医疗服务的信任。</w:t>
      </w:r>
    </w:p>
    <w:p w14:paraId="4DB2378B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①在线接诊与医患交流</w:t>
      </w:r>
    </w:p>
    <w:p w14:paraId="1D13426D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在线接诊：医生可通过医生APP和PC端实时接收患者的问诊请求，随时随地为患者提供医疗服务，打破时间和空间的限制。</w:t>
      </w:r>
    </w:p>
    <w:p w14:paraId="05AC7232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医患交流：支持医生与患者进行文字、语音、图片等多种形式的交流，方便医生详细了解患者的病情，同时也能让患者及时获得医生的回复和建议。</w:t>
      </w:r>
    </w:p>
    <w:p w14:paraId="199AAAAA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②患者管理</w:t>
      </w:r>
    </w:p>
    <w:p w14:paraId="034810F6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预约管理：可在平台上查看患者的预约信息，对预约进行管理和调整，提高工作效率。</w:t>
      </w:r>
    </w:p>
    <w:p w14:paraId="0B0FC6BA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病历更新：在接诊过程中可随时更新患者的病历信息，确保病历的准确性和完整性。</w:t>
      </w:r>
    </w:p>
    <w:p w14:paraId="4CEC28E6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健康监测：通过平台对患者的健康数据进行长期监测和分析，为患者提供个性化的健康管理服务。</w:t>
      </w:r>
    </w:p>
    <w:p w14:paraId="02AB7F20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③数据采集与分析</w:t>
      </w:r>
    </w:p>
    <w:p w14:paraId="1756FB61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院内病例数据查询：可查阅患者院内病例数据（HIS、LIS、PACS等信息系统的查询及智能病历查看与分析），全面了解患者的病史和治疗情况。</w:t>
      </w:r>
    </w:p>
    <w:p w14:paraId="54E13622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检查检验报告解读：提供检查检验报告的智能解读功能，帮助医生快速准确地分析报告结果，为诊断提供有力支持。</w:t>
      </w:r>
    </w:p>
    <w:p w14:paraId="69FE987E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④人工智能辅助诊疗</w:t>
      </w:r>
    </w:p>
    <w:p w14:paraId="1AE90286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疾病分型判别：利用人工智能引擎对患者的病情进行精准的疾病分型判别，为医生提供诊断参考，提高诊断的准确性和效率。</w:t>
      </w:r>
    </w:p>
    <w:p w14:paraId="716F4E6F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智能问诊：在患者问诊过程中，人工智能引擎可根据患者的症状和病史进行智能问诊，初步分析病情，为医生节省时间。</w:t>
      </w:r>
    </w:p>
    <w:p w14:paraId="61DDD583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智能辨证：结合中医理论，对患者的症状进行智能辨证，为医生提供辨证论治的参考依据。</w:t>
      </w:r>
    </w:p>
    <w:p w14:paraId="3B12955F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智能处方：根据患者的病情和诊断结果，人工智能引擎可为医生提供个性化的治疗方案推荐，包括用药建议等。</w:t>
      </w:r>
    </w:p>
    <w:p w14:paraId="78906D7E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预后评估：对患者的治疗效果和预后进行智能评估，为医生制定后续治疗计划提供参考。</w:t>
      </w:r>
    </w:p>
    <w:p w14:paraId="3328412C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⑤系统管理与优化</w:t>
      </w:r>
    </w:p>
    <w:p w14:paraId="4273387C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智能预警：系统可对患者的病情变化和潜在风险进行智能预警，提醒医生及时关注和处理。</w:t>
      </w:r>
    </w:p>
    <w:p w14:paraId="5BA91DCA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用药相互作用提醒：在医生开具处方时，系统会自动检测药物之间的相互作用，为医生提供用药安全提醒。</w:t>
      </w:r>
    </w:p>
    <w:p w14:paraId="2930A4E0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个性化治疗方案推荐：根据患者的个体情况和病情变化，人工智能引擎可为医生提供个性化的治疗方案推荐，帮助医生优化治疗效果。</w:t>
      </w:r>
    </w:p>
    <w:p w14:paraId="06613E9D">
      <w:pPr>
        <w:pStyle w:val="8"/>
        <w:spacing w:line="360" w:lineRule="auto"/>
        <w:ind w:firstLine="56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人工智能引擎优化：后期根据前瞻性诊疗数据，对人工智能引擎进行持续优化，不断提升其性能和准确性，以更好地服务于医生和患者。</w:t>
      </w:r>
    </w:p>
    <w:p w14:paraId="2BE100CD">
      <w:pPr>
        <w:pStyle w:val="8"/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3．技术服务的方式：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乙方为甲方进行呼吸疾病中西医结合智慧诊疗AI平台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研发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62B2AAB4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第二条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乙方应按下列要求完成技术服务工作：</w:t>
      </w:r>
    </w:p>
    <w:p w14:paraId="795A5605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1．技术服务地点：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河南省郑州市郑东新区金水东路156号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1C0AF69E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2．技术服务期限：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自合同生效之日起至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2027 </w:t>
      </w:r>
      <w:r>
        <w:rPr>
          <w:rFonts w:hint="eastAsia" w:ascii="仿宋" w:hAnsi="仿宋" w:eastAsia="仿宋" w:cs="仿宋"/>
          <w:sz w:val="28"/>
          <w:szCs w:val="28"/>
          <w:u w:val="single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09 </w:t>
      </w:r>
      <w:r>
        <w:rPr>
          <w:rFonts w:hint="eastAsia" w:ascii="仿宋" w:hAnsi="仿宋" w:eastAsia="仿宋" w:cs="仿宋"/>
          <w:sz w:val="28"/>
          <w:szCs w:val="28"/>
          <w:u w:val="single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30</w:t>
      </w:r>
      <w:r>
        <w:rPr>
          <w:rFonts w:hint="eastAsia" w:ascii="仿宋" w:hAnsi="仿宋" w:eastAsia="仿宋" w:cs="仿宋"/>
          <w:sz w:val="28"/>
          <w:szCs w:val="28"/>
          <w:u w:val="single"/>
        </w:rPr>
        <w:t>日；</w:t>
      </w:r>
    </w:p>
    <w:p w14:paraId="28E384FE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3．技术服务进度：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按照甲乙双方约定的时间完成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4C2B4C3E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．技术服务质量期限要求：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合同期内专职技术服务，项目完成后提供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  <w:u w:val="single"/>
        </w:rPr>
        <w:t>年技术支持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18E7CD55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第三条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为保证乙方有效进行技术服务工作，甲方应当向乙方提供下列工作条件和协作事项：</w:t>
      </w:r>
    </w:p>
    <w:p w14:paraId="33EBAB3D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1．提供技术资料：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平台</w:t>
      </w:r>
      <w:r>
        <w:rPr>
          <w:rFonts w:hint="eastAsia" w:ascii="仿宋" w:hAnsi="仿宋" w:eastAsia="仿宋" w:cs="仿宋"/>
          <w:sz w:val="28"/>
          <w:szCs w:val="28"/>
          <w:u w:val="single"/>
        </w:rPr>
        <w:t>功能需求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产品说明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3399388C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2．提供工作条件：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无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63B44286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3．其他：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无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5D23CB11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>4．甲方提供上述工作条件和协作事项的时间及方式：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合同签订之日起实施，由甲方委派专人同乙方项目负责人协调落实。</w:t>
      </w:r>
    </w:p>
    <w:p w14:paraId="4D67624F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第四条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甲方向乙方支付技术服务报酬及支付方式为：</w:t>
      </w:r>
    </w:p>
    <w:p w14:paraId="4F36EC46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技术服务费总额为：</w:t>
      </w:r>
      <w:bookmarkStart w:id="1" w:name="_Hlk138234692"/>
      <w:r>
        <w:rPr>
          <w:rFonts w:hint="eastAsia" w:ascii="仿宋" w:hAnsi="仿宋" w:eastAsia="仿宋" w:cs="仿宋"/>
          <w:sz w:val="28"/>
          <w:szCs w:val="28"/>
          <w:u w:val="single"/>
        </w:rPr>
        <w:t>人民币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3,518,000.00 </w:t>
      </w:r>
      <w:r>
        <w:rPr>
          <w:rFonts w:hint="eastAsia" w:ascii="仿宋" w:hAnsi="仿宋" w:eastAsia="仿宋" w:cs="仿宋"/>
          <w:sz w:val="28"/>
          <w:szCs w:val="28"/>
          <w:u w:val="single"/>
        </w:rPr>
        <w:t>（¥）（大写：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叁佰伍拾壹万捌仟元整 </w:t>
      </w:r>
      <w:r>
        <w:rPr>
          <w:rFonts w:hint="eastAsia" w:ascii="仿宋" w:hAnsi="仿宋" w:eastAsia="仿宋" w:cs="仿宋"/>
          <w:sz w:val="28"/>
          <w:szCs w:val="28"/>
          <w:u w:val="single"/>
        </w:rPr>
        <w:t>）</w:t>
      </w:r>
      <w:bookmarkEnd w:id="1"/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5EC3F489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2.双方签订合同前乙方按招标文件要求缴纳中标价（成交价）5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%作为履约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保证金，若乙方未履行合同或履行合同不符合要求的，则履约保证金不予退还；若乙方履行合同，经验收合格无质量问题，甲方无息退还履约保证金（凭收款收据）。交纳方式：中标人在领取中标通知书后签订合同前将履约保证金汇（存）入采购方指定银行账户。</w:t>
      </w:r>
    </w:p>
    <w:p w14:paraId="79992879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</w:rPr>
        <w:t>技术服务费由甲方</w:t>
      </w:r>
      <w:r>
        <w:rPr>
          <w:rFonts w:hint="eastAsia" w:ascii="仿宋" w:hAnsi="仿宋" w:eastAsia="仿宋" w:cs="仿宋"/>
          <w:sz w:val="28"/>
          <w:szCs w:val="28"/>
          <w:u w:val="single"/>
        </w:rPr>
        <w:t>分期</w:t>
      </w:r>
      <w:r>
        <w:rPr>
          <w:rFonts w:hint="eastAsia" w:ascii="仿宋" w:hAnsi="仿宋" w:eastAsia="仿宋" w:cs="仿宋"/>
          <w:sz w:val="28"/>
          <w:szCs w:val="28"/>
        </w:rPr>
        <w:t>（一次或分期）支付乙方。</w:t>
      </w:r>
    </w:p>
    <w:p w14:paraId="508E8108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本项目交付周期，分两期实施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：</w:t>
      </w:r>
    </w:p>
    <w:p w14:paraId="3F1EAC51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（1）一期聚焦数据与算力基础建设：</w:t>
      </w:r>
    </w:p>
    <w:p w14:paraId="7387F8C5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完成数据资产平台搭建，实现医疗数据统一存储、标准化接入及清洗治理；部署服务器集群并优化安全策略，支撑系统稳定运行；同步开发基础AI模型，通过医学数据分析与迭代训练初步实现智能诊疗功能。</w:t>
      </w:r>
    </w:p>
    <w:p w14:paraId="3D8C980F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（2）二期推进应用落地与生态整合：</w:t>
      </w:r>
    </w:p>
    <w:p w14:paraId="5AA85D7B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研发患者小程序、医生PC/APP端，构建在线问诊、病历管理等功能模块，确保多终端数据协同；集成一期训练的AI模型至智能服务引擎，优化实时诊疗决策能力；开展多轮系统联调及用户体验测试，最终完成平台上线，并通过培训推广实现医院端落地。两期建设形成“数据-算力-应用”闭环，为智能化诊疗服务提供全链条支持。</w:t>
      </w:r>
    </w:p>
    <w:p w14:paraId="671BACA7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sz w:val="28"/>
          <w:szCs w:val="28"/>
        </w:rPr>
        <w:t>付款条件（进度和方式）：</w:t>
      </w:r>
    </w:p>
    <w:p w14:paraId="4181F304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（1）项目签订合同后，开展一期建设，涵盖数据资产平台搭建与数据模型训练，一期建设完成并正常运行，甲方组织有关人员及使用单位联合验收，验收合格后采购方支付合同价的总额的60%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u w:val="single"/>
        </w:rPr>
        <w:t>人民币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2,110,800.00 </w:t>
      </w:r>
      <w:r>
        <w:rPr>
          <w:rFonts w:hint="eastAsia" w:ascii="仿宋" w:hAnsi="仿宋" w:eastAsia="仿宋" w:cs="仿宋"/>
          <w:sz w:val="28"/>
          <w:szCs w:val="28"/>
          <w:u w:val="single"/>
        </w:rPr>
        <w:t>（¥）（大写：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贰佰壹拾壹万零捌佰元整 </w:t>
      </w:r>
      <w:r>
        <w:rPr>
          <w:rFonts w:hint="eastAsia" w:ascii="仿宋" w:hAnsi="仿宋" w:eastAsia="仿宋" w:cs="仿宋"/>
          <w:sz w:val="28"/>
          <w:szCs w:val="28"/>
          <w:u w:val="single"/>
        </w:rPr>
        <w:t>）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。</w:t>
      </w:r>
    </w:p>
    <w:p w14:paraId="04570592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（2）</w:t>
      </w:r>
      <w:r>
        <w:rPr>
          <w:rFonts w:hint="eastAsia" w:ascii="仿宋" w:hAnsi="仿宋" w:eastAsia="仿宋" w:cs="仿宋"/>
          <w:sz w:val="28"/>
          <w:szCs w:val="28"/>
          <w:lang w:val="en-US"/>
        </w:rPr>
        <w:t>二期建设，智能引擎平台、患者小程序、医生APP等，二期建设完成并正常运行后，甲方组织有关人员及使用单位联合验收，验收合格后采购方支付合同价的总额的40%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u w:val="single"/>
        </w:rPr>
        <w:t>人民币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1,407,200.00  </w:t>
      </w:r>
    </w:p>
    <w:p w14:paraId="366CE879">
      <w:pPr>
        <w:spacing w:line="360" w:lineRule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(</w:t>
      </w:r>
      <w:r>
        <w:rPr>
          <w:rFonts w:hint="eastAsia" w:ascii="仿宋" w:hAnsi="仿宋" w:eastAsia="仿宋" w:cs="仿宋"/>
          <w:sz w:val="28"/>
          <w:szCs w:val="28"/>
          <w:u w:val="single"/>
        </w:rPr>
        <w:t>¥）（大写：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壹佰肆拾万零柒仟贰佰元整 </w:t>
      </w:r>
      <w:r>
        <w:rPr>
          <w:rFonts w:hint="eastAsia" w:ascii="仿宋" w:hAnsi="仿宋" w:eastAsia="仿宋" w:cs="仿宋"/>
          <w:sz w:val="28"/>
          <w:szCs w:val="28"/>
          <w:u w:val="single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 w14:paraId="32384F01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申请付款时必须提交以下文件和资料：</w:t>
      </w:r>
    </w:p>
    <w:p w14:paraId="4229C6B7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1、资金支付申请书；2、由甲方签字的验收报告；3、教学、科研设备需开具增值税专用发票，其他货物、服务需开具增值税普通发票。</w:t>
      </w:r>
    </w:p>
    <w:p w14:paraId="619377ED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具体步骤：乙方填写《资金支付申请书》、开具抬头为甲方的发票，并送交甲方；甲方填写《验收报告》，乙方凭《资金支付申请书》和《验收报告》由甲方支付货款。</w:t>
      </w:r>
    </w:p>
    <w:p w14:paraId="3C6A099B">
      <w:pPr>
        <w:spacing w:line="360" w:lineRule="auto"/>
        <w:ind w:firstLine="700" w:firstLineChars="25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乙方开户银行名称、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地址和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账号为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：</w:t>
      </w:r>
    </w:p>
    <w:p w14:paraId="0940F8DC">
      <w:pPr>
        <w:spacing w:line="360" w:lineRule="auto"/>
        <w:ind w:firstLine="700" w:firstLineChars="250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单位名称：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北京中腾佰脉医疗科技有限责任公司  </w:t>
      </w:r>
    </w:p>
    <w:p w14:paraId="7A842BC1">
      <w:pPr>
        <w:spacing w:line="360" w:lineRule="auto"/>
        <w:ind w:firstLine="700" w:firstLineChars="250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开户名：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北京中腾佰脉医疗科技有限责任公司  </w:t>
      </w:r>
    </w:p>
    <w:p w14:paraId="179C8B6C">
      <w:pPr>
        <w:spacing w:line="360" w:lineRule="auto"/>
        <w:ind w:firstLine="700" w:firstLineChars="250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开户银行：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招商银行股份有限公司北京东直门支行 </w:t>
      </w:r>
    </w:p>
    <w:p w14:paraId="6BD2694F">
      <w:pPr>
        <w:spacing w:line="360" w:lineRule="auto"/>
        <w:ind w:firstLine="700" w:firstLineChars="250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账号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110922047210201               </w:t>
      </w:r>
    </w:p>
    <w:p w14:paraId="6FDD11AD">
      <w:pPr>
        <w:spacing w:line="360" w:lineRule="auto"/>
        <w:ind w:firstLine="700" w:firstLineChars="250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纳税人识别号：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91110101MA0056WN23 </w:t>
      </w:r>
    </w:p>
    <w:p w14:paraId="22FC409E">
      <w:pPr>
        <w:spacing w:line="360" w:lineRule="auto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地址：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北京市东城区东直门南大街11号C座11层1105室   </w:t>
      </w:r>
    </w:p>
    <w:p w14:paraId="67DBCD38">
      <w:pPr>
        <w:spacing w:line="360" w:lineRule="auto"/>
        <w:ind w:firstLine="700" w:firstLineChars="25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电话：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18611194852       </w:t>
      </w:r>
    </w:p>
    <w:p w14:paraId="7556F3F8">
      <w:pPr>
        <w:bidi w:val="0"/>
        <w:rPr>
          <w:rFonts w:hint="eastAsia" w:ascii="仿宋" w:hAnsi="仿宋" w:eastAsia="仿宋" w:cs="仿宋"/>
          <w:sz w:val="28"/>
          <w:szCs w:val="28"/>
        </w:rPr>
      </w:pPr>
    </w:p>
    <w:p w14:paraId="1EEA32BC">
      <w:pPr>
        <w:spacing w:line="360" w:lineRule="auto"/>
        <w:ind w:left="630" w:leftChars="300"/>
        <w:rPr>
          <w:rFonts w:hint="eastAsia" w:ascii="仿宋" w:hAnsi="仿宋" w:eastAsia="仿宋" w:cs="仿宋"/>
          <w:sz w:val="28"/>
          <w:szCs w:val="28"/>
          <w:highlight w:val="yellow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yellow"/>
        </w:rPr>
        <w:t>甲方</w:t>
      </w:r>
      <w:r>
        <w:rPr>
          <w:rFonts w:hint="eastAsia" w:ascii="仿宋" w:hAnsi="仿宋" w:eastAsia="仿宋" w:cs="仿宋"/>
          <w:sz w:val="28"/>
          <w:szCs w:val="28"/>
          <w:highlight w:val="yellow"/>
          <w:lang w:eastAsia="zh-CN"/>
        </w:rPr>
        <w:t>账户名称</w:t>
      </w:r>
      <w:r>
        <w:rPr>
          <w:rFonts w:hint="eastAsia" w:ascii="仿宋" w:hAnsi="仿宋" w:eastAsia="仿宋" w:cs="仿宋"/>
          <w:sz w:val="28"/>
          <w:szCs w:val="28"/>
          <w:highlight w:val="yellow"/>
        </w:rPr>
        <w:t>：</w:t>
      </w:r>
      <w:r>
        <w:rPr>
          <w:rFonts w:hint="eastAsia" w:ascii="仿宋" w:hAnsi="仿宋" w:eastAsia="仿宋" w:cs="仿宋"/>
          <w:sz w:val="28"/>
          <w:szCs w:val="28"/>
          <w:highlight w:val="yellow"/>
          <w:u w:val="single"/>
          <w:lang w:val="en-US" w:eastAsia="zh-CN"/>
        </w:rPr>
        <w:t xml:space="preserve">   河南中医药大学        </w:t>
      </w:r>
    </w:p>
    <w:p w14:paraId="2955B111">
      <w:pPr>
        <w:spacing w:line="360" w:lineRule="auto"/>
        <w:ind w:left="630" w:leftChars="300"/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yellow"/>
        </w:rPr>
        <w:t>税号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:</w:t>
      </w:r>
      <w:r>
        <w:rPr>
          <w:rFonts w:hint="eastAsia" w:ascii="仿宋" w:hAnsi="仿宋" w:eastAsia="仿宋" w:cs="仿宋"/>
          <w:sz w:val="28"/>
          <w:szCs w:val="28"/>
          <w:highlight w:val="yellow"/>
          <w:u w:val="single"/>
          <w:lang w:val="en-US" w:eastAsia="zh-CN"/>
        </w:rPr>
        <w:t xml:space="preserve">                                  </w:t>
      </w:r>
    </w:p>
    <w:p w14:paraId="2353DDD4">
      <w:pPr>
        <w:spacing w:line="360" w:lineRule="auto"/>
        <w:ind w:left="630" w:leftChars="300"/>
        <w:rPr>
          <w:rFonts w:hint="eastAsia" w:ascii="仿宋" w:hAnsi="仿宋" w:eastAsia="仿宋" w:cs="仿宋"/>
          <w:sz w:val="28"/>
          <w:szCs w:val="28"/>
          <w:highlight w:val="yellow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yellow"/>
        </w:rPr>
        <w:t>单位地址：</w:t>
      </w:r>
      <w:r>
        <w:rPr>
          <w:rFonts w:hint="eastAsia" w:ascii="仿宋" w:hAnsi="仿宋" w:eastAsia="仿宋" w:cs="仿宋"/>
          <w:sz w:val="28"/>
          <w:szCs w:val="28"/>
          <w:highlight w:val="yellow"/>
          <w:u w:val="single"/>
          <w:lang w:val="en-US" w:eastAsia="zh-CN"/>
        </w:rPr>
        <w:t xml:space="preserve">  郑州市郑东新区金水东路156号  </w:t>
      </w:r>
    </w:p>
    <w:p w14:paraId="79013D71">
      <w:pPr>
        <w:spacing w:line="360" w:lineRule="auto"/>
        <w:ind w:left="630" w:leftChars="300"/>
        <w:rPr>
          <w:rFonts w:hint="eastAsia" w:ascii="仿宋" w:hAnsi="仿宋" w:eastAsia="仿宋" w:cs="仿宋"/>
          <w:sz w:val="28"/>
          <w:szCs w:val="28"/>
          <w:highlight w:val="yellow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yellow"/>
        </w:rPr>
        <w:t>电话号码：</w:t>
      </w:r>
      <w:r>
        <w:rPr>
          <w:rFonts w:hint="eastAsia" w:ascii="仿宋" w:hAnsi="仿宋" w:eastAsia="仿宋" w:cs="仿宋"/>
          <w:sz w:val="28"/>
          <w:szCs w:val="28"/>
          <w:highlight w:val="yellow"/>
          <w:u w:val="single"/>
          <w:lang w:val="en-US" w:eastAsia="zh-CN"/>
        </w:rPr>
        <w:t xml:space="preserve">  13526671773                </w:t>
      </w:r>
    </w:p>
    <w:p w14:paraId="45462B32">
      <w:pPr>
        <w:spacing w:line="360" w:lineRule="auto"/>
        <w:ind w:left="630" w:leftChars="300"/>
        <w:rPr>
          <w:rFonts w:hint="eastAsia" w:ascii="仿宋" w:hAnsi="仿宋" w:eastAsia="仿宋" w:cs="仿宋"/>
          <w:sz w:val="28"/>
          <w:szCs w:val="28"/>
          <w:highlight w:val="yellow"/>
        </w:rPr>
      </w:pPr>
      <w:r>
        <w:rPr>
          <w:rFonts w:hint="eastAsia" w:ascii="仿宋" w:hAnsi="仿宋" w:eastAsia="仿宋" w:cs="仿宋"/>
          <w:sz w:val="28"/>
          <w:szCs w:val="28"/>
          <w:highlight w:val="yellow"/>
        </w:rPr>
        <w:t>开户银行：</w:t>
      </w:r>
      <w:r>
        <w:rPr>
          <w:rFonts w:hint="eastAsia" w:ascii="仿宋" w:hAnsi="仿宋" w:eastAsia="仿宋" w:cs="仿宋"/>
          <w:sz w:val="28"/>
          <w:szCs w:val="28"/>
          <w:highlight w:val="yellow"/>
          <w:u w:val="single"/>
          <w:lang w:val="en-US" w:eastAsia="zh-CN"/>
        </w:rPr>
        <w:t xml:space="preserve">  工商银行花园路支行         </w:t>
      </w:r>
    </w:p>
    <w:p w14:paraId="31B77F9F">
      <w:pPr>
        <w:spacing w:line="360" w:lineRule="auto"/>
        <w:ind w:left="630" w:leftChars="300"/>
        <w:rPr>
          <w:rFonts w:hint="eastAsia" w:ascii="仿宋" w:hAnsi="仿宋" w:eastAsia="仿宋" w:cs="仿宋"/>
          <w:sz w:val="28"/>
          <w:szCs w:val="28"/>
          <w:highlight w:val="yellow"/>
        </w:rPr>
      </w:pPr>
      <w:r>
        <w:rPr>
          <w:rFonts w:hint="eastAsia" w:ascii="仿宋" w:hAnsi="仿宋" w:eastAsia="仿宋" w:cs="仿宋"/>
          <w:sz w:val="28"/>
          <w:szCs w:val="28"/>
          <w:highlight w:val="yellow"/>
        </w:rPr>
        <w:t>银行账户：</w:t>
      </w:r>
      <w:r>
        <w:rPr>
          <w:rFonts w:hint="eastAsia" w:ascii="仿宋" w:hAnsi="仿宋" w:eastAsia="仿宋" w:cs="仿宋"/>
          <w:sz w:val="28"/>
          <w:szCs w:val="28"/>
          <w:highlight w:val="yellow"/>
          <w:u w:val="single"/>
          <w:lang w:val="en-US" w:eastAsia="zh-CN"/>
        </w:rPr>
        <w:t xml:space="preserve"> 1702020609200014257          </w:t>
      </w:r>
    </w:p>
    <w:p w14:paraId="65688A0A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第五条  双方确定因履行本合同应遵守的保密义务如下：</w:t>
      </w:r>
    </w:p>
    <w:p w14:paraId="1DD77816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1．保密内容（包括技术信息和经营信息）:</w:t>
      </w:r>
      <w:r>
        <w:rPr>
          <w:rFonts w:hint="eastAsia" w:ascii="仿宋" w:hAnsi="仿宋" w:eastAsia="仿宋" w:cs="仿宋"/>
          <w:sz w:val="28"/>
          <w:szCs w:val="28"/>
          <w:u w:val="single"/>
        </w:rPr>
        <w:t>该项目原始资料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18F83C09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>2．涉密人员范围:</w:t>
      </w:r>
      <w:r>
        <w:rPr>
          <w:rFonts w:hint="eastAsia" w:ascii="仿宋" w:hAnsi="仿宋" w:eastAsia="仿宋" w:cs="仿宋"/>
          <w:sz w:val="28"/>
          <w:szCs w:val="28"/>
          <w:u w:val="single"/>
        </w:rPr>
        <w:t>参与项目所有人员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712D20BD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>3．保密期限：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本合同履行期间及本合同终止后两年。</w:t>
      </w:r>
    </w:p>
    <w:p w14:paraId="26A94E74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4．泄密责任：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一切责任由泄密方承担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41C297B1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第六条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本合同的变更必须由双方协商一致，并以书面形式确定。但有下列情形之一的，一方可以向另一方提出变更合同权利与义务的请求，另一方应当在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7 </w:t>
      </w:r>
      <w:r>
        <w:rPr>
          <w:rFonts w:hint="eastAsia" w:ascii="仿宋" w:hAnsi="仿宋" w:eastAsia="仿宋" w:cs="仿宋"/>
          <w:sz w:val="28"/>
          <w:szCs w:val="28"/>
        </w:rPr>
        <w:t>日内予以答复；逾期未予答复的，视为同意：</w:t>
      </w:r>
    </w:p>
    <w:p w14:paraId="04A79F0B">
      <w:pPr>
        <w:numPr>
          <w:ilvl w:val="0"/>
          <w:numId w:val="2"/>
        </w:numPr>
        <w:spacing w:line="360" w:lineRule="auto"/>
        <w:ind w:left="0" w:firstLine="560" w:firstLineChars="200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  <w:u w:val="single"/>
        </w:rPr>
        <w:t>乙方因不可抗力不能履行协议的，应当在不可抗力事件发生之日起七日内将不可抗力事由通知甲方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36D330F7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第七条  双方确定以下列标准和方式对乙方技术服务工作成果进行验收：</w:t>
      </w:r>
    </w:p>
    <w:p w14:paraId="0C7F931B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乙方完成技术服务工作的形式：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按照合同要求客观检测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7B785A65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技术服务工作成果的验收标准：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软件平台支持甲方完成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呼吸疾病</w:t>
      </w:r>
      <w:r>
        <w:rPr>
          <w:rFonts w:hint="eastAsia" w:ascii="仿宋" w:hAnsi="仿宋" w:eastAsia="仿宋" w:cs="仿宋"/>
          <w:sz w:val="28"/>
          <w:szCs w:val="28"/>
          <w:u w:val="single"/>
        </w:rPr>
        <w:t>辨证论治辅助诊疗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数据资产</w:t>
      </w:r>
      <w:r>
        <w:rPr>
          <w:rFonts w:hint="eastAsia" w:ascii="仿宋" w:hAnsi="仿宋" w:eastAsia="仿宋" w:cs="仿宋"/>
          <w:sz w:val="28"/>
          <w:szCs w:val="28"/>
          <w:u w:val="single"/>
        </w:rPr>
        <w:t>知识存储管理、数据加工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u w:val="single"/>
        </w:rPr>
        <w:t>因果知识图谱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患者小程序、医生AI智慧诊疗辅助</w:t>
      </w:r>
      <w:r>
        <w:rPr>
          <w:rFonts w:hint="eastAsia" w:ascii="仿宋" w:hAnsi="仿宋" w:eastAsia="仿宋" w:cs="仿宋"/>
          <w:sz w:val="28"/>
          <w:szCs w:val="28"/>
          <w:u w:val="single"/>
        </w:rPr>
        <w:t>。</w:t>
      </w:r>
    </w:p>
    <w:p w14:paraId="31CD9B5B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技术服务工作成果的验收方法：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系统部署在甲方并完成系统功能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研发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726B79B1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验收的时间和地点：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2027 </w:t>
      </w:r>
      <w:r>
        <w:rPr>
          <w:rFonts w:hint="eastAsia" w:ascii="仿宋" w:hAnsi="仿宋" w:eastAsia="仿宋" w:cs="仿宋"/>
          <w:sz w:val="28"/>
          <w:szCs w:val="28"/>
          <w:u w:val="single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09 </w:t>
      </w:r>
      <w:r>
        <w:rPr>
          <w:rFonts w:hint="eastAsia" w:ascii="仿宋" w:hAnsi="仿宋" w:eastAsia="仿宋" w:cs="仿宋"/>
          <w:sz w:val="28"/>
          <w:szCs w:val="28"/>
          <w:u w:val="single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30</w:t>
      </w:r>
      <w:r>
        <w:rPr>
          <w:rFonts w:hint="eastAsia" w:ascii="仿宋" w:hAnsi="仿宋" w:eastAsia="仿宋" w:cs="仿宋"/>
          <w:sz w:val="28"/>
          <w:szCs w:val="28"/>
          <w:u w:val="single"/>
        </w:rPr>
        <w:t>日，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河南中医药大学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78E2EF72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第八条  双方确定：</w:t>
      </w:r>
    </w:p>
    <w:p w14:paraId="2D7F0274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1．在本合同有效期内，甲方利用乙方提交的技术服务工作成果所完成的新的技术成果，归</w:t>
      </w:r>
      <w:r>
        <w:rPr>
          <w:rFonts w:hint="eastAsia" w:ascii="仿宋" w:hAnsi="仿宋" w:eastAsia="仿宋" w:cs="仿宋"/>
          <w:sz w:val="28"/>
          <w:szCs w:val="28"/>
          <w:u w:val="single"/>
        </w:rPr>
        <w:t>甲</w:t>
      </w:r>
      <w:r>
        <w:rPr>
          <w:rFonts w:hint="eastAsia" w:ascii="仿宋" w:hAnsi="仿宋" w:eastAsia="仿宋" w:cs="仿宋"/>
          <w:sz w:val="28"/>
          <w:szCs w:val="28"/>
        </w:rPr>
        <w:t>（甲、双）方所有。</w:t>
      </w:r>
    </w:p>
    <w:p w14:paraId="350A9F23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2．在本合同有效期内，乙方利用甲方提供的技术资料和工作条件所完成的新的技术成果，归</w:t>
      </w:r>
      <w:r>
        <w:rPr>
          <w:rFonts w:hint="eastAsia" w:ascii="仿宋" w:hAnsi="仿宋" w:eastAsia="仿宋" w:cs="仿宋"/>
          <w:sz w:val="28"/>
          <w:szCs w:val="28"/>
          <w:u w:val="single"/>
        </w:rPr>
        <w:t>双</w:t>
      </w:r>
      <w:r>
        <w:rPr>
          <w:rFonts w:hint="eastAsia" w:ascii="仿宋" w:hAnsi="仿宋" w:eastAsia="仿宋" w:cs="仿宋"/>
          <w:sz w:val="28"/>
          <w:szCs w:val="28"/>
        </w:rPr>
        <w:t>（乙、双）方所有。</w:t>
      </w:r>
    </w:p>
    <w:p w14:paraId="19588D45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第九条  双方确定，按以下约定承担各自的违约责任：</w:t>
      </w:r>
    </w:p>
    <w:p w14:paraId="4A7C70E6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u w:val="single"/>
        </w:rPr>
        <w:t>甲</w:t>
      </w:r>
      <w:r>
        <w:rPr>
          <w:rFonts w:hint="eastAsia" w:ascii="仿宋" w:hAnsi="仿宋" w:eastAsia="仿宋" w:cs="仿宋"/>
          <w:sz w:val="28"/>
          <w:szCs w:val="28"/>
        </w:rPr>
        <w:t>方违反本合同第</w:t>
      </w:r>
      <w:r>
        <w:rPr>
          <w:rFonts w:hint="eastAsia" w:ascii="仿宋" w:hAnsi="仿宋" w:eastAsia="仿宋" w:cs="仿宋"/>
          <w:sz w:val="28"/>
          <w:szCs w:val="28"/>
          <w:u w:val="single"/>
        </w:rPr>
        <w:t>三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u w:val="single"/>
        </w:rPr>
        <w:t>四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u w:val="single"/>
        </w:rPr>
        <w:t>五</w:t>
      </w:r>
      <w:r>
        <w:rPr>
          <w:rFonts w:hint="eastAsia" w:ascii="仿宋" w:hAnsi="仿宋" w:eastAsia="仿宋" w:cs="仿宋"/>
          <w:sz w:val="28"/>
          <w:szCs w:val="28"/>
        </w:rPr>
        <w:t>条约定，应当</w:t>
      </w:r>
      <w:r>
        <w:rPr>
          <w:rFonts w:hint="eastAsia" w:ascii="仿宋" w:hAnsi="仿宋" w:eastAsia="仿宋" w:cs="仿宋"/>
          <w:sz w:val="28"/>
          <w:szCs w:val="28"/>
          <w:u w:val="single"/>
        </w:rPr>
        <w:t>赔偿乙方合同金额10%的违约金（支付违约金或损失赔偿额的计算方法）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；</w:t>
      </w:r>
    </w:p>
    <w:p w14:paraId="20ACEE79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乙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方违反本合同第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一、二、四、五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条约定，应当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赔偿甲方合同金额10%的违约金（支付违约金或损失赔偿额的计算方法），并退还甲方已经支付的费用。</w:t>
      </w:r>
    </w:p>
    <w:p w14:paraId="7B8B43BF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第十条  双方确定，在本合同有效期内，甲方指</w:t>
      </w:r>
      <w:r>
        <w:rPr>
          <w:rFonts w:hint="eastAsia" w:ascii="仿宋" w:hAnsi="仿宋" w:eastAsia="仿宋" w:cs="仿宋"/>
          <w:sz w:val="28"/>
          <w:szCs w:val="28"/>
          <w:highlight w:val="yellow"/>
        </w:rPr>
        <w:t>定</w:t>
      </w:r>
      <w:r>
        <w:rPr>
          <w:rFonts w:hint="eastAsia" w:ascii="仿宋" w:hAnsi="仿宋" w:eastAsia="仿宋" w:cs="仿宋"/>
          <w:sz w:val="28"/>
          <w:szCs w:val="28"/>
          <w:highlight w:val="yellow"/>
          <w:u w:val="single"/>
          <w:lang w:val="en-US" w:eastAsia="zh-CN"/>
        </w:rPr>
        <w:t xml:space="preserve">  余海滨  </w:t>
      </w:r>
      <w:r>
        <w:rPr>
          <w:rFonts w:hint="eastAsia" w:ascii="仿宋" w:hAnsi="仿宋" w:eastAsia="仿宋" w:cs="仿宋"/>
          <w:sz w:val="28"/>
          <w:szCs w:val="28"/>
          <w:highlight w:val="yellow"/>
        </w:rPr>
        <w:t>为</w:t>
      </w:r>
      <w:r>
        <w:rPr>
          <w:rFonts w:hint="eastAsia" w:ascii="仿宋" w:hAnsi="仿宋" w:eastAsia="仿宋" w:cs="仿宋"/>
          <w:sz w:val="28"/>
          <w:szCs w:val="28"/>
        </w:rPr>
        <w:t>甲方项目联系人，乙方指定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张越峰   </w:t>
      </w:r>
      <w:r>
        <w:rPr>
          <w:rFonts w:hint="eastAsia" w:ascii="仿宋" w:hAnsi="仿宋" w:eastAsia="仿宋" w:cs="仿宋"/>
          <w:sz w:val="28"/>
          <w:szCs w:val="28"/>
        </w:rPr>
        <w:t>为乙方项目联系人。项目联系人承担以下责任：</w:t>
      </w:r>
    </w:p>
    <w:p w14:paraId="2FA6AD74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1．</w:t>
      </w:r>
      <w:r>
        <w:rPr>
          <w:rFonts w:hint="eastAsia" w:ascii="仿宋" w:hAnsi="仿宋" w:eastAsia="仿宋" w:cs="仿宋"/>
          <w:sz w:val="28"/>
          <w:szCs w:val="28"/>
          <w:u w:val="single"/>
        </w:rPr>
        <w:t>协调项目进展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24570754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2．</w:t>
      </w:r>
      <w:r>
        <w:rPr>
          <w:rFonts w:hint="eastAsia" w:ascii="仿宋" w:hAnsi="仿宋" w:eastAsia="仿宋" w:cs="仿宋"/>
          <w:sz w:val="28"/>
          <w:szCs w:val="28"/>
          <w:u w:val="single"/>
        </w:rPr>
        <w:t>协调项目过程中遇到的问题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36200E07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3．协助完成项目验收工作。</w:t>
      </w:r>
    </w:p>
    <w:p w14:paraId="54D4E26D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一方变更项目联系人的，应当及时以书面形式通知另一方。未及时通知并影响本合同履行或造成损失的，应承担相应的责任。</w:t>
      </w:r>
    </w:p>
    <w:p w14:paraId="5DCA3F8B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第十一条  双方确定，出现下列情形，致使本合同的履行成为不必要或不可能的，可以解除本合同：</w:t>
      </w:r>
    </w:p>
    <w:p w14:paraId="2E9E18B1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1．</w:t>
      </w:r>
      <w:r>
        <w:rPr>
          <w:rFonts w:hint="eastAsia" w:ascii="仿宋" w:hAnsi="仿宋" w:eastAsia="仿宋" w:cs="仿宋"/>
          <w:sz w:val="28"/>
          <w:szCs w:val="28"/>
          <w:u w:val="single"/>
        </w:rPr>
        <w:t>发生不可抗力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4D3920FC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2．</w:t>
      </w:r>
      <w:r>
        <w:rPr>
          <w:rFonts w:hint="eastAsia" w:ascii="仿宋" w:hAnsi="仿宋" w:eastAsia="仿宋" w:cs="仿宋"/>
          <w:sz w:val="28"/>
          <w:szCs w:val="28"/>
          <w:u w:val="single"/>
        </w:rPr>
        <w:t>双方协商一致予以终止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798AD7D8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第十二条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双方因履行本合同而发生的争议，应协商、调解解决。</w:t>
      </w:r>
    </w:p>
    <w:p w14:paraId="1F40698B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协商、调解不成的，确定按以下第</w:t>
      </w:r>
      <w:r>
        <w:rPr>
          <w:rFonts w:hint="eastAsia" w:ascii="仿宋" w:hAnsi="仿宋" w:eastAsia="仿宋" w:cs="仿宋"/>
          <w:sz w:val="28"/>
          <w:szCs w:val="28"/>
          <w:u w:val="single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种方式处理：</w:t>
      </w:r>
    </w:p>
    <w:p w14:paraId="35599033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1．提交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郑州   </w:t>
      </w:r>
      <w:r>
        <w:rPr>
          <w:rFonts w:hint="eastAsia" w:ascii="仿宋" w:hAnsi="仿宋" w:eastAsia="仿宋" w:cs="仿宋"/>
          <w:sz w:val="28"/>
          <w:szCs w:val="28"/>
        </w:rPr>
        <w:t>仲裁委员会仲裁；</w:t>
      </w:r>
    </w:p>
    <w:p w14:paraId="2FEF948D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2．依法向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甲方所在地  </w:t>
      </w:r>
      <w:r>
        <w:rPr>
          <w:rFonts w:hint="eastAsia" w:ascii="仿宋" w:hAnsi="仿宋" w:eastAsia="仿宋" w:cs="仿宋"/>
          <w:sz w:val="28"/>
          <w:szCs w:val="28"/>
        </w:rPr>
        <w:t>人民法院起诉。</w:t>
      </w:r>
    </w:p>
    <w:p w14:paraId="7312E79B">
      <w:pPr>
        <w:spacing w:line="360" w:lineRule="auto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sz w:val="28"/>
          <w:szCs w:val="28"/>
        </w:rPr>
        <w:t>第十三条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与履行本合同有关的下列技术文件，经双方以</w:t>
      </w:r>
      <w:r>
        <w:rPr>
          <w:rFonts w:hint="eastAsia" w:ascii="仿宋" w:hAnsi="仿宋" w:eastAsia="仿宋" w:cs="仿宋"/>
          <w:sz w:val="28"/>
          <w:szCs w:val="28"/>
          <w:u w:val="single"/>
        </w:rPr>
        <w:t>协商讨论</w:t>
      </w:r>
      <w:r>
        <w:rPr>
          <w:rFonts w:hint="eastAsia" w:ascii="仿宋" w:hAnsi="仿宋" w:eastAsia="仿宋" w:cs="仿宋"/>
          <w:sz w:val="28"/>
          <w:szCs w:val="28"/>
        </w:rPr>
        <w:t>方式确认后，为本合同的组成部分：</w:t>
      </w:r>
    </w:p>
    <w:p w14:paraId="787466A2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1．技术背景资料：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无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1204FE55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2．可行性论证报告：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无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6554E41A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3．技术评价报告：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无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4BAFC6DC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4．技术标准和规范：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无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78A12C76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5．原始设计和工艺文件：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无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233480CB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6．其他：</w:t>
      </w:r>
      <w:r>
        <w:rPr>
          <w:rFonts w:hint="eastAsia" w:ascii="仿宋" w:hAnsi="仿宋" w:eastAsia="仿宋" w:cs="仿宋"/>
          <w:sz w:val="28"/>
          <w:szCs w:val="28"/>
          <w:u w:val="single"/>
        </w:rPr>
        <w:t>无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4CFB39F7">
      <w:pPr>
        <w:spacing w:line="360" w:lineRule="auto"/>
        <w:ind w:firstLine="3402" w:firstLineChars="1215"/>
        <w:rPr>
          <w:sz w:val="28"/>
          <w:szCs w:val="28"/>
        </w:rPr>
      </w:pPr>
      <w:bookmarkStart w:id="2" w:name="bookmark19"/>
      <w:bookmarkEnd w:id="2"/>
    </w:p>
    <w:p w14:paraId="1452B996">
      <w:pPr>
        <w:spacing w:line="360" w:lineRule="auto"/>
        <w:rPr>
          <w:sz w:val="28"/>
          <w:szCs w:val="28"/>
        </w:rPr>
      </w:pPr>
      <w:bookmarkStart w:id="3" w:name="_GoBack"/>
      <w:r>
        <w:drawing>
          <wp:inline distT="0" distB="0" distL="114300" distR="114300">
            <wp:extent cx="6186170" cy="8743950"/>
            <wp:effectExtent l="0" t="0" r="127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汉仪劲楷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宋简">
    <w:panose1 w:val="02010600000101010101"/>
    <w:charset w:val="80"/>
    <w:family w:val="auto"/>
    <w:pitch w:val="default"/>
    <w:sig w:usb0="800002BF" w:usb1="184F6CF8" w:usb2="00000012" w:usb3="00000000" w:csb0="00020001" w:csb1="00000000"/>
  </w:font>
  <w:font w:name="汉仪字酷堂长林体W">
    <w:panose1 w:val="00020600040101010101"/>
    <w:charset w:val="86"/>
    <w:family w:val="auto"/>
    <w:pitch w:val="default"/>
    <w:sig w:usb0="8000003F" w:usb1="1AC104FA" w:usb2="00000016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3793319"/>
      <w:docPartObj>
        <w:docPartGallery w:val="autotext"/>
      </w:docPartObj>
    </w:sdtPr>
    <w:sdtContent>
      <w:p w14:paraId="310F6132"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B3E391D"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A7FA49">
    <w:pPr>
      <w:pStyle w:val="2"/>
      <w:jc w:val="center"/>
    </w:pPr>
  </w:p>
  <w:p w14:paraId="40B6F0DA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ADA844"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6F8E04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F53E5D"/>
    <w:multiLevelType w:val="multilevel"/>
    <w:tmpl w:val="5AF53E5D"/>
    <w:lvl w:ilvl="0" w:tentative="0">
      <w:start w:val="1"/>
      <w:numFmt w:val="japaneseCounting"/>
      <w:lvlText w:val="%1、"/>
      <w:lvlJc w:val="left"/>
      <w:pPr>
        <w:tabs>
          <w:tab w:val="left" w:pos="1290"/>
        </w:tabs>
        <w:ind w:left="1290" w:hanging="720"/>
      </w:pPr>
      <w:rPr>
        <w:rFonts w:hint="eastAsia" w:eastAsia="宋体"/>
      </w:rPr>
    </w:lvl>
    <w:lvl w:ilvl="1" w:tentative="0">
      <w:start w:val="1"/>
      <w:numFmt w:val="lowerLetter"/>
      <w:lvlText w:val="%2)"/>
      <w:lvlJc w:val="left"/>
      <w:pPr>
        <w:tabs>
          <w:tab w:val="left" w:pos="1410"/>
        </w:tabs>
        <w:ind w:left="141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830"/>
        </w:tabs>
        <w:ind w:left="1830" w:hanging="420"/>
      </w:pPr>
    </w:lvl>
    <w:lvl w:ilvl="3" w:tentative="0">
      <w:start w:val="1"/>
      <w:numFmt w:val="decimal"/>
      <w:lvlText w:val="%4."/>
      <w:lvlJc w:val="left"/>
      <w:pPr>
        <w:tabs>
          <w:tab w:val="left" w:pos="2250"/>
        </w:tabs>
        <w:ind w:left="225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670"/>
        </w:tabs>
        <w:ind w:left="267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090"/>
        </w:tabs>
        <w:ind w:left="3090" w:hanging="420"/>
      </w:pPr>
    </w:lvl>
    <w:lvl w:ilvl="6" w:tentative="0">
      <w:start w:val="1"/>
      <w:numFmt w:val="decimal"/>
      <w:lvlText w:val="%7."/>
      <w:lvlJc w:val="left"/>
      <w:pPr>
        <w:tabs>
          <w:tab w:val="left" w:pos="3510"/>
        </w:tabs>
        <w:ind w:left="351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930"/>
        </w:tabs>
        <w:ind w:left="393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350"/>
        </w:tabs>
        <w:ind w:left="4350" w:hanging="420"/>
      </w:pPr>
    </w:lvl>
  </w:abstractNum>
  <w:abstractNum w:abstractNumId="1">
    <w:nsid w:val="7D6EAAE8"/>
    <w:multiLevelType w:val="singleLevel"/>
    <w:tmpl w:val="7D6EAAE8"/>
    <w:lvl w:ilvl="0" w:tentative="0">
      <w:start w:val="1"/>
      <w:numFmt w:val="decimal"/>
      <w:suff w:val="nothing"/>
      <w:lvlText w:val="%1．"/>
      <w:lvlJc w:val="left"/>
      <w:pPr>
        <w:ind w:left="70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4EECE2"/>
    <w:rsid w:val="048E1DAB"/>
    <w:rsid w:val="0B575E87"/>
    <w:rsid w:val="0ED230E8"/>
    <w:rsid w:val="1B6E15F2"/>
    <w:rsid w:val="3F2F8015"/>
    <w:rsid w:val="42247D50"/>
    <w:rsid w:val="46E16E87"/>
    <w:rsid w:val="4B4EECE2"/>
    <w:rsid w:val="5CF9B72E"/>
    <w:rsid w:val="5D1F6117"/>
    <w:rsid w:val="5DFFF60E"/>
    <w:rsid w:val="5FFF052F"/>
    <w:rsid w:val="77F93785"/>
    <w:rsid w:val="7BE66381"/>
    <w:rsid w:val="7E5E8C0C"/>
    <w:rsid w:val="7FFB6031"/>
    <w:rsid w:val="983F9B48"/>
    <w:rsid w:val="DDAF819A"/>
    <w:rsid w:val="DFFEEDDF"/>
    <w:rsid w:val="EFFB5C68"/>
    <w:rsid w:val="F5FBA9AD"/>
    <w:rsid w:val="FC23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24"/>
      <w:szCs w:val="24"/>
      <w:lang w:eastAsia="zh-CN"/>
    </w:rPr>
  </w:style>
  <w:style w:type="character" w:styleId="7">
    <w:name w:val="page number"/>
    <w:basedOn w:val="6"/>
    <w:qFormat/>
    <w:uiPriority w:val="0"/>
  </w:style>
  <w:style w:type="paragraph" w:customStyle="1" w:styleId="8">
    <w:name w:val="zw4号宋"/>
    <w:basedOn w:val="9"/>
    <w:qFormat/>
    <w:uiPriority w:val="0"/>
    <w:pPr>
      <w:ind w:firstLine="200"/>
    </w:pPr>
    <w:rPr>
      <w:rFonts w:asciiTheme="minorEastAsia" w:hAnsiTheme="minorEastAsia" w:eastAsiaTheme="minorEastAsia"/>
      <w:sz w:val="28"/>
      <w:szCs w:val="32"/>
    </w:rPr>
  </w:style>
  <w:style w:type="paragraph" w:customStyle="1" w:styleId="9">
    <w:name w:val="zw1"/>
    <w:basedOn w:val="1"/>
    <w:qFormat/>
    <w:uiPriority w:val="0"/>
    <w:pPr>
      <w:spacing w:line="360" w:lineRule="auto"/>
      <w:ind w:firstLine="480" w:firstLineChars="200"/>
    </w:pPr>
    <w:rPr>
      <w:rFonts w:cstheme="minorBidi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7177</Words>
  <Characters>7575</Characters>
  <Lines>0</Lines>
  <Paragraphs>0</Paragraphs>
  <TotalTime>18</TotalTime>
  <ScaleCrop>false</ScaleCrop>
  <LinksUpToDate>false</LinksUpToDate>
  <CharactersWithSpaces>8088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2025-09-25T02:34:00Z</dcterms:created>
  <dc:creator>LXW</dc:creator>
  <cp:lastModifiedBy>微信用户</cp:lastModifiedBy>
  <dcterms:modified xsi:type="dcterms:W3CDTF">2025-10-16T03:39:41Z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B847D5680CC54FF58DC715B728CE8B3F_13</vt:lpwstr>
  </property>
  <property fmtid="{D5CDD505-2E9C-101B-9397-08002B2CF9AE}" pid="4" name="KSOTemplateDocerSaveRecord">
    <vt:lpwstr>eyJoZGlkIjoiZWQ0ZDA0ZmQ5MTAyNjgxMmUwNWNiZmJjNTM2ZmQ2OWQiLCJ1c2VySWQiOiIxMjk0NDY3MDAzIn0=</vt:lpwstr>
  </property>
</Properties>
</file>