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B49B3">
      <w:pPr>
        <w:spacing w:before="62"/>
        <w:ind w:right="0"/>
        <w:jc w:val="left"/>
        <w:rPr>
          <w:sz w:val="28"/>
        </w:rPr>
      </w:pPr>
    </w:p>
    <w:p w14:paraId="44B2A022">
      <w:pPr>
        <w:pStyle w:val="3"/>
        <w:spacing w:before="12"/>
        <w:rPr>
          <w:sz w:val="37"/>
        </w:rPr>
      </w:pPr>
      <w:r>
        <w:br w:type="column"/>
      </w:r>
    </w:p>
    <w:p w14:paraId="24ADCFE9">
      <w:pPr>
        <w:spacing w:after="0"/>
        <w:jc w:val="left"/>
        <w:rPr>
          <w:sz w:val="40"/>
        </w:rPr>
      </w:pPr>
    </w:p>
    <w:p w14:paraId="12EA1E7B">
      <w:pPr>
        <w:pStyle w:val="2"/>
        <w:sectPr>
          <w:pgSz w:w="11910" w:h="16840"/>
          <w:pgMar w:top="420" w:right="1300" w:bottom="0" w:left="1460" w:header="720" w:footer="720" w:gutter="0"/>
          <w:cols w:equalWidth="0" w:num="2">
            <w:col w:w="867" w:space="1154"/>
            <w:col w:w="7129"/>
          </w:cols>
        </w:sectPr>
      </w:pPr>
    </w:p>
    <w:p w14:paraId="2B5F67AB">
      <w:pPr>
        <w:tabs>
          <w:tab w:val="left" w:pos="3796"/>
          <w:tab w:val="left" w:pos="4445"/>
          <w:tab w:val="left" w:pos="5813"/>
        </w:tabs>
        <w:spacing w:before="46"/>
        <w:ind w:left="767" w:right="0" w:firstLine="0"/>
        <w:jc w:val="center"/>
        <w:rPr>
          <w:sz w:val="36"/>
        </w:rPr>
      </w:pPr>
      <w:r>
        <w:rPr>
          <w:rFonts w:hint="eastAsia"/>
          <w:sz w:val="36"/>
          <w:u w:val="single"/>
          <w:lang w:val="en-US" w:eastAsia="zh-CN"/>
        </w:rPr>
        <w:t>教卫体局2025</w:t>
      </w:r>
      <w:r>
        <w:rPr>
          <w:sz w:val="36"/>
          <w:u w:val="single"/>
        </w:rPr>
        <w:t>年</w:t>
      </w:r>
      <w:r>
        <w:rPr>
          <w:rFonts w:hint="eastAsia"/>
          <w:sz w:val="36"/>
          <w:u w:val="single"/>
          <w:lang w:val="en-US" w:eastAsia="zh-CN"/>
        </w:rPr>
        <w:t>10月至11</w:t>
      </w:r>
      <w:r>
        <w:rPr>
          <w:sz w:val="36"/>
          <w:u w:val="single"/>
        </w:rPr>
        <w:t>月</w:t>
      </w:r>
      <w:r>
        <w:rPr>
          <w:sz w:val="36"/>
        </w:rPr>
        <w:t>政府采购</w:t>
      </w:r>
      <w:r>
        <w:rPr>
          <w:spacing w:val="-3"/>
          <w:sz w:val="36"/>
        </w:rPr>
        <w:t>意</w:t>
      </w:r>
      <w:r>
        <w:rPr>
          <w:sz w:val="36"/>
        </w:rPr>
        <w:t>向</w:t>
      </w:r>
    </w:p>
    <w:p w14:paraId="6D412DD1">
      <w:pPr>
        <w:pStyle w:val="3"/>
        <w:rPr>
          <w:sz w:val="20"/>
        </w:rPr>
      </w:pPr>
    </w:p>
    <w:p w14:paraId="69006B9A">
      <w:pPr>
        <w:pStyle w:val="3"/>
        <w:spacing w:before="2"/>
        <w:rPr>
          <w:sz w:val="24"/>
        </w:rPr>
      </w:pPr>
    </w:p>
    <w:p w14:paraId="5651725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line="240" w:lineRule="auto"/>
        <w:ind w:left="125" w:right="176" w:firstLine="641"/>
        <w:jc w:val="both"/>
        <w:textAlignment w:val="auto"/>
      </w:pPr>
      <w:r>
        <w:rPr>
          <w:spacing w:val="-8"/>
        </w:rPr>
        <w:t>为便于供应商及时了解政府采购信息，根据郑州航空港实验</w:t>
      </w:r>
      <w:r>
        <w:rPr>
          <w:spacing w:val="-9"/>
        </w:rPr>
        <w:t>区《财政局关于全面推行政府采购意向公开工作的通知》</w:t>
      </w:r>
      <w:r>
        <w:t>（</w:t>
      </w:r>
      <w:r>
        <w:rPr>
          <w:spacing w:val="-6"/>
        </w:rPr>
        <w:t>郑港</w:t>
      </w:r>
      <w:r>
        <w:t>财〔</w:t>
      </w:r>
      <w:r>
        <w:rPr>
          <w:rFonts w:ascii="Times New Roman" w:eastAsia="Times New Roman"/>
        </w:rPr>
        <w:t>2021</w:t>
      </w:r>
      <w:r>
        <w:t>〕号）等有关规定，现将</w:t>
      </w:r>
      <w:r>
        <w:rPr>
          <w:rFonts w:hint="eastAsia"/>
          <w:u w:val="single"/>
          <w:lang w:val="en-US" w:eastAsia="zh-CN"/>
        </w:rPr>
        <w:t>教卫体局2025年10月至11月</w:t>
      </w:r>
      <w:r>
        <w:t>采购意向公开如下：</w:t>
      </w:r>
    </w:p>
    <w:tbl>
      <w:tblPr>
        <w:tblStyle w:val="4"/>
        <w:tblpPr w:leftFromText="180" w:rightFromText="180" w:vertAnchor="page" w:horzAnchor="page" w:tblpX="1225" w:tblpY="4353"/>
        <w:tblOverlap w:val="never"/>
        <w:tblW w:w="1002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1232"/>
        <w:gridCol w:w="2837"/>
        <w:gridCol w:w="1406"/>
        <w:gridCol w:w="1455"/>
        <w:gridCol w:w="1341"/>
        <w:gridCol w:w="1123"/>
      </w:tblGrid>
      <w:tr w14:paraId="667C7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</w:trPr>
        <w:tc>
          <w:tcPr>
            <w:tcW w:w="629" w:type="dxa"/>
            <w:noWrap w:val="0"/>
            <w:vAlign w:val="top"/>
          </w:tcPr>
          <w:p w14:paraId="289CDBED">
            <w:pPr>
              <w:pStyle w:val="6"/>
              <w:spacing w:before="6" w:line="240" w:lineRule="auto"/>
              <w:rPr>
                <w:sz w:val="40"/>
              </w:rPr>
            </w:pPr>
          </w:p>
          <w:p w14:paraId="19F7E98B">
            <w:pPr>
              <w:pStyle w:val="6"/>
              <w:spacing w:before="1" w:line="240" w:lineRule="auto"/>
              <w:ind w:left="153" w:right="144"/>
              <w:rPr>
                <w:rFonts w:hint="eastAsia" w:ascii="Microsoft JhengHei" w:eastAsia="Microsoft JhengHei"/>
                <w:b/>
                <w:sz w:val="32"/>
              </w:rPr>
            </w:pPr>
            <w:r>
              <w:rPr>
                <w:rFonts w:hint="eastAsia" w:ascii="Microsoft JhengHei" w:eastAsia="Microsoft JhengHei"/>
                <w:b/>
                <w:color w:val="232323"/>
                <w:sz w:val="32"/>
              </w:rPr>
              <w:t>序号</w:t>
            </w:r>
          </w:p>
        </w:tc>
        <w:tc>
          <w:tcPr>
            <w:tcW w:w="1232" w:type="dxa"/>
            <w:noWrap w:val="0"/>
            <w:vAlign w:val="top"/>
          </w:tcPr>
          <w:p w14:paraId="3F890B45">
            <w:pPr>
              <w:pStyle w:val="6"/>
              <w:spacing w:line="240" w:lineRule="auto"/>
              <w:ind w:right="308"/>
              <w:jc w:val="both"/>
              <w:rPr>
                <w:rFonts w:hint="eastAsia" w:ascii="Microsoft JhengHei" w:eastAsia="Microsoft JhengHei"/>
                <w:b/>
                <w:sz w:val="32"/>
              </w:rPr>
            </w:pPr>
            <w:r>
              <w:rPr>
                <w:rFonts w:hint="eastAsia" w:ascii="Microsoft JhengHei" w:eastAsia="Microsoft JhengHei"/>
                <w:b/>
                <w:sz w:val="32"/>
              </w:rPr>
              <w:t>采购项目名称</w:t>
            </w:r>
          </w:p>
        </w:tc>
        <w:tc>
          <w:tcPr>
            <w:tcW w:w="2837" w:type="dxa"/>
            <w:noWrap w:val="0"/>
            <w:vAlign w:val="top"/>
          </w:tcPr>
          <w:p w14:paraId="0D824A60">
            <w:pPr>
              <w:pStyle w:val="6"/>
              <w:spacing w:before="1"/>
              <w:rPr>
                <w:sz w:val="38"/>
              </w:rPr>
            </w:pPr>
          </w:p>
          <w:p w14:paraId="68C28446">
            <w:pPr>
              <w:pStyle w:val="6"/>
              <w:ind w:left="455"/>
              <w:rPr>
                <w:rFonts w:hint="eastAsia" w:ascii="Microsoft JhengHei" w:eastAsia="Microsoft JhengHei"/>
                <w:b/>
                <w:sz w:val="32"/>
              </w:rPr>
            </w:pPr>
            <w:r>
              <w:rPr>
                <w:rFonts w:hint="eastAsia" w:ascii="Microsoft JhengHei" w:eastAsia="Microsoft JhengHei"/>
                <w:b/>
                <w:sz w:val="32"/>
              </w:rPr>
              <w:t>采购需求概况</w:t>
            </w:r>
          </w:p>
        </w:tc>
        <w:tc>
          <w:tcPr>
            <w:tcW w:w="1406" w:type="dxa"/>
            <w:noWrap w:val="0"/>
            <w:vAlign w:val="top"/>
          </w:tcPr>
          <w:p w14:paraId="56CEB26E">
            <w:pPr>
              <w:pStyle w:val="6"/>
              <w:spacing w:before="7"/>
              <w:rPr>
                <w:sz w:val="25"/>
              </w:rPr>
            </w:pPr>
          </w:p>
          <w:p w14:paraId="33C501F1">
            <w:pPr>
              <w:pStyle w:val="6"/>
              <w:spacing w:line="455" w:lineRule="exact"/>
              <w:ind w:left="196"/>
              <w:rPr>
                <w:rFonts w:hint="eastAsia" w:ascii="Microsoft JhengHei" w:eastAsia="Microsoft JhengHei"/>
                <w:b/>
                <w:sz w:val="32"/>
              </w:rPr>
            </w:pPr>
            <w:r>
              <w:rPr>
                <w:rFonts w:hint="eastAsia" w:ascii="Microsoft JhengHei" w:eastAsia="Microsoft JhengHei"/>
                <w:b/>
                <w:sz w:val="32"/>
              </w:rPr>
              <w:t>预算金额</w:t>
            </w:r>
          </w:p>
          <w:p w14:paraId="4EC73ACB">
            <w:pPr>
              <w:pStyle w:val="6"/>
              <w:spacing w:line="455" w:lineRule="exact"/>
              <w:ind w:left="196"/>
              <w:rPr>
                <w:rFonts w:hint="eastAsia" w:ascii="Microsoft JhengHei" w:eastAsia="Microsoft JhengHei"/>
                <w:b/>
                <w:sz w:val="32"/>
              </w:rPr>
            </w:pPr>
            <w:r>
              <w:rPr>
                <w:rFonts w:hint="eastAsia" w:ascii="Microsoft JhengHei" w:eastAsia="Microsoft JhengHei"/>
                <w:b/>
                <w:sz w:val="32"/>
              </w:rPr>
              <w:t>（万元）</w:t>
            </w:r>
          </w:p>
        </w:tc>
        <w:tc>
          <w:tcPr>
            <w:tcW w:w="1455" w:type="dxa"/>
            <w:noWrap w:val="0"/>
            <w:vAlign w:val="top"/>
          </w:tcPr>
          <w:p w14:paraId="0D6F1BB4">
            <w:pPr>
              <w:pStyle w:val="6"/>
              <w:spacing w:line="240" w:lineRule="auto"/>
              <w:ind w:right="45"/>
              <w:jc w:val="both"/>
              <w:rPr>
                <w:rFonts w:hint="eastAsia" w:ascii="Microsoft JhengHei" w:eastAsia="Microsoft JhengHei"/>
                <w:b/>
                <w:sz w:val="32"/>
              </w:rPr>
            </w:pPr>
            <w:r>
              <w:rPr>
                <w:rFonts w:hint="eastAsia" w:ascii="Microsoft JhengHei" w:eastAsia="Microsoft JhengHei"/>
                <w:b/>
                <w:sz w:val="32"/>
              </w:rPr>
              <w:t>预计采购时间（填写到月）</w:t>
            </w:r>
          </w:p>
        </w:tc>
        <w:tc>
          <w:tcPr>
            <w:tcW w:w="1341" w:type="dxa"/>
            <w:noWrap w:val="0"/>
            <w:vAlign w:val="top"/>
          </w:tcPr>
          <w:p w14:paraId="5D8E630A">
            <w:pPr>
              <w:pStyle w:val="6"/>
              <w:spacing w:before="1"/>
              <w:rPr>
                <w:sz w:val="38"/>
              </w:rPr>
            </w:pPr>
          </w:p>
          <w:p w14:paraId="6E218F64">
            <w:pPr>
              <w:pStyle w:val="6"/>
              <w:ind w:left="240"/>
              <w:rPr>
                <w:rFonts w:hint="eastAsia" w:ascii="Microsoft JhengHei" w:eastAsia="Microsoft JhengHei"/>
                <w:b/>
                <w:sz w:val="32"/>
              </w:rPr>
            </w:pPr>
            <w:r>
              <w:rPr>
                <w:rFonts w:hint="eastAsia" w:ascii="Microsoft JhengHei" w:eastAsia="Microsoft JhengHei"/>
                <w:b/>
                <w:sz w:val="32"/>
              </w:rPr>
              <w:t>备注</w:t>
            </w:r>
          </w:p>
        </w:tc>
        <w:tc>
          <w:tcPr>
            <w:tcW w:w="1123" w:type="dxa"/>
            <w:noWrap w:val="0"/>
            <w:vAlign w:val="top"/>
          </w:tcPr>
          <w:p w14:paraId="5C1E18B0">
            <w:pPr>
              <w:pStyle w:val="6"/>
              <w:ind w:left="240"/>
              <w:rPr>
                <w:rFonts w:hint="eastAsia" w:ascii="Microsoft JhengHei" w:eastAsia="Microsoft JhengHei"/>
                <w:b/>
                <w:sz w:val="32"/>
              </w:rPr>
            </w:pPr>
          </w:p>
        </w:tc>
      </w:tr>
      <w:tr w14:paraId="64D44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6" w:hRule="atLeast"/>
        </w:trPr>
        <w:tc>
          <w:tcPr>
            <w:tcW w:w="629" w:type="dxa"/>
            <w:noWrap w:val="0"/>
            <w:vAlign w:val="top"/>
          </w:tcPr>
          <w:p w14:paraId="7B6BD1E3">
            <w:pPr>
              <w:pStyle w:val="6"/>
              <w:rPr>
                <w:rFonts w:hint="eastAsia" w:ascii="Times New Roman"/>
                <w:sz w:val="30"/>
                <w:lang w:val="en-US" w:eastAsia="zh-CN"/>
              </w:rPr>
            </w:pPr>
          </w:p>
          <w:p w14:paraId="1587BF65">
            <w:pPr>
              <w:pStyle w:val="6"/>
              <w:rPr>
                <w:rFonts w:hint="eastAsia" w:ascii="Times New Roman"/>
                <w:sz w:val="30"/>
                <w:lang w:val="en-US" w:eastAsia="zh-CN"/>
              </w:rPr>
            </w:pPr>
          </w:p>
          <w:p w14:paraId="5B7F2DCB">
            <w:pPr>
              <w:pStyle w:val="6"/>
              <w:rPr>
                <w:rFonts w:hint="eastAsia" w:ascii="Times New Roman"/>
                <w:sz w:val="30"/>
                <w:lang w:val="en-US" w:eastAsia="zh-CN"/>
              </w:rPr>
            </w:pPr>
          </w:p>
          <w:p w14:paraId="7A428AA1">
            <w:pPr>
              <w:pStyle w:val="6"/>
              <w:rPr>
                <w:rFonts w:hint="eastAsia" w:ascii="Times New Roman"/>
                <w:sz w:val="30"/>
                <w:lang w:val="en-US" w:eastAsia="zh-CN"/>
              </w:rPr>
            </w:pPr>
          </w:p>
          <w:p w14:paraId="6DDA3ECE">
            <w:pPr>
              <w:pStyle w:val="6"/>
              <w:rPr>
                <w:rFonts w:hint="eastAsia" w:ascii="Times New Roman"/>
                <w:sz w:val="30"/>
                <w:lang w:val="en-US" w:eastAsia="zh-CN"/>
              </w:rPr>
            </w:pPr>
          </w:p>
          <w:p w14:paraId="09CA9587">
            <w:pPr>
              <w:pStyle w:val="6"/>
              <w:rPr>
                <w:rFonts w:hint="eastAsia" w:ascii="Times New Roman"/>
                <w:sz w:val="30"/>
                <w:lang w:val="en-US" w:eastAsia="zh-CN"/>
              </w:rPr>
            </w:pPr>
          </w:p>
          <w:p w14:paraId="1B71F081">
            <w:pPr>
              <w:pStyle w:val="6"/>
              <w:rPr>
                <w:rFonts w:hint="eastAsia" w:ascii="Times New Roman"/>
                <w:sz w:val="30"/>
                <w:lang w:val="en-US" w:eastAsia="zh-CN"/>
              </w:rPr>
            </w:pPr>
          </w:p>
          <w:p w14:paraId="2B860B85">
            <w:pPr>
              <w:pStyle w:val="6"/>
              <w:rPr>
                <w:rFonts w:hint="eastAsia" w:ascii="Times New Roman"/>
                <w:sz w:val="30"/>
                <w:lang w:val="en-US" w:eastAsia="zh-CN"/>
              </w:rPr>
            </w:pPr>
          </w:p>
          <w:p w14:paraId="6FEE51D8">
            <w:pPr>
              <w:pStyle w:val="6"/>
              <w:rPr>
                <w:rFonts w:hint="eastAsia" w:ascii="Times New Roman" w:eastAsia="宋体"/>
                <w:sz w:val="30"/>
                <w:lang w:val="en-US" w:eastAsia="zh-CN"/>
              </w:rPr>
            </w:pPr>
          </w:p>
        </w:tc>
        <w:tc>
          <w:tcPr>
            <w:tcW w:w="1232" w:type="dxa"/>
            <w:noWrap w:val="0"/>
            <w:vAlign w:val="center"/>
          </w:tcPr>
          <w:p w14:paraId="51FDC05B">
            <w:pPr>
              <w:widowControl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color w:val="444444"/>
                <w:kern w:val="0"/>
                <w:sz w:val="24"/>
                <w:szCs w:val="24"/>
                <w:lang w:val="en-US" w:eastAsia="zh-CN" w:bidi="zh-CN"/>
              </w:rPr>
              <w:t>“人工智能+教育”示范项目</w:t>
            </w:r>
          </w:p>
        </w:tc>
        <w:tc>
          <w:tcPr>
            <w:tcW w:w="2837" w:type="dxa"/>
            <w:noWrap w:val="0"/>
            <w:vAlign w:val="top"/>
          </w:tcPr>
          <w:p w14:paraId="21039EF5">
            <w:pPr>
              <w:pStyle w:val="6"/>
              <w:spacing w:before="76"/>
              <w:rPr>
                <w:rFonts w:hint="eastAsia" w:cs="宋体"/>
                <w:color w:val="444444"/>
                <w:kern w:val="0"/>
                <w:sz w:val="24"/>
                <w:szCs w:val="24"/>
                <w:lang w:val="en-US" w:eastAsia="zh-CN" w:bidi="zh-CN"/>
              </w:rPr>
            </w:pPr>
          </w:p>
          <w:p w14:paraId="03B1F5F2">
            <w:pPr>
              <w:pStyle w:val="6"/>
              <w:spacing w:before="76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cs="宋体"/>
                <w:color w:val="444444"/>
                <w:kern w:val="0"/>
                <w:sz w:val="24"/>
                <w:szCs w:val="24"/>
                <w:lang w:val="en-US" w:eastAsia="zh-CN" w:bidi="zh-CN"/>
              </w:rPr>
              <w:t>为全面提升航空港区全域教育现代化水平，强化人工智能在校园管理、课堂教学、学生学习、教学研究、体育心育等方面的应用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 w:bidi="zh-CN"/>
              </w:rPr>
              <w:t>。</w:t>
            </w:r>
          </w:p>
        </w:tc>
        <w:tc>
          <w:tcPr>
            <w:tcW w:w="1406" w:type="dxa"/>
            <w:noWrap w:val="0"/>
            <w:vAlign w:val="top"/>
          </w:tcPr>
          <w:p w14:paraId="5291827D">
            <w:pPr>
              <w:pStyle w:val="6"/>
              <w:rPr>
                <w:rFonts w:hint="eastAsia"/>
                <w:sz w:val="28"/>
                <w:lang w:val="en-US" w:eastAsia="zh-CN"/>
              </w:rPr>
            </w:pPr>
          </w:p>
          <w:p w14:paraId="25AB0CDA">
            <w:pPr>
              <w:pStyle w:val="6"/>
              <w:rPr>
                <w:rFonts w:hint="eastAsia"/>
                <w:sz w:val="28"/>
                <w:lang w:val="en-US" w:eastAsia="zh-CN"/>
              </w:rPr>
            </w:pPr>
          </w:p>
          <w:p w14:paraId="70BBDB98">
            <w:pPr>
              <w:pStyle w:val="6"/>
              <w:rPr>
                <w:rFonts w:hint="eastAsia"/>
                <w:sz w:val="28"/>
                <w:lang w:val="en-US" w:eastAsia="zh-CN"/>
              </w:rPr>
            </w:pPr>
          </w:p>
          <w:p w14:paraId="03B90DFB">
            <w:pPr>
              <w:pStyle w:val="6"/>
              <w:rPr>
                <w:rFonts w:hint="eastAsia"/>
                <w:sz w:val="28"/>
                <w:lang w:val="en-US" w:eastAsia="zh-CN"/>
              </w:rPr>
            </w:pPr>
          </w:p>
          <w:p w14:paraId="6EBBDE96">
            <w:pPr>
              <w:pStyle w:val="6"/>
              <w:rPr>
                <w:rFonts w:hint="eastAsia"/>
                <w:sz w:val="28"/>
                <w:lang w:val="en-US" w:eastAsia="zh-CN"/>
              </w:rPr>
            </w:pPr>
          </w:p>
          <w:p w14:paraId="56DACA39">
            <w:pPr>
              <w:pStyle w:val="6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19829.56</w:t>
            </w:r>
          </w:p>
        </w:tc>
        <w:tc>
          <w:tcPr>
            <w:tcW w:w="1455" w:type="dxa"/>
            <w:noWrap w:val="0"/>
            <w:vAlign w:val="top"/>
          </w:tcPr>
          <w:p w14:paraId="5A6767AB">
            <w:pPr>
              <w:pStyle w:val="6"/>
              <w:rPr>
                <w:rFonts w:hint="eastAsia"/>
                <w:sz w:val="28"/>
                <w:lang w:val="en-US" w:eastAsia="zh-CN"/>
              </w:rPr>
            </w:pPr>
          </w:p>
          <w:p w14:paraId="4A661502">
            <w:pPr>
              <w:pStyle w:val="6"/>
              <w:rPr>
                <w:rFonts w:hint="eastAsia"/>
                <w:sz w:val="28"/>
                <w:lang w:val="en-US" w:eastAsia="zh-CN"/>
              </w:rPr>
            </w:pPr>
          </w:p>
          <w:p w14:paraId="6F2E075B">
            <w:pPr>
              <w:pStyle w:val="6"/>
              <w:rPr>
                <w:rFonts w:hint="eastAsia"/>
                <w:sz w:val="28"/>
                <w:lang w:val="en-US" w:eastAsia="zh-CN"/>
              </w:rPr>
            </w:pPr>
          </w:p>
          <w:p w14:paraId="09779C09">
            <w:pPr>
              <w:pStyle w:val="6"/>
              <w:rPr>
                <w:rFonts w:hint="eastAsia"/>
                <w:sz w:val="28"/>
                <w:lang w:val="en-US" w:eastAsia="zh-CN"/>
              </w:rPr>
            </w:pPr>
            <w:bookmarkStart w:id="0" w:name="_GoBack"/>
            <w:bookmarkEnd w:id="0"/>
          </w:p>
          <w:p w14:paraId="5136A2CD">
            <w:pPr>
              <w:pStyle w:val="6"/>
              <w:rPr>
                <w:rFonts w:hint="eastAsia"/>
                <w:sz w:val="28"/>
                <w:lang w:val="en-US" w:eastAsia="zh-CN"/>
              </w:rPr>
            </w:pPr>
          </w:p>
          <w:p w14:paraId="09D1C479">
            <w:pPr>
              <w:pStyle w:val="6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2025年10月</w:t>
            </w:r>
          </w:p>
        </w:tc>
        <w:tc>
          <w:tcPr>
            <w:tcW w:w="1341" w:type="dxa"/>
            <w:noWrap w:val="0"/>
            <w:vAlign w:val="top"/>
          </w:tcPr>
          <w:p w14:paraId="647885C3">
            <w:pPr>
              <w:pStyle w:val="6"/>
              <w:rPr>
                <w:sz w:val="28"/>
              </w:rPr>
            </w:pPr>
          </w:p>
        </w:tc>
        <w:tc>
          <w:tcPr>
            <w:tcW w:w="1123" w:type="dxa"/>
            <w:noWrap w:val="0"/>
            <w:vAlign w:val="top"/>
          </w:tcPr>
          <w:p w14:paraId="736D5BBA">
            <w:pPr>
              <w:pStyle w:val="6"/>
              <w:rPr>
                <w:sz w:val="28"/>
              </w:rPr>
            </w:pPr>
          </w:p>
        </w:tc>
      </w:tr>
    </w:tbl>
    <w:p w14:paraId="22B007C9">
      <w:pPr>
        <w:pStyle w:val="3"/>
        <w:spacing w:before="9" w:after="1"/>
        <w:rPr>
          <w:sz w:val="16"/>
        </w:rPr>
      </w:pPr>
    </w:p>
    <w:p w14:paraId="38EF15F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5" w:line="240" w:lineRule="auto"/>
        <w:ind w:left="125" w:right="176" w:firstLine="641"/>
        <w:textAlignment w:val="auto"/>
      </w:pPr>
      <w:r>
        <w:rPr>
          <w:spacing w:val="-6"/>
        </w:rPr>
        <w:t>本次公开的采购意向是本单位政府采购工作的初步安排，具</w:t>
      </w:r>
      <w:r>
        <w:t>体采购项目情况以相关采购公告和采购文件为准。</w:t>
      </w:r>
    </w:p>
    <w:p w14:paraId="6D33982B">
      <w:pPr>
        <w:pStyle w:val="3"/>
        <w:spacing w:before="8"/>
        <w:rPr>
          <w:sz w:val="41"/>
        </w:rPr>
      </w:pPr>
    </w:p>
    <w:p w14:paraId="6C5F7825">
      <w:pPr>
        <w:pStyle w:val="3"/>
        <w:tabs>
          <w:tab w:val="left" w:pos="7657"/>
          <w:tab w:val="left" w:pos="8233"/>
        </w:tabs>
        <w:spacing w:before="1" w:line="280" w:lineRule="auto"/>
        <w:ind w:right="172"/>
        <w:jc w:val="righ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郑州航空港经济综合实验区教育卫生体育局</w:t>
      </w:r>
    </w:p>
    <w:p w14:paraId="6D506963">
      <w:pPr>
        <w:pStyle w:val="3"/>
        <w:tabs>
          <w:tab w:val="left" w:pos="7657"/>
          <w:tab w:val="left" w:pos="8233"/>
        </w:tabs>
        <w:spacing w:before="1" w:line="280" w:lineRule="auto"/>
        <w:ind w:right="172" w:firstLine="6080" w:firstLineChars="1900"/>
      </w:pPr>
      <w:r>
        <w:rPr>
          <w:rFonts w:hint="eastAsia"/>
          <w:lang w:val="en-US" w:eastAsia="zh-CN"/>
        </w:rPr>
        <w:t>2025</w:t>
      </w:r>
      <w:r>
        <w:t>年</w:t>
      </w:r>
      <w:r>
        <w:rPr>
          <w:rFonts w:hint="eastAsia"/>
          <w:lang w:val="en-US" w:eastAsia="zh-CN"/>
        </w:rPr>
        <w:t>9月2</w:t>
      </w:r>
      <w:r>
        <w:t>日</w:t>
      </w:r>
    </w:p>
    <w:p w14:paraId="4FEC7A7D">
      <w:pPr>
        <w:pStyle w:val="3"/>
        <w:tabs>
          <w:tab w:val="left" w:pos="7657"/>
          <w:tab w:val="left" w:pos="8233"/>
        </w:tabs>
        <w:spacing w:before="1" w:line="280" w:lineRule="auto"/>
        <w:ind w:right="172"/>
        <w:rPr>
          <w:rFonts w:hint="default" w:eastAsia="宋体"/>
          <w:b/>
          <w:bCs/>
          <w:lang w:val="en-US" w:eastAsia="zh-CN"/>
        </w:rPr>
      </w:pPr>
    </w:p>
    <w:p w14:paraId="4D3C4998"/>
    <w:p w14:paraId="17AC5B32"/>
    <w:p w14:paraId="13A225B5"/>
    <w:sectPr>
      <w:type w:val="continuous"/>
      <w:pgSz w:w="11910" w:h="16840"/>
      <w:pgMar w:top="420" w:right="1300" w:bottom="0" w:left="14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5627A"/>
    <w:rsid w:val="2DBB654C"/>
    <w:rsid w:val="5605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328</Characters>
  <Lines>0</Lines>
  <Paragraphs>0</Paragraphs>
  <TotalTime>53</TotalTime>
  <ScaleCrop>false</ScaleCrop>
  <LinksUpToDate>false</LinksUpToDate>
  <CharactersWithSpaces>328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2025-04-15T01:23:00Z</dcterms:created>
  <dc:creator>57449</dc:creator>
  <cp:lastModifiedBy>張張張張張張杨</cp:lastModifiedBy>
  <dcterms:modified xsi:type="dcterms:W3CDTF">2025-09-02T07:18:16Z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eyJoZGlkIjoiYjc2ZTc1NjllMTBhOTI4YTIzNWQ1NTU4MzRkZGI0MjMiLCJ1c2VySWQiOiI2MDEzODY1NjQifQ==</vt:lpwstr>
  </property>
  <property fmtid="{D5CDD505-2E9C-101B-9397-08002B2CF9AE}" pid="4" name="ICV">
    <vt:lpwstr>D219DF7DBE7B47B9AF0C53A288CE7EB5_12</vt:lpwstr>
  </property>
</Properties>
</file>