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587B0">
      <w:pPr>
        <w:spacing w:line="360" w:lineRule="auto"/>
        <w:jc w:val="center"/>
        <w:rPr>
          <w:rFonts w:hint="eastAsia" w:ascii="宋体" w:hAnsi="宋体"/>
          <w:b/>
          <w:sz w:val="84"/>
          <w:szCs w:val="84"/>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bCs/>
          <w:sz w:val="72"/>
          <w:szCs w:val="72"/>
          <w:lang w:val="en-US" w:eastAsia="zh-CN"/>
        </w:rPr>
        <w:t>2025年孟州市河雍办钱庄村育苗大棚配套设施项目</w:t>
      </w:r>
    </w:p>
    <w:p w14:paraId="4B441DBA">
      <w:pPr>
        <w:spacing w:line="360" w:lineRule="auto"/>
        <w:jc w:val="both"/>
        <w:rPr>
          <w:rFonts w:hint="eastAsia" w:ascii="宋体" w:hAnsi="宋体"/>
          <w:b/>
          <w:sz w:val="84"/>
          <w:szCs w:val="84"/>
          <w14:shadow w14:blurRad="50800" w14:dist="38100" w14:dir="2700000" w14:sx="100000" w14:sy="100000" w14:kx="0" w14:ky="0" w14:algn="tl">
            <w14:srgbClr w14:val="000000">
              <w14:alpha w14:val="60000"/>
            </w14:srgbClr>
          </w14:shadow>
        </w:rPr>
      </w:pPr>
    </w:p>
    <w:p w14:paraId="1C4FE57F">
      <w:pPr>
        <w:spacing w:line="360" w:lineRule="auto"/>
        <w:jc w:val="center"/>
        <w:rPr>
          <w:rFonts w:hint="eastAsia"/>
          <w:b/>
          <w:bCs w:val="0"/>
          <w:sz w:val="72"/>
          <w:szCs w:val="72"/>
          <w:lang w:eastAsia="zh-CN"/>
        </w:rPr>
      </w:pPr>
      <w:r>
        <w:rPr>
          <w:rFonts w:hint="eastAsia" w:ascii="宋体" w:hAnsi="宋体"/>
          <w:b/>
          <w:bCs w:val="0"/>
          <w:sz w:val="72"/>
          <w:szCs w:val="72"/>
          <w14:shadow w14:blurRad="50800" w14:dist="38100" w14:dir="2700000" w14:sx="100000" w14:sy="100000" w14:kx="0" w14:ky="0" w14:algn="tl">
            <w14:srgbClr w14:val="000000">
              <w14:alpha w14:val="60000"/>
            </w14:srgbClr>
          </w14:shadow>
        </w:rPr>
        <w:t>招 标</w:t>
      </w:r>
      <w:r>
        <w:rPr>
          <w:rFonts w:ascii="宋体" w:hAnsi="宋体"/>
          <w:b/>
          <w:bCs w:val="0"/>
          <w:sz w:val="72"/>
          <w:szCs w:val="72"/>
          <w14:shadow w14:blurRad="50800" w14:dist="38100" w14:dir="2700000" w14:sx="100000" w14:sy="100000" w14:kx="0" w14:ky="0" w14:algn="tl">
            <w14:srgbClr w14:val="000000">
              <w14:alpha w14:val="60000"/>
            </w14:srgbClr>
          </w14:shadow>
        </w:rPr>
        <w:t xml:space="preserve"> </w:t>
      </w:r>
      <w:r>
        <w:rPr>
          <w:rFonts w:hint="eastAsia" w:ascii="宋体" w:hAnsi="宋体"/>
          <w:b/>
          <w:bCs w:val="0"/>
          <w:sz w:val="72"/>
          <w:szCs w:val="72"/>
          <w14:shadow w14:blurRad="50800" w14:dist="38100" w14:dir="2700000" w14:sx="100000" w14:sy="100000" w14:kx="0" w14:ky="0" w14:algn="tl">
            <w14:srgbClr w14:val="000000">
              <w14:alpha w14:val="60000"/>
            </w14:srgbClr>
          </w14:shadow>
        </w:rPr>
        <w:t>文</w:t>
      </w:r>
      <w:r>
        <w:rPr>
          <w:rFonts w:ascii="宋体" w:hAnsi="宋体"/>
          <w:b/>
          <w:bCs w:val="0"/>
          <w:sz w:val="72"/>
          <w:szCs w:val="72"/>
          <w14:shadow w14:blurRad="50800" w14:dist="38100" w14:dir="2700000" w14:sx="100000" w14:sy="100000" w14:kx="0" w14:ky="0" w14:algn="tl">
            <w14:srgbClr w14:val="000000">
              <w14:alpha w14:val="60000"/>
            </w14:srgbClr>
          </w14:shadow>
        </w:rPr>
        <w:t xml:space="preserve"> </w:t>
      </w:r>
      <w:r>
        <w:rPr>
          <w:rFonts w:hint="eastAsia" w:ascii="宋体" w:hAnsi="宋体"/>
          <w:b/>
          <w:bCs w:val="0"/>
          <w:sz w:val="72"/>
          <w:szCs w:val="72"/>
          <w14:shadow w14:blurRad="50800" w14:dist="38100" w14:dir="2700000" w14:sx="100000" w14:sy="100000" w14:kx="0" w14:ky="0" w14:algn="tl">
            <w14:srgbClr w14:val="000000">
              <w14:alpha w14:val="60000"/>
            </w14:srgbClr>
          </w14:shadow>
        </w:rPr>
        <w:t>件</w:t>
      </w:r>
    </w:p>
    <w:p w14:paraId="24C19265">
      <w:pPr>
        <w:spacing w:line="360" w:lineRule="auto"/>
        <w:ind w:left="0" w:leftChars="0" w:firstLine="480" w:firstLineChars="200"/>
        <w:jc w:val="both"/>
        <w:rPr>
          <w:rFonts w:hint="eastAsia" w:asciiTheme="minorEastAsia" w:hAnsiTheme="minorEastAsia" w:eastAsiaTheme="minorEastAsia" w:cstheme="minorEastAsia"/>
          <w:b w:val="0"/>
          <w:bCs w:val="0"/>
          <w:sz w:val="24"/>
          <w:szCs w:val="24"/>
          <w:lang w:eastAsia="zh-CN"/>
        </w:rPr>
      </w:pPr>
    </w:p>
    <w:p w14:paraId="4BF1AD5C">
      <w:pPr>
        <w:spacing w:line="360" w:lineRule="auto"/>
        <w:ind w:left="0" w:leftChars="0" w:firstLine="480" w:firstLineChars="200"/>
        <w:jc w:val="both"/>
        <w:rPr>
          <w:rFonts w:hint="eastAsia" w:asciiTheme="minorEastAsia" w:hAnsiTheme="minorEastAsia" w:eastAsiaTheme="minorEastAsia" w:cstheme="minorEastAsia"/>
          <w:b w:val="0"/>
          <w:bCs w:val="0"/>
          <w:sz w:val="24"/>
          <w:szCs w:val="24"/>
          <w:lang w:eastAsia="zh-CN"/>
        </w:rPr>
      </w:pPr>
    </w:p>
    <w:p w14:paraId="756B0CDB">
      <w:pPr>
        <w:spacing w:line="360" w:lineRule="auto"/>
        <w:ind w:left="0" w:leftChars="0" w:firstLine="480" w:firstLineChars="200"/>
        <w:jc w:val="both"/>
        <w:rPr>
          <w:rFonts w:hint="eastAsia" w:asciiTheme="minorEastAsia" w:hAnsiTheme="minorEastAsia" w:eastAsiaTheme="minorEastAsia" w:cstheme="minorEastAsia"/>
          <w:b w:val="0"/>
          <w:bCs w:val="0"/>
          <w:sz w:val="24"/>
          <w:szCs w:val="24"/>
          <w:lang w:eastAsia="zh-CN"/>
        </w:rPr>
      </w:pPr>
    </w:p>
    <w:p w14:paraId="0DDC4B79">
      <w:pPr>
        <w:spacing w:line="360" w:lineRule="auto"/>
        <w:ind w:left="0" w:leftChars="0" w:firstLine="480" w:firstLineChars="200"/>
        <w:jc w:val="both"/>
        <w:rPr>
          <w:rFonts w:hint="eastAsia" w:asciiTheme="minorEastAsia" w:hAnsiTheme="minorEastAsia" w:eastAsiaTheme="minorEastAsia" w:cstheme="minorEastAsia"/>
          <w:b w:val="0"/>
          <w:bCs w:val="0"/>
          <w:sz w:val="24"/>
          <w:szCs w:val="24"/>
          <w:lang w:eastAsia="zh-CN"/>
        </w:rPr>
      </w:pPr>
    </w:p>
    <w:p w14:paraId="2AECDCAA">
      <w:pPr>
        <w:spacing w:line="360" w:lineRule="auto"/>
        <w:ind w:left="0" w:leftChars="0" w:firstLine="480" w:firstLineChars="200"/>
        <w:jc w:val="both"/>
        <w:rPr>
          <w:rFonts w:hint="eastAsia" w:asciiTheme="minorEastAsia" w:hAnsiTheme="minorEastAsia" w:eastAsiaTheme="minorEastAsia" w:cstheme="minorEastAsia"/>
          <w:b w:val="0"/>
          <w:bCs w:val="0"/>
          <w:sz w:val="24"/>
          <w:szCs w:val="24"/>
          <w:lang w:eastAsia="zh-CN"/>
        </w:rPr>
      </w:pPr>
    </w:p>
    <w:p w14:paraId="20C45557">
      <w:pPr>
        <w:spacing w:line="360" w:lineRule="auto"/>
        <w:jc w:val="both"/>
        <w:rPr>
          <w:rFonts w:hint="eastAsia" w:asciiTheme="minorEastAsia" w:hAnsiTheme="minorEastAsia" w:eastAsiaTheme="minorEastAsia" w:cstheme="minorEastAsia"/>
          <w:b w:val="0"/>
          <w:bCs w:val="0"/>
          <w:sz w:val="24"/>
          <w:szCs w:val="24"/>
          <w:lang w:eastAsia="zh-CN"/>
        </w:rPr>
      </w:pPr>
    </w:p>
    <w:p w14:paraId="1E8BFDF9">
      <w:pPr>
        <w:spacing w:line="360" w:lineRule="auto"/>
        <w:ind w:left="0" w:leftChars="0" w:firstLine="1606" w:firstLineChars="0"/>
        <w:jc w:val="both"/>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采购</w:t>
      </w:r>
      <w:r>
        <w:rPr>
          <w:rFonts w:hint="eastAsia" w:asciiTheme="minorEastAsia" w:hAnsiTheme="minorEastAsia" w:eastAsiaTheme="minorEastAsia" w:cstheme="minorEastAsia"/>
          <w:b/>
          <w:bCs/>
          <w:sz w:val="28"/>
          <w:szCs w:val="28"/>
        </w:rPr>
        <w:t>编号：</w:t>
      </w:r>
      <w:r>
        <w:rPr>
          <w:rFonts w:hint="eastAsia" w:asciiTheme="minorEastAsia" w:hAnsiTheme="minorEastAsia" w:eastAsiaTheme="minorEastAsia" w:cstheme="minorEastAsia"/>
          <w:b/>
          <w:bCs/>
          <w:sz w:val="28"/>
          <w:szCs w:val="28"/>
          <w:lang w:eastAsia="zh-CN"/>
        </w:rPr>
        <w:t>孟财招标采购</w:t>
      </w:r>
      <w:r>
        <w:rPr>
          <w:rFonts w:hint="eastAsia" w:asciiTheme="minorEastAsia" w:hAnsiTheme="minorEastAsia" w:eastAsiaTheme="minorEastAsia" w:cstheme="minorEastAsia"/>
          <w:b/>
          <w:bCs/>
          <w:sz w:val="28"/>
          <w:szCs w:val="28"/>
          <w:lang w:val="en-US" w:eastAsia="zh-CN"/>
        </w:rPr>
        <w:t>-2025-23</w:t>
      </w:r>
    </w:p>
    <w:p w14:paraId="6447A331">
      <w:pPr>
        <w:spacing w:line="360" w:lineRule="auto"/>
        <w:ind w:left="0" w:leftChars="0" w:firstLine="1606"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交易编号：</w:t>
      </w:r>
      <w:r>
        <w:rPr>
          <w:rFonts w:hint="eastAsia" w:asciiTheme="minorEastAsia" w:hAnsiTheme="minorEastAsia" w:eastAsiaTheme="minorEastAsia" w:cstheme="minorEastAsia"/>
          <w:b/>
          <w:bCs/>
          <w:sz w:val="28"/>
          <w:szCs w:val="28"/>
          <w:lang w:val="en-US"/>
        </w:rPr>
        <w:t>MZ</w:t>
      </w:r>
      <w:r>
        <w:rPr>
          <w:rFonts w:hint="eastAsia" w:asciiTheme="minorEastAsia" w:hAnsiTheme="minorEastAsia" w:eastAsiaTheme="minorEastAsia" w:cstheme="minorEastAsia"/>
          <w:b/>
          <w:bCs/>
          <w:sz w:val="28"/>
          <w:szCs w:val="28"/>
          <w:lang w:val="en-US" w:eastAsia="zh-CN"/>
        </w:rPr>
        <w:t>JYZ2025040</w:t>
      </w:r>
    </w:p>
    <w:p w14:paraId="0313E831">
      <w:pPr>
        <w:spacing w:line="360" w:lineRule="auto"/>
        <w:ind w:left="0" w:leftChars="0" w:firstLine="1606"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采 购 人：</w:t>
      </w:r>
      <w:r>
        <w:rPr>
          <w:rFonts w:hint="eastAsia" w:asciiTheme="minorEastAsia" w:hAnsiTheme="minorEastAsia" w:eastAsiaTheme="minorEastAsia" w:cstheme="minorEastAsia"/>
          <w:b/>
          <w:bCs/>
          <w:sz w:val="28"/>
          <w:szCs w:val="28"/>
          <w:lang w:val="en-US" w:eastAsia="zh-CN"/>
        </w:rPr>
        <w:t>孟州市河雍街道办事处</w:t>
      </w:r>
    </w:p>
    <w:p w14:paraId="575DE163">
      <w:pPr>
        <w:spacing w:line="360" w:lineRule="auto"/>
        <w:ind w:left="0" w:leftChars="0" w:firstLine="1606" w:firstLineChars="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代理机构：河南省至诚招标采购服务有限公司</w:t>
      </w:r>
    </w:p>
    <w:p w14:paraId="155A4189">
      <w:pPr>
        <w:spacing w:line="360" w:lineRule="auto"/>
        <w:ind w:left="0" w:leftChars="0" w:firstLine="1606" w:firstLineChars="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日    期：二〇二</w:t>
      </w: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年</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月</w:t>
      </w:r>
    </w:p>
    <w:p w14:paraId="7CD06E55">
      <w:pPr>
        <w:pStyle w:val="50"/>
        <w:rPr>
          <w:rFonts w:hint="eastAsia"/>
        </w:rPr>
        <w:sectPr>
          <w:headerReference r:id="rId4" w:type="first"/>
          <w:footerReference r:id="rId6" w:type="first"/>
          <w:headerReference r:id="rId3" w:type="default"/>
          <w:footerReference r:id="rId5" w:type="default"/>
          <w:pgSz w:w="11906" w:h="16838"/>
          <w:pgMar w:top="1304" w:right="1304" w:bottom="1304" w:left="1304" w:header="851" w:footer="992" w:gutter="0"/>
          <w:pgNumType w:fmt="numberInDash"/>
          <w:cols w:space="720" w:num="1"/>
          <w:titlePg/>
          <w:docGrid w:type="lines" w:linePitch="312" w:charSpace="0"/>
        </w:sectPr>
      </w:pPr>
    </w:p>
    <w:sdt>
      <w:sdtPr>
        <w:rPr>
          <w:rFonts w:ascii="宋体" w:hAnsi="宋体" w:eastAsia="宋体" w:cs="Times New Roman"/>
          <w:sz w:val="21"/>
          <w:lang w:val="en-US" w:eastAsia="zh-CN" w:bidi="ar-SA"/>
        </w:rPr>
        <w:id w:val="147469089"/>
        <w15:color w:val="DBDBDB"/>
        <w:docPartObj>
          <w:docPartGallery w:val="Table of Contents"/>
          <w:docPartUnique/>
        </w:docPartObj>
      </w:sdtPr>
      <w:sdtEndPr>
        <w:rPr>
          <w:rFonts w:hint="eastAsia" w:ascii="宋体" w:hAnsi="Times New Roman" w:eastAsia="宋体" w:cs="Times New Roman"/>
          <w:b/>
          <w:sz w:val="24"/>
          <w:szCs w:val="20"/>
          <w:lang w:val="en-US" w:eastAsia="zh-CN" w:bidi="ar-SA"/>
        </w:rPr>
      </w:sdtEndPr>
      <w:sdtContent>
        <w:p w14:paraId="65353353">
          <w:pPr>
            <w:spacing w:before="0" w:beforeLines="0" w:after="0" w:afterLines="0" w:line="240" w:lineRule="auto"/>
            <w:ind w:left="0" w:leftChars="0" w:right="0" w:rightChars="0" w:firstLine="0" w:firstLineChars="0"/>
            <w:jc w:val="center"/>
            <w:rPr>
              <w:sz w:val="44"/>
            </w:rPr>
          </w:pPr>
          <w:bookmarkStart w:id="0" w:name="_Toc22804073"/>
          <w:bookmarkEnd w:id="0"/>
          <w:bookmarkStart w:id="1" w:name="_Toc22568789"/>
          <w:bookmarkEnd w:id="1"/>
          <w:bookmarkStart w:id="2" w:name="_Toc22953398"/>
          <w:bookmarkEnd w:id="2"/>
          <w:bookmarkStart w:id="3" w:name="_Toc22953395"/>
          <w:bookmarkEnd w:id="3"/>
          <w:bookmarkStart w:id="4" w:name="_第一章__公开招标公告"/>
          <w:bookmarkEnd w:id="4"/>
          <w:bookmarkStart w:id="5" w:name="_Toc32835829"/>
          <w:bookmarkStart w:id="6" w:name="_Toc430160310"/>
          <w:bookmarkStart w:id="7" w:name="_Toc21575"/>
          <w:r>
            <w:rPr>
              <w:rFonts w:ascii="宋体" w:hAnsi="宋体" w:eastAsia="宋体"/>
              <w:b/>
              <w:bCs/>
              <w:sz w:val="44"/>
            </w:rPr>
            <w:t>目录</w:t>
          </w:r>
        </w:p>
        <w:p w14:paraId="443FEF1A">
          <w:pPr>
            <w:pStyle w:val="34"/>
            <w:keepNext w:val="0"/>
            <w:keepLines w:val="0"/>
            <w:pageBreakBefore w:val="0"/>
            <w:widowControl w:val="0"/>
            <w:tabs>
              <w:tab w:val="right" w:leader="dot" w:pos="9298"/>
            </w:tabs>
            <w:kinsoku/>
            <w:wordWrap/>
            <w:overflowPunct/>
            <w:topLinePunct w:val="0"/>
            <w:autoSpaceDE/>
            <w:autoSpaceDN/>
            <w:bidi w:val="0"/>
            <w:adjustRightInd/>
            <w:snapToGrid w:val="0"/>
            <w:spacing w:before="0" w:beforeLines="0" w:after="0" w:afterLines="0" w:line="240" w:lineRule="auto"/>
            <w:ind w:left="0"/>
            <w:textAlignment w:val="auto"/>
            <w:rPr>
              <w:b w:val="0"/>
              <w:bCs w:val="0"/>
            </w:rPr>
          </w:pPr>
          <w:r>
            <w:rPr>
              <w:rFonts w:hint="eastAsia"/>
              <w:sz w:val="28"/>
              <w:szCs w:val="28"/>
            </w:rPr>
            <w:fldChar w:fldCharType="begin" w:fldLock="1"/>
          </w:r>
          <w:r>
            <w:rPr>
              <w:rFonts w:hint="eastAsia"/>
              <w:sz w:val="28"/>
              <w:szCs w:val="28"/>
            </w:rPr>
            <w:instrText xml:space="preserve">TOC \o "1-2" \h \u </w:instrText>
          </w:r>
          <w:r>
            <w:rPr>
              <w:rFonts w:hint="eastAsia"/>
              <w:sz w:val="28"/>
              <w:szCs w:val="28"/>
            </w:rPr>
            <w:fldChar w:fldCharType="separate"/>
          </w:r>
          <w:r>
            <w:rPr>
              <w:rFonts w:hint="eastAsia"/>
              <w:b w:val="0"/>
              <w:bCs w:val="0"/>
              <w:szCs w:val="28"/>
            </w:rPr>
            <w:fldChar w:fldCharType="begin" w:fldLock="1"/>
          </w:r>
          <w:r>
            <w:rPr>
              <w:rFonts w:hint="eastAsia"/>
              <w:b w:val="0"/>
              <w:bCs w:val="0"/>
              <w:szCs w:val="28"/>
            </w:rPr>
            <w:instrText xml:space="preserve"> HYPERLINK \l _Toc3825 </w:instrText>
          </w:r>
          <w:r>
            <w:rPr>
              <w:rFonts w:hint="eastAsia"/>
              <w:b w:val="0"/>
              <w:bCs w:val="0"/>
              <w:szCs w:val="28"/>
            </w:rPr>
            <w:fldChar w:fldCharType="separate"/>
          </w:r>
          <w:r>
            <w:rPr>
              <w:rFonts w:hint="eastAsia" w:asciiTheme="minorEastAsia" w:hAnsiTheme="minorEastAsia" w:eastAsiaTheme="minorEastAsia" w:cstheme="minorEastAsia"/>
              <w:b w:val="0"/>
              <w:bCs w:val="0"/>
              <w:szCs w:val="36"/>
            </w:rPr>
            <w:t>第一章 公开招标公告</w:t>
          </w:r>
          <w:r>
            <w:rPr>
              <w:b w:val="0"/>
              <w:bCs w:val="0"/>
            </w:rPr>
            <w:tab/>
          </w:r>
          <w:r>
            <w:rPr>
              <w:b w:val="0"/>
              <w:bCs w:val="0"/>
            </w:rPr>
            <w:fldChar w:fldCharType="begin" w:fldLock="1"/>
          </w:r>
          <w:r>
            <w:rPr>
              <w:b w:val="0"/>
              <w:bCs w:val="0"/>
            </w:rPr>
            <w:instrText xml:space="preserve"> PAGEREF _Toc3825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14:paraId="188FA178">
          <w:pPr>
            <w:pStyle w:val="34"/>
            <w:keepNext w:val="0"/>
            <w:keepLines w:val="0"/>
            <w:pageBreakBefore w:val="0"/>
            <w:widowControl w:val="0"/>
            <w:tabs>
              <w:tab w:val="right" w:leader="dot" w:pos="9298"/>
            </w:tabs>
            <w:kinsoku/>
            <w:wordWrap/>
            <w:overflowPunct/>
            <w:topLinePunct w:val="0"/>
            <w:autoSpaceDE/>
            <w:autoSpaceDN/>
            <w:bidi w:val="0"/>
            <w:adjustRightInd/>
            <w:snapToGrid w:val="0"/>
            <w:spacing w:before="0" w:beforeLines="0" w:after="0" w:afterLines="0" w:line="240" w:lineRule="auto"/>
            <w:ind w:left="0"/>
            <w:textAlignment w:val="auto"/>
          </w:pPr>
          <w:r>
            <w:rPr>
              <w:rFonts w:hint="eastAsia"/>
              <w:b w:val="0"/>
              <w:bCs w:val="0"/>
              <w:szCs w:val="28"/>
            </w:rPr>
            <w:fldChar w:fldCharType="begin" w:fldLock="1"/>
          </w:r>
          <w:r>
            <w:rPr>
              <w:rFonts w:hint="eastAsia"/>
              <w:b w:val="0"/>
              <w:bCs w:val="0"/>
              <w:szCs w:val="28"/>
            </w:rPr>
            <w:instrText xml:space="preserve"> HYPERLINK \l _Toc16265 </w:instrText>
          </w:r>
          <w:r>
            <w:rPr>
              <w:rFonts w:hint="eastAsia"/>
              <w:b w:val="0"/>
              <w:bCs w:val="0"/>
              <w:szCs w:val="28"/>
            </w:rPr>
            <w:fldChar w:fldCharType="separate"/>
          </w:r>
          <w:r>
            <w:rPr>
              <w:rFonts w:hint="eastAsia" w:asciiTheme="minorEastAsia" w:hAnsiTheme="minorEastAsia" w:eastAsiaTheme="minorEastAsia" w:cstheme="minorEastAsia"/>
              <w:b w:val="0"/>
              <w:bCs w:val="0"/>
              <w:szCs w:val="36"/>
            </w:rPr>
            <w:t xml:space="preserve">第二章  </w:t>
          </w:r>
          <w:r>
            <w:rPr>
              <w:rFonts w:hint="eastAsia" w:asciiTheme="minorEastAsia" w:hAnsiTheme="minorEastAsia" w:eastAsiaTheme="minorEastAsia" w:cstheme="minorEastAsia"/>
              <w:b w:val="0"/>
              <w:bCs w:val="0"/>
              <w:szCs w:val="36"/>
              <w:lang w:eastAsia="zh-CN"/>
            </w:rPr>
            <w:t>供应商须知</w:t>
          </w:r>
          <w:r>
            <w:rPr>
              <w:rFonts w:hint="eastAsia" w:asciiTheme="minorEastAsia" w:hAnsiTheme="minorEastAsia" w:eastAsiaTheme="minorEastAsia" w:cstheme="minorEastAsia"/>
              <w:b w:val="0"/>
              <w:bCs w:val="0"/>
              <w:szCs w:val="36"/>
            </w:rPr>
            <w:t>前附表</w:t>
          </w:r>
          <w:r>
            <w:rPr>
              <w:b w:val="0"/>
              <w:bCs w:val="0"/>
            </w:rPr>
            <w:tab/>
          </w:r>
          <w:r>
            <w:rPr>
              <w:rFonts w:hint="eastAsia"/>
              <w:b w:val="0"/>
              <w:bCs w:val="0"/>
              <w:lang w:val="en-US" w:eastAsia="zh-CN"/>
            </w:rPr>
            <w:t>4</w:t>
          </w:r>
          <w:r>
            <w:rPr>
              <w:rFonts w:hint="eastAsia"/>
              <w:b w:val="0"/>
              <w:bCs w:val="0"/>
              <w:szCs w:val="28"/>
            </w:rPr>
            <w:fldChar w:fldCharType="end"/>
          </w:r>
        </w:p>
        <w:p w14:paraId="32FE9D74">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_Toc17539 </w:instrText>
          </w:r>
          <w:r>
            <w:rPr>
              <w:rFonts w:hint="eastAsia"/>
              <w:szCs w:val="28"/>
            </w:rPr>
            <w:fldChar w:fldCharType="separate"/>
          </w:r>
          <w:r>
            <w:rPr>
              <w:rFonts w:hint="eastAsia" w:asciiTheme="minorEastAsia" w:hAnsiTheme="minorEastAsia" w:eastAsiaTheme="minorEastAsia" w:cstheme="minorEastAsia"/>
              <w:bCs/>
              <w:szCs w:val="24"/>
            </w:rPr>
            <w:t>1. 总则</w:t>
          </w:r>
          <w:r>
            <w:tab/>
          </w:r>
          <w:r>
            <w:rPr>
              <w:rFonts w:hint="eastAsia"/>
              <w:lang w:val="en-US" w:eastAsia="zh-CN"/>
            </w:rPr>
            <w:t>12</w:t>
          </w:r>
          <w:r>
            <w:rPr>
              <w:rFonts w:hint="eastAsia"/>
              <w:szCs w:val="28"/>
            </w:rPr>
            <w:fldChar w:fldCharType="end"/>
          </w:r>
        </w:p>
        <w:p w14:paraId="314332E4">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_Toc30398 </w:instrText>
          </w:r>
          <w:r>
            <w:rPr>
              <w:rFonts w:hint="eastAsia"/>
              <w:szCs w:val="28"/>
            </w:rPr>
            <w:fldChar w:fldCharType="separate"/>
          </w:r>
          <w:r>
            <w:rPr>
              <w:rFonts w:hint="eastAsia" w:asciiTheme="minorEastAsia" w:hAnsiTheme="minorEastAsia" w:eastAsiaTheme="minorEastAsia" w:cstheme="minorEastAsia"/>
              <w:szCs w:val="24"/>
            </w:rPr>
            <w:t>2. 招标文件</w:t>
          </w:r>
          <w:r>
            <w:tab/>
          </w:r>
          <w:r>
            <w:rPr>
              <w:rFonts w:hint="eastAsia"/>
              <w:lang w:val="en-US" w:eastAsia="zh-CN"/>
            </w:rPr>
            <w:t>1</w:t>
          </w:r>
          <w:r>
            <w:rPr>
              <w:rFonts w:hint="eastAsia"/>
              <w:szCs w:val="28"/>
            </w:rPr>
            <w:fldChar w:fldCharType="end"/>
          </w:r>
          <w:r>
            <w:rPr>
              <w:rFonts w:hint="eastAsia"/>
              <w:szCs w:val="28"/>
              <w:lang w:val="en-US" w:eastAsia="zh-CN"/>
            </w:rPr>
            <w:t>4</w:t>
          </w:r>
        </w:p>
        <w:p w14:paraId="29187E38">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_Toc19526 </w:instrText>
          </w:r>
          <w:r>
            <w:rPr>
              <w:rFonts w:hint="eastAsia"/>
              <w:szCs w:val="28"/>
            </w:rPr>
            <w:fldChar w:fldCharType="separate"/>
          </w:r>
          <w:r>
            <w:rPr>
              <w:rFonts w:hint="eastAsia" w:asciiTheme="minorEastAsia" w:hAnsiTheme="minorEastAsia" w:eastAsiaTheme="minorEastAsia" w:cstheme="minorEastAsia"/>
              <w:szCs w:val="24"/>
            </w:rPr>
            <w:t>3. 投标文件</w:t>
          </w:r>
          <w:r>
            <w:tab/>
          </w:r>
          <w:r>
            <w:fldChar w:fldCharType="begin" w:fldLock="1"/>
          </w:r>
          <w:r>
            <w:instrText xml:space="preserve"> PAGEREF _Toc19526 \h </w:instrText>
          </w:r>
          <w:r>
            <w:fldChar w:fldCharType="separate"/>
          </w:r>
          <w:r>
            <w:t>1</w:t>
          </w:r>
          <w:r>
            <w:rPr>
              <w:rFonts w:hint="eastAsia"/>
              <w:lang w:val="en-US" w:eastAsia="zh-CN"/>
            </w:rPr>
            <w:t>5</w:t>
          </w:r>
          <w:r>
            <w:fldChar w:fldCharType="end"/>
          </w:r>
          <w:r>
            <w:rPr>
              <w:rFonts w:hint="eastAsia"/>
              <w:szCs w:val="28"/>
            </w:rPr>
            <w:fldChar w:fldCharType="end"/>
          </w:r>
        </w:p>
        <w:p w14:paraId="12EBA00F">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_Toc14326 </w:instrText>
          </w:r>
          <w:r>
            <w:rPr>
              <w:rFonts w:hint="eastAsia"/>
              <w:szCs w:val="28"/>
            </w:rPr>
            <w:fldChar w:fldCharType="separate"/>
          </w:r>
          <w:r>
            <w:rPr>
              <w:rFonts w:hint="eastAsia" w:asciiTheme="minorEastAsia" w:hAnsiTheme="minorEastAsia" w:eastAsiaTheme="minorEastAsia" w:cstheme="minorEastAsia"/>
              <w:szCs w:val="24"/>
            </w:rPr>
            <w:t>4. 投标</w:t>
          </w:r>
          <w:r>
            <w:tab/>
          </w:r>
          <w:r>
            <w:fldChar w:fldCharType="begin" w:fldLock="1"/>
          </w:r>
          <w:r>
            <w:instrText xml:space="preserve"> PAGEREF _Toc14326 \h </w:instrText>
          </w:r>
          <w:r>
            <w:fldChar w:fldCharType="separate"/>
          </w:r>
          <w:r>
            <w:t>1</w:t>
          </w:r>
          <w:r>
            <w:rPr>
              <w:rFonts w:hint="eastAsia"/>
              <w:lang w:val="en-US" w:eastAsia="zh-CN"/>
            </w:rPr>
            <w:t>7</w:t>
          </w:r>
          <w:r>
            <w:fldChar w:fldCharType="end"/>
          </w:r>
          <w:r>
            <w:rPr>
              <w:rFonts w:hint="eastAsia"/>
              <w:szCs w:val="28"/>
            </w:rPr>
            <w:fldChar w:fldCharType="end"/>
          </w:r>
        </w:p>
        <w:p w14:paraId="19503656">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_Toc23866 </w:instrText>
          </w:r>
          <w:r>
            <w:rPr>
              <w:rFonts w:hint="eastAsia"/>
              <w:szCs w:val="28"/>
            </w:rPr>
            <w:fldChar w:fldCharType="separate"/>
          </w:r>
          <w:r>
            <w:rPr>
              <w:rFonts w:hint="eastAsia" w:asciiTheme="minorEastAsia" w:hAnsiTheme="minorEastAsia" w:eastAsiaTheme="minorEastAsia" w:cstheme="minorEastAsia"/>
              <w:szCs w:val="24"/>
            </w:rPr>
            <w:t>5. 开标</w:t>
          </w:r>
          <w:r>
            <w:tab/>
          </w:r>
          <w:r>
            <w:fldChar w:fldCharType="begin" w:fldLock="1"/>
          </w:r>
          <w:r>
            <w:instrText xml:space="preserve"> PAGEREF _Toc23866 \h </w:instrText>
          </w:r>
          <w:r>
            <w:fldChar w:fldCharType="separate"/>
          </w:r>
          <w:r>
            <w:t>1</w:t>
          </w:r>
          <w:r>
            <w:rPr>
              <w:rFonts w:hint="eastAsia"/>
              <w:lang w:val="en-US" w:eastAsia="zh-CN"/>
            </w:rPr>
            <w:t>7</w:t>
          </w:r>
          <w:r>
            <w:fldChar w:fldCharType="end"/>
          </w:r>
          <w:r>
            <w:rPr>
              <w:rFonts w:hint="eastAsia"/>
              <w:szCs w:val="28"/>
            </w:rPr>
            <w:fldChar w:fldCharType="end"/>
          </w:r>
        </w:p>
        <w:p w14:paraId="15957EA2">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_Toc27877 </w:instrText>
          </w:r>
          <w:r>
            <w:rPr>
              <w:rFonts w:hint="eastAsia"/>
              <w:szCs w:val="28"/>
            </w:rPr>
            <w:fldChar w:fldCharType="separate"/>
          </w:r>
          <w:r>
            <w:rPr>
              <w:rFonts w:hint="eastAsia" w:asciiTheme="minorEastAsia" w:hAnsiTheme="minorEastAsia" w:eastAsiaTheme="minorEastAsia" w:cstheme="minorEastAsia"/>
              <w:bCs/>
              <w:szCs w:val="24"/>
            </w:rPr>
            <w:t>6. 资格审查</w:t>
          </w:r>
          <w:r>
            <w:tab/>
          </w:r>
          <w:r>
            <w:fldChar w:fldCharType="begin" w:fldLock="1"/>
          </w:r>
          <w:r>
            <w:instrText xml:space="preserve"> PAGEREF _Toc27877 \h </w:instrText>
          </w:r>
          <w:r>
            <w:fldChar w:fldCharType="separate"/>
          </w:r>
          <w:r>
            <w:t>1</w:t>
          </w:r>
          <w:r>
            <w:rPr>
              <w:rFonts w:hint="eastAsia"/>
              <w:lang w:val="en-US" w:eastAsia="zh-CN"/>
            </w:rPr>
            <w:t>8</w:t>
          </w:r>
          <w:r>
            <w:fldChar w:fldCharType="end"/>
          </w:r>
          <w:r>
            <w:rPr>
              <w:rFonts w:hint="eastAsia"/>
              <w:szCs w:val="28"/>
            </w:rPr>
            <w:fldChar w:fldCharType="end"/>
          </w:r>
        </w:p>
        <w:p w14:paraId="4B81F9D6">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_Toc22066 </w:instrText>
          </w:r>
          <w:r>
            <w:rPr>
              <w:rFonts w:hint="eastAsia"/>
              <w:szCs w:val="28"/>
            </w:rPr>
            <w:fldChar w:fldCharType="separate"/>
          </w:r>
          <w:r>
            <w:rPr>
              <w:rFonts w:hint="eastAsia" w:asciiTheme="minorEastAsia" w:hAnsiTheme="minorEastAsia" w:eastAsiaTheme="minorEastAsia" w:cstheme="minorEastAsia"/>
              <w:bCs/>
              <w:szCs w:val="24"/>
            </w:rPr>
            <w:t>7. 评标</w:t>
          </w:r>
          <w:r>
            <w:tab/>
          </w:r>
          <w:r>
            <w:fldChar w:fldCharType="begin" w:fldLock="1"/>
          </w:r>
          <w:r>
            <w:instrText xml:space="preserve"> PAGEREF _Toc22066 \h </w:instrText>
          </w:r>
          <w:r>
            <w:fldChar w:fldCharType="separate"/>
          </w:r>
          <w:r>
            <w:t>1</w:t>
          </w:r>
          <w:r>
            <w:rPr>
              <w:rFonts w:hint="eastAsia"/>
              <w:lang w:val="en-US" w:eastAsia="zh-CN"/>
            </w:rPr>
            <w:t>8</w:t>
          </w:r>
          <w:r>
            <w:fldChar w:fldCharType="end"/>
          </w:r>
          <w:r>
            <w:rPr>
              <w:rFonts w:hint="eastAsia"/>
              <w:szCs w:val="28"/>
            </w:rPr>
            <w:fldChar w:fldCharType="end"/>
          </w:r>
        </w:p>
        <w:p w14:paraId="4B43E9A0">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_Toc19791 </w:instrText>
          </w:r>
          <w:r>
            <w:rPr>
              <w:rFonts w:hint="eastAsia"/>
              <w:szCs w:val="28"/>
            </w:rPr>
            <w:fldChar w:fldCharType="separate"/>
          </w:r>
          <w:r>
            <w:rPr>
              <w:rFonts w:hint="eastAsia" w:asciiTheme="minorEastAsia" w:hAnsiTheme="minorEastAsia" w:eastAsiaTheme="minorEastAsia" w:cstheme="minorEastAsia"/>
              <w:bCs/>
              <w:szCs w:val="24"/>
            </w:rPr>
            <w:t>8. 授予合同</w:t>
          </w:r>
          <w:r>
            <w:tab/>
          </w:r>
          <w:r>
            <w:fldChar w:fldCharType="begin" w:fldLock="1"/>
          </w:r>
          <w:r>
            <w:instrText xml:space="preserve"> PAGEREF _Toc19791 \h </w:instrText>
          </w:r>
          <w:r>
            <w:fldChar w:fldCharType="separate"/>
          </w:r>
          <w:r>
            <w:t>2</w:t>
          </w:r>
          <w:r>
            <w:rPr>
              <w:rFonts w:hint="eastAsia"/>
              <w:lang w:val="en-US" w:eastAsia="zh-CN"/>
            </w:rPr>
            <w:t>2</w:t>
          </w:r>
          <w:r>
            <w:fldChar w:fldCharType="end"/>
          </w:r>
          <w:r>
            <w:rPr>
              <w:rFonts w:hint="eastAsia"/>
              <w:szCs w:val="28"/>
            </w:rPr>
            <w:fldChar w:fldCharType="end"/>
          </w:r>
        </w:p>
        <w:p w14:paraId="4AED9D5A">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pPr>
          <w:r>
            <w:rPr>
              <w:rFonts w:hint="eastAsia"/>
              <w:szCs w:val="28"/>
            </w:rPr>
            <w:fldChar w:fldCharType="begin" w:fldLock="1"/>
          </w:r>
          <w:r>
            <w:rPr>
              <w:rFonts w:hint="eastAsia"/>
              <w:szCs w:val="28"/>
            </w:rPr>
            <w:instrText xml:space="preserve"> HYPERLINK \l _Toc6937 </w:instrText>
          </w:r>
          <w:r>
            <w:rPr>
              <w:rFonts w:hint="eastAsia"/>
              <w:szCs w:val="28"/>
            </w:rPr>
            <w:fldChar w:fldCharType="separate"/>
          </w:r>
          <w:r>
            <w:rPr>
              <w:rFonts w:hint="eastAsia" w:asciiTheme="minorEastAsia" w:hAnsiTheme="minorEastAsia" w:eastAsiaTheme="minorEastAsia" w:cstheme="minorEastAsia"/>
              <w:bCs/>
              <w:szCs w:val="24"/>
            </w:rPr>
            <w:t>9. 其他</w:t>
          </w:r>
          <w:r>
            <w:tab/>
          </w:r>
          <w:r>
            <w:fldChar w:fldCharType="begin" w:fldLock="1"/>
          </w:r>
          <w:r>
            <w:instrText xml:space="preserve"> PAGEREF _Toc6937 \h </w:instrText>
          </w:r>
          <w:r>
            <w:fldChar w:fldCharType="separate"/>
          </w:r>
          <w:r>
            <w:t>2</w:t>
          </w:r>
          <w:r>
            <w:rPr>
              <w:rFonts w:hint="eastAsia"/>
              <w:lang w:val="en-US" w:eastAsia="zh-CN"/>
            </w:rPr>
            <w:t>3</w:t>
          </w:r>
          <w:r>
            <w:fldChar w:fldCharType="end"/>
          </w:r>
          <w:r>
            <w:rPr>
              <w:rFonts w:hint="eastAsia"/>
              <w:szCs w:val="28"/>
            </w:rPr>
            <w:fldChar w:fldCharType="end"/>
          </w:r>
        </w:p>
        <w:p w14:paraId="4B7C275C">
          <w:pPr>
            <w:pStyle w:val="34"/>
            <w:keepNext w:val="0"/>
            <w:keepLines w:val="0"/>
            <w:pageBreakBefore w:val="0"/>
            <w:widowControl w:val="0"/>
            <w:tabs>
              <w:tab w:val="right" w:leader="dot" w:pos="9298"/>
            </w:tabs>
            <w:kinsoku/>
            <w:wordWrap/>
            <w:overflowPunct/>
            <w:topLinePunct w:val="0"/>
            <w:autoSpaceDE/>
            <w:autoSpaceDN/>
            <w:bidi w:val="0"/>
            <w:adjustRightInd/>
            <w:snapToGrid w:val="0"/>
            <w:spacing w:before="0" w:beforeLines="0" w:after="0" w:afterLines="0" w:line="240" w:lineRule="auto"/>
            <w:ind w:left="0"/>
            <w:textAlignment w:val="auto"/>
            <w:rPr>
              <w:b w:val="0"/>
              <w:bCs w:val="0"/>
            </w:rPr>
          </w:pPr>
          <w:r>
            <w:rPr>
              <w:rFonts w:hint="eastAsia"/>
              <w:b w:val="0"/>
              <w:bCs w:val="0"/>
              <w:szCs w:val="28"/>
            </w:rPr>
            <w:fldChar w:fldCharType="begin" w:fldLock="1"/>
          </w:r>
          <w:r>
            <w:rPr>
              <w:rFonts w:hint="eastAsia"/>
              <w:b w:val="0"/>
              <w:bCs w:val="0"/>
              <w:szCs w:val="28"/>
            </w:rPr>
            <w:instrText xml:space="preserve"> HYPERLINK \l _Toc29643 </w:instrText>
          </w:r>
          <w:r>
            <w:rPr>
              <w:rFonts w:hint="eastAsia"/>
              <w:b w:val="0"/>
              <w:bCs w:val="0"/>
              <w:szCs w:val="28"/>
            </w:rPr>
            <w:fldChar w:fldCharType="separate"/>
          </w:r>
          <w:r>
            <w:rPr>
              <w:rFonts w:hint="eastAsia" w:asciiTheme="minorEastAsia" w:hAnsiTheme="minorEastAsia" w:eastAsiaTheme="minorEastAsia" w:cstheme="minorEastAsia"/>
              <w:b w:val="0"/>
              <w:bCs w:val="0"/>
              <w:szCs w:val="36"/>
            </w:rPr>
            <w:t>第三章  资格审查、评标及定标</w:t>
          </w:r>
          <w:r>
            <w:rPr>
              <w:b w:val="0"/>
              <w:bCs w:val="0"/>
            </w:rPr>
            <w:tab/>
          </w:r>
          <w:r>
            <w:rPr>
              <w:b w:val="0"/>
              <w:bCs w:val="0"/>
            </w:rPr>
            <w:fldChar w:fldCharType="begin" w:fldLock="1"/>
          </w:r>
          <w:r>
            <w:rPr>
              <w:b w:val="0"/>
              <w:bCs w:val="0"/>
            </w:rPr>
            <w:instrText xml:space="preserve"> PAGEREF _Toc29643 \h </w:instrText>
          </w:r>
          <w:r>
            <w:rPr>
              <w:b w:val="0"/>
              <w:bCs w:val="0"/>
            </w:rPr>
            <w:fldChar w:fldCharType="separate"/>
          </w:r>
          <w:r>
            <w:rPr>
              <w:b w:val="0"/>
              <w:bCs w:val="0"/>
            </w:rPr>
            <w:t>2</w:t>
          </w:r>
          <w:r>
            <w:rPr>
              <w:rFonts w:hint="eastAsia"/>
              <w:b w:val="0"/>
              <w:bCs w:val="0"/>
              <w:lang w:val="en-US" w:eastAsia="zh-CN"/>
            </w:rPr>
            <w:t>4</w:t>
          </w:r>
          <w:r>
            <w:rPr>
              <w:b w:val="0"/>
              <w:bCs w:val="0"/>
            </w:rPr>
            <w:fldChar w:fldCharType="end"/>
          </w:r>
          <w:r>
            <w:rPr>
              <w:rFonts w:hint="eastAsia"/>
              <w:b w:val="0"/>
              <w:bCs w:val="0"/>
              <w:szCs w:val="28"/>
            </w:rPr>
            <w:fldChar w:fldCharType="end"/>
          </w:r>
        </w:p>
        <w:p w14:paraId="38577528">
          <w:pPr>
            <w:pStyle w:val="34"/>
            <w:keepNext w:val="0"/>
            <w:keepLines w:val="0"/>
            <w:pageBreakBefore w:val="0"/>
            <w:widowControl w:val="0"/>
            <w:tabs>
              <w:tab w:val="right" w:leader="dot" w:pos="9298"/>
            </w:tabs>
            <w:kinsoku/>
            <w:wordWrap/>
            <w:overflowPunct/>
            <w:topLinePunct w:val="0"/>
            <w:autoSpaceDE/>
            <w:autoSpaceDN/>
            <w:bidi w:val="0"/>
            <w:adjustRightInd/>
            <w:snapToGrid w:val="0"/>
            <w:spacing w:before="0" w:beforeLines="0" w:after="0" w:afterLines="0" w:line="240" w:lineRule="auto"/>
            <w:ind w:left="0"/>
            <w:textAlignment w:val="auto"/>
            <w:rPr>
              <w:rFonts w:hint="eastAsia" w:eastAsia="宋体"/>
              <w:b w:val="0"/>
              <w:bCs w:val="0"/>
              <w:lang w:val="en-US" w:eastAsia="zh-CN"/>
            </w:rPr>
          </w:pPr>
          <w:r>
            <w:rPr>
              <w:rFonts w:hint="eastAsia"/>
              <w:b w:val="0"/>
              <w:bCs w:val="0"/>
              <w:szCs w:val="28"/>
            </w:rPr>
            <w:fldChar w:fldCharType="begin" w:fldLock="1"/>
          </w:r>
          <w:r>
            <w:rPr>
              <w:rFonts w:hint="eastAsia"/>
              <w:b w:val="0"/>
              <w:bCs w:val="0"/>
              <w:szCs w:val="28"/>
            </w:rPr>
            <w:instrText xml:space="preserve"> HYPERLINK \l _Toc20791 </w:instrText>
          </w:r>
          <w:r>
            <w:rPr>
              <w:rFonts w:hint="eastAsia"/>
              <w:b w:val="0"/>
              <w:bCs w:val="0"/>
              <w:szCs w:val="28"/>
            </w:rPr>
            <w:fldChar w:fldCharType="separate"/>
          </w:r>
          <w:r>
            <w:rPr>
              <w:rFonts w:hint="eastAsia" w:asciiTheme="minorEastAsia" w:hAnsiTheme="minorEastAsia" w:eastAsiaTheme="minorEastAsia" w:cstheme="minorEastAsia"/>
              <w:b w:val="0"/>
              <w:bCs w:val="0"/>
              <w:szCs w:val="36"/>
            </w:rPr>
            <w:t>第四章  合同协议书（格式）</w:t>
          </w:r>
          <w:r>
            <w:rPr>
              <w:b w:val="0"/>
              <w:bCs w:val="0"/>
            </w:rPr>
            <w:tab/>
          </w:r>
          <w:r>
            <w:rPr>
              <w:rFonts w:hint="eastAsia"/>
              <w:b w:val="0"/>
              <w:bCs w:val="0"/>
              <w:lang w:val="en-US" w:eastAsia="zh-CN"/>
            </w:rPr>
            <w:t>2</w:t>
          </w:r>
          <w:r>
            <w:rPr>
              <w:rFonts w:hint="eastAsia"/>
              <w:b w:val="0"/>
              <w:bCs w:val="0"/>
              <w:szCs w:val="28"/>
            </w:rPr>
            <w:fldChar w:fldCharType="end"/>
          </w:r>
          <w:r>
            <w:rPr>
              <w:rFonts w:hint="eastAsia"/>
              <w:b w:val="0"/>
              <w:bCs w:val="0"/>
              <w:szCs w:val="28"/>
              <w:lang w:val="en-US" w:eastAsia="zh-CN"/>
            </w:rPr>
            <w:t>9</w:t>
          </w:r>
        </w:p>
        <w:p w14:paraId="525FF2C8">
          <w:pPr>
            <w:pStyle w:val="34"/>
            <w:keepNext w:val="0"/>
            <w:keepLines w:val="0"/>
            <w:pageBreakBefore w:val="0"/>
            <w:widowControl w:val="0"/>
            <w:tabs>
              <w:tab w:val="right" w:leader="dot" w:pos="9298"/>
            </w:tabs>
            <w:kinsoku/>
            <w:wordWrap/>
            <w:overflowPunct/>
            <w:topLinePunct w:val="0"/>
            <w:autoSpaceDE/>
            <w:autoSpaceDN/>
            <w:bidi w:val="0"/>
            <w:adjustRightInd/>
            <w:snapToGrid w:val="0"/>
            <w:spacing w:before="0" w:beforeLines="0" w:after="0" w:afterLines="0" w:line="240" w:lineRule="auto"/>
            <w:ind w:left="0"/>
            <w:textAlignment w:val="auto"/>
            <w:rPr>
              <w:rFonts w:hint="eastAsia" w:eastAsia="宋体"/>
              <w:b w:val="0"/>
              <w:bCs w:val="0"/>
              <w:lang w:val="en-US" w:eastAsia="zh-CN"/>
            </w:rPr>
          </w:pPr>
          <w:r>
            <w:rPr>
              <w:rFonts w:hint="eastAsia"/>
              <w:b w:val="0"/>
              <w:bCs w:val="0"/>
              <w:szCs w:val="28"/>
            </w:rPr>
            <w:fldChar w:fldCharType="begin" w:fldLock="1"/>
          </w:r>
          <w:r>
            <w:rPr>
              <w:rFonts w:hint="eastAsia"/>
              <w:b w:val="0"/>
              <w:bCs w:val="0"/>
              <w:szCs w:val="28"/>
            </w:rPr>
            <w:instrText xml:space="preserve"> HYPERLINK \l _Toc14687 </w:instrText>
          </w:r>
          <w:r>
            <w:rPr>
              <w:rFonts w:hint="eastAsia"/>
              <w:b w:val="0"/>
              <w:bCs w:val="0"/>
              <w:szCs w:val="28"/>
            </w:rPr>
            <w:fldChar w:fldCharType="separate"/>
          </w:r>
          <w:r>
            <w:rPr>
              <w:rFonts w:hint="eastAsia" w:asciiTheme="minorEastAsia" w:hAnsiTheme="minorEastAsia" w:eastAsiaTheme="minorEastAsia" w:cstheme="minorEastAsia"/>
              <w:b w:val="0"/>
              <w:bCs w:val="0"/>
              <w:szCs w:val="36"/>
              <w:lang w:eastAsia="zh-CN"/>
            </w:rPr>
            <w:t>第五章</w:t>
          </w:r>
          <w:r>
            <w:rPr>
              <w:rFonts w:hint="eastAsia" w:asciiTheme="minorEastAsia" w:hAnsiTheme="minorEastAsia" w:eastAsiaTheme="minorEastAsia" w:cstheme="minorEastAsia"/>
              <w:b w:val="0"/>
              <w:bCs w:val="0"/>
              <w:szCs w:val="36"/>
            </w:rPr>
            <w:t xml:space="preserve"> 项目需求及技术参数要求</w:t>
          </w:r>
          <w:r>
            <w:rPr>
              <w:b w:val="0"/>
              <w:bCs w:val="0"/>
            </w:rPr>
            <w:tab/>
          </w:r>
          <w:r>
            <w:rPr>
              <w:rFonts w:hint="eastAsia"/>
              <w:b w:val="0"/>
              <w:bCs w:val="0"/>
              <w:lang w:val="en-US" w:eastAsia="zh-CN"/>
            </w:rPr>
            <w:t>4</w:t>
          </w:r>
          <w:r>
            <w:rPr>
              <w:rFonts w:hint="eastAsia"/>
              <w:b w:val="0"/>
              <w:bCs w:val="0"/>
              <w:szCs w:val="28"/>
            </w:rPr>
            <w:fldChar w:fldCharType="end"/>
          </w:r>
          <w:r>
            <w:rPr>
              <w:rFonts w:hint="eastAsia"/>
              <w:b w:val="0"/>
              <w:bCs w:val="0"/>
              <w:szCs w:val="28"/>
              <w:lang w:val="en-US" w:eastAsia="zh-CN"/>
            </w:rPr>
            <w:t>2</w:t>
          </w:r>
        </w:p>
        <w:p w14:paraId="2D9FE0C8">
          <w:pPr>
            <w:pStyle w:val="34"/>
            <w:keepNext w:val="0"/>
            <w:keepLines w:val="0"/>
            <w:pageBreakBefore w:val="0"/>
            <w:widowControl w:val="0"/>
            <w:tabs>
              <w:tab w:val="right" w:leader="dot" w:pos="9298"/>
            </w:tabs>
            <w:kinsoku/>
            <w:wordWrap/>
            <w:overflowPunct/>
            <w:topLinePunct w:val="0"/>
            <w:autoSpaceDE/>
            <w:autoSpaceDN/>
            <w:bidi w:val="0"/>
            <w:adjustRightInd/>
            <w:snapToGrid w:val="0"/>
            <w:spacing w:before="0" w:beforeLines="0" w:after="0" w:afterLines="0" w:line="240" w:lineRule="auto"/>
            <w:ind w:left="0"/>
            <w:textAlignment w:val="auto"/>
            <w:rPr>
              <w:rFonts w:hint="default" w:eastAsia="宋体"/>
              <w:lang w:val="en-US" w:eastAsia="zh-CN"/>
            </w:rPr>
          </w:pPr>
          <w:r>
            <w:rPr>
              <w:rFonts w:hint="eastAsia"/>
              <w:b w:val="0"/>
              <w:bCs w:val="0"/>
              <w:szCs w:val="28"/>
            </w:rPr>
            <w:fldChar w:fldCharType="begin" w:fldLock="1"/>
          </w:r>
          <w:r>
            <w:rPr>
              <w:rFonts w:hint="eastAsia"/>
              <w:b w:val="0"/>
              <w:bCs w:val="0"/>
              <w:szCs w:val="28"/>
            </w:rPr>
            <w:instrText xml:space="preserve"> HYPERLINK \l _Toc6863 </w:instrText>
          </w:r>
          <w:r>
            <w:rPr>
              <w:rFonts w:hint="eastAsia"/>
              <w:b w:val="0"/>
              <w:bCs w:val="0"/>
              <w:szCs w:val="28"/>
            </w:rPr>
            <w:fldChar w:fldCharType="separate"/>
          </w:r>
          <w:r>
            <w:rPr>
              <w:rFonts w:hint="eastAsia" w:asciiTheme="minorEastAsia" w:hAnsiTheme="minorEastAsia" w:eastAsiaTheme="minorEastAsia" w:cstheme="minorEastAsia"/>
              <w:b w:val="0"/>
              <w:bCs w:val="0"/>
              <w:szCs w:val="36"/>
            </w:rPr>
            <w:t>第六章  投标文件格式及附件</w:t>
          </w:r>
          <w:r>
            <w:rPr>
              <w:b w:val="0"/>
              <w:bCs w:val="0"/>
            </w:rPr>
            <w:tab/>
          </w:r>
          <w:r>
            <w:rPr>
              <w:rFonts w:hint="eastAsia"/>
              <w:b w:val="0"/>
              <w:bCs w:val="0"/>
              <w:szCs w:val="28"/>
            </w:rPr>
            <w:fldChar w:fldCharType="end"/>
          </w:r>
          <w:r>
            <w:rPr>
              <w:rFonts w:hint="eastAsia"/>
              <w:b w:val="0"/>
              <w:bCs w:val="0"/>
              <w:szCs w:val="28"/>
              <w:lang w:val="en-US" w:eastAsia="zh-CN"/>
            </w:rPr>
            <w:t>46</w:t>
          </w:r>
        </w:p>
        <w:p w14:paraId="4BBDCB8B">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_Toc5941 </w:instrText>
          </w:r>
          <w:r>
            <w:rPr>
              <w:rFonts w:hint="eastAsia"/>
              <w:szCs w:val="28"/>
            </w:rPr>
            <w:fldChar w:fldCharType="separate"/>
          </w:r>
          <w:r>
            <w:rPr>
              <w:rFonts w:hint="eastAsia" w:asciiTheme="minorEastAsia" w:hAnsiTheme="minorEastAsia" w:eastAsiaTheme="minorEastAsia" w:cstheme="minorEastAsia"/>
              <w:szCs w:val="24"/>
            </w:rPr>
            <w:t>附件1</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rPr>
            <w:t>投 标 函</w:t>
          </w:r>
          <w:r>
            <w:tab/>
          </w:r>
          <w:r>
            <w:rPr>
              <w:rFonts w:hint="eastAsia"/>
              <w:lang w:val="en-US" w:eastAsia="zh-CN"/>
            </w:rPr>
            <w:t>4</w:t>
          </w:r>
          <w:r>
            <w:rPr>
              <w:rFonts w:hint="eastAsia"/>
              <w:szCs w:val="28"/>
            </w:rPr>
            <w:fldChar w:fldCharType="end"/>
          </w:r>
          <w:r>
            <w:rPr>
              <w:rFonts w:hint="eastAsia"/>
              <w:szCs w:val="28"/>
              <w:lang w:val="en-US" w:eastAsia="zh-CN"/>
            </w:rPr>
            <w:t>7</w:t>
          </w:r>
        </w:p>
        <w:p w14:paraId="39D1C806">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_Toc13460 </w:instrText>
          </w:r>
          <w:r>
            <w:rPr>
              <w:rFonts w:hint="eastAsia"/>
              <w:szCs w:val="28"/>
            </w:rPr>
            <w:fldChar w:fldCharType="separate"/>
          </w:r>
          <w:r>
            <w:rPr>
              <w:rFonts w:hint="eastAsia" w:asciiTheme="minorEastAsia" w:hAnsiTheme="minorEastAsia" w:eastAsiaTheme="minorEastAsia" w:cstheme="minorEastAsia"/>
              <w:bCs/>
              <w:szCs w:val="24"/>
            </w:rPr>
            <w:t>附件2  法定代表人（单位负责人）身份证明或法定代表人（单位负责人）</w:t>
          </w:r>
          <w:r>
            <w:rPr>
              <w:rFonts w:hint="eastAsia" w:asciiTheme="minorEastAsia" w:hAnsiTheme="minorEastAsia" w:eastAsiaTheme="minorEastAsia" w:cstheme="minorEastAsia"/>
              <w:szCs w:val="24"/>
            </w:rPr>
            <w:t>授权书</w:t>
          </w:r>
          <w:r>
            <w:tab/>
          </w:r>
          <w:r>
            <w:rPr>
              <w:rFonts w:hint="eastAsia"/>
              <w:lang w:val="en-US" w:eastAsia="zh-CN"/>
            </w:rPr>
            <w:t>5</w:t>
          </w:r>
          <w:r>
            <w:rPr>
              <w:rFonts w:hint="eastAsia"/>
              <w:szCs w:val="28"/>
            </w:rPr>
            <w:fldChar w:fldCharType="end"/>
          </w:r>
          <w:r>
            <w:rPr>
              <w:rFonts w:hint="eastAsia"/>
              <w:szCs w:val="28"/>
              <w:lang w:val="en-US" w:eastAsia="zh-CN"/>
            </w:rPr>
            <w:t>3</w:t>
          </w:r>
        </w:p>
        <w:p w14:paraId="241C9DEF">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_Toc1719 </w:instrText>
          </w:r>
          <w:r>
            <w:rPr>
              <w:rFonts w:hint="eastAsia"/>
              <w:szCs w:val="28"/>
            </w:rPr>
            <w:fldChar w:fldCharType="separate"/>
          </w:r>
          <w:r>
            <w:rPr>
              <w:rFonts w:hint="eastAsia" w:asciiTheme="minorEastAsia" w:hAnsiTheme="minorEastAsia" w:eastAsiaTheme="minorEastAsia" w:cstheme="minorEastAsia"/>
              <w:bCs/>
              <w:szCs w:val="24"/>
            </w:rPr>
            <w:t>附件3  资格审查材料</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lang w:val="en-US" w:eastAsia="zh-CN"/>
            </w:rPr>
            <w:t>具体要求</w:t>
          </w:r>
          <w:r>
            <w:rPr>
              <w:rFonts w:hint="eastAsia" w:asciiTheme="minorEastAsia" w:hAnsiTheme="minorEastAsia" w:eastAsiaTheme="minorEastAsia" w:cstheme="minorEastAsia"/>
              <w:bCs/>
              <w:szCs w:val="24"/>
            </w:rPr>
            <w:t>详见供应商须知前附表</w:t>
          </w:r>
          <w:r>
            <w:rPr>
              <w:rFonts w:hint="eastAsia" w:asciiTheme="minorEastAsia" w:hAnsiTheme="minorEastAsia" w:eastAsiaTheme="minorEastAsia" w:cstheme="minorEastAsia"/>
              <w:bCs/>
              <w:szCs w:val="24"/>
              <w:lang w:eastAsia="zh-CN"/>
            </w:rPr>
            <w:t>）</w:t>
          </w:r>
          <w:r>
            <w:tab/>
          </w:r>
          <w:r>
            <w:rPr>
              <w:rFonts w:hint="eastAsia"/>
              <w:lang w:val="en-US" w:eastAsia="zh-CN"/>
            </w:rPr>
            <w:t>5</w:t>
          </w:r>
          <w:r>
            <w:rPr>
              <w:rFonts w:hint="eastAsia"/>
              <w:szCs w:val="28"/>
            </w:rPr>
            <w:fldChar w:fldCharType="end"/>
          </w:r>
          <w:r>
            <w:rPr>
              <w:rFonts w:hint="eastAsia"/>
              <w:szCs w:val="28"/>
              <w:lang w:val="en-US" w:eastAsia="zh-CN"/>
            </w:rPr>
            <w:t>5</w:t>
          </w:r>
        </w:p>
        <w:p w14:paraId="26D5A184">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_Toc11195 </w:instrText>
          </w:r>
          <w:r>
            <w:rPr>
              <w:rFonts w:hint="eastAsia"/>
              <w:szCs w:val="28"/>
            </w:rPr>
            <w:fldChar w:fldCharType="separate"/>
          </w:r>
          <w:r>
            <w:rPr>
              <w:rFonts w:hint="eastAsia" w:asciiTheme="minorEastAsia" w:hAnsiTheme="minorEastAsia" w:eastAsiaTheme="minorEastAsia" w:cstheme="minorEastAsia"/>
              <w:szCs w:val="24"/>
            </w:rPr>
            <w:t xml:space="preserve">附件4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rPr>
            <w:t>中小企业声明函</w:t>
          </w:r>
          <w:r>
            <w:tab/>
          </w:r>
          <w:r>
            <w:rPr>
              <w:rFonts w:hint="eastAsia"/>
              <w:lang w:val="en-US" w:eastAsia="zh-CN"/>
            </w:rPr>
            <w:t>56</w:t>
          </w:r>
          <w:r>
            <w:rPr>
              <w:rFonts w:hint="eastAsia"/>
              <w:szCs w:val="28"/>
            </w:rPr>
            <w:fldChar w:fldCharType="end"/>
          </w:r>
        </w:p>
        <w:p w14:paraId="376A61F1">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_Toc23512 </w:instrText>
          </w:r>
          <w:r>
            <w:rPr>
              <w:rFonts w:hint="eastAsia"/>
              <w:szCs w:val="28"/>
            </w:rPr>
            <w:fldChar w:fldCharType="separate"/>
          </w:r>
          <w:r>
            <w:rPr>
              <w:rFonts w:hint="eastAsia" w:asciiTheme="minorEastAsia" w:hAnsiTheme="minorEastAsia" w:eastAsiaTheme="minorEastAsia" w:cstheme="minorEastAsia"/>
              <w:szCs w:val="24"/>
            </w:rPr>
            <w:t>附件5  残疾人福利性单位声明函</w:t>
          </w:r>
          <w:r>
            <w:tab/>
          </w:r>
          <w:r>
            <w:rPr>
              <w:rFonts w:hint="eastAsia"/>
              <w:lang w:val="en-US" w:eastAsia="zh-CN"/>
            </w:rPr>
            <w:t>57</w:t>
          </w:r>
          <w:r>
            <w:rPr>
              <w:rFonts w:hint="eastAsia"/>
              <w:szCs w:val="28"/>
            </w:rPr>
            <w:fldChar w:fldCharType="end"/>
          </w:r>
        </w:p>
        <w:p w14:paraId="56032118">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default" w:eastAsia="宋体"/>
              <w:lang w:val="en-US" w:eastAsia="zh-CN"/>
            </w:rPr>
          </w:pPr>
          <w:r>
            <w:rPr>
              <w:rFonts w:hint="eastAsia"/>
              <w:szCs w:val="28"/>
            </w:rPr>
            <w:fldChar w:fldCharType="begin" w:fldLock="1"/>
          </w:r>
          <w:r>
            <w:rPr>
              <w:rFonts w:hint="eastAsia"/>
              <w:szCs w:val="28"/>
            </w:rPr>
            <w:instrText xml:space="preserve"> HYPERLINK \l _Toc22971 </w:instrText>
          </w:r>
          <w:r>
            <w:rPr>
              <w:rFonts w:hint="eastAsia"/>
              <w:szCs w:val="28"/>
            </w:rPr>
            <w:fldChar w:fldCharType="separate"/>
          </w:r>
          <w:r>
            <w:rPr>
              <w:rFonts w:hint="eastAsia"/>
              <w:bCs/>
              <w:szCs w:val="24"/>
              <w:lang w:eastAsia="zh-CN"/>
            </w:rPr>
            <w:t>附件</w:t>
          </w:r>
          <w:r>
            <w:rPr>
              <w:rFonts w:hint="eastAsia"/>
              <w:bCs/>
              <w:szCs w:val="24"/>
              <w:lang w:val="en-US" w:eastAsia="zh-CN"/>
            </w:rPr>
            <w:t xml:space="preserve">6  </w:t>
          </w:r>
          <w:r>
            <w:rPr>
              <w:rFonts w:hint="eastAsia"/>
              <w:bCs/>
              <w:szCs w:val="24"/>
              <w:lang w:eastAsia="zh-CN"/>
            </w:rPr>
            <w:t>孟州市政府采购供应商资格信用承诺函</w:t>
          </w:r>
          <w:r>
            <w:tab/>
          </w:r>
          <w:r>
            <w:rPr>
              <w:rFonts w:hint="eastAsia"/>
              <w:lang w:val="en-US" w:eastAsia="zh-CN"/>
            </w:rPr>
            <w:t>5</w:t>
          </w:r>
          <w:r>
            <w:rPr>
              <w:rFonts w:hint="eastAsia"/>
              <w:szCs w:val="28"/>
            </w:rPr>
            <w:fldChar w:fldCharType="end"/>
          </w:r>
          <w:r>
            <w:rPr>
              <w:rFonts w:hint="eastAsia"/>
              <w:szCs w:val="28"/>
              <w:lang w:val="en-US" w:eastAsia="zh-CN"/>
            </w:rPr>
            <w:t>8</w:t>
          </w:r>
        </w:p>
        <w:p w14:paraId="204EDD29">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_Toc12881 </w:instrText>
          </w:r>
          <w:r>
            <w:rPr>
              <w:rFonts w:hint="eastAsia"/>
              <w:szCs w:val="28"/>
            </w:rPr>
            <w:fldChar w:fldCharType="separate"/>
          </w:r>
          <w:r>
            <w:rPr>
              <w:rFonts w:hint="eastAsia" w:asciiTheme="minorEastAsia" w:hAnsiTheme="minorEastAsia" w:eastAsiaTheme="minorEastAsia" w:cstheme="minorEastAsia"/>
              <w:szCs w:val="24"/>
            </w:rPr>
            <w:t>附件</w:t>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rPr>
            <w:t xml:space="preserve">  售后服务方案及承诺</w:t>
          </w:r>
          <w:r>
            <w:tab/>
          </w:r>
          <w:r>
            <w:rPr>
              <w:rFonts w:hint="eastAsia"/>
              <w:lang w:val="en-US" w:eastAsia="zh-CN"/>
            </w:rPr>
            <w:t>5</w:t>
          </w:r>
          <w:r>
            <w:rPr>
              <w:rFonts w:hint="eastAsia"/>
              <w:szCs w:val="28"/>
            </w:rPr>
            <w:fldChar w:fldCharType="end"/>
          </w:r>
          <w:r>
            <w:rPr>
              <w:rFonts w:hint="eastAsia"/>
              <w:szCs w:val="28"/>
              <w:lang w:val="en-US" w:eastAsia="zh-CN"/>
            </w:rPr>
            <w:t>9</w:t>
          </w:r>
        </w:p>
        <w:p w14:paraId="54040B91">
          <w:pPr>
            <w:pStyle w:val="43"/>
            <w:keepNext w:val="0"/>
            <w:keepLines w:val="0"/>
            <w:pageBreakBefore w:val="0"/>
            <w:widowControl w:val="0"/>
            <w:tabs>
              <w:tab w:val="right" w:leader="dot" w:pos="9298"/>
              <w:tab w:val="clear" w:pos="840"/>
              <w:tab w:val="clear" w:pos="9231"/>
            </w:tabs>
            <w:kinsoku/>
            <w:wordWrap/>
            <w:overflowPunct/>
            <w:topLinePunct w:val="0"/>
            <w:autoSpaceDE/>
            <w:autoSpaceDN/>
            <w:bidi w:val="0"/>
            <w:adjustRightInd/>
            <w:snapToGrid w:val="0"/>
            <w:spacing w:line="240" w:lineRule="auto"/>
            <w:ind w:left="0"/>
            <w:textAlignment w:val="auto"/>
            <w:rPr>
              <w:rFonts w:hint="eastAsia" w:eastAsia="宋体"/>
              <w:lang w:val="en-US" w:eastAsia="zh-CN"/>
            </w:rPr>
          </w:pPr>
          <w:r>
            <w:rPr>
              <w:rFonts w:hint="eastAsia"/>
              <w:szCs w:val="28"/>
            </w:rPr>
            <w:fldChar w:fldCharType="begin" w:fldLock="1"/>
          </w:r>
          <w:r>
            <w:rPr>
              <w:rFonts w:hint="eastAsia"/>
              <w:szCs w:val="28"/>
            </w:rPr>
            <w:instrText xml:space="preserve"> HYPERLINK \l _Toc31486 </w:instrText>
          </w:r>
          <w:r>
            <w:rPr>
              <w:rFonts w:hint="eastAsia"/>
              <w:szCs w:val="28"/>
            </w:rPr>
            <w:fldChar w:fldCharType="separate"/>
          </w:r>
          <w:r>
            <w:rPr>
              <w:rFonts w:hint="eastAsia" w:asciiTheme="minorEastAsia" w:hAnsiTheme="minorEastAsia" w:eastAsiaTheme="minorEastAsia" w:cstheme="minorEastAsia"/>
              <w:szCs w:val="24"/>
            </w:rPr>
            <w:t>附件</w:t>
          </w:r>
          <w:r>
            <w:rPr>
              <w:rFonts w:hint="eastAsia" w:asciiTheme="minorEastAsia" w:hAnsiTheme="minorEastAsia" w:eastAsiaTheme="minorEastAsia" w:cstheme="minorEastAsia"/>
              <w:szCs w:val="24"/>
              <w:lang w:val="en-US" w:eastAsia="zh-CN"/>
            </w:rPr>
            <w:t xml:space="preserve">8  </w:t>
          </w:r>
          <w:r>
            <w:rPr>
              <w:rFonts w:hint="eastAsia" w:asciiTheme="minorEastAsia" w:hAnsiTheme="minorEastAsia" w:eastAsiaTheme="minorEastAsia" w:cstheme="minorEastAsia"/>
              <w:szCs w:val="24"/>
            </w:rPr>
            <w:t>供应商认为需要提交的其他证明材料</w:t>
          </w:r>
          <w:r>
            <w:tab/>
          </w:r>
          <w:r>
            <w:rPr>
              <w:rFonts w:hint="eastAsia"/>
              <w:lang w:val="en-US" w:eastAsia="zh-CN"/>
            </w:rPr>
            <w:t>5</w:t>
          </w:r>
          <w:r>
            <w:rPr>
              <w:rFonts w:hint="eastAsia"/>
              <w:szCs w:val="28"/>
            </w:rPr>
            <w:fldChar w:fldCharType="end"/>
          </w:r>
          <w:r>
            <w:rPr>
              <w:rFonts w:hint="eastAsia"/>
              <w:szCs w:val="28"/>
              <w:lang w:val="en-US" w:eastAsia="zh-CN"/>
            </w:rPr>
            <w:t>9</w:t>
          </w:r>
        </w:p>
        <w:p w14:paraId="7387C549">
          <w:pPr>
            <w:tabs>
              <w:tab w:val="right" w:pos="7560"/>
            </w:tabs>
            <w:spacing w:line="240" w:lineRule="auto"/>
            <w:jc w:val="center"/>
            <w:rPr>
              <w:rFonts w:hint="eastAsia" w:ascii="宋体" w:hAnsi="Times New Roman" w:eastAsia="宋体" w:cs="Times New Roman"/>
              <w:b/>
              <w:sz w:val="24"/>
              <w:szCs w:val="20"/>
              <w:lang w:val="en-US" w:eastAsia="zh-CN" w:bidi="ar-SA"/>
            </w:rPr>
          </w:pPr>
          <w:r>
            <w:rPr>
              <w:rFonts w:hint="eastAsia"/>
              <w:szCs w:val="28"/>
            </w:rPr>
            <w:fldChar w:fldCharType="end"/>
          </w:r>
        </w:p>
      </w:sdtContent>
    </w:sdt>
    <w:p w14:paraId="1071857C">
      <w:pPr>
        <w:tabs>
          <w:tab w:val="right" w:pos="7560"/>
        </w:tabs>
        <w:spacing w:line="240" w:lineRule="auto"/>
        <w:jc w:val="center"/>
        <w:rPr>
          <w:rFonts w:hint="eastAsia" w:asciiTheme="minorEastAsia" w:hAnsiTheme="minorEastAsia" w:eastAsiaTheme="minorEastAsia" w:cstheme="minorEastAsia"/>
          <w:b/>
          <w:bCs/>
          <w:sz w:val="40"/>
          <w:szCs w:val="40"/>
        </w:rPr>
      </w:pPr>
    </w:p>
    <w:p w14:paraId="4CE314DF">
      <w:pPr>
        <w:tabs>
          <w:tab w:val="right" w:pos="7560"/>
        </w:tabs>
        <w:spacing w:line="240" w:lineRule="auto"/>
        <w:jc w:val="center"/>
        <w:rPr>
          <w:rFonts w:hint="eastAsia" w:asciiTheme="minorEastAsia" w:hAnsiTheme="minorEastAsia" w:eastAsiaTheme="minorEastAsia" w:cstheme="minorEastAsia"/>
          <w:b/>
          <w:bCs/>
          <w:sz w:val="40"/>
          <w:szCs w:val="40"/>
        </w:rPr>
      </w:pPr>
    </w:p>
    <w:p w14:paraId="0891D8BC">
      <w:pPr>
        <w:tabs>
          <w:tab w:val="right" w:pos="7560"/>
        </w:tabs>
        <w:spacing w:line="240" w:lineRule="auto"/>
        <w:jc w:val="center"/>
        <w:rPr>
          <w:rFonts w:hint="eastAsia" w:asciiTheme="minorEastAsia" w:hAnsiTheme="minorEastAsia" w:eastAsiaTheme="minorEastAsia" w:cstheme="minorEastAsia"/>
          <w:b/>
          <w:bCs/>
          <w:sz w:val="40"/>
          <w:szCs w:val="40"/>
        </w:rPr>
      </w:pPr>
    </w:p>
    <w:p w14:paraId="236F9BE6">
      <w:pPr>
        <w:tabs>
          <w:tab w:val="right" w:pos="7560"/>
        </w:tabs>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40"/>
          <w:szCs w:val="40"/>
        </w:rPr>
        <w:t>温馨提示</w:t>
      </w:r>
    </w:p>
    <w:p w14:paraId="31956689">
      <w:pPr>
        <w:numPr>
          <w:ilvl w:val="0"/>
          <w:numId w:val="0"/>
        </w:numPr>
        <w:tabs>
          <w:tab w:val="right" w:pos="7560"/>
        </w:tabs>
        <w:spacing w:line="240" w:lineRule="auto"/>
        <w:jc w:val="both"/>
        <w:outlineLvl w:val="9"/>
        <w:rPr>
          <w:rFonts w:hint="eastAsia" w:asciiTheme="minorEastAsia" w:hAnsiTheme="minorEastAsia" w:eastAsiaTheme="minorEastAsia" w:cstheme="minorEastAsia"/>
          <w:sz w:val="24"/>
          <w:szCs w:val="24"/>
          <w:lang w:val="en-US" w:eastAsia="zh-CN"/>
        </w:rPr>
      </w:pPr>
    </w:p>
    <w:p w14:paraId="69C62A15">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lang w:val="en-US" w:eastAsia="zh-CN"/>
        </w:rPr>
      </w:pPr>
    </w:p>
    <w:p w14:paraId="15B56836">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供应商注册供应商应首先办理 CA 数字证书及电子签章（具体办理事宜请查询</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市公共资源交易中心网站办事指南）；方能完成市场主体信息库入库登记（具体办理事宜请查询</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办事指南）；市场主体信息库入库登记通过后，凭 CA 数字证书登</w:t>
      </w:r>
      <w:r>
        <w:rPr>
          <w:rFonts w:hint="eastAsia" w:asciiTheme="minorEastAsia" w:hAnsiTheme="minorEastAsia" w:eastAsiaTheme="minorEastAsia" w:cstheme="minorEastAsia"/>
          <w:sz w:val="24"/>
          <w:szCs w:val="24"/>
          <w:lang w:eastAsia="zh-CN"/>
        </w:rPr>
        <w:t>录</w:t>
      </w:r>
      <w:r>
        <w:rPr>
          <w:rFonts w:hint="eastAsia" w:asciiTheme="minorEastAsia" w:hAnsiTheme="minorEastAsia" w:eastAsiaTheme="minorEastAsia" w:cstheme="minorEastAsia"/>
          <w:sz w:val="24"/>
          <w:szCs w:val="24"/>
        </w:rPr>
        <w:t>市场主体系统，按网上提示报名并下载</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文件及资料。</w:t>
      </w:r>
    </w:p>
    <w:p w14:paraId="5A4BCF73">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文件制作</w:t>
      </w:r>
    </w:p>
    <w:p w14:paraId="15A50459">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2.1供应商通过“</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办事指南（办事指南及下载专区）：下载“投标文件制作工具安装包压缩文件下载”等。</w:t>
      </w:r>
    </w:p>
    <w:p w14:paraId="3CD851FA">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2.2供应商凭 CA 数字证书登</w:t>
      </w:r>
      <w:r>
        <w:rPr>
          <w:rFonts w:hint="eastAsia" w:asciiTheme="minorEastAsia" w:hAnsiTheme="minorEastAsia" w:eastAsiaTheme="minorEastAsia" w:cstheme="minorEastAsia"/>
          <w:sz w:val="24"/>
          <w:szCs w:val="24"/>
          <w:lang w:eastAsia="zh-CN"/>
        </w:rPr>
        <w:t>录</w:t>
      </w:r>
      <w:r>
        <w:rPr>
          <w:rFonts w:hint="eastAsia" w:asciiTheme="minorEastAsia" w:hAnsiTheme="minorEastAsia" w:eastAsiaTheme="minorEastAsia" w:cstheme="minorEastAsia"/>
          <w:sz w:val="24"/>
          <w:szCs w:val="24"/>
        </w:rPr>
        <w:t>市场主体并按网上提示自行下载项目所含格式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jztf）</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w:t>
      </w:r>
    </w:p>
    <w:p w14:paraId="5DC4C102">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2.3供应商须在</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文件递交截止时间前制作并提交：加密的电子</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jztf</w:t>
      </w:r>
      <w:r>
        <w:rPr>
          <w:rFonts w:hint="eastAsia" w:asciiTheme="minorEastAsia" w:hAnsiTheme="minorEastAsia" w:eastAsiaTheme="minorEastAsia" w:cstheme="minorEastAsia"/>
          <w:sz w:val="24"/>
          <w:szCs w:val="24"/>
        </w:rPr>
        <w:t>格式）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文件截止时间前通过“</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市公共资源交易中心”电子交易平台内上传；</w:t>
      </w:r>
    </w:p>
    <w:p w14:paraId="538EFDDF">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2.4加密的电子</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文件为“</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市公共资源交易中心”网站提供的“</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文件制作工具”软件制作生成的加密版</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w:t>
      </w:r>
    </w:p>
    <w:p w14:paraId="09B01A0A">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2.5供应商在制作电子</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文件完成后须加盖电子签章或公章（包括企业电子签章或公章、个人电子签章或签名）。</w:t>
      </w:r>
    </w:p>
    <w:p w14:paraId="6909CB69">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文件开启时，各供应商须派法定代表人或其经授权的委托代理人参加，并携带本单位CA数字证书（制作</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文件时所使用的CA数字证书），在</w:t>
      </w:r>
      <w:r>
        <w:rPr>
          <w:rFonts w:hint="eastAsia" w:asciiTheme="minorEastAsia" w:hAnsiTheme="minorEastAsia" w:eastAsiaTheme="minorEastAsia" w:cstheme="minorEastAsia"/>
          <w:sz w:val="24"/>
          <w:szCs w:val="24"/>
          <w:lang w:eastAsia="zh-CN"/>
        </w:rPr>
        <w:t>网上</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文件解密。</w:t>
      </w:r>
    </w:p>
    <w:p w14:paraId="2EEC5AA6">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供应商（供应商）编制投标（响应）文件时，涉及营业执照、资质、业绩、获奖、人员、财务、社保、纳税、各类证书等内容，必须在响应文件中提供电子版（响应文件中应附清晰的复印件或扫描件，由于模糊不清导致评标委员会无法辨别的，后果由供应商自行承担）。</w:t>
      </w:r>
    </w:p>
    <w:p w14:paraId="6C8B5CF1">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文件格式所要求包含的全部资料应全部制作在</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文件内，</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文件所有格式如实填写（不涉及的内容除外），不应存在漏项或缺项，否则将存在响应文件被拒绝的风险。开标一览表，须严格按照格式编辑，并作为电子开评标系统上传的依据。</w:t>
      </w:r>
    </w:p>
    <w:p w14:paraId="4AEEEA27">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文件以外的任何资料采购人和采购代理机构将拒收。</w:t>
      </w:r>
    </w:p>
    <w:p w14:paraId="78155741">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2.10供应商编辑电子响应文件时，根据</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文件要求用法人 CA 数字证书和企业 CA 数字证书进行签章制作；最后一步生成电子</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jztf</w:t>
      </w:r>
      <w:r>
        <w:rPr>
          <w:rFonts w:hint="eastAsia" w:asciiTheme="minorEastAsia" w:hAnsiTheme="minorEastAsia" w:eastAsiaTheme="minorEastAsia" w:cstheme="minorEastAsia"/>
          <w:sz w:val="24"/>
          <w:szCs w:val="24"/>
        </w:rPr>
        <w:t xml:space="preserve"> 格式）时，只能用本单位的企业 CA 数字证书。</w:t>
      </w:r>
    </w:p>
    <w:p w14:paraId="1F718486">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2.11未尽事宜请供应商仔细阅读</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市公共资源交易平台相关操作手册或说明，如遇使用问题请拨打</w:t>
      </w:r>
      <w:r>
        <w:rPr>
          <w:rFonts w:hint="eastAsia" w:asciiTheme="minorEastAsia" w:hAnsiTheme="minorEastAsia" w:eastAsiaTheme="minorEastAsia" w:cstheme="minorEastAsia"/>
          <w:sz w:val="24"/>
          <w:szCs w:val="24"/>
          <w:lang w:val="en-US" w:eastAsia="zh-CN"/>
        </w:rPr>
        <w:t>平台统一技术服务电话：400-998-0000，服务 QQ:4008503300，服务时间：周一至周日 8:00-17:30 （北京时间）</w:t>
      </w:r>
    </w:p>
    <w:p w14:paraId="1E8D25BE">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2.12</w:t>
      </w:r>
      <w:r>
        <w:rPr>
          <w:rFonts w:hint="eastAsia" w:asciiTheme="minorEastAsia" w:hAnsiTheme="minorEastAsia" w:eastAsiaTheme="minorEastAsia" w:cstheme="minorEastAsia"/>
          <w:sz w:val="24"/>
          <w:szCs w:val="24"/>
        </w:rPr>
        <w:t>澄清与修改采购人、采购代理机构对已发出的</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文件进行的澄清与修改，澄清、修改的内容将作为</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文件的组成部分。采购代理机构将通过</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市公共资源交易平台系统内部“答疑文件”告知供应商，对于各项目中已经成功报名并下载</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文件的项目供应商，供应商自行进行相关查询。各供应商须重新下载最新的</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文件和答疑文件，以此编制</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文件。采购代理机构不承担供应商未收到澄清或变更而引起的一切后果和法律责任。</w:t>
      </w:r>
    </w:p>
    <w:p w14:paraId="6E132521">
      <w:pPr>
        <w:keepNext w:val="0"/>
        <w:keepLines w:val="0"/>
        <w:pageBreakBefore w:val="0"/>
        <w:widowControl w:val="0"/>
        <w:numPr>
          <w:ilvl w:val="0"/>
          <w:numId w:val="0"/>
        </w:numPr>
        <w:tabs>
          <w:tab w:val="right" w:pos="7560"/>
        </w:tabs>
        <w:kinsoku/>
        <w:wordWrap/>
        <w:overflowPunct/>
        <w:topLinePunct w:val="0"/>
        <w:autoSpaceDE/>
        <w:autoSpaceDN/>
        <w:bidi w:val="0"/>
        <w:adjustRightInd/>
        <w:snapToGrid/>
        <w:spacing w:line="360" w:lineRule="auto"/>
        <w:ind w:left="0" w:leftChars="0" w:firstLine="679" w:firstLineChars="283"/>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.供应商在</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文件递交截止时间前须自行查看项目进展、变更通知、澄清及回复，因供应商未及时查看而造成的后果自行承担。</w:t>
      </w:r>
    </w:p>
    <w:p w14:paraId="4A8387B4">
      <w:pPr>
        <w:adjustRightInd w:val="0"/>
        <w:snapToGrid w:val="0"/>
        <w:spacing w:before="100" w:beforeAutospacing="1" w:after="100" w:afterAutospacing="1"/>
        <w:ind w:left="0" w:leftChars="0" w:firstLine="682" w:firstLineChars="283"/>
        <w:jc w:val="center"/>
        <w:outlineLvl w:val="9"/>
        <w:rPr>
          <w:rFonts w:hint="eastAsia" w:asciiTheme="minorEastAsia" w:hAnsiTheme="minorEastAsia" w:eastAsiaTheme="minorEastAsia" w:cstheme="minorEastAsia"/>
          <w:b/>
          <w:bCs/>
          <w:sz w:val="24"/>
          <w:szCs w:val="24"/>
        </w:rPr>
        <w:sectPr>
          <w:headerReference r:id="rId7" w:type="default"/>
          <w:footerReference r:id="rId8" w:type="default"/>
          <w:pgSz w:w="11907" w:h="16840"/>
          <w:pgMar w:top="1474" w:right="1814" w:bottom="1474" w:left="1814" w:header="851" w:footer="851" w:gutter="0"/>
          <w:pgNumType w:fmt="numberInDash"/>
          <w:cols w:space="720" w:num="1"/>
          <w:docGrid w:linePitch="462" w:charSpace="0"/>
        </w:sectPr>
      </w:pPr>
    </w:p>
    <w:p w14:paraId="1ECB217A">
      <w:pPr>
        <w:numPr>
          <w:ilvl w:val="0"/>
          <w:numId w:val="3"/>
        </w:numPr>
        <w:adjustRightInd w:val="0"/>
        <w:snapToGrid w:val="0"/>
        <w:spacing w:before="100" w:beforeAutospacing="1" w:after="100" w:afterAutospacing="1"/>
        <w:ind w:firstLine="723" w:firstLineChars="200"/>
        <w:jc w:val="center"/>
        <w:outlineLvl w:val="0"/>
        <w:rPr>
          <w:rFonts w:hint="eastAsia" w:asciiTheme="minorEastAsia" w:hAnsiTheme="minorEastAsia" w:eastAsiaTheme="minorEastAsia" w:cstheme="minorEastAsia"/>
          <w:b/>
          <w:bCs/>
          <w:sz w:val="36"/>
          <w:szCs w:val="36"/>
        </w:rPr>
      </w:pPr>
      <w:bookmarkStart w:id="8" w:name="_Toc25829"/>
      <w:r>
        <w:rPr>
          <w:rFonts w:hint="eastAsia" w:asciiTheme="minorEastAsia" w:hAnsiTheme="minorEastAsia" w:eastAsiaTheme="minorEastAsia" w:cstheme="minorEastAsia"/>
          <w:b/>
          <w:bCs/>
          <w:sz w:val="36"/>
          <w:szCs w:val="36"/>
        </w:rPr>
        <w:t>公开招标公告</w:t>
      </w:r>
      <w:bookmarkEnd w:id="5"/>
      <w:bookmarkEnd w:id="6"/>
      <w:bookmarkEnd w:id="7"/>
      <w:bookmarkEnd w:id="8"/>
    </w:p>
    <w:p w14:paraId="360D2074">
      <w:pPr>
        <w:adjustRightInd w:val="0"/>
        <w:snapToGrid w:val="0"/>
        <w:spacing w:before="40" w:after="40" w:line="336"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14:paraId="675F9A2F">
      <w:pPr>
        <w:adjustRightInd w:val="0"/>
        <w:snapToGrid w:val="0"/>
        <w:spacing w:before="40" w:after="40" w:line="336"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2025年孟州市河雍办钱庄村育苗大棚配套设施项目</w:t>
      </w:r>
      <w:r>
        <w:rPr>
          <w:rFonts w:hint="eastAsia" w:asciiTheme="minorEastAsia" w:hAnsiTheme="minorEastAsia" w:eastAsiaTheme="minorEastAsia" w:cstheme="minorEastAsia"/>
          <w:bCs/>
          <w:sz w:val="24"/>
          <w:szCs w:val="24"/>
        </w:rPr>
        <w:t>的潜在供应商应在焦作市公共资源交易中心网站会员系统（</w:t>
      </w:r>
      <w:r>
        <w:rPr>
          <w:rFonts w:hint="eastAsia" w:asciiTheme="minorEastAsia" w:hAnsiTheme="minorEastAsia" w:eastAsiaTheme="minorEastAsia" w:cstheme="minorEastAsia"/>
          <w:bCs/>
          <w:sz w:val="24"/>
          <w:szCs w:val="24"/>
        </w:rPr>
        <w:fldChar w:fldCharType="begin" w:fldLock="1"/>
      </w:r>
      <w:r>
        <w:rPr>
          <w:rFonts w:hint="eastAsia" w:asciiTheme="minorEastAsia" w:hAnsiTheme="minorEastAsia" w:eastAsiaTheme="minorEastAsia" w:cstheme="minorEastAsia"/>
          <w:bCs/>
          <w:sz w:val="24"/>
          <w:szCs w:val="24"/>
        </w:rPr>
        <w:instrText xml:space="preserve"> HYPERLINK "http://www.jzggzy.cn）获取磋商文件，并于2021年"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lang w:eastAsia="zh-CN"/>
        </w:rPr>
        <w:t>http://www.ggzy.jiaozuo.gov.cn</w:t>
      </w:r>
      <w:r>
        <w:rPr>
          <w:rFonts w:hint="eastAsia" w:asciiTheme="minorEastAsia" w:hAnsiTheme="minorEastAsia" w:eastAsiaTheme="minorEastAsia" w:cstheme="minorEastAsia"/>
          <w:bCs/>
          <w:sz w:val="24"/>
          <w:szCs w:val="24"/>
        </w:rPr>
        <w:t>）获取</w:t>
      </w:r>
      <w:r>
        <w:rPr>
          <w:rFonts w:hint="eastAsia" w:asciiTheme="minorEastAsia" w:hAnsiTheme="minorEastAsia" w:eastAsiaTheme="minorEastAsia" w:cstheme="minorEastAsia"/>
          <w:bCs/>
          <w:sz w:val="24"/>
          <w:szCs w:val="24"/>
          <w:lang w:eastAsia="zh-CN"/>
        </w:rPr>
        <w:t>招标</w:t>
      </w:r>
      <w:r>
        <w:rPr>
          <w:rFonts w:hint="eastAsia" w:asciiTheme="minorEastAsia" w:hAnsiTheme="minorEastAsia" w:eastAsiaTheme="minorEastAsia" w:cstheme="minorEastAsia"/>
          <w:bCs/>
          <w:sz w:val="24"/>
          <w:szCs w:val="24"/>
        </w:rPr>
        <w:t>文件，并于</w:t>
      </w:r>
      <w:r>
        <w:rPr>
          <w:rFonts w:hint="eastAsia" w:asciiTheme="minorEastAsia" w:hAnsiTheme="minorEastAsia" w:eastAsiaTheme="minorEastAsia" w:cstheme="minorEastAsia"/>
          <w:bCs/>
          <w:sz w:val="24"/>
          <w:szCs w:val="24"/>
          <w:lang w:val="en-US" w:eastAsia="zh-CN"/>
        </w:rPr>
        <w:t>2025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11</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9</w:t>
      </w:r>
      <w:r>
        <w:rPr>
          <w:rFonts w:hint="eastAsia" w:asciiTheme="minorEastAsia" w:hAnsiTheme="minorEastAsia" w:eastAsiaTheme="minorEastAsia" w:cstheme="minorEastAsia"/>
          <w:bCs/>
          <w:sz w:val="24"/>
          <w:szCs w:val="24"/>
        </w:rPr>
        <w:t>点</w:t>
      </w:r>
      <w:r>
        <w:rPr>
          <w:rFonts w:hint="eastAsia" w:asciiTheme="minorEastAsia" w:hAnsiTheme="minorEastAsia" w:eastAsiaTheme="minorEastAsia" w:cstheme="minorEastAsia"/>
          <w:bCs/>
          <w:sz w:val="24"/>
          <w:szCs w:val="24"/>
          <w:lang w:val="en-US" w:eastAsia="zh-CN"/>
        </w:rPr>
        <w:t xml:space="preserve"> 00 </w:t>
      </w:r>
      <w:r>
        <w:rPr>
          <w:rFonts w:hint="eastAsia" w:asciiTheme="minorEastAsia" w:hAnsiTheme="minorEastAsia" w:eastAsiaTheme="minorEastAsia" w:cstheme="minorEastAsia"/>
          <w:bCs/>
          <w:sz w:val="24"/>
          <w:szCs w:val="24"/>
        </w:rPr>
        <w:t>分（北京时间）前提交响应文件。</w:t>
      </w:r>
    </w:p>
    <w:p w14:paraId="4F88C1A4">
      <w:pPr>
        <w:wordWrap w:val="0"/>
        <w:adjustRightInd w:val="0"/>
        <w:snapToGrid w:val="0"/>
        <w:spacing w:before="40" w:after="40" w:line="336" w:lineRule="auto"/>
        <w:ind w:firstLine="482" w:firstLineChars="200"/>
        <w:outlineLvl w:val="9"/>
        <w:rPr>
          <w:rFonts w:hint="eastAsia" w:asciiTheme="minorEastAsia" w:hAnsiTheme="minorEastAsia" w:eastAsiaTheme="minorEastAsia" w:cstheme="minorEastAsia"/>
          <w:b/>
          <w:bCs/>
          <w:sz w:val="24"/>
          <w:szCs w:val="24"/>
        </w:rPr>
      </w:pPr>
      <w:bookmarkStart w:id="9" w:name="_Toc6892"/>
      <w:bookmarkStart w:id="10" w:name="_Toc32835830"/>
      <w:bookmarkStart w:id="11" w:name="_Toc430160311"/>
      <w:bookmarkStart w:id="12" w:name="_Toc8392"/>
      <w:bookmarkStart w:id="13" w:name="_Toc430160314"/>
      <w:r>
        <w:rPr>
          <w:rFonts w:hint="eastAsia" w:asciiTheme="minorEastAsia" w:hAnsiTheme="minorEastAsia" w:eastAsiaTheme="minorEastAsia" w:cstheme="minorEastAsia"/>
          <w:b/>
          <w:bCs/>
          <w:sz w:val="24"/>
          <w:szCs w:val="24"/>
        </w:rPr>
        <w:t>一、项目基本情况</w:t>
      </w:r>
      <w:bookmarkEnd w:id="9"/>
    </w:p>
    <w:p w14:paraId="3344D821">
      <w:pPr>
        <w:wordWrap w:val="0"/>
        <w:adjustRightInd w:val="0"/>
        <w:snapToGrid w:val="0"/>
        <w:spacing w:line="360" w:lineRule="auto"/>
        <w:ind w:firstLine="480" w:firstLineChars="200"/>
        <w:outlineLvl w:val="9"/>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1.项目编号：</w:t>
      </w:r>
      <w:r>
        <w:rPr>
          <w:rFonts w:hint="eastAsia" w:asciiTheme="minorEastAsia" w:hAnsiTheme="minorEastAsia" w:eastAsiaTheme="minorEastAsia" w:cstheme="minorEastAsia"/>
          <w:b w:val="0"/>
          <w:bCs/>
          <w:sz w:val="24"/>
          <w:szCs w:val="24"/>
        </w:rPr>
        <w:t>采购编号：</w:t>
      </w:r>
      <w:r>
        <w:rPr>
          <w:rFonts w:hint="eastAsia" w:asciiTheme="minorEastAsia" w:hAnsiTheme="minorEastAsia" w:eastAsiaTheme="minorEastAsia" w:cstheme="minorEastAsia"/>
          <w:b w:val="0"/>
          <w:bCs/>
          <w:sz w:val="24"/>
          <w:szCs w:val="24"/>
          <w:lang w:eastAsia="zh-CN"/>
        </w:rPr>
        <w:t>孟财招标采购</w:t>
      </w:r>
      <w:r>
        <w:rPr>
          <w:rFonts w:hint="eastAsia" w:asciiTheme="minorEastAsia" w:hAnsiTheme="minorEastAsia" w:eastAsiaTheme="minorEastAsia" w:cstheme="minorEastAsia"/>
          <w:b w:val="0"/>
          <w:bCs/>
          <w:sz w:val="24"/>
          <w:szCs w:val="24"/>
          <w:lang w:val="en-US" w:eastAsia="zh-CN"/>
        </w:rPr>
        <w:t xml:space="preserve">-2025-23   </w:t>
      </w:r>
      <w:r>
        <w:rPr>
          <w:rFonts w:hint="eastAsia" w:asciiTheme="minorEastAsia" w:hAnsiTheme="minorEastAsia" w:eastAsiaTheme="minorEastAsia" w:cstheme="minorEastAsia"/>
          <w:b w:val="0"/>
          <w:bCs/>
          <w:sz w:val="24"/>
          <w:szCs w:val="24"/>
        </w:rPr>
        <w:t xml:space="preserve"> 交易编号：MZ</w:t>
      </w:r>
      <w:r>
        <w:rPr>
          <w:rFonts w:hint="eastAsia" w:asciiTheme="minorEastAsia" w:hAnsiTheme="minorEastAsia" w:eastAsiaTheme="minorEastAsia" w:cstheme="minorEastAsia"/>
          <w:b w:val="0"/>
          <w:bCs/>
          <w:sz w:val="24"/>
          <w:szCs w:val="24"/>
          <w:lang w:val="en-US" w:eastAsia="zh-CN"/>
        </w:rPr>
        <w:t>JYZ2025040</w:t>
      </w:r>
    </w:p>
    <w:p w14:paraId="11AFD087">
      <w:pPr>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2.项目名称：</w:t>
      </w:r>
      <w:r>
        <w:rPr>
          <w:rFonts w:hint="eastAsia" w:asciiTheme="minorEastAsia" w:hAnsiTheme="minorEastAsia" w:eastAsiaTheme="minorEastAsia" w:cstheme="minorEastAsia"/>
          <w:bCs/>
          <w:sz w:val="24"/>
          <w:szCs w:val="24"/>
          <w:lang w:val="en-US" w:eastAsia="zh-CN"/>
        </w:rPr>
        <w:t>2025年孟州市河雍办钱庄村育苗大棚配套设施项目</w:t>
      </w:r>
    </w:p>
    <w:p w14:paraId="69A609EF">
      <w:pPr>
        <w:wordWrap w:val="0"/>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3.采购方式：公开招标</w:t>
      </w:r>
    </w:p>
    <w:p w14:paraId="456CD4DF">
      <w:pPr>
        <w:wordWrap w:val="0"/>
        <w:adjustRightInd w:val="0"/>
        <w:snapToGrid w:val="0"/>
        <w:spacing w:line="360" w:lineRule="auto"/>
        <w:ind w:firstLine="480" w:firstLineChars="200"/>
        <w:outlineLvl w:val="9"/>
        <w:rPr>
          <w:rFonts w:hint="default" w:asciiTheme="minorEastAsia" w:hAnsiTheme="minorEastAsia" w:eastAsiaTheme="minorEastAsia" w:cstheme="minorEastAsia"/>
          <w:bCs/>
          <w:sz w:val="24"/>
          <w:szCs w:val="24"/>
          <w:lang w:val="en-US"/>
        </w:rPr>
      </w:pPr>
      <w:r>
        <w:rPr>
          <w:rFonts w:hint="eastAsia" w:asciiTheme="minorEastAsia" w:hAnsiTheme="minorEastAsia" w:eastAsiaTheme="minorEastAsia" w:cstheme="minorEastAsia"/>
          <w:bCs/>
          <w:sz w:val="24"/>
          <w:szCs w:val="24"/>
        </w:rPr>
        <w:t>4.预算金额：</w:t>
      </w:r>
      <w:r>
        <w:rPr>
          <w:rFonts w:hint="eastAsia" w:asciiTheme="minorEastAsia" w:hAnsiTheme="minorEastAsia" w:eastAsiaTheme="minorEastAsia" w:cstheme="minorEastAsia"/>
          <w:bCs/>
          <w:sz w:val="24"/>
          <w:szCs w:val="24"/>
          <w:lang w:val="en-US" w:eastAsia="zh-CN"/>
        </w:rPr>
        <w:t>55万元</w:t>
      </w:r>
    </w:p>
    <w:p w14:paraId="4BD75FC1">
      <w:pPr>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最高限价：</w:t>
      </w:r>
      <w:r>
        <w:rPr>
          <w:rFonts w:hint="eastAsia" w:asciiTheme="minorEastAsia" w:hAnsiTheme="minorEastAsia" w:eastAsiaTheme="minorEastAsia" w:cstheme="minorEastAsia"/>
          <w:bCs/>
          <w:sz w:val="24"/>
          <w:szCs w:val="24"/>
          <w:lang w:val="en-US" w:eastAsia="zh-CN"/>
        </w:rPr>
        <w:t>55万</w:t>
      </w:r>
      <w:r>
        <w:rPr>
          <w:rFonts w:hint="eastAsia" w:asciiTheme="minorEastAsia" w:hAnsiTheme="minorEastAsia" w:eastAsiaTheme="minorEastAsia" w:cstheme="minorEastAsia"/>
          <w:bCs/>
          <w:sz w:val="24"/>
          <w:szCs w:val="24"/>
        </w:rPr>
        <w:t>元</w:t>
      </w:r>
    </w:p>
    <w:p w14:paraId="563967D6">
      <w:pPr>
        <w:wordWrap w:val="0"/>
        <w:adjustRightInd w:val="0"/>
        <w:snapToGrid w:val="0"/>
        <w:spacing w:before="40" w:after="40" w:line="336"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5.采购需求：（包括但不限于标的的名称、数量、简要技术需求或服务要求等）</w:t>
      </w:r>
    </w:p>
    <w:p w14:paraId="04B165BF">
      <w:pPr>
        <w:tabs>
          <w:tab w:val="left" w:pos="312"/>
        </w:tabs>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5.1采购内容：</w:t>
      </w:r>
      <w:r>
        <w:rPr>
          <w:rFonts w:hint="eastAsia" w:asciiTheme="minorEastAsia" w:hAnsiTheme="minorEastAsia" w:eastAsiaTheme="minorEastAsia" w:cstheme="minorEastAsia"/>
          <w:bCs/>
          <w:sz w:val="24"/>
          <w:szCs w:val="24"/>
          <w:lang w:val="en-US" w:eastAsia="zh-CN"/>
        </w:rPr>
        <w:t>2025年孟州市河雍办钱庄村育苗大棚配套设施项目</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增加移动育苗床4918.2平方米，自走式移动喷灌机7套</w:t>
      </w:r>
      <w:r>
        <w:rPr>
          <w:rFonts w:hint="eastAsia" w:asciiTheme="minorEastAsia" w:hAnsiTheme="minorEastAsia" w:eastAsiaTheme="minorEastAsia" w:cstheme="minorEastAsia"/>
          <w:bCs/>
          <w:sz w:val="24"/>
          <w:szCs w:val="24"/>
        </w:rPr>
        <w:t>（具体数量及技术要求详见</w:t>
      </w:r>
      <w:r>
        <w:rPr>
          <w:rFonts w:hint="eastAsia" w:asciiTheme="minorEastAsia" w:hAnsiTheme="minorEastAsia" w:eastAsiaTheme="minorEastAsia" w:cstheme="minorEastAsia"/>
          <w:bCs/>
          <w:sz w:val="24"/>
          <w:szCs w:val="24"/>
          <w:lang w:eastAsia="zh-CN"/>
        </w:rPr>
        <w:t>第五章</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w:t>
      </w:r>
    </w:p>
    <w:p w14:paraId="2023EDEC">
      <w:pPr>
        <w:tabs>
          <w:tab w:val="left" w:pos="312"/>
        </w:tabs>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5.2质量要求：合格</w:t>
      </w:r>
      <w:r>
        <w:rPr>
          <w:rFonts w:hint="eastAsia" w:asciiTheme="minorEastAsia" w:hAnsiTheme="minorEastAsia" w:eastAsiaTheme="minorEastAsia" w:cstheme="minorEastAsia"/>
          <w:sz w:val="24"/>
          <w:szCs w:val="24"/>
          <w:lang w:eastAsia="zh-CN"/>
        </w:rPr>
        <w:t>（包括安装、连接，达到正常运转交付标准）</w:t>
      </w:r>
      <w:r>
        <w:rPr>
          <w:rFonts w:hint="eastAsia" w:asciiTheme="minorEastAsia" w:hAnsiTheme="minorEastAsia" w:eastAsiaTheme="minorEastAsia" w:cstheme="minorEastAsia"/>
          <w:bCs/>
          <w:sz w:val="24"/>
          <w:szCs w:val="24"/>
        </w:rPr>
        <w:t>；</w:t>
      </w:r>
    </w:p>
    <w:p w14:paraId="55B4E6F9">
      <w:pPr>
        <w:tabs>
          <w:tab w:val="left" w:pos="312"/>
        </w:tabs>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5.3质保期：自货物验收合格使用之日起质保</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年。</w:t>
      </w:r>
    </w:p>
    <w:p w14:paraId="1BE69473">
      <w:pPr>
        <w:tabs>
          <w:tab w:val="left" w:pos="312"/>
        </w:tabs>
        <w:wordWrap w:val="0"/>
        <w:adjustRightInd w:val="0"/>
        <w:snapToGrid w:val="0"/>
        <w:spacing w:line="360" w:lineRule="auto"/>
        <w:ind w:firstLine="480" w:firstLineChars="200"/>
        <w:outlineLvl w:val="9"/>
        <w:rPr>
          <w:rFonts w:hint="eastAsia" w:eastAsiaTheme="minorEastAsia"/>
          <w:lang w:eastAsia="zh-CN"/>
        </w:rPr>
      </w:pPr>
      <w:r>
        <w:rPr>
          <w:rFonts w:hint="eastAsia" w:asciiTheme="minorEastAsia" w:hAnsiTheme="minorEastAsia" w:eastAsiaTheme="minorEastAsia" w:cstheme="minorEastAsia"/>
          <w:bCs/>
          <w:sz w:val="24"/>
          <w:szCs w:val="24"/>
        </w:rPr>
        <w:t>5.4合同履行期限：合同签订且生效后</w:t>
      </w:r>
      <w:r>
        <w:rPr>
          <w:rFonts w:hint="eastAsia" w:asciiTheme="minorEastAsia" w:hAnsiTheme="minorEastAsia" w:eastAsiaTheme="minorEastAsia" w:cstheme="minorEastAsia"/>
          <w:bCs/>
          <w:sz w:val="24"/>
          <w:szCs w:val="24"/>
          <w:lang w:val="en-US" w:eastAsia="zh-CN"/>
        </w:rPr>
        <w:t>30</w:t>
      </w:r>
      <w:r>
        <w:rPr>
          <w:rFonts w:hint="eastAsia" w:asciiTheme="minorEastAsia" w:hAnsiTheme="minorEastAsia" w:eastAsiaTheme="minorEastAsia" w:cstheme="minorEastAsia"/>
          <w:bCs/>
          <w:sz w:val="24"/>
          <w:szCs w:val="24"/>
        </w:rPr>
        <w:t>日历天内交货并安装调试完毕。</w:t>
      </w:r>
    </w:p>
    <w:p w14:paraId="147D3928">
      <w:pPr>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.是否接受进口产品：否</w:t>
      </w:r>
    </w:p>
    <w:p w14:paraId="7AE92E6D">
      <w:pPr>
        <w:wordWrap w:val="0"/>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.本项目是否接受联合体投标：否</w:t>
      </w:r>
    </w:p>
    <w:p w14:paraId="089099C8">
      <w:pPr>
        <w:wordWrap w:val="0"/>
        <w:adjustRightInd w:val="0"/>
        <w:snapToGrid w:val="0"/>
        <w:spacing w:before="40" w:after="40" w:line="336" w:lineRule="auto"/>
        <w:ind w:firstLine="482" w:firstLineChars="200"/>
        <w:outlineLvl w:val="9"/>
        <w:rPr>
          <w:rFonts w:hint="eastAsia" w:asciiTheme="minorEastAsia" w:hAnsiTheme="minorEastAsia" w:eastAsiaTheme="minorEastAsia" w:cstheme="minorEastAsia"/>
          <w:b/>
          <w:bCs/>
          <w:sz w:val="24"/>
          <w:szCs w:val="24"/>
        </w:rPr>
      </w:pPr>
      <w:bookmarkStart w:id="14" w:name="_Toc35393791"/>
      <w:bookmarkStart w:id="15" w:name="_Toc28359080"/>
      <w:bookmarkStart w:id="16" w:name="_Toc35393622"/>
      <w:bookmarkStart w:id="17" w:name="_Toc27224"/>
      <w:bookmarkStart w:id="18" w:name="_Toc28359003"/>
      <w:r>
        <w:rPr>
          <w:rFonts w:hint="eastAsia" w:asciiTheme="minorEastAsia" w:hAnsiTheme="minorEastAsia" w:eastAsiaTheme="minorEastAsia" w:cstheme="minorEastAsia"/>
          <w:b/>
          <w:bCs/>
          <w:sz w:val="24"/>
          <w:szCs w:val="24"/>
        </w:rPr>
        <w:t>二、申请人的资格要求：</w:t>
      </w:r>
      <w:bookmarkEnd w:id="14"/>
      <w:bookmarkEnd w:id="15"/>
      <w:bookmarkEnd w:id="16"/>
      <w:bookmarkEnd w:id="17"/>
      <w:bookmarkEnd w:id="18"/>
    </w:p>
    <w:p w14:paraId="4E10958A">
      <w:pPr>
        <w:wordWrap w:val="0"/>
        <w:adjustRightInd w:val="0"/>
        <w:snapToGrid w:val="0"/>
        <w:spacing w:before="40" w:after="40" w:line="336" w:lineRule="auto"/>
        <w:ind w:firstLine="480" w:firstLineChars="200"/>
        <w:outlineLvl w:val="9"/>
        <w:rPr>
          <w:rFonts w:hint="default" w:eastAsiaTheme="minorEastAsia"/>
          <w:lang w:val="en-US" w:eastAsia="zh-CN"/>
        </w:rPr>
      </w:pPr>
      <w:r>
        <w:rPr>
          <w:rFonts w:hint="eastAsia" w:asciiTheme="minorEastAsia" w:hAnsiTheme="minorEastAsia" w:eastAsiaTheme="minorEastAsia" w:cstheme="minorEastAsia"/>
          <w:bCs/>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Theme="minorEastAsia" w:hAnsiTheme="minorEastAsia" w:eastAsiaTheme="minorEastAsia" w:cstheme="minorEastAsia"/>
          <w:bCs/>
          <w:sz w:val="24"/>
          <w:szCs w:val="24"/>
        </w:rPr>
        <w:t>具有独立承担民事责任的能力；（提供有效的法人或者其他组织的营业执照等证明文件扫描件）</w:t>
      </w:r>
    </w:p>
    <w:p w14:paraId="60FABF3F">
      <w:pPr>
        <w:wordWrap w:val="0"/>
        <w:adjustRightInd w:val="0"/>
        <w:snapToGrid w:val="0"/>
        <w:spacing w:before="40" w:after="40" w:line="336" w:lineRule="auto"/>
        <w:ind w:firstLine="480" w:firstLineChars="200"/>
        <w:outlineLvl w:val="9"/>
        <w:rPr>
          <w:rFonts w:hint="eastAsia"/>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满足《中华人民共和国政府采购法》第二十二条规定</w:t>
      </w:r>
      <w:bookmarkStart w:id="19" w:name="_Toc28359081"/>
      <w:bookmarkStart w:id="20" w:name="_Toc28359004"/>
    </w:p>
    <w:p w14:paraId="6718AAB5">
      <w:pPr>
        <w:wordWrap w:val="0"/>
        <w:adjustRightInd w:val="0"/>
        <w:snapToGrid w:val="0"/>
        <w:spacing w:before="40" w:after="40" w:line="336" w:lineRule="auto"/>
        <w:ind w:firstLine="480" w:firstLineChars="200"/>
        <w:outlineLvl w:val="9"/>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.落实政府采购政策需满足的资格要求：</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根据《政府采购促进中小企业发展管理办法》（财库〔2020〕46号）的规定，本项目专门面向中小企业采购</w:t>
      </w:r>
    </w:p>
    <w:p w14:paraId="168DF0C2">
      <w:pPr>
        <w:wordWrap w:val="0"/>
        <w:adjustRightInd w:val="0"/>
        <w:snapToGrid w:val="0"/>
        <w:spacing w:before="40" w:after="40" w:line="336"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.本项目的特定资格要求：</w:t>
      </w:r>
      <w:bookmarkStart w:id="21" w:name="_Toc35393792"/>
      <w:bookmarkStart w:id="22" w:name="_Toc35393623"/>
    </w:p>
    <w:p w14:paraId="18434FA8">
      <w:pPr>
        <w:keepNext w:val="0"/>
        <w:keepLines w:val="0"/>
        <w:pageBreakBefore w:val="0"/>
        <w:kinsoku/>
        <w:wordWrap w:val="0"/>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sz w:val="24"/>
          <w:szCs w:val="24"/>
          <w:lang w:val="en-US" w:eastAsia="zh-CN"/>
        </w:rPr>
        <w:t>被列入失信被执行人、重大税收违法失信主体、政府采购严重违法失信行为记录名单的单位将被拒绝参与本项目；</w:t>
      </w:r>
    </w:p>
    <w:p w14:paraId="593AF0FB">
      <w:pPr>
        <w:wordWrap w:val="0"/>
        <w:adjustRightInd w:val="0"/>
        <w:snapToGrid w:val="0"/>
        <w:spacing w:before="40" w:after="40" w:line="336" w:lineRule="auto"/>
        <w:ind w:firstLine="480" w:firstLineChars="200"/>
        <w:outlineLvl w:val="9"/>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单位负责人为同一人或者存在直接控股、管理关系的不同供应商，不得参加同一合同项下的政府采购活动。</w:t>
      </w:r>
    </w:p>
    <w:p w14:paraId="2CDA9E21">
      <w:pPr>
        <w:numPr>
          <w:ilvl w:val="0"/>
          <w:numId w:val="0"/>
        </w:numPr>
        <w:wordWrap w:val="0"/>
        <w:adjustRightInd w:val="0"/>
        <w:snapToGrid w:val="0"/>
        <w:spacing w:before="40" w:after="40" w:line="336" w:lineRule="auto"/>
        <w:ind w:left="0" w:leftChars="0" w:firstLine="482" w:firstLineChars="200"/>
        <w:outlineLvl w:val="9"/>
        <w:rPr>
          <w:rFonts w:hint="eastAsia" w:asciiTheme="minorEastAsia" w:hAnsiTheme="minorEastAsia" w:eastAsiaTheme="minorEastAsia" w:cstheme="minorEastAsia"/>
          <w:b/>
          <w:bCs/>
          <w:sz w:val="24"/>
          <w:szCs w:val="24"/>
        </w:rPr>
      </w:pPr>
      <w:bookmarkStart w:id="23" w:name="_Toc19116"/>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获取招标文件</w:t>
      </w:r>
      <w:bookmarkEnd w:id="19"/>
      <w:bookmarkEnd w:id="20"/>
      <w:bookmarkEnd w:id="21"/>
      <w:bookmarkEnd w:id="22"/>
      <w:bookmarkEnd w:id="23"/>
      <w:bookmarkStart w:id="24" w:name="_Toc28359082"/>
      <w:bookmarkStart w:id="25" w:name="_Toc28359005"/>
      <w:bookmarkStart w:id="26" w:name="_Toc35393793"/>
      <w:bookmarkStart w:id="27" w:name="_Toc35393624"/>
    </w:p>
    <w:p w14:paraId="4108866E">
      <w:pPr>
        <w:numPr>
          <w:ilvl w:val="3"/>
          <w:numId w:val="0"/>
        </w:numPr>
        <w:wordWrap w:val="0"/>
        <w:adjustRightInd w:val="0"/>
        <w:snapToGrid w:val="0"/>
        <w:spacing w:before="40" w:after="40" w:line="336" w:lineRule="auto"/>
        <w:ind w:left="0" w:leftChars="0"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时间：</w:t>
      </w:r>
      <w:r>
        <w:rPr>
          <w:rFonts w:hint="eastAsia" w:asciiTheme="minorEastAsia" w:hAnsiTheme="minorEastAsia" w:eastAsiaTheme="minorEastAsia" w:cstheme="minorEastAsia"/>
          <w:kern w:val="0"/>
          <w:sz w:val="24"/>
          <w:szCs w:val="24"/>
          <w:lang w:val="en-US" w:eastAsia="zh-CN"/>
        </w:rPr>
        <w:t>2025</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5月20</w:t>
      </w:r>
      <w:r>
        <w:rPr>
          <w:rFonts w:hint="eastAsia" w:asciiTheme="minorEastAsia" w:hAnsiTheme="minorEastAsia" w:eastAsiaTheme="minorEastAsia" w:cstheme="minorEastAsia"/>
          <w:kern w:val="0"/>
          <w:sz w:val="24"/>
          <w:szCs w:val="24"/>
        </w:rPr>
        <w:t>日至</w:t>
      </w:r>
      <w:r>
        <w:rPr>
          <w:rFonts w:hint="eastAsia" w:asciiTheme="minorEastAsia" w:hAnsiTheme="minorEastAsia" w:eastAsiaTheme="minorEastAsia" w:cstheme="minorEastAsia"/>
          <w:kern w:val="0"/>
          <w:sz w:val="24"/>
          <w:szCs w:val="24"/>
          <w:lang w:val="en-US" w:eastAsia="zh-CN"/>
        </w:rPr>
        <w:t>2025</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lang w:val="en-US" w:eastAsia="zh-CN"/>
        </w:rPr>
        <w:t>26</w:t>
      </w:r>
      <w:r>
        <w:rPr>
          <w:rFonts w:hint="eastAsia" w:asciiTheme="minorEastAsia" w:hAnsiTheme="minorEastAsia" w:eastAsiaTheme="minorEastAsia" w:cstheme="minorEastAsia"/>
          <w:kern w:val="0"/>
          <w:sz w:val="24"/>
          <w:szCs w:val="24"/>
        </w:rPr>
        <w:t>日，每天上午0：00至12:00，下午12:00至23:59（北京时间，法定节假日除外）</w:t>
      </w:r>
    </w:p>
    <w:p w14:paraId="4EDF43AC">
      <w:pPr>
        <w:numPr>
          <w:ilvl w:val="3"/>
          <w:numId w:val="0"/>
        </w:numPr>
        <w:wordWrap w:val="0"/>
        <w:adjustRightInd w:val="0"/>
        <w:snapToGrid w:val="0"/>
        <w:spacing w:before="40" w:after="40" w:line="336" w:lineRule="auto"/>
        <w:ind w:left="340" w:leftChars="100" w:firstLine="139" w:firstLineChars="58"/>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地点：焦作市公共资源交易中心网站会员系统</w:t>
      </w:r>
    </w:p>
    <w:p w14:paraId="29C95E59">
      <w:pPr>
        <w:numPr>
          <w:ilvl w:val="3"/>
          <w:numId w:val="0"/>
        </w:numPr>
        <w:wordWrap w:val="0"/>
        <w:adjustRightInd w:val="0"/>
        <w:snapToGrid w:val="0"/>
        <w:spacing w:before="40" w:after="40" w:line="336" w:lineRule="auto"/>
        <w:ind w:left="0" w:leftChars="0"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方式：</w:t>
      </w:r>
      <w:r>
        <w:rPr>
          <w:rFonts w:hint="eastAsia" w:asciiTheme="minorEastAsia" w:hAnsiTheme="minorEastAsia" w:eastAsiaTheme="minorEastAsia" w:cstheme="minorEastAsia"/>
          <w:kern w:val="0"/>
          <w:sz w:val="24"/>
          <w:szCs w:val="24"/>
          <w:lang w:val="en-US" w:eastAsia="zh-CN"/>
        </w:rPr>
        <w:t>本项目采用电子开评标（不见面开标），凡有意参加投标者，请登录焦作市公共资源交易中心网站交易平台“交易主体登录”栏目下载招标文件</w:t>
      </w:r>
      <w:r>
        <w:rPr>
          <w:rFonts w:hint="eastAsia" w:asciiTheme="minorEastAsia" w:hAnsiTheme="minorEastAsia" w:eastAsiaTheme="minorEastAsia" w:cstheme="minorEastAsia"/>
          <w:kern w:val="0"/>
          <w:sz w:val="24"/>
          <w:szCs w:val="24"/>
        </w:rPr>
        <w:t>。（联系电话：0391-3568920）</w:t>
      </w:r>
    </w:p>
    <w:p w14:paraId="708F1F6E">
      <w:pPr>
        <w:numPr>
          <w:ilvl w:val="3"/>
          <w:numId w:val="0"/>
        </w:numPr>
        <w:wordWrap w:val="0"/>
        <w:adjustRightInd w:val="0"/>
        <w:snapToGrid w:val="0"/>
        <w:spacing w:before="40" w:after="40" w:line="336" w:lineRule="auto"/>
        <w:ind w:left="340" w:leftChars="100" w:firstLine="139" w:firstLineChars="58"/>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售价：0元</w:t>
      </w:r>
    </w:p>
    <w:p w14:paraId="4395ED41">
      <w:pPr>
        <w:wordWrap w:val="0"/>
        <w:adjustRightInd w:val="0"/>
        <w:snapToGrid w:val="0"/>
        <w:spacing w:before="40" w:after="40" w:line="336" w:lineRule="auto"/>
        <w:ind w:firstLine="482" w:firstLineChars="200"/>
        <w:outlineLvl w:val="9"/>
        <w:rPr>
          <w:rFonts w:hint="eastAsia" w:asciiTheme="minorEastAsia" w:hAnsiTheme="minorEastAsia" w:eastAsiaTheme="minorEastAsia" w:cstheme="minorEastAsia"/>
          <w:b/>
          <w:bCs/>
          <w:sz w:val="24"/>
          <w:szCs w:val="24"/>
        </w:rPr>
      </w:pPr>
      <w:bookmarkStart w:id="28" w:name="_Toc14358"/>
      <w:r>
        <w:rPr>
          <w:rFonts w:hint="eastAsia" w:asciiTheme="minorEastAsia" w:hAnsiTheme="minorEastAsia" w:eastAsiaTheme="minorEastAsia" w:cstheme="minorEastAsia"/>
          <w:b/>
          <w:bCs/>
          <w:sz w:val="24"/>
          <w:szCs w:val="24"/>
        </w:rPr>
        <w:t>四、投标</w:t>
      </w:r>
      <w:bookmarkEnd w:id="24"/>
      <w:bookmarkEnd w:id="25"/>
      <w:r>
        <w:rPr>
          <w:rFonts w:hint="eastAsia" w:asciiTheme="minorEastAsia" w:hAnsiTheme="minorEastAsia" w:eastAsiaTheme="minorEastAsia" w:cstheme="minorEastAsia"/>
          <w:b/>
          <w:bCs/>
          <w:sz w:val="24"/>
          <w:szCs w:val="24"/>
        </w:rPr>
        <w:t>截止时间及地点</w:t>
      </w:r>
      <w:bookmarkEnd w:id="26"/>
      <w:bookmarkEnd w:id="27"/>
      <w:bookmarkEnd w:id="28"/>
    </w:p>
    <w:p w14:paraId="5798D562">
      <w:pPr>
        <w:wordWrap w:val="0"/>
        <w:adjustRightInd w:val="0"/>
        <w:snapToGrid w:val="0"/>
        <w:spacing w:before="40" w:after="40" w:line="336"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1.截止时间：</w:t>
      </w:r>
      <w:r>
        <w:rPr>
          <w:rFonts w:hint="eastAsia" w:asciiTheme="minorEastAsia" w:hAnsiTheme="minorEastAsia" w:eastAsiaTheme="minorEastAsia" w:cstheme="minorEastAsia"/>
          <w:sz w:val="24"/>
          <w:szCs w:val="24"/>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6月11日9时 00 </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北京时间</w:t>
      </w:r>
      <w:r>
        <w:rPr>
          <w:rFonts w:hint="eastAsia" w:asciiTheme="minorEastAsia" w:hAnsiTheme="minorEastAsia" w:eastAsiaTheme="minorEastAsia" w:cstheme="minorEastAsia"/>
          <w:sz w:val="24"/>
          <w:szCs w:val="24"/>
          <w:lang w:eastAsia="zh-CN"/>
        </w:rPr>
        <w:t>）</w:t>
      </w:r>
    </w:p>
    <w:p w14:paraId="4DDBE443">
      <w:pPr>
        <w:wordWrap w:val="0"/>
        <w:adjustRightInd w:val="0"/>
        <w:snapToGrid w:val="0"/>
        <w:spacing w:before="40" w:after="40" w:line="336" w:lineRule="auto"/>
        <w:ind w:firstLine="480"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lang w:val="en-US" w:eastAsia="zh-CN"/>
        </w:rPr>
        <w:t>市</w:t>
      </w:r>
      <w:r>
        <w:rPr>
          <w:rFonts w:hint="eastAsia" w:asciiTheme="minorEastAsia" w:hAnsiTheme="minorEastAsia" w:eastAsiaTheme="minorEastAsia" w:cstheme="minorEastAsia"/>
          <w:sz w:val="24"/>
          <w:szCs w:val="24"/>
        </w:rPr>
        <w:t>公共资源交易中心网站</w:t>
      </w:r>
    </w:p>
    <w:p w14:paraId="21D810D7">
      <w:pPr>
        <w:wordWrap w:val="0"/>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bookmarkStart w:id="29" w:name="_Toc5654"/>
      <w:r>
        <w:rPr>
          <w:rFonts w:hint="eastAsia" w:asciiTheme="minorEastAsia" w:hAnsiTheme="minorEastAsia" w:eastAsiaTheme="minorEastAsia" w:cstheme="minorEastAsia"/>
          <w:b/>
          <w:bCs/>
          <w:sz w:val="24"/>
          <w:szCs w:val="24"/>
        </w:rPr>
        <w:t>五、开标时间及地点</w:t>
      </w:r>
      <w:bookmarkEnd w:id="29"/>
      <w:bookmarkStart w:id="30" w:name="_Toc28359007"/>
      <w:bookmarkStart w:id="31" w:name="_Toc35393625"/>
      <w:bookmarkStart w:id="32" w:name="_Toc28359084"/>
      <w:bookmarkStart w:id="33" w:name="_Toc35393794"/>
    </w:p>
    <w:p w14:paraId="2ACD90F7">
      <w:pPr>
        <w:wordWrap w:val="0"/>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1.时间：</w:t>
      </w:r>
      <w:r>
        <w:rPr>
          <w:rFonts w:hint="eastAsia" w:asciiTheme="minorEastAsia" w:hAnsiTheme="minorEastAsia" w:eastAsiaTheme="minorEastAsia" w:cstheme="minorEastAsia"/>
          <w:kern w:val="0"/>
          <w:sz w:val="24"/>
          <w:szCs w:val="24"/>
          <w:lang w:val="en-US" w:eastAsia="zh-CN"/>
        </w:rPr>
        <w:t>2025</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 xml:space="preserve">6月11日9时 00 </w:t>
      </w:r>
      <w:r>
        <w:rPr>
          <w:rFonts w:hint="eastAsia" w:asciiTheme="minorEastAsia" w:hAnsiTheme="minorEastAsia" w:eastAsiaTheme="minorEastAsia" w:cstheme="minorEastAsia"/>
          <w:kern w:val="0"/>
          <w:sz w:val="24"/>
          <w:szCs w:val="24"/>
        </w:rPr>
        <w:t>分</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北京时间</w:t>
      </w:r>
      <w:r>
        <w:rPr>
          <w:rFonts w:hint="eastAsia" w:asciiTheme="minorEastAsia" w:hAnsiTheme="minorEastAsia" w:eastAsiaTheme="minorEastAsia" w:cstheme="minorEastAsia"/>
          <w:kern w:val="0"/>
          <w:sz w:val="24"/>
          <w:szCs w:val="24"/>
          <w:lang w:eastAsia="zh-CN"/>
        </w:rPr>
        <w:t>）</w:t>
      </w:r>
    </w:p>
    <w:p w14:paraId="6DFD3991">
      <w:pPr>
        <w:wordWrap w:val="0"/>
        <w:adjustRightInd w:val="0"/>
        <w:snapToGrid w:val="0"/>
        <w:spacing w:before="40" w:after="40" w:line="336" w:lineRule="auto"/>
        <w:ind w:firstLine="480" w:firstLineChars="200"/>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2.地点：</w:t>
      </w:r>
      <w:r>
        <w:rPr>
          <w:rFonts w:hint="eastAsia" w:asciiTheme="minorEastAsia" w:hAnsiTheme="minorEastAsia" w:eastAsiaTheme="minorEastAsia" w:cstheme="minorEastAsia"/>
          <w:kern w:val="0"/>
          <w:sz w:val="24"/>
          <w:szCs w:val="24"/>
          <w:lang w:eastAsia="zh-CN"/>
        </w:rPr>
        <w:t>孟州</w:t>
      </w:r>
      <w:r>
        <w:rPr>
          <w:rFonts w:hint="eastAsia" w:asciiTheme="minorEastAsia" w:hAnsiTheme="minorEastAsia" w:eastAsiaTheme="minorEastAsia" w:cstheme="minorEastAsia"/>
          <w:kern w:val="0"/>
          <w:sz w:val="24"/>
          <w:szCs w:val="24"/>
        </w:rPr>
        <w:t>市公共资源交易中心</w:t>
      </w:r>
      <w:r>
        <w:rPr>
          <w:rFonts w:hint="eastAsia" w:asciiTheme="minorEastAsia" w:hAnsiTheme="minorEastAsia" w:eastAsiaTheme="minorEastAsia" w:cstheme="minorEastAsia"/>
          <w:kern w:val="0"/>
          <w:sz w:val="24"/>
          <w:szCs w:val="24"/>
          <w:lang w:eastAsia="zh-CN"/>
        </w:rPr>
        <w:t>四楼</w:t>
      </w:r>
      <w:r>
        <w:rPr>
          <w:rFonts w:hint="eastAsia" w:asciiTheme="minorEastAsia" w:hAnsiTheme="minorEastAsia" w:eastAsiaTheme="minorEastAsia" w:cstheme="minorEastAsia"/>
          <w:kern w:val="0"/>
          <w:sz w:val="24"/>
          <w:szCs w:val="24"/>
          <w:lang w:val="en-US" w:eastAsia="zh-CN"/>
        </w:rPr>
        <w:t>第二开标室</w:t>
      </w:r>
    </w:p>
    <w:p w14:paraId="4EDCCF2B">
      <w:pPr>
        <w:pStyle w:val="17"/>
        <w:keepNext w:val="0"/>
        <w:keepLines w:val="0"/>
        <w:pageBreakBefore w:val="0"/>
        <w:widowControl w:val="0"/>
        <w:kinsoku/>
        <w:overflowPunct/>
        <w:topLinePunct w:val="0"/>
        <w:autoSpaceDE/>
        <w:autoSpaceDN/>
        <w:bidi w:val="0"/>
        <w:adjustRightInd w:val="0"/>
        <w:snapToGrid w:val="0"/>
        <w:spacing w:line="360" w:lineRule="auto"/>
        <w:ind w:firstLine="482" w:firstLineChars="200"/>
        <w:textAlignment w:val="auto"/>
        <w:outlineLvl w:val="9"/>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特别提醒：1.《投标单位操作手册及视频》和新点投标文件制作软件请到焦作市公共资源交易中心新网站“公共服务”——“下载专区”栏目下载。</w:t>
      </w:r>
    </w:p>
    <w:p w14:paraId="7A6D1622">
      <w:pPr>
        <w:pStyle w:val="17"/>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leftChars="0" w:firstLine="552" w:firstLineChars="229"/>
        <w:textAlignment w:val="auto"/>
        <w:outlineLvl w:val="9"/>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2.请各投标人提前办理 CA 数字证书，并学习电子投标文件制作。加密的电子投标文件须使用 CA 数字 证书上传。为防止网络拥堵等不可控因素影响加密的电子投标文件上传，请各投标人提前上传，因未能及时上传导致投标失败的责任由投标人自行承担。</w:t>
      </w:r>
    </w:p>
    <w:p w14:paraId="491A9213">
      <w:pPr>
        <w:pStyle w:val="17"/>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leftChars="0" w:firstLine="552" w:firstLineChars="229"/>
        <w:textAlignment w:val="auto"/>
        <w:outlineLvl w:val="9"/>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3.按要求进行网上获取并下载招标文件，凡未在规定时间内获取招标文件者视为无效标。</w:t>
      </w:r>
    </w:p>
    <w:p w14:paraId="688EFB53">
      <w:pPr>
        <w:pStyle w:val="17"/>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leftChars="0" w:firstLine="614" w:firstLineChars="255"/>
        <w:textAlignment w:val="auto"/>
        <w:outlineLvl w:val="9"/>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rPr>
        <w:t>4.平台统一技术服务电话为：400-998-0000，服务 QQ:4008503300，服务时间：周</w:t>
      </w:r>
      <w:r>
        <w:rPr>
          <w:rFonts w:hint="eastAsia" w:asciiTheme="minorEastAsia" w:hAnsiTheme="minorEastAsia" w:eastAsiaTheme="minorEastAsia" w:cstheme="minorEastAsia"/>
          <w:b/>
          <w:bCs/>
          <w:kern w:val="0"/>
          <w:sz w:val="24"/>
          <w:szCs w:val="24"/>
          <w:lang w:val="en-US" w:eastAsia="zh-CN" w:bidi="ar-SA"/>
        </w:rPr>
        <w:t>一至周日 8:00-17:30 （北京时间）。</w:t>
      </w:r>
    </w:p>
    <w:p w14:paraId="4C817F70">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14" w:firstLineChars="255"/>
        <w:textAlignment w:val="auto"/>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bidi="ar-SA"/>
        </w:rPr>
        <w:t>5.获取招标文件后，请下载并安装最新版本投标文件制作工具，制作电子投标文件，在投标截止时间前，上传加密的响应文件。供应商未在投标截止时间前完成上传的，视为逾期送达，焦作市电子招投标交易平台将拒绝接收。</w:t>
      </w:r>
    </w:p>
    <w:p w14:paraId="5DE88706">
      <w:pPr>
        <w:pStyle w:val="50"/>
        <w:spacing w:line="360" w:lineRule="auto"/>
        <w:ind w:left="0" w:leftChars="0" w:firstLine="614" w:firstLineChars="255"/>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0"/>
          <w:sz w:val="24"/>
          <w:szCs w:val="24"/>
          <w:lang w:val="en-US" w:eastAsia="zh-CN"/>
        </w:rPr>
        <w:t>6.本项目采用远程不见面交易的模式，开标当日，投标单位无需到现场参加开标会议，应在投标截止时间前，登录“不见面开标大厅”，在线准时参加开标活动并进行投标文件解密等。因供应商原因未能解密或 解密失败的将被拒绝。详见焦作市公共资源交易中心网站－下载专区“投标单位操作手册及视频”。除电子投标文件外，投标时不再接受任何纸质文件、资料等。</w:t>
      </w:r>
    </w:p>
    <w:p w14:paraId="0607FD72">
      <w:pPr>
        <w:wordWrap w:val="0"/>
        <w:adjustRightInd w:val="0"/>
        <w:snapToGrid w:val="0"/>
        <w:spacing w:before="40" w:after="40" w:line="336" w:lineRule="auto"/>
        <w:ind w:firstLine="482" w:firstLineChars="200"/>
        <w:outlineLvl w:val="9"/>
        <w:rPr>
          <w:rFonts w:hint="eastAsia" w:asciiTheme="minorEastAsia" w:hAnsiTheme="minorEastAsia" w:eastAsiaTheme="minorEastAsia" w:cstheme="minorEastAsia"/>
          <w:b/>
          <w:bCs/>
          <w:sz w:val="24"/>
          <w:szCs w:val="24"/>
        </w:rPr>
      </w:pPr>
      <w:bookmarkStart w:id="34" w:name="_Toc21768"/>
      <w:r>
        <w:rPr>
          <w:rFonts w:hint="eastAsia" w:asciiTheme="minorEastAsia" w:hAnsiTheme="minorEastAsia" w:eastAsiaTheme="minorEastAsia" w:cstheme="minorEastAsia"/>
          <w:b/>
          <w:bCs/>
          <w:sz w:val="24"/>
          <w:szCs w:val="24"/>
        </w:rPr>
        <w:t>六、</w:t>
      </w:r>
      <w:bookmarkEnd w:id="30"/>
      <w:bookmarkEnd w:id="31"/>
      <w:bookmarkEnd w:id="32"/>
      <w:bookmarkEnd w:id="33"/>
      <w:r>
        <w:rPr>
          <w:rFonts w:hint="eastAsia" w:asciiTheme="minorEastAsia" w:hAnsiTheme="minorEastAsia" w:eastAsiaTheme="minorEastAsia" w:cstheme="minorEastAsia"/>
          <w:b/>
          <w:bCs/>
          <w:sz w:val="24"/>
          <w:szCs w:val="24"/>
        </w:rPr>
        <w:t>发布公告的媒介及招标公告期限</w:t>
      </w:r>
      <w:bookmarkEnd w:id="34"/>
    </w:p>
    <w:p w14:paraId="797CA6F7">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rPr>
      </w:pPr>
      <w:bookmarkStart w:id="35" w:name="_Toc35393626"/>
      <w:bookmarkStart w:id="36" w:name="_Toc35393795"/>
      <w:r>
        <w:rPr>
          <w:rFonts w:hint="eastAsia" w:asciiTheme="minorEastAsia" w:hAnsiTheme="minorEastAsia" w:eastAsiaTheme="minorEastAsia" w:cstheme="minorEastAsia"/>
          <w:color w:val="333333"/>
          <w:spacing w:val="6"/>
          <w:sz w:val="24"/>
          <w:szCs w:val="24"/>
          <w:lang w:eastAsia="zh-CN"/>
        </w:rPr>
        <w:t>本</w:t>
      </w:r>
      <w:r>
        <w:rPr>
          <w:rFonts w:hint="eastAsia" w:asciiTheme="minorEastAsia" w:hAnsiTheme="minorEastAsia" w:eastAsiaTheme="minorEastAsia" w:cstheme="minorEastAsia"/>
          <w:color w:val="333333"/>
          <w:spacing w:val="6"/>
          <w:sz w:val="24"/>
          <w:szCs w:val="24"/>
        </w:rPr>
        <w:t>次公告在《河南省政府采购网》、《焦作市公共资源交易中心网》、《孟州市人民政府网站》上发布。</w:t>
      </w:r>
    </w:p>
    <w:p w14:paraId="63CA8ED8">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pacing w:val="6"/>
          <w:sz w:val="24"/>
          <w:szCs w:val="24"/>
        </w:rPr>
        <w:t>招标公告期限为五个工作日</w:t>
      </w:r>
      <w:r>
        <w:rPr>
          <w:rFonts w:hint="eastAsia" w:asciiTheme="minorEastAsia" w:hAnsiTheme="minorEastAsia" w:eastAsiaTheme="minorEastAsia" w:cstheme="minorEastAsia"/>
          <w:bCs/>
          <w:sz w:val="24"/>
          <w:szCs w:val="24"/>
        </w:rPr>
        <w:t>。</w:t>
      </w:r>
    </w:p>
    <w:p w14:paraId="38D3E6F6">
      <w:pPr>
        <w:wordWrap w:val="0"/>
        <w:adjustRightInd w:val="0"/>
        <w:snapToGrid w:val="0"/>
        <w:spacing w:before="40" w:after="40" w:line="336" w:lineRule="auto"/>
        <w:ind w:firstLine="482" w:firstLineChars="200"/>
        <w:outlineLvl w:val="9"/>
        <w:rPr>
          <w:rFonts w:hint="eastAsia" w:asciiTheme="minorEastAsia" w:hAnsiTheme="minorEastAsia" w:eastAsiaTheme="minorEastAsia" w:cstheme="minorEastAsia"/>
          <w:b/>
          <w:bCs/>
          <w:sz w:val="24"/>
          <w:szCs w:val="24"/>
        </w:rPr>
      </w:pPr>
      <w:bookmarkStart w:id="37" w:name="_Toc27212"/>
      <w:r>
        <w:rPr>
          <w:rFonts w:hint="eastAsia" w:asciiTheme="minorEastAsia" w:hAnsiTheme="minorEastAsia" w:eastAsiaTheme="minorEastAsia" w:cstheme="minorEastAsia"/>
          <w:b/>
          <w:bCs/>
          <w:sz w:val="24"/>
          <w:szCs w:val="24"/>
        </w:rPr>
        <w:t>七、其他补充事宜</w:t>
      </w:r>
      <w:bookmarkEnd w:id="35"/>
      <w:bookmarkEnd w:id="36"/>
      <w:bookmarkEnd w:id="37"/>
    </w:p>
    <w:p w14:paraId="20FAA139">
      <w:pPr>
        <w:pStyle w:val="17"/>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Cs/>
          <w:kern w:val="2"/>
          <w:sz w:val="24"/>
          <w:szCs w:val="24"/>
          <w:lang w:val="en-US" w:eastAsia="zh-CN" w:bidi="ar-SA"/>
        </w:rPr>
      </w:pPr>
      <w:bookmarkStart w:id="38" w:name="_Toc28359008"/>
      <w:bookmarkStart w:id="39" w:name="_Toc28359085"/>
      <w:bookmarkStart w:id="40" w:name="_Toc35393627"/>
      <w:bookmarkStart w:id="41" w:name="_Toc35393796"/>
      <w:r>
        <w:rPr>
          <w:rFonts w:hint="eastAsia" w:asciiTheme="minorEastAsia" w:hAnsiTheme="minorEastAsia" w:eastAsiaTheme="minorEastAsia" w:cstheme="minorEastAsia"/>
          <w:bCs/>
          <w:kern w:val="2"/>
          <w:sz w:val="24"/>
          <w:szCs w:val="24"/>
          <w:lang w:val="en-US" w:eastAsia="zh-CN" w:bidi="ar-SA"/>
        </w:rPr>
        <w:t>1.本项目执行强制采购、优先采购节能产品、优先采购环境标志产品、</w:t>
      </w:r>
      <w:r>
        <w:rPr>
          <w:rFonts w:hint="eastAsia" w:asciiTheme="minorEastAsia" w:hAnsiTheme="minorEastAsia" w:eastAsiaTheme="minorEastAsia" w:cstheme="minorEastAsia"/>
          <w:sz w:val="24"/>
          <w:szCs w:val="24"/>
        </w:rPr>
        <w:t>促进中小企业发展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促进残疾人就业、支持</w:t>
      </w:r>
      <w:r>
        <w:rPr>
          <w:rFonts w:hint="eastAsia" w:asciiTheme="minorEastAsia" w:hAnsiTheme="minorEastAsia" w:eastAsiaTheme="minorEastAsia" w:cstheme="minorEastAsia"/>
          <w:sz w:val="24"/>
          <w:szCs w:val="24"/>
        </w:rPr>
        <w:t>监狱</w:t>
      </w:r>
      <w:r>
        <w:rPr>
          <w:rFonts w:hint="eastAsia" w:asciiTheme="minorEastAsia" w:hAnsiTheme="minorEastAsia" w:eastAsiaTheme="minorEastAsia" w:cstheme="minorEastAsia"/>
          <w:sz w:val="24"/>
          <w:szCs w:val="24"/>
          <w:lang w:val="en-US" w:eastAsia="zh-CN"/>
        </w:rPr>
        <w:t>企业发展等</w:t>
      </w:r>
      <w:r>
        <w:rPr>
          <w:rFonts w:hint="eastAsia" w:asciiTheme="minorEastAsia" w:hAnsiTheme="minorEastAsia" w:eastAsiaTheme="minorEastAsia" w:cstheme="minorEastAsia"/>
          <w:sz w:val="24"/>
          <w:szCs w:val="24"/>
        </w:rPr>
        <w:t>相关</w:t>
      </w:r>
      <w:r>
        <w:rPr>
          <w:rFonts w:hint="eastAsia" w:asciiTheme="minorEastAsia" w:hAnsiTheme="minorEastAsia" w:eastAsiaTheme="minorEastAsia" w:cstheme="minorEastAsia"/>
          <w:sz w:val="24"/>
          <w:szCs w:val="24"/>
          <w:lang w:val="en-US" w:eastAsia="zh-CN"/>
        </w:rPr>
        <w:t>政府采购</w:t>
      </w:r>
      <w:r>
        <w:rPr>
          <w:rFonts w:hint="eastAsia" w:asciiTheme="minorEastAsia" w:hAnsiTheme="minorEastAsia" w:eastAsiaTheme="minorEastAsia" w:cstheme="minorEastAsia"/>
          <w:sz w:val="24"/>
          <w:szCs w:val="24"/>
        </w:rPr>
        <w:t>政策</w:t>
      </w:r>
      <w:r>
        <w:rPr>
          <w:rFonts w:hint="eastAsia" w:asciiTheme="minorEastAsia" w:hAnsiTheme="minorEastAsia" w:eastAsiaTheme="minorEastAsia" w:cstheme="minorEastAsia"/>
          <w:bCs/>
          <w:kern w:val="2"/>
          <w:sz w:val="24"/>
          <w:szCs w:val="24"/>
          <w:lang w:val="en-US" w:eastAsia="zh-CN" w:bidi="ar-SA"/>
        </w:rPr>
        <w:t>。</w:t>
      </w:r>
    </w:p>
    <w:p w14:paraId="4AE07EC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本项目采购标的对应的中小企业划分标准所属行业：工业；中小微企业划分按照《国家统计局关于印发&lt;统计上大中小微型企业划分办法（2017）&gt;的通知》（国统字〔2017〕213号）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p>
    <w:p w14:paraId="465B568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outlineLvl w:val="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3.代理服务费收取标准：根据豫招协【2023】002号收取。</w:t>
      </w:r>
    </w:p>
    <w:p w14:paraId="62331728">
      <w:pPr>
        <w:wordWrap w:val="0"/>
        <w:adjustRightInd w:val="0"/>
        <w:snapToGrid w:val="0"/>
        <w:spacing w:before="40" w:after="40" w:line="336" w:lineRule="auto"/>
        <w:ind w:firstLine="482" w:firstLineChars="200"/>
        <w:outlineLvl w:val="9"/>
        <w:rPr>
          <w:rFonts w:hint="eastAsia" w:asciiTheme="minorEastAsia" w:hAnsiTheme="minorEastAsia" w:eastAsiaTheme="minorEastAsia" w:cstheme="minorEastAsia"/>
          <w:b/>
          <w:bCs/>
          <w:sz w:val="24"/>
          <w:szCs w:val="24"/>
        </w:rPr>
      </w:pPr>
      <w:bookmarkStart w:id="42" w:name="_Toc23912"/>
      <w:r>
        <w:rPr>
          <w:rFonts w:hint="eastAsia" w:asciiTheme="minorEastAsia" w:hAnsiTheme="minorEastAsia" w:eastAsiaTheme="minorEastAsia" w:cstheme="minorEastAsia"/>
          <w:b/>
          <w:bCs/>
          <w:sz w:val="24"/>
          <w:szCs w:val="24"/>
        </w:rPr>
        <w:t>八、凡对本次招标提出询问，请按以下方式联系</w:t>
      </w:r>
      <w:bookmarkEnd w:id="38"/>
      <w:bookmarkEnd w:id="39"/>
      <w:bookmarkEnd w:id="40"/>
      <w:bookmarkEnd w:id="41"/>
      <w:bookmarkEnd w:id="42"/>
    </w:p>
    <w:p w14:paraId="3EA3C836">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1.采购人信息</w:t>
      </w:r>
    </w:p>
    <w:p w14:paraId="11E5706B">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名 称：</w:t>
      </w:r>
      <w:r>
        <w:rPr>
          <w:rFonts w:hint="eastAsia" w:asciiTheme="minorEastAsia" w:hAnsiTheme="minorEastAsia" w:eastAsiaTheme="minorEastAsia" w:cstheme="minorEastAsia"/>
          <w:color w:val="333333"/>
          <w:spacing w:val="6"/>
          <w:sz w:val="24"/>
          <w:szCs w:val="24"/>
          <w:lang w:val="en-US" w:eastAsia="zh-CN"/>
        </w:rPr>
        <w:t>孟州市河雍街道办事处</w:t>
      </w:r>
    </w:p>
    <w:p w14:paraId="3E01361D">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地 址：孟州市河雍大道</w:t>
      </w:r>
    </w:p>
    <w:p w14:paraId="087305A9">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联系方式：谢三立13462463005</w:t>
      </w:r>
    </w:p>
    <w:p w14:paraId="2F5638FC">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val="en-US" w:eastAsia="zh-CN"/>
        </w:rPr>
        <w:t>2.</w:t>
      </w:r>
      <w:r>
        <w:rPr>
          <w:rFonts w:hint="eastAsia" w:asciiTheme="minorEastAsia" w:hAnsiTheme="minorEastAsia" w:eastAsiaTheme="minorEastAsia" w:cstheme="minorEastAsia"/>
          <w:color w:val="333333"/>
          <w:spacing w:val="6"/>
          <w:sz w:val="24"/>
          <w:szCs w:val="24"/>
          <w:lang w:eastAsia="zh-CN"/>
        </w:rPr>
        <w:t>采购代理机构信息</w:t>
      </w:r>
    </w:p>
    <w:p w14:paraId="0452BF5E">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名 称：河南省至诚招标采购服务有限公司</w:t>
      </w:r>
    </w:p>
    <w:p w14:paraId="5CA886E4">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地</w:t>
      </w:r>
      <w:r>
        <w:rPr>
          <w:rFonts w:hint="eastAsia" w:asciiTheme="minorEastAsia" w:hAnsiTheme="minorEastAsia" w:eastAsiaTheme="minorEastAsia" w:cstheme="minorEastAsia"/>
          <w:color w:val="333333"/>
          <w:spacing w:val="6"/>
          <w:sz w:val="24"/>
          <w:szCs w:val="24"/>
          <w:lang w:val="en-US" w:eastAsia="zh-CN"/>
        </w:rPr>
        <w:t xml:space="preserve"> </w:t>
      </w:r>
      <w:r>
        <w:rPr>
          <w:rFonts w:hint="eastAsia" w:asciiTheme="minorEastAsia" w:hAnsiTheme="minorEastAsia" w:eastAsiaTheme="minorEastAsia" w:cstheme="minorEastAsia"/>
          <w:color w:val="333333"/>
          <w:spacing w:val="6"/>
          <w:sz w:val="24"/>
          <w:szCs w:val="24"/>
          <w:lang w:eastAsia="zh-CN"/>
        </w:rPr>
        <w:t>址：郑州市中州大道与黄河路交叉口西北角金成时代广场9号楼1103室</w:t>
      </w:r>
    </w:p>
    <w:p w14:paraId="4093BE21">
      <w:pPr>
        <w:wordWrap w:val="0"/>
        <w:adjustRightInd w:val="0"/>
        <w:snapToGrid w:val="0"/>
        <w:spacing w:before="40" w:after="40" w:line="336" w:lineRule="auto"/>
        <w:ind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联系方式：郭峰</w:t>
      </w:r>
      <w:r>
        <w:rPr>
          <w:rFonts w:hint="eastAsia" w:asciiTheme="minorEastAsia" w:hAnsiTheme="minorEastAsia" w:eastAsiaTheme="minorEastAsia" w:cstheme="minorEastAsia"/>
          <w:color w:val="333333"/>
          <w:spacing w:val="6"/>
          <w:sz w:val="24"/>
          <w:szCs w:val="24"/>
          <w:lang w:val="en-US" w:eastAsia="zh-CN"/>
        </w:rPr>
        <w:t>1</w:t>
      </w:r>
      <w:r>
        <w:rPr>
          <w:rFonts w:hint="eastAsia" w:asciiTheme="minorEastAsia" w:hAnsiTheme="minorEastAsia" w:eastAsiaTheme="minorEastAsia" w:cstheme="minorEastAsia"/>
          <w:color w:val="333333"/>
          <w:spacing w:val="6"/>
          <w:sz w:val="24"/>
          <w:szCs w:val="24"/>
          <w:lang w:eastAsia="zh-CN"/>
        </w:rPr>
        <w:t>5703918288</w:t>
      </w:r>
    </w:p>
    <w:p w14:paraId="7DBDAA0C">
      <w:pPr>
        <w:numPr>
          <w:ilvl w:val="0"/>
          <w:numId w:val="0"/>
        </w:numPr>
        <w:wordWrap w:val="0"/>
        <w:adjustRightInd w:val="0"/>
        <w:snapToGrid w:val="0"/>
        <w:spacing w:before="40" w:after="40" w:line="336" w:lineRule="auto"/>
        <w:ind w:left="0" w:leftChars="0"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val="en-US" w:eastAsia="zh-CN"/>
        </w:rPr>
        <w:t>3.</w:t>
      </w:r>
      <w:r>
        <w:rPr>
          <w:rFonts w:hint="eastAsia" w:asciiTheme="minorEastAsia" w:hAnsiTheme="minorEastAsia" w:eastAsiaTheme="minorEastAsia" w:cstheme="minorEastAsia"/>
          <w:color w:val="333333"/>
          <w:spacing w:val="6"/>
          <w:sz w:val="24"/>
          <w:szCs w:val="24"/>
          <w:lang w:eastAsia="zh-CN"/>
        </w:rPr>
        <w:t>监督部门名称：孟州市财政局政府采购科</w:t>
      </w:r>
    </w:p>
    <w:p w14:paraId="6AE3B6C0">
      <w:pPr>
        <w:numPr>
          <w:ilvl w:val="0"/>
          <w:numId w:val="0"/>
        </w:numPr>
        <w:wordWrap w:val="0"/>
        <w:adjustRightInd w:val="0"/>
        <w:snapToGrid w:val="0"/>
        <w:spacing w:before="40" w:after="40" w:line="336" w:lineRule="auto"/>
        <w:ind w:left="0" w:leftChars="0" w:firstLine="504" w:firstLineChars="200"/>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color w:val="333333"/>
          <w:spacing w:val="6"/>
          <w:sz w:val="24"/>
          <w:szCs w:val="24"/>
          <w:lang w:eastAsia="zh-CN"/>
        </w:rPr>
        <w:t>电话：0391-8156680</w:t>
      </w:r>
    </w:p>
    <w:p w14:paraId="40508D6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br w:type="page"/>
      </w:r>
      <w:bookmarkStart w:id="43" w:name="_Toc25913"/>
      <w:r>
        <w:rPr>
          <w:rFonts w:hint="eastAsia" w:asciiTheme="minorEastAsia" w:hAnsiTheme="minorEastAsia" w:eastAsiaTheme="minorEastAsia" w:cstheme="minorEastAsia"/>
          <w:b/>
          <w:bCs/>
          <w:sz w:val="36"/>
          <w:szCs w:val="36"/>
        </w:rPr>
        <w:t xml:space="preserve">第二章  </w:t>
      </w:r>
      <w:r>
        <w:rPr>
          <w:rFonts w:hint="eastAsia" w:asciiTheme="minorEastAsia" w:hAnsiTheme="minorEastAsia" w:eastAsiaTheme="minorEastAsia" w:cstheme="minorEastAsia"/>
          <w:b/>
          <w:bCs/>
          <w:sz w:val="36"/>
          <w:szCs w:val="36"/>
          <w:lang w:eastAsia="zh-CN"/>
        </w:rPr>
        <w:t>供应商须知</w:t>
      </w:r>
      <w:bookmarkEnd w:id="10"/>
      <w:bookmarkEnd w:id="11"/>
      <w:bookmarkEnd w:id="12"/>
      <w:bookmarkEnd w:id="13"/>
      <w:bookmarkEnd w:id="43"/>
      <w:bookmarkStart w:id="44" w:name="_Toc24659"/>
      <w:bookmarkStart w:id="45" w:name="_Toc32835831"/>
      <w:bookmarkStart w:id="46" w:name="_Toc15369"/>
      <w:r>
        <w:rPr>
          <w:rFonts w:hint="eastAsia" w:asciiTheme="minorEastAsia" w:hAnsiTheme="minorEastAsia" w:eastAsiaTheme="minorEastAsia" w:cstheme="minorEastAsia"/>
          <w:b/>
          <w:sz w:val="36"/>
          <w:szCs w:val="36"/>
        </w:rPr>
        <w:t>前附表</w:t>
      </w:r>
      <w:bookmarkEnd w:id="44"/>
      <w:bookmarkEnd w:id="45"/>
      <w:bookmarkEnd w:id="46"/>
    </w:p>
    <w:p w14:paraId="198DEF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p>
    <w:p w14:paraId="605A67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供应商须知前附表中凡标有“*”的</w:t>
      </w:r>
      <w:r>
        <w:rPr>
          <w:rFonts w:hint="eastAsia" w:asciiTheme="minorEastAsia" w:hAnsiTheme="minorEastAsia" w:eastAsiaTheme="minorEastAsia" w:cstheme="minorEastAsia"/>
          <w:sz w:val="24"/>
          <w:szCs w:val="24"/>
          <w:lang w:val="en-US" w:eastAsia="zh-CN"/>
        </w:rPr>
        <w:t>条款</w:t>
      </w:r>
      <w:r>
        <w:rPr>
          <w:rFonts w:hint="eastAsia" w:asciiTheme="minorEastAsia" w:hAnsiTheme="minorEastAsia" w:eastAsiaTheme="minorEastAsia" w:cstheme="minorEastAsia"/>
          <w:sz w:val="24"/>
          <w:szCs w:val="24"/>
        </w:rPr>
        <w:t>均被视为供应商必须满足的要求。供应商要特别加以注意且必须对此作出回答并完全满足这些要求，任何偏离都有可能导致无效投标或投标不予接受。</w:t>
      </w:r>
    </w:p>
    <w:tbl>
      <w:tblPr>
        <w:tblStyle w:val="5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189"/>
        <w:gridCol w:w="7035"/>
      </w:tblGrid>
      <w:tr w14:paraId="13D4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7627EA83">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条款号</w:t>
            </w:r>
          </w:p>
        </w:tc>
        <w:tc>
          <w:tcPr>
            <w:tcW w:w="1189" w:type="dxa"/>
            <w:noWrap w:val="0"/>
            <w:vAlign w:val="center"/>
          </w:tcPr>
          <w:p w14:paraId="709C4BFE">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 称</w:t>
            </w:r>
          </w:p>
        </w:tc>
        <w:tc>
          <w:tcPr>
            <w:tcW w:w="7035" w:type="dxa"/>
            <w:noWrap w:val="0"/>
            <w:vAlign w:val="center"/>
          </w:tcPr>
          <w:p w14:paraId="3D67C12A">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   容</w:t>
            </w:r>
          </w:p>
        </w:tc>
      </w:tr>
      <w:tr w14:paraId="6D3E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90" w:type="dxa"/>
            <w:noWrap w:val="0"/>
            <w:vAlign w:val="center"/>
          </w:tcPr>
          <w:p w14:paraId="4CC8C02A">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1189" w:type="dxa"/>
            <w:noWrap w:val="0"/>
            <w:vAlign w:val="center"/>
          </w:tcPr>
          <w:p w14:paraId="3E1CFD47">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7035" w:type="dxa"/>
            <w:noWrap w:val="0"/>
            <w:vAlign w:val="center"/>
          </w:tcPr>
          <w:p w14:paraId="5B7F03A4">
            <w:pPr>
              <w:shd w:val="clear" w:color="auto" w:fill="FFFFFF"/>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val="en-US" w:eastAsia="zh-CN"/>
              </w:rPr>
              <w:t>孟州市河雍街道办事处</w:t>
            </w:r>
          </w:p>
          <w:p w14:paraId="41E63AF6">
            <w:pPr>
              <w:shd w:val="clear" w:color="auto" w:fill="FFFFFF"/>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孟州市河雍大道</w:t>
            </w:r>
          </w:p>
          <w:p w14:paraId="051F692D">
            <w:pPr>
              <w:shd w:val="clear" w:color="auto" w:fill="FFFFFF"/>
              <w:spacing w:line="360" w:lineRule="auto"/>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 xml:space="preserve"> 谢三立</w:t>
            </w:r>
          </w:p>
          <w:p w14:paraId="633C0E25">
            <w:pPr>
              <w:shd w:val="clear" w:color="auto" w:fill="FFFFFF"/>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val="en-US" w:eastAsia="zh-CN"/>
              </w:rPr>
              <w:t xml:space="preserve"> 13462463005</w:t>
            </w:r>
          </w:p>
        </w:tc>
      </w:tr>
      <w:tr w14:paraId="56C3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990" w:type="dxa"/>
            <w:noWrap w:val="0"/>
            <w:vAlign w:val="center"/>
          </w:tcPr>
          <w:p w14:paraId="40ACC9E0">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w:t>
            </w:r>
          </w:p>
        </w:tc>
        <w:tc>
          <w:tcPr>
            <w:tcW w:w="1189" w:type="dxa"/>
            <w:noWrap w:val="0"/>
            <w:vAlign w:val="center"/>
          </w:tcPr>
          <w:p w14:paraId="4B43F410">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7035" w:type="dxa"/>
            <w:noWrap w:val="0"/>
            <w:vAlign w:val="center"/>
          </w:tcPr>
          <w:p w14:paraId="1C4103A1">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称：河南省至诚招标采购服务有限公司</w:t>
            </w:r>
          </w:p>
          <w:p w14:paraId="6C013973">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地址：郑州市中州大道与黄河路交叉口西北角金成时代广场9号楼1103室</w:t>
            </w:r>
          </w:p>
          <w:p w14:paraId="14295983">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color w:val="333333"/>
                <w:spacing w:val="6"/>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color w:val="333333"/>
                <w:spacing w:val="6"/>
                <w:sz w:val="24"/>
                <w:szCs w:val="24"/>
                <w:lang w:eastAsia="zh-CN"/>
              </w:rPr>
              <w:t>郭峰</w:t>
            </w:r>
          </w:p>
          <w:p w14:paraId="60572188">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color w:val="333333"/>
                <w:spacing w:val="6"/>
                <w:sz w:val="24"/>
                <w:szCs w:val="24"/>
                <w:lang w:eastAsia="zh-CN"/>
              </w:rPr>
              <w:t>15703918288</w:t>
            </w:r>
          </w:p>
        </w:tc>
      </w:tr>
      <w:tr w14:paraId="36D9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90" w:type="dxa"/>
            <w:noWrap w:val="0"/>
            <w:vAlign w:val="center"/>
          </w:tcPr>
          <w:p w14:paraId="08B92856">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w:t>
            </w:r>
          </w:p>
        </w:tc>
        <w:tc>
          <w:tcPr>
            <w:tcW w:w="1189" w:type="dxa"/>
            <w:noWrap w:val="0"/>
            <w:vAlign w:val="center"/>
          </w:tcPr>
          <w:p w14:paraId="44C1E1F2">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035" w:type="dxa"/>
            <w:noWrap w:val="0"/>
            <w:vAlign w:val="center"/>
          </w:tcPr>
          <w:p w14:paraId="1035083F">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2025年孟州市河雍办钱庄村育苗大棚配套设施项目</w:t>
            </w:r>
          </w:p>
        </w:tc>
      </w:tr>
      <w:tr w14:paraId="06ED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0" w:type="dxa"/>
            <w:noWrap w:val="0"/>
            <w:vAlign w:val="center"/>
          </w:tcPr>
          <w:p w14:paraId="778502AE">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w:t>
            </w:r>
          </w:p>
        </w:tc>
        <w:tc>
          <w:tcPr>
            <w:tcW w:w="1189" w:type="dxa"/>
            <w:noWrap w:val="0"/>
            <w:vAlign w:val="center"/>
          </w:tcPr>
          <w:p w14:paraId="57A7F439">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编号</w:t>
            </w:r>
          </w:p>
        </w:tc>
        <w:tc>
          <w:tcPr>
            <w:tcW w:w="7035" w:type="dxa"/>
            <w:noWrap w:val="0"/>
            <w:vAlign w:val="center"/>
          </w:tcPr>
          <w:p w14:paraId="7D6B59CC">
            <w:pPr>
              <w:keepNext w:val="0"/>
              <w:keepLines w:val="0"/>
              <w:pageBreakBefore w:val="0"/>
              <w:kinsoku/>
              <w:wordWrap w:val="0"/>
              <w:overflowPunct/>
              <w:topLinePunct w:val="0"/>
              <w:autoSpaceDE/>
              <w:autoSpaceDN/>
              <w:bidi w:val="0"/>
              <w:snapToGrid w:val="0"/>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eastAsia="zh-CN"/>
              </w:rPr>
              <w:t>孟财招标采购</w:t>
            </w:r>
            <w:r>
              <w:rPr>
                <w:rFonts w:hint="eastAsia" w:asciiTheme="minorEastAsia" w:hAnsiTheme="minorEastAsia" w:eastAsiaTheme="minorEastAsia" w:cstheme="minorEastAsia"/>
                <w:b w:val="0"/>
                <w:bCs/>
                <w:sz w:val="24"/>
                <w:szCs w:val="24"/>
                <w:lang w:val="en-US" w:eastAsia="zh-CN"/>
              </w:rPr>
              <w:t>-2025-23</w:t>
            </w:r>
          </w:p>
        </w:tc>
      </w:tr>
      <w:tr w14:paraId="734A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51F1A35D">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89" w:type="dxa"/>
            <w:noWrap w:val="0"/>
            <w:vAlign w:val="center"/>
          </w:tcPr>
          <w:p w14:paraId="7765DF40">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预算金额及政府采购最高限价</w:t>
            </w:r>
          </w:p>
        </w:tc>
        <w:tc>
          <w:tcPr>
            <w:tcW w:w="7035" w:type="dxa"/>
            <w:noWrap w:val="0"/>
            <w:vAlign w:val="center"/>
          </w:tcPr>
          <w:p w14:paraId="368CBB2C">
            <w:pPr>
              <w:keepNext w:val="0"/>
              <w:keepLines w:val="0"/>
              <w:pageBreakBefore w:val="0"/>
              <w:kinsoku/>
              <w:wordWrap w:val="0"/>
              <w:overflowPunct/>
              <w:topLinePunct w:val="0"/>
              <w:autoSpaceDE/>
              <w:autoSpaceDN/>
              <w:bidi w:val="0"/>
              <w:snapToGrid w:val="0"/>
              <w:spacing w:line="360" w:lineRule="auto"/>
              <w:textAlignment w:val="auto"/>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55万元</w:t>
            </w:r>
          </w:p>
          <w:p w14:paraId="5E61B4C3">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rPr>
              <w:t>政府采购最高限价：</w:t>
            </w:r>
            <w:r>
              <w:rPr>
                <w:rFonts w:hint="eastAsia" w:asciiTheme="minorEastAsia" w:hAnsiTheme="minorEastAsia" w:eastAsiaTheme="minorEastAsia" w:cstheme="minorEastAsia"/>
                <w:bCs/>
                <w:sz w:val="24"/>
                <w:szCs w:val="24"/>
                <w:lang w:val="en-US" w:eastAsia="zh-CN"/>
              </w:rPr>
              <w:t>55万元</w:t>
            </w:r>
          </w:p>
          <w:p w14:paraId="339FE9BD">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供应商结合企业自身情况在预算金额（政府采购最高限价）内自主报价，超过预算金额（政府采购最高限价）的报价为无效报价。</w:t>
            </w:r>
          </w:p>
        </w:tc>
      </w:tr>
      <w:tr w14:paraId="4E4B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90" w:type="dxa"/>
            <w:noWrap w:val="0"/>
            <w:vAlign w:val="center"/>
          </w:tcPr>
          <w:p w14:paraId="49AC53AE">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w:t>
            </w:r>
          </w:p>
        </w:tc>
        <w:tc>
          <w:tcPr>
            <w:tcW w:w="1189" w:type="dxa"/>
            <w:noWrap w:val="0"/>
            <w:vAlign w:val="center"/>
          </w:tcPr>
          <w:p w14:paraId="3203D0CD">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tc>
        <w:tc>
          <w:tcPr>
            <w:tcW w:w="7035" w:type="dxa"/>
            <w:noWrap w:val="0"/>
            <w:vAlign w:val="center"/>
          </w:tcPr>
          <w:p w14:paraId="3EA8AFBC">
            <w:pPr>
              <w:keepNext w:val="0"/>
              <w:keepLines w:val="0"/>
              <w:pageBreakBefore w:val="0"/>
              <w:kinsoku/>
              <w:wordWrap w:val="0"/>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2025年孟州市河雍办钱庄村育苗大棚配套设施项目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增加移动育苗床4918.2平方米，自走式移动喷灌机7套</w:t>
            </w:r>
            <w:r>
              <w:rPr>
                <w:rFonts w:hint="eastAsia" w:asciiTheme="minorEastAsia" w:hAnsiTheme="minorEastAsia" w:eastAsiaTheme="minorEastAsia" w:cstheme="minorEastAsia"/>
                <w:sz w:val="24"/>
                <w:szCs w:val="24"/>
              </w:rPr>
              <w:t>（具体数量及技术要求详见</w:t>
            </w:r>
            <w:r>
              <w:rPr>
                <w:rFonts w:hint="eastAsia" w:asciiTheme="minorEastAsia" w:hAnsiTheme="minorEastAsia" w:eastAsiaTheme="minorEastAsia" w:cstheme="minorEastAsia"/>
                <w:sz w:val="24"/>
                <w:szCs w:val="24"/>
                <w:lang w:eastAsia="zh-CN"/>
              </w:rPr>
              <w:t>第五章</w:t>
            </w:r>
            <w:r>
              <w:rPr>
                <w:rFonts w:hint="eastAsia" w:asciiTheme="minorEastAsia" w:hAnsiTheme="minorEastAsia" w:eastAsiaTheme="minorEastAsia" w:cstheme="minorEastAsia"/>
                <w:sz w:val="24"/>
                <w:szCs w:val="24"/>
              </w:rPr>
              <w:t>）</w:t>
            </w:r>
          </w:p>
        </w:tc>
      </w:tr>
      <w:tr w14:paraId="1BE8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2774351A">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w:t>
            </w:r>
          </w:p>
        </w:tc>
        <w:tc>
          <w:tcPr>
            <w:tcW w:w="1189" w:type="dxa"/>
            <w:noWrap w:val="0"/>
            <w:vAlign w:val="center"/>
          </w:tcPr>
          <w:p w14:paraId="176ADD50">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标段（包）划分</w:t>
            </w:r>
          </w:p>
        </w:tc>
        <w:tc>
          <w:tcPr>
            <w:tcW w:w="7035" w:type="dxa"/>
            <w:noWrap w:val="0"/>
            <w:vAlign w:val="center"/>
          </w:tcPr>
          <w:p w14:paraId="113A9BB7">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本次招标共</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个标段（包）。</w:t>
            </w:r>
          </w:p>
        </w:tc>
      </w:tr>
      <w:tr w14:paraId="7A49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noWrap w:val="0"/>
            <w:vAlign w:val="center"/>
          </w:tcPr>
          <w:p w14:paraId="1547FDAD">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w:t>
            </w:r>
          </w:p>
        </w:tc>
        <w:tc>
          <w:tcPr>
            <w:tcW w:w="1189" w:type="dxa"/>
            <w:noWrap w:val="0"/>
            <w:vAlign w:val="center"/>
          </w:tcPr>
          <w:p w14:paraId="26D8FCD1">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p>
        </w:tc>
        <w:tc>
          <w:tcPr>
            <w:tcW w:w="7035" w:type="dxa"/>
            <w:noWrap w:val="0"/>
            <w:vAlign w:val="center"/>
          </w:tcPr>
          <w:p w14:paraId="5A5C4478">
            <w:pPr>
              <w:tabs>
                <w:tab w:val="left" w:pos="312"/>
              </w:tabs>
              <w:wordWrap w:val="0"/>
              <w:adjustRightInd w:val="0"/>
              <w:snapToGrid w:val="0"/>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合同签订且生效后</w:t>
            </w:r>
            <w:r>
              <w:rPr>
                <w:rFonts w:hint="eastAsia" w:asciiTheme="minorEastAsia" w:hAnsiTheme="minorEastAsia" w:eastAsiaTheme="minorEastAsia" w:cstheme="minorEastAsia"/>
                <w:bCs/>
                <w:sz w:val="24"/>
                <w:szCs w:val="24"/>
                <w:lang w:val="en-US" w:eastAsia="zh-CN"/>
              </w:rPr>
              <w:t>30</w:t>
            </w:r>
            <w:r>
              <w:rPr>
                <w:rFonts w:hint="eastAsia" w:asciiTheme="minorEastAsia" w:hAnsiTheme="minorEastAsia" w:eastAsiaTheme="minorEastAsia" w:cstheme="minorEastAsia"/>
                <w:bCs/>
                <w:sz w:val="24"/>
                <w:szCs w:val="24"/>
              </w:rPr>
              <w:t>日历天内交货并安装调试完毕。</w:t>
            </w:r>
          </w:p>
        </w:tc>
      </w:tr>
      <w:tr w14:paraId="3FCA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noWrap w:val="0"/>
            <w:vAlign w:val="center"/>
          </w:tcPr>
          <w:p w14:paraId="0980462A">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c>
          <w:tcPr>
            <w:tcW w:w="1189" w:type="dxa"/>
            <w:noWrap w:val="0"/>
            <w:vAlign w:val="center"/>
          </w:tcPr>
          <w:p w14:paraId="349919FC">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7035" w:type="dxa"/>
            <w:noWrap w:val="0"/>
            <w:vAlign w:val="center"/>
          </w:tcPr>
          <w:p w14:paraId="336739DA">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lang w:eastAsia="zh-CN"/>
              </w:rPr>
              <w:t>（包括安装、连接，达到正常运转交付标准）</w:t>
            </w:r>
          </w:p>
        </w:tc>
      </w:tr>
      <w:tr w14:paraId="12E5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dxa"/>
            <w:noWrap w:val="0"/>
            <w:vAlign w:val="center"/>
          </w:tcPr>
          <w:p w14:paraId="6099DBEB">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w:t>
            </w:r>
          </w:p>
        </w:tc>
        <w:tc>
          <w:tcPr>
            <w:tcW w:w="1189" w:type="dxa"/>
            <w:noWrap w:val="0"/>
            <w:vAlign w:val="center"/>
          </w:tcPr>
          <w:p w14:paraId="10CCC0C2">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w:t>
            </w:r>
          </w:p>
        </w:tc>
        <w:tc>
          <w:tcPr>
            <w:tcW w:w="7035" w:type="dxa"/>
            <w:noWrap w:val="0"/>
            <w:vAlign w:val="center"/>
          </w:tcPr>
          <w:p w14:paraId="08321A49">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自货物验收合格使用之日起质保</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p>
        </w:tc>
      </w:tr>
      <w:tr w14:paraId="6A49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dxa"/>
            <w:noWrap w:val="0"/>
            <w:vAlign w:val="center"/>
          </w:tcPr>
          <w:p w14:paraId="5CF11AFA">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w:t>
            </w:r>
          </w:p>
        </w:tc>
        <w:tc>
          <w:tcPr>
            <w:tcW w:w="1189" w:type="dxa"/>
            <w:noWrap w:val="0"/>
            <w:vAlign w:val="center"/>
          </w:tcPr>
          <w:p w14:paraId="385150CC">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7035" w:type="dxa"/>
            <w:noWrap w:val="0"/>
            <w:vAlign w:val="center"/>
          </w:tcPr>
          <w:p w14:paraId="144AA920">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采购人指定地点</w:t>
            </w:r>
          </w:p>
        </w:tc>
      </w:tr>
      <w:tr w14:paraId="2352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noWrap w:val="0"/>
            <w:vAlign w:val="center"/>
          </w:tcPr>
          <w:p w14:paraId="64549CC3">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w:t>
            </w:r>
          </w:p>
        </w:tc>
        <w:tc>
          <w:tcPr>
            <w:tcW w:w="1189" w:type="dxa"/>
            <w:noWrap w:val="0"/>
            <w:vAlign w:val="center"/>
          </w:tcPr>
          <w:p w14:paraId="0AB9ACCF">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政府采购政策</w:t>
            </w:r>
          </w:p>
        </w:tc>
        <w:tc>
          <w:tcPr>
            <w:tcW w:w="7035" w:type="dxa"/>
            <w:noWrap w:val="0"/>
            <w:vAlign w:val="center"/>
          </w:tcPr>
          <w:p w14:paraId="31D4C1BE">
            <w:pPr>
              <w:keepNext w:val="0"/>
              <w:keepLines w:val="0"/>
              <w:pageBreakBefore w:val="0"/>
              <w:numPr>
                <w:ilvl w:val="0"/>
                <w:numId w:val="0"/>
              </w:numPr>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采购节能产品（√ 是/  否）    </w:t>
            </w:r>
          </w:p>
          <w:p w14:paraId="743D77C0">
            <w:pPr>
              <w:keepNext w:val="0"/>
              <w:keepLines w:val="0"/>
              <w:pageBreakBefore w:val="0"/>
              <w:numPr>
                <w:ilvl w:val="0"/>
                <w:numId w:val="0"/>
              </w:numPr>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2.采购环保产品（√ 是/  否）</w:t>
            </w:r>
          </w:p>
          <w:p w14:paraId="23902D7C">
            <w:pPr>
              <w:keepNext w:val="0"/>
              <w:keepLines w:val="0"/>
              <w:pageBreakBefore w:val="0"/>
              <w:numPr>
                <w:ilvl w:val="0"/>
                <w:numId w:val="0"/>
              </w:numPr>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auto"/>
                <w:sz w:val="24"/>
                <w:szCs w:val="24"/>
              </w:rPr>
              <w:t>.执行促进中小企业发展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促进残疾人就业、支持</w:t>
            </w:r>
            <w:r>
              <w:rPr>
                <w:rFonts w:hint="eastAsia" w:asciiTheme="minorEastAsia" w:hAnsiTheme="minorEastAsia" w:eastAsiaTheme="minorEastAsia" w:cstheme="minorEastAsia"/>
                <w:color w:val="auto"/>
                <w:sz w:val="24"/>
                <w:szCs w:val="24"/>
              </w:rPr>
              <w:t>监狱</w:t>
            </w:r>
            <w:r>
              <w:rPr>
                <w:rFonts w:hint="eastAsia" w:asciiTheme="minorEastAsia" w:hAnsiTheme="minorEastAsia" w:eastAsiaTheme="minorEastAsia" w:cstheme="minorEastAsia"/>
                <w:color w:val="auto"/>
                <w:sz w:val="24"/>
                <w:szCs w:val="24"/>
                <w:lang w:val="en-US" w:eastAsia="zh-CN"/>
              </w:rPr>
              <w:t>企业发展等</w:t>
            </w:r>
            <w:r>
              <w:rPr>
                <w:rFonts w:hint="eastAsia" w:asciiTheme="minorEastAsia" w:hAnsiTheme="minorEastAsia" w:eastAsiaTheme="minorEastAsia" w:cstheme="minorEastAsia"/>
                <w:color w:val="auto"/>
                <w:sz w:val="24"/>
                <w:szCs w:val="24"/>
              </w:rPr>
              <w:t>相关</w:t>
            </w:r>
            <w:r>
              <w:rPr>
                <w:rFonts w:hint="eastAsia" w:asciiTheme="minorEastAsia" w:hAnsiTheme="minorEastAsia" w:eastAsiaTheme="minorEastAsia" w:cstheme="minorEastAsia"/>
                <w:color w:val="auto"/>
                <w:sz w:val="24"/>
                <w:szCs w:val="24"/>
                <w:lang w:val="en-US" w:eastAsia="zh-CN"/>
              </w:rPr>
              <w:t>政府采购</w:t>
            </w:r>
            <w:r>
              <w:rPr>
                <w:rFonts w:hint="eastAsia" w:asciiTheme="minorEastAsia" w:hAnsiTheme="minorEastAsia" w:eastAsiaTheme="minorEastAsia" w:cstheme="minorEastAsia"/>
                <w:color w:val="auto"/>
                <w:sz w:val="24"/>
                <w:szCs w:val="24"/>
              </w:rPr>
              <w:t>政策（√ 是/  否）</w:t>
            </w:r>
          </w:p>
        </w:tc>
      </w:tr>
      <w:tr w14:paraId="318B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tcBorders>
              <w:bottom w:val="single" w:color="auto" w:sz="4" w:space="0"/>
            </w:tcBorders>
            <w:noWrap w:val="0"/>
            <w:vAlign w:val="center"/>
          </w:tcPr>
          <w:p w14:paraId="13A91ACF">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w:t>
            </w:r>
          </w:p>
        </w:tc>
        <w:tc>
          <w:tcPr>
            <w:tcW w:w="1189" w:type="dxa"/>
            <w:tcBorders>
              <w:bottom w:val="single" w:color="auto" w:sz="4" w:space="0"/>
            </w:tcBorders>
            <w:noWrap w:val="0"/>
            <w:vAlign w:val="center"/>
          </w:tcPr>
          <w:p w14:paraId="487873CB">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w:t>
            </w:r>
          </w:p>
        </w:tc>
        <w:tc>
          <w:tcPr>
            <w:tcW w:w="7035" w:type="dxa"/>
            <w:tcBorders>
              <w:bottom w:val="single" w:color="auto" w:sz="4" w:space="0"/>
            </w:tcBorders>
            <w:noWrap w:val="0"/>
            <w:vAlign w:val="center"/>
          </w:tcPr>
          <w:p w14:paraId="1EAC350F">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经财政部门核准允许采购进口产品（  是/√ 否）</w:t>
            </w:r>
          </w:p>
        </w:tc>
      </w:tr>
      <w:tr w14:paraId="6ED2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2A94071C">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FBD6D53">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政府强制采购的节能产品</w:t>
            </w:r>
          </w:p>
        </w:tc>
        <w:tc>
          <w:tcPr>
            <w:tcW w:w="7035" w:type="dxa"/>
            <w:tcBorders>
              <w:top w:val="single" w:color="auto" w:sz="4" w:space="0"/>
              <w:left w:val="single" w:color="auto" w:sz="4" w:space="0"/>
              <w:bottom w:val="single" w:color="auto" w:sz="4" w:space="0"/>
              <w:right w:val="single" w:color="auto" w:sz="4" w:space="0"/>
            </w:tcBorders>
            <w:noWrap w:val="0"/>
            <w:vAlign w:val="center"/>
          </w:tcPr>
          <w:p w14:paraId="2E1413AD">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具体产品为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，供应商投报的以上产品应当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国家确定的认证机构出具的、处于有效期之内的节能产品认证证书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扫描件</w:t>
            </w:r>
            <w:r>
              <w:rPr>
                <w:rFonts w:hint="eastAsia" w:asciiTheme="minorEastAsia" w:hAnsiTheme="minorEastAsia" w:eastAsiaTheme="minorEastAsia" w:cstheme="minorEastAsia"/>
                <w:color w:val="000000" w:themeColor="text1"/>
                <w:sz w:val="24"/>
                <w:szCs w:val="24"/>
                <w14:textFill>
                  <w14:solidFill>
                    <w14:schemeClr w14:val="tx1"/>
                  </w14:solidFill>
                </w14:textFill>
              </w:rPr>
              <w:t>或中国政府采购节能产品查询结果截图，否则，其投标文件无效。注：《财政部生态环境部关于印发节能产品政府采购品目清单的通知》（财库〔2019〕19号）规定：对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下类别的产品</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实施强制采购。★A02010104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空调机★普通照明用双端荧光灯★A020910 电视设备★A020911 视频设备★A060805 便器★A060806 水嘴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以上产品没有单独作为采购需求提出，只是作为采购需求产品的附件，无需提供相关证明</w:t>
            </w:r>
          </w:p>
          <w:p w14:paraId="4D04F4DF">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3D46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tcBorders>
              <w:top w:val="single" w:color="auto" w:sz="4" w:space="0"/>
            </w:tcBorders>
            <w:noWrap w:val="0"/>
            <w:vAlign w:val="center"/>
          </w:tcPr>
          <w:p w14:paraId="5F2AABEC">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189" w:type="dxa"/>
            <w:tcBorders>
              <w:top w:val="single" w:color="auto" w:sz="4" w:space="0"/>
            </w:tcBorders>
            <w:noWrap w:val="0"/>
            <w:vAlign w:val="center"/>
          </w:tcPr>
          <w:p w14:paraId="3D43F609">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供应商资格要求</w:t>
            </w:r>
          </w:p>
        </w:tc>
        <w:tc>
          <w:tcPr>
            <w:tcW w:w="7035" w:type="dxa"/>
            <w:tcBorders>
              <w:top w:val="single" w:color="auto" w:sz="4" w:space="0"/>
            </w:tcBorders>
            <w:noWrap w:val="0"/>
            <w:vAlign w:val="center"/>
          </w:tcPr>
          <w:p w14:paraId="5BC2E4F8">
            <w:pPr>
              <w:numPr>
                <w:ilvl w:val="0"/>
                <w:numId w:val="4"/>
              </w:numPr>
              <w:wordWrap w:val="0"/>
              <w:adjustRightInd w:val="0"/>
              <w:snapToGrid w:val="0"/>
              <w:spacing w:before="40" w:after="40" w:line="336"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具有独立承担民事责任的能力；（提供有效的法人或者其他组织的营业执照等证明文件扫描件）</w:t>
            </w:r>
          </w:p>
          <w:p w14:paraId="12452E10">
            <w:pPr>
              <w:numPr>
                <w:ilvl w:val="0"/>
                <w:numId w:val="4"/>
              </w:numPr>
              <w:wordWrap w:val="0"/>
              <w:adjustRightInd w:val="0"/>
              <w:snapToGrid w:val="0"/>
              <w:spacing w:before="40" w:after="40" w:line="336"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满足《中华人民共和国政府采购法》第二十二条规定：按照招标文件约定提供资格承诺，不再提供资质材料，供应商以书面形式向采购人或政府采购代理机构作出信用承诺函（格式见招标文件中孟州市政府采购供应商资格信用承诺函）</w:t>
            </w:r>
          </w:p>
          <w:p w14:paraId="46D66B74">
            <w:pPr>
              <w:numPr>
                <w:ilvl w:val="0"/>
                <w:numId w:val="4"/>
              </w:numPr>
              <w:wordWrap w:val="0"/>
              <w:adjustRightInd w:val="0"/>
              <w:snapToGrid w:val="0"/>
              <w:spacing w:before="40" w:after="40" w:line="336"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法定代表人身份证明或法定代表人授权委托书；（法定代表人授权委托书须附法定代表人及委托代理人身份证扫描件并加盖公章）</w:t>
            </w:r>
          </w:p>
          <w:p w14:paraId="0793939A">
            <w:pPr>
              <w:numPr>
                <w:ilvl w:val="0"/>
                <w:numId w:val="0"/>
              </w:numPr>
              <w:wordWrap w:val="0"/>
              <w:adjustRightInd w:val="0"/>
              <w:snapToGrid w:val="0"/>
              <w:spacing w:before="40" w:after="40" w:line="336"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被列入失信被执行人、重大税收违法失信主体、政府采购严重违法失信行为记录名单的单位将被拒绝参与本项目；（以代理机构查询为准。供应商提供的查询记录不作为资格审查依据，供应商未提供查询记录的也不作为无效响应文件。）</w:t>
            </w:r>
          </w:p>
          <w:p w14:paraId="522126B2">
            <w:pPr>
              <w:numPr>
                <w:ilvl w:val="0"/>
                <w:numId w:val="0"/>
              </w:numPr>
              <w:wordWrap w:val="0"/>
              <w:adjustRightInd w:val="0"/>
              <w:snapToGrid w:val="0"/>
              <w:spacing w:before="40" w:after="40" w:line="336"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5.单位负责人为同一人或者存在直接控股、管理关系的不同供应商，不得参加同一合同项下的政府采购活动；（供应商自行承诺，格式自拟）</w:t>
            </w:r>
          </w:p>
          <w:p w14:paraId="3DA1D716">
            <w:pPr>
              <w:numPr>
                <w:ilvl w:val="0"/>
                <w:numId w:val="0"/>
              </w:numPr>
              <w:wordWrap w:val="0"/>
              <w:adjustRightInd w:val="0"/>
              <w:snapToGrid w:val="0"/>
              <w:spacing w:before="40" w:after="40" w:line="336"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6.供应商必须是中小微企业（残疾人福利性企业、监狱发展企业视同中小企业）（提供中小企业声明函，监狱企业、残疾人福利性企业提供相关证明。）</w:t>
            </w:r>
          </w:p>
          <w:p w14:paraId="2B1C97A0">
            <w:pPr>
              <w:numPr>
                <w:ilvl w:val="0"/>
                <w:numId w:val="0"/>
              </w:numPr>
              <w:wordWrap w:val="0"/>
              <w:adjustRightInd w:val="0"/>
              <w:snapToGrid w:val="0"/>
              <w:spacing w:before="40" w:after="40" w:line="336"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7.本项目不接受联合体参加。</w:t>
            </w:r>
          </w:p>
        </w:tc>
      </w:tr>
      <w:tr w14:paraId="6AD5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90" w:type="dxa"/>
            <w:noWrap w:val="0"/>
            <w:vAlign w:val="center"/>
          </w:tcPr>
          <w:p w14:paraId="612F397F">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w:t>
            </w:r>
          </w:p>
        </w:tc>
        <w:tc>
          <w:tcPr>
            <w:tcW w:w="1189" w:type="dxa"/>
            <w:noWrap w:val="0"/>
            <w:vAlign w:val="center"/>
          </w:tcPr>
          <w:p w14:paraId="10E228D7">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w:t>
            </w:r>
          </w:p>
        </w:tc>
        <w:tc>
          <w:tcPr>
            <w:tcW w:w="7035" w:type="dxa"/>
            <w:noWrap w:val="0"/>
            <w:vAlign w:val="center"/>
          </w:tcPr>
          <w:p w14:paraId="691713DE">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根据财库〔2016〕125 号文件要求，采购代理机构将查询供应商信用记录。</w:t>
            </w:r>
          </w:p>
          <w:p w14:paraId="2679CA3D">
            <w:pPr>
              <w:keepNext w:val="0"/>
              <w:keepLines w:val="0"/>
              <w:pageBreakBefore w:val="0"/>
              <w:numPr>
                <w:ilvl w:val="0"/>
                <w:numId w:val="5"/>
              </w:numPr>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信用信息查询渠道：“信用中国”网站（www.creditchina.gov.cn）、中国政府采购网（http://www.ccgp.gov.cn)。</w:t>
            </w:r>
          </w:p>
          <w:p w14:paraId="38B7E685">
            <w:pPr>
              <w:keepNext w:val="0"/>
              <w:keepLines w:val="0"/>
              <w:pageBreakBefore w:val="0"/>
              <w:numPr>
                <w:ilvl w:val="0"/>
                <w:numId w:val="5"/>
              </w:numPr>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信用信息查询时</w:t>
            </w:r>
            <w:r>
              <w:rPr>
                <w:rFonts w:hint="eastAsia" w:asciiTheme="minorEastAsia" w:hAnsiTheme="minorEastAsia" w:eastAsiaTheme="minorEastAsia" w:cstheme="minorEastAsia"/>
                <w:sz w:val="24"/>
                <w:szCs w:val="24"/>
                <w:lang w:val="en-US" w:eastAsia="zh-CN"/>
              </w:rPr>
              <w:t>间</w:t>
            </w:r>
            <w:r>
              <w:rPr>
                <w:rFonts w:hint="eastAsia" w:asciiTheme="minorEastAsia" w:hAnsiTheme="minorEastAsia" w:eastAsiaTheme="minorEastAsia" w:cstheme="minorEastAsia"/>
                <w:sz w:val="24"/>
                <w:szCs w:val="24"/>
              </w:rPr>
              <w:t>：投标文件递交截止时间至资格审查结束前。</w:t>
            </w:r>
          </w:p>
          <w:p w14:paraId="3F4C4EDC">
            <w:pPr>
              <w:keepNext w:val="0"/>
              <w:keepLines w:val="0"/>
              <w:pageBreakBefore w:val="0"/>
              <w:numPr>
                <w:ilvl w:val="0"/>
                <w:numId w:val="5"/>
              </w:numPr>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信用信息查询记录和证据留存的具体方式：信用信息查询记录将以网页打印稿形式与其他采购文件一并保存。</w:t>
            </w:r>
          </w:p>
          <w:p w14:paraId="61A0AD90">
            <w:pPr>
              <w:keepNext w:val="0"/>
              <w:keepLines w:val="0"/>
              <w:pageBreakBefore w:val="0"/>
              <w:numPr>
                <w:ilvl w:val="0"/>
                <w:numId w:val="5"/>
              </w:numPr>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的使用规则：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p>
          <w:p w14:paraId="208EEDFF">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采购代理机构查询之后，网站信息发生的任何变更均不再作为评审依据。</w:t>
            </w:r>
          </w:p>
        </w:tc>
      </w:tr>
      <w:tr w14:paraId="646E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0" w:type="dxa"/>
            <w:noWrap w:val="0"/>
            <w:vAlign w:val="center"/>
          </w:tcPr>
          <w:p w14:paraId="69525CC0">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w:t>
            </w:r>
          </w:p>
        </w:tc>
        <w:tc>
          <w:tcPr>
            <w:tcW w:w="1189" w:type="dxa"/>
            <w:noWrap w:val="0"/>
            <w:vAlign w:val="center"/>
          </w:tcPr>
          <w:p w14:paraId="6E113DA3">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是否接受联合体投标</w:t>
            </w:r>
          </w:p>
        </w:tc>
        <w:tc>
          <w:tcPr>
            <w:tcW w:w="7035" w:type="dxa"/>
            <w:noWrap w:val="0"/>
            <w:vAlign w:val="center"/>
          </w:tcPr>
          <w:p w14:paraId="5C900CB5">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p w14:paraId="1BD7F2D1">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接受，联合体具体要求如下：/</w:t>
            </w:r>
          </w:p>
        </w:tc>
      </w:tr>
      <w:tr w14:paraId="6D7B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90" w:type="dxa"/>
            <w:noWrap w:val="0"/>
            <w:vAlign w:val="center"/>
          </w:tcPr>
          <w:p w14:paraId="6C635A4D">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p>
        </w:tc>
        <w:tc>
          <w:tcPr>
            <w:tcW w:w="1189" w:type="dxa"/>
            <w:noWrap w:val="0"/>
            <w:vAlign w:val="center"/>
          </w:tcPr>
          <w:p w14:paraId="675EA425">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w:t>
            </w:r>
          </w:p>
        </w:tc>
        <w:tc>
          <w:tcPr>
            <w:tcW w:w="7035" w:type="dxa"/>
            <w:noWrap w:val="0"/>
            <w:vAlign w:val="center"/>
          </w:tcPr>
          <w:p w14:paraId="69236599">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组织，集合时间：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，集合地点：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53F657C6">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√不组织，供应商自行踏勘，无论供应商对现场考察与否，都将被视为熟悉履行合同有关的一切情况。</w:t>
            </w:r>
          </w:p>
        </w:tc>
      </w:tr>
      <w:tr w14:paraId="29B7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0" w:type="dxa"/>
            <w:noWrap w:val="0"/>
            <w:vAlign w:val="center"/>
          </w:tcPr>
          <w:p w14:paraId="23C60A1E">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w:t>
            </w:r>
          </w:p>
        </w:tc>
        <w:tc>
          <w:tcPr>
            <w:tcW w:w="1189" w:type="dxa"/>
            <w:noWrap w:val="0"/>
            <w:vAlign w:val="center"/>
          </w:tcPr>
          <w:p w14:paraId="2C595680">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投标预备会</w:t>
            </w:r>
          </w:p>
        </w:tc>
        <w:tc>
          <w:tcPr>
            <w:tcW w:w="7035" w:type="dxa"/>
            <w:noWrap w:val="0"/>
            <w:vAlign w:val="center"/>
          </w:tcPr>
          <w:p w14:paraId="269C429C">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召开：时间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762BA8C1">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w:t>
            </w:r>
          </w:p>
        </w:tc>
      </w:tr>
      <w:tr w14:paraId="4976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0" w:type="dxa"/>
            <w:noWrap w:val="0"/>
            <w:vAlign w:val="center"/>
          </w:tcPr>
          <w:p w14:paraId="1713A3A6">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w:t>
            </w:r>
          </w:p>
        </w:tc>
        <w:tc>
          <w:tcPr>
            <w:tcW w:w="1189" w:type="dxa"/>
            <w:noWrap w:val="0"/>
            <w:vAlign w:val="center"/>
          </w:tcPr>
          <w:p w14:paraId="63BE6994">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w:t>
            </w:r>
          </w:p>
        </w:tc>
        <w:tc>
          <w:tcPr>
            <w:tcW w:w="7035" w:type="dxa"/>
            <w:noWrap w:val="0"/>
            <w:vAlign w:val="center"/>
          </w:tcPr>
          <w:p w14:paraId="79712FB4">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不允许负偏离</w:t>
            </w:r>
          </w:p>
          <w:p w14:paraId="7C631F2E">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√允许负偏离，具体要求详见技术参数评审要求。</w:t>
            </w:r>
          </w:p>
        </w:tc>
      </w:tr>
      <w:tr w14:paraId="732B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90" w:type="dxa"/>
            <w:noWrap w:val="0"/>
            <w:vAlign w:val="center"/>
          </w:tcPr>
          <w:p w14:paraId="19C7312E">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w:t>
            </w:r>
          </w:p>
        </w:tc>
        <w:tc>
          <w:tcPr>
            <w:tcW w:w="1189" w:type="dxa"/>
            <w:noWrap w:val="0"/>
            <w:vAlign w:val="center"/>
          </w:tcPr>
          <w:p w14:paraId="2AF533E5">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供应商提出问题或要求澄清</w:t>
            </w:r>
          </w:p>
        </w:tc>
        <w:tc>
          <w:tcPr>
            <w:tcW w:w="7035" w:type="dxa"/>
            <w:noWrap w:val="0"/>
            <w:vAlign w:val="center"/>
          </w:tcPr>
          <w:p w14:paraId="178980AF">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潜在供应商对招标文件内容如有疑问或需要澄清的，应按招标公告中载明的地址以书面的形式通知到采购代理机构。</w:t>
            </w:r>
          </w:p>
        </w:tc>
      </w:tr>
      <w:tr w14:paraId="03B6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90" w:type="dxa"/>
            <w:noWrap w:val="0"/>
            <w:vAlign w:val="center"/>
          </w:tcPr>
          <w:p w14:paraId="7D0B90CD">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189" w:type="dxa"/>
            <w:noWrap w:val="0"/>
            <w:vAlign w:val="center"/>
          </w:tcPr>
          <w:p w14:paraId="3FAF9465">
            <w:pPr>
              <w:keepNext w:val="0"/>
              <w:keepLines w:val="0"/>
              <w:pageBreakBefore w:val="0"/>
              <w:kinsoku/>
              <w:wordWrap w:val="0"/>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投标有效期</w:t>
            </w:r>
          </w:p>
        </w:tc>
        <w:tc>
          <w:tcPr>
            <w:tcW w:w="7035" w:type="dxa"/>
            <w:noWrap w:val="0"/>
            <w:vAlign w:val="center"/>
          </w:tcPr>
          <w:p w14:paraId="7FF90E1E">
            <w:pPr>
              <w:keepNext w:val="0"/>
              <w:keepLines w:val="0"/>
              <w:pageBreakBefore w:val="0"/>
              <w:kinsoku/>
              <w:wordWrap w:val="0"/>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从开标之日起60日历天</w:t>
            </w:r>
          </w:p>
        </w:tc>
      </w:tr>
      <w:tr w14:paraId="4BD7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35DC33A5">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1189" w:type="dxa"/>
            <w:noWrap w:val="0"/>
            <w:vAlign w:val="center"/>
          </w:tcPr>
          <w:p w14:paraId="5637397A">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7035" w:type="dxa"/>
            <w:noWrap w:val="0"/>
            <w:vAlign w:val="center"/>
          </w:tcPr>
          <w:p w14:paraId="7D797EAE">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25E6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4931B719">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3.6.4</w:t>
            </w:r>
          </w:p>
        </w:tc>
        <w:tc>
          <w:tcPr>
            <w:tcW w:w="1189" w:type="dxa"/>
            <w:noWrap w:val="0"/>
            <w:vAlign w:val="center"/>
          </w:tcPr>
          <w:p w14:paraId="6670E14E">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数量</w:t>
            </w:r>
          </w:p>
        </w:tc>
        <w:tc>
          <w:tcPr>
            <w:tcW w:w="7035" w:type="dxa"/>
            <w:noWrap w:val="0"/>
            <w:vAlign w:val="center"/>
          </w:tcPr>
          <w:p w14:paraId="2F375286">
            <w:pPr>
              <w:keepNext w:val="0"/>
              <w:keepLines w:val="0"/>
              <w:pageBreakBefore w:val="0"/>
              <w:kinsoku/>
              <w:wordWrap w:val="0"/>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加密</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电子文件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jztf</w:t>
            </w:r>
            <w:r>
              <w:rPr>
                <w:rFonts w:hint="eastAsia" w:asciiTheme="minorEastAsia" w:hAnsiTheme="minorEastAsia" w:eastAsiaTheme="minorEastAsia" w:cstheme="minorEastAsia"/>
                <w:sz w:val="24"/>
                <w:szCs w:val="24"/>
              </w:rPr>
              <w:t>格式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一份。</w:t>
            </w:r>
          </w:p>
        </w:tc>
      </w:tr>
      <w:tr w14:paraId="342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46670737">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189" w:type="dxa"/>
            <w:noWrap w:val="0"/>
            <w:vAlign w:val="center"/>
          </w:tcPr>
          <w:p w14:paraId="1DB69A8C">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投标文件密封</w:t>
            </w:r>
          </w:p>
        </w:tc>
        <w:tc>
          <w:tcPr>
            <w:tcW w:w="7035" w:type="dxa"/>
            <w:noWrap w:val="0"/>
            <w:vAlign w:val="center"/>
          </w:tcPr>
          <w:p w14:paraId="42B7FFD8">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加密</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电子文件（.</w:t>
            </w:r>
            <w:r>
              <w:rPr>
                <w:rFonts w:hint="eastAsia" w:asciiTheme="minorEastAsia" w:hAnsiTheme="minorEastAsia" w:eastAsiaTheme="minorEastAsia" w:cstheme="minorEastAsia"/>
                <w:sz w:val="24"/>
                <w:szCs w:val="24"/>
                <w:lang w:val="en-US" w:eastAsia="zh-CN"/>
              </w:rPr>
              <w:t>jztf</w:t>
            </w:r>
            <w:r>
              <w:rPr>
                <w:rFonts w:hint="eastAsia" w:asciiTheme="minorEastAsia" w:hAnsiTheme="minorEastAsia" w:eastAsiaTheme="minorEastAsia" w:cstheme="minorEastAsia"/>
                <w:sz w:val="24"/>
                <w:szCs w:val="24"/>
              </w:rPr>
              <w:t>格式）须在文件递交截止时间前通过“</w:t>
            </w:r>
            <w:r>
              <w:rPr>
                <w:rFonts w:hint="eastAsia" w:asciiTheme="minorEastAsia" w:hAnsiTheme="minorEastAsia" w:eastAsiaTheme="minorEastAsia" w:cstheme="minorEastAsia"/>
                <w:sz w:val="24"/>
                <w:szCs w:val="24"/>
                <w:lang w:eastAsia="zh-CN"/>
              </w:rPr>
              <w:t>焦作</w:t>
            </w:r>
            <w:r>
              <w:rPr>
                <w:rFonts w:hint="eastAsia" w:asciiTheme="minorEastAsia" w:hAnsiTheme="minorEastAsia" w:eastAsiaTheme="minorEastAsia" w:cstheme="minorEastAsia"/>
                <w:sz w:val="24"/>
                <w:szCs w:val="24"/>
              </w:rPr>
              <w:t>市公共资源交易中心”电子交易平台加密上传</w:t>
            </w:r>
            <w:r>
              <w:rPr>
                <w:rFonts w:hint="eastAsia" w:asciiTheme="minorEastAsia" w:hAnsiTheme="minorEastAsia" w:eastAsiaTheme="minorEastAsia" w:cstheme="minorEastAsia"/>
                <w:bCs/>
                <w:sz w:val="24"/>
                <w:szCs w:val="24"/>
              </w:rPr>
              <w:t>。</w:t>
            </w:r>
          </w:p>
        </w:tc>
      </w:tr>
      <w:tr w14:paraId="4FDE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noWrap w:val="0"/>
            <w:vAlign w:val="center"/>
          </w:tcPr>
          <w:p w14:paraId="2947026A">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p>
        </w:tc>
        <w:tc>
          <w:tcPr>
            <w:tcW w:w="1189" w:type="dxa"/>
            <w:noWrap w:val="0"/>
            <w:vAlign w:val="center"/>
          </w:tcPr>
          <w:p w14:paraId="2EFD770A">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投标文件递交</w:t>
            </w:r>
          </w:p>
        </w:tc>
        <w:tc>
          <w:tcPr>
            <w:tcW w:w="7035" w:type="dxa"/>
            <w:noWrap w:val="0"/>
            <w:vAlign w:val="center"/>
          </w:tcPr>
          <w:p w14:paraId="361C160F">
            <w:pPr>
              <w:numPr>
                <w:ilvl w:val="0"/>
                <w:numId w:val="0"/>
              </w:numPr>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1.投标</w:t>
            </w:r>
            <w:r>
              <w:rPr>
                <w:rFonts w:hint="eastAsia" w:asciiTheme="minorEastAsia" w:hAnsiTheme="minorEastAsia" w:eastAsiaTheme="minorEastAsia" w:cstheme="minorEastAsia"/>
                <w:bCs/>
                <w:sz w:val="24"/>
                <w:szCs w:val="24"/>
              </w:rPr>
              <w:t>文件提交截止时间：</w:t>
            </w:r>
            <w:r>
              <w:rPr>
                <w:rFonts w:hint="eastAsia" w:asciiTheme="minorEastAsia" w:hAnsiTheme="minorEastAsia" w:eastAsiaTheme="minorEastAsia" w:cstheme="minorEastAsia"/>
                <w:bCs/>
                <w:sz w:val="24"/>
                <w:szCs w:val="24"/>
                <w:lang w:val="en-US" w:eastAsia="zh-CN"/>
              </w:rPr>
              <w:t>2025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6月11日</w:t>
            </w:r>
            <w:r>
              <w:rPr>
                <w:rFonts w:hint="eastAsia" w:asciiTheme="minorEastAsia" w:hAnsiTheme="minorEastAsia" w:eastAsiaTheme="minorEastAsia" w:cstheme="minorEastAsia"/>
                <w:bCs/>
                <w:sz w:val="24"/>
                <w:szCs w:val="24"/>
              </w:rPr>
              <w:t>上午</w:t>
            </w:r>
            <w:r>
              <w:rPr>
                <w:rFonts w:hint="eastAsia" w:asciiTheme="minorEastAsia" w:hAnsiTheme="minorEastAsia" w:eastAsiaTheme="minorEastAsia" w:cstheme="minorEastAsia"/>
                <w:bCs/>
                <w:sz w:val="24"/>
                <w:szCs w:val="24"/>
                <w:lang w:val="en-US" w:eastAsia="zh-CN"/>
              </w:rPr>
              <w:t xml:space="preserve"> 9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lang w:val="en-US" w:eastAsia="zh-CN"/>
              </w:rPr>
              <w:t xml:space="preserve"> 00 </w:t>
            </w:r>
            <w:r>
              <w:rPr>
                <w:rFonts w:hint="eastAsia" w:asciiTheme="minorEastAsia" w:hAnsiTheme="minorEastAsia" w:eastAsiaTheme="minorEastAsia" w:cstheme="minorEastAsia"/>
                <w:bCs/>
                <w:sz w:val="24"/>
                <w:szCs w:val="24"/>
              </w:rPr>
              <w:t>分（北京时间）</w:t>
            </w:r>
          </w:p>
          <w:p w14:paraId="6D3BF372">
            <w:pPr>
              <w:numPr>
                <w:ilvl w:val="0"/>
                <w:numId w:val="0"/>
              </w:numPr>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2.投标</w:t>
            </w:r>
            <w:r>
              <w:rPr>
                <w:rFonts w:hint="eastAsia" w:asciiTheme="minorEastAsia" w:hAnsiTheme="minorEastAsia" w:eastAsiaTheme="minorEastAsia" w:cstheme="minorEastAsia"/>
                <w:bCs/>
                <w:sz w:val="24"/>
                <w:szCs w:val="24"/>
              </w:rPr>
              <w:t>文件递交地点：</w:t>
            </w:r>
            <w:r>
              <w:rPr>
                <w:rFonts w:hint="eastAsia" w:asciiTheme="minorEastAsia" w:hAnsiTheme="minorEastAsia" w:eastAsiaTheme="minorEastAsia" w:cstheme="minorEastAsia"/>
                <w:bCs/>
                <w:sz w:val="24"/>
                <w:szCs w:val="24"/>
                <w:lang w:eastAsia="zh-CN"/>
              </w:rPr>
              <w:t>焦作</w:t>
            </w:r>
            <w:r>
              <w:rPr>
                <w:rFonts w:hint="eastAsia" w:asciiTheme="minorEastAsia" w:hAnsiTheme="minorEastAsia" w:eastAsiaTheme="minorEastAsia" w:cstheme="minorEastAsia"/>
                <w:bCs/>
                <w:sz w:val="24"/>
                <w:szCs w:val="24"/>
              </w:rPr>
              <w:t>市公共资源交易中心网站</w:t>
            </w:r>
          </w:p>
          <w:p w14:paraId="2CC6CE20">
            <w:pPr>
              <w:numPr>
                <w:ilvl w:val="0"/>
                <w:numId w:val="0"/>
              </w:numPr>
              <w:snapToGrid w:val="0"/>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xml:space="preserve">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平台统一技术服务电话：400-998-0000，服务 QQ：4008503300，服务时间：周一至周日 8：00-17：30。 </w:t>
            </w:r>
          </w:p>
          <w:p w14:paraId="1BAAEDBA">
            <w:pPr>
              <w:numPr>
                <w:ilvl w:val="0"/>
                <w:numId w:val="0"/>
              </w:numPr>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3.加密电子投标文件须在焦作市公共资源交易中心电子交易平台中加密上传，上传时必须得到电脑“上传成功”的确认回复后方为上传成功。投标人无须到现场参加开标会议，无需到达现场提交原件资料。投标人应当在投标截止前，登录远程开标大厅，在线准时参加开标活动并进行文件解密、答疑澄清等。在规定时间内投标文件未解密的投标人，视为放弃投标。 </w:t>
            </w:r>
          </w:p>
          <w:p w14:paraId="3A9F67F9">
            <w:pPr>
              <w:keepNext w:val="0"/>
              <w:keepLines w:val="0"/>
              <w:pageBreakBefore w:val="0"/>
              <w:kinsoku/>
              <w:wordWrap w:val="0"/>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4.本项目采用“远程不见面”开标方式，投标人应当在招标文件确定的投标截止时间前，登录远程开标大厅，在线准时参加开标活动。远程开标大厅网址：（http://222.143.135.34:7890/BidOpeningHall/bidhall/default/login）</w:t>
            </w:r>
            <w:r>
              <w:rPr>
                <w:rFonts w:hint="eastAsia" w:asciiTheme="minorEastAsia" w:hAnsiTheme="minorEastAsia" w:eastAsiaTheme="minorEastAsia" w:cstheme="minorEastAsia"/>
                <w:sz w:val="24"/>
                <w:szCs w:val="24"/>
              </w:rPr>
              <w:t>本次采购不退还</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w:t>
            </w:r>
          </w:p>
        </w:tc>
      </w:tr>
      <w:tr w14:paraId="59DF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90" w:type="dxa"/>
            <w:noWrap w:val="0"/>
            <w:vAlign w:val="center"/>
          </w:tcPr>
          <w:p w14:paraId="4B4F56F9">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w:t>
            </w:r>
          </w:p>
        </w:tc>
        <w:tc>
          <w:tcPr>
            <w:tcW w:w="1189" w:type="dxa"/>
            <w:noWrap w:val="0"/>
            <w:vAlign w:val="center"/>
          </w:tcPr>
          <w:p w14:paraId="019AF824">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样品及演示</w:t>
            </w:r>
          </w:p>
        </w:tc>
        <w:tc>
          <w:tcPr>
            <w:tcW w:w="7035" w:type="dxa"/>
            <w:noWrap w:val="0"/>
            <w:vAlign w:val="center"/>
          </w:tcPr>
          <w:p w14:paraId="500E4F0B">
            <w:pPr>
              <w:keepNext w:val="0"/>
              <w:keepLines w:val="0"/>
              <w:pageBreakBefore w:val="0"/>
              <w:kinsoku/>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样品：</w:t>
            </w:r>
            <w:r>
              <w:rPr>
                <w:rFonts w:hint="eastAsia" w:asciiTheme="minorEastAsia" w:hAnsiTheme="minorEastAsia" w:eastAsiaTheme="minorEastAsia" w:cstheme="minorEastAsia"/>
                <w:sz w:val="24"/>
                <w:szCs w:val="24"/>
                <w:lang w:eastAsia="zh-CN"/>
              </w:rPr>
              <w:t>无</w:t>
            </w:r>
          </w:p>
          <w:p w14:paraId="2DA8F07E">
            <w:pPr>
              <w:keepNext w:val="0"/>
              <w:keepLines w:val="0"/>
              <w:pageBreakBefore w:val="0"/>
              <w:kinsoku/>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演示：无</w:t>
            </w:r>
          </w:p>
        </w:tc>
      </w:tr>
      <w:tr w14:paraId="05F1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noWrap w:val="0"/>
            <w:vAlign w:val="center"/>
          </w:tcPr>
          <w:p w14:paraId="018EC946">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189" w:type="dxa"/>
            <w:noWrap w:val="0"/>
            <w:vAlign w:val="center"/>
          </w:tcPr>
          <w:p w14:paraId="7318C5B7">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开标顺序</w:t>
            </w:r>
          </w:p>
        </w:tc>
        <w:tc>
          <w:tcPr>
            <w:tcW w:w="7035" w:type="dxa"/>
            <w:noWrap w:val="0"/>
            <w:vAlign w:val="center"/>
          </w:tcPr>
          <w:p w14:paraId="2C16682C">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开标时，各供应商委托代理人需使用本单位CA数字证书（制作投标文件时所使用的CA数字证书）在规定时间内进行远程解密工作。开标后按网上开标系统默认的顺序唱标。</w:t>
            </w:r>
          </w:p>
        </w:tc>
      </w:tr>
      <w:tr w14:paraId="4CFC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90" w:type="dxa"/>
            <w:noWrap w:val="0"/>
            <w:vAlign w:val="center"/>
          </w:tcPr>
          <w:p w14:paraId="57B13932">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w:t>
            </w:r>
          </w:p>
        </w:tc>
        <w:tc>
          <w:tcPr>
            <w:tcW w:w="1189" w:type="dxa"/>
            <w:noWrap w:val="0"/>
            <w:vAlign w:val="center"/>
          </w:tcPr>
          <w:p w14:paraId="469E2406">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7035" w:type="dxa"/>
            <w:noWrap w:val="0"/>
            <w:vAlign w:val="center"/>
          </w:tcPr>
          <w:p w14:paraId="176B0E24">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如采购人代表参加评标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评标委员会由采购人代表1人以及</w:t>
            </w:r>
            <w:r>
              <w:rPr>
                <w:rFonts w:hint="eastAsia" w:asciiTheme="minorEastAsia" w:hAnsiTheme="minorEastAsia" w:eastAsiaTheme="minorEastAsia" w:cstheme="minorEastAsia"/>
                <w:bCs/>
                <w:sz w:val="24"/>
                <w:szCs w:val="24"/>
              </w:rPr>
              <w:t>经济、技术</w:t>
            </w:r>
            <w:r>
              <w:rPr>
                <w:rFonts w:hint="eastAsia" w:asciiTheme="minorEastAsia" w:hAnsiTheme="minorEastAsia" w:eastAsiaTheme="minorEastAsia" w:cstheme="minorEastAsia"/>
                <w:sz w:val="24"/>
                <w:szCs w:val="24"/>
              </w:rPr>
              <w:t>专家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组成。</w:t>
            </w:r>
          </w:p>
          <w:p w14:paraId="70DC887D">
            <w:pPr>
              <w:keepNext w:val="0"/>
              <w:keepLines w:val="0"/>
              <w:pageBreakBefore w:val="0"/>
              <w:tabs>
                <w:tab w:val="left" w:pos="720"/>
                <w:tab w:val="left" w:pos="786"/>
              </w:tabs>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评标专家确定方式：</w:t>
            </w:r>
            <w:r>
              <w:rPr>
                <w:rFonts w:hint="eastAsia" w:asciiTheme="minorEastAsia" w:hAnsiTheme="minorEastAsia" w:eastAsiaTheme="minorEastAsia" w:cstheme="minorEastAsia"/>
                <w:kern w:val="0"/>
                <w:sz w:val="24"/>
                <w:szCs w:val="24"/>
              </w:rPr>
              <w:t>采购人或者采购代理机构将从省级以上财政部门设立的政府采购评审专家库中，通过随机方式抽取评审专家；</w:t>
            </w:r>
          </w:p>
        </w:tc>
      </w:tr>
      <w:tr w14:paraId="1FC6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0" w:type="dxa"/>
            <w:noWrap w:val="0"/>
            <w:vAlign w:val="center"/>
          </w:tcPr>
          <w:p w14:paraId="176E8264">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7.6.1</w:t>
            </w:r>
          </w:p>
        </w:tc>
        <w:tc>
          <w:tcPr>
            <w:tcW w:w="1189" w:type="dxa"/>
            <w:noWrap w:val="0"/>
            <w:vAlign w:val="center"/>
          </w:tcPr>
          <w:p w14:paraId="783F9671">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评标办法</w:t>
            </w:r>
          </w:p>
        </w:tc>
        <w:tc>
          <w:tcPr>
            <w:tcW w:w="7035" w:type="dxa"/>
            <w:noWrap w:val="0"/>
            <w:vAlign w:val="center"/>
          </w:tcPr>
          <w:p w14:paraId="442ED4DA">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综合评分法，具体内容</w:t>
            </w:r>
            <w:r>
              <w:rPr>
                <w:rFonts w:hint="eastAsia" w:asciiTheme="minorEastAsia" w:hAnsiTheme="minorEastAsia" w:eastAsiaTheme="minorEastAsia" w:cstheme="minorEastAsia"/>
                <w:sz w:val="24"/>
                <w:szCs w:val="24"/>
                <w:lang w:eastAsia="zh-CN"/>
              </w:rPr>
              <w:t>详见</w:t>
            </w:r>
            <w:r>
              <w:rPr>
                <w:rFonts w:hint="eastAsia" w:asciiTheme="minorEastAsia" w:hAnsiTheme="minorEastAsia" w:eastAsiaTheme="minorEastAsia" w:cstheme="minorEastAsia"/>
                <w:sz w:val="24"/>
                <w:szCs w:val="24"/>
              </w:rPr>
              <w:t>第三章资格审查、评标及定标</w:t>
            </w:r>
          </w:p>
        </w:tc>
      </w:tr>
      <w:tr w14:paraId="3A9B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noWrap w:val="0"/>
            <w:vAlign w:val="center"/>
          </w:tcPr>
          <w:p w14:paraId="50F45FC4">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7.11.1</w:t>
            </w:r>
          </w:p>
        </w:tc>
        <w:tc>
          <w:tcPr>
            <w:tcW w:w="1189" w:type="dxa"/>
            <w:noWrap w:val="0"/>
            <w:vAlign w:val="center"/>
          </w:tcPr>
          <w:p w14:paraId="583E5F03">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是否委托评标委员会确定中标人</w:t>
            </w:r>
          </w:p>
        </w:tc>
        <w:tc>
          <w:tcPr>
            <w:tcW w:w="7035" w:type="dxa"/>
            <w:noWrap w:val="0"/>
            <w:vAlign w:val="center"/>
          </w:tcPr>
          <w:p w14:paraId="42EEC8C1">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p w14:paraId="12148C9D">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√否，推荐1~3名中标候选人。</w:t>
            </w:r>
          </w:p>
        </w:tc>
      </w:tr>
      <w:tr w14:paraId="3C8F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0" w:type="dxa"/>
            <w:noWrap w:val="0"/>
            <w:vAlign w:val="center"/>
          </w:tcPr>
          <w:p w14:paraId="6CA09F40">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7.11.3</w:t>
            </w:r>
          </w:p>
        </w:tc>
        <w:tc>
          <w:tcPr>
            <w:tcW w:w="1189" w:type="dxa"/>
            <w:noWrap w:val="0"/>
            <w:vAlign w:val="center"/>
          </w:tcPr>
          <w:p w14:paraId="7A024AB7">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核心产品</w:t>
            </w:r>
          </w:p>
        </w:tc>
        <w:tc>
          <w:tcPr>
            <w:tcW w:w="7035" w:type="dxa"/>
            <w:noWrap w:val="0"/>
            <w:vAlign w:val="center"/>
          </w:tcPr>
          <w:p w14:paraId="146620D5">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核心产品将在招标文件第五章“项目需求及技术参数要求”中载明，供应商提供的核心产品品牌相同的，按照《政府采购货物和服务招标投标管理办法》的规定处理。</w:t>
            </w:r>
          </w:p>
          <w:p w14:paraId="2708C8D1">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采用最低评标价法的采购项目，提供相同品牌产品的不同供应商参加同一合同项下投标的，以其中通过资格审查、符合性审查且报价最低的</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参加评标；报价相同的，由采购人或者采购人委托评标委员会按照招标文件规定的方式确定一个参加评标的供应商，招标文件未规定的采取随机抽取方式确定，其他投标无效。</w:t>
            </w:r>
          </w:p>
          <w:p w14:paraId="496F2675">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使</w:t>
            </w:r>
            <w:r>
              <w:rPr>
                <w:rFonts w:hint="eastAsia" w:asciiTheme="minorEastAsia" w:hAnsiTheme="minorEastAsia" w:eastAsiaTheme="minorEastAsia" w:cstheme="minorEastAsia"/>
                <w:sz w:val="24"/>
                <w:szCs w:val="24"/>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tc>
      </w:tr>
      <w:tr w14:paraId="5D74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0" w:type="dxa"/>
            <w:noWrap w:val="0"/>
            <w:vAlign w:val="center"/>
          </w:tcPr>
          <w:p w14:paraId="6BD0E46F">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w:t>
            </w:r>
          </w:p>
        </w:tc>
        <w:tc>
          <w:tcPr>
            <w:tcW w:w="1189" w:type="dxa"/>
            <w:noWrap w:val="0"/>
            <w:vAlign w:val="center"/>
          </w:tcPr>
          <w:p w14:paraId="6C97E3DA">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履约保证金</w:t>
            </w:r>
          </w:p>
        </w:tc>
        <w:tc>
          <w:tcPr>
            <w:tcW w:w="7035" w:type="dxa"/>
            <w:noWrap w:val="0"/>
            <w:vAlign w:val="center"/>
          </w:tcPr>
          <w:p w14:paraId="2DD66444">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无</w:t>
            </w:r>
          </w:p>
        </w:tc>
      </w:tr>
      <w:tr w14:paraId="40FC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90" w:type="dxa"/>
            <w:noWrap w:val="0"/>
            <w:vAlign w:val="center"/>
          </w:tcPr>
          <w:p w14:paraId="16D37B39">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w:t>
            </w:r>
          </w:p>
        </w:tc>
        <w:tc>
          <w:tcPr>
            <w:tcW w:w="1189" w:type="dxa"/>
            <w:noWrap w:val="0"/>
            <w:vAlign w:val="center"/>
          </w:tcPr>
          <w:p w14:paraId="6F11E533">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p>
        </w:tc>
        <w:tc>
          <w:tcPr>
            <w:tcW w:w="7035" w:type="dxa"/>
            <w:noWrap w:val="0"/>
            <w:vAlign w:val="center"/>
          </w:tcPr>
          <w:p w14:paraId="7EE583FE">
            <w:pPr>
              <w:keepNext w:val="0"/>
              <w:keepLines w:val="0"/>
              <w:pageBreakBefore w:val="0"/>
              <w:kinsoku/>
              <w:wordWrap w:val="0"/>
              <w:overflowPunct/>
              <w:topLinePunct w:val="0"/>
              <w:autoSpaceDE/>
              <w:autoSpaceDN/>
              <w:bidi w:val="0"/>
              <w:snapToGrid w:val="0"/>
              <w:spacing w:line="360" w:lineRule="auto"/>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eastAsia="zh-CN"/>
              </w:rPr>
              <w:t>以最终签订合同为准。</w:t>
            </w:r>
          </w:p>
        </w:tc>
      </w:tr>
      <w:tr w14:paraId="2AF3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noWrap w:val="0"/>
            <w:vAlign w:val="center"/>
          </w:tcPr>
          <w:p w14:paraId="1C18501E">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p>
        </w:tc>
        <w:tc>
          <w:tcPr>
            <w:tcW w:w="1189" w:type="dxa"/>
            <w:noWrap w:val="0"/>
            <w:vAlign w:val="center"/>
          </w:tcPr>
          <w:p w14:paraId="795FE100">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w:t>
            </w:r>
          </w:p>
        </w:tc>
        <w:tc>
          <w:tcPr>
            <w:tcW w:w="7035" w:type="dxa"/>
            <w:noWrap w:val="0"/>
            <w:vAlign w:val="center"/>
          </w:tcPr>
          <w:p w14:paraId="3D1B1F25">
            <w:pPr>
              <w:keepNext w:val="0"/>
              <w:keepLines w:val="0"/>
              <w:pageBreakBefore w:val="0"/>
              <w:kinsoku/>
              <w:wordWrap w:val="0"/>
              <w:overflowPunct/>
              <w:topLinePunct w:val="0"/>
              <w:autoSpaceDE/>
              <w:autoSpaceDN/>
              <w:bidi w:val="0"/>
              <w:snapToGrid w:val="0"/>
              <w:spacing w:line="360" w:lineRule="auto"/>
              <w:textAlignment w:val="auto"/>
              <w:outlineLvl w:val="9"/>
              <w:rPr>
                <w:rStyle w:val="62"/>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根据豫招协【2023】002号收取</w:t>
            </w:r>
            <w:r>
              <w:rPr>
                <w:rFonts w:hint="eastAsia" w:asciiTheme="minorEastAsia" w:hAnsiTheme="minorEastAsia" w:eastAsiaTheme="minorEastAsia" w:cstheme="minorEastAsia"/>
                <w:color w:val="000000" w:themeColor="text1"/>
                <w:sz w:val="24"/>
                <w:szCs w:val="24"/>
                <w14:textFill>
                  <w14:solidFill>
                    <w14:schemeClr w14:val="tx1"/>
                  </w14:solidFill>
                </w14:textFill>
              </w:rPr>
              <w:t>，由中标（成交）人支付。</w:t>
            </w:r>
          </w:p>
        </w:tc>
      </w:tr>
      <w:tr w14:paraId="5200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0" w:type="dxa"/>
            <w:noWrap w:val="0"/>
            <w:vAlign w:val="center"/>
          </w:tcPr>
          <w:p w14:paraId="7887677D">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p>
        </w:tc>
        <w:tc>
          <w:tcPr>
            <w:tcW w:w="1189" w:type="dxa"/>
            <w:noWrap w:val="0"/>
            <w:vAlign w:val="center"/>
          </w:tcPr>
          <w:p w14:paraId="6BE159D7">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质疑和投诉</w:t>
            </w:r>
          </w:p>
        </w:tc>
        <w:tc>
          <w:tcPr>
            <w:tcW w:w="7035" w:type="dxa"/>
            <w:noWrap w:val="0"/>
            <w:vAlign w:val="center"/>
          </w:tcPr>
          <w:p w14:paraId="286FC388">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1.供应商认为采购文件、采购过程和中标或者成交结果使自己的权益受到损害的，可以在知道或者应知其权益受到损害之日起7个工作日内，以书面形式向采购人、采购代理机构提出质疑。</w:t>
            </w:r>
          </w:p>
          <w:p w14:paraId="54A5DC30">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3A6A93B2">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超出法定质疑期的、重复提出的、分次提出的或内容、形式不符合《政府采购质疑和投诉办法》的，提出质疑的供应商将依法承担不利后果。</w:t>
            </w:r>
          </w:p>
          <w:p w14:paraId="5E48DFD7">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3.质疑函接收部门、联系电话和通讯地址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见供应商须知前附表1.2.2、1.2.3。</w:t>
            </w:r>
          </w:p>
          <w:p w14:paraId="0589C1C4">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4.质疑供应商对采购人、采购代理机构的答复不满意，或者采购人、采购代理机构未在规定时间内作出答复的，可以在答复期满后15个工作日内向财政部门提起投诉。</w:t>
            </w:r>
          </w:p>
          <w:p w14:paraId="53527440">
            <w:pPr>
              <w:keepNext w:val="0"/>
              <w:keepLines w:val="0"/>
              <w:pageBreakBefore w:val="0"/>
              <w:widowControl/>
              <w:kinsoku/>
              <w:wordWrap w:val="0"/>
              <w:overflowPunct/>
              <w:topLinePunct w:val="0"/>
              <w:autoSpaceDE/>
              <w:autoSpaceDN/>
              <w:bidi w:val="0"/>
              <w:spacing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5.投诉人投诉时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应当提交投诉书和必要的证明材料，并按照被投诉采购人、采购代理机构（以下简称被投诉人）和与投诉事项有关的供应商数量提供投诉书的副本。</w:t>
            </w:r>
          </w:p>
        </w:tc>
      </w:tr>
      <w:tr w14:paraId="178C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90" w:type="dxa"/>
            <w:noWrap w:val="0"/>
            <w:vAlign w:val="center"/>
          </w:tcPr>
          <w:p w14:paraId="46F39FB4">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.1</w:t>
            </w:r>
          </w:p>
        </w:tc>
        <w:tc>
          <w:tcPr>
            <w:tcW w:w="1189" w:type="dxa"/>
            <w:noWrap w:val="0"/>
            <w:vAlign w:val="center"/>
          </w:tcPr>
          <w:p w14:paraId="60B1A35D">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招标文件解释</w:t>
            </w:r>
          </w:p>
        </w:tc>
        <w:tc>
          <w:tcPr>
            <w:tcW w:w="7035" w:type="dxa"/>
            <w:noWrap w:val="0"/>
            <w:vAlign w:val="center"/>
          </w:tcPr>
          <w:p w14:paraId="5E33A821">
            <w:pPr>
              <w:keepNext w:val="0"/>
              <w:keepLines w:val="0"/>
              <w:pageBreakBefore w:val="0"/>
              <w:kinsoku/>
              <w:wordWrap w:val="0"/>
              <w:overflowPunct/>
              <w:topLinePunct w:val="0"/>
              <w:autoSpaceDE/>
              <w:autoSpaceDN/>
              <w:bidi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构成本招标文件的各个组成文件应互为解释，互为说明；如有不明确或不一致，构成合同文件组成内容的，以合同文件约定内容为准，除招标文件中有特别规定外，仅适用于招标投标阶段的规定，按招标公告、</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评标方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92E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90" w:type="dxa"/>
            <w:noWrap w:val="0"/>
            <w:vAlign w:val="center"/>
          </w:tcPr>
          <w:p w14:paraId="25912B67">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3.2</w:t>
            </w:r>
          </w:p>
        </w:tc>
        <w:tc>
          <w:tcPr>
            <w:tcW w:w="1189" w:type="dxa"/>
            <w:noWrap w:val="0"/>
            <w:vAlign w:val="center"/>
          </w:tcPr>
          <w:p w14:paraId="40ECE877">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投标 （响应）文件无效</w:t>
            </w:r>
          </w:p>
        </w:tc>
        <w:tc>
          <w:tcPr>
            <w:tcW w:w="7035" w:type="dxa"/>
            <w:noWrap w:val="0"/>
            <w:vAlign w:val="center"/>
          </w:tcPr>
          <w:p w14:paraId="02B1ABF8">
            <w:pPr>
              <w:keepNext w:val="0"/>
              <w:keepLines w:val="0"/>
              <w:pageBreakBefore w:val="0"/>
              <w:widowControl/>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参与同一个标段（包）的供应商存在下列情形之一的，其投标（响应）文件无效：</w:t>
            </w:r>
          </w:p>
          <w:p w14:paraId="4CB40F8F">
            <w:pPr>
              <w:keepNext w:val="0"/>
              <w:keepLines w:val="0"/>
              <w:pageBreakBefore w:val="0"/>
              <w:widowControl/>
              <w:numPr>
                <w:ilvl w:val="0"/>
                <w:numId w:val="0"/>
              </w:numPr>
              <w:kinsoku/>
              <w:wordWrap w:val="0"/>
              <w:overflowPunct/>
              <w:topLinePunct w:val="0"/>
              <w:autoSpaceDE/>
              <w:autoSpaceDN/>
              <w:bidi w:val="0"/>
              <w:snapToGrid w:val="0"/>
              <w:spacing w:line="360" w:lineRule="auto"/>
              <w:ind w:left="0" w:lef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（一）</w:t>
            </w:r>
            <w:r>
              <w:rPr>
                <w:rFonts w:hint="eastAsia" w:asciiTheme="minorEastAsia" w:hAnsiTheme="minorEastAsia" w:eastAsiaTheme="minorEastAsia" w:cstheme="minorEastAsia"/>
                <w:kern w:val="0"/>
                <w:sz w:val="24"/>
                <w:szCs w:val="24"/>
                <w:highlight w:val="none"/>
              </w:rPr>
              <w:t>不同供应商的电子投标（响应）文件上传计算机的</w:t>
            </w:r>
            <w:r>
              <w:rPr>
                <w:rFonts w:hint="eastAsia" w:asciiTheme="minorEastAsia" w:hAnsiTheme="minorEastAsia" w:eastAsiaTheme="minorEastAsia" w:cstheme="minorEastAsia"/>
                <w:kern w:val="0"/>
                <w:sz w:val="24"/>
                <w:szCs w:val="24"/>
                <w:highlight w:val="none"/>
                <w:lang w:eastAsia="zh-CN"/>
              </w:rPr>
              <w:t>网</w:t>
            </w:r>
            <w:r>
              <w:rPr>
                <w:rFonts w:hint="eastAsia" w:asciiTheme="minorEastAsia" w:hAnsiTheme="minorEastAsia" w:eastAsiaTheme="minorEastAsia" w:cstheme="minorEastAsia"/>
                <w:kern w:val="0"/>
                <w:sz w:val="24"/>
                <w:szCs w:val="24"/>
                <w:highlight w:val="none"/>
              </w:rPr>
              <w:t>卡MAC地址、CPU序列号和硬盘序列号等硬件信息相同的；</w:t>
            </w:r>
          </w:p>
          <w:p w14:paraId="133BE08D">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（二）</w:t>
            </w:r>
            <w:r>
              <w:rPr>
                <w:rFonts w:hint="eastAsia" w:asciiTheme="minorEastAsia" w:hAnsiTheme="minorEastAsia" w:eastAsiaTheme="minorEastAsia" w:cstheme="minorEastAsia"/>
                <w:kern w:val="0"/>
                <w:sz w:val="24"/>
                <w:szCs w:val="24"/>
                <w:highlight w:val="none"/>
              </w:rPr>
              <w:t>不同供应商的投标（响应）文件由同一电子设备编制、打印加密或者上传；</w:t>
            </w:r>
          </w:p>
          <w:p w14:paraId="2FF3417A">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（三）</w:t>
            </w:r>
            <w:r>
              <w:rPr>
                <w:rFonts w:hint="eastAsia" w:asciiTheme="minorEastAsia" w:hAnsiTheme="minorEastAsia" w:eastAsiaTheme="minorEastAsia" w:cstheme="minorEastAsia"/>
                <w:kern w:val="0"/>
                <w:sz w:val="24"/>
                <w:szCs w:val="24"/>
                <w:highlight w:val="none"/>
              </w:rPr>
              <w:t>不同供应商的投标（响应）文件由同一电子设备打印、复印；</w:t>
            </w:r>
          </w:p>
          <w:p w14:paraId="69FABB3A">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（四）</w:t>
            </w:r>
            <w:r>
              <w:rPr>
                <w:rFonts w:hint="eastAsia" w:asciiTheme="minorEastAsia" w:hAnsiTheme="minorEastAsia" w:eastAsiaTheme="minorEastAsia" w:cstheme="minorEastAsia"/>
                <w:kern w:val="0"/>
                <w:sz w:val="24"/>
                <w:szCs w:val="24"/>
                <w:highlight w:val="none"/>
              </w:rPr>
              <w:t>不同供应商的投标（响应）文件由同一人送达或者分发，或者不同供应商联系人为同一人或不同联系人的联系电话一致的；</w:t>
            </w:r>
          </w:p>
          <w:p w14:paraId="604E8EF5">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（五）</w:t>
            </w:r>
            <w:r>
              <w:rPr>
                <w:rFonts w:hint="eastAsia" w:asciiTheme="minorEastAsia" w:hAnsiTheme="minorEastAsia" w:eastAsiaTheme="minorEastAsia" w:cstheme="minorEastAsia"/>
                <w:kern w:val="0"/>
                <w:sz w:val="24"/>
                <w:szCs w:val="24"/>
                <w:highlight w:val="none"/>
              </w:rPr>
              <w:t>不同供应商的投标（响应）文件的内容存在两处以上细节错误一致；</w:t>
            </w:r>
          </w:p>
          <w:p w14:paraId="69E4333F">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（六）</w:t>
            </w:r>
            <w:r>
              <w:rPr>
                <w:rFonts w:hint="eastAsia" w:asciiTheme="minorEastAsia" w:hAnsiTheme="minorEastAsia" w:eastAsiaTheme="minorEastAsia" w:cstheme="minorEastAsia"/>
                <w:kern w:val="0"/>
                <w:sz w:val="24"/>
                <w:szCs w:val="24"/>
                <w:highlight w:val="none"/>
              </w:rPr>
              <w:t>不同供应商的法定代表人</w:t>
            </w:r>
            <w:r>
              <w:rPr>
                <w:rFonts w:hint="eastAsia" w:asciiTheme="minorEastAsia" w:hAnsiTheme="minorEastAsia" w:eastAsiaTheme="minorEastAsia" w:cstheme="minorEastAsia"/>
                <w:b w:val="0"/>
                <w:bCs w:val="0"/>
                <w:sz w:val="24"/>
                <w:szCs w:val="24"/>
                <w:highlight w:val="none"/>
              </w:rPr>
              <w:t>（单位负责人）</w:t>
            </w:r>
            <w:r>
              <w:rPr>
                <w:rFonts w:hint="eastAsia" w:asciiTheme="minorEastAsia" w:hAnsiTheme="minorEastAsia" w:eastAsiaTheme="minorEastAsia" w:cstheme="minorEastAsia"/>
                <w:kern w:val="0"/>
                <w:sz w:val="24"/>
                <w:szCs w:val="24"/>
                <w:highlight w:val="none"/>
              </w:rPr>
              <w:t>、委托代理人、项目经理、项目负责人等由同一个单位缴纳社会保险或者领取报酬的；</w:t>
            </w:r>
          </w:p>
          <w:p w14:paraId="69F0FB7F">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（七）</w:t>
            </w:r>
            <w:r>
              <w:rPr>
                <w:rFonts w:hint="eastAsia" w:asciiTheme="minorEastAsia" w:hAnsiTheme="minorEastAsia" w:eastAsiaTheme="minorEastAsia" w:cstheme="minorEastAsia"/>
                <w:kern w:val="0"/>
                <w:sz w:val="24"/>
                <w:szCs w:val="24"/>
                <w:highlight w:val="none"/>
              </w:rPr>
              <w:t>不同供应商投标（响应）文件中法定代表人</w:t>
            </w:r>
            <w:r>
              <w:rPr>
                <w:rFonts w:hint="eastAsia" w:asciiTheme="minorEastAsia" w:hAnsiTheme="minorEastAsia" w:eastAsiaTheme="minorEastAsia" w:cstheme="minorEastAsia"/>
                <w:b w:val="0"/>
                <w:bCs w:val="0"/>
                <w:sz w:val="24"/>
                <w:szCs w:val="24"/>
                <w:highlight w:val="none"/>
              </w:rPr>
              <w:t>（单位负责人）</w:t>
            </w:r>
            <w:r>
              <w:rPr>
                <w:rFonts w:hint="eastAsia" w:asciiTheme="minorEastAsia" w:hAnsiTheme="minorEastAsia" w:eastAsiaTheme="minorEastAsia" w:cstheme="minorEastAsia"/>
                <w:kern w:val="0"/>
                <w:sz w:val="24"/>
                <w:szCs w:val="24"/>
                <w:highlight w:val="none"/>
              </w:rPr>
              <w:t>或者负责人签字出自同一人之手；</w:t>
            </w:r>
          </w:p>
          <w:p w14:paraId="12A9227E">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（八）</w:t>
            </w:r>
            <w:r>
              <w:rPr>
                <w:rFonts w:hint="eastAsia" w:asciiTheme="minorEastAsia" w:hAnsiTheme="minorEastAsia" w:eastAsiaTheme="minorEastAsia" w:cstheme="minorEastAsia"/>
                <w:kern w:val="0"/>
                <w:sz w:val="24"/>
                <w:szCs w:val="24"/>
                <w:highlight w:val="none"/>
              </w:rPr>
              <w:t>其它涉嫌串通的情形。</w:t>
            </w:r>
          </w:p>
        </w:tc>
      </w:tr>
      <w:tr w14:paraId="542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90" w:type="dxa"/>
            <w:noWrap w:val="0"/>
            <w:vAlign w:val="center"/>
          </w:tcPr>
          <w:p w14:paraId="2386548C">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9.3.3</w:t>
            </w:r>
          </w:p>
        </w:tc>
        <w:tc>
          <w:tcPr>
            <w:tcW w:w="1189" w:type="dxa"/>
            <w:noWrap w:val="0"/>
            <w:vAlign w:val="center"/>
          </w:tcPr>
          <w:p w14:paraId="3D31D484">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河南省政府采购合同融资政策告知函</w:t>
            </w:r>
          </w:p>
          <w:p w14:paraId="32F776BC">
            <w:pPr>
              <w:keepNext w:val="0"/>
              <w:keepLines w:val="0"/>
              <w:pageBreakBefore w:val="0"/>
              <w:kinsoku/>
              <w:wordWrap w:val="0"/>
              <w:overflowPunct/>
              <w:topLinePunct w:val="0"/>
              <w:autoSpaceDE/>
              <w:autoSpaceDN/>
              <w:bidi w:val="0"/>
              <w:snapToGrid w:val="0"/>
              <w:spacing w:line="360" w:lineRule="auto"/>
              <w:jc w:val="center"/>
              <w:textAlignment w:val="auto"/>
              <w:outlineLvl w:val="9"/>
              <w:rPr>
                <w:rFonts w:hint="eastAsia" w:asciiTheme="minorEastAsia" w:hAnsiTheme="minorEastAsia" w:eastAsiaTheme="minorEastAsia" w:cstheme="minorEastAsia"/>
                <w:kern w:val="0"/>
                <w:sz w:val="24"/>
                <w:szCs w:val="24"/>
                <w:highlight w:val="none"/>
              </w:rPr>
            </w:pPr>
          </w:p>
        </w:tc>
        <w:tc>
          <w:tcPr>
            <w:tcW w:w="7035" w:type="dxa"/>
            <w:noWrap w:val="0"/>
            <w:vAlign w:val="center"/>
          </w:tcPr>
          <w:p w14:paraId="47E02EFF">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河南省政府采购合同融资政策告知函</w:t>
            </w:r>
          </w:p>
          <w:p w14:paraId="3C3B486D">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各供应商：</w:t>
            </w:r>
          </w:p>
          <w:p w14:paraId="04C6F56A">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欢迎贵公司参与河南省政府采购活动！</w:t>
            </w:r>
          </w:p>
          <w:p w14:paraId="777D7DDC">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F691362">
            <w:pPr>
              <w:keepNext w:val="0"/>
              <w:keepLines w:val="0"/>
              <w:pageBreakBefore w:val="0"/>
              <w:widowControl/>
              <w:numPr>
                <w:ilvl w:val="0"/>
                <w:numId w:val="0"/>
              </w:numPr>
              <w:kinsoku/>
              <w:wordWrap w:val="0"/>
              <w:overflowPunct/>
              <w:topLinePunct w:val="0"/>
              <w:autoSpaceDE/>
              <w:autoSpaceDN/>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贷款渠道和提供贷款的金融机构，可在河南省政府采购网“河南省政府采购合同融资平台”查询联系。</w:t>
            </w:r>
          </w:p>
        </w:tc>
      </w:tr>
    </w:tbl>
    <w:p w14:paraId="195BE26B">
      <w:pPr>
        <w:numPr>
          <w:ilvl w:val="0"/>
          <w:numId w:val="6"/>
        </w:numPr>
        <w:adjustRightInd w:val="0"/>
        <w:snapToGrid w:val="0"/>
        <w:spacing w:line="360" w:lineRule="auto"/>
        <w:ind w:firstLine="482" w:firstLineChars="200"/>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47" w:name="_Toc29233"/>
      <w:r>
        <w:rPr>
          <w:rFonts w:hint="eastAsia" w:asciiTheme="minorEastAsia" w:hAnsiTheme="minorEastAsia" w:eastAsiaTheme="minorEastAsia" w:cstheme="minorEastAsia"/>
          <w:b/>
          <w:bCs/>
          <w:sz w:val="24"/>
          <w:szCs w:val="24"/>
        </w:rPr>
        <w:t>总则</w:t>
      </w:r>
      <w:bookmarkEnd w:id="47"/>
    </w:p>
    <w:p w14:paraId="55BF1150">
      <w:pPr>
        <w:numPr>
          <w:ilvl w:val="0"/>
          <w:numId w:val="0"/>
        </w:numPr>
        <w:adjustRightInd w:val="0"/>
        <w:snapToGrid w:val="0"/>
        <w:spacing w:line="360" w:lineRule="auto"/>
        <w:ind w:left="0" w:leftChars="0" w:firstLine="482" w:firstLineChars="200"/>
        <w:outlineLvl w:val="9"/>
        <w:rPr>
          <w:rFonts w:hint="eastAsia" w:asciiTheme="minorEastAsia" w:hAnsiTheme="minorEastAsia" w:eastAsiaTheme="minorEastAsia" w:cstheme="minorEastAsia"/>
          <w:b/>
          <w:bCs/>
          <w:sz w:val="24"/>
          <w:szCs w:val="24"/>
        </w:rPr>
      </w:pPr>
      <w:bookmarkStart w:id="48" w:name="_Toc22742"/>
      <w:r>
        <w:rPr>
          <w:rFonts w:hint="eastAsia" w:asciiTheme="minorEastAsia" w:hAnsiTheme="minorEastAsia" w:eastAsiaTheme="minorEastAsia" w:cstheme="minorEastAsia"/>
          <w:b/>
          <w:bCs/>
          <w:kern w:val="2"/>
          <w:sz w:val="24"/>
          <w:szCs w:val="24"/>
        </w:rPr>
        <w:t>1.1 定义</w:t>
      </w:r>
      <w:bookmarkEnd w:id="48"/>
    </w:p>
    <w:p w14:paraId="249FC22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1.1.1采购人：“供应商须知前附表”中所述的、依法进行政府采购的国家机关、事业单位、团体组织。</w:t>
      </w:r>
    </w:p>
    <w:p w14:paraId="238F2D8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1.1.2采购代理机构：受采购人委托组织采购活动，在采购过程中负有相应责任的社会中介组织。</w:t>
      </w:r>
    </w:p>
    <w:p w14:paraId="567C8DC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1.1.3供应商：根据政府采购合同，向采购人提供货物、工程或者服务的法人、其他组织或者自然人。</w:t>
      </w:r>
    </w:p>
    <w:p w14:paraId="399F4E8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1.1.4货物：指除了咨询服务以外的所有的物品、货物、装置和/或包括附件、备品备件、图纸、技术文件、用于运输和安装的包装、培训、维修和其他类似服务的供应。</w:t>
      </w:r>
    </w:p>
    <w:p w14:paraId="525B5FA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1.1.5货物伴随服务：指招标文件规定的供应商应承担的技术服务、技术协助、校准及售后服务和其他类似的义务。</w:t>
      </w:r>
    </w:p>
    <w:p w14:paraId="70AF284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1.1.6投标文件：指供应商根据招标文件要求提交的所有文件。</w:t>
      </w:r>
    </w:p>
    <w:p w14:paraId="12BB24F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1.1.7中标人：接到并接受中标通知书，最终被授予合同的供应商。</w:t>
      </w:r>
    </w:p>
    <w:p w14:paraId="4BE9A176">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1.2项目概况</w:t>
      </w:r>
    </w:p>
    <w:p w14:paraId="3B8B3F7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1.2.1根据《中华人民共和国政府采购法》等有关法律、法规和规章的规定对本项目进行招标。本招标文件仅适用于政府采购公开招标的货物及伴随服务。</w:t>
      </w:r>
    </w:p>
    <w:p w14:paraId="7843FB4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1.2.2本招标项目采购人：见供应商须知前附表。</w:t>
      </w:r>
    </w:p>
    <w:p w14:paraId="4930C36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1.2.3本招标项目采购代理机构：见供应商须知前附表。</w:t>
      </w:r>
    </w:p>
    <w:p w14:paraId="0EF274C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1.2.4本招标项目名称：见供应商须知前附表。</w:t>
      </w:r>
    </w:p>
    <w:p w14:paraId="37D2FA8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1.2.5本招标项目编号：见供应商须知前附表。</w:t>
      </w:r>
    </w:p>
    <w:p w14:paraId="55E89BC0">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 项目预算金额和政府采购最高限价</w:t>
      </w:r>
    </w:p>
    <w:p w14:paraId="5FF0442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1.3.1本招标项目的预算金额：见供应商须知前附表。</w:t>
      </w:r>
    </w:p>
    <w:p w14:paraId="4F29076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1.3.2本招标项目的政府采购最高限价：见供应商须知前附表。</w:t>
      </w:r>
    </w:p>
    <w:p w14:paraId="16FF3FA4">
      <w:p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1.4 采购需求、</w:t>
      </w:r>
      <w:r>
        <w:rPr>
          <w:rFonts w:hint="eastAsia" w:asciiTheme="minorEastAsia" w:hAnsiTheme="minorEastAsia" w:eastAsiaTheme="minorEastAsia" w:cstheme="minorEastAsia"/>
          <w:b/>
          <w:sz w:val="24"/>
          <w:szCs w:val="24"/>
        </w:rPr>
        <w:t>交付使用时间</w:t>
      </w:r>
      <w:r>
        <w:rPr>
          <w:rFonts w:hint="eastAsia" w:asciiTheme="minorEastAsia" w:hAnsiTheme="minorEastAsia" w:eastAsiaTheme="minorEastAsia" w:cstheme="minorEastAsia"/>
          <w:b/>
          <w:bCs/>
          <w:sz w:val="24"/>
          <w:szCs w:val="24"/>
        </w:rPr>
        <w:t>、质量、交货地点要求</w:t>
      </w:r>
    </w:p>
    <w:p w14:paraId="4671568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1.4.1采购需求：见供应商须知前附表。</w:t>
      </w:r>
    </w:p>
    <w:p w14:paraId="6C55372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1.4.2标段（包）划分：见供应商须知前附表。</w:t>
      </w:r>
    </w:p>
    <w:p w14:paraId="6C93963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w:t>
      </w:r>
      <w:r>
        <w:rPr>
          <w:rFonts w:hint="eastAsia" w:asciiTheme="minorEastAsia" w:hAnsiTheme="minorEastAsia" w:eastAsiaTheme="minorEastAsia" w:cstheme="minorEastAsia"/>
          <w:bCs/>
          <w:sz w:val="24"/>
          <w:szCs w:val="24"/>
        </w:rPr>
        <w:t>合同履行期限</w:t>
      </w:r>
      <w:r>
        <w:rPr>
          <w:rFonts w:hint="eastAsia" w:asciiTheme="minorEastAsia" w:hAnsiTheme="minorEastAsia" w:eastAsiaTheme="minorEastAsia" w:cstheme="minorEastAsia"/>
          <w:sz w:val="24"/>
          <w:szCs w:val="24"/>
        </w:rPr>
        <w:t>：见供应商须知前附表。</w:t>
      </w:r>
    </w:p>
    <w:p w14:paraId="6A7FCE6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1.4.4质量要求：见供应商须知前附表。</w:t>
      </w:r>
    </w:p>
    <w:p w14:paraId="46091F5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1.4.5质保期：见供应商须知前附表。</w:t>
      </w:r>
    </w:p>
    <w:p w14:paraId="4E25F7F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1.4.6交货地点：见供应商须知前附表：</w:t>
      </w:r>
    </w:p>
    <w:p w14:paraId="39D9BCC5">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政府采购政策及采购进口产品</w:t>
      </w:r>
    </w:p>
    <w:p w14:paraId="642BBFF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1.5.1本项目执行的政府采购政策：见供应商须知前附表。</w:t>
      </w:r>
    </w:p>
    <w:p w14:paraId="51923EC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1.5.2经财政部门核准允许采购进口产品：见供应商须知前附表。</w:t>
      </w:r>
    </w:p>
    <w:p w14:paraId="15DC3BF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1.5.3政府强制采购的节能产品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见供应商须知前附表。</w:t>
      </w:r>
    </w:p>
    <w:p w14:paraId="236873E2">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供应商资格要求</w:t>
      </w:r>
    </w:p>
    <w:p w14:paraId="297835C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1.6.1供应商应具备承担本项目的资格条件、能力和信誉。</w:t>
      </w:r>
    </w:p>
    <w:p w14:paraId="5E24DD8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（1）资格条件：见供应商须知前附表；</w:t>
      </w:r>
    </w:p>
    <w:p w14:paraId="0095F47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（2）其他要求：见供应商须知前附表。</w:t>
      </w:r>
    </w:p>
    <w:p w14:paraId="1D9A762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1.6.2供应商不得存在下列情形之一：</w:t>
      </w:r>
    </w:p>
    <w:p w14:paraId="04E59D5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（1）为采购人不具有独立法人资格的附属机构（单位）；</w:t>
      </w:r>
    </w:p>
    <w:p w14:paraId="02FA006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（2）为本招标项目前期准备提供设计或咨询服务的；</w:t>
      </w:r>
    </w:p>
    <w:p w14:paraId="3538BDA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（3）为本招标项目提供招标代理服务的； </w:t>
      </w:r>
    </w:p>
    <w:p w14:paraId="62DE324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（4）被责令停业的；</w:t>
      </w:r>
    </w:p>
    <w:p w14:paraId="7D1AA15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（5）被暂停或取消投标资格的；</w:t>
      </w:r>
    </w:p>
    <w:p w14:paraId="18D4672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（6）本次政府采购活动前三年内，在经营活动中有重大违法记录的；</w:t>
      </w:r>
    </w:p>
    <w:p w14:paraId="770D7ED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kern w:val="0"/>
          <w:sz w:val="24"/>
          <w:szCs w:val="24"/>
        </w:rPr>
        <w:t>列入失信被执行人、重大税收违法案件当事人名单、政府采购严重违法失信行为记录名单的；</w:t>
      </w:r>
    </w:p>
    <w:p w14:paraId="553F5AF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）单位负责人为同一人或者存在控股、管理关系的不同单位；</w:t>
      </w:r>
    </w:p>
    <w:p w14:paraId="70A0045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1.6.3是否接受联合体：见供应商须知前附表。</w:t>
      </w:r>
    </w:p>
    <w:p w14:paraId="64A277DE">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 费用承担</w:t>
      </w:r>
    </w:p>
    <w:p w14:paraId="05F8265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供应商准备和参加投标活动发生的费用自理。</w:t>
      </w:r>
    </w:p>
    <w:p w14:paraId="33FD7D80">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1.8 保密</w:t>
      </w:r>
    </w:p>
    <w:p w14:paraId="60D6D56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参与招标投标活动的各方应对招标文件和投标文件中的商业和技术等秘密保密，违者应对由此造成的后果承担法律责任。</w:t>
      </w:r>
    </w:p>
    <w:p w14:paraId="77954E98">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 语言文字</w:t>
      </w:r>
    </w:p>
    <w:p w14:paraId="2434297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招标投标文件使用的语言文字为中文。专用术语使用外文的，应附有中文注释。</w:t>
      </w:r>
    </w:p>
    <w:p w14:paraId="3DA15D89">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1.10 计量单位</w:t>
      </w:r>
    </w:p>
    <w:p w14:paraId="11BA906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所有计量均采用中华人民共和国法定计量单位。</w:t>
      </w:r>
    </w:p>
    <w:p w14:paraId="5E9DCBE0">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 踏勘现场</w:t>
      </w:r>
    </w:p>
    <w:p w14:paraId="1CEAF96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1.11.1采购人是否组织现场踏勘：见供应商须知前附表。</w:t>
      </w:r>
    </w:p>
    <w:p w14:paraId="327CA8B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1.11.2供应商踏勘现场发生的费用自理。</w:t>
      </w:r>
    </w:p>
    <w:p w14:paraId="2EE0DFC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1.11.3供应商自行负责在踏勘现场中所发生的人员伤亡和财产损失。</w:t>
      </w:r>
    </w:p>
    <w:p w14:paraId="0E0175DA">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1.12 供应商提出问题或要求澄清</w:t>
      </w:r>
    </w:p>
    <w:p w14:paraId="06F4F8C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1.12.1本次招标是否召开投标预备会：见供应商须知前附表。</w:t>
      </w:r>
    </w:p>
    <w:p w14:paraId="2071286F">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1.12.2供应商提出问题或要求澄清：潜在供应商对招标文件内容如有疑问或需要澄清的，应按招标公告中载明的地址以书面的形式通知到采购代理机构。</w:t>
      </w:r>
    </w:p>
    <w:p w14:paraId="305965BF">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1.13 偏离</w:t>
      </w:r>
    </w:p>
    <w:p w14:paraId="12CB0499">
      <w:pPr>
        <w:autoSpaceDE w:val="0"/>
        <w:autoSpaceDN w:val="0"/>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是否允许负偏离：</w:t>
      </w:r>
      <w:r>
        <w:rPr>
          <w:rFonts w:hint="eastAsia" w:asciiTheme="minorEastAsia" w:hAnsiTheme="minorEastAsia" w:eastAsiaTheme="minorEastAsia" w:cstheme="minorEastAsia"/>
          <w:sz w:val="24"/>
          <w:szCs w:val="24"/>
        </w:rPr>
        <w:t>见供应商须知前附表</w:t>
      </w:r>
      <w:r>
        <w:rPr>
          <w:rFonts w:hint="eastAsia" w:asciiTheme="minorEastAsia" w:hAnsiTheme="minorEastAsia" w:eastAsiaTheme="minorEastAsia" w:cstheme="minorEastAsia"/>
          <w:kern w:val="0"/>
          <w:sz w:val="24"/>
          <w:szCs w:val="24"/>
        </w:rPr>
        <w:t>。</w:t>
      </w:r>
    </w:p>
    <w:p w14:paraId="13BB6D46">
      <w:pPr>
        <w:pStyle w:val="5"/>
        <w:keepLines w:val="0"/>
        <w:widowControl/>
        <w:adjustRightInd w:val="0"/>
        <w:snapToGrid w:val="0"/>
        <w:spacing w:before="0" w:after="0" w:line="360" w:lineRule="auto"/>
        <w:ind w:firstLine="482" w:firstLineChars="200"/>
        <w:outlineLvl w:val="1"/>
        <w:rPr>
          <w:rFonts w:hint="eastAsia" w:asciiTheme="minorEastAsia" w:hAnsiTheme="minorEastAsia" w:eastAsiaTheme="minorEastAsia" w:cstheme="minorEastAsia"/>
          <w:sz w:val="24"/>
          <w:szCs w:val="24"/>
        </w:rPr>
      </w:pPr>
      <w:bookmarkStart w:id="49" w:name="_Toc3271"/>
      <w:r>
        <w:rPr>
          <w:rFonts w:hint="eastAsia" w:asciiTheme="minorEastAsia" w:hAnsiTheme="minorEastAsia" w:eastAsiaTheme="minorEastAsia" w:cstheme="minorEastAsia"/>
          <w:sz w:val="24"/>
          <w:szCs w:val="24"/>
        </w:rPr>
        <w:t>2. 招标文件</w:t>
      </w:r>
      <w:bookmarkEnd w:id="49"/>
    </w:p>
    <w:p w14:paraId="546F944F">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 招标文件的组成</w:t>
      </w:r>
    </w:p>
    <w:p w14:paraId="0EFEFA4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2.1.1本招标文件包括：</w:t>
      </w:r>
    </w:p>
    <w:p w14:paraId="2D855AAD">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招标文件用以阐明本次招标的货物要求、招标投标程序和合同条件。</w:t>
      </w:r>
    </w:p>
    <w:p w14:paraId="2BE696E1">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招标文件由下述部分组成：</w:t>
      </w:r>
    </w:p>
    <w:p w14:paraId="2A2A9E67">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 xml:space="preserve">第一章 公开招标公告 </w:t>
      </w:r>
    </w:p>
    <w:p w14:paraId="781F0AC2">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第二章 供应商须知</w:t>
      </w:r>
    </w:p>
    <w:p w14:paraId="7186414D">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第三章 资格审查、评标及定标</w:t>
      </w:r>
    </w:p>
    <w:p w14:paraId="7664B6A9">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第四章 合同协议书（格式）</w:t>
      </w:r>
    </w:p>
    <w:p w14:paraId="5C26BF34">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第五章 项目需求及技术参数要求</w:t>
      </w:r>
    </w:p>
    <w:p w14:paraId="5735945C">
      <w:pPr>
        <w:pStyle w:val="47"/>
        <w:adjustRightInd w:val="0"/>
        <w:snapToGri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第六章 投标文件格式及附件</w:t>
      </w:r>
    </w:p>
    <w:p w14:paraId="24F2F1C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2.1.2根据本章第1.11款、第2.2款和第2.3款对招标文件所作的澄清、修改，构成招标文件的组成部分。</w:t>
      </w:r>
    </w:p>
    <w:p w14:paraId="0A103C21">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2.2 供应商要求对招标文件澄清 </w:t>
      </w:r>
    </w:p>
    <w:p w14:paraId="1540F8F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2.2.1供应商应仔细阅读和检查招标文件的全部内容。如发现缺页或附件不全，应及时向采购人提出，以便补齐。</w:t>
      </w:r>
    </w:p>
    <w:p w14:paraId="15841F4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2.2.2潜在供应商对招标文件内容如有疑问或需要澄清的，应按招标公告中载明的地址以书面的形式通知到采购代理机构。</w:t>
      </w:r>
    </w:p>
    <w:p w14:paraId="632C9A39">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2.3 招标文件的修改</w:t>
      </w:r>
    </w:p>
    <w:p w14:paraId="13D9238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采购人可以书面形式修改招标文件，澄清或者修改将在原招标公告发布媒体上发布信息更正公告。如果修改招标文件的时间距投标截止时间不足15天，并且修改内容影响投标文件编制的，将相应延长投标截止时间。</w:t>
      </w:r>
    </w:p>
    <w:p w14:paraId="1438434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2.3.2供应商收到修改内容后，应在供应商须知前附表规定的时间内以书面形式通知采购人，确认已收到该修改。</w:t>
      </w:r>
    </w:p>
    <w:p w14:paraId="29EA2A82">
      <w:pPr>
        <w:pStyle w:val="5"/>
        <w:keepLines w:val="0"/>
        <w:widowControl/>
        <w:adjustRightInd w:val="0"/>
        <w:snapToGrid w:val="0"/>
        <w:spacing w:before="0" w:after="0" w:line="360" w:lineRule="auto"/>
        <w:ind w:firstLine="482" w:firstLineChars="200"/>
        <w:outlineLvl w:val="1"/>
        <w:rPr>
          <w:rFonts w:hint="eastAsia" w:asciiTheme="minorEastAsia" w:hAnsiTheme="minorEastAsia" w:eastAsiaTheme="minorEastAsia" w:cstheme="minorEastAsia"/>
          <w:bCs/>
          <w:sz w:val="24"/>
          <w:szCs w:val="24"/>
        </w:rPr>
      </w:pPr>
      <w:bookmarkStart w:id="50" w:name="_Toc32613"/>
      <w:r>
        <w:rPr>
          <w:rFonts w:hint="eastAsia" w:asciiTheme="minorEastAsia" w:hAnsiTheme="minorEastAsia" w:eastAsiaTheme="minorEastAsia" w:cstheme="minorEastAsia"/>
          <w:sz w:val="24"/>
          <w:szCs w:val="24"/>
        </w:rPr>
        <w:t>3. 投标文件</w:t>
      </w:r>
      <w:bookmarkEnd w:id="50"/>
    </w:p>
    <w:p w14:paraId="06D6B814">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 投标文件的组成</w:t>
      </w:r>
    </w:p>
    <w:p w14:paraId="6FD39BA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3.1.1投标文件应包括下列内容：</w:t>
      </w:r>
    </w:p>
    <w:p w14:paraId="51C18B7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w:t>
      </w:r>
    </w:p>
    <w:p w14:paraId="5CD5560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（2）开标一览表</w:t>
      </w:r>
    </w:p>
    <w:p w14:paraId="753CC0C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（3）主要货物分项报价一览表</w:t>
      </w:r>
    </w:p>
    <w:p w14:paraId="220527A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（4）质保期内备品备件、专用工具一览表</w:t>
      </w:r>
    </w:p>
    <w:p w14:paraId="35C66E4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（5）质保期外备品备件、专用工具报价表</w:t>
      </w:r>
    </w:p>
    <w:p w14:paraId="22EA886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（6）按供应商须知前附表要求出具的资格证明文件</w:t>
      </w:r>
    </w:p>
    <w:p w14:paraId="1846983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（7）技术规格和商务条款偏差表</w:t>
      </w:r>
    </w:p>
    <w:p w14:paraId="7168A2D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）供应商认为需要提交的其他证明资料。</w:t>
      </w:r>
    </w:p>
    <w:p w14:paraId="1DF3A6F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招标文件附件中给定格式的，供应商必须使用招标文件提供的格式，但表格可以按同样格式扩展，招标文件附件中未给定格式的，供应商可以自拟格式。</w:t>
      </w:r>
    </w:p>
    <w:p w14:paraId="41A1567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3.1.2招标文件中的每个标段（包），是项目招标不可拆分的最小投标单元，供应商必须按此分标段（包）编制投标文件，提交相应的文件资料，拆分别标段（包）投标将视为非实质性响应招标文件而不予接受。</w:t>
      </w:r>
    </w:p>
    <w:p w14:paraId="170938A7">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3.2 投标报价</w:t>
      </w:r>
    </w:p>
    <w:p w14:paraId="71D787F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3.2.1本项目采购预算（政府采购最高限）价见供应商须知前附表。供应商结合企业自身情况在采购预算（政府采购最高限）价内自主报价，超过采购预算（政府采购最高限）价的报价为无效报价。</w:t>
      </w:r>
    </w:p>
    <w:p w14:paraId="70B5E9A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3.2.2供应商应按照招标文件要求的投标报价表格式填写提供各项货物及服务的单价、分项总价和总投标价。如果单价、分项总价和总投标价之间有差异，</w:t>
      </w:r>
      <w:r>
        <w:rPr>
          <w:rFonts w:hint="eastAsia" w:asciiTheme="minorEastAsia" w:hAnsiTheme="minorEastAsia" w:eastAsiaTheme="minorEastAsia" w:cstheme="minorEastAsia"/>
          <w:kern w:val="0"/>
          <w:sz w:val="24"/>
          <w:szCs w:val="24"/>
        </w:rPr>
        <w:t>按照7.10项之规定修正：</w:t>
      </w:r>
    </w:p>
    <w:p w14:paraId="57996DE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3.2.3投标总报价应是采购人指定地点交货的包括交货前发生的各种税费、运费及保险费、运杂费、以及伴随的其它服务费总报价。</w:t>
      </w:r>
    </w:p>
    <w:p w14:paraId="018D0B5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3.2.4供应商对每种货物只允许有一个报价，采购人和采购代理机构不接受有任何选择报价的投标，但招标文件要求提交的备选投标除外。</w:t>
      </w:r>
    </w:p>
    <w:p w14:paraId="30DBE01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供应商不得以任何理由在开标后对投标报价予以修改，报价在投标有效期内是固定的，不因任何原因而改变。任何包含价格调整要求和条件的投标，将被视为非实质性响应投标而予以拒绝。最低报价不能保证一定中标。</w:t>
      </w:r>
    </w:p>
    <w:p w14:paraId="527DDB4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3.2.6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Theme="minorEastAsia" w:hAnsiTheme="minorEastAsia" w:eastAsiaTheme="minorEastAsia" w:cstheme="minorEastAsia"/>
          <w:sz w:val="24"/>
          <w:szCs w:val="24"/>
        </w:rPr>
        <w:t>。</w:t>
      </w:r>
    </w:p>
    <w:p w14:paraId="3ED382F4">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3.3 投标有效期</w:t>
      </w:r>
    </w:p>
    <w:p w14:paraId="2B02A63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3.3.1除供应商须知前附表另有规定外，投标有效期为60日历天。投标有效期不足的将被视为非响应投标而予以拒绝。</w:t>
      </w:r>
    </w:p>
    <w:p w14:paraId="369BAD0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3.3.2在投标有效期内，供应商撤销或修改其投标文件的，应承担招标文件和法律规定的责任。</w:t>
      </w:r>
    </w:p>
    <w:p w14:paraId="613514D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在特殊情况下，采购人和采购代理机构可征求供应商同意延长投标有效期，这种要求与答复均应以书面形式提交。供应商可以拒绝这种要求。同意延长投标有效期的供应商将不会被要求也不允许修改其投标文件。</w:t>
      </w:r>
    </w:p>
    <w:p w14:paraId="5D2D42FE">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3.4 投标保证金</w:t>
      </w:r>
    </w:p>
    <w:p w14:paraId="6546814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见供应商须知前附表。</w:t>
      </w:r>
    </w:p>
    <w:p w14:paraId="400CD76A">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3.5 资格审查资料</w:t>
      </w:r>
    </w:p>
    <w:p w14:paraId="5CA3E8D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3.5.1详见供应商须知前附表中供应商资格条件、能力规定的内容。</w:t>
      </w:r>
    </w:p>
    <w:p w14:paraId="77697BDF">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3.6投标文件的编制</w:t>
      </w:r>
    </w:p>
    <w:p w14:paraId="006E49C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0E33AFB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3.6.2投标文件应当对招标文件有关</w:t>
      </w:r>
      <w:r>
        <w:rPr>
          <w:rFonts w:hint="eastAsia" w:asciiTheme="minorEastAsia" w:hAnsiTheme="minorEastAsia" w:eastAsiaTheme="minorEastAsia" w:cstheme="minorEastAsia"/>
          <w:bCs/>
          <w:sz w:val="24"/>
          <w:szCs w:val="24"/>
        </w:rPr>
        <w:t>合同履行期限</w:t>
      </w:r>
      <w:r>
        <w:rPr>
          <w:rFonts w:hint="eastAsia" w:asciiTheme="minorEastAsia" w:hAnsiTheme="minorEastAsia" w:eastAsiaTheme="minorEastAsia" w:cstheme="minorEastAsia"/>
          <w:sz w:val="24"/>
          <w:szCs w:val="24"/>
        </w:rPr>
        <w:t>、投标有效期、质量要求、技术标准和要求、招标范围等实质性内容作出响应。投标文件应按规定的格式填写，内容齐全且关键字迹清晰可辨；</w:t>
      </w:r>
    </w:p>
    <w:p w14:paraId="731C373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3.6.3投标文件应由供应商的法定代表人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或其委托代理人签字或加盖单位公章。委托代理人签字的，投标文件应附法定代表人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签署的授权委托书。</w:t>
      </w:r>
    </w:p>
    <w:p w14:paraId="4DAD186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3.6.4投标文件份数见供应商须知前附表。</w:t>
      </w:r>
    </w:p>
    <w:p w14:paraId="7FD8F07C">
      <w:pPr>
        <w:pStyle w:val="5"/>
        <w:keepLines w:val="0"/>
        <w:widowControl/>
        <w:adjustRightInd w:val="0"/>
        <w:snapToGrid w:val="0"/>
        <w:spacing w:before="0" w:after="0" w:line="360" w:lineRule="auto"/>
        <w:ind w:firstLine="482" w:firstLineChars="200"/>
        <w:outlineLvl w:val="1"/>
        <w:rPr>
          <w:rFonts w:hint="eastAsia" w:asciiTheme="minorEastAsia" w:hAnsiTheme="minorEastAsia" w:eastAsiaTheme="minorEastAsia" w:cstheme="minorEastAsia"/>
          <w:b w:val="0"/>
          <w:sz w:val="24"/>
          <w:szCs w:val="24"/>
        </w:rPr>
      </w:pPr>
      <w:bookmarkStart w:id="51" w:name="_Toc1948"/>
      <w:r>
        <w:rPr>
          <w:rFonts w:hint="eastAsia" w:asciiTheme="minorEastAsia" w:hAnsiTheme="minorEastAsia" w:eastAsiaTheme="minorEastAsia" w:cstheme="minorEastAsia"/>
          <w:sz w:val="24"/>
          <w:szCs w:val="24"/>
        </w:rPr>
        <w:t>4. 投标</w:t>
      </w:r>
      <w:bookmarkEnd w:id="51"/>
    </w:p>
    <w:p w14:paraId="5713570C">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 投标文件的密封</w:t>
      </w:r>
    </w:p>
    <w:p w14:paraId="3EEF086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w:t>
      </w:r>
      <w:r>
        <w:rPr>
          <w:rFonts w:hint="eastAsia" w:asciiTheme="minorEastAsia" w:hAnsiTheme="minorEastAsia" w:eastAsiaTheme="minorEastAsia" w:cstheme="minorEastAsia"/>
          <w:bCs/>
          <w:sz w:val="24"/>
          <w:szCs w:val="24"/>
        </w:rPr>
        <w:t>投标文件</w:t>
      </w:r>
      <w:r>
        <w:rPr>
          <w:rFonts w:hint="eastAsia" w:asciiTheme="minorEastAsia" w:hAnsiTheme="minorEastAsia" w:eastAsiaTheme="minorEastAsia" w:cstheme="minorEastAsia"/>
          <w:bCs/>
          <w:sz w:val="24"/>
          <w:szCs w:val="24"/>
          <w:lang w:val="en-US" w:eastAsia="zh-CN"/>
        </w:rPr>
        <w:t>密封的具体要求见供应商须知前附表</w:t>
      </w:r>
      <w:r>
        <w:rPr>
          <w:rFonts w:hint="eastAsia" w:asciiTheme="minorEastAsia" w:hAnsiTheme="minorEastAsia" w:eastAsiaTheme="minorEastAsia" w:cstheme="minorEastAsia"/>
          <w:bCs/>
          <w:sz w:val="24"/>
          <w:szCs w:val="24"/>
        </w:rPr>
        <w:t>。</w:t>
      </w:r>
    </w:p>
    <w:p w14:paraId="402B0AA4">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 投标文件的递交</w:t>
      </w:r>
    </w:p>
    <w:p w14:paraId="6FCB950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4.2.1投标文件递交截止时间：见供应商须知前附表。</w:t>
      </w:r>
    </w:p>
    <w:p w14:paraId="11AB4E5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4.2.2投标文件递交地点：见供应商须知前附表。</w:t>
      </w:r>
    </w:p>
    <w:p w14:paraId="7B796FD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4.2.3除供应商须知前附表另有规定外，供应商所递交的投标文件不予退还。</w:t>
      </w:r>
    </w:p>
    <w:p w14:paraId="47E2CEF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4.2.4逾期提交或者未按照招标文件要求解密的投标文件，将被判定为无效投标文件。</w:t>
      </w:r>
    </w:p>
    <w:p w14:paraId="5681DCB7">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4.3 投标文件的修改与撤回</w:t>
      </w:r>
    </w:p>
    <w:p w14:paraId="3CF748A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4.3.1供应商在投标截止时间前，可以对所递交的投标文件进行补充、修改或者撤回。</w:t>
      </w:r>
    </w:p>
    <w:p w14:paraId="4BC7D9C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4.3.2在投标截止时间之后，供应商不得对其投标文件做任何修改。</w:t>
      </w:r>
    </w:p>
    <w:p w14:paraId="3B07EED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4.3.3从投标截止时间至供应商在投标文件中载明的投标有效期满期间，供应商不得撤回其投标，否则</w:t>
      </w:r>
      <w:r>
        <w:rPr>
          <w:rFonts w:hint="eastAsia" w:asciiTheme="minorEastAsia" w:hAnsiTheme="minorEastAsia" w:eastAsiaTheme="minorEastAsia" w:cstheme="minorEastAsia"/>
          <w:sz w:val="24"/>
          <w:szCs w:val="24"/>
          <w:lang w:val="en-US" w:eastAsia="zh-CN"/>
        </w:rPr>
        <w:t>供应商将承担相应的违约责任</w:t>
      </w:r>
      <w:r>
        <w:rPr>
          <w:rFonts w:hint="eastAsia" w:asciiTheme="minorEastAsia" w:hAnsiTheme="minorEastAsia" w:eastAsiaTheme="minorEastAsia" w:cstheme="minorEastAsia"/>
          <w:sz w:val="24"/>
          <w:szCs w:val="24"/>
        </w:rPr>
        <w:t>。</w:t>
      </w:r>
    </w:p>
    <w:p w14:paraId="618315B4">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4.4样品及演示</w:t>
      </w:r>
    </w:p>
    <w:p w14:paraId="00653DE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递交样品要求：见供应商须知前附表。</w:t>
      </w:r>
    </w:p>
    <w:p w14:paraId="1A9DFE0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演示要求：</w:t>
      </w:r>
      <w:r>
        <w:rPr>
          <w:rFonts w:hint="eastAsia" w:asciiTheme="minorEastAsia" w:hAnsiTheme="minorEastAsia" w:eastAsiaTheme="minorEastAsia" w:cstheme="minorEastAsia"/>
          <w:sz w:val="24"/>
          <w:szCs w:val="24"/>
        </w:rPr>
        <w:t>见供应商须知前附表。</w:t>
      </w:r>
    </w:p>
    <w:p w14:paraId="1B18481F">
      <w:pPr>
        <w:pStyle w:val="5"/>
        <w:keepLines w:val="0"/>
        <w:widowControl/>
        <w:adjustRightInd w:val="0"/>
        <w:snapToGrid w:val="0"/>
        <w:spacing w:before="0" w:after="0" w:line="360" w:lineRule="auto"/>
        <w:ind w:firstLine="482" w:firstLineChars="200"/>
        <w:outlineLvl w:val="1"/>
        <w:rPr>
          <w:rFonts w:hint="eastAsia" w:asciiTheme="minorEastAsia" w:hAnsiTheme="minorEastAsia" w:eastAsiaTheme="minorEastAsia" w:cstheme="minorEastAsia"/>
          <w:b w:val="0"/>
          <w:sz w:val="24"/>
          <w:szCs w:val="24"/>
        </w:rPr>
      </w:pPr>
      <w:bookmarkStart w:id="52" w:name="_Toc6455"/>
      <w:r>
        <w:rPr>
          <w:rFonts w:hint="eastAsia" w:asciiTheme="minorEastAsia" w:hAnsiTheme="minorEastAsia" w:eastAsiaTheme="minorEastAsia" w:cstheme="minorEastAsia"/>
          <w:sz w:val="24"/>
          <w:szCs w:val="24"/>
        </w:rPr>
        <w:t>5. 开标</w:t>
      </w:r>
      <w:bookmarkEnd w:id="52"/>
    </w:p>
    <w:p w14:paraId="2D05D58C">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5.1 开标时间和地点</w:t>
      </w:r>
    </w:p>
    <w:p w14:paraId="43482F0F">
      <w:pPr>
        <w:pStyle w:val="47"/>
        <w:adjustRightInd w:val="0"/>
        <w:snapToGrid w:val="0"/>
        <w:spacing w:before="0" w:beforeAutospacing="0" w:after="0" w:afterAutospacing="0"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采购代理机构在“供应商须知前附表”中规定的日期、时间和地点组织公开开标。</w:t>
      </w:r>
    </w:p>
    <w:p w14:paraId="084B1121">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5.2 开标程序</w:t>
      </w:r>
    </w:p>
    <w:p w14:paraId="6493F3B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开标会议由采购代理机构人员主持，主持人按下列程序进行开标会议：</w:t>
      </w:r>
    </w:p>
    <w:p w14:paraId="4DA519C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解密投标文件；</w:t>
      </w:r>
    </w:p>
    <w:p w14:paraId="1ACF84A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（2）招标代理机构解密招标文件；</w:t>
      </w:r>
    </w:p>
    <w:p w14:paraId="71B21AD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（3）唱标；</w:t>
      </w:r>
    </w:p>
    <w:p w14:paraId="248E8D7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（4）电子签章；</w:t>
      </w:r>
    </w:p>
    <w:p w14:paraId="02E91CB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（5）开标结束。</w:t>
      </w:r>
    </w:p>
    <w:p w14:paraId="7C904A2A">
      <w:pPr>
        <w:pStyle w:val="47"/>
        <w:adjustRightInd w:val="0"/>
        <w:snapToGrid w:val="0"/>
        <w:spacing w:before="0" w:beforeAutospacing="0" w:after="0" w:afterAutospacing="0" w:line="360" w:lineRule="auto"/>
        <w:ind w:firstLine="482" w:firstLineChars="200"/>
        <w:jc w:val="both"/>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5.3 开标疑义</w:t>
      </w:r>
    </w:p>
    <w:p w14:paraId="7E640E9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代表对开标过程和开标记录有疑义，应当场提出询问，采购人、采购代理机构对</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代表提出的询问应当及时处理。</w:t>
      </w:r>
    </w:p>
    <w:p w14:paraId="031E47D5">
      <w:pPr>
        <w:adjustRightInd w:val="0"/>
        <w:snapToGrid w:val="0"/>
        <w:spacing w:line="360" w:lineRule="auto"/>
        <w:ind w:firstLine="482" w:firstLineChars="200"/>
        <w:outlineLvl w:val="1"/>
        <w:rPr>
          <w:rFonts w:hint="eastAsia" w:asciiTheme="minorEastAsia" w:hAnsiTheme="minorEastAsia" w:eastAsiaTheme="minorEastAsia" w:cstheme="minorEastAsia"/>
          <w:b/>
          <w:bCs/>
          <w:sz w:val="24"/>
          <w:szCs w:val="24"/>
        </w:rPr>
      </w:pPr>
      <w:bookmarkStart w:id="53" w:name="_Toc18003"/>
      <w:r>
        <w:rPr>
          <w:rFonts w:hint="eastAsia" w:asciiTheme="minorEastAsia" w:hAnsiTheme="minorEastAsia" w:eastAsiaTheme="minorEastAsia" w:cstheme="minorEastAsia"/>
          <w:b/>
          <w:bCs/>
          <w:sz w:val="24"/>
          <w:szCs w:val="24"/>
        </w:rPr>
        <w:t>6. 资格审查</w:t>
      </w:r>
      <w:bookmarkEnd w:id="53"/>
    </w:p>
    <w:p w14:paraId="73A161F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按照《政府采购货物和服务招标投标管理办法》的规定，公开招标项目开标结束后，采购人或者采购代理机构应当依法对供应商的资格进行审查。合格供应商不足3家的，不得评标。</w:t>
      </w:r>
    </w:p>
    <w:p w14:paraId="05642D7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6.2 公开招标数额标准以上的采购项目，投标截止后供应商不足3家或者通过资格审查或符合性审查的供应商不足3家的，除采购任务取消情形外，按照以下方式处理：</w:t>
      </w:r>
    </w:p>
    <w:p w14:paraId="494B52F7">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（1）招标文件存在不合理条款或者招标程序不符合规定的，采购人、采购代理机构改正后依法重新招标；</w:t>
      </w:r>
    </w:p>
    <w:p w14:paraId="253A7716">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（2）招标文件没有不合理条款、招标程序符合规定，需要采用其他采购方式采购的，采购人应当依法报财政部门批准。</w:t>
      </w:r>
    </w:p>
    <w:p w14:paraId="377F3B26">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6.3 投标文件出现下列情形之一的，由资格审查小组审查后按无效投标文件不再进行评审：</w:t>
      </w:r>
    </w:p>
    <w:p w14:paraId="37C8E3C2">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（1）供应商不符合国家法律法规所规定资格条件；</w:t>
      </w:r>
    </w:p>
    <w:p w14:paraId="2B3CECB3">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（2）供应商不符合招标文件规定的资格条件；</w:t>
      </w:r>
    </w:p>
    <w:p w14:paraId="0BE7660A">
      <w:pPr>
        <w:adjustRightInd w:val="0"/>
        <w:snapToGrid w:val="0"/>
        <w:spacing w:line="360" w:lineRule="auto"/>
        <w:ind w:firstLine="482" w:firstLineChars="200"/>
        <w:outlineLvl w:val="1"/>
        <w:rPr>
          <w:rFonts w:hint="eastAsia" w:asciiTheme="minorEastAsia" w:hAnsiTheme="minorEastAsia" w:eastAsiaTheme="minorEastAsia" w:cstheme="minorEastAsia"/>
          <w:b/>
          <w:bCs/>
          <w:sz w:val="24"/>
          <w:szCs w:val="24"/>
        </w:rPr>
      </w:pPr>
      <w:bookmarkStart w:id="54" w:name="_Toc14117"/>
      <w:r>
        <w:rPr>
          <w:rFonts w:hint="eastAsia" w:asciiTheme="minorEastAsia" w:hAnsiTheme="minorEastAsia" w:eastAsiaTheme="minorEastAsia" w:cstheme="minorEastAsia"/>
          <w:b/>
          <w:bCs/>
          <w:sz w:val="24"/>
          <w:szCs w:val="24"/>
        </w:rPr>
        <w:t>7. 评标</w:t>
      </w:r>
      <w:bookmarkEnd w:id="54"/>
    </w:p>
    <w:p w14:paraId="444285AA">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7.1 评标委员会</w:t>
      </w:r>
    </w:p>
    <w:p w14:paraId="268A8B7E">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评标由采购人依法组建的评标委员会负责。评标委员会由采购人代表和评审专家组成。成员人数应当为5人以上单数，其中评审专家不得少于成员总数的三分之二。</w:t>
      </w:r>
    </w:p>
    <w:p w14:paraId="2A6D7F2A">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评标委员会成员人数以及技术、经济等方面专家的确定方式见供应商须知前附表。</w:t>
      </w:r>
    </w:p>
    <w:p w14:paraId="6002E035">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7.2 评审专家回避</w:t>
      </w:r>
    </w:p>
    <w:p w14:paraId="1FEA570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评审专家与参加采购活动的供应商存在下列利害关系之一的,应当回避</w:t>
      </w:r>
      <w:r>
        <w:rPr>
          <w:rFonts w:hint="eastAsia" w:asciiTheme="minorEastAsia" w:hAnsiTheme="minorEastAsia" w:eastAsiaTheme="minorEastAsia" w:cstheme="minorEastAsia"/>
          <w:sz w:val="24"/>
          <w:szCs w:val="24"/>
          <w:lang w:eastAsia="zh-CN"/>
        </w:rPr>
        <w:t>：</w:t>
      </w:r>
    </w:p>
    <w:p w14:paraId="7AC405F8">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参加采购活动前三年内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与供应商存在劳动关系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或者担任过供应商的董事、监事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或者是供应商的控股股东或实际控制人</w:t>
      </w:r>
      <w:r>
        <w:rPr>
          <w:rFonts w:hint="eastAsia" w:asciiTheme="minorEastAsia" w:hAnsiTheme="minorEastAsia" w:eastAsiaTheme="minorEastAsia" w:cstheme="minorEastAsia"/>
          <w:sz w:val="24"/>
          <w:szCs w:val="24"/>
          <w:lang w:eastAsia="zh-CN"/>
        </w:rPr>
        <w:t>；</w:t>
      </w:r>
    </w:p>
    <w:p w14:paraId="66A8489F">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与供应商的法定代表人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有夫妻、直系血亲、三代以内旁系血亲或者近姻亲关系</w:t>
      </w:r>
      <w:r>
        <w:rPr>
          <w:rFonts w:hint="eastAsia" w:asciiTheme="minorEastAsia" w:hAnsiTheme="minorEastAsia" w:eastAsiaTheme="minorEastAsia" w:cstheme="minorEastAsia"/>
          <w:sz w:val="24"/>
          <w:szCs w:val="24"/>
          <w:lang w:eastAsia="zh-CN"/>
        </w:rPr>
        <w:t>；</w:t>
      </w:r>
    </w:p>
    <w:p w14:paraId="3B300608">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与供应商有其他可能影响政府采购活动公平、公正进行的关系。</w:t>
      </w:r>
    </w:p>
    <w:p w14:paraId="3899F169">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评审专家发现本人与参加采购活动的供应商有利害关系的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应当主动提出回避。采购人或者采购代理机构发现评审专家与参加采购活动的供应商有利害关系的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应当要求其回避。</w:t>
      </w:r>
    </w:p>
    <w:p w14:paraId="47809B54">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各级财政部门政府采购监督管理工作人员,不得作为评审专家参与政府采购项目的评审活动。</w:t>
      </w:r>
    </w:p>
    <w:p w14:paraId="5F733AC2">
      <w:pPr>
        <w:adjustRightInd w:val="0"/>
        <w:snapToGrid w:val="0"/>
        <w:spacing w:line="360" w:lineRule="auto"/>
        <w:ind w:firstLine="482" w:firstLineChars="200"/>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7.3 评标委员会职责</w:t>
      </w:r>
    </w:p>
    <w:p w14:paraId="6DD286E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评标委员会负责具体评标事务，并独立履行下列职责</w:t>
      </w:r>
      <w:r>
        <w:rPr>
          <w:rFonts w:hint="eastAsia" w:asciiTheme="minorEastAsia" w:hAnsiTheme="minorEastAsia" w:eastAsiaTheme="minorEastAsia" w:cstheme="minorEastAsia"/>
          <w:kern w:val="0"/>
          <w:sz w:val="24"/>
          <w:szCs w:val="24"/>
          <w:lang w:eastAsia="zh-CN"/>
        </w:rPr>
        <w:t>：</w:t>
      </w:r>
    </w:p>
    <w:p w14:paraId="0734E9CD">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7.3.1</w:t>
      </w:r>
      <w:r>
        <w:rPr>
          <w:rFonts w:hint="eastAsia" w:asciiTheme="minorEastAsia" w:hAnsiTheme="minorEastAsia" w:eastAsiaTheme="minorEastAsia" w:cstheme="minorEastAsia"/>
          <w:kern w:val="0"/>
          <w:sz w:val="24"/>
          <w:szCs w:val="24"/>
        </w:rPr>
        <w:t>审查、评价投标文件是否符合招标文件的商务、技术等实质性要求；</w:t>
      </w:r>
    </w:p>
    <w:p w14:paraId="2D241848">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7.3.2要求供应商对投标文件有关事项作出澄清或者说明；</w:t>
      </w:r>
    </w:p>
    <w:p w14:paraId="460F5D3D">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7.3.3对投标文件进行比较和评价；</w:t>
      </w:r>
    </w:p>
    <w:p w14:paraId="2EFAF8AB">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7.3.4</w:t>
      </w:r>
      <w:r>
        <w:rPr>
          <w:rFonts w:hint="eastAsia" w:asciiTheme="minorEastAsia" w:hAnsiTheme="minorEastAsia" w:eastAsiaTheme="minorEastAsia" w:cstheme="minorEastAsia"/>
          <w:kern w:val="0"/>
          <w:sz w:val="24"/>
          <w:szCs w:val="24"/>
        </w:rPr>
        <w:t>确定中标候选人名单，以及根据采购人委托直接确定中标人；</w:t>
      </w:r>
    </w:p>
    <w:p w14:paraId="11D78DF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7.3.5向采购人、采购代理机构或者有关部门报告评标中发现的违法行为；</w:t>
      </w:r>
    </w:p>
    <w:p w14:paraId="70DC6920">
      <w:pPr>
        <w:adjustRightInd w:val="0"/>
        <w:snapToGrid w:val="0"/>
        <w:spacing w:line="360" w:lineRule="auto"/>
        <w:ind w:firstLine="482" w:firstLineChars="200"/>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7.4评标委员会成员变更</w:t>
      </w:r>
    </w:p>
    <w:p w14:paraId="3652C6F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评标委员会评标中因评标委员会成员缺席、回避或者健康等特殊原因导致评标委员会组成不符合本办法规定的，采购人或者采购代理机构应当依法补足后继续评标。被更换的评标委员会成员所作出的评标意见无效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6D1AB46A">
      <w:pPr>
        <w:adjustRightInd w:val="0"/>
        <w:snapToGrid w:val="0"/>
        <w:spacing w:line="360" w:lineRule="auto"/>
        <w:ind w:firstLine="482" w:firstLineChars="200"/>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7.5 符合性审查</w:t>
      </w:r>
    </w:p>
    <w:p w14:paraId="337AB4B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评标委员会应当对符合资格的供应商的投标文件进行符合性审查，以确定其是否满足招标文件的实质性要求。</w:t>
      </w:r>
    </w:p>
    <w:p w14:paraId="2560CD0F">
      <w:pPr>
        <w:adjustRightInd w:val="0"/>
        <w:snapToGrid w:val="0"/>
        <w:spacing w:line="360" w:lineRule="auto"/>
        <w:ind w:firstLine="482" w:firstLineChars="200"/>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7.6 评标办法</w:t>
      </w:r>
    </w:p>
    <w:p w14:paraId="0178940A">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7.6.1本项目采用的评标办法：见供应商须知前附表；</w:t>
      </w:r>
    </w:p>
    <w:p w14:paraId="62C0F82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7.6.2评标委员会应当按照招标文件中规定的评标方法和标准，对符合性审查合格的投标文件进行商务和技术评估，综合比较与评价。</w:t>
      </w:r>
    </w:p>
    <w:p w14:paraId="7650F01F">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7.7 </w:t>
      </w:r>
      <w:r>
        <w:rPr>
          <w:rFonts w:hint="eastAsia" w:asciiTheme="minorEastAsia" w:hAnsiTheme="minorEastAsia" w:eastAsiaTheme="minorEastAsia" w:cstheme="minorEastAsia"/>
          <w:b/>
          <w:bCs/>
          <w:sz w:val="24"/>
          <w:szCs w:val="24"/>
        </w:rPr>
        <w:t>无效投标文件</w:t>
      </w:r>
    </w:p>
    <w:p w14:paraId="05F9C2DD">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投标文件出现下列情形之一的，由评标委员会审核后按无效投标文件不再继续评审：</w:t>
      </w:r>
    </w:p>
    <w:p w14:paraId="1E10FC98">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（1）投标文件未按照招标文件要求进行签署、盖章；</w:t>
      </w:r>
    </w:p>
    <w:p w14:paraId="34D3D79A">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（2）同一供应商提交两个以上不同的投标文件或者投标报价，但招标文件要求提交备选投标的除外；</w:t>
      </w:r>
    </w:p>
    <w:p w14:paraId="022FA2E7">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（3）投标报价高于招标文件设定的项目预算（政府采购最高限价）；</w:t>
      </w:r>
    </w:p>
    <w:p w14:paraId="32ABFF64">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不</w:t>
      </w:r>
      <w:r>
        <w:rPr>
          <w:rFonts w:hint="eastAsia" w:asciiTheme="minorEastAsia" w:hAnsiTheme="minorEastAsia" w:eastAsiaTheme="minorEastAsia" w:cstheme="minorEastAsia"/>
          <w:b/>
          <w:bCs/>
          <w:sz w:val="24"/>
          <w:szCs w:val="24"/>
        </w:rPr>
        <w:t>满足招标文件</w:t>
      </w:r>
      <w:r>
        <w:rPr>
          <w:rFonts w:hint="eastAsia" w:asciiTheme="minorEastAsia" w:hAnsiTheme="minorEastAsia" w:eastAsiaTheme="minorEastAsia" w:cstheme="minorEastAsia"/>
          <w:b/>
          <w:bCs/>
          <w:sz w:val="24"/>
          <w:szCs w:val="24"/>
          <w:lang w:val="en-US" w:eastAsia="zh-CN"/>
        </w:rPr>
        <w:t>规定的不允许偏离的实质性要求和条件</w:t>
      </w:r>
      <w:r>
        <w:rPr>
          <w:rFonts w:hint="eastAsia" w:asciiTheme="minorEastAsia" w:hAnsiTheme="minorEastAsia" w:eastAsiaTheme="minorEastAsia" w:cstheme="minorEastAsia"/>
          <w:b/>
          <w:bCs/>
          <w:sz w:val="24"/>
          <w:szCs w:val="24"/>
        </w:rPr>
        <w:t>；</w:t>
      </w:r>
    </w:p>
    <w:p w14:paraId="08EEA5E0">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）投标有效期不足的；</w:t>
      </w:r>
    </w:p>
    <w:p w14:paraId="63608799">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）参与同一个标段（包）的供应商存在</w:t>
      </w:r>
      <w:r>
        <w:rPr>
          <w:rFonts w:hint="eastAsia" w:asciiTheme="minorEastAsia" w:hAnsiTheme="minorEastAsia" w:eastAsiaTheme="minorEastAsia" w:cstheme="minorEastAsia"/>
          <w:b/>
          <w:bCs/>
          <w:sz w:val="24"/>
          <w:szCs w:val="24"/>
          <w:lang w:val="en-US" w:eastAsia="zh-CN"/>
        </w:rPr>
        <w:t>供应商须知前附表规定的</w:t>
      </w:r>
      <w:r>
        <w:rPr>
          <w:rFonts w:hint="eastAsia" w:asciiTheme="minorEastAsia" w:hAnsiTheme="minorEastAsia" w:eastAsiaTheme="minorEastAsia" w:cstheme="minorEastAsia"/>
          <w:b/>
          <w:bCs/>
          <w:sz w:val="24"/>
          <w:szCs w:val="24"/>
        </w:rPr>
        <w:t>投标 （响应）文件无效</w:t>
      </w:r>
      <w:r>
        <w:rPr>
          <w:rFonts w:hint="eastAsia" w:asciiTheme="minorEastAsia" w:hAnsiTheme="minorEastAsia" w:eastAsiaTheme="minorEastAsia" w:cstheme="minorEastAsia"/>
          <w:b/>
          <w:bCs/>
          <w:sz w:val="24"/>
          <w:szCs w:val="24"/>
          <w:lang w:val="en-US" w:eastAsia="zh-CN"/>
        </w:rPr>
        <w:t>情形</w:t>
      </w:r>
      <w:r>
        <w:rPr>
          <w:rFonts w:hint="eastAsia" w:asciiTheme="minorEastAsia" w:hAnsiTheme="minorEastAsia" w:eastAsiaTheme="minorEastAsia" w:cstheme="minorEastAsia"/>
          <w:b/>
          <w:bCs/>
          <w:sz w:val="24"/>
          <w:szCs w:val="24"/>
        </w:rPr>
        <w:t>；</w:t>
      </w:r>
    </w:p>
    <w:p w14:paraId="1691D144">
      <w:pPr>
        <w:adjustRightInd w:val="0"/>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t>）投标文件附有采购人不能接受的条件的。</w:t>
      </w:r>
    </w:p>
    <w:p w14:paraId="2DF60E36">
      <w:pPr>
        <w:widowControl/>
        <w:adjustRightInd w:val="0"/>
        <w:snapToGrid w:val="0"/>
        <w:spacing w:line="360" w:lineRule="auto"/>
        <w:ind w:firstLine="482" w:firstLineChars="200"/>
        <w:jc w:val="left"/>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7.8 串通投标</w:t>
      </w:r>
    </w:p>
    <w:p w14:paraId="22758200">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有下列情形之一的，视为供应商串通投标，其投标无效：</w:t>
      </w:r>
    </w:p>
    <w:p w14:paraId="36BDFE80">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（1）不同供应商的投标文件由同一单位或者个人编制；</w:t>
      </w:r>
    </w:p>
    <w:p w14:paraId="1A3764C1">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（2）不同供应商委托同一单位或者个人办理投标事宜；</w:t>
      </w:r>
    </w:p>
    <w:p w14:paraId="501BE6F2">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（3）不同供应商的投标文件载明的项目管理成员或者联系人员为同一人；</w:t>
      </w:r>
    </w:p>
    <w:p w14:paraId="3017F23D">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（4）不同供应商的投标文件异常一致或者投标报价呈规律性差异；</w:t>
      </w:r>
    </w:p>
    <w:p w14:paraId="410BB8E0">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（5）不同供应商的投标文件相互混装；</w:t>
      </w:r>
    </w:p>
    <w:p w14:paraId="76521DB6">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7.9 投标文件的澄清</w:t>
      </w:r>
    </w:p>
    <w:p w14:paraId="028D9FF3">
      <w:pPr>
        <w:pStyle w:val="47"/>
        <w:adjustRightInd w:val="0"/>
        <w:snapToGrid w:val="0"/>
        <w:spacing w:before="0" w:beforeAutospacing="0" w:after="0" w:afterAutospacing="0"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7.9.1对于投标文件中含义不明确、同类问题表述不一致或者有明显文字和计算错误的内容，评标委员会应当以书面形式要求供应商作出必要的澄清、说明或者补正</w:t>
      </w:r>
      <w:r>
        <w:rPr>
          <w:rFonts w:hint="eastAsia" w:asciiTheme="minorEastAsia" w:hAnsiTheme="minorEastAsia" w:eastAsiaTheme="minorEastAsia" w:cstheme="minorEastAsia"/>
          <w:kern w:val="2"/>
          <w:sz w:val="24"/>
          <w:szCs w:val="24"/>
        </w:rPr>
        <w:t>；</w:t>
      </w:r>
    </w:p>
    <w:p w14:paraId="73F79169">
      <w:pPr>
        <w:pStyle w:val="47"/>
        <w:adjustRightInd w:val="0"/>
        <w:snapToGrid w:val="0"/>
        <w:spacing w:before="0" w:beforeAutospacing="0" w:after="0" w:afterAutospacing="0"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7.9.2供应商的澄清、说明或者补正应当采用书面形式，</w:t>
      </w:r>
      <w:r>
        <w:rPr>
          <w:rFonts w:hint="eastAsia" w:asciiTheme="minorEastAsia" w:hAnsiTheme="minorEastAsia" w:eastAsiaTheme="minorEastAsia" w:cstheme="minorEastAsia"/>
          <w:sz w:val="24"/>
          <w:szCs w:val="24"/>
          <w:lang w:val="en-US" w:eastAsia="zh-CN"/>
        </w:rPr>
        <w:t>在评标委员会规定时间内在公共资源交易中心系统内提交</w:t>
      </w:r>
      <w:r>
        <w:rPr>
          <w:rFonts w:hint="eastAsia" w:asciiTheme="minorEastAsia" w:hAnsiTheme="minorEastAsia" w:eastAsiaTheme="minorEastAsia" w:cstheme="minorEastAsia"/>
          <w:sz w:val="24"/>
          <w:szCs w:val="24"/>
        </w:rPr>
        <w:t>；</w:t>
      </w:r>
    </w:p>
    <w:p w14:paraId="142C7742">
      <w:pPr>
        <w:pStyle w:val="47"/>
        <w:adjustRightInd w:val="0"/>
        <w:snapToGrid w:val="0"/>
        <w:spacing w:before="0" w:beforeAutospacing="0" w:after="0" w:afterAutospacing="0"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7.9.3供应商的澄清、说明或者补正不得超出投标文件的范围或者改变投标文件的实质性内容。</w:t>
      </w:r>
    </w:p>
    <w:p w14:paraId="060C6C5F">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7.10 错误的修正</w:t>
      </w:r>
    </w:p>
    <w:p w14:paraId="1E7D5EC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7.10.1投标文件报价出现前后不一致的，除招标文件另有规定外，按照下列规定修正</w:t>
      </w:r>
      <w:r>
        <w:rPr>
          <w:rFonts w:hint="eastAsia" w:asciiTheme="minorEastAsia" w:hAnsiTheme="minorEastAsia" w:eastAsiaTheme="minorEastAsia" w:cstheme="minorEastAsia"/>
          <w:sz w:val="24"/>
          <w:szCs w:val="24"/>
        </w:rPr>
        <w:t>：</w:t>
      </w:r>
    </w:p>
    <w:p w14:paraId="6D144C75">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（1）投标文件中开标一览表（报价表）内容与投标文件中相应内容不一致的，以开标一览表（报价表）为准；</w:t>
      </w:r>
    </w:p>
    <w:p w14:paraId="72222C93">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（2）大写金额和小写金额不一致的，以大写金额为准；</w:t>
      </w:r>
    </w:p>
    <w:p w14:paraId="427A4EEB">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（3）单价金额小数点或者百分比有明显错位的，以开标一览表的总价为准，并修改单价；</w:t>
      </w:r>
    </w:p>
    <w:p w14:paraId="78B93576">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（4）总价金额与按单价汇总金额不一致的，以单价金额计算结果为准。</w:t>
      </w:r>
    </w:p>
    <w:p w14:paraId="0D9B872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同时出现两种以上不一致的，按照前款规定的顺序修正。修正后的报价按照政府采购货物和服务招标投标管理办法第五十一条第二款的规定经供应商确认后产生约束力，供应商不确认的，其投标无效。</w:t>
      </w:r>
    </w:p>
    <w:p w14:paraId="33E7AD6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7.10.2允许修正投标文件中不构成重大偏离的、微小的、非正规的、不一致或不规则的地方；</w:t>
      </w:r>
    </w:p>
    <w:p w14:paraId="09D6720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7.10.3在对投标文件进行详细评审之前，评委会将确定每一投标是否对招标文件的要求做出了实质性的响应，而没有重大偏离。实质性响应的投标是指投标符合招标文件的所有条款、条件和规定且没有重大偏离和保留；</w:t>
      </w:r>
    </w:p>
    <w:p w14:paraId="478CC4EA">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偏离和保留是指对招标文件规定的范围、质量和性能产生重大或不可接受的偏差，或限制了采购代理机构、采购人的权力和供应商的义务的规定，而纠正这些偏离将影响到其它提交实质性响应投标的供应商的公平竞争地位。</w:t>
      </w:r>
    </w:p>
    <w:p w14:paraId="54E8E60A">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7.11 评标的确定</w:t>
      </w:r>
    </w:p>
    <w:p w14:paraId="2E66314C">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7.11.1评标委员会对经过初审的投标，按照招标文件规定的评标方法、评审因素、标准和程序对投标文件进行评审并推荐中标候选人或根据采购人委托直接确定中标人 。 </w:t>
      </w:r>
    </w:p>
    <w:p w14:paraId="7804355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7.11.2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259B0B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7.11.3</w:t>
      </w:r>
      <w:r>
        <w:rPr>
          <w:rFonts w:hint="eastAsia" w:asciiTheme="minorEastAsia" w:hAnsiTheme="minorEastAsia" w:eastAsiaTheme="minorEastAsia" w:cstheme="minorEastAsia"/>
          <w:sz w:val="24"/>
          <w:szCs w:val="24"/>
        </w:rPr>
        <w:t>核心产品将在招标文件第五章“项目需求及技术参数要求”中载明，供应商提供的核心产品品牌相同的，按照《政府采购货物和服务招标投标管理办法》的规定处理。</w:t>
      </w:r>
    </w:p>
    <w:p w14:paraId="38EAEF5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7.11.4 </w:t>
      </w:r>
      <w:r>
        <w:rPr>
          <w:rFonts w:hint="eastAsia" w:asciiTheme="minorEastAsia" w:hAnsiTheme="minorEastAsia" w:eastAsiaTheme="minorEastAsia" w:cstheme="minorEastAsia"/>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56A67D4C">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7.12 保密及其它注意事项</w:t>
      </w:r>
    </w:p>
    <w:p w14:paraId="57F6B80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7.12.1评标是招标工作的重要环节，评标工作在评委会内独立进行，</w:t>
      </w:r>
      <w:r>
        <w:rPr>
          <w:rFonts w:hint="eastAsia" w:asciiTheme="minorEastAsia" w:hAnsiTheme="minorEastAsia" w:eastAsiaTheme="minorEastAsia" w:cstheme="minorEastAsia"/>
          <w:kern w:val="0"/>
          <w:sz w:val="24"/>
          <w:szCs w:val="24"/>
        </w:rPr>
        <w:t>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r>
        <w:rPr>
          <w:rFonts w:hint="eastAsia" w:asciiTheme="minorEastAsia" w:hAnsiTheme="minorEastAsia" w:eastAsiaTheme="minorEastAsia" w:cstheme="minorEastAsia"/>
          <w:sz w:val="24"/>
          <w:szCs w:val="24"/>
        </w:rPr>
        <w:t>；</w:t>
      </w:r>
    </w:p>
    <w:p w14:paraId="218EE6C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7.12.2评委会将遵照规定的评标方法，公正、平等地对待所有供应商；</w:t>
      </w:r>
    </w:p>
    <w:p w14:paraId="6E9764C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7.12.3在开标、评标期间，供应商不得向评委询问评标情况，不得进行旨在影响评标结果的活动。否则其投标可能被拒绝；</w:t>
      </w:r>
    </w:p>
    <w:p w14:paraId="41AEB40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7.12.4为保证评标的公正性，开标后直至授予供应商合同，评委不得与供应商私下交换意见；</w:t>
      </w:r>
    </w:p>
    <w:p w14:paraId="3F2D2D8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7.12.5在评标工作结束后，凡与评标情况有接触的任何人不得擅自将评标情况扩散出评标人员之外；</w:t>
      </w:r>
    </w:p>
    <w:p w14:paraId="377C65A7">
      <w:pPr>
        <w:adjustRightInd w:val="0"/>
        <w:snapToGrid w:val="0"/>
        <w:spacing w:line="360" w:lineRule="auto"/>
        <w:ind w:firstLine="482" w:firstLineChars="200"/>
        <w:outlineLvl w:val="1"/>
        <w:rPr>
          <w:rFonts w:hint="eastAsia" w:asciiTheme="minorEastAsia" w:hAnsiTheme="minorEastAsia" w:eastAsiaTheme="minorEastAsia" w:cstheme="minorEastAsia"/>
          <w:b/>
          <w:bCs/>
          <w:sz w:val="24"/>
          <w:szCs w:val="24"/>
        </w:rPr>
      </w:pPr>
      <w:bookmarkStart w:id="55" w:name="_Toc25203"/>
      <w:r>
        <w:rPr>
          <w:rFonts w:hint="eastAsia" w:asciiTheme="minorEastAsia" w:hAnsiTheme="minorEastAsia" w:eastAsiaTheme="minorEastAsia" w:cstheme="minorEastAsia"/>
          <w:b/>
          <w:bCs/>
          <w:sz w:val="24"/>
          <w:szCs w:val="24"/>
        </w:rPr>
        <w:t>8. 授予合同</w:t>
      </w:r>
      <w:bookmarkEnd w:id="55"/>
    </w:p>
    <w:p w14:paraId="3E1BB93F">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8.1 中标结果及公告</w:t>
      </w:r>
    </w:p>
    <w:p w14:paraId="78B3D67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8.1.1采购代理机构应当在评标结束后2个工作日内将评标报告送采购人</w:t>
      </w:r>
      <w:r>
        <w:rPr>
          <w:rFonts w:hint="eastAsia" w:asciiTheme="minorEastAsia" w:hAnsiTheme="minorEastAsia" w:eastAsiaTheme="minorEastAsia" w:cstheme="minorEastAsia"/>
          <w:sz w:val="24"/>
          <w:szCs w:val="24"/>
        </w:rPr>
        <w:t>。</w:t>
      </w:r>
    </w:p>
    <w:p w14:paraId="658FF9C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8.1.2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Theme="minorEastAsia" w:hAnsiTheme="minorEastAsia" w:eastAsiaTheme="minorEastAsia" w:cstheme="minorEastAsia"/>
          <w:sz w:val="24"/>
          <w:szCs w:val="24"/>
        </w:rPr>
        <w:t>。</w:t>
      </w:r>
    </w:p>
    <w:p w14:paraId="0B07797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8.1.3采购人在收到评标报告5个工作日内未按评标报告推荐的中标候选人顺序确定中标人，又不能说明合法理由的，视同按评标报告推荐的顺序确定排名第一的中标候选人为中标人。</w:t>
      </w:r>
    </w:p>
    <w:p w14:paraId="63918C2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8.1.4采购人或者采购代理机构应当自中标人确定之日起2个工作日内，在省级以上财政部门指定的媒体上公告中标结果，招标文件应当随中标结果同时公告。</w:t>
      </w:r>
      <w:r>
        <w:rPr>
          <w:rFonts w:hint="eastAsia" w:asciiTheme="minorEastAsia" w:hAnsiTheme="minorEastAsia" w:eastAsiaTheme="minorEastAsia" w:cstheme="minorEastAsia"/>
          <w:sz w:val="24"/>
          <w:szCs w:val="24"/>
        </w:rPr>
        <w:t>公告发布媒介同招标公告。</w:t>
      </w:r>
    </w:p>
    <w:p w14:paraId="4A7D150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8.1.5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077AB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8.1.6中标公告期限为1个工作日。</w:t>
      </w:r>
    </w:p>
    <w:p w14:paraId="4CE3D4DC">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8.2 中标通知书</w:t>
      </w:r>
    </w:p>
    <w:p w14:paraId="4610A16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8.2.1在公告中标结果的同时，采购人或者采购代理机构向中标人发出中标通知书；</w:t>
      </w:r>
    </w:p>
    <w:p w14:paraId="5F9EA1AD">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8.2.2中标通知书发出后，采购人不得违法改变中标结果，中标人无正当理由不得放弃中标。</w:t>
      </w:r>
      <w:r>
        <w:rPr>
          <w:rFonts w:hint="eastAsia" w:asciiTheme="minorEastAsia" w:hAnsiTheme="minorEastAsia" w:eastAsiaTheme="minorEastAsia" w:cstheme="minorEastAsia"/>
          <w:sz w:val="24"/>
          <w:szCs w:val="24"/>
        </w:rPr>
        <w:t xml:space="preserve"> </w:t>
      </w:r>
    </w:p>
    <w:p w14:paraId="0D39300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8.2.3中标通知书将作为进行合同谈判和签订合同的依据。</w:t>
      </w:r>
    </w:p>
    <w:p w14:paraId="17FA65AE">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8.3 履约保证金</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见供应商须知前附表</w:t>
      </w:r>
    </w:p>
    <w:p w14:paraId="5E8A131A">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8.4 签订合同</w:t>
      </w:r>
    </w:p>
    <w:p w14:paraId="3868BF4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8.4.1采购人应当自中标通知书发出之日起</w:t>
      </w:r>
      <w:r>
        <w:rPr>
          <w:rFonts w:hint="eastAsia" w:asciiTheme="minorEastAsia" w:hAnsiTheme="minorEastAsia" w:eastAsiaTheme="minorEastAsia" w:cstheme="minorEastAsia"/>
          <w:kern w:val="0"/>
          <w:sz w:val="24"/>
          <w:szCs w:val="24"/>
          <w:lang w:val="en-US" w:eastAsia="zh-CN"/>
        </w:rPr>
        <w:t>2个工作</w:t>
      </w:r>
      <w:r>
        <w:rPr>
          <w:rFonts w:hint="eastAsia" w:asciiTheme="minorEastAsia" w:hAnsiTheme="minorEastAsia" w:eastAsiaTheme="minorEastAsia" w:cstheme="minorEastAsia"/>
          <w:kern w:val="0"/>
          <w:sz w:val="24"/>
          <w:szCs w:val="24"/>
        </w:rPr>
        <w:t>日内，按照招标文件和中标人投标文件的规定，与中标人签订书面合同。所签订的合同不得对招标文件确定的事项和中标人投标文件作实质性修改</w:t>
      </w:r>
      <w:r>
        <w:rPr>
          <w:rFonts w:hint="eastAsia" w:asciiTheme="minorEastAsia" w:hAnsiTheme="minorEastAsia" w:eastAsiaTheme="minorEastAsia" w:cstheme="minorEastAsia"/>
          <w:sz w:val="24"/>
          <w:szCs w:val="24"/>
        </w:rPr>
        <w:t>。</w:t>
      </w:r>
    </w:p>
    <w:p w14:paraId="3AA52BF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8.4.2采购人不得向中标人提出任何不合理的要求作为签订合同的条件。</w:t>
      </w:r>
    </w:p>
    <w:p w14:paraId="3433E13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8.4.3政府采购合同应当包括采购人与中标人的名称和住所、标的、数量、质量、价款或者报酬、履行期限及地点和方式、验收要求、违约责任、解决争议的方法等内容。</w:t>
      </w:r>
    </w:p>
    <w:p w14:paraId="64344B9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8.4.4采购人与中标人应当根据合同的约定依法履行合同义务。</w:t>
      </w:r>
    </w:p>
    <w:p w14:paraId="787F942A">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8.4.5如果中标人未按上述规定执行，采购人可以按照评标委员会提出的中标候选人名单排序依次确定其他中标候选人为中标人，也可以重新招标。</w:t>
      </w:r>
    </w:p>
    <w:p w14:paraId="054882C7">
      <w:pPr>
        <w:pStyle w:val="50"/>
        <w:ind w:firstLine="482"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8.5 付款方式：见供应商须知前附表</w:t>
      </w:r>
    </w:p>
    <w:p w14:paraId="796BB5C9">
      <w:pPr>
        <w:adjustRightInd w:val="0"/>
        <w:snapToGrid w:val="0"/>
        <w:spacing w:line="360" w:lineRule="auto"/>
        <w:ind w:firstLine="482" w:firstLineChars="200"/>
        <w:outlineLvl w:val="1"/>
        <w:rPr>
          <w:rFonts w:hint="eastAsia" w:asciiTheme="minorEastAsia" w:hAnsiTheme="minorEastAsia" w:eastAsiaTheme="minorEastAsia" w:cstheme="minorEastAsia"/>
          <w:b/>
          <w:bCs/>
          <w:sz w:val="24"/>
          <w:szCs w:val="24"/>
        </w:rPr>
      </w:pPr>
      <w:bookmarkStart w:id="56" w:name="_Toc29866"/>
      <w:r>
        <w:rPr>
          <w:rFonts w:hint="eastAsia" w:asciiTheme="minorEastAsia" w:hAnsiTheme="minorEastAsia" w:eastAsiaTheme="minorEastAsia" w:cstheme="minorEastAsia"/>
          <w:b/>
          <w:bCs/>
          <w:sz w:val="24"/>
          <w:szCs w:val="24"/>
        </w:rPr>
        <w:t>9. 其他</w:t>
      </w:r>
      <w:bookmarkEnd w:id="56"/>
    </w:p>
    <w:p w14:paraId="5A4E780A">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9.1招标代理服务费：中标人在领取中标通知书时向采购代理机构一次性支付本项目的招标代理服务费，招标代理服务费收费标准及金额见供应商须知前附表。</w:t>
      </w:r>
    </w:p>
    <w:p w14:paraId="66BB55DE">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9.2质疑投诉：见供应商须知前附表。</w:t>
      </w:r>
    </w:p>
    <w:p w14:paraId="0A9CE562">
      <w:pPr>
        <w:widowControl/>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9.3需要补充的其他内容：见供应商须知前附表。</w:t>
      </w:r>
      <w:r>
        <w:rPr>
          <w:rFonts w:hint="eastAsia" w:asciiTheme="minorEastAsia" w:hAnsiTheme="minorEastAsia" w:eastAsiaTheme="minorEastAsia" w:cstheme="minorEastAsia"/>
          <w:sz w:val="24"/>
          <w:szCs w:val="24"/>
        </w:rPr>
        <w:br w:type="page"/>
      </w:r>
      <w:bookmarkStart w:id="57" w:name="_Toc28409"/>
      <w:bookmarkStart w:id="58" w:name="_Toc32835832"/>
      <w:bookmarkStart w:id="59" w:name="_Toc6479"/>
      <w:bookmarkStart w:id="60" w:name="_Toc430160317"/>
    </w:p>
    <w:p w14:paraId="6E2107A8">
      <w:pPr>
        <w:widowControl/>
        <w:adjustRightInd w:val="0"/>
        <w:snapToGrid w:val="0"/>
        <w:spacing w:line="360" w:lineRule="auto"/>
        <w:ind w:firstLine="723" w:firstLineChars="200"/>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36"/>
          <w:szCs w:val="36"/>
        </w:rPr>
        <w:t>第三章  资格审查、评标及定标</w:t>
      </w:r>
      <w:bookmarkEnd w:id="57"/>
      <w:bookmarkEnd w:id="58"/>
      <w:bookmarkEnd w:id="59"/>
    </w:p>
    <w:p w14:paraId="5DA1C154">
      <w:pPr>
        <w:spacing w:line="360" w:lineRule="auto"/>
        <w:ind w:firstLine="480"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一、</w:t>
      </w:r>
      <w:r>
        <w:rPr>
          <w:rFonts w:hint="eastAsia" w:asciiTheme="minorEastAsia" w:hAnsiTheme="minorEastAsia" w:eastAsiaTheme="minorEastAsia" w:cstheme="minorEastAsia"/>
          <w:b/>
          <w:sz w:val="24"/>
          <w:szCs w:val="24"/>
        </w:rPr>
        <w:t>资格评审由采购人或采购代理机构负责，资格评审不合格的投标文件不进入初步评审。</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3972"/>
      </w:tblGrid>
      <w:tr w14:paraId="364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4" w:type="dxa"/>
            <w:noWrap w:val="0"/>
            <w:vAlign w:val="center"/>
          </w:tcPr>
          <w:p w14:paraId="43C8B32C">
            <w:pPr>
              <w:widowControl/>
              <w:spacing w:line="360" w:lineRule="auto"/>
              <w:jc w:val="center"/>
              <w:outlineLvl w:val="9"/>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评审因素</w:t>
            </w:r>
          </w:p>
        </w:tc>
        <w:tc>
          <w:tcPr>
            <w:tcW w:w="3972" w:type="dxa"/>
            <w:noWrap w:val="0"/>
            <w:vAlign w:val="center"/>
          </w:tcPr>
          <w:p w14:paraId="4BBB26ED">
            <w:pPr>
              <w:spacing w:line="360" w:lineRule="auto"/>
              <w:jc w:val="cente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评审标准</w:t>
            </w:r>
          </w:p>
        </w:tc>
      </w:tr>
      <w:tr w14:paraId="6703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4" w:type="dxa"/>
            <w:noWrap w:val="0"/>
            <w:vAlign w:val="center"/>
          </w:tcPr>
          <w:p w14:paraId="7541FB40">
            <w:pPr>
              <w:widowControl/>
              <w:spacing w:line="360" w:lineRule="auto"/>
              <w:jc w:val="both"/>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具有独立承担民事责任的能力</w:t>
            </w:r>
          </w:p>
        </w:tc>
        <w:tc>
          <w:tcPr>
            <w:tcW w:w="3972" w:type="dxa"/>
            <w:noWrap w:val="0"/>
            <w:vAlign w:val="center"/>
          </w:tcPr>
          <w:p w14:paraId="38C78B4F">
            <w:pPr>
              <w:widowControl/>
              <w:spacing w:line="360" w:lineRule="auto"/>
              <w:jc w:val="both"/>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符合供应商须知的规定</w:t>
            </w:r>
          </w:p>
        </w:tc>
      </w:tr>
      <w:tr w14:paraId="241A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4" w:type="dxa"/>
            <w:noWrap w:val="0"/>
            <w:vAlign w:val="center"/>
          </w:tcPr>
          <w:p w14:paraId="7FE0790E">
            <w:pPr>
              <w:widowControl/>
              <w:spacing w:line="360" w:lineRule="auto"/>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满足《中华人民共和国政府采购法》第二十二条规定</w:t>
            </w:r>
          </w:p>
        </w:tc>
        <w:tc>
          <w:tcPr>
            <w:tcW w:w="3972" w:type="dxa"/>
            <w:noWrap w:val="0"/>
            <w:vAlign w:val="center"/>
          </w:tcPr>
          <w:p w14:paraId="23AB9A40">
            <w:pPr>
              <w:widowControl/>
              <w:spacing w:line="360" w:lineRule="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符合供应商须知的规定</w:t>
            </w:r>
          </w:p>
        </w:tc>
      </w:tr>
      <w:tr w14:paraId="782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4" w:type="dxa"/>
            <w:noWrap w:val="0"/>
            <w:vAlign w:val="center"/>
          </w:tcPr>
          <w:p w14:paraId="69B92B92">
            <w:pPr>
              <w:widowControl/>
              <w:spacing w:line="360" w:lineRule="auto"/>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法定代表人身份证明或法定代表人授权委托书</w:t>
            </w:r>
          </w:p>
        </w:tc>
        <w:tc>
          <w:tcPr>
            <w:tcW w:w="3972" w:type="dxa"/>
            <w:noWrap w:val="0"/>
            <w:vAlign w:val="center"/>
          </w:tcPr>
          <w:p w14:paraId="11A6EBF4">
            <w:pPr>
              <w:widowControl/>
              <w:spacing w:line="360" w:lineRule="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符合供应商须知的规定</w:t>
            </w:r>
          </w:p>
        </w:tc>
      </w:tr>
      <w:tr w14:paraId="4F3C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424" w:type="dxa"/>
            <w:noWrap w:val="0"/>
            <w:vAlign w:val="center"/>
          </w:tcPr>
          <w:p w14:paraId="36EAEF5B">
            <w:pPr>
              <w:widowControl/>
              <w:spacing w:line="360" w:lineRule="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供应商必须是中小微企业（残疾人福利性企业、监狱发展企业视同中小企业）</w:t>
            </w:r>
          </w:p>
        </w:tc>
        <w:tc>
          <w:tcPr>
            <w:tcW w:w="3972" w:type="dxa"/>
            <w:noWrap w:val="0"/>
            <w:vAlign w:val="center"/>
          </w:tcPr>
          <w:p w14:paraId="5AAA0FCF">
            <w:pPr>
              <w:widowControl/>
              <w:spacing w:line="360" w:lineRule="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符合供应商须知的规定</w:t>
            </w:r>
          </w:p>
        </w:tc>
      </w:tr>
      <w:tr w14:paraId="57FE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424" w:type="dxa"/>
            <w:noWrap w:val="0"/>
            <w:vAlign w:val="center"/>
          </w:tcPr>
          <w:p w14:paraId="582B7F6B">
            <w:pPr>
              <w:widowControl/>
              <w:spacing w:line="360" w:lineRule="auto"/>
              <w:outlineLvl w:val="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lang w:val="en-US" w:eastAsia="zh-CN"/>
              </w:rPr>
              <w:t>被列入失信被执行人、重大税收违法失信主体、政府采购严重违法失信行为记录名单的单位将被拒绝参与本项目</w:t>
            </w:r>
          </w:p>
        </w:tc>
        <w:tc>
          <w:tcPr>
            <w:tcW w:w="3972" w:type="dxa"/>
            <w:noWrap w:val="0"/>
            <w:vAlign w:val="center"/>
          </w:tcPr>
          <w:p w14:paraId="2E47FF5F">
            <w:pPr>
              <w:widowControl/>
              <w:spacing w:line="360" w:lineRule="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符合供应商须知的规定</w:t>
            </w:r>
          </w:p>
        </w:tc>
      </w:tr>
      <w:tr w14:paraId="4E5A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424" w:type="dxa"/>
            <w:noWrap w:val="0"/>
            <w:vAlign w:val="center"/>
          </w:tcPr>
          <w:p w14:paraId="7EB2F9E1">
            <w:pPr>
              <w:keepNext w:val="0"/>
              <w:keepLines w:val="0"/>
              <w:pageBreakBefore w:val="0"/>
              <w:kinsoku/>
              <w:wordWrap w:val="0"/>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rPr>
              <w:t>单位负责人为同一人或者存在直接控股、管理关系的不同供应商，不得参加同一合同项下的政府采购活动</w:t>
            </w:r>
          </w:p>
        </w:tc>
        <w:tc>
          <w:tcPr>
            <w:tcW w:w="3972" w:type="dxa"/>
            <w:noWrap w:val="0"/>
            <w:vAlign w:val="center"/>
          </w:tcPr>
          <w:p w14:paraId="10EFD2E9">
            <w:pPr>
              <w:widowControl/>
              <w:spacing w:line="360" w:lineRule="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符合供应商须知的规定</w:t>
            </w:r>
          </w:p>
        </w:tc>
      </w:tr>
      <w:tr w14:paraId="4831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424" w:type="dxa"/>
            <w:noWrap w:val="0"/>
            <w:vAlign w:val="center"/>
          </w:tcPr>
          <w:p w14:paraId="2BEE5C84">
            <w:pPr>
              <w:widowControl/>
              <w:spacing w:line="360" w:lineRule="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本项目不接受联合体参加。</w:t>
            </w:r>
          </w:p>
        </w:tc>
        <w:tc>
          <w:tcPr>
            <w:tcW w:w="3972" w:type="dxa"/>
            <w:noWrap w:val="0"/>
            <w:vAlign w:val="center"/>
          </w:tcPr>
          <w:p w14:paraId="5D9EF30D">
            <w:pPr>
              <w:widowControl/>
              <w:spacing w:line="360" w:lineRule="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符合供应商须知的规定</w:t>
            </w:r>
          </w:p>
        </w:tc>
      </w:tr>
    </w:tbl>
    <w:p w14:paraId="078CD56A">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p>
    <w:p w14:paraId="4B96F1C8">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二、评标方法：采用综合评分法</w:t>
      </w:r>
    </w:p>
    <w:p w14:paraId="3295A2E4">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三、评标原则：</w:t>
      </w:r>
    </w:p>
    <w:p w14:paraId="5D34B80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1.按照“公正、公平”的原则对待所有供应商。</w:t>
      </w:r>
    </w:p>
    <w:p w14:paraId="6B966E5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2.坚持招标文件的所有相关规定，公平评标。</w:t>
      </w:r>
    </w:p>
    <w:p w14:paraId="772F465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3.每个供应商最终得分以评标委员会所有评委打分的平均值计算，计分过程中按四舍五入的原则，取小数点后两位。</w:t>
      </w:r>
    </w:p>
    <w:p w14:paraId="54A683D9">
      <w:pPr>
        <w:tabs>
          <w:tab w:val="left" w:pos="6720"/>
        </w:tabs>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4.评标结束后，</w:t>
      </w:r>
      <w:r>
        <w:rPr>
          <w:rFonts w:hint="eastAsia" w:asciiTheme="minorEastAsia" w:hAnsiTheme="minorEastAsia" w:eastAsiaTheme="minorEastAsia" w:cstheme="minorEastAsia"/>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Theme="minorEastAsia" w:hAnsiTheme="minorEastAsia" w:eastAsiaTheme="minorEastAsia" w:cstheme="minorEastAsia"/>
          <w:sz w:val="24"/>
          <w:szCs w:val="24"/>
        </w:rPr>
        <w:t>。</w:t>
      </w:r>
    </w:p>
    <w:p w14:paraId="2C77CF15">
      <w:pPr>
        <w:adjustRightInd w:val="0"/>
        <w:snapToGrid w:val="0"/>
        <w:spacing w:line="360" w:lineRule="auto"/>
        <w:ind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定标原则：采购代理机构将在评标结束后2个工作日内将评标报告送采购人，采购人自收到评标报告之日起5个工作日内，在评标报告确定的中标候选人名单中按顺序确定中标人。中标候选人并列的，由采购人确定。</w:t>
      </w:r>
    </w:p>
    <w:p w14:paraId="2C73D0DF">
      <w:pPr>
        <w:adjustRightInd w:val="0"/>
        <w:snapToGrid w:val="0"/>
        <w:spacing w:line="360" w:lineRule="auto"/>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kern w:val="0"/>
          <w:sz w:val="24"/>
          <w:szCs w:val="24"/>
        </w:rPr>
        <w:t>评标：投标文件的评审分为初步评审和详细评审两个阶段。初步评审由评标委员会对各供应商投标文件的符合性、响应性，按招标文件的要求逐一审查的评审，经审查不符合招标文件要求的，不得进入详细评审阶段。详细评审是对初步评审合格投标文件的投标报价、商务标、技术标按照招标文件中明确的评标办法进行分析、比较和评审。</w:t>
      </w:r>
    </w:p>
    <w:p w14:paraId="0CCC04BF">
      <w:pPr>
        <w:adjustRightInd w:val="0"/>
        <w:snapToGrid w:val="0"/>
        <w:spacing w:line="360" w:lineRule="auto"/>
        <w:ind w:firstLine="482" w:firstLineChars="200"/>
        <w:jc w:val="left"/>
        <w:outlineLvl w:val="9"/>
        <w:rPr>
          <w:rFonts w:hint="eastAsia" w:asciiTheme="minorEastAsia" w:hAnsiTheme="minorEastAsia" w:eastAsiaTheme="minorEastAsia" w:cstheme="minorEastAsia"/>
          <w:b/>
          <w:sz w:val="24"/>
          <w:szCs w:val="24"/>
        </w:rPr>
      </w:pPr>
      <w:bookmarkStart w:id="61" w:name="_Toc25293"/>
      <w:r>
        <w:rPr>
          <w:rFonts w:hint="eastAsia" w:asciiTheme="minorEastAsia" w:hAnsiTheme="minorEastAsia" w:eastAsiaTheme="minorEastAsia" w:cstheme="minorEastAsia"/>
          <w:b/>
          <w:sz w:val="24"/>
          <w:szCs w:val="24"/>
        </w:rPr>
        <w:t>（一）初步评审</w:t>
      </w:r>
      <w:bookmarkEnd w:id="61"/>
    </w:p>
    <w:p w14:paraId="49C63376">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供应商须知前附表要求中加“*”</w:t>
      </w:r>
      <w:r>
        <w:rPr>
          <w:rFonts w:hint="eastAsia" w:asciiTheme="minorEastAsia" w:hAnsiTheme="minorEastAsia" w:eastAsiaTheme="minorEastAsia" w:cstheme="minorEastAsia"/>
          <w:sz w:val="24"/>
          <w:szCs w:val="24"/>
          <w:lang w:val="en-US" w:eastAsia="zh-CN"/>
        </w:rPr>
        <w:t>条款</w:t>
      </w:r>
      <w:r>
        <w:rPr>
          <w:rFonts w:hint="eastAsia" w:asciiTheme="minorEastAsia" w:hAnsiTheme="minorEastAsia" w:eastAsiaTheme="minorEastAsia" w:cstheme="minorEastAsia"/>
          <w:sz w:val="24"/>
          <w:szCs w:val="24"/>
        </w:rPr>
        <w:t>属于必须满足项，如不满足视为未实质性响应招标文件要求。</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5965"/>
      </w:tblGrid>
      <w:tr w14:paraId="259B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5DFE9709">
            <w:pPr>
              <w:widowControl/>
              <w:spacing w:line="360" w:lineRule="auto"/>
              <w:jc w:val="center"/>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评审因素</w:t>
            </w:r>
          </w:p>
        </w:tc>
        <w:tc>
          <w:tcPr>
            <w:tcW w:w="5965" w:type="dxa"/>
            <w:noWrap w:val="0"/>
            <w:vAlign w:val="top"/>
          </w:tcPr>
          <w:p w14:paraId="32943AE3">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评审标准</w:t>
            </w:r>
          </w:p>
        </w:tc>
      </w:tr>
      <w:tr w14:paraId="5556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6A285A40">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投标文件签字盖章</w:t>
            </w:r>
          </w:p>
        </w:tc>
        <w:tc>
          <w:tcPr>
            <w:tcW w:w="5965" w:type="dxa"/>
            <w:noWrap w:val="0"/>
            <w:vAlign w:val="center"/>
          </w:tcPr>
          <w:p w14:paraId="43AAD2A4">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按照招标文件要求签字、盖章</w:t>
            </w:r>
          </w:p>
        </w:tc>
      </w:tr>
      <w:tr w14:paraId="72B6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4B132544">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报价唯一</w:t>
            </w:r>
          </w:p>
        </w:tc>
        <w:tc>
          <w:tcPr>
            <w:tcW w:w="5965" w:type="dxa"/>
            <w:noWrap w:val="0"/>
            <w:vAlign w:val="center"/>
          </w:tcPr>
          <w:p w14:paraId="2E041E0A">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只能有一个有效报价，且未超过采购预算（政府采购最高限价）</w:t>
            </w:r>
          </w:p>
        </w:tc>
      </w:tr>
      <w:tr w14:paraId="5364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2C8909DE">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合同履行期限</w:t>
            </w:r>
          </w:p>
        </w:tc>
        <w:tc>
          <w:tcPr>
            <w:tcW w:w="5965" w:type="dxa"/>
            <w:noWrap w:val="0"/>
            <w:vAlign w:val="top"/>
          </w:tcPr>
          <w:p w14:paraId="2CFD1B5A">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符合供应商须知前附表的规定</w:t>
            </w:r>
          </w:p>
        </w:tc>
      </w:tr>
      <w:tr w14:paraId="6D41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62698B8B">
            <w:pPr>
              <w:widowControl/>
              <w:spacing w:line="360" w:lineRule="auto"/>
              <w:jc w:val="left"/>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4"/>
                <w:szCs w:val="24"/>
              </w:rPr>
              <w:t>质量</w:t>
            </w:r>
          </w:p>
        </w:tc>
        <w:tc>
          <w:tcPr>
            <w:tcW w:w="5965" w:type="dxa"/>
            <w:noWrap w:val="0"/>
            <w:vAlign w:val="top"/>
          </w:tcPr>
          <w:p w14:paraId="6B626F8D">
            <w:pPr>
              <w:spacing w:line="360" w:lineRule="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符合供应商须知前附表的规定</w:t>
            </w:r>
          </w:p>
        </w:tc>
      </w:tr>
      <w:tr w14:paraId="7AE4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1181C90B">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965" w:type="dxa"/>
            <w:noWrap w:val="0"/>
            <w:vAlign w:val="top"/>
          </w:tcPr>
          <w:p w14:paraId="32EBFE98">
            <w:pPr>
              <w:spacing w:line="360" w:lineRule="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符合供应商须知前附表的规定</w:t>
            </w:r>
          </w:p>
        </w:tc>
      </w:tr>
      <w:tr w14:paraId="7E0E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65" w:type="dxa"/>
            <w:noWrap w:val="0"/>
            <w:vAlign w:val="center"/>
          </w:tcPr>
          <w:p w14:paraId="08DF36A4">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交货地点</w:t>
            </w:r>
          </w:p>
        </w:tc>
        <w:tc>
          <w:tcPr>
            <w:tcW w:w="5965" w:type="dxa"/>
            <w:noWrap w:val="0"/>
            <w:vAlign w:val="top"/>
          </w:tcPr>
          <w:p w14:paraId="16572E3E">
            <w:pPr>
              <w:spacing w:line="360" w:lineRule="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符合供应商须知前附表的规定</w:t>
            </w:r>
          </w:p>
        </w:tc>
      </w:tr>
      <w:tr w14:paraId="5DE2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65" w:type="dxa"/>
            <w:noWrap w:val="0"/>
            <w:vAlign w:val="center"/>
          </w:tcPr>
          <w:p w14:paraId="2CD5942C">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付款方式</w:t>
            </w:r>
          </w:p>
        </w:tc>
        <w:tc>
          <w:tcPr>
            <w:tcW w:w="5965" w:type="dxa"/>
            <w:noWrap w:val="0"/>
            <w:vAlign w:val="top"/>
          </w:tcPr>
          <w:p w14:paraId="4149443C">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符合供应商须知前附表的规定</w:t>
            </w:r>
          </w:p>
        </w:tc>
      </w:tr>
      <w:tr w14:paraId="3E66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65" w:type="dxa"/>
            <w:noWrap w:val="0"/>
            <w:vAlign w:val="center"/>
          </w:tcPr>
          <w:p w14:paraId="2CB9931A">
            <w:pPr>
              <w:widowControl/>
              <w:spacing w:line="360" w:lineRule="auto"/>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投标有效期</w:t>
            </w:r>
          </w:p>
        </w:tc>
        <w:tc>
          <w:tcPr>
            <w:tcW w:w="5965" w:type="dxa"/>
            <w:noWrap w:val="0"/>
            <w:vAlign w:val="top"/>
          </w:tcPr>
          <w:p w14:paraId="246C3A22">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符合供应商须知前附表的规定</w:t>
            </w:r>
          </w:p>
        </w:tc>
      </w:tr>
      <w:tr w14:paraId="4839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65" w:type="dxa"/>
            <w:noWrap w:val="0"/>
            <w:vAlign w:val="center"/>
          </w:tcPr>
          <w:p w14:paraId="29FFB743">
            <w:pPr>
              <w:widowControl/>
              <w:spacing w:line="360" w:lineRule="auto"/>
              <w:jc w:val="left"/>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不允许负偏离的实质性要求和条件</w:t>
            </w:r>
          </w:p>
        </w:tc>
        <w:tc>
          <w:tcPr>
            <w:tcW w:w="5965" w:type="dxa"/>
            <w:noWrap w:val="0"/>
            <w:vAlign w:val="top"/>
          </w:tcPr>
          <w:p w14:paraId="5D0D469A">
            <w:pPr>
              <w:spacing w:line="360" w:lineRule="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符合招标文件规定</w:t>
            </w:r>
          </w:p>
        </w:tc>
      </w:tr>
      <w:tr w14:paraId="2C7D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65" w:type="dxa"/>
            <w:noWrap w:val="0"/>
            <w:vAlign w:val="top"/>
          </w:tcPr>
          <w:p w14:paraId="46532108">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5965" w:type="dxa"/>
            <w:noWrap w:val="0"/>
            <w:vAlign w:val="top"/>
          </w:tcPr>
          <w:p w14:paraId="1C1B16EC">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投标文件未附有采购人不能接受的条件</w:t>
            </w:r>
          </w:p>
        </w:tc>
      </w:tr>
    </w:tbl>
    <w:p w14:paraId="296F1F03">
      <w:pPr>
        <w:spacing w:line="360" w:lineRule="auto"/>
        <w:ind w:firstLine="482" w:firstLineChars="200"/>
        <w:outlineLvl w:val="9"/>
        <w:rPr>
          <w:rFonts w:hint="eastAsia" w:asciiTheme="minorEastAsia" w:hAnsiTheme="minorEastAsia" w:eastAsiaTheme="minorEastAsia" w:cstheme="minorEastAsia"/>
          <w:b/>
          <w:sz w:val="24"/>
          <w:szCs w:val="24"/>
        </w:rPr>
      </w:pPr>
      <w:bookmarkStart w:id="62" w:name="_Toc14454"/>
      <w:r>
        <w:rPr>
          <w:rFonts w:hint="eastAsia" w:asciiTheme="minorEastAsia" w:hAnsiTheme="minorEastAsia" w:eastAsiaTheme="minorEastAsia" w:cstheme="minorEastAsia"/>
          <w:b/>
          <w:sz w:val="24"/>
          <w:szCs w:val="24"/>
        </w:rPr>
        <w:t>（二）详细评审</w:t>
      </w:r>
      <w:bookmarkEnd w:id="62"/>
    </w:p>
    <w:p w14:paraId="63E67E3E">
      <w:pPr>
        <w:numPr>
          <w:ilvl w:val="0"/>
          <w:numId w:val="7"/>
        </w:numPr>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投标报价（30分）</w:t>
      </w:r>
      <w:r>
        <w:rPr>
          <w:rFonts w:hint="eastAsia" w:asciiTheme="minorEastAsia" w:hAnsiTheme="minorEastAsia" w:eastAsiaTheme="minorEastAsia" w:cstheme="minorEastAsia"/>
          <w:sz w:val="24"/>
          <w:szCs w:val="24"/>
        </w:rPr>
        <w:t xml:space="preserve"> </w:t>
      </w:r>
    </w:p>
    <w:p w14:paraId="242C5276">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价格分采用低价优先法计算，即满足招标文件要求且评标报价最低的评标报价为评标基准价，其价格分为满分。其他</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的价格分统一按照下列公式计算：</w:t>
      </w:r>
    </w:p>
    <w:p w14:paraId="0E6CAAE4">
      <w:pPr>
        <w:adjustRightInd w:val="0"/>
        <w:snapToGrid w:val="0"/>
        <w:spacing w:line="360" w:lineRule="auto"/>
        <w:ind w:firstLine="480"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投标报价得分=(评标基准价／评标报价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×30</w:t>
      </w:r>
    </w:p>
    <w:p w14:paraId="2F479EE4">
      <w:pPr>
        <w:adjustRightInd w:val="0"/>
        <w:snapToGrid w:val="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商务</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val="en-US" w:eastAsia="zh-CN"/>
        </w:rPr>
        <w:t>22</w:t>
      </w:r>
      <w:r>
        <w:rPr>
          <w:rFonts w:hint="eastAsia" w:asciiTheme="minorEastAsia" w:hAnsiTheme="minorEastAsia" w:eastAsiaTheme="minorEastAsia" w:cstheme="minorEastAsia"/>
          <w:b/>
          <w:sz w:val="24"/>
          <w:szCs w:val="24"/>
        </w:rPr>
        <w:t>分）</w:t>
      </w:r>
    </w:p>
    <w:p w14:paraId="115F649C">
      <w:pPr>
        <w:adjustRightInd w:val="0"/>
        <w:snapToGrid w:val="0"/>
        <w:spacing w:line="360" w:lineRule="auto"/>
        <w:ind w:firstLine="482" w:firstLineChars="200"/>
        <w:outlineLvl w:val="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2</w:t>
      </w:r>
      <w:r>
        <w:rPr>
          <w:rFonts w:hint="eastAsia" w:asciiTheme="minorEastAsia" w:hAnsiTheme="minorEastAsia" w:eastAsiaTheme="minorEastAsia" w:cstheme="minorEastAsia"/>
          <w:b/>
          <w:sz w:val="24"/>
          <w:szCs w:val="24"/>
          <w:highlight w:val="none"/>
        </w:rPr>
        <w:t>.1</w:t>
      </w:r>
      <w:r>
        <w:rPr>
          <w:rFonts w:hint="eastAsia" w:asciiTheme="minorEastAsia" w:hAnsiTheme="minorEastAsia" w:eastAsiaTheme="minorEastAsia" w:cstheme="minorEastAsia"/>
          <w:b/>
          <w:sz w:val="24"/>
          <w:szCs w:val="24"/>
          <w:highlight w:val="none"/>
          <w:lang w:eastAsia="zh-CN"/>
        </w:rPr>
        <w:t>业绩</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rPr>
        <w:t>分）</w:t>
      </w:r>
    </w:p>
    <w:p w14:paraId="15F53F7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投标人需提供2022年1月1日以来完成的类似项目业绩，每提供一份业绩合同得2分，最高得6分，（以合同签订时间为准，响应文件中附合同扫描件），不提供不得分</w:t>
      </w:r>
    </w:p>
    <w:p w14:paraId="4DEF3D5C">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r>
        <w:rPr>
          <w:rFonts w:hint="eastAsia" w:hAnsi="宋体" w:cs="宋体"/>
          <w:b/>
          <w:color w:val="auto"/>
          <w:sz w:val="24"/>
          <w:szCs w:val="24"/>
          <w:lang w:val="en-US" w:eastAsia="zh-CN"/>
        </w:rPr>
        <w:t>2</w:t>
      </w:r>
      <w:r>
        <w:rPr>
          <w:rFonts w:hint="eastAsia" w:ascii="宋体" w:hAnsi="宋体" w:eastAsia="宋体" w:cs="宋体"/>
          <w:b/>
          <w:color w:val="auto"/>
          <w:sz w:val="24"/>
          <w:szCs w:val="24"/>
        </w:rPr>
        <w:t>售后服务承诺（</w:t>
      </w:r>
      <w:r>
        <w:rPr>
          <w:rFonts w:hint="eastAsia" w:hAnsi="宋体" w:cs="宋体"/>
          <w:b/>
          <w:color w:val="auto"/>
          <w:sz w:val="24"/>
          <w:szCs w:val="24"/>
          <w:lang w:val="en-US" w:eastAsia="zh-CN"/>
        </w:rPr>
        <w:t>16</w:t>
      </w:r>
      <w:r>
        <w:rPr>
          <w:rFonts w:hint="eastAsia" w:ascii="宋体" w:hAnsi="宋体" w:eastAsia="宋体" w:cs="宋体"/>
          <w:b/>
          <w:color w:val="auto"/>
          <w:sz w:val="24"/>
          <w:szCs w:val="24"/>
        </w:rPr>
        <w:t>分）</w:t>
      </w:r>
    </w:p>
    <w:p w14:paraId="7E8E8D55">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（1）质量保证期内服务承诺（</w:t>
      </w:r>
      <w:r>
        <w:rPr>
          <w:rFonts w:hint="eastAsia" w:hAnsi="宋体" w:cs="宋体"/>
          <w:b w:val="0"/>
          <w:bCs/>
          <w:color w:val="auto"/>
          <w:sz w:val="24"/>
          <w:szCs w:val="24"/>
          <w:lang w:val="en-US" w:eastAsia="zh-CN"/>
        </w:rPr>
        <w:t>8</w:t>
      </w:r>
      <w:r>
        <w:rPr>
          <w:rFonts w:hint="eastAsia" w:ascii="宋体" w:hAnsi="宋体" w:eastAsia="宋体" w:cs="宋体"/>
          <w:b w:val="0"/>
          <w:bCs/>
          <w:color w:val="auto"/>
          <w:sz w:val="24"/>
          <w:szCs w:val="24"/>
        </w:rPr>
        <w:t>分）</w:t>
      </w:r>
    </w:p>
    <w:p w14:paraId="776354C0">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质保期内服务内容及服务标准承诺、易损件、备品备件供应承诺完整、及时、合理得</w:t>
      </w:r>
      <w:r>
        <w:rPr>
          <w:rFonts w:hint="eastAsia" w:hAnsi="宋体" w:cs="宋体"/>
          <w:b w:val="0"/>
          <w:bCs/>
          <w:color w:val="auto"/>
          <w:sz w:val="24"/>
          <w:szCs w:val="24"/>
          <w:lang w:val="en-US" w:eastAsia="zh-CN"/>
        </w:rPr>
        <w:t>8</w:t>
      </w:r>
      <w:r>
        <w:rPr>
          <w:rFonts w:hint="eastAsia" w:ascii="宋体" w:hAnsi="宋体" w:eastAsia="宋体" w:cs="宋体"/>
          <w:b w:val="0"/>
          <w:bCs/>
          <w:color w:val="auto"/>
          <w:sz w:val="24"/>
          <w:szCs w:val="24"/>
        </w:rPr>
        <w:t>分；</w:t>
      </w:r>
      <w:bookmarkStart w:id="259" w:name="_GoBack"/>
      <w:bookmarkEnd w:id="259"/>
    </w:p>
    <w:p w14:paraId="23F9BF9F">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质保期内服务内容及服务标准承诺、易损件、备品备件供应承诺不够完整、及时、合理得</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分；</w:t>
      </w:r>
    </w:p>
    <w:p w14:paraId="46075401">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质保期内服务内容及服务标准承诺，易损件、备品备件供应承诺不完整、及时、合理得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分；</w:t>
      </w:r>
    </w:p>
    <w:p w14:paraId="26793CE9">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投标文件中未附此项的，此项得0分。</w:t>
      </w:r>
    </w:p>
    <w:p w14:paraId="4DB275EF">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（2）质量保证期外服务承诺（</w:t>
      </w:r>
      <w:r>
        <w:rPr>
          <w:rFonts w:hint="eastAsia" w:hAnsi="宋体" w:cs="宋体"/>
          <w:b w:val="0"/>
          <w:bCs/>
          <w:color w:val="auto"/>
          <w:sz w:val="24"/>
          <w:szCs w:val="24"/>
          <w:lang w:val="en-US" w:eastAsia="zh-CN"/>
        </w:rPr>
        <w:t>8</w:t>
      </w:r>
      <w:r>
        <w:rPr>
          <w:rFonts w:hint="eastAsia" w:ascii="宋体" w:hAnsi="宋体" w:eastAsia="宋体" w:cs="宋体"/>
          <w:b w:val="0"/>
          <w:bCs/>
          <w:color w:val="auto"/>
          <w:sz w:val="24"/>
          <w:szCs w:val="24"/>
        </w:rPr>
        <w:t>分）</w:t>
      </w:r>
    </w:p>
    <w:p w14:paraId="26E627D3">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质保期外服务内容及服务标准承诺，易损件、备品备件供应承诺完整、及时、合理得</w:t>
      </w:r>
      <w:r>
        <w:rPr>
          <w:rFonts w:hint="eastAsia" w:hAnsi="宋体" w:cs="宋体"/>
          <w:b w:val="0"/>
          <w:bCs/>
          <w:color w:val="auto"/>
          <w:sz w:val="24"/>
          <w:szCs w:val="24"/>
          <w:lang w:val="en-US" w:eastAsia="zh-CN"/>
        </w:rPr>
        <w:t>8</w:t>
      </w:r>
      <w:r>
        <w:rPr>
          <w:rFonts w:hint="eastAsia" w:ascii="宋体" w:hAnsi="宋体" w:eastAsia="宋体" w:cs="宋体"/>
          <w:b w:val="0"/>
          <w:bCs/>
          <w:color w:val="auto"/>
          <w:sz w:val="24"/>
          <w:szCs w:val="24"/>
        </w:rPr>
        <w:t>分；</w:t>
      </w:r>
    </w:p>
    <w:p w14:paraId="2C67AE4C">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质保期外服务内容及服务标准承诺，易损件、备品备件供应承诺不够完整、及时、合理得</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分；</w:t>
      </w:r>
    </w:p>
    <w:p w14:paraId="581BB98A">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质保期外服务内容及服务标准承诺，易损件、备品备件供应承诺不完整、及时、合理得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分；</w:t>
      </w:r>
    </w:p>
    <w:p w14:paraId="443C5D46">
      <w:pPr>
        <w:adjustRightInd w:val="0"/>
        <w:snapToGrid w:val="0"/>
        <w:spacing w:line="360" w:lineRule="auto"/>
        <w:ind w:firstLine="480" w:firstLineChars="200"/>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投标文件中未附此项的，此项得0分</w:t>
      </w:r>
    </w:p>
    <w:p w14:paraId="09F5BFB3">
      <w:pPr>
        <w:adjustRightInd w:val="0"/>
        <w:snapToGrid w:val="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.技术</w:t>
      </w:r>
      <w:r>
        <w:rPr>
          <w:rFonts w:hint="eastAsia" w:asciiTheme="minorEastAsia" w:hAnsiTheme="minorEastAsia" w:eastAsiaTheme="minorEastAsia" w:cstheme="minorEastAsia"/>
          <w:b/>
          <w:sz w:val="24"/>
          <w:szCs w:val="24"/>
          <w:lang w:eastAsia="zh-CN"/>
        </w:rPr>
        <w:t>部分</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48</w:t>
      </w:r>
      <w:r>
        <w:rPr>
          <w:rFonts w:hint="eastAsia" w:asciiTheme="minorEastAsia" w:hAnsiTheme="minorEastAsia" w:eastAsiaTheme="minorEastAsia" w:cstheme="minorEastAsia"/>
          <w:b/>
          <w:sz w:val="24"/>
          <w:szCs w:val="24"/>
        </w:rPr>
        <w:t>分）</w:t>
      </w:r>
    </w:p>
    <w:p w14:paraId="45ADDEFF">
      <w:pPr>
        <w:adjustRightInd w:val="0"/>
        <w:snapToGrid w:val="0"/>
        <w:spacing w:line="360" w:lineRule="auto"/>
        <w:ind w:firstLine="482" w:firstLineChars="200"/>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w:t>
      </w:r>
      <w:r>
        <w:rPr>
          <w:rFonts w:hint="eastAsia" w:hAnsi="宋体" w:cs="宋体"/>
          <w:b/>
          <w:bCs w:val="0"/>
          <w:color w:val="auto"/>
          <w:sz w:val="24"/>
          <w:szCs w:val="24"/>
          <w:lang w:val="en-US" w:eastAsia="zh-CN"/>
        </w:rPr>
        <w:t>1</w:t>
      </w:r>
      <w:r>
        <w:rPr>
          <w:rFonts w:hint="eastAsia" w:ascii="宋体" w:hAnsi="宋体" w:eastAsia="宋体" w:cs="宋体"/>
          <w:b/>
          <w:bCs w:val="0"/>
          <w:color w:val="auto"/>
          <w:sz w:val="24"/>
          <w:szCs w:val="24"/>
          <w:lang w:val="en-US" w:eastAsia="zh-CN"/>
        </w:rPr>
        <w:t>质量管理措施</w:t>
      </w:r>
      <w:r>
        <w:rPr>
          <w:rFonts w:hint="eastAsia" w:ascii="宋体" w:hAnsi="宋体" w:eastAsia="宋体" w:cs="宋体"/>
          <w:b/>
          <w:bCs w:val="0"/>
          <w:color w:val="auto"/>
          <w:sz w:val="24"/>
          <w:szCs w:val="24"/>
          <w:lang w:bidi="zh-CN"/>
        </w:rPr>
        <w:t>（</w:t>
      </w:r>
      <w:r>
        <w:rPr>
          <w:rFonts w:hint="eastAsia" w:hAnsi="宋体" w:cs="宋体"/>
          <w:b/>
          <w:bCs w:val="0"/>
          <w:color w:val="auto"/>
          <w:sz w:val="24"/>
          <w:szCs w:val="24"/>
          <w:lang w:val="en-US" w:bidi="zh-CN"/>
        </w:rPr>
        <w:t>6</w:t>
      </w:r>
      <w:r>
        <w:rPr>
          <w:rFonts w:hint="eastAsia" w:ascii="宋体" w:hAnsi="宋体" w:eastAsia="宋体" w:cs="宋体"/>
          <w:b/>
          <w:bCs w:val="0"/>
          <w:color w:val="auto"/>
          <w:sz w:val="24"/>
          <w:szCs w:val="24"/>
          <w:lang w:bidi="zh-CN"/>
        </w:rPr>
        <w:t>分）</w:t>
      </w:r>
    </w:p>
    <w:p w14:paraId="770B8A0D">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质量管理措施内容包括但不限于质量标准和质量管理流程、项目管理组织以及应急预案等。</w:t>
      </w:r>
    </w:p>
    <w:p w14:paraId="4125C7CB">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质量标准和质量管理流程严谨规范，具有科学的工作管理制度，方案完整度高、应急预案保障措施众多、可实施性强，能够很好的保障产品质量，得</w:t>
      </w:r>
      <w:r>
        <w:rPr>
          <w:rFonts w:hint="eastAsia" w:asciiTheme="minorEastAsia" w:hAnsiTheme="minorEastAsia" w:eastAsia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分；</w:t>
      </w:r>
    </w:p>
    <w:p w14:paraId="5B6B99A4">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质量标准和质量管理流程规范，具有完善的工作管理制度，方案完整度、应急预案保障措施略有欠缺、但具有一定的可实施性，能够保障产品质量，得</w:t>
      </w: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分；</w:t>
      </w:r>
    </w:p>
    <w:p w14:paraId="76FA24E8">
      <w:pPr>
        <w:adjustRightInd w:val="0"/>
        <w:snapToGrid w:val="0"/>
        <w:spacing w:line="360" w:lineRule="auto"/>
        <w:ind w:firstLine="480" w:firstLineChars="200"/>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质量标准和质量管理流程存在部分瑕疵，工作管理制度有缺失，质量保障方案有明显欠缺、应急预案保障措施粗略，有可能影响产品质量，得</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分。</w:t>
      </w:r>
    </w:p>
    <w:p w14:paraId="60CBAC59">
      <w:pPr>
        <w:pStyle w:val="50"/>
        <w:rPr>
          <w:rFonts w:hint="default" w:eastAsiaTheme="minorEastAsia"/>
          <w:lang w:val="en-US" w:eastAsia="zh-CN"/>
        </w:rPr>
      </w:pPr>
      <w:r>
        <w:rPr>
          <w:rFonts w:hint="eastAsia" w:asciiTheme="minorEastAsia" w:hAnsiTheme="minorEastAsia" w:eastAsiaTheme="minorEastAsia" w:cstheme="minorEastAsia"/>
          <w:b w:val="0"/>
          <w:bCs/>
          <w:sz w:val="24"/>
          <w:szCs w:val="24"/>
        </w:rPr>
        <w:t>未提供</w:t>
      </w:r>
      <w:r>
        <w:rPr>
          <w:rFonts w:hint="eastAsia" w:asciiTheme="minorEastAsia" w:hAnsiTheme="minorEastAsia" w:eastAsiaTheme="minorEastAsia" w:cstheme="minorEastAsia"/>
          <w:b w:val="0"/>
          <w:bCs/>
          <w:sz w:val="24"/>
          <w:szCs w:val="24"/>
          <w:lang w:eastAsia="zh-CN"/>
        </w:rPr>
        <w:t>，得</w:t>
      </w:r>
      <w:r>
        <w:rPr>
          <w:rFonts w:hint="eastAsia" w:asciiTheme="minorEastAsia" w:hAnsiTheme="minorEastAsia" w:eastAsiaTheme="minorEastAsia" w:cstheme="minorEastAsia"/>
          <w:b w:val="0"/>
          <w:bCs/>
          <w:sz w:val="24"/>
          <w:szCs w:val="24"/>
          <w:lang w:val="en-US" w:eastAsia="zh-CN"/>
        </w:rPr>
        <w:t>0分。</w:t>
      </w:r>
    </w:p>
    <w:p w14:paraId="582950E8">
      <w:pPr>
        <w:adjustRightInd w:val="0"/>
        <w:snapToGrid w:val="0"/>
        <w:spacing w:line="360" w:lineRule="auto"/>
        <w:ind w:firstLine="482" w:firstLineChars="200"/>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w:t>
      </w:r>
      <w:r>
        <w:rPr>
          <w:rFonts w:hint="eastAsia" w:hAnsi="宋体" w:cs="宋体"/>
          <w:b/>
          <w:bCs w:val="0"/>
          <w:color w:val="auto"/>
          <w:sz w:val="24"/>
          <w:szCs w:val="24"/>
          <w:lang w:val="en-US" w:eastAsia="zh-CN"/>
        </w:rPr>
        <w:t>2</w:t>
      </w:r>
      <w:r>
        <w:rPr>
          <w:rFonts w:hint="eastAsia" w:ascii="宋体" w:hAnsi="宋体" w:eastAsia="宋体" w:cs="宋体"/>
          <w:b/>
          <w:bCs w:val="0"/>
          <w:color w:val="auto"/>
          <w:sz w:val="24"/>
          <w:szCs w:val="24"/>
          <w:lang w:val="en-US" w:eastAsia="zh-CN"/>
        </w:rPr>
        <w:t>时间进度安排及供货方案（</w:t>
      </w:r>
      <w:r>
        <w:rPr>
          <w:rFonts w:hint="eastAsia" w:hAnsi="宋体" w:cs="宋体"/>
          <w:b/>
          <w:bCs w:val="0"/>
          <w:color w:val="auto"/>
          <w:sz w:val="24"/>
          <w:szCs w:val="24"/>
          <w:lang w:val="en-US" w:eastAsia="zh-CN"/>
        </w:rPr>
        <w:t>6</w:t>
      </w:r>
      <w:r>
        <w:rPr>
          <w:rFonts w:hint="eastAsia" w:ascii="宋体" w:hAnsi="宋体" w:eastAsia="宋体" w:cs="宋体"/>
          <w:b/>
          <w:bCs w:val="0"/>
          <w:color w:val="auto"/>
          <w:sz w:val="24"/>
          <w:szCs w:val="24"/>
          <w:lang w:val="en-US" w:eastAsia="zh-CN"/>
        </w:rPr>
        <w:t>分）</w:t>
      </w:r>
    </w:p>
    <w:p w14:paraId="387FE17E">
      <w:pPr>
        <w:adjustRightInd w:val="0"/>
        <w:snapToGrid w:val="0"/>
        <w:spacing w:line="360" w:lineRule="auto"/>
        <w:ind w:firstLine="480" w:firstLineChars="200"/>
        <w:outlineLvl w:val="9"/>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投标人针对本项目提供的时间进度安排及供货方案，内容包括但不限于供货管理制度、时间进度安排、人员及车辆安排、装卸、垃圾清运等。</w:t>
      </w:r>
    </w:p>
    <w:p w14:paraId="02907166">
      <w:pPr>
        <w:adjustRightInd w:val="0"/>
        <w:snapToGrid w:val="0"/>
        <w:spacing w:line="360" w:lineRule="auto"/>
        <w:ind w:firstLine="480" w:firstLineChars="200"/>
        <w:outlineLvl w:val="9"/>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方案全面详实，具有科学的供货管理制度，时间进度安排科学高效，方案内容切实可行，供货方案完全满足采购人的实际工作需求，且配备专用的配送人员及车辆，装卸、垃圾清运到位，得</w:t>
      </w:r>
      <w:r>
        <w:rPr>
          <w:rFonts w:hint="eastAsia" w:hAnsi="宋体" w:cs="宋体"/>
          <w:b w:val="0"/>
          <w:bCs/>
          <w:color w:val="auto"/>
          <w:sz w:val="24"/>
          <w:szCs w:val="24"/>
          <w:lang w:val="en-US" w:eastAsia="zh-CN"/>
        </w:rPr>
        <w:t>6</w:t>
      </w:r>
      <w:r>
        <w:rPr>
          <w:rFonts w:hint="default" w:ascii="宋体" w:hAnsi="宋体" w:eastAsia="宋体" w:cs="宋体"/>
          <w:b w:val="0"/>
          <w:bCs/>
          <w:color w:val="auto"/>
          <w:sz w:val="24"/>
          <w:szCs w:val="24"/>
          <w:lang w:val="en-US" w:eastAsia="zh-CN"/>
        </w:rPr>
        <w:t>分；</w:t>
      </w:r>
    </w:p>
    <w:p w14:paraId="338A30DF">
      <w:pPr>
        <w:adjustRightInd w:val="0"/>
        <w:snapToGrid w:val="0"/>
        <w:spacing w:line="360" w:lineRule="auto"/>
        <w:ind w:firstLine="480" w:firstLineChars="200"/>
        <w:outlineLvl w:val="9"/>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方案全面，具有完善的供货管理制度，时间进度安排科学合理，方案内容基本可行，供货方案能够满足采购人的实际工作需求，且配备专用的配送人员及车辆，得</w:t>
      </w:r>
      <w:r>
        <w:rPr>
          <w:rFonts w:hint="eastAsia" w:hAnsi="宋体" w:cs="宋体"/>
          <w:b w:val="0"/>
          <w:bCs/>
          <w:color w:val="auto"/>
          <w:sz w:val="24"/>
          <w:szCs w:val="24"/>
          <w:lang w:val="en-US" w:eastAsia="zh-CN"/>
        </w:rPr>
        <w:t>3</w:t>
      </w:r>
      <w:r>
        <w:rPr>
          <w:rFonts w:hint="default" w:ascii="宋体" w:hAnsi="宋体" w:eastAsia="宋体" w:cs="宋体"/>
          <w:b w:val="0"/>
          <w:bCs/>
          <w:color w:val="auto"/>
          <w:sz w:val="24"/>
          <w:szCs w:val="24"/>
          <w:lang w:val="en-US" w:eastAsia="zh-CN"/>
        </w:rPr>
        <w:t>分；</w:t>
      </w:r>
    </w:p>
    <w:p w14:paraId="3188F701">
      <w:pPr>
        <w:adjustRightInd w:val="0"/>
        <w:snapToGrid w:val="0"/>
        <w:spacing w:line="360" w:lineRule="auto"/>
        <w:ind w:firstLine="480" w:firstLineChars="200"/>
        <w:outlineLvl w:val="9"/>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方案内容、时间进度安排、供货方案与采购人的工作实际需求存在偏差，工作管理制度存在缺失，未配备专用的配送人员及车辆，得</w:t>
      </w:r>
      <w:r>
        <w:rPr>
          <w:rFonts w:hint="eastAsia" w:hAnsi="宋体" w:cs="宋体"/>
          <w:b w:val="0"/>
          <w:bCs/>
          <w:color w:val="auto"/>
          <w:sz w:val="24"/>
          <w:szCs w:val="24"/>
          <w:lang w:val="en-US" w:eastAsia="zh-CN"/>
        </w:rPr>
        <w:t>1</w:t>
      </w:r>
      <w:r>
        <w:rPr>
          <w:rFonts w:hint="default" w:ascii="宋体" w:hAnsi="宋体" w:eastAsia="宋体" w:cs="宋体"/>
          <w:b w:val="0"/>
          <w:bCs/>
          <w:color w:val="auto"/>
          <w:sz w:val="24"/>
          <w:szCs w:val="24"/>
          <w:lang w:val="en-US" w:eastAsia="zh-CN"/>
        </w:rPr>
        <w:t>分。</w:t>
      </w:r>
    </w:p>
    <w:p w14:paraId="26932799">
      <w:pPr>
        <w:pStyle w:val="50"/>
        <w:rPr>
          <w:rFonts w:hint="default"/>
          <w:lang w:val="en-US" w:eastAsia="zh-CN"/>
        </w:rPr>
      </w:pPr>
      <w:r>
        <w:rPr>
          <w:rFonts w:hint="default" w:ascii="宋体" w:hAnsi="宋体" w:eastAsia="宋体" w:cs="宋体"/>
          <w:b w:val="0"/>
          <w:bCs/>
          <w:color w:val="auto"/>
          <w:sz w:val="24"/>
          <w:szCs w:val="24"/>
          <w:lang w:val="en-US" w:eastAsia="zh-CN"/>
        </w:rPr>
        <w:t>未提供</w:t>
      </w:r>
      <w:r>
        <w:rPr>
          <w:rFonts w:hint="eastAsia" w:hAnsi="宋体" w:eastAsia="宋体" w:cs="宋体"/>
          <w:b w:val="0"/>
          <w:bCs/>
          <w:color w:val="auto"/>
          <w:sz w:val="24"/>
          <w:szCs w:val="24"/>
          <w:lang w:val="en-US" w:eastAsia="zh-CN"/>
        </w:rPr>
        <w:t>，得0分。</w:t>
      </w:r>
    </w:p>
    <w:p w14:paraId="51B8FA2C">
      <w:pPr>
        <w:adjustRightInd w:val="0"/>
        <w:snapToGrid w:val="0"/>
        <w:spacing w:line="360" w:lineRule="auto"/>
        <w:ind w:firstLine="482" w:firstLineChars="200"/>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w:t>
      </w:r>
      <w:r>
        <w:rPr>
          <w:rFonts w:hint="eastAsia" w:hAnsi="宋体" w:cs="宋体"/>
          <w:b/>
          <w:bCs w:val="0"/>
          <w:color w:val="auto"/>
          <w:sz w:val="24"/>
          <w:szCs w:val="24"/>
          <w:lang w:val="en-US" w:eastAsia="zh-CN"/>
        </w:rPr>
        <w:t>3项目实施方案</w:t>
      </w:r>
      <w:r>
        <w:rPr>
          <w:rFonts w:hint="eastAsia" w:ascii="宋体" w:hAnsi="宋体" w:eastAsia="宋体" w:cs="宋体"/>
          <w:b/>
          <w:bCs w:val="0"/>
          <w:color w:val="auto"/>
          <w:sz w:val="24"/>
          <w:szCs w:val="24"/>
          <w:lang w:val="en-US" w:eastAsia="zh-CN"/>
        </w:rPr>
        <w:t>（</w:t>
      </w:r>
      <w:r>
        <w:rPr>
          <w:rFonts w:hint="eastAsia" w:hAnsi="宋体" w:cs="宋体"/>
          <w:b/>
          <w:bCs w:val="0"/>
          <w:color w:val="auto"/>
          <w:sz w:val="24"/>
          <w:szCs w:val="24"/>
          <w:lang w:val="en-US" w:eastAsia="zh-CN"/>
        </w:rPr>
        <w:t>8</w:t>
      </w:r>
      <w:r>
        <w:rPr>
          <w:rFonts w:hint="eastAsia" w:ascii="宋体" w:hAnsi="宋体" w:eastAsia="宋体" w:cs="宋体"/>
          <w:b/>
          <w:bCs w:val="0"/>
          <w:color w:val="auto"/>
          <w:sz w:val="24"/>
          <w:szCs w:val="24"/>
          <w:lang w:val="en-US" w:eastAsia="zh-CN"/>
        </w:rPr>
        <w:t>分）</w:t>
      </w:r>
    </w:p>
    <w:p w14:paraId="0383860B">
      <w:pPr>
        <w:adjustRightInd w:val="0"/>
        <w:snapToGrid w:val="0"/>
        <w:spacing w:line="360" w:lineRule="auto"/>
        <w:ind w:firstLine="480" w:firstLineChars="200"/>
        <w:outlineLvl w:val="9"/>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（1）供应商的物流配送、供货方案科学、合理、可行性强的4分，方案不科学、不合理、可行性不强的得2分，未提供的得0分。</w:t>
      </w:r>
    </w:p>
    <w:p w14:paraId="05CA37F0">
      <w:pPr>
        <w:adjustRightInd w:val="0"/>
        <w:snapToGrid w:val="0"/>
        <w:spacing w:line="360" w:lineRule="auto"/>
        <w:ind w:firstLine="480" w:firstLineChars="200"/>
        <w:outlineLvl w:val="9"/>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（2）货物现场安装方案完整、合理、切实可行的4分；方案不够完整、较合理、可行的得2分；未提供的得0分；</w:t>
      </w:r>
    </w:p>
    <w:p w14:paraId="092B89A4">
      <w:pPr>
        <w:adjustRightInd w:val="0"/>
        <w:snapToGrid w:val="0"/>
        <w:spacing w:line="360" w:lineRule="auto"/>
        <w:ind w:firstLine="482" w:firstLineChars="200"/>
        <w:outlineLvl w:val="9"/>
        <w:rPr>
          <w:rFonts w:hint="default"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3.</w:t>
      </w:r>
      <w:r>
        <w:rPr>
          <w:rFonts w:hint="eastAsia" w:hAnsi="宋体" w:cs="宋体"/>
          <w:b/>
          <w:bCs w:val="0"/>
          <w:color w:val="auto"/>
          <w:sz w:val="24"/>
          <w:szCs w:val="24"/>
          <w:lang w:val="en-US" w:eastAsia="zh-CN"/>
        </w:rPr>
        <w:t>4技术规格及参数</w:t>
      </w:r>
      <w:r>
        <w:rPr>
          <w:rFonts w:hint="eastAsia" w:ascii="宋体" w:hAnsi="宋体" w:eastAsia="宋体" w:cs="宋体"/>
          <w:b/>
          <w:bCs w:val="0"/>
          <w:color w:val="auto"/>
          <w:sz w:val="24"/>
          <w:szCs w:val="24"/>
          <w:lang w:val="en-US" w:eastAsia="zh-CN"/>
        </w:rPr>
        <w:t>（</w:t>
      </w:r>
      <w:r>
        <w:rPr>
          <w:rFonts w:hint="eastAsia" w:hAnsi="宋体" w:cs="宋体"/>
          <w:b/>
          <w:bCs w:val="0"/>
          <w:color w:val="auto"/>
          <w:sz w:val="24"/>
          <w:szCs w:val="24"/>
          <w:lang w:val="en-US" w:eastAsia="zh-CN"/>
        </w:rPr>
        <w:t>28</w:t>
      </w:r>
      <w:r>
        <w:rPr>
          <w:rFonts w:hint="eastAsia" w:ascii="宋体" w:hAnsi="宋体" w:eastAsia="宋体" w:cs="宋体"/>
          <w:b/>
          <w:bCs w:val="0"/>
          <w:color w:val="auto"/>
          <w:sz w:val="24"/>
          <w:szCs w:val="24"/>
          <w:lang w:val="en-US" w:eastAsia="zh-CN"/>
        </w:rPr>
        <w:t>分）</w:t>
      </w:r>
    </w:p>
    <w:p w14:paraId="09AA0214">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投标文件中提供的设备技术指标参数完全满足招标文件要求的得</w:t>
      </w:r>
      <w:r>
        <w:rPr>
          <w:rFonts w:hint="eastAsia" w:asciiTheme="minorEastAsia" w:hAnsiTheme="minorEastAsia" w:eastAsiaTheme="minorEastAsia" w:cstheme="minorEastAsia"/>
          <w:b w:val="0"/>
          <w:bCs w:val="0"/>
          <w:sz w:val="24"/>
          <w:szCs w:val="24"/>
          <w:lang w:val="en-US" w:eastAsia="zh-CN"/>
        </w:rPr>
        <w:t>28</w:t>
      </w:r>
      <w:r>
        <w:rPr>
          <w:rFonts w:hint="eastAsia" w:asciiTheme="minorEastAsia" w:hAnsiTheme="minorEastAsia" w:eastAsiaTheme="minorEastAsia" w:cstheme="minorEastAsia"/>
          <w:b w:val="0"/>
          <w:bCs w:val="0"/>
          <w:sz w:val="24"/>
          <w:szCs w:val="24"/>
        </w:rPr>
        <w:t>分。与招标文件要求相比有细微偏差的，评委根据投标文件内容分析打分，低于招标文件技术要求，每一项负偏差在基本分的基础上扣 1 分，</w:t>
      </w:r>
      <w:r>
        <w:rPr>
          <w:rFonts w:hint="eastAsia" w:asciiTheme="minorEastAsia" w:hAnsiTheme="minorEastAsia" w:eastAsiaTheme="minorEastAsia" w:cstheme="minorEastAsia"/>
          <w:b w:val="0"/>
          <w:bCs w:val="0"/>
          <w:sz w:val="24"/>
          <w:szCs w:val="24"/>
          <w:lang w:val="en-US" w:eastAsia="zh-CN"/>
        </w:rPr>
        <w:t>28分扣完为止</w:t>
      </w:r>
      <w:r>
        <w:rPr>
          <w:rFonts w:hint="eastAsia" w:asciiTheme="minorEastAsia" w:hAnsiTheme="minorEastAsia" w:eastAsiaTheme="minorEastAsia" w:cstheme="minorEastAsia"/>
          <w:b w:val="0"/>
          <w:bCs w:val="0"/>
          <w:sz w:val="24"/>
          <w:szCs w:val="24"/>
        </w:rPr>
        <w:t>。</w:t>
      </w:r>
    </w:p>
    <w:p w14:paraId="138F3E3F">
      <w:p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不满足</w:t>
      </w:r>
      <w:r>
        <w:rPr>
          <w:rFonts w:hint="eastAsia" w:asciiTheme="minorEastAsia" w:hAnsiTheme="minorEastAsia" w:eastAsiaTheme="minorEastAsia" w:cstheme="minorEastAsia"/>
          <w:b w:val="0"/>
          <w:bCs w:val="0"/>
          <w:sz w:val="24"/>
          <w:szCs w:val="24"/>
          <w:lang w:eastAsia="zh-CN"/>
        </w:rPr>
        <w:t>是指功能、性能、强度等</w:t>
      </w:r>
      <w:r>
        <w:rPr>
          <w:rFonts w:hint="eastAsia" w:asciiTheme="minorEastAsia" w:hAnsiTheme="minorEastAsia" w:eastAsiaTheme="minorEastAsia" w:cstheme="minorEastAsia"/>
          <w:b w:val="0"/>
          <w:bCs w:val="0"/>
          <w:sz w:val="24"/>
          <w:szCs w:val="24"/>
          <w:lang w:val="en-US" w:eastAsia="zh-CN"/>
        </w:rPr>
        <w:t>低</w:t>
      </w:r>
      <w:r>
        <w:rPr>
          <w:rFonts w:hint="eastAsia" w:asciiTheme="minorEastAsia" w:hAnsiTheme="minorEastAsia" w:eastAsiaTheme="minorEastAsia" w:cstheme="minorEastAsia"/>
          <w:b w:val="0"/>
          <w:bCs w:val="0"/>
          <w:sz w:val="24"/>
          <w:szCs w:val="24"/>
          <w:lang w:eastAsia="zh-CN"/>
        </w:rPr>
        <w:t>于招标文件要求。项数的计算，以标有最低一级序号的指标项即为一项，无论是否隶属于上一级编号）</w:t>
      </w:r>
    </w:p>
    <w:p w14:paraId="729678D9">
      <w:pPr>
        <w:adjustRightInd w:val="0"/>
        <w:snapToGrid w:val="0"/>
        <w:spacing w:line="360" w:lineRule="auto"/>
        <w:ind w:firstLine="482" w:firstLineChars="200"/>
        <w:outlineLvl w:val="9"/>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在投标文件中提供的资料应该真实、准确、清晰可辨，如提供虚假证明材料，在评审过程中发现的，按无效投标处理；已取得中标资格的，无论该行为是否影响中标，均取消其中标资格；该</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还应承担由此引起的其他经济、法律责任。</w:t>
      </w:r>
      <w:bookmarkEnd w:id="60"/>
      <w:bookmarkStart w:id="63" w:name="_Toc9364"/>
      <w:bookmarkStart w:id="64" w:name="_Toc4724"/>
      <w:bookmarkStart w:id="65" w:name="_Toc32835833"/>
    </w:p>
    <w:p w14:paraId="352CA576">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0F2FFF82">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49F22837">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028FCB6B">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3D90F164">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352DE065">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3170CF7E">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4542332F">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69C6A0FD">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7BABCAAD">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3E94AF06">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00797C94">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3488A867">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1C8FC88E">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2FE10C81">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2B75B15D">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0C16E2B7">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7FD580FA">
      <w:pPr>
        <w:adjustRightInd w:val="0"/>
        <w:snapToGrid w:val="0"/>
        <w:spacing w:line="360" w:lineRule="auto"/>
        <w:ind w:firstLine="723" w:firstLineChars="200"/>
        <w:jc w:val="center"/>
        <w:outlineLvl w:val="0"/>
        <w:rPr>
          <w:rFonts w:hint="eastAsia" w:asciiTheme="minorEastAsia" w:hAnsiTheme="minorEastAsia" w:eastAsiaTheme="minorEastAsia" w:cstheme="minorEastAsia"/>
          <w:b/>
          <w:bCs/>
          <w:sz w:val="36"/>
          <w:szCs w:val="36"/>
        </w:rPr>
      </w:pPr>
    </w:p>
    <w:p w14:paraId="2B4039C5">
      <w:pPr>
        <w:adjustRightInd w:val="0"/>
        <w:snapToGrid w:val="0"/>
        <w:spacing w:line="360" w:lineRule="auto"/>
        <w:jc w:val="center"/>
        <w:outlineLvl w:val="0"/>
        <w:rPr>
          <w:rFonts w:hint="eastAsia" w:asciiTheme="minorEastAsia" w:hAnsiTheme="minorEastAsia" w:eastAsiaTheme="minorEastAsia" w:cstheme="minorEastAsia"/>
          <w:b/>
          <w:bCs/>
          <w:sz w:val="36"/>
          <w:szCs w:val="36"/>
        </w:rPr>
      </w:pPr>
    </w:p>
    <w:p w14:paraId="313049BA">
      <w:pPr>
        <w:adjustRightInd w:val="0"/>
        <w:snapToGrid w:val="0"/>
        <w:spacing w:line="360" w:lineRule="auto"/>
        <w:jc w:val="center"/>
        <w:outlineLvl w:val="0"/>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第四章  合同协议书（格式）</w:t>
      </w:r>
      <w:bookmarkEnd w:id="63"/>
      <w:bookmarkEnd w:id="64"/>
      <w:bookmarkEnd w:id="65"/>
      <w:bookmarkStart w:id="66" w:name="_Toc18169"/>
      <w:bookmarkStart w:id="67" w:name="_Toc32835834"/>
      <w:bookmarkStart w:id="68" w:name="_Toc24302"/>
      <w:bookmarkStart w:id="69" w:name="_Toc430160318"/>
    </w:p>
    <w:p w14:paraId="0D19EF42">
      <w:pPr>
        <w:pStyle w:val="51"/>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合同编号：           </w:t>
      </w:r>
    </w:p>
    <w:p w14:paraId="44AAF2D7">
      <w:pPr>
        <w:pStyle w:val="51"/>
        <w:rPr>
          <w:rFonts w:hint="eastAsia" w:asciiTheme="minorEastAsia" w:hAnsiTheme="minorEastAsia" w:eastAsiaTheme="minorEastAsia" w:cstheme="minorEastAsia"/>
          <w:sz w:val="24"/>
          <w:szCs w:val="24"/>
        </w:rPr>
      </w:pPr>
    </w:p>
    <w:p w14:paraId="502093BA">
      <w:pPr>
        <w:pStyle w:val="51"/>
        <w:ind w:left="0" w:leftChars="0" w:firstLine="0" w:firstLineChars="0"/>
        <w:rPr>
          <w:rFonts w:hint="eastAsia" w:asciiTheme="minorEastAsia" w:hAnsiTheme="minorEastAsia" w:eastAsiaTheme="minorEastAsia" w:cstheme="minorEastAsia"/>
          <w:sz w:val="24"/>
          <w:szCs w:val="24"/>
        </w:rPr>
      </w:pPr>
    </w:p>
    <w:p w14:paraId="5256F0FD">
      <w:pPr>
        <w:pStyle w:val="51"/>
        <w:rPr>
          <w:rFonts w:hint="eastAsia" w:asciiTheme="minorEastAsia" w:hAnsiTheme="minorEastAsia" w:eastAsiaTheme="minorEastAsia" w:cstheme="minorEastAsia"/>
          <w:sz w:val="24"/>
          <w:szCs w:val="24"/>
        </w:rPr>
      </w:pPr>
    </w:p>
    <w:p w14:paraId="5F3744AC">
      <w:pPr>
        <w:pStyle w:val="51"/>
        <w:rPr>
          <w:rFonts w:hint="eastAsia" w:asciiTheme="minorEastAsia" w:hAnsiTheme="minorEastAsia" w:eastAsiaTheme="minorEastAsia" w:cstheme="minorEastAsia"/>
          <w:sz w:val="24"/>
          <w:szCs w:val="24"/>
        </w:rPr>
      </w:pPr>
    </w:p>
    <w:p w14:paraId="440C0ED6">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 合同书</w:t>
      </w:r>
    </w:p>
    <w:p w14:paraId="19122329">
      <w:pPr>
        <w:pStyle w:val="51"/>
        <w:rPr>
          <w:rFonts w:hint="eastAsia" w:asciiTheme="minorEastAsia" w:hAnsiTheme="minorEastAsia" w:eastAsiaTheme="minorEastAsia" w:cstheme="minorEastAsia"/>
          <w:sz w:val="24"/>
          <w:szCs w:val="24"/>
        </w:rPr>
      </w:pPr>
    </w:p>
    <w:p w14:paraId="64DB4E68">
      <w:pPr>
        <w:pStyle w:val="51"/>
        <w:rPr>
          <w:rFonts w:hint="eastAsia" w:asciiTheme="minorEastAsia" w:hAnsiTheme="minorEastAsia" w:eastAsiaTheme="minorEastAsia" w:cstheme="minorEastAsia"/>
          <w:sz w:val="24"/>
          <w:szCs w:val="24"/>
        </w:rPr>
      </w:pPr>
    </w:p>
    <w:p w14:paraId="585316E7">
      <w:pPr>
        <w:pStyle w:val="51"/>
        <w:rPr>
          <w:rFonts w:hint="eastAsia" w:asciiTheme="minorEastAsia" w:hAnsiTheme="minorEastAsia" w:eastAsiaTheme="minorEastAsia" w:cstheme="minorEastAsia"/>
          <w:sz w:val="24"/>
          <w:szCs w:val="24"/>
        </w:rPr>
      </w:pPr>
    </w:p>
    <w:p w14:paraId="5180F55F">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p w14:paraId="6CEE3EE5">
      <w:pPr>
        <w:pStyle w:val="51"/>
        <w:rPr>
          <w:rFonts w:hint="eastAsia" w:asciiTheme="minorEastAsia" w:hAnsiTheme="minorEastAsia" w:eastAsiaTheme="minorEastAsia" w:cstheme="minorEastAsia"/>
          <w:sz w:val="24"/>
          <w:szCs w:val="24"/>
        </w:rPr>
      </w:pPr>
    </w:p>
    <w:p w14:paraId="52A7BEB3">
      <w:pPr>
        <w:pStyle w:val="51"/>
        <w:rPr>
          <w:rFonts w:hint="eastAsia" w:asciiTheme="minorEastAsia" w:hAnsiTheme="minorEastAsia" w:eastAsiaTheme="minorEastAsia" w:cstheme="minorEastAsia"/>
          <w:sz w:val="24"/>
          <w:szCs w:val="24"/>
        </w:rPr>
      </w:pPr>
    </w:p>
    <w:p w14:paraId="1016F53C">
      <w:pPr>
        <w:pStyle w:val="51"/>
        <w:rPr>
          <w:rFonts w:hint="eastAsia" w:asciiTheme="minorEastAsia" w:hAnsiTheme="minorEastAsia" w:eastAsiaTheme="minorEastAsia" w:cstheme="minorEastAsia"/>
          <w:sz w:val="24"/>
          <w:szCs w:val="24"/>
        </w:rPr>
      </w:pPr>
    </w:p>
    <w:p w14:paraId="28B71632">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                                       </w:t>
      </w:r>
    </w:p>
    <w:p w14:paraId="05BC113A">
      <w:pPr>
        <w:pStyle w:val="51"/>
        <w:rPr>
          <w:rFonts w:hint="eastAsia" w:asciiTheme="minorEastAsia" w:hAnsiTheme="minorEastAsia" w:eastAsiaTheme="minorEastAsia" w:cstheme="minorEastAsia"/>
          <w:sz w:val="24"/>
          <w:szCs w:val="24"/>
        </w:rPr>
      </w:pPr>
    </w:p>
    <w:p w14:paraId="6978BA69">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                                       </w:t>
      </w:r>
    </w:p>
    <w:p w14:paraId="770DE6A3">
      <w:pPr>
        <w:pStyle w:val="51"/>
        <w:rPr>
          <w:rFonts w:hint="eastAsia" w:asciiTheme="minorEastAsia" w:hAnsiTheme="minorEastAsia" w:eastAsiaTheme="minorEastAsia" w:cstheme="minorEastAsia"/>
          <w:sz w:val="24"/>
          <w:szCs w:val="24"/>
        </w:rPr>
      </w:pPr>
    </w:p>
    <w:p w14:paraId="27C5C5C4">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签订地：                                     </w:t>
      </w:r>
    </w:p>
    <w:p w14:paraId="72C26D75">
      <w:pPr>
        <w:pStyle w:val="51"/>
        <w:rPr>
          <w:rFonts w:hint="eastAsia" w:asciiTheme="minorEastAsia" w:hAnsiTheme="minorEastAsia" w:eastAsiaTheme="minorEastAsia" w:cstheme="minorEastAsia"/>
          <w:sz w:val="24"/>
          <w:szCs w:val="24"/>
        </w:rPr>
      </w:pPr>
    </w:p>
    <w:p w14:paraId="24A9A38F">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               年       月       日</w:t>
      </w:r>
    </w:p>
    <w:p w14:paraId="56FA101C">
      <w:pPr>
        <w:pStyle w:val="51"/>
        <w:rPr>
          <w:rFonts w:hint="eastAsia" w:asciiTheme="minorEastAsia" w:hAnsiTheme="minorEastAsia" w:eastAsiaTheme="minorEastAsia" w:cstheme="minorEastAsia"/>
          <w:sz w:val="24"/>
          <w:szCs w:val="24"/>
        </w:rPr>
        <w:sectPr>
          <w:footerReference r:id="rId9" w:type="default"/>
          <w:pgSz w:w="11907" w:h="16840"/>
          <w:pgMar w:top="1474" w:right="1474" w:bottom="1474" w:left="1474" w:header="851" w:footer="851" w:gutter="0"/>
          <w:pgNumType w:fmt="numberInDash" w:start="1"/>
          <w:cols w:space="720" w:num="1"/>
          <w:docGrid w:linePitch="462" w:charSpace="0"/>
        </w:sectPr>
      </w:pPr>
    </w:p>
    <w:p w14:paraId="73461390">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（采购人名称）   </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sz w:val="24"/>
          <w:szCs w:val="24"/>
          <w:u w:val="single"/>
        </w:rPr>
        <w:t xml:space="preserve">   （政府采购方式）  </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u w:val="single"/>
        </w:rPr>
        <w:t xml:space="preserve">   （同前页项目名称）   </w:t>
      </w:r>
      <w:r>
        <w:rPr>
          <w:rFonts w:hint="eastAsia" w:asciiTheme="minorEastAsia" w:hAnsiTheme="minorEastAsia" w:eastAsiaTheme="minorEastAsia" w:cstheme="minorEastAsia"/>
          <w:sz w:val="24"/>
          <w:szCs w:val="24"/>
        </w:rPr>
        <w:t>项目进行了采购。经</w:t>
      </w:r>
      <w:r>
        <w:rPr>
          <w:rFonts w:hint="eastAsia" w:asciiTheme="minorEastAsia" w:hAnsiTheme="minorEastAsia" w:eastAsiaTheme="minorEastAsia" w:cstheme="minorEastAsia"/>
          <w:sz w:val="24"/>
          <w:szCs w:val="24"/>
          <w:u w:val="single"/>
        </w:rPr>
        <w:t xml:space="preserve">   （相关评定主体名称）   </w:t>
      </w:r>
      <w:r>
        <w:rPr>
          <w:rFonts w:hint="eastAsia" w:asciiTheme="minorEastAsia" w:hAnsiTheme="minorEastAsia" w:eastAsiaTheme="minorEastAsia" w:cstheme="minorEastAsia"/>
          <w:sz w:val="24"/>
          <w:szCs w:val="24"/>
        </w:rPr>
        <w:t>评定，</w:t>
      </w:r>
      <w:r>
        <w:rPr>
          <w:rFonts w:hint="eastAsia" w:asciiTheme="minorEastAsia" w:hAnsiTheme="minorEastAsia" w:eastAsiaTheme="minorEastAsia" w:cstheme="minorEastAsia"/>
          <w:sz w:val="24"/>
          <w:szCs w:val="24"/>
          <w:u w:val="single"/>
        </w:rPr>
        <w:t xml:space="preserve">   （中标供应商名称）</w:t>
      </w:r>
      <w:r>
        <w:rPr>
          <w:rFonts w:hint="eastAsia" w:asciiTheme="minorEastAsia" w:hAnsiTheme="minorEastAsia" w:eastAsiaTheme="minorEastAsia" w:cstheme="minorEastAsia"/>
          <w:sz w:val="24"/>
          <w:szCs w:val="24"/>
        </w:rPr>
        <w:t>为该项目中标供应商。现于中标通知书发出之日起</w:t>
      </w:r>
      <w:r>
        <w:rPr>
          <w:rFonts w:hint="eastAsia" w:asciiTheme="minorEastAsia" w:hAnsiTheme="minorEastAsia" w:eastAsiaTheme="minorEastAsia" w:cstheme="minorEastAsia"/>
          <w:sz w:val="24"/>
          <w:szCs w:val="24"/>
          <w:lang w:val="en-US" w:eastAsia="zh-CN"/>
        </w:rPr>
        <w:t>2个工作</w:t>
      </w:r>
      <w:r>
        <w:rPr>
          <w:rFonts w:hint="eastAsia" w:asciiTheme="minorEastAsia" w:hAnsiTheme="minorEastAsia" w:eastAsiaTheme="minorEastAsia" w:cstheme="minorEastAsia"/>
          <w:sz w:val="24"/>
          <w:szCs w:val="24"/>
        </w:rPr>
        <w:t>日内，按照采购文件确定的事项签订本合同。</w:t>
      </w:r>
    </w:p>
    <w:p w14:paraId="24AC16EC">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根据《中华人民共和国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lang w:val="zh-CN"/>
        </w:rPr>
        <w:t>》、《中华人民共和国政府采购法》等相关法律法规之规定，按照平等、自愿、公平和诚实信用的原则，经</w:t>
      </w:r>
      <w:r>
        <w:rPr>
          <w:rFonts w:hint="eastAsia" w:asciiTheme="minorEastAsia" w:hAnsiTheme="minorEastAsia" w:eastAsiaTheme="minorEastAsia" w:cstheme="minorEastAsia"/>
          <w:sz w:val="24"/>
          <w:szCs w:val="24"/>
          <w:u w:val="single"/>
        </w:rPr>
        <w:t xml:space="preserve">   （采购人名称）   </w:t>
      </w:r>
      <w:r>
        <w:rPr>
          <w:rFonts w:hint="eastAsia" w:asciiTheme="minorEastAsia" w:hAnsiTheme="minorEastAsia" w:eastAsiaTheme="minorEastAsia" w:cstheme="minorEastAsia"/>
          <w:sz w:val="24"/>
          <w:szCs w:val="24"/>
          <w:lang w:val="zh-CN"/>
        </w:rPr>
        <w:t>(以下简称：甲方)和</w:t>
      </w:r>
      <w:r>
        <w:rPr>
          <w:rFonts w:hint="eastAsia" w:asciiTheme="minorEastAsia" w:hAnsiTheme="minorEastAsia" w:eastAsiaTheme="minorEastAsia" w:cstheme="minorEastAsia"/>
          <w:sz w:val="24"/>
          <w:szCs w:val="24"/>
          <w:u w:val="single"/>
        </w:rPr>
        <w:t xml:space="preserve">   （中标供应商名称）   </w:t>
      </w:r>
      <w:r>
        <w:rPr>
          <w:rFonts w:hint="eastAsia" w:asciiTheme="minorEastAsia" w:hAnsiTheme="minorEastAsia" w:eastAsiaTheme="minorEastAsia" w:cstheme="minorEastAsia"/>
          <w:sz w:val="24"/>
          <w:szCs w:val="24"/>
          <w:lang w:val="zh-CN"/>
        </w:rPr>
        <w:t>(以下简称：乙方)协商一致，约定以下合同</w:t>
      </w:r>
      <w:r>
        <w:rPr>
          <w:rFonts w:hint="eastAsia" w:asciiTheme="minorEastAsia" w:hAnsiTheme="minorEastAsia" w:eastAsiaTheme="minorEastAsia" w:cstheme="minorEastAsia"/>
          <w:sz w:val="24"/>
          <w:szCs w:val="24"/>
        </w:rPr>
        <w:t>条款，以兹共同遵守、全面履行。</w:t>
      </w:r>
    </w:p>
    <w:p w14:paraId="23D2465C">
      <w:pPr>
        <w:pStyle w:val="51"/>
        <w:rPr>
          <w:rFonts w:hint="eastAsia" w:asciiTheme="minorEastAsia" w:hAnsiTheme="minorEastAsia" w:eastAsiaTheme="minorEastAsia" w:cstheme="minorEastAsia"/>
          <w:sz w:val="24"/>
          <w:szCs w:val="24"/>
        </w:rPr>
      </w:pPr>
      <w:bookmarkStart w:id="70" w:name="_Toc2232"/>
      <w:bookmarkStart w:id="71" w:name="_Toc24059"/>
      <w:bookmarkStart w:id="72" w:name="_Toc3029"/>
      <w:r>
        <w:rPr>
          <w:rFonts w:hint="eastAsia" w:asciiTheme="minorEastAsia" w:hAnsiTheme="minorEastAsia" w:eastAsiaTheme="minorEastAsia" w:cstheme="minorEastAsia"/>
          <w:sz w:val="24"/>
          <w:szCs w:val="24"/>
        </w:rPr>
        <w:t>1.1 合同组成部分</w:t>
      </w:r>
      <w:bookmarkEnd w:id="70"/>
      <w:bookmarkEnd w:id="71"/>
      <w:bookmarkEnd w:id="72"/>
    </w:p>
    <w:p w14:paraId="7C5AFB4B">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00E286">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本合同及其补充合同、变更协议；</w:t>
      </w:r>
    </w:p>
    <w:p w14:paraId="43BCB197">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中标通知书；</w:t>
      </w:r>
    </w:p>
    <w:p w14:paraId="49682BF6">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投标文件（含澄清或者说明文件）；</w:t>
      </w:r>
    </w:p>
    <w:p w14:paraId="11B010FA">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招标文件（含澄清或者修改文件）；</w:t>
      </w:r>
    </w:p>
    <w:p w14:paraId="1A0D2A1D">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其他相关采购文件。</w:t>
      </w:r>
    </w:p>
    <w:p w14:paraId="7FBA363D">
      <w:pPr>
        <w:pStyle w:val="51"/>
        <w:rPr>
          <w:rFonts w:hint="eastAsia" w:asciiTheme="minorEastAsia" w:hAnsiTheme="minorEastAsia" w:eastAsiaTheme="minorEastAsia" w:cstheme="minorEastAsia"/>
          <w:sz w:val="24"/>
          <w:szCs w:val="24"/>
        </w:rPr>
      </w:pPr>
      <w:bookmarkStart w:id="73" w:name="_Toc24300"/>
      <w:bookmarkStart w:id="74" w:name="_Toc27126"/>
      <w:bookmarkStart w:id="75" w:name="_Toc21295"/>
      <w:r>
        <w:rPr>
          <w:rFonts w:hint="eastAsia" w:asciiTheme="minorEastAsia" w:hAnsiTheme="minorEastAsia" w:eastAsiaTheme="minorEastAsia" w:cstheme="minorEastAsia"/>
          <w:sz w:val="24"/>
          <w:szCs w:val="24"/>
        </w:rPr>
        <w:t>1.2 货物</w:t>
      </w:r>
      <w:bookmarkEnd w:id="73"/>
      <w:bookmarkEnd w:id="74"/>
      <w:bookmarkEnd w:id="75"/>
    </w:p>
    <w:p w14:paraId="4D02D870">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货物名称：</w:t>
      </w:r>
      <w:r>
        <w:rPr>
          <w:rFonts w:hint="eastAsia" w:asciiTheme="minorEastAsia" w:hAnsiTheme="minorEastAsia" w:eastAsiaTheme="minorEastAsia" w:cstheme="minorEastAsia"/>
          <w:sz w:val="24"/>
          <w:szCs w:val="24"/>
          <w:u w:val="single"/>
        </w:rPr>
        <w:t xml:space="preserve">                                                ；</w:t>
      </w:r>
    </w:p>
    <w:p w14:paraId="3758DB7C">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货物数量：</w:t>
      </w:r>
      <w:r>
        <w:rPr>
          <w:rFonts w:hint="eastAsia" w:asciiTheme="minorEastAsia" w:hAnsiTheme="minorEastAsia" w:eastAsiaTheme="minorEastAsia" w:cstheme="minorEastAsia"/>
          <w:sz w:val="24"/>
          <w:szCs w:val="24"/>
          <w:u w:val="single"/>
        </w:rPr>
        <w:t xml:space="preserve">                                                ；</w:t>
      </w:r>
    </w:p>
    <w:p w14:paraId="4A8E32FD">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货物质量：</w:t>
      </w:r>
      <w:r>
        <w:rPr>
          <w:rFonts w:hint="eastAsia" w:asciiTheme="minorEastAsia" w:hAnsiTheme="minorEastAsia" w:eastAsiaTheme="minorEastAsia" w:cstheme="minorEastAsia"/>
          <w:sz w:val="24"/>
          <w:szCs w:val="24"/>
          <w:u w:val="single"/>
        </w:rPr>
        <w:t>　　　　　　　　　                      　      。</w:t>
      </w:r>
    </w:p>
    <w:p w14:paraId="79D4C169">
      <w:pPr>
        <w:pStyle w:val="51"/>
        <w:rPr>
          <w:rFonts w:hint="eastAsia" w:asciiTheme="minorEastAsia" w:hAnsiTheme="minorEastAsia" w:eastAsiaTheme="minorEastAsia" w:cstheme="minorEastAsia"/>
          <w:sz w:val="24"/>
          <w:szCs w:val="24"/>
        </w:rPr>
      </w:pPr>
      <w:bookmarkStart w:id="76" w:name="_Toc21631"/>
      <w:bookmarkStart w:id="77" w:name="_Toc23292"/>
      <w:bookmarkStart w:id="78" w:name="_Toc21551"/>
      <w:r>
        <w:rPr>
          <w:rFonts w:hint="eastAsia" w:asciiTheme="minorEastAsia" w:hAnsiTheme="minorEastAsia" w:eastAsiaTheme="minorEastAsia" w:cstheme="minorEastAsia"/>
          <w:sz w:val="24"/>
          <w:szCs w:val="24"/>
        </w:rPr>
        <w:t>1.3 价款</w:t>
      </w:r>
      <w:bookmarkEnd w:id="76"/>
      <w:bookmarkEnd w:id="77"/>
      <w:bookmarkEnd w:id="78"/>
    </w:p>
    <w:p w14:paraId="3EA46E0B">
      <w:pPr>
        <w:pStyle w:val="51"/>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本合同总价为：￥</w:t>
      </w:r>
      <w:r>
        <w:rPr>
          <w:rFonts w:hint="eastAsia" w:asciiTheme="minorEastAsia" w:hAnsiTheme="minorEastAsia" w:eastAsiaTheme="minorEastAsia" w:cstheme="minorEastAsia"/>
          <w:sz w:val="24"/>
          <w:szCs w:val="24"/>
          <w:u w:val="single"/>
        </w:rPr>
        <w:t xml:space="preserve">           元（大写：                 元人民币）。</w:t>
      </w:r>
    </w:p>
    <w:p w14:paraId="4A3527E0">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分项价格：</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314"/>
        <w:gridCol w:w="2552"/>
      </w:tblGrid>
      <w:tr w14:paraId="45B2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noWrap w:val="0"/>
            <w:vAlign w:val="center"/>
          </w:tcPr>
          <w:p w14:paraId="12AC43AE">
            <w:pPr>
              <w:pStyle w:val="51"/>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314" w:type="dxa"/>
            <w:noWrap w:val="0"/>
            <w:vAlign w:val="center"/>
          </w:tcPr>
          <w:p w14:paraId="308F6368">
            <w:pPr>
              <w:pStyle w:val="51"/>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分项名称</w:t>
            </w:r>
          </w:p>
        </w:tc>
        <w:tc>
          <w:tcPr>
            <w:tcW w:w="2552" w:type="dxa"/>
            <w:noWrap w:val="0"/>
            <w:vAlign w:val="center"/>
          </w:tcPr>
          <w:p w14:paraId="00525987">
            <w:pPr>
              <w:pStyle w:val="51"/>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分项价格</w:t>
            </w:r>
          </w:p>
        </w:tc>
      </w:tr>
      <w:tr w14:paraId="71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noWrap w:val="0"/>
            <w:vAlign w:val="center"/>
          </w:tcPr>
          <w:p w14:paraId="138F7469">
            <w:pPr>
              <w:pStyle w:val="51"/>
              <w:rPr>
                <w:rFonts w:hint="eastAsia" w:asciiTheme="minorEastAsia" w:hAnsiTheme="minorEastAsia" w:eastAsiaTheme="minorEastAsia" w:cstheme="minorEastAsia"/>
                <w:sz w:val="24"/>
                <w:szCs w:val="24"/>
                <w:lang w:val="en-US" w:eastAsia="zh-CN"/>
              </w:rPr>
            </w:pPr>
          </w:p>
        </w:tc>
        <w:tc>
          <w:tcPr>
            <w:tcW w:w="2314" w:type="dxa"/>
            <w:noWrap w:val="0"/>
            <w:vAlign w:val="center"/>
          </w:tcPr>
          <w:p w14:paraId="6D8C54F5">
            <w:pPr>
              <w:pStyle w:val="51"/>
              <w:rPr>
                <w:rFonts w:hint="eastAsia" w:asciiTheme="minorEastAsia" w:hAnsiTheme="minorEastAsia" w:eastAsiaTheme="minorEastAsia" w:cstheme="minorEastAsia"/>
                <w:sz w:val="24"/>
                <w:szCs w:val="24"/>
                <w:lang w:val="en-US" w:eastAsia="zh-CN"/>
              </w:rPr>
            </w:pPr>
          </w:p>
        </w:tc>
        <w:tc>
          <w:tcPr>
            <w:tcW w:w="2552" w:type="dxa"/>
            <w:noWrap w:val="0"/>
            <w:vAlign w:val="center"/>
          </w:tcPr>
          <w:p w14:paraId="519CF331">
            <w:pPr>
              <w:pStyle w:val="51"/>
              <w:rPr>
                <w:rFonts w:hint="eastAsia" w:asciiTheme="minorEastAsia" w:hAnsiTheme="minorEastAsia" w:eastAsiaTheme="minorEastAsia" w:cstheme="minorEastAsia"/>
                <w:sz w:val="24"/>
                <w:szCs w:val="24"/>
                <w:lang w:val="en-US" w:eastAsia="zh-CN"/>
              </w:rPr>
            </w:pPr>
          </w:p>
        </w:tc>
      </w:tr>
      <w:tr w14:paraId="35B0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noWrap w:val="0"/>
            <w:vAlign w:val="center"/>
          </w:tcPr>
          <w:p w14:paraId="2704A117">
            <w:pPr>
              <w:pStyle w:val="51"/>
              <w:rPr>
                <w:rFonts w:hint="eastAsia" w:asciiTheme="minorEastAsia" w:hAnsiTheme="minorEastAsia" w:eastAsiaTheme="minorEastAsia" w:cstheme="minorEastAsia"/>
                <w:sz w:val="24"/>
                <w:szCs w:val="24"/>
                <w:lang w:val="en-US" w:eastAsia="zh-CN"/>
              </w:rPr>
            </w:pPr>
          </w:p>
        </w:tc>
        <w:tc>
          <w:tcPr>
            <w:tcW w:w="2314" w:type="dxa"/>
            <w:noWrap w:val="0"/>
            <w:vAlign w:val="center"/>
          </w:tcPr>
          <w:p w14:paraId="03C17B9F">
            <w:pPr>
              <w:pStyle w:val="51"/>
              <w:rPr>
                <w:rFonts w:hint="eastAsia" w:asciiTheme="minorEastAsia" w:hAnsiTheme="minorEastAsia" w:eastAsiaTheme="minorEastAsia" w:cstheme="minorEastAsia"/>
                <w:sz w:val="24"/>
                <w:szCs w:val="24"/>
                <w:lang w:val="en-US" w:eastAsia="zh-CN"/>
              </w:rPr>
            </w:pPr>
          </w:p>
        </w:tc>
        <w:tc>
          <w:tcPr>
            <w:tcW w:w="2552" w:type="dxa"/>
            <w:noWrap w:val="0"/>
            <w:vAlign w:val="center"/>
          </w:tcPr>
          <w:p w14:paraId="22F06055">
            <w:pPr>
              <w:pStyle w:val="51"/>
              <w:rPr>
                <w:rFonts w:hint="eastAsia" w:asciiTheme="minorEastAsia" w:hAnsiTheme="minorEastAsia" w:eastAsiaTheme="minorEastAsia" w:cstheme="minorEastAsia"/>
                <w:sz w:val="24"/>
                <w:szCs w:val="24"/>
                <w:lang w:val="en-US" w:eastAsia="zh-CN"/>
              </w:rPr>
            </w:pPr>
          </w:p>
        </w:tc>
      </w:tr>
      <w:tr w14:paraId="517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noWrap w:val="0"/>
            <w:vAlign w:val="center"/>
          </w:tcPr>
          <w:p w14:paraId="5B34274E">
            <w:pPr>
              <w:pStyle w:val="51"/>
              <w:rPr>
                <w:rFonts w:hint="eastAsia" w:asciiTheme="minorEastAsia" w:hAnsiTheme="minorEastAsia" w:eastAsiaTheme="minorEastAsia" w:cstheme="minorEastAsia"/>
                <w:sz w:val="24"/>
                <w:szCs w:val="24"/>
                <w:lang w:val="en-US" w:eastAsia="zh-CN"/>
              </w:rPr>
            </w:pPr>
          </w:p>
        </w:tc>
        <w:tc>
          <w:tcPr>
            <w:tcW w:w="2314" w:type="dxa"/>
            <w:noWrap w:val="0"/>
            <w:vAlign w:val="center"/>
          </w:tcPr>
          <w:p w14:paraId="23A17D1A">
            <w:pPr>
              <w:pStyle w:val="51"/>
              <w:rPr>
                <w:rFonts w:hint="eastAsia" w:asciiTheme="minorEastAsia" w:hAnsiTheme="minorEastAsia" w:eastAsiaTheme="minorEastAsia" w:cstheme="minorEastAsia"/>
                <w:sz w:val="24"/>
                <w:szCs w:val="24"/>
                <w:lang w:val="en-US" w:eastAsia="zh-CN"/>
              </w:rPr>
            </w:pPr>
          </w:p>
        </w:tc>
        <w:tc>
          <w:tcPr>
            <w:tcW w:w="2552" w:type="dxa"/>
            <w:noWrap w:val="0"/>
            <w:vAlign w:val="center"/>
          </w:tcPr>
          <w:p w14:paraId="002B37FB">
            <w:pPr>
              <w:pStyle w:val="51"/>
              <w:rPr>
                <w:rFonts w:hint="eastAsia" w:asciiTheme="minorEastAsia" w:hAnsiTheme="minorEastAsia" w:eastAsiaTheme="minorEastAsia" w:cstheme="minorEastAsia"/>
                <w:sz w:val="24"/>
                <w:szCs w:val="24"/>
                <w:lang w:val="en-US" w:eastAsia="zh-CN"/>
              </w:rPr>
            </w:pPr>
          </w:p>
        </w:tc>
      </w:tr>
      <w:tr w14:paraId="47C3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noWrap w:val="0"/>
            <w:vAlign w:val="center"/>
          </w:tcPr>
          <w:p w14:paraId="50FEB7EF">
            <w:pPr>
              <w:pStyle w:val="51"/>
              <w:rPr>
                <w:rFonts w:hint="eastAsia" w:asciiTheme="minorEastAsia" w:hAnsiTheme="minorEastAsia" w:eastAsiaTheme="minorEastAsia" w:cstheme="minorEastAsia"/>
                <w:sz w:val="24"/>
                <w:szCs w:val="24"/>
                <w:lang w:val="en-US" w:eastAsia="zh-CN"/>
              </w:rPr>
            </w:pPr>
          </w:p>
        </w:tc>
        <w:tc>
          <w:tcPr>
            <w:tcW w:w="2314" w:type="dxa"/>
            <w:noWrap w:val="0"/>
            <w:vAlign w:val="center"/>
          </w:tcPr>
          <w:p w14:paraId="494E05CB">
            <w:pPr>
              <w:pStyle w:val="51"/>
              <w:rPr>
                <w:rFonts w:hint="eastAsia" w:asciiTheme="minorEastAsia" w:hAnsiTheme="minorEastAsia" w:eastAsiaTheme="minorEastAsia" w:cstheme="minorEastAsia"/>
                <w:sz w:val="24"/>
                <w:szCs w:val="24"/>
                <w:lang w:val="en-US" w:eastAsia="zh-CN"/>
              </w:rPr>
            </w:pPr>
          </w:p>
        </w:tc>
        <w:tc>
          <w:tcPr>
            <w:tcW w:w="2552" w:type="dxa"/>
            <w:noWrap w:val="0"/>
            <w:vAlign w:val="center"/>
          </w:tcPr>
          <w:p w14:paraId="24D1ED05">
            <w:pPr>
              <w:pStyle w:val="51"/>
              <w:rPr>
                <w:rFonts w:hint="eastAsia" w:asciiTheme="minorEastAsia" w:hAnsiTheme="minorEastAsia" w:eastAsiaTheme="minorEastAsia" w:cstheme="minorEastAsia"/>
                <w:sz w:val="24"/>
                <w:szCs w:val="24"/>
                <w:lang w:val="en-US" w:eastAsia="zh-CN"/>
              </w:rPr>
            </w:pPr>
          </w:p>
        </w:tc>
      </w:tr>
      <w:tr w14:paraId="77E6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A0D3DD0">
            <w:pPr>
              <w:pStyle w:val="51"/>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总价</w:t>
            </w:r>
          </w:p>
        </w:tc>
        <w:tc>
          <w:tcPr>
            <w:tcW w:w="2552" w:type="dxa"/>
            <w:noWrap w:val="0"/>
            <w:vAlign w:val="center"/>
          </w:tcPr>
          <w:p w14:paraId="42D488D5">
            <w:pPr>
              <w:pStyle w:val="51"/>
              <w:rPr>
                <w:rFonts w:hint="eastAsia" w:asciiTheme="minorEastAsia" w:hAnsiTheme="minorEastAsia" w:eastAsiaTheme="minorEastAsia" w:cstheme="minorEastAsia"/>
                <w:sz w:val="24"/>
                <w:szCs w:val="24"/>
                <w:lang w:val="en-US" w:eastAsia="zh-CN"/>
              </w:rPr>
            </w:pPr>
          </w:p>
        </w:tc>
      </w:tr>
    </w:tbl>
    <w:p w14:paraId="5C254B5A">
      <w:pPr>
        <w:pStyle w:val="51"/>
        <w:rPr>
          <w:rFonts w:hint="eastAsia" w:asciiTheme="minorEastAsia" w:hAnsiTheme="minorEastAsia" w:eastAsiaTheme="minorEastAsia" w:cstheme="minorEastAsia"/>
          <w:sz w:val="24"/>
          <w:szCs w:val="24"/>
        </w:rPr>
      </w:pPr>
      <w:bookmarkStart w:id="79" w:name="_Toc1814"/>
      <w:bookmarkStart w:id="80" w:name="_Toc22618"/>
      <w:bookmarkStart w:id="81" w:name="_Toc10340"/>
      <w:r>
        <w:rPr>
          <w:rFonts w:hint="eastAsia" w:asciiTheme="minorEastAsia" w:hAnsiTheme="minorEastAsia" w:eastAsiaTheme="minorEastAsia" w:cstheme="minorEastAsia"/>
          <w:sz w:val="24"/>
          <w:szCs w:val="24"/>
        </w:rPr>
        <w:t>1.4 付款方式和发票开具方式</w:t>
      </w:r>
      <w:bookmarkEnd w:id="79"/>
      <w:bookmarkEnd w:id="80"/>
      <w:bookmarkEnd w:id="81"/>
    </w:p>
    <w:p w14:paraId="7A744688">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付款方式：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864441C">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发票开具方式：</w:t>
      </w:r>
      <w:r>
        <w:rPr>
          <w:rFonts w:hint="eastAsia" w:asciiTheme="minorEastAsia" w:hAnsiTheme="minorEastAsia" w:eastAsiaTheme="minorEastAsia" w:cstheme="minorEastAsia"/>
          <w:sz w:val="24"/>
          <w:szCs w:val="24"/>
          <w:u w:val="single"/>
        </w:rPr>
        <w:t xml:space="preserve">                                            。</w:t>
      </w:r>
    </w:p>
    <w:p w14:paraId="5D040083">
      <w:pPr>
        <w:pStyle w:val="51"/>
        <w:rPr>
          <w:rFonts w:hint="eastAsia" w:asciiTheme="minorEastAsia" w:hAnsiTheme="minorEastAsia" w:eastAsiaTheme="minorEastAsia" w:cstheme="minorEastAsia"/>
          <w:sz w:val="24"/>
          <w:szCs w:val="24"/>
        </w:rPr>
      </w:pPr>
      <w:bookmarkStart w:id="82" w:name="_Toc2846"/>
      <w:bookmarkStart w:id="83" w:name="_Toc19304"/>
      <w:bookmarkStart w:id="84" w:name="_Toc32071"/>
      <w:r>
        <w:rPr>
          <w:rFonts w:hint="eastAsia" w:asciiTheme="minorEastAsia" w:hAnsiTheme="minorEastAsia" w:eastAsiaTheme="minorEastAsia" w:cstheme="minorEastAsia"/>
          <w:sz w:val="24"/>
          <w:szCs w:val="24"/>
        </w:rPr>
        <w:t>1.5 货物交付期限、地点和方式</w:t>
      </w:r>
      <w:bookmarkEnd w:id="82"/>
      <w:bookmarkEnd w:id="83"/>
      <w:bookmarkEnd w:id="84"/>
    </w:p>
    <w:p w14:paraId="4BAEA222">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交付期限：</w:t>
      </w:r>
      <w:r>
        <w:rPr>
          <w:rFonts w:hint="eastAsia" w:asciiTheme="minorEastAsia" w:hAnsiTheme="minorEastAsia" w:eastAsiaTheme="minorEastAsia" w:cstheme="minorEastAsia"/>
          <w:sz w:val="24"/>
          <w:szCs w:val="24"/>
          <w:u w:val="single"/>
        </w:rPr>
        <w:t xml:space="preserve">                                                ；</w:t>
      </w:r>
    </w:p>
    <w:p w14:paraId="0E6BA8A9">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交付地点：</w:t>
      </w:r>
      <w:r>
        <w:rPr>
          <w:rFonts w:hint="eastAsia" w:asciiTheme="minorEastAsia" w:hAnsiTheme="minorEastAsia" w:eastAsiaTheme="minorEastAsia" w:cstheme="minorEastAsia"/>
          <w:sz w:val="24"/>
          <w:szCs w:val="24"/>
          <w:u w:val="single"/>
        </w:rPr>
        <w:t xml:space="preserve">                                                ；</w:t>
      </w:r>
    </w:p>
    <w:p w14:paraId="2C32FC11">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交付方式：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41A9D90">
      <w:pPr>
        <w:pStyle w:val="51"/>
        <w:rPr>
          <w:rFonts w:hint="eastAsia" w:asciiTheme="minorEastAsia" w:hAnsiTheme="minorEastAsia" w:eastAsiaTheme="minorEastAsia" w:cstheme="minorEastAsia"/>
          <w:sz w:val="24"/>
          <w:szCs w:val="24"/>
        </w:rPr>
      </w:pPr>
      <w:bookmarkStart w:id="85" w:name="_Toc27250"/>
      <w:bookmarkStart w:id="86" w:name="_Toc19554"/>
      <w:bookmarkStart w:id="87" w:name="_Toc21423"/>
      <w:r>
        <w:rPr>
          <w:rFonts w:hint="eastAsia" w:asciiTheme="minorEastAsia" w:hAnsiTheme="minorEastAsia" w:eastAsiaTheme="minorEastAsia" w:cstheme="minorEastAsia"/>
          <w:sz w:val="24"/>
          <w:szCs w:val="24"/>
        </w:rPr>
        <w:t>1.6 违约责任</w:t>
      </w:r>
      <w:bookmarkEnd w:id="85"/>
      <w:bookmarkEnd w:id="86"/>
      <w:bookmarkEnd w:id="87"/>
    </w:p>
    <w:p w14:paraId="5983853D">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计算，最高限额为本合同总价的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；迟延交付货物的违约金计算数额达到前述最高限额之日起，甲方有权在要求乙方支付违约金的同时，书面通知乙方解除本合同；</w:t>
      </w:r>
    </w:p>
    <w:p w14:paraId="3CE869A3">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计算，最高限额为本合同总价的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；迟延付款的违约金计算数额达到前述最高限额之日起，乙方有权在要求甲方支付违约金的同时，书面通知甲方解除本合同；</w:t>
      </w:r>
    </w:p>
    <w:p w14:paraId="7D94828A">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6F2A38">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7B50049">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15390A">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1D25E1A">
      <w:pPr>
        <w:pStyle w:val="51"/>
        <w:rPr>
          <w:rFonts w:hint="eastAsia" w:asciiTheme="minorEastAsia" w:hAnsiTheme="minorEastAsia" w:eastAsiaTheme="minorEastAsia" w:cstheme="minorEastAsia"/>
          <w:sz w:val="24"/>
          <w:szCs w:val="24"/>
        </w:rPr>
      </w:pPr>
      <w:bookmarkStart w:id="88" w:name="_Toc28375"/>
      <w:bookmarkStart w:id="89" w:name="_Toc16021"/>
      <w:bookmarkStart w:id="90" w:name="_Toc15583"/>
      <w:r>
        <w:rPr>
          <w:rFonts w:hint="eastAsia" w:asciiTheme="minorEastAsia" w:hAnsiTheme="minorEastAsia" w:eastAsiaTheme="minorEastAsia" w:cstheme="minorEastAsia"/>
          <w:sz w:val="24"/>
          <w:szCs w:val="24"/>
        </w:rPr>
        <w:t>1.7 合同争议的解决</w:t>
      </w:r>
      <w:bookmarkEnd w:id="88"/>
      <w:bookmarkEnd w:id="89"/>
      <w:bookmarkEnd w:id="90"/>
    </w:p>
    <w:p w14:paraId="5882CF9A">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14:paraId="546E7948">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将争议提交</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仲裁委员会依申请仲裁时其现行有效的仲裁规则裁决；</w:t>
      </w:r>
    </w:p>
    <w:p w14:paraId="074EE6D8">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向</w:t>
      </w:r>
      <w:r>
        <w:rPr>
          <w:rFonts w:hint="eastAsia" w:asciiTheme="minorEastAsia" w:hAnsiTheme="minorEastAsia" w:eastAsiaTheme="minorEastAsia" w:cstheme="minorEastAsia"/>
          <w:sz w:val="24"/>
          <w:szCs w:val="24"/>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sz w:val="24"/>
          <w:szCs w:val="24"/>
        </w:rPr>
        <w:t>人民法院起诉。</w:t>
      </w:r>
    </w:p>
    <w:p w14:paraId="1F33848B">
      <w:pPr>
        <w:pStyle w:val="51"/>
        <w:rPr>
          <w:rFonts w:hint="eastAsia" w:asciiTheme="minorEastAsia" w:hAnsiTheme="minorEastAsia" w:eastAsiaTheme="minorEastAsia" w:cstheme="minorEastAsia"/>
          <w:sz w:val="24"/>
          <w:szCs w:val="24"/>
        </w:rPr>
      </w:pPr>
      <w:bookmarkStart w:id="91" w:name="_Toc15322"/>
      <w:bookmarkStart w:id="92" w:name="_Toc11173"/>
      <w:bookmarkStart w:id="93" w:name="_Toc7245"/>
      <w:r>
        <w:rPr>
          <w:rFonts w:hint="eastAsia" w:asciiTheme="minorEastAsia" w:hAnsiTheme="minorEastAsia" w:eastAsiaTheme="minorEastAsia" w:cstheme="minorEastAsia"/>
          <w:sz w:val="24"/>
          <w:szCs w:val="24"/>
        </w:rPr>
        <w:t>1.8 合同生效</w:t>
      </w:r>
      <w:bookmarkEnd w:id="91"/>
      <w:bookmarkEnd w:id="92"/>
      <w:bookmarkEnd w:id="93"/>
    </w:p>
    <w:p w14:paraId="3F70FF12">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本合同自双方当事人盖章或者签字时生效。</w:t>
      </w:r>
    </w:p>
    <w:p w14:paraId="7A9B9AC6">
      <w:pPr>
        <w:pStyle w:val="51"/>
        <w:rPr>
          <w:rFonts w:hint="eastAsia" w:asciiTheme="minorEastAsia" w:hAnsiTheme="minorEastAsia" w:eastAsiaTheme="minorEastAsia" w:cstheme="minorEastAsia"/>
          <w:sz w:val="24"/>
          <w:szCs w:val="24"/>
          <w:lang w:val="zh-CN"/>
        </w:rPr>
      </w:pPr>
    </w:p>
    <w:p w14:paraId="3C5F5E8E">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甲方：</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乙方：</w:t>
      </w:r>
    </w:p>
    <w:p w14:paraId="7DD880DB">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统一社会信用代码：</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统一社会信用代码或身份证号码：</w:t>
      </w:r>
    </w:p>
    <w:p w14:paraId="603C843A">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住所：</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住所：</w:t>
      </w:r>
    </w:p>
    <w:p w14:paraId="6A2938EF">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w:t>
      </w:r>
      <w:r>
        <w:rPr>
          <w:rFonts w:hint="eastAsia" w:asciiTheme="minorEastAsia" w:hAnsiTheme="minorEastAsia" w:eastAsiaTheme="minorEastAsia" w:cstheme="minorEastAsia"/>
          <w:sz w:val="24"/>
          <w:szCs w:val="24"/>
        </w:rPr>
        <w:t>（单位负责人）</w:t>
      </w:r>
      <w:r>
        <w:rPr>
          <w:rFonts w:hint="eastAsia" w:asciiTheme="minorEastAsia" w:hAnsiTheme="minorEastAsia" w:eastAsiaTheme="minorEastAsia" w:cstheme="minorEastAsia"/>
          <w:sz w:val="24"/>
          <w:szCs w:val="24"/>
          <w:lang w:val="zh-CN"/>
        </w:rPr>
        <w:t>或</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zh-CN"/>
        </w:rPr>
        <w:t>法定代表人</w:t>
      </w:r>
      <w:r>
        <w:rPr>
          <w:rFonts w:hint="eastAsia" w:asciiTheme="minorEastAsia" w:hAnsiTheme="minorEastAsia" w:eastAsiaTheme="minorEastAsia" w:cstheme="minorEastAsia"/>
          <w:sz w:val="24"/>
          <w:szCs w:val="24"/>
        </w:rPr>
        <w:t>（单位负责人）</w:t>
      </w:r>
    </w:p>
    <w:p w14:paraId="653CE0D8">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授权代表（签字）：</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 xml:space="preserve">或授权代表（签字）: </w:t>
      </w:r>
    </w:p>
    <w:p w14:paraId="47861E83">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联系人：</w:t>
      </w:r>
    </w:p>
    <w:p w14:paraId="3C4E02C4">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约定送达地址：</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约定送达地址：</w:t>
      </w:r>
    </w:p>
    <w:p w14:paraId="6644D272">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邮政编码：</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邮政编码：</w:t>
      </w:r>
    </w:p>
    <w:p w14:paraId="3CABD024">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电话:</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 xml:space="preserve">电话: </w:t>
      </w:r>
    </w:p>
    <w:p w14:paraId="227A9C91">
      <w:pPr>
        <w:pStyle w:val="5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传真:</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传真:</w:t>
      </w:r>
    </w:p>
    <w:p w14:paraId="00B07ED2">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电子邮箱：</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电子邮箱：</w:t>
      </w:r>
    </w:p>
    <w:p w14:paraId="5DAC0198">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开户银行： </w:t>
      </w:r>
    </w:p>
    <w:p w14:paraId="63D40039">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开户名称： </w:t>
      </w:r>
    </w:p>
    <w:p w14:paraId="107A155A">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开户账号：</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rPr>
        <w:t>开户账号：</w:t>
      </w:r>
      <w:bookmarkStart w:id="94" w:name="_Toc331685783"/>
    </w:p>
    <w:p w14:paraId="3012B59D">
      <w:pPr>
        <w:pStyle w:val="51"/>
        <w:rPr>
          <w:rFonts w:hint="eastAsia" w:asciiTheme="minorEastAsia" w:hAnsiTheme="minorEastAsia" w:eastAsiaTheme="minorEastAsia" w:cstheme="minorEastAsia"/>
          <w:sz w:val="28"/>
          <w:szCs w:val="28"/>
        </w:rPr>
      </w:pPr>
    </w:p>
    <w:p w14:paraId="40984BF7">
      <w:pPr>
        <w:pStyle w:val="51"/>
        <w:rPr>
          <w:rFonts w:hint="eastAsia" w:asciiTheme="minorEastAsia" w:hAnsiTheme="minorEastAsia" w:eastAsiaTheme="minorEastAsia" w:cstheme="minorEastAsia"/>
          <w:sz w:val="28"/>
          <w:szCs w:val="28"/>
        </w:rPr>
      </w:pPr>
    </w:p>
    <w:p w14:paraId="3E973D34">
      <w:pPr>
        <w:pStyle w:val="51"/>
        <w:rPr>
          <w:rFonts w:hint="eastAsia" w:asciiTheme="minorEastAsia" w:hAnsiTheme="minorEastAsia" w:eastAsiaTheme="minorEastAsia" w:cstheme="minorEastAsia"/>
          <w:sz w:val="28"/>
          <w:szCs w:val="28"/>
        </w:rPr>
      </w:pPr>
    </w:p>
    <w:p w14:paraId="30D75A59">
      <w:pPr>
        <w:pStyle w:val="51"/>
        <w:rPr>
          <w:rFonts w:hint="eastAsia" w:asciiTheme="minorEastAsia" w:hAnsiTheme="minorEastAsia" w:eastAsiaTheme="minorEastAsia" w:cstheme="minorEastAsia"/>
          <w:sz w:val="28"/>
          <w:szCs w:val="28"/>
        </w:rPr>
      </w:pPr>
    </w:p>
    <w:p w14:paraId="2FD95910">
      <w:pPr>
        <w:pStyle w:val="51"/>
        <w:rPr>
          <w:rFonts w:hint="eastAsia" w:asciiTheme="minorEastAsia" w:hAnsiTheme="minorEastAsia" w:eastAsiaTheme="minorEastAsia" w:cstheme="minorEastAsia"/>
          <w:sz w:val="28"/>
          <w:szCs w:val="28"/>
        </w:rPr>
      </w:pPr>
    </w:p>
    <w:p w14:paraId="1FBEEC47">
      <w:pPr>
        <w:pStyle w:val="51"/>
        <w:rPr>
          <w:rFonts w:hint="eastAsia" w:asciiTheme="minorEastAsia" w:hAnsiTheme="minorEastAsia" w:eastAsiaTheme="minorEastAsia" w:cstheme="minorEastAsia"/>
          <w:sz w:val="28"/>
          <w:szCs w:val="28"/>
        </w:rPr>
      </w:pPr>
    </w:p>
    <w:p w14:paraId="46496EB4">
      <w:pPr>
        <w:pStyle w:val="51"/>
        <w:rPr>
          <w:rFonts w:hint="eastAsia" w:asciiTheme="minorEastAsia" w:hAnsiTheme="minorEastAsia" w:eastAsiaTheme="minorEastAsia" w:cstheme="minorEastAsia"/>
          <w:sz w:val="28"/>
          <w:szCs w:val="28"/>
        </w:rPr>
      </w:pPr>
    </w:p>
    <w:p w14:paraId="75DE659C">
      <w:pPr>
        <w:pStyle w:val="51"/>
        <w:rPr>
          <w:rFonts w:hint="eastAsia" w:asciiTheme="minorEastAsia" w:hAnsiTheme="minorEastAsia" w:eastAsiaTheme="minorEastAsia" w:cstheme="minorEastAsia"/>
          <w:sz w:val="28"/>
          <w:szCs w:val="28"/>
        </w:rPr>
      </w:pPr>
    </w:p>
    <w:p w14:paraId="7BEE5476">
      <w:pPr>
        <w:pStyle w:val="51"/>
        <w:rPr>
          <w:rFonts w:hint="eastAsia" w:asciiTheme="minorEastAsia" w:hAnsiTheme="minorEastAsia" w:eastAsiaTheme="minorEastAsia" w:cstheme="minorEastAsia"/>
          <w:sz w:val="28"/>
          <w:szCs w:val="28"/>
        </w:rPr>
      </w:pPr>
    </w:p>
    <w:p w14:paraId="6694A8D7">
      <w:pPr>
        <w:pStyle w:val="51"/>
        <w:rPr>
          <w:rFonts w:hint="eastAsia" w:asciiTheme="minorEastAsia" w:hAnsiTheme="minorEastAsia" w:eastAsiaTheme="minorEastAsia" w:cstheme="minorEastAsia"/>
          <w:sz w:val="28"/>
          <w:szCs w:val="28"/>
        </w:rPr>
      </w:pPr>
    </w:p>
    <w:p w14:paraId="3719DFB2">
      <w:pPr>
        <w:pStyle w:val="51"/>
        <w:rPr>
          <w:rFonts w:hint="eastAsia" w:asciiTheme="minorEastAsia" w:hAnsiTheme="minorEastAsia" w:eastAsiaTheme="minorEastAsia" w:cstheme="minorEastAsia"/>
          <w:sz w:val="28"/>
          <w:szCs w:val="28"/>
        </w:rPr>
      </w:pPr>
    </w:p>
    <w:p w14:paraId="4C56F87C">
      <w:pPr>
        <w:pStyle w:val="51"/>
        <w:rPr>
          <w:rFonts w:hint="eastAsia" w:asciiTheme="minorEastAsia" w:hAnsiTheme="minorEastAsia" w:eastAsiaTheme="minorEastAsia" w:cstheme="minorEastAsia"/>
          <w:sz w:val="28"/>
          <w:szCs w:val="28"/>
        </w:rPr>
      </w:pPr>
    </w:p>
    <w:p w14:paraId="756F40FC">
      <w:pPr>
        <w:pStyle w:val="51"/>
        <w:rPr>
          <w:rFonts w:hint="eastAsia" w:asciiTheme="minorEastAsia" w:hAnsiTheme="minorEastAsia" w:eastAsiaTheme="minorEastAsia" w:cstheme="minorEastAsia"/>
          <w:sz w:val="28"/>
          <w:szCs w:val="28"/>
        </w:rPr>
      </w:pPr>
    </w:p>
    <w:p w14:paraId="28285C74">
      <w:pPr>
        <w:pStyle w:val="51"/>
        <w:rPr>
          <w:rFonts w:hint="eastAsia" w:asciiTheme="minorEastAsia" w:hAnsiTheme="minorEastAsia" w:eastAsiaTheme="minorEastAsia" w:cstheme="minorEastAsia"/>
          <w:sz w:val="28"/>
          <w:szCs w:val="28"/>
        </w:rPr>
      </w:pPr>
    </w:p>
    <w:p w14:paraId="32EDD013">
      <w:pPr>
        <w:pStyle w:val="51"/>
        <w:rPr>
          <w:rFonts w:hint="eastAsia" w:asciiTheme="minorEastAsia" w:hAnsiTheme="minorEastAsia" w:eastAsiaTheme="minorEastAsia" w:cstheme="minorEastAsia"/>
          <w:sz w:val="28"/>
          <w:szCs w:val="28"/>
        </w:rPr>
      </w:pPr>
    </w:p>
    <w:p w14:paraId="3C6C6F25">
      <w:pPr>
        <w:pStyle w:val="51"/>
        <w:ind w:left="0" w:leftChars="0" w:firstLine="0" w:firstLineChars="0"/>
        <w:jc w:val="both"/>
        <w:rPr>
          <w:rFonts w:hint="eastAsia" w:asciiTheme="minorEastAsia" w:hAnsiTheme="minorEastAsia" w:eastAsiaTheme="minorEastAsia" w:cstheme="minorEastAsia"/>
          <w:sz w:val="28"/>
          <w:szCs w:val="28"/>
        </w:rPr>
      </w:pPr>
    </w:p>
    <w:p w14:paraId="53C9040D">
      <w:pPr>
        <w:pStyle w:val="5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第二部分 合同一般条款</w:t>
      </w:r>
      <w:bookmarkEnd w:id="94"/>
    </w:p>
    <w:p w14:paraId="18B35C22">
      <w:pPr>
        <w:pStyle w:val="51"/>
        <w:rPr>
          <w:rFonts w:hint="eastAsia" w:asciiTheme="minorEastAsia" w:hAnsiTheme="minorEastAsia" w:eastAsiaTheme="minorEastAsia" w:cstheme="minorEastAsia"/>
          <w:sz w:val="28"/>
          <w:szCs w:val="28"/>
        </w:rPr>
      </w:pPr>
      <w:bookmarkStart w:id="95" w:name="_Ref467379109"/>
      <w:bookmarkStart w:id="96" w:name="_Ref467379225"/>
      <w:bookmarkStart w:id="97" w:name="_Toc279701240"/>
      <w:bookmarkStart w:id="98" w:name="_Toc19614"/>
      <w:bookmarkStart w:id="99" w:name="_Ref467378499"/>
      <w:bookmarkStart w:id="100" w:name="_Toc259093669"/>
      <w:bookmarkStart w:id="101" w:name="_Ref467379094"/>
      <w:bookmarkStart w:id="102" w:name="_Ref467379214"/>
      <w:bookmarkStart w:id="103" w:name="_Toc16917"/>
      <w:bookmarkStart w:id="104" w:name="_Ref467379205"/>
      <w:bookmarkStart w:id="105" w:name="_Ref467378463"/>
      <w:bookmarkStart w:id="106" w:name="_Ref467379101"/>
      <w:bookmarkStart w:id="107" w:name="_Toc487900349"/>
      <w:bookmarkStart w:id="108" w:name="_Ref467378404"/>
      <w:bookmarkStart w:id="109" w:name="_Ref467379195"/>
      <w:bookmarkStart w:id="110" w:name="_Toc28763"/>
      <w:r>
        <w:rPr>
          <w:rFonts w:hint="eastAsia" w:asciiTheme="minorEastAsia" w:hAnsiTheme="minorEastAsia" w:eastAsiaTheme="minorEastAsia" w:cstheme="minorEastAsia"/>
          <w:sz w:val="28"/>
          <w:szCs w:val="28"/>
        </w:rPr>
        <w:t>2.1 定义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77D3B64">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本合同中的下列词语应按以下内容进行解释：</w:t>
      </w:r>
    </w:p>
    <w:p w14:paraId="122194D3">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 “合同”系指采购人和中标供应商签订的载明双方当事人所达成的协议，并包括所有的附件、附录和构成合同的其他文件。</w:t>
      </w:r>
    </w:p>
    <w:p w14:paraId="210CF0C3">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2.1.2 “合同价”系指根据合同约定，中标供应商在完全履行合同义务后，采购人应支付给中标供应商的价格。</w:t>
      </w:r>
    </w:p>
    <w:p w14:paraId="43568837">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 “货物”系指中标供应商根据合同约定应向采购人交付的一切各种形态和种类的物品，包括原材料、燃料、设备、机械、仪表、备件、计算机软件、产品等，并包括工具、手册等其他相关资料。</w:t>
      </w:r>
    </w:p>
    <w:p w14:paraId="6273B003">
      <w:pPr>
        <w:pStyle w:val="51"/>
        <w:rPr>
          <w:rFonts w:hint="eastAsia" w:asciiTheme="minorEastAsia" w:hAnsiTheme="minorEastAsia" w:eastAsiaTheme="minorEastAsia" w:cstheme="minorEastAsia"/>
          <w:sz w:val="28"/>
          <w:szCs w:val="28"/>
        </w:rPr>
      </w:pPr>
      <w:bookmarkStart w:id="111" w:name="_Ref467378840"/>
      <w:r>
        <w:rPr>
          <w:rFonts w:hint="eastAsia" w:asciiTheme="minorEastAsia" w:hAnsiTheme="minorEastAsia" w:eastAsiaTheme="minorEastAsia" w:cstheme="minorEastAsia"/>
          <w:sz w:val="28"/>
          <w:szCs w:val="28"/>
        </w:rPr>
        <w:t>2.1.4 “甲方”系指与中标供应商签署合同的采购人</w:t>
      </w:r>
      <w:bookmarkEnd w:id="111"/>
      <w:r>
        <w:rPr>
          <w:rFonts w:hint="eastAsia" w:asciiTheme="minorEastAsia" w:hAnsiTheme="minorEastAsia" w:eastAsiaTheme="minorEastAsia" w:cstheme="minorEastAsia"/>
          <w:sz w:val="28"/>
          <w:szCs w:val="28"/>
        </w:rPr>
        <w:t>；采购人委托采购代理机构代表其与乙方签订合同的，采购人的授权委托书作为合同附件。</w:t>
      </w:r>
    </w:p>
    <w:p w14:paraId="52D25FF5">
      <w:pPr>
        <w:pStyle w:val="51"/>
        <w:rPr>
          <w:rFonts w:hint="eastAsia" w:asciiTheme="minorEastAsia" w:hAnsiTheme="minorEastAsia" w:eastAsiaTheme="minorEastAsia" w:cstheme="minorEastAsia"/>
          <w:sz w:val="28"/>
          <w:szCs w:val="28"/>
        </w:rPr>
      </w:pPr>
      <w:bookmarkStart w:id="112" w:name="_Ref467379400"/>
      <w:r>
        <w:rPr>
          <w:rFonts w:hint="eastAsia" w:asciiTheme="minorEastAsia" w:hAnsiTheme="minorEastAsia" w:eastAsiaTheme="minorEastAsia" w:cstheme="minorEastAsia"/>
          <w:sz w:val="28"/>
          <w:szCs w:val="28"/>
        </w:rPr>
        <w:t>2.1.5 “乙方”系指根据合同约定交付货物的中标供应商</w:t>
      </w:r>
      <w:bookmarkEnd w:id="112"/>
      <w:r>
        <w:rPr>
          <w:rFonts w:hint="eastAsia" w:asciiTheme="minorEastAsia" w:hAnsiTheme="minorEastAsia" w:eastAsiaTheme="minorEastAsia" w:cstheme="minorEastAsia"/>
          <w:sz w:val="28"/>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3E9218">
      <w:pPr>
        <w:pStyle w:val="51"/>
        <w:rPr>
          <w:rFonts w:hint="eastAsia" w:asciiTheme="minorEastAsia" w:hAnsiTheme="minorEastAsia" w:eastAsiaTheme="minorEastAsia" w:cstheme="minorEastAsia"/>
          <w:sz w:val="28"/>
          <w:szCs w:val="28"/>
        </w:rPr>
      </w:pPr>
      <w:bookmarkStart w:id="113" w:name="_Ref467379436"/>
      <w:r>
        <w:rPr>
          <w:rFonts w:hint="eastAsia" w:asciiTheme="minorEastAsia" w:hAnsiTheme="minorEastAsia" w:eastAsiaTheme="minorEastAsia" w:cstheme="minorEastAsia"/>
          <w:sz w:val="28"/>
          <w:szCs w:val="28"/>
        </w:rPr>
        <w:t>2.1.6 “现场”系指合同约定货物将要运至或者安装的地点。</w:t>
      </w:r>
      <w:bookmarkEnd w:id="113"/>
    </w:p>
    <w:p w14:paraId="49A463A1">
      <w:pPr>
        <w:pStyle w:val="51"/>
        <w:rPr>
          <w:rFonts w:hint="eastAsia" w:asciiTheme="minorEastAsia" w:hAnsiTheme="minorEastAsia" w:eastAsiaTheme="minorEastAsia" w:cstheme="minorEastAsia"/>
          <w:sz w:val="28"/>
          <w:szCs w:val="28"/>
        </w:rPr>
      </w:pPr>
      <w:bookmarkStart w:id="114" w:name="_Toc259093670"/>
      <w:bookmarkStart w:id="115" w:name="_Toc32504"/>
      <w:bookmarkStart w:id="116" w:name="_Toc279701241"/>
      <w:bookmarkStart w:id="117" w:name="_Toc13336"/>
      <w:bookmarkStart w:id="118" w:name="_Toc27635"/>
      <w:bookmarkStart w:id="119" w:name="_Toc487900350"/>
      <w:r>
        <w:rPr>
          <w:rFonts w:hint="eastAsia" w:asciiTheme="minorEastAsia" w:hAnsiTheme="minorEastAsia" w:eastAsiaTheme="minorEastAsia" w:cstheme="minorEastAsia"/>
          <w:sz w:val="28"/>
          <w:szCs w:val="28"/>
        </w:rPr>
        <w:t>2.2 技术规范</w:t>
      </w:r>
      <w:bookmarkEnd w:id="114"/>
      <w:bookmarkEnd w:id="115"/>
      <w:bookmarkEnd w:id="116"/>
      <w:bookmarkEnd w:id="117"/>
      <w:bookmarkEnd w:id="118"/>
      <w:bookmarkEnd w:id="119"/>
    </w:p>
    <w:p w14:paraId="45031329">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FBB743">
      <w:pPr>
        <w:pStyle w:val="51"/>
        <w:rPr>
          <w:rFonts w:hint="eastAsia" w:asciiTheme="minorEastAsia" w:hAnsiTheme="minorEastAsia" w:eastAsiaTheme="minorEastAsia" w:cstheme="minorEastAsia"/>
          <w:sz w:val="28"/>
          <w:szCs w:val="28"/>
        </w:rPr>
      </w:pPr>
      <w:bookmarkStart w:id="120" w:name="_Toc279701242"/>
      <w:bookmarkStart w:id="121" w:name="_Toc487900351"/>
      <w:bookmarkStart w:id="122" w:name="_Toc31634"/>
      <w:bookmarkStart w:id="123" w:name="_Toc27853"/>
      <w:bookmarkStart w:id="124" w:name="_Toc259093671"/>
      <w:bookmarkStart w:id="125" w:name="_Toc9829"/>
      <w:r>
        <w:rPr>
          <w:rFonts w:hint="eastAsia" w:asciiTheme="minorEastAsia" w:hAnsiTheme="minorEastAsia" w:eastAsiaTheme="minorEastAsia" w:cstheme="minorEastAsia"/>
          <w:sz w:val="28"/>
          <w:szCs w:val="28"/>
        </w:rPr>
        <w:t>2.3 知识产权</w:t>
      </w:r>
      <w:bookmarkEnd w:id="120"/>
      <w:bookmarkEnd w:id="121"/>
      <w:bookmarkEnd w:id="122"/>
      <w:bookmarkEnd w:id="123"/>
      <w:bookmarkEnd w:id="124"/>
      <w:bookmarkEnd w:id="125"/>
    </w:p>
    <w:p w14:paraId="3487D91C">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4034192">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2.3.2具有知识产权的计算机软件等货物的知识产权归属，详见合同专用条款。</w:t>
      </w:r>
    </w:p>
    <w:p w14:paraId="542ADD42">
      <w:pPr>
        <w:pStyle w:val="51"/>
        <w:rPr>
          <w:rFonts w:hint="eastAsia" w:asciiTheme="minorEastAsia" w:hAnsiTheme="minorEastAsia" w:eastAsiaTheme="minorEastAsia" w:cstheme="minorEastAsia"/>
          <w:sz w:val="28"/>
          <w:szCs w:val="28"/>
        </w:rPr>
      </w:pPr>
      <w:bookmarkStart w:id="126" w:name="_Toc11932"/>
      <w:bookmarkStart w:id="127" w:name="_Toc29149"/>
      <w:bookmarkStart w:id="128" w:name="_Toc4194"/>
      <w:r>
        <w:rPr>
          <w:rFonts w:hint="eastAsia" w:asciiTheme="minorEastAsia" w:hAnsiTheme="minorEastAsia" w:eastAsiaTheme="minorEastAsia" w:cstheme="minorEastAsia"/>
          <w:sz w:val="28"/>
          <w:szCs w:val="28"/>
        </w:rPr>
        <w:t>2.4 包装和装运</w:t>
      </w:r>
      <w:bookmarkEnd w:id="126"/>
      <w:bookmarkEnd w:id="127"/>
      <w:bookmarkEnd w:id="128"/>
    </w:p>
    <w:p w14:paraId="3841A7A9">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51E9D36">
      <w:pPr>
        <w:pStyle w:val="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2.4.2 装运货物的要求和通知，详见合同专用条款。</w:t>
      </w:r>
    </w:p>
    <w:p w14:paraId="4A9724EE">
      <w:pPr>
        <w:pStyle w:val="51"/>
        <w:rPr>
          <w:rFonts w:hint="eastAsia" w:asciiTheme="minorEastAsia" w:hAnsiTheme="minorEastAsia" w:eastAsiaTheme="minorEastAsia" w:cstheme="minorEastAsia"/>
          <w:sz w:val="28"/>
          <w:szCs w:val="28"/>
        </w:rPr>
      </w:pPr>
      <w:bookmarkStart w:id="129" w:name="_Ref467379536"/>
      <w:bookmarkStart w:id="130" w:name="_Ref467379527"/>
      <w:bookmarkStart w:id="131" w:name="_Toc279701245"/>
      <w:bookmarkStart w:id="132" w:name="_Toc259093674"/>
      <w:bookmarkStart w:id="133" w:name="_Ref467378591"/>
      <w:bookmarkStart w:id="134" w:name="_Ref467378541"/>
      <w:bookmarkStart w:id="135" w:name="_Ref467379542"/>
      <w:bookmarkStart w:id="136" w:name="_Toc487900354"/>
      <w:bookmarkStart w:id="137" w:name="_Toc19074"/>
      <w:bookmarkStart w:id="138" w:name="_Toc30272"/>
      <w:bookmarkStart w:id="139" w:name="_Toc26182"/>
      <w:r>
        <w:rPr>
          <w:rFonts w:hint="eastAsia" w:asciiTheme="minorEastAsia" w:hAnsiTheme="minorEastAsia" w:eastAsiaTheme="minorEastAsia" w:cstheme="minorEastAsia"/>
          <w:sz w:val="28"/>
          <w:szCs w:val="28"/>
        </w:rPr>
        <w:t>2.</w:t>
      </w:r>
      <w:bookmarkEnd w:id="129"/>
      <w:bookmarkEnd w:id="130"/>
      <w:bookmarkEnd w:id="131"/>
      <w:bookmarkEnd w:id="132"/>
      <w:bookmarkEnd w:id="133"/>
      <w:bookmarkEnd w:id="134"/>
      <w:bookmarkEnd w:id="135"/>
      <w:bookmarkEnd w:id="136"/>
      <w:r>
        <w:rPr>
          <w:rFonts w:hint="eastAsia" w:asciiTheme="minorEastAsia" w:hAnsiTheme="minorEastAsia" w:eastAsiaTheme="minorEastAsia" w:cstheme="minorEastAsia"/>
          <w:sz w:val="28"/>
          <w:szCs w:val="28"/>
        </w:rPr>
        <w:t>5 履约检查和问题反馈</w:t>
      </w:r>
      <w:bookmarkEnd w:id="137"/>
      <w:bookmarkEnd w:id="138"/>
      <w:bookmarkEnd w:id="139"/>
    </w:p>
    <w:p w14:paraId="0C0EAF53">
      <w:pPr>
        <w:pStyle w:val="51"/>
        <w:rPr>
          <w:rFonts w:hint="eastAsia" w:asciiTheme="minorEastAsia" w:hAnsiTheme="minorEastAsia" w:eastAsiaTheme="minorEastAsia" w:cstheme="minorEastAsia"/>
          <w:sz w:val="28"/>
          <w:szCs w:val="28"/>
        </w:rPr>
      </w:pPr>
      <w:bookmarkStart w:id="140" w:name="_Ref467379657"/>
      <w:r>
        <w:rPr>
          <w:rFonts w:hint="eastAsia" w:asciiTheme="minorEastAsia" w:hAnsiTheme="minorEastAsia" w:eastAsiaTheme="minorEastAsia" w:cstheme="minorEastAsia"/>
          <w:sz w:val="28"/>
          <w:szCs w:val="28"/>
        </w:rPr>
        <w:t>2.5.1</w:t>
      </w:r>
      <w:bookmarkEnd w:id="140"/>
      <w:bookmarkStart w:id="141" w:name="_Toc186431854"/>
      <w:bookmarkStart w:id="142" w:name="_Toc487900357"/>
      <w:bookmarkStart w:id="143" w:name="_Ref467379807"/>
      <w:bookmarkStart w:id="144" w:name="_Toc279701247"/>
      <w:bookmarkStart w:id="145" w:name="_Ref467379793"/>
      <w:bookmarkStart w:id="146" w:name="_Toc259093676"/>
      <w:r>
        <w:rPr>
          <w:rFonts w:hint="eastAsia" w:asciiTheme="minorEastAsia" w:hAnsiTheme="minorEastAsia" w:eastAsiaTheme="minorEastAsia" w:cstheme="minorEastAsia"/>
          <w:sz w:val="28"/>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14:paraId="4A364D6D">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2.5.2 合同履行期间，甲方有权将履行过程中出现的问题反馈给乙方，双方当事人应以书面形式约定需要完善和改进的内容</w:t>
      </w:r>
      <w:bookmarkEnd w:id="141"/>
      <w:bookmarkStart w:id="147" w:name="_Toc186431855"/>
      <w:r>
        <w:rPr>
          <w:rFonts w:hint="eastAsia" w:asciiTheme="minorEastAsia" w:hAnsiTheme="minorEastAsia" w:eastAsiaTheme="minorEastAsia" w:cstheme="minorEastAsia"/>
          <w:sz w:val="28"/>
          <w:szCs w:val="28"/>
        </w:rPr>
        <w:t>。</w:t>
      </w:r>
    </w:p>
    <w:bookmarkEnd w:id="147"/>
    <w:p w14:paraId="69BAE4C8">
      <w:pPr>
        <w:pStyle w:val="51"/>
        <w:rPr>
          <w:rFonts w:hint="eastAsia" w:asciiTheme="minorEastAsia" w:hAnsiTheme="minorEastAsia" w:eastAsiaTheme="minorEastAsia" w:cstheme="minorEastAsia"/>
          <w:sz w:val="28"/>
          <w:szCs w:val="28"/>
        </w:rPr>
      </w:pPr>
      <w:bookmarkStart w:id="148" w:name="_Toc28451"/>
      <w:bookmarkStart w:id="149" w:name="_Toc7836"/>
      <w:bookmarkStart w:id="150" w:name="_Toc19219"/>
      <w:r>
        <w:rPr>
          <w:rFonts w:hint="eastAsia" w:asciiTheme="minorEastAsia" w:hAnsiTheme="minorEastAsia" w:eastAsiaTheme="minorEastAsia" w:cstheme="minorEastAsia"/>
          <w:sz w:val="28"/>
          <w:szCs w:val="28"/>
        </w:rPr>
        <w:t>2.6 结算方式和付款条件</w:t>
      </w:r>
      <w:bookmarkEnd w:id="142"/>
      <w:bookmarkEnd w:id="143"/>
      <w:bookmarkEnd w:id="144"/>
      <w:bookmarkEnd w:id="145"/>
      <w:bookmarkEnd w:id="146"/>
      <w:bookmarkEnd w:id="148"/>
      <w:bookmarkEnd w:id="149"/>
      <w:bookmarkEnd w:id="150"/>
    </w:p>
    <w:p w14:paraId="3E22BDBD">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详见合同专用条款。</w:t>
      </w:r>
    </w:p>
    <w:p w14:paraId="30B036CB">
      <w:pPr>
        <w:pStyle w:val="51"/>
        <w:rPr>
          <w:rFonts w:hint="eastAsia" w:asciiTheme="minorEastAsia" w:hAnsiTheme="minorEastAsia" w:eastAsiaTheme="minorEastAsia" w:cstheme="minorEastAsia"/>
          <w:sz w:val="28"/>
          <w:szCs w:val="28"/>
        </w:rPr>
      </w:pPr>
      <w:bookmarkStart w:id="151" w:name="_Ref467379923"/>
      <w:bookmarkStart w:id="152" w:name="_Toc259093677"/>
      <w:bookmarkStart w:id="153" w:name="_Ref467379863"/>
      <w:bookmarkStart w:id="154" w:name="_Ref467379852"/>
      <w:bookmarkStart w:id="155" w:name="_Toc279701248"/>
      <w:bookmarkStart w:id="156" w:name="_Toc487900358"/>
      <w:bookmarkStart w:id="157" w:name="_Toc16110"/>
      <w:bookmarkStart w:id="158" w:name="_Toc3225"/>
      <w:bookmarkStart w:id="159" w:name="_Toc774"/>
      <w:r>
        <w:rPr>
          <w:rFonts w:hint="eastAsia" w:asciiTheme="minorEastAsia" w:hAnsiTheme="minorEastAsia" w:eastAsiaTheme="minorEastAsia" w:cstheme="minorEastAsia"/>
          <w:sz w:val="28"/>
          <w:szCs w:val="28"/>
        </w:rPr>
        <w:t>2.7 技术资料</w:t>
      </w:r>
      <w:bookmarkEnd w:id="151"/>
      <w:bookmarkEnd w:id="152"/>
      <w:bookmarkEnd w:id="153"/>
      <w:bookmarkEnd w:id="154"/>
      <w:bookmarkEnd w:id="155"/>
      <w:bookmarkEnd w:id="156"/>
      <w:r>
        <w:rPr>
          <w:rFonts w:hint="eastAsia" w:asciiTheme="minorEastAsia" w:hAnsiTheme="minorEastAsia" w:eastAsiaTheme="minorEastAsia" w:cstheme="minorEastAsia"/>
          <w:sz w:val="28"/>
          <w:szCs w:val="28"/>
        </w:rPr>
        <w:t>和保密义务</w:t>
      </w:r>
      <w:bookmarkEnd w:id="157"/>
      <w:bookmarkEnd w:id="158"/>
      <w:bookmarkEnd w:id="159"/>
    </w:p>
    <w:p w14:paraId="4009E67C">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2.7.1 乙方有权依据合同约定和项目需要，向甲方了解有关情况，调阅有关资料等，甲方应予积极配合；</w:t>
      </w:r>
    </w:p>
    <w:p w14:paraId="016064C6">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2.7.2 乙方有义务妥善保管和保护由甲方提供的前款信息和资料等；</w:t>
      </w:r>
    </w:p>
    <w:p w14:paraId="63E0E36D">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F5CB4A">
      <w:pPr>
        <w:pStyle w:val="51"/>
        <w:rPr>
          <w:rFonts w:hint="eastAsia" w:asciiTheme="minorEastAsia" w:hAnsiTheme="minorEastAsia" w:eastAsiaTheme="minorEastAsia" w:cstheme="minorEastAsia"/>
          <w:sz w:val="28"/>
          <w:szCs w:val="28"/>
        </w:rPr>
      </w:pPr>
      <w:bookmarkStart w:id="160" w:name="_Toc7860"/>
      <w:r>
        <w:rPr>
          <w:rFonts w:hint="eastAsia" w:asciiTheme="minorEastAsia" w:hAnsiTheme="minorEastAsia" w:eastAsiaTheme="minorEastAsia" w:cstheme="minorEastAsia"/>
          <w:sz w:val="28"/>
          <w:szCs w:val="28"/>
        </w:rPr>
        <w:t>2.8 质量保证</w:t>
      </w:r>
      <w:bookmarkEnd w:id="160"/>
    </w:p>
    <w:p w14:paraId="07251041">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2.8.1 乙方应建立和完善履行合同的内部质量保证体系，并提供相关内部规章制度给甲方，以便甲方进行监督检查；</w:t>
      </w:r>
    </w:p>
    <w:p w14:paraId="2291E273">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2.8.2 乙方应保证履行合同的人员数量和素质、软件和硬件设备的配置、场地、环境和设施等满足全面履行合同的要求，并应接受甲方的监督检查。</w:t>
      </w:r>
    </w:p>
    <w:p w14:paraId="709BAE66">
      <w:pPr>
        <w:pStyle w:val="51"/>
        <w:rPr>
          <w:rFonts w:hint="eastAsia" w:asciiTheme="minorEastAsia" w:hAnsiTheme="minorEastAsia" w:eastAsiaTheme="minorEastAsia" w:cstheme="minorEastAsia"/>
          <w:sz w:val="28"/>
          <w:szCs w:val="28"/>
        </w:rPr>
      </w:pPr>
      <w:bookmarkStart w:id="161" w:name="_Toc17244"/>
      <w:bookmarkStart w:id="162" w:name="_Toc279701252"/>
      <w:bookmarkStart w:id="163" w:name="_Toc487900362"/>
      <w:bookmarkStart w:id="164" w:name="_Toc259093681"/>
      <w:r>
        <w:rPr>
          <w:rFonts w:hint="eastAsia" w:asciiTheme="minorEastAsia" w:hAnsiTheme="minorEastAsia" w:eastAsiaTheme="minorEastAsia" w:cstheme="minorEastAsia"/>
          <w:sz w:val="28"/>
          <w:szCs w:val="28"/>
        </w:rPr>
        <w:t>2.9 货物的风险负担</w:t>
      </w:r>
      <w:bookmarkEnd w:id="161"/>
    </w:p>
    <w:p w14:paraId="15505516">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货物或者在途货物或者交付给第一承运人后的货物毁损、灭失的风险负担详见合同专用条款。</w:t>
      </w:r>
    </w:p>
    <w:p w14:paraId="0EFE798C">
      <w:pPr>
        <w:pStyle w:val="51"/>
        <w:rPr>
          <w:rFonts w:hint="eastAsia" w:asciiTheme="minorEastAsia" w:hAnsiTheme="minorEastAsia" w:eastAsiaTheme="minorEastAsia" w:cstheme="minorEastAsia"/>
          <w:sz w:val="28"/>
          <w:szCs w:val="28"/>
        </w:rPr>
      </w:pPr>
      <w:bookmarkStart w:id="165" w:name="_Toc14055"/>
      <w:r>
        <w:rPr>
          <w:rFonts w:hint="eastAsia" w:asciiTheme="minorEastAsia" w:hAnsiTheme="minorEastAsia" w:eastAsiaTheme="minorEastAsia" w:cstheme="minorEastAsia"/>
          <w:sz w:val="28"/>
          <w:szCs w:val="28"/>
        </w:rPr>
        <w:t>2.10 延迟交货</w:t>
      </w:r>
      <w:bookmarkEnd w:id="162"/>
      <w:bookmarkEnd w:id="163"/>
      <w:bookmarkEnd w:id="164"/>
      <w:bookmarkEnd w:id="165"/>
    </w:p>
    <w:p w14:paraId="17C32714">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957377D">
      <w:pPr>
        <w:pStyle w:val="51"/>
        <w:rPr>
          <w:rFonts w:hint="eastAsia" w:asciiTheme="minorEastAsia" w:hAnsiTheme="minorEastAsia" w:eastAsiaTheme="minorEastAsia" w:cstheme="minorEastAsia"/>
          <w:sz w:val="28"/>
          <w:szCs w:val="28"/>
        </w:rPr>
      </w:pPr>
      <w:bookmarkStart w:id="166" w:name="_Toc7502"/>
      <w:bookmarkStart w:id="167" w:name="_Toc279701254"/>
      <w:bookmarkStart w:id="168" w:name="_Toc259093683"/>
      <w:bookmarkStart w:id="169" w:name="_Toc487900364"/>
      <w:bookmarkStart w:id="170" w:name="_Ref467378121"/>
      <w:r>
        <w:rPr>
          <w:rFonts w:hint="eastAsia" w:asciiTheme="minorEastAsia" w:hAnsiTheme="minorEastAsia" w:eastAsiaTheme="minorEastAsia" w:cstheme="minorEastAsia"/>
          <w:sz w:val="28"/>
          <w:szCs w:val="28"/>
        </w:rPr>
        <w:t>2.11 合同变更</w:t>
      </w:r>
      <w:bookmarkEnd w:id="166"/>
    </w:p>
    <w:p w14:paraId="66059141">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2.11.1双方当事人协商一致，可以签订书面补充合同的形式变更合同，但不得违背采购文件确定的事项，且如果系追加与合同标的相同的货物的，那么所有补充合同的采购金额不得超过原合同价的10%；</w:t>
      </w:r>
    </w:p>
    <w:p w14:paraId="5D059053">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2.11.2 合同继续履行将损害国家利益和社会公共利益的，双方当事人应当以书面形式变更合同。有过错的一方应当承担赔偿责任，双方当事人都有过错的，各自承担相应的责任。</w:t>
      </w:r>
      <w:bookmarkStart w:id="171" w:name="_Toc279701259"/>
      <w:bookmarkStart w:id="172" w:name="_Toc487900369"/>
      <w:bookmarkStart w:id="173" w:name="_Toc259093688"/>
    </w:p>
    <w:p w14:paraId="7AFB13DA">
      <w:pPr>
        <w:pStyle w:val="51"/>
        <w:rPr>
          <w:rFonts w:hint="eastAsia" w:asciiTheme="minorEastAsia" w:hAnsiTheme="minorEastAsia" w:eastAsiaTheme="minorEastAsia" w:cstheme="minorEastAsia"/>
          <w:sz w:val="28"/>
          <w:szCs w:val="28"/>
        </w:rPr>
      </w:pPr>
      <w:bookmarkStart w:id="174" w:name="_Toc15237"/>
      <w:bookmarkStart w:id="175" w:name="_Toc22955"/>
      <w:bookmarkStart w:id="176" w:name="_Toc10366"/>
      <w:r>
        <w:rPr>
          <w:rFonts w:hint="eastAsia" w:asciiTheme="minorEastAsia" w:hAnsiTheme="minorEastAsia" w:eastAsiaTheme="minorEastAsia" w:cstheme="minorEastAsia"/>
          <w:sz w:val="28"/>
          <w:szCs w:val="28"/>
        </w:rPr>
        <w:t>2.12 合同转让</w:t>
      </w:r>
      <w:bookmarkEnd w:id="171"/>
      <w:bookmarkEnd w:id="172"/>
      <w:bookmarkEnd w:id="173"/>
      <w:r>
        <w:rPr>
          <w:rFonts w:hint="eastAsia" w:asciiTheme="minorEastAsia" w:hAnsiTheme="minorEastAsia" w:eastAsiaTheme="minorEastAsia" w:cstheme="minorEastAsia"/>
          <w:sz w:val="28"/>
          <w:szCs w:val="28"/>
        </w:rPr>
        <w:t>和分包</w:t>
      </w:r>
      <w:bookmarkEnd w:id="174"/>
      <w:bookmarkEnd w:id="175"/>
      <w:bookmarkEnd w:id="176"/>
    </w:p>
    <w:p w14:paraId="3F99D606">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1D4840">
      <w:pPr>
        <w:pStyle w:val="51"/>
        <w:rPr>
          <w:rFonts w:hint="eastAsia" w:asciiTheme="minorEastAsia" w:hAnsiTheme="minorEastAsia" w:eastAsiaTheme="minorEastAsia" w:cstheme="minorEastAsia"/>
          <w:sz w:val="28"/>
          <w:szCs w:val="28"/>
        </w:rPr>
      </w:pPr>
      <w:bookmarkStart w:id="177" w:name="_Toc14066"/>
      <w:bookmarkStart w:id="178" w:name="_Toc13566"/>
      <w:bookmarkStart w:id="179" w:name="_Toc16508"/>
      <w:r>
        <w:rPr>
          <w:rFonts w:hint="eastAsia" w:asciiTheme="minorEastAsia" w:hAnsiTheme="minorEastAsia" w:eastAsiaTheme="minorEastAsia" w:cstheme="minorEastAsia"/>
          <w:sz w:val="28"/>
          <w:szCs w:val="28"/>
        </w:rPr>
        <w:t>2.13 不可抗力</w:t>
      </w:r>
      <w:bookmarkEnd w:id="177"/>
      <w:bookmarkEnd w:id="178"/>
      <w:bookmarkEnd w:id="179"/>
    </w:p>
    <w:p w14:paraId="0D1FC444">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2.13.1如果任何一方遭遇法律规定的不可抗力，致使合同履行受阻时，履行合同的期限应予延长，延长的期限应相当于不可抗力所影响的时间；</w:t>
      </w:r>
    </w:p>
    <w:p w14:paraId="32F484B2">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2.13.2 因不可抗力致使不能实现合同目的的，当事人可以解除合同；</w:t>
      </w:r>
    </w:p>
    <w:p w14:paraId="3742D5C8">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2.13.3 因不可抗力致使合同有变更必要的，双方当事人应在合同专用条款约定时间内以书面形式变更合同；</w:t>
      </w:r>
    </w:p>
    <w:p w14:paraId="12FC714B">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2.13.4受不可抗力影响的一方在不可抗力发生后，应在合同专用条款约定时间内以书面形式通知对方当事人，并在合同专用条款约定时间内，将有关部门出具的证明文件送达对方当事人。</w:t>
      </w:r>
    </w:p>
    <w:p w14:paraId="6F74D8BA">
      <w:pPr>
        <w:pStyle w:val="51"/>
        <w:rPr>
          <w:rFonts w:hint="eastAsia" w:asciiTheme="minorEastAsia" w:hAnsiTheme="minorEastAsia" w:eastAsiaTheme="minorEastAsia" w:cstheme="minorEastAsia"/>
          <w:sz w:val="28"/>
          <w:szCs w:val="28"/>
        </w:rPr>
      </w:pPr>
      <w:bookmarkStart w:id="180" w:name="_Toc487900365"/>
      <w:bookmarkStart w:id="181" w:name="_Toc6969"/>
      <w:bookmarkStart w:id="182" w:name="_Toc259093684"/>
      <w:bookmarkStart w:id="183" w:name="_Toc689"/>
      <w:bookmarkStart w:id="184" w:name="_Toc279701255"/>
      <w:bookmarkStart w:id="185" w:name="_Toc30676"/>
      <w:r>
        <w:rPr>
          <w:rFonts w:hint="eastAsia" w:asciiTheme="minorEastAsia" w:hAnsiTheme="minorEastAsia" w:eastAsiaTheme="minorEastAsia" w:cstheme="minorEastAsia"/>
          <w:sz w:val="28"/>
          <w:szCs w:val="28"/>
        </w:rPr>
        <w:t>2.14 税费</w:t>
      </w:r>
      <w:bookmarkEnd w:id="180"/>
      <w:bookmarkEnd w:id="181"/>
      <w:bookmarkEnd w:id="182"/>
      <w:bookmarkEnd w:id="183"/>
      <w:bookmarkEnd w:id="184"/>
      <w:bookmarkEnd w:id="185"/>
    </w:p>
    <w:p w14:paraId="1E0FEF5E">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与合同有关的一切税费，均按照中华人民共和国法律的相关规定。</w:t>
      </w:r>
    </w:p>
    <w:p w14:paraId="4E7186DE">
      <w:pPr>
        <w:pStyle w:val="51"/>
        <w:rPr>
          <w:rFonts w:hint="eastAsia" w:asciiTheme="minorEastAsia" w:hAnsiTheme="minorEastAsia" w:eastAsiaTheme="minorEastAsia" w:cstheme="minorEastAsia"/>
          <w:sz w:val="28"/>
          <w:szCs w:val="28"/>
        </w:rPr>
      </w:pPr>
      <w:bookmarkStart w:id="186" w:name="_Toc7102"/>
      <w:bookmarkStart w:id="187" w:name="_Toc8298"/>
      <w:bookmarkStart w:id="188" w:name="_Toc16959"/>
      <w:bookmarkStart w:id="189" w:name="_Toc259093687"/>
      <w:bookmarkStart w:id="190" w:name="_Toc279701258"/>
      <w:bookmarkStart w:id="191" w:name="_Toc487900368"/>
      <w:r>
        <w:rPr>
          <w:rFonts w:hint="eastAsia" w:asciiTheme="minorEastAsia" w:hAnsiTheme="minorEastAsia" w:eastAsiaTheme="minorEastAsia" w:cstheme="minorEastAsia"/>
          <w:sz w:val="28"/>
          <w:szCs w:val="28"/>
        </w:rPr>
        <w:t>2.15 乙方破产</w:t>
      </w:r>
      <w:bookmarkEnd w:id="186"/>
      <w:bookmarkEnd w:id="187"/>
      <w:bookmarkEnd w:id="188"/>
      <w:bookmarkEnd w:id="189"/>
      <w:bookmarkEnd w:id="190"/>
      <w:bookmarkEnd w:id="191"/>
    </w:p>
    <w:p w14:paraId="35E0E5A1">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FDE9CC">
      <w:pPr>
        <w:pStyle w:val="51"/>
        <w:rPr>
          <w:rFonts w:hint="eastAsia" w:asciiTheme="minorEastAsia" w:hAnsiTheme="minorEastAsia" w:eastAsiaTheme="minorEastAsia" w:cstheme="minorEastAsia"/>
          <w:sz w:val="28"/>
          <w:szCs w:val="28"/>
        </w:rPr>
      </w:pPr>
      <w:bookmarkStart w:id="192" w:name="_Toc6134"/>
      <w:bookmarkStart w:id="193" w:name="_Toc15387"/>
      <w:bookmarkStart w:id="194" w:name="_Toc29333"/>
      <w:r>
        <w:rPr>
          <w:rFonts w:hint="eastAsia" w:asciiTheme="minorEastAsia" w:hAnsiTheme="minorEastAsia" w:eastAsiaTheme="minorEastAsia" w:cstheme="minorEastAsia"/>
          <w:sz w:val="28"/>
          <w:szCs w:val="28"/>
        </w:rPr>
        <w:t>2.16 合同中止、终止</w:t>
      </w:r>
      <w:bookmarkEnd w:id="192"/>
      <w:bookmarkEnd w:id="193"/>
      <w:bookmarkEnd w:id="194"/>
    </w:p>
    <w:p w14:paraId="4128043A">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2.16.1 双方当事人不得擅自中止或者终止合同；</w:t>
      </w:r>
    </w:p>
    <w:p w14:paraId="01C4B282">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2.16.2合同继续履行将损害国家利益和社会公共利益的，双方当事人应当中止或者终止合同。有过错的一方应当承担赔偿责任，双方当事人都有过错的，各自承担相应的责任。</w:t>
      </w:r>
    </w:p>
    <w:p w14:paraId="2E798E07">
      <w:pPr>
        <w:pStyle w:val="51"/>
        <w:rPr>
          <w:rFonts w:hint="eastAsia" w:asciiTheme="minorEastAsia" w:hAnsiTheme="minorEastAsia" w:eastAsiaTheme="minorEastAsia" w:cstheme="minorEastAsia"/>
          <w:sz w:val="28"/>
          <w:szCs w:val="28"/>
        </w:rPr>
      </w:pPr>
      <w:bookmarkStart w:id="195" w:name="_Toc14563"/>
      <w:bookmarkStart w:id="196" w:name="_Toc6596"/>
      <w:bookmarkStart w:id="197" w:name="_Toc1125"/>
      <w:r>
        <w:rPr>
          <w:rFonts w:hint="eastAsia" w:asciiTheme="minorEastAsia" w:hAnsiTheme="minorEastAsia" w:eastAsiaTheme="minorEastAsia" w:cstheme="minorEastAsia"/>
          <w:sz w:val="28"/>
          <w:szCs w:val="28"/>
        </w:rPr>
        <w:t>2.17 检验和验收</w:t>
      </w:r>
      <w:bookmarkEnd w:id="195"/>
      <w:bookmarkEnd w:id="196"/>
      <w:bookmarkEnd w:id="197"/>
    </w:p>
    <w:p w14:paraId="1844CAEE">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72B9EC3A">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E401C0">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2.17.3 检验和验收标准、程序等具体内容以及前述验收书的效力详见合同专用条款。</w:t>
      </w:r>
    </w:p>
    <w:bookmarkEnd w:id="167"/>
    <w:bookmarkEnd w:id="168"/>
    <w:bookmarkEnd w:id="169"/>
    <w:bookmarkEnd w:id="170"/>
    <w:p w14:paraId="7A6B6DBE">
      <w:pPr>
        <w:pStyle w:val="51"/>
        <w:rPr>
          <w:rFonts w:hint="eastAsia" w:asciiTheme="minorEastAsia" w:hAnsiTheme="minorEastAsia" w:eastAsiaTheme="minorEastAsia" w:cstheme="minorEastAsia"/>
          <w:sz w:val="28"/>
          <w:szCs w:val="28"/>
        </w:rPr>
      </w:pPr>
      <w:bookmarkStart w:id="198" w:name="_Toc279701261"/>
      <w:bookmarkStart w:id="199" w:name="_Toc487900371"/>
      <w:bookmarkStart w:id="200" w:name="_Toc259093690"/>
      <w:bookmarkStart w:id="201" w:name="_Toc11284"/>
      <w:bookmarkStart w:id="202" w:name="_Toc19604"/>
      <w:bookmarkStart w:id="203" w:name="_Toc25182"/>
      <w:r>
        <w:rPr>
          <w:rFonts w:hint="eastAsia" w:asciiTheme="minorEastAsia" w:hAnsiTheme="minorEastAsia" w:eastAsiaTheme="minorEastAsia" w:cstheme="minorEastAsia"/>
          <w:sz w:val="28"/>
          <w:szCs w:val="28"/>
        </w:rPr>
        <w:t>2.18 通知</w:t>
      </w:r>
      <w:bookmarkEnd w:id="198"/>
      <w:bookmarkEnd w:id="199"/>
      <w:bookmarkEnd w:id="200"/>
      <w:r>
        <w:rPr>
          <w:rFonts w:hint="eastAsia" w:asciiTheme="minorEastAsia" w:hAnsiTheme="minorEastAsia" w:eastAsiaTheme="minorEastAsia" w:cstheme="minorEastAsia"/>
          <w:sz w:val="28"/>
          <w:szCs w:val="28"/>
        </w:rPr>
        <w:t>和送达</w:t>
      </w:r>
      <w:bookmarkEnd w:id="201"/>
      <w:bookmarkEnd w:id="202"/>
      <w:bookmarkEnd w:id="203"/>
    </w:p>
    <w:p w14:paraId="33EA3EE8">
      <w:pPr>
        <w:pStyle w:val="51"/>
        <w:rPr>
          <w:rFonts w:hint="eastAsia" w:asciiTheme="minorEastAsia" w:hAnsiTheme="minorEastAsia" w:eastAsiaTheme="minorEastAsia" w:cstheme="minorEastAsia"/>
          <w:sz w:val="28"/>
          <w:szCs w:val="28"/>
        </w:rPr>
      </w:pPr>
      <w:bookmarkStart w:id="204" w:name="_Toc3135"/>
      <w:bookmarkStart w:id="205" w:name="_Toc6698"/>
      <w:bookmarkStart w:id="206" w:name="_Toc279701262"/>
      <w:bookmarkStart w:id="207" w:name="_Toc259093691"/>
      <w:bookmarkStart w:id="208" w:name="_Toc487900372"/>
      <w:r>
        <w:rPr>
          <w:rFonts w:hint="eastAsia" w:asciiTheme="minorEastAsia" w:hAnsiTheme="minorEastAsia" w:eastAsiaTheme="minorEastAsia" w:cstheme="minorEastAsia"/>
          <w:sz w:val="28"/>
          <w:szCs w:val="28"/>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204"/>
      <w:bookmarkEnd w:id="205"/>
    </w:p>
    <w:p w14:paraId="2FA7512C">
      <w:pPr>
        <w:pStyle w:val="51"/>
        <w:rPr>
          <w:rFonts w:hint="eastAsia" w:asciiTheme="minorEastAsia" w:hAnsiTheme="minorEastAsia" w:eastAsiaTheme="minorEastAsia" w:cstheme="minorEastAsia"/>
          <w:sz w:val="28"/>
          <w:szCs w:val="28"/>
        </w:rPr>
      </w:pPr>
      <w:bookmarkStart w:id="209" w:name="_Toc23294"/>
      <w:bookmarkStart w:id="210" w:name="_Toc23128"/>
      <w:r>
        <w:rPr>
          <w:rFonts w:hint="eastAsia" w:asciiTheme="minorEastAsia" w:hAnsiTheme="minorEastAsia" w:eastAsiaTheme="minorEastAsia" w:cstheme="minorEastAsia"/>
          <w:sz w:val="28"/>
          <w:szCs w:val="28"/>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9"/>
      <w:bookmarkEnd w:id="210"/>
    </w:p>
    <w:p w14:paraId="276B1254">
      <w:pPr>
        <w:pStyle w:val="51"/>
        <w:rPr>
          <w:rFonts w:hint="eastAsia" w:asciiTheme="minorEastAsia" w:hAnsiTheme="minorEastAsia" w:eastAsiaTheme="minorEastAsia" w:cstheme="minorEastAsia"/>
          <w:sz w:val="28"/>
          <w:szCs w:val="28"/>
        </w:rPr>
      </w:pPr>
      <w:bookmarkStart w:id="211" w:name="_Toc30599"/>
      <w:bookmarkStart w:id="212" w:name="_Toc4355"/>
      <w:bookmarkStart w:id="213" w:name="_Toc18540"/>
      <w:r>
        <w:rPr>
          <w:rFonts w:hint="eastAsia" w:asciiTheme="minorEastAsia" w:hAnsiTheme="minorEastAsia" w:eastAsiaTheme="minorEastAsia" w:cstheme="minorEastAsia"/>
          <w:sz w:val="28"/>
          <w:szCs w:val="28"/>
        </w:rPr>
        <w:t>2.19 计量单位</w:t>
      </w:r>
      <w:bookmarkEnd w:id="206"/>
      <w:bookmarkEnd w:id="207"/>
      <w:bookmarkEnd w:id="208"/>
      <w:bookmarkEnd w:id="211"/>
      <w:bookmarkEnd w:id="212"/>
      <w:bookmarkEnd w:id="213"/>
    </w:p>
    <w:p w14:paraId="40F340A7">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除技术规范中另有规定外,合同的计量单位均使用国家法定计量单位。</w:t>
      </w:r>
    </w:p>
    <w:p w14:paraId="5EF01A63">
      <w:pPr>
        <w:pStyle w:val="51"/>
        <w:rPr>
          <w:rFonts w:hint="eastAsia" w:asciiTheme="minorEastAsia" w:hAnsiTheme="minorEastAsia" w:eastAsiaTheme="minorEastAsia" w:cstheme="minorEastAsia"/>
          <w:sz w:val="28"/>
          <w:szCs w:val="28"/>
        </w:rPr>
      </w:pPr>
      <w:bookmarkStart w:id="214" w:name="_Toc259093692"/>
      <w:bookmarkStart w:id="215" w:name="_Toc10330"/>
      <w:bookmarkStart w:id="216" w:name="_Toc12773"/>
      <w:bookmarkStart w:id="217" w:name="_Toc18567"/>
      <w:bookmarkStart w:id="218" w:name="_Toc279701263"/>
      <w:bookmarkStart w:id="219" w:name="_Toc487900373"/>
      <w:r>
        <w:rPr>
          <w:rFonts w:hint="eastAsia" w:asciiTheme="minorEastAsia" w:hAnsiTheme="minorEastAsia" w:eastAsiaTheme="minorEastAsia" w:cstheme="minorEastAsia"/>
          <w:sz w:val="28"/>
          <w:szCs w:val="28"/>
        </w:rPr>
        <w:t>2.20 合同使用的文字和适用的法律</w:t>
      </w:r>
      <w:bookmarkEnd w:id="214"/>
      <w:bookmarkEnd w:id="215"/>
      <w:bookmarkEnd w:id="216"/>
      <w:bookmarkEnd w:id="217"/>
      <w:bookmarkEnd w:id="218"/>
      <w:bookmarkEnd w:id="219"/>
    </w:p>
    <w:p w14:paraId="47341557">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2.20.1 合同使用汉语书就、变更和解释；</w:t>
      </w:r>
    </w:p>
    <w:p w14:paraId="47A4B57D">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2.20.2 合同适用中华人民共和国法律。</w:t>
      </w:r>
    </w:p>
    <w:p w14:paraId="3116F49E">
      <w:pPr>
        <w:pStyle w:val="51"/>
        <w:rPr>
          <w:rFonts w:hint="eastAsia" w:asciiTheme="minorEastAsia" w:hAnsiTheme="minorEastAsia" w:eastAsiaTheme="minorEastAsia" w:cstheme="minorEastAsia"/>
          <w:sz w:val="28"/>
          <w:szCs w:val="28"/>
        </w:rPr>
      </w:pPr>
      <w:bookmarkStart w:id="220" w:name="_Toc259093693"/>
      <w:bookmarkStart w:id="221" w:name="_Toc3148"/>
      <w:bookmarkStart w:id="222" w:name="_Toc12004"/>
      <w:bookmarkStart w:id="223" w:name="_Toc16673"/>
      <w:bookmarkStart w:id="224" w:name="_Toc279701264"/>
      <w:bookmarkStart w:id="225" w:name="_Toc487900374"/>
      <w:r>
        <w:rPr>
          <w:rFonts w:hint="eastAsia" w:asciiTheme="minorEastAsia" w:hAnsiTheme="minorEastAsia" w:eastAsiaTheme="minorEastAsia" w:cstheme="minorEastAsia"/>
          <w:sz w:val="28"/>
          <w:szCs w:val="28"/>
        </w:rPr>
        <w:t>2.21 履约保证金</w:t>
      </w:r>
      <w:bookmarkEnd w:id="220"/>
      <w:bookmarkEnd w:id="221"/>
      <w:bookmarkEnd w:id="222"/>
      <w:bookmarkEnd w:id="223"/>
      <w:bookmarkEnd w:id="224"/>
    </w:p>
    <w:p w14:paraId="59E089B2">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2.21.1 采购文件要求乙方提交履约保证金的，乙方应按合同专用条款约定的方式，以支票、汇票、本票或者金融机构、担保机构出具的保函等非现金形式，提交不超过合同价10%的履约保证金；</w:t>
      </w:r>
    </w:p>
    <w:p w14:paraId="6E33A514">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2.21.2  履约保证金在合同专用条款约定期间内或者货物质量保证期内不予退还或者应完全有效，前述约定期间届满或者货物质量保证期届满之日起 2 个工作日内，甲方应将履约保证金退还乙方；</w:t>
      </w:r>
    </w:p>
    <w:p w14:paraId="29FCB415">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5"/>
    <w:p w14:paraId="6FE12BA2">
      <w:pPr>
        <w:pStyle w:val="51"/>
        <w:rPr>
          <w:rFonts w:hint="eastAsia" w:asciiTheme="minorEastAsia" w:hAnsiTheme="minorEastAsia" w:eastAsiaTheme="minorEastAsia" w:cstheme="minorEastAsia"/>
          <w:sz w:val="28"/>
          <w:szCs w:val="28"/>
        </w:rPr>
      </w:pPr>
      <w:bookmarkStart w:id="226" w:name="_Toc6885"/>
      <w:bookmarkStart w:id="227" w:name="_Toc19890"/>
      <w:bookmarkStart w:id="228" w:name="_Toc14001"/>
      <w:r>
        <w:rPr>
          <w:rFonts w:hint="eastAsia" w:asciiTheme="minorEastAsia" w:hAnsiTheme="minorEastAsia" w:eastAsiaTheme="minorEastAsia" w:cstheme="minorEastAsia"/>
          <w:sz w:val="28"/>
          <w:szCs w:val="28"/>
        </w:rPr>
        <w:t>2.22 合同份数</w:t>
      </w:r>
      <w:bookmarkEnd w:id="226"/>
      <w:bookmarkEnd w:id="227"/>
      <w:bookmarkEnd w:id="228"/>
    </w:p>
    <w:p w14:paraId="60B12879">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合同份数按合同专用条款规定，每份均具有同等法律效力。</w:t>
      </w:r>
    </w:p>
    <w:p w14:paraId="7C7480D1">
      <w:pPr>
        <w:pStyle w:val="5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bookmarkStart w:id="229" w:name="_Toc331685784"/>
      <w:r>
        <w:rPr>
          <w:rFonts w:hint="eastAsia" w:asciiTheme="minorEastAsia" w:hAnsiTheme="minorEastAsia" w:eastAsiaTheme="minorEastAsia" w:cstheme="minorEastAsia"/>
          <w:sz w:val="28"/>
          <w:szCs w:val="28"/>
        </w:rPr>
        <w:t>第三部分  合同专用条款</w:t>
      </w:r>
      <w:bookmarkEnd w:id="229"/>
    </w:p>
    <w:p w14:paraId="69E6656F">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B202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CD36CD0">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条款号</w:t>
            </w:r>
          </w:p>
        </w:tc>
        <w:tc>
          <w:tcPr>
            <w:tcW w:w="7633" w:type="dxa"/>
            <w:noWrap w:val="0"/>
            <w:vAlign w:val="center"/>
          </w:tcPr>
          <w:p w14:paraId="63174011">
            <w:pPr>
              <w:pStyle w:val="5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约定内容</w:t>
            </w:r>
          </w:p>
        </w:tc>
      </w:tr>
      <w:tr w14:paraId="471BF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7501FAFD">
            <w:pPr>
              <w:pStyle w:val="51"/>
              <w:rPr>
                <w:rFonts w:hint="eastAsia" w:asciiTheme="minorEastAsia" w:hAnsiTheme="minorEastAsia" w:eastAsiaTheme="minorEastAsia" w:cstheme="minorEastAsia"/>
                <w:sz w:val="28"/>
                <w:szCs w:val="28"/>
              </w:rPr>
            </w:pPr>
          </w:p>
        </w:tc>
        <w:tc>
          <w:tcPr>
            <w:tcW w:w="7633" w:type="dxa"/>
            <w:noWrap w:val="0"/>
            <w:vAlign w:val="center"/>
          </w:tcPr>
          <w:p w14:paraId="58A28400">
            <w:pPr>
              <w:pStyle w:val="51"/>
              <w:rPr>
                <w:rFonts w:hint="eastAsia" w:asciiTheme="minorEastAsia" w:hAnsiTheme="minorEastAsia" w:eastAsiaTheme="minorEastAsia" w:cstheme="minorEastAsia"/>
                <w:sz w:val="28"/>
                <w:szCs w:val="28"/>
              </w:rPr>
            </w:pPr>
          </w:p>
        </w:tc>
      </w:tr>
      <w:tr w14:paraId="48F2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232DF87">
            <w:pPr>
              <w:pStyle w:val="51"/>
              <w:rPr>
                <w:rFonts w:hint="eastAsia" w:asciiTheme="minorEastAsia" w:hAnsiTheme="minorEastAsia" w:eastAsiaTheme="minorEastAsia" w:cstheme="minorEastAsia"/>
                <w:sz w:val="28"/>
                <w:szCs w:val="28"/>
              </w:rPr>
            </w:pPr>
          </w:p>
        </w:tc>
        <w:tc>
          <w:tcPr>
            <w:tcW w:w="7633" w:type="dxa"/>
            <w:noWrap w:val="0"/>
            <w:vAlign w:val="center"/>
          </w:tcPr>
          <w:p w14:paraId="015E140C">
            <w:pPr>
              <w:pStyle w:val="51"/>
              <w:rPr>
                <w:rFonts w:hint="eastAsia" w:asciiTheme="minorEastAsia" w:hAnsiTheme="minorEastAsia" w:eastAsiaTheme="minorEastAsia" w:cstheme="minorEastAsia"/>
                <w:sz w:val="28"/>
                <w:szCs w:val="28"/>
              </w:rPr>
            </w:pPr>
          </w:p>
        </w:tc>
      </w:tr>
      <w:tr w14:paraId="6FEC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8221736">
            <w:pPr>
              <w:pStyle w:val="51"/>
              <w:rPr>
                <w:rFonts w:hint="eastAsia" w:asciiTheme="minorEastAsia" w:hAnsiTheme="minorEastAsia" w:eastAsiaTheme="minorEastAsia" w:cstheme="minorEastAsia"/>
                <w:sz w:val="28"/>
                <w:szCs w:val="28"/>
              </w:rPr>
            </w:pPr>
          </w:p>
        </w:tc>
        <w:tc>
          <w:tcPr>
            <w:tcW w:w="7633" w:type="dxa"/>
            <w:noWrap w:val="0"/>
            <w:vAlign w:val="center"/>
          </w:tcPr>
          <w:p w14:paraId="1054372D">
            <w:pPr>
              <w:pStyle w:val="51"/>
              <w:rPr>
                <w:rFonts w:hint="eastAsia" w:asciiTheme="minorEastAsia" w:hAnsiTheme="minorEastAsia" w:eastAsiaTheme="minorEastAsia" w:cstheme="minorEastAsia"/>
                <w:sz w:val="28"/>
                <w:szCs w:val="28"/>
              </w:rPr>
            </w:pPr>
          </w:p>
        </w:tc>
      </w:tr>
      <w:tr w14:paraId="699E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DA712D1">
            <w:pPr>
              <w:pStyle w:val="51"/>
              <w:rPr>
                <w:rFonts w:hint="eastAsia" w:asciiTheme="minorEastAsia" w:hAnsiTheme="minorEastAsia" w:eastAsiaTheme="minorEastAsia" w:cstheme="minorEastAsia"/>
                <w:sz w:val="28"/>
                <w:szCs w:val="28"/>
              </w:rPr>
            </w:pPr>
          </w:p>
        </w:tc>
        <w:tc>
          <w:tcPr>
            <w:tcW w:w="7633" w:type="dxa"/>
            <w:noWrap w:val="0"/>
            <w:vAlign w:val="center"/>
          </w:tcPr>
          <w:p w14:paraId="1AA0AED4">
            <w:pPr>
              <w:pStyle w:val="51"/>
              <w:rPr>
                <w:rFonts w:hint="eastAsia" w:asciiTheme="minorEastAsia" w:hAnsiTheme="minorEastAsia" w:eastAsiaTheme="minorEastAsia" w:cstheme="minorEastAsia"/>
                <w:sz w:val="28"/>
                <w:szCs w:val="28"/>
              </w:rPr>
            </w:pPr>
          </w:p>
        </w:tc>
      </w:tr>
      <w:tr w14:paraId="0C242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E426A6C">
            <w:pPr>
              <w:pStyle w:val="51"/>
              <w:rPr>
                <w:rFonts w:hint="eastAsia" w:asciiTheme="minorEastAsia" w:hAnsiTheme="minorEastAsia" w:eastAsiaTheme="minorEastAsia" w:cstheme="minorEastAsia"/>
                <w:sz w:val="28"/>
                <w:szCs w:val="28"/>
              </w:rPr>
            </w:pPr>
          </w:p>
        </w:tc>
        <w:tc>
          <w:tcPr>
            <w:tcW w:w="7633" w:type="dxa"/>
            <w:noWrap w:val="0"/>
            <w:vAlign w:val="center"/>
          </w:tcPr>
          <w:p w14:paraId="063524F2">
            <w:pPr>
              <w:pStyle w:val="51"/>
              <w:rPr>
                <w:rFonts w:hint="eastAsia" w:asciiTheme="minorEastAsia" w:hAnsiTheme="minorEastAsia" w:eastAsiaTheme="minorEastAsia" w:cstheme="minorEastAsia"/>
                <w:sz w:val="28"/>
                <w:szCs w:val="28"/>
              </w:rPr>
            </w:pPr>
          </w:p>
        </w:tc>
      </w:tr>
      <w:tr w14:paraId="0611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1297228">
            <w:pPr>
              <w:pStyle w:val="51"/>
              <w:rPr>
                <w:rFonts w:hint="eastAsia" w:asciiTheme="minorEastAsia" w:hAnsiTheme="minorEastAsia" w:eastAsiaTheme="minorEastAsia" w:cstheme="minorEastAsia"/>
                <w:sz w:val="28"/>
                <w:szCs w:val="28"/>
              </w:rPr>
            </w:pPr>
          </w:p>
        </w:tc>
        <w:tc>
          <w:tcPr>
            <w:tcW w:w="7633" w:type="dxa"/>
            <w:noWrap w:val="0"/>
            <w:vAlign w:val="center"/>
          </w:tcPr>
          <w:p w14:paraId="0A8C92B8">
            <w:pPr>
              <w:pStyle w:val="51"/>
              <w:rPr>
                <w:rFonts w:hint="eastAsia" w:asciiTheme="minorEastAsia" w:hAnsiTheme="minorEastAsia" w:eastAsiaTheme="minorEastAsia" w:cstheme="minorEastAsia"/>
                <w:sz w:val="28"/>
                <w:szCs w:val="28"/>
              </w:rPr>
            </w:pPr>
          </w:p>
        </w:tc>
      </w:tr>
      <w:tr w14:paraId="64622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26E434B">
            <w:pPr>
              <w:pStyle w:val="51"/>
              <w:rPr>
                <w:rFonts w:hint="eastAsia" w:asciiTheme="minorEastAsia" w:hAnsiTheme="minorEastAsia" w:eastAsiaTheme="minorEastAsia" w:cstheme="minorEastAsia"/>
                <w:sz w:val="28"/>
                <w:szCs w:val="28"/>
              </w:rPr>
            </w:pPr>
          </w:p>
        </w:tc>
        <w:tc>
          <w:tcPr>
            <w:tcW w:w="7633" w:type="dxa"/>
            <w:noWrap w:val="0"/>
            <w:vAlign w:val="center"/>
          </w:tcPr>
          <w:p w14:paraId="61CCAEB7">
            <w:pPr>
              <w:pStyle w:val="51"/>
              <w:rPr>
                <w:rFonts w:hint="eastAsia" w:asciiTheme="minorEastAsia" w:hAnsiTheme="minorEastAsia" w:eastAsiaTheme="minorEastAsia" w:cstheme="minorEastAsia"/>
                <w:sz w:val="28"/>
                <w:szCs w:val="28"/>
              </w:rPr>
            </w:pPr>
          </w:p>
        </w:tc>
      </w:tr>
      <w:tr w14:paraId="1AFF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BDF983F">
            <w:pPr>
              <w:pStyle w:val="51"/>
              <w:rPr>
                <w:rFonts w:hint="eastAsia" w:asciiTheme="minorEastAsia" w:hAnsiTheme="minorEastAsia" w:eastAsiaTheme="minorEastAsia" w:cstheme="minorEastAsia"/>
                <w:sz w:val="28"/>
                <w:szCs w:val="28"/>
              </w:rPr>
            </w:pPr>
          </w:p>
        </w:tc>
        <w:tc>
          <w:tcPr>
            <w:tcW w:w="7633" w:type="dxa"/>
            <w:noWrap w:val="0"/>
            <w:vAlign w:val="center"/>
          </w:tcPr>
          <w:p w14:paraId="7B24D462">
            <w:pPr>
              <w:pStyle w:val="51"/>
              <w:rPr>
                <w:rFonts w:hint="eastAsia" w:asciiTheme="minorEastAsia" w:hAnsiTheme="minorEastAsia" w:eastAsiaTheme="minorEastAsia" w:cstheme="minorEastAsia"/>
                <w:sz w:val="28"/>
                <w:szCs w:val="28"/>
              </w:rPr>
            </w:pPr>
          </w:p>
        </w:tc>
      </w:tr>
      <w:tr w14:paraId="0E7AA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F7AFEF9">
            <w:pPr>
              <w:pStyle w:val="51"/>
              <w:rPr>
                <w:rFonts w:hint="eastAsia" w:asciiTheme="minorEastAsia" w:hAnsiTheme="minorEastAsia" w:eastAsiaTheme="minorEastAsia" w:cstheme="minorEastAsia"/>
                <w:sz w:val="28"/>
                <w:szCs w:val="28"/>
              </w:rPr>
            </w:pPr>
          </w:p>
        </w:tc>
        <w:tc>
          <w:tcPr>
            <w:tcW w:w="7633" w:type="dxa"/>
            <w:noWrap w:val="0"/>
            <w:vAlign w:val="center"/>
          </w:tcPr>
          <w:p w14:paraId="2BFBC6F1">
            <w:pPr>
              <w:pStyle w:val="51"/>
              <w:rPr>
                <w:rFonts w:hint="eastAsia" w:asciiTheme="minorEastAsia" w:hAnsiTheme="minorEastAsia" w:eastAsiaTheme="minorEastAsia" w:cstheme="minorEastAsia"/>
                <w:sz w:val="28"/>
                <w:szCs w:val="28"/>
              </w:rPr>
            </w:pPr>
          </w:p>
        </w:tc>
      </w:tr>
      <w:tr w14:paraId="2F587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ACEF03C">
            <w:pPr>
              <w:pStyle w:val="51"/>
              <w:rPr>
                <w:rFonts w:hint="eastAsia" w:asciiTheme="minorEastAsia" w:hAnsiTheme="minorEastAsia" w:eastAsiaTheme="minorEastAsia" w:cstheme="minorEastAsia"/>
                <w:sz w:val="28"/>
                <w:szCs w:val="28"/>
              </w:rPr>
            </w:pPr>
          </w:p>
        </w:tc>
        <w:tc>
          <w:tcPr>
            <w:tcW w:w="7633" w:type="dxa"/>
            <w:noWrap w:val="0"/>
            <w:vAlign w:val="center"/>
          </w:tcPr>
          <w:p w14:paraId="6E24B3E3">
            <w:pPr>
              <w:pStyle w:val="51"/>
              <w:rPr>
                <w:rFonts w:hint="eastAsia" w:asciiTheme="minorEastAsia" w:hAnsiTheme="minorEastAsia" w:eastAsiaTheme="minorEastAsia" w:cstheme="minorEastAsia"/>
                <w:sz w:val="28"/>
                <w:szCs w:val="28"/>
              </w:rPr>
            </w:pPr>
          </w:p>
        </w:tc>
      </w:tr>
      <w:tr w14:paraId="224B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996E8A6">
            <w:pPr>
              <w:pStyle w:val="51"/>
              <w:rPr>
                <w:rFonts w:hint="eastAsia" w:asciiTheme="minorEastAsia" w:hAnsiTheme="minorEastAsia" w:eastAsiaTheme="minorEastAsia" w:cstheme="minorEastAsia"/>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BB5E101">
            <w:pPr>
              <w:pStyle w:val="51"/>
              <w:rPr>
                <w:rFonts w:hint="eastAsia" w:asciiTheme="minorEastAsia" w:hAnsiTheme="minorEastAsia" w:eastAsiaTheme="minorEastAsia" w:cstheme="minorEastAsia"/>
                <w:sz w:val="28"/>
                <w:szCs w:val="28"/>
              </w:rPr>
            </w:pPr>
          </w:p>
        </w:tc>
      </w:tr>
      <w:tr w14:paraId="1715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45E4A4C2">
            <w:pPr>
              <w:pStyle w:val="51"/>
              <w:rPr>
                <w:rFonts w:hint="eastAsia" w:asciiTheme="minorEastAsia" w:hAnsiTheme="minorEastAsia" w:eastAsiaTheme="minorEastAsia" w:cstheme="minorEastAsia"/>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6919577A">
            <w:pPr>
              <w:pStyle w:val="51"/>
              <w:rPr>
                <w:rFonts w:hint="eastAsia" w:asciiTheme="minorEastAsia" w:hAnsiTheme="minorEastAsia" w:eastAsiaTheme="minorEastAsia" w:cstheme="minorEastAsia"/>
                <w:sz w:val="28"/>
                <w:szCs w:val="28"/>
              </w:rPr>
            </w:pPr>
          </w:p>
        </w:tc>
      </w:tr>
    </w:tbl>
    <w:p w14:paraId="73688E5F">
      <w:pPr>
        <w:pStyle w:val="51"/>
        <w:rPr>
          <w:rFonts w:hint="eastAsia" w:asciiTheme="minorEastAsia" w:hAnsiTheme="minorEastAsia" w:eastAsiaTheme="minorEastAsia" w:cstheme="minorEastAsia"/>
          <w:b/>
          <w:bCs/>
          <w:sz w:val="36"/>
          <w:szCs w:val="36"/>
          <w:lang w:eastAsia="zh-CN"/>
        </w:rPr>
      </w:pPr>
      <w:r>
        <w:rPr>
          <w:rFonts w:hint="eastAsia"/>
        </w:rPr>
        <w:br w:type="page"/>
      </w:r>
    </w:p>
    <w:p w14:paraId="7DD49632">
      <w:pPr>
        <w:pStyle w:val="51"/>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本合同主要条款为采购人和成交供应商拟签订合同的格式，具体合同内容以双方协商一致签订的正式合同为准</w:t>
      </w:r>
    </w:p>
    <w:p w14:paraId="44E93878">
      <w:pPr>
        <w:pStyle w:val="51"/>
        <w:rPr>
          <w:rFonts w:hint="eastAsia" w:asciiTheme="minorEastAsia" w:hAnsiTheme="minorEastAsia" w:eastAsiaTheme="minorEastAsia" w:cstheme="minorEastAsia"/>
          <w:b/>
          <w:bCs/>
          <w:sz w:val="36"/>
          <w:szCs w:val="36"/>
          <w:lang w:eastAsia="zh-CN"/>
        </w:rPr>
      </w:pPr>
    </w:p>
    <w:p w14:paraId="741F7E51">
      <w:pPr>
        <w:pStyle w:val="51"/>
        <w:rPr>
          <w:rFonts w:hint="eastAsia" w:asciiTheme="minorEastAsia" w:hAnsiTheme="minorEastAsia" w:eastAsiaTheme="minorEastAsia" w:cstheme="minorEastAsia"/>
          <w:b/>
          <w:bCs/>
          <w:sz w:val="36"/>
          <w:szCs w:val="36"/>
          <w:lang w:eastAsia="zh-CN"/>
        </w:rPr>
      </w:pPr>
    </w:p>
    <w:p w14:paraId="48E375E0">
      <w:pPr>
        <w:pStyle w:val="51"/>
        <w:rPr>
          <w:rFonts w:hint="eastAsia" w:asciiTheme="minorEastAsia" w:hAnsiTheme="minorEastAsia" w:eastAsiaTheme="minorEastAsia" w:cstheme="minorEastAsia"/>
          <w:b/>
          <w:bCs/>
          <w:sz w:val="36"/>
          <w:szCs w:val="36"/>
          <w:lang w:eastAsia="zh-CN"/>
        </w:rPr>
      </w:pPr>
    </w:p>
    <w:p w14:paraId="10FFA1E1">
      <w:pPr>
        <w:pStyle w:val="51"/>
        <w:rPr>
          <w:rFonts w:hint="eastAsia" w:asciiTheme="minorEastAsia" w:hAnsiTheme="minorEastAsia" w:eastAsiaTheme="minorEastAsia" w:cstheme="minorEastAsia"/>
          <w:b/>
          <w:bCs/>
          <w:sz w:val="36"/>
          <w:szCs w:val="36"/>
          <w:lang w:eastAsia="zh-CN"/>
        </w:rPr>
      </w:pPr>
    </w:p>
    <w:p w14:paraId="3A31E146">
      <w:pPr>
        <w:pStyle w:val="51"/>
        <w:rPr>
          <w:rFonts w:hint="eastAsia" w:asciiTheme="minorEastAsia" w:hAnsiTheme="minorEastAsia" w:eastAsiaTheme="minorEastAsia" w:cstheme="minorEastAsia"/>
          <w:b/>
          <w:bCs/>
          <w:sz w:val="36"/>
          <w:szCs w:val="36"/>
          <w:lang w:eastAsia="zh-CN"/>
        </w:rPr>
      </w:pPr>
    </w:p>
    <w:p w14:paraId="30D6C6E9">
      <w:pPr>
        <w:pStyle w:val="51"/>
        <w:rPr>
          <w:rFonts w:hint="eastAsia" w:asciiTheme="minorEastAsia" w:hAnsiTheme="minorEastAsia" w:eastAsiaTheme="minorEastAsia" w:cstheme="minorEastAsia"/>
          <w:b/>
          <w:bCs/>
          <w:sz w:val="36"/>
          <w:szCs w:val="36"/>
          <w:lang w:eastAsia="zh-CN"/>
        </w:rPr>
      </w:pPr>
    </w:p>
    <w:p w14:paraId="5B961BB9">
      <w:pPr>
        <w:pStyle w:val="51"/>
        <w:rPr>
          <w:rFonts w:hint="eastAsia" w:asciiTheme="minorEastAsia" w:hAnsiTheme="minorEastAsia" w:eastAsiaTheme="minorEastAsia" w:cstheme="minorEastAsia"/>
          <w:b/>
          <w:bCs/>
          <w:sz w:val="36"/>
          <w:szCs w:val="36"/>
          <w:lang w:eastAsia="zh-CN"/>
        </w:rPr>
      </w:pPr>
    </w:p>
    <w:p w14:paraId="2D5C2002">
      <w:pPr>
        <w:pStyle w:val="51"/>
        <w:rPr>
          <w:rFonts w:hint="eastAsia" w:asciiTheme="minorEastAsia" w:hAnsiTheme="minorEastAsia" w:eastAsiaTheme="minorEastAsia" w:cstheme="minorEastAsia"/>
          <w:b/>
          <w:bCs/>
          <w:sz w:val="36"/>
          <w:szCs w:val="36"/>
          <w:lang w:eastAsia="zh-CN"/>
        </w:rPr>
      </w:pPr>
    </w:p>
    <w:p w14:paraId="289AD4AF">
      <w:pPr>
        <w:pStyle w:val="51"/>
        <w:rPr>
          <w:rFonts w:hint="eastAsia" w:asciiTheme="minorEastAsia" w:hAnsiTheme="minorEastAsia" w:eastAsiaTheme="minorEastAsia" w:cstheme="minorEastAsia"/>
          <w:b/>
          <w:bCs/>
          <w:sz w:val="36"/>
          <w:szCs w:val="36"/>
          <w:lang w:eastAsia="zh-CN"/>
        </w:rPr>
      </w:pPr>
    </w:p>
    <w:p w14:paraId="5B780CD1">
      <w:pPr>
        <w:pStyle w:val="51"/>
        <w:rPr>
          <w:rFonts w:hint="eastAsia" w:asciiTheme="minorEastAsia" w:hAnsiTheme="minorEastAsia" w:eastAsiaTheme="minorEastAsia" w:cstheme="minorEastAsia"/>
          <w:b/>
          <w:bCs/>
          <w:sz w:val="36"/>
          <w:szCs w:val="36"/>
          <w:lang w:eastAsia="zh-CN"/>
        </w:rPr>
      </w:pPr>
    </w:p>
    <w:p w14:paraId="2A4A3DF7">
      <w:pPr>
        <w:pStyle w:val="51"/>
        <w:rPr>
          <w:rFonts w:hint="eastAsia" w:asciiTheme="minorEastAsia" w:hAnsiTheme="minorEastAsia" w:eastAsiaTheme="minorEastAsia" w:cstheme="minorEastAsia"/>
          <w:b/>
          <w:bCs/>
          <w:sz w:val="36"/>
          <w:szCs w:val="36"/>
          <w:lang w:eastAsia="zh-CN"/>
        </w:rPr>
      </w:pPr>
    </w:p>
    <w:p w14:paraId="0EFD544E">
      <w:pPr>
        <w:pStyle w:val="51"/>
        <w:rPr>
          <w:rFonts w:hint="eastAsia" w:asciiTheme="minorEastAsia" w:hAnsiTheme="minorEastAsia" w:eastAsiaTheme="minorEastAsia" w:cstheme="minorEastAsia"/>
          <w:b/>
          <w:bCs/>
          <w:sz w:val="36"/>
          <w:szCs w:val="36"/>
          <w:lang w:eastAsia="zh-CN"/>
        </w:rPr>
      </w:pPr>
    </w:p>
    <w:p w14:paraId="2208AE66">
      <w:pPr>
        <w:pStyle w:val="51"/>
        <w:rPr>
          <w:rFonts w:hint="eastAsia" w:asciiTheme="minorEastAsia" w:hAnsiTheme="minorEastAsia" w:eastAsiaTheme="minorEastAsia" w:cstheme="minorEastAsia"/>
          <w:b/>
          <w:bCs/>
          <w:sz w:val="36"/>
          <w:szCs w:val="36"/>
          <w:lang w:eastAsia="zh-CN"/>
        </w:rPr>
      </w:pPr>
    </w:p>
    <w:p w14:paraId="6015F9D7">
      <w:pPr>
        <w:pStyle w:val="51"/>
        <w:rPr>
          <w:rFonts w:hint="eastAsia" w:asciiTheme="minorEastAsia" w:hAnsiTheme="minorEastAsia" w:eastAsiaTheme="minorEastAsia" w:cstheme="minorEastAsia"/>
          <w:b/>
          <w:bCs/>
          <w:sz w:val="36"/>
          <w:szCs w:val="36"/>
          <w:lang w:eastAsia="zh-CN"/>
        </w:rPr>
      </w:pPr>
    </w:p>
    <w:p w14:paraId="67B86D4F">
      <w:pPr>
        <w:pStyle w:val="51"/>
        <w:rPr>
          <w:rFonts w:hint="eastAsia" w:asciiTheme="minorEastAsia" w:hAnsiTheme="minorEastAsia" w:eastAsiaTheme="minorEastAsia" w:cstheme="minorEastAsia"/>
          <w:b/>
          <w:bCs/>
          <w:sz w:val="36"/>
          <w:szCs w:val="36"/>
          <w:lang w:eastAsia="zh-CN"/>
        </w:rPr>
      </w:pPr>
    </w:p>
    <w:p w14:paraId="79115987">
      <w:pPr>
        <w:pStyle w:val="51"/>
        <w:rPr>
          <w:rFonts w:hint="eastAsia" w:asciiTheme="minorEastAsia" w:hAnsiTheme="minorEastAsia" w:eastAsiaTheme="minorEastAsia" w:cstheme="minorEastAsia"/>
          <w:b/>
          <w:bCs/>
          <w:sz w:val="36"/>
          <w:szCs w:val="36"/>
          <w:lang w:eastAsia="zh-CN"/>
        </w:rPr>
      </w:pPr>
    </w:p>
    <w:p w14:paraId="74E46D30">
      <w:pPr>
        <w:numPr>
          <w:ilvl w:val="0"/>
          <w:numId w:val="0"/>
        </w:numPr>
        <w:adjustRightInd w:val="0"/>
        <w:snapToGrid w:val="0"/>
        <w:spacing w:beforeAutospacing="0" w:afterAutospacing="0"/>
        <w:jc w:val="center"/>
        <w:outlineLvl w:val="0"/>
        <w:rPr>
          <w:rFonts w:hint="eastAsia" w:asciiTheme="minorEastAsia" w:hAnsiTheme="minorEastAsia" w:eastAsiaTheme="minorEastAsia" w:cstheme="minorEastAsia"/>
          <w:b/>
          <w:bCs/>
          <w:sz w:val="36"/>
          <w:szCs w:val="36"/>
          <w:lang w:eastAsia="zh-CN"/>
        </w:rPr>
      </w:pPr>
    </w:p>
    <w:p w14:paraId="60EB8498">
      <w:pPr>
        <w:numPr>
          <w:ilvl w:val="0"/>
          <w:numId w:val="0"/>
        </w:numPr>
        <w:adjustRightInd w:val="0"/>
        <w:snapToGrid w:val="0"/>
        <w:spacing w:beforeAutospacing="0" w:afterAutospacing="0"/>
        <w:jc w:val="center"/>
        <w:outlineLvl w:val="0"/>
        <w:rPr>
          <w:rFonts w:hint="eastAsia" w:asciiTheme="minorEastAsia" w:hAnsiTheme="minorEastAsia" w:eastAsiaTheme="minorEastAsia" w:cstheme="minorEastAsia"/>
          <w:b/>
          <w:bCs/>
          <w:sz w:val="36"/>
          <w:szCs w:val="36"/>
          <w:lang w:eastAsia="zh-CN"/>
        </w:rPr>
      </w:pPr>
    </w:p>
    <w:p w14:paraId="5EC76545">
      <w:pPr>
        <w:numPr>
          <w:ilvl w:val="0"/>
          <w:numId w:val="0"/>
        </w:numPr>
        <w:adjustRightInd w:val="0"/>
        <w:snapToGrid w:val="0"/>
        <w:spacing w:beforeAutospacing="0" w:afterAutospacing="0"/>
        <w:jc w:val="center"/>
        <w:outlineLvl w:val="0"/>
        <w:rPr>
          <w:rFonts w:hint="eastAsia" w:asciiTheme="minorEastAsia" w:hAnsiTheme="minorEastAsia" w:eastAsiaTheme="minorEastAsia" w:cstheme="minorEastAsia"/>
          <w:b/>
          <w:bCs/>
          <w:sz w:val="36"/>
          <w:szCs w:val="36"/>
          <w:lang w:eastAsia="zh-CN"/>
        </w:rPr>
      </w:pPr>
    </w:p>
    <w:p w14:paraId="436F1CEB">
      <w:pPr>
        <w:numPr>
          <w:ilvl w:val="0"/>
          <w:numId w:val="0"/>
        </w:numPr>
        <w:adjustRightInd w:val="0"/>
        <w:snapToGrid w:val="0"/>
        <w:spacing w:beforeAutospacing="0" w:afterAutospacing="0"/>
        <w:jc w:val="both"/>
        <w:outlineLvl w:val="0"/>
        <w:rPr>
          <w:rFonts w:hint="eastAsia" w:asciiTheme="minorEastAsia" w:hAnsiTheme="minorEastAsia" w:eastAsiaTheme="minorEastAsia" w:cstheme="minorEastAsia"/>
          <w:b/>
          <w:bCs/>
          <w:sz w:val="36"/>
          <w:szCs w:val="36"/>
          <w:lang w:eastAsia="zh-CN"/>
        </w:rPr>
      </w:pPr>
    </w:p>
    <w:p w14:paraId="2A27D27D">
      <w:pPr>
        <w:numPr>
          <w:ilvl w:val="0"/>
          <w:numId w:val="0"/>
        </w:numPr>
        <w:adjustRightInd w:val="0"/>
        <w:snapToGrid w:val="0"/>
        <w:spacing w:beforeAutospacing="0" w:afterAutospacing="0"/>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36"/>
          <w:szCs w:val="36"/>
          <w:lang w:eastAsia="zh-CN"/>
        </w:rPr>
        <w:t>第五章</w:t>
      </w:r>
      <w:r>
        <w:rPr>
          <w:rFonts w:hint="eastAsia" w:asciiTheme="minorEastAsia" w:hAnsiTheme="minorEastAsia" w:eastAsiaTheme="minorEastAsia" w:cstheme="minorEastAsia"/>
          <w:b/>
          <w:bCs/>
          <w:sz w:val="36"/>
          <w:szCs w:val="36"/>
        </w:rPr>
        <w:t xml:space="preserve"> 项目需求及技术参数要求</w:t>
      </w:r>
      <w:bookmarkEnd w:id="66"/>
      <w:bookmarkEnd w:id="67"/>
      <w:bookmarkEnd w:id="68"/>
    </w:p>
    <w:p w14:paraId="78F12AC0">
      <w:pPr>
        <w:numPr>
          <w:ilvl w:val="0"/>
          <w:numId w:val="0"/>
        </w:numPr>
        <w:adjustRightInd w:val="0"/>
        <w:snapToGrid w:val="0"/>
        <w:spacing w:before="100" w:beforeAutospacing="1" w:after="100" w:afterAutospacing="1" w:line="240" w:lineRule="auto"/>
        <w:ind w:left="0" w:leftChars="0" w:firstLine="482" w:firstLineChars="200"/>
        <w:jc w:val="both"/>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val="0"/>
          <w:bCs w:val="0"/>
          <w:sz w:val="24"/>
          <w:szCs w:val="24"/>
        </w:rPr>
        <w:t>项目概况及总体要求</w:t>
      </w:r>
    </w:p>
    <w:p w14:paraId="7955B271">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本次招标项目为</w:t>
      </w:r>
      <w:r>
        <w:rPr>
          <w:rFonts w:hint="eastAsia" w:asciiTheme="minorEastAsia" w:hAnsiTheme="minorEastAsia" w:eastAsiaTheme="minorEastAsia" w:cstheme="minorEastAsia"/>
          <w:sz w:val="24"/>
          <w:szCs w:val="24"/>
          <w:lang w:val="en-US" w:eastAsia="zh-CN"/>
        </w:rPr>
        <w:t>2025年孟州市河雍办钱庄村育苗大棚配套设施项目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采购内容：</w:t>
      </w:r>
      <w:r>
        <w:rPr>
          <w:rFonts w:hint="eastAsia" w:asciiTheme="minorEastAsia" w:hAnsiTheme="minorEastAsia" w:eastAsiaTheme="minorEastAsia" w:cstheme="minorEastAsia"/>
          <w:bCs/>
          <w:sz w:val="24"/>
          <w:szCs w:val="24"/>
          <w:lang w:val="en-US" w:eastAsia="zh-CN"/>
        </w:rPr>
        <w:t>增加移动育苗床4918.2平方米，自走式移动喷灌机7套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（具体数量及技术要求详见</w:t>
      </w:r>
      <w:r>
        <w:rPr>
          <w:rFonts w:hint="eastAsia" w:asciiTheme="minorEastAsia" w:hAnsiTheme="minorEastAsia" w:eastAsiaTheme="minorEastAsia" w:cstheme="minorEastAsia"/>
          <w:bCs/>
          <w:sz w:val="24"/>
          <w:szCs w:val="24"/>
          <w:lang w:eastAsia="zh-CN"/>
        </w:rPr>
        <w:t>第五章</w:t>
      </w:r>
      <w:r>
        <w:rPr>
          <w:rFonts w:hint="eastAsia" w:asciiTheme="minorEastAsia" w:hAnsiTheme="minorEastAsia" w:eastAsiaTheme="minorEastAsia" w:cstheme="minorEastAsia"/>
          <w:bCs/>
          <w:sz w:val="24"/>
          <w:szCs w:val="24"/>
        </w:rPr>
        <w:t>）</w:t>
      </w:r>
    </w:p>
    <w:p w14:paraId="6B562F7B">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二、不允许负偏离的实质性要求和条件</w:t>
      </w:r>
    </w:p>
    <w:p w14:paraId="09A1EBC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1、采购货物的品种、数量</w:t>
      </w:r>
    </w:p>
    <w:p w14:paraId="3B4B5608">
      <w:pPr>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合同履行期限：</w:t>
      </w:r>
      <w:r>
        <w:rPr>
          <w:rFonts w:hint="eastAsia" w:asciiTheme="minorEastAsia" w:hAnsiTheme="minorEastAsia" w:eastAsiaTheme="minorEastAsia" w:cstheme="minorEastAsia"/>
          <w:bCs/>
          <w:sz w:val="24"/>
          <w:szCs w:val="24"/>
        </w:rPr>
        <w:t>合同签订且生效后</w:t>
      </w:r>
      <w:r>
        <w:rPr>
          <w:rFonts w:hint="eastAsia" w:asciiTheme="minorEastAsia" w:hAnsiTheme="minorEastAsia" w:eastAsiaTheme="minorEastAsia" w:cstheme="minorEastAsia"/>
          <w:bCs/>
          <w:sz w:val="24"/>
          <w:szCs w:val="24"/>
          <w:lang w:val="en-US" w:eastAsia="zh-CN"/>
        </w:rPr>
        <w:t>30</w:t>
      </w:r>
      <w:r>
        <w:rPr>
          <w:rFonts w:hint="eastAsia" w:asciiTheme="minorEastAsia" w:hAnsiTheme="minorEastAsia" w:eastAsiaTheme="minorEastAsia" w:cstheme="minorEastAsia"/>
          <w:bCs/>
          <w:sz w:val="24"/>
          <w:szCs w:val="24"/>
        </w:rPr>
        <w:t>日历天内交货并安装调试完毕。</w:t>
      </w:r>
    </w:p>
    <w:p w14:paraId="7DECC309">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质保期：</w:t>
      </w:r>
      <w:r>
        <w:rPr>
          <w:rFonts w:hint="eastAsia" w:asciiTheme="minorEastAsia" w:hAnsiTheme="minorEastAsia" w:eastAsiaTheme="minorEastAsia" w:cstheme="minorEastAsia"/>
          <w:color w:val="auto"/>
          <w:sz w:val="24"/>
          <w:szCs w:val="24"/>
        </w:rPr>
        <w:t>自货物验收合格使用之日起质保</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p>
    <w:p w14:paraId="48C4354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4、质量要求：合格（包括安装、连接，达到正常运转交付标准）；</w:t>
      </w:r>
    </w:p>
    <w:p w14:paraId="47EDD9F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三、采购需求及技术要求：</w:t>
      </w:r>
    </w:p>
    <w:p w14:paraId="753192FB">
      <w:pPr>
        <w:numPr>
          <w:ilvl w:val="0"/>
          <w:numId w:val="0"/>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移动育苗床</w:t>
      </w:r>
    </w:p>
    <w:p w14:paraId="289008D8">
      <w:pPr>
        <w:numPr>
          <w:ilvl w:val="0"/>
          <w:numId w:val="8"/>
        </w:numPr>
        <w:spacing w:line="360" w:lineRule="auto"/>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尺寸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1.7米*28米*32组</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2米*9.5米*80组</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2米*12.5米*75组</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p>
    <w:p w14:paraId="3215BE62">
      <w:pPr>
        <w:numPr>
          <w:ilvl w:val="0"/>
          <w:numId w:val="8"/>
        </w:num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苗床网：常规丝径：3.0mm*4.0mm,常规孔径：130mm*30mm,长度、宽度根据温室实际尺寸定制，采用钢丝网焊接，热</w:t>
      </w:r>
      <w:r>
        <w:rPr>
          <w:rFonts w:hint="eastAsia" w:asciiTheme="minorEastAsia" w:hAnsiTheme="minorEastAsia" w:cstheme="minorEastAsia"/>
          <w:color w:val="000000" w:themeColor="text1"/>
          <w:sz w:val="24"/>
          <w:szCs w:val="24"/>
          <w:lang w:val="en-US" w:eastAsia="zh-CN"/>
          <w14:textFill>
            <w14:solidFill>
              <w14:schemeClr w14:val="tx1"/>
            </w14:solidFill>
          </w14:textFill>
        </w:rPr>
        <w:t>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锌处理；</w:t>
      </w:r>
    </w:p>
    <w:p w14:paraId="26D5B41F">
      <w:pPr>
        <w:numPr>
          <w:ilvl w:val="0"/>
          <w:numId w:val="8"/>
        </w:numPr>
        <w:spacing w:line="360" w:lineRule="auto"/>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苗床边框：65mm，铝合金氧化处理；</w:t>
      </w:r>
    </w:p>
    <w:p w14:paraId="16B69338">
      <w:pPr>
        <w:numPr>
          <w:ilvl w:val="0"/>
          <w:numId w:val="8"/>
        </w:numPr>
        <w:spacing w:line="360"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横支撑：25*30mm间距0.65米，镀铝锌；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5.滚动轴：∅42mm*1.5mm，热镀锌圆管</w:t>
      </w:r>
    </w:p>
    <w:p w14:paraId="2CE57ABD">
      <w:pPr>
        <w:numPr>
          <w:ilvl w:val="0"/>
          <w:numId w:val="0"/>
        </w:num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6.手轮：220mm*42mm，塑料</w:t>
      </w:r>
    </w:p>
    <w:p w14:paraId="3F6A2110">
      <w:pPr>
        <w:numPr>
          <w:ilvl w:val="0"/>
          <w:numId w:val="0"/>
        </w:num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7.斜拉杆：20*1.2mm，热镀锌圆管</w:t>
      </w:r>
    </w:p>
    <w:p w14:paraId="01AC0FD1">
      <w:pPr>
        <w:pStyle w:val="2"/>
        <w:spacing w:line="360" w:lineRule="auto"/>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8.双梁型支架：20*40*1.3mm，黑料焊接后热镀锌</w:t>
      </w:r>
    </w:p>
    <w:p w14:paraId="754E0E6C">
      <w:pPr>
        <w:pStyle w:val="2"/>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9：黑底座：塑料，土地面专用</w:t>
      </w:r>
    </w:p>
    <w:p w14:paraId="4DAFCAE3">
      <w:pPr>
        <w:pStyle w:val="2"/>
        <w:spacing w:line="360"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10：防翻卡：塑料</w:t>
      </w:r>
    </w:p>
    <w:p w14:paraId="7501E364">
      <w:pPr>
        <w:pStyle w:val="2"/>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14:paraId="47BC9219">
      <w:pPr>
        <w:numPr>
          <w:ilvl w:val="0"/>
          <w:numId w:val="0"/>
        </w:numPr>
        <w:spacing w:line="360" w:lineRule="auto"/>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移动喷灌机（主要由运行轨道和主机构成）</w:t>
      </w:r>
    </w:p>
    <w:p w14:paraId="71F4050C">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1.轨道撑杆：热镀锌管加工</w:t>
      </w:r>
    </w:p>
    <w:p w14:paraId="1AA71BDB">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2.轨道吊钩：加厚4mm，焊接后热镀锌</w:t>
      </w:r>
    </w:p>
    <w:p w14:paraId="0A6C22FF">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3.吊杆连接件：热镀锌雪花板加工</w:t>
      </w:r>
    </w:p>
    <w:p w14:paraId="3619F06A">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4.轨道管：1.5寸热镀锌圆管</w:t>
      </w:r>
    </w:p>
    <w:p w14:paraId="5F185F50">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5.轨道连接管：镀锌管加工</w:t>
      </w:r>
    </w:p>
    <w:p w14:paraId="267A8C56">
      <w:pPr>
        <w:numPr>
          <w:ilvl w:val="0"/>
          <w:numId w:val="0"/>
        </w:numPr>
        <w:spacing w:line="360" w:lineRule="auto"/>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6.喷杆：铝合金喷杆，喷杆宽度6.8米，行走距离28米1套，喷杆宽度12.5米，行走距离65米1套，喷杆宽度12.5米，行走距离105米1套，喷杆宽度9.5米，行走距离88米4套</w:t>
      </w:r>
    </w:p>
    <w:p w14:paraId="51A803C7">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7.电机：喷灌机减速电机功率250W,电压220V/50Hz</w:t>
      </w:r>
    </w:p>
    <w:p w14:paraId="440D25FC">
      <w:pPr>
        <w:numPr>
          <w:ilvl w:val="0"/>
          <w:numId w:val="0"/>
        </w:numPr>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8.三位快转防滴喷头：运行速度4～16.5m/min喷头形式，三位防滴快速转换，喷角80º,开启压力0.7kgf/cm2喷灌机操作方式——遥控..手动</w:t>
      </w:r>
    </w:p>
    <w:p w14:paraId="6C6CB241">
      <w:pPr>
        <w:numPr>
          <w:ilvl w:val="0"/>
          <w:numId w:val="0"/>
        </w:numPr>
        <w:spacing w:line="360" w:lineRule="auto"/>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9.胶管连接管：42*300mm，热镀锌管</w:t>
      </w:r>
    </w:p>
    <w:p w14:paraId="42431700">
      <w:pPr>
        <w:pStyle w:val="2"/>
        <w:spacing w:line="360" w:lineRule="auto"/>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10.轨道吊杆：20*1.2mm,热镀锌管根据棚高度定尺寸。</w:t>
      </w:r>
    </w:p>
    <w:p w14:paraId="4F5A33EC">
      <w:pPr>
        <w:pStyle w:val="2"/>
        <w:spacing w:line="360" w:lineRule="auto"/>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11.胶管：6分，上野化学。</w:t>
      </w:r>
    </w:p>
    <w:p w14:paraId="2CA93CCD">
      <w:pPr>
        <w:pStyle w:val="2"/>
        <w:spacing w:line="360" w:lineRule="auto"/>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12.取水阀：适配6份，塑料制品</w:t>
      </w:r>
    </w:p>
    <w:p w14:paraId="1FCB7887">
      <w:pPr>
        <w:numPr>
          <w:ilvl w:val="0"/>
          <w:numId w:val="0"/>
        </w:numPr>
        <w:spacing w:line="360" w:lineRule="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技术规格及要求</w:t>
      </w:r>
      <w:r>
        <w:rPr>
          <w:rFonts w:hint="eastAsia" w:asciiTheme="minorEastAsia" w:hAnsiTheme="minorEastAsia" w:eastAsiaTheme="minorEastAsia" w:cstheme="minorEastAsia"/>
          <w:b/>
          <w:bCs/>
          <w:sz w:val="24"/>
          <w:szCs w:val="24"/>
          <w:lang w:eastAsia="zh-CN"/>
        </w:rPr>
        <w:t>：本次采购核心产品为</w:t>
      </w:r>
      <w:r>
        <w:rPr>
          <w:rFonts w:hint="eastAsia" w:asciiTheme="minorEastAsia" w:hAnsiTheme="minorEastAsia" w:eastAsiaTheme="minorEastAsia" w:cstheme="minorEastAsia"/>
          <w:b/>
          <w:bCs/>
          <w:sz w:val="24"/>
          <w:szCs w:val="24"/>
          <w:lang w:val="en-US" w:eastAsia="zh-CN"/>
        </w:rPr>
        <w:t>移动育苗床、移动喷灌机</w:t>
      </w:r>
      <w:r>
        <w:rPr>
          <w:rFonts w:hint="eastAsia" w:asciiTheme="minorEastAsia" w:hAnsiTheme="minorEastAsia" w:eastAsiaTheme="minorEastAsia" w:cstheme="minorEastAsia"/>
          <w:b/>
          <w:bCs/>
          <w:sz w:val="24"/>
          <w:szCs w:val="24"/>
          <w:lang w:eastAsia="zh-CN"/>
        </w:rPr>
        <w:t>。（以上要求的参数标准为基本满足标准，供应商可参照或优于该标准提供。）</w:t>
      </w:r>
    </w:p>
    <w:p w14:paraId="76DD688C">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、投标要求</w:t>
      </w:r>
    </w:p>
    <w:p w14:paraId="70521DB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1、供应商在满足技术要求和性能的前提下可投同档次或优于上述参数、性能和质量的货物。</w:t>
      </w:r>
    </w:p>
    <w:p w14:paraId="1D12039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20C53356">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、其他要求</w:t>
      </w:r>
    </w:p>
    <w:p w14:paraId="77433C2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（一）供应商资格要求见供应商须知前附表。如资格证明文件遇年检、换证，则必须提供法定年检、换证单位出具的有效证明文件。</w:t>
      </w:r>
    </w:p>
    <w:p w14:paraId="00F63AD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须提供符合国家质量标准、部颁标准、行业标准或本招标文件规定标准的、供货渠道合法的全新原装合格正品（包括零部件），如安装或配置软件的，须为正版软件。所提供的货物应当同时符合国家有关安全、卫生、环保规定。</w:t>
      </w:r>
    </w:p>
    <w:p w14:paraId="4F8D0524">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如果本项目报经政府采购管理部门批准允许采购进口产品，则进口货物及其有关服务必须符合原产地和/或中华人民共和国的设计和制造生产标准或行业标准。进口的货物必须具有合法的进口手续和途径，并通过中华人民共和国商检部门检验。</w:t>
      </w:r>
    </w:p>
    <w:p w14:paraId="74FE2A5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报价是履行合同的最终报价，无特别注明，均为人民币报价。应包括本招标项目所包含的货物、软件、标准附件、备品备件、专用工具、图纸资料、技术服务，包装、仓储、运输、装卸、保险、税金，货到就位以及安装、调试、培训、保修等一切税金和费用。</w:t>
      </w:r>
    </w:p>
    <w:p w14:paraId="47AA4D48">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如果本项目报经政府采购管理部门批准允许采购进口产品，除上述一切税金和费用外，投标报价还应包含国际运输、保险、进口产品报关清关、商检等费用。</w:t>
      </w:r>
    </w:p>
    <w:p w14:paraId="667D614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（五）供应商对每种产品只允许有一种报价，采购人不接受有任何选择报价的投标。</w:t>
      </w:r>
    </w:p>
    <w:p w14:paraId="4D8C21C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（六）采购人在授予中标人合同时，保留对货物数量予以增减的权利。供应商不得在此情况下对投标文件作出修改，如单价、交货期、售后服务等。</w:t>
      </w:r>
    </w:p>
    <w:p w14:paraId="00165DB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（七）合同签订：合同由采购人与中标人签订。</w:t>
      </w:r>
    </w:p>
    <w:p w14:paraId="0EE3CE6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（八）交货要求：</w:t>
      </w:r>
    </w:p>
    <w:p w14:paraId="1A870ACF">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1、交付使用时间：见供应商须知前附表。超出招标文件规定交付使用时间的投标将不被接受。</w:t>
      </w:r>
    </w:p>
    <w:p w14:paraId="2180DCB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2、交货地点：见供应商须知前附表。</w:t>
      </w:r>
    </w:p>
    <w:p w14:paraId="1852B57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3、供应商应严格按照产品的制造、安装、检测及验收标准执行。</w:t>
      </w:r>
    </w:p>
    <w:p w14:paraId="42C01D9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4、提供制造商完整的随机技术资料、装箱单、合格证、使用和维修手册等。</w:t>
      </w:r>
    </w:p>
    <w:p w14:paraId="0BC9038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（九）包装和发运</w:t>
      </w:r>
    </w:p>
    <w:p w14:paraId="2473AAA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1、货物的包装和发运须符合货物特性要求；</w:t>
      </w:r>
    </w:p>
    <w:p w14:paraId="3BB3BA57">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2、为了保证货物在长途运输和装卸过程中的安全，货物包装应符合国家或行业标准规定。由于包装不善导致货物锈蚀、缺失或损坏，由中标人承担一切责任。</w:t>
      </w:r>
    </w:p>
    <w:p w14:paraId="4285EBA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（十）培训要求</w:t>
      </w:r>
    </w:p>
    <w:p w14:paraId="1ACBA31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通过培训使采购人相关人员掌握有关的使用、维护和管理方法，达到能独立进行管理、一般故障处理、日常检测和维护等工作的目标。</w:t>
      </w:r>
    </w:p>
    <w:p w14:paraId="5954C426">
      <w:pPr>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（十一）售后服务要求</w:t>
      </w:r>
    </w:p>
    <w:p w14:paraId="39CF245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1、提供所投产品供应商或制造商售后服务机构情况，包括地址、技术人员及联系方式，售后技术人员力量、货物实力等。</w:t>
      </w:r>
    </w:p>
    <w:p w14:paraId="7AB3993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2、提供1年质保，保修期自验收合格之日起计算。不接受该质保期的投标将不被接受。</w:t>
      </w:r>
    </w:p>
    <w:p w14:paraId="2FA2150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3、质保期内（以本项目验收合格之日算起）应当为采购人提供以下技术支持和服务：</w:t>
      </w:r>
    </w:p>
    <w:p w14:paraId="6A04D33F">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（1）电话咨询。中标人或制造商应当为采购人提供技术援助电话，解答采购人在使用中遇到的问题，及时为采购人提出解决问题的建议和办法。</w:t>
      </w:r>
    </w:p>
    <w:p w14:paraId="603707A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现场响应。采购人遇到使用及技术问题，电话咨询不能解决的，中标人或制造商售后应在2小内到达现场进行处理，确保货物系统正常工作；无法在2小时内解决的，应在2小时内提供备用产品，使采购人能够正常使用。</w:t>
      </w:r>
    </w:p>
    <w:p w14:paraId="2D47C7A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（3）中标人应当定期对所供货物系统运行情况进行检测，消除故障隐患，以保证货物的正常运行。</w:t>
      </w:r>
    </w:p>
    <w:p w14:paraId="7B9C2CC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（4）技术升级。在质保期内，如果制造商的产品技术升级，中标人应及时通知采购人，如采购人有相应要求，中标人和制造商应对采购人购买的产品进行免费升级服务或优惠价格的有偿升级服务。</w:t>
      </w:r>
    </w:p>
    <w:p w14:paraId="3E8D966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4、质保期后应当为采购人提供以下技术支持和服务：</w:t>
      </w:r>
    </w:p>
    <w:p w14:paraId="705D048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（1）应同样提供免费电话咨询服务，并应承诺提供产品上门维护服务。</w:t>
      </w:r>
    </w:p>
    <w:p w14:paraId="04B3A40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（2）应以优惠价格继续提供售后服务。</w:t>
      </w:r>
    </w:p>
    <w:p w14:paraId="7374CB2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5、备品备件及易损件：</w:t>
      </w:r>
    </w:p>
    <w:p w14:paraId="4879510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中标人或制造商售后服务中，维修使用的备品备件及易损件应为原厂配件，未经采购人同意不得使用非原厂配件。中标人应提供原厂标准的备品备件、易损件、消耗资料价格清单及折扣率。</w:t>
      </w:r>
    </w:p>
    <w:p w14:paraId="7CCD5D8D">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履约验收：采购人根据国家有关规定、招标文件、中标方的投标文件以及合同约定的内容和验收标准进行验收。验收情况作为支付货款的依据。如有异议，以相关质量技术检验检测机构的检验结果为准，如产生检验检测费用，则该费用由过失方承担。</w:t>
      </w:r>
    </w:p>
    <w:p w14:paraId="29289B61">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bookmarkStart w:id="230" w:name="_Toc32835835"/>
      <w:bookmarkStart w:id="231" w:name="_Toc2554"/>
      <w:bookmarkStart w:id="232" w:name="_Toc11"/>
    </w:p>
    <w:p w14:paraId="720472D4">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p>
    <w:p w14:paraId="697B9D28">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p>
    <w:p w14:paraId="7B581318">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p>
    <w:p w14:paraId="7A6CEBBB">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p>
    <w:p w14:paraId="67C85AE5">
      <w:pPr>
        <w:numPr>
          <w:ilvl w:val="0"/>
          <w:numId w:val="0"/>
        </w:numPr>
        <w:adjustRightInd w:val="0"/>
        <w:snapToGrid w:val="0"/>
        <w:spacing w:line="360" w:lineRule="auto"/>
        <w:jc w:val="both"/>
        <w:outlineLvl w:val="0"/>
        <w:rPr>
          <w:rFonts w:hint="eastAsia" w:asciiTheme="minorEastAsia" w:hAnsiTheme="minorEastAsia" w:eastAsiaTheme="minorEastAsia" w:cstheme="minorEastAsia"/>
          <w:b/>
          <w:bCs/>
          <w:sz w:val="36"/>
          <w:szCs w:val="36"/>
        </w:rPr>
      </w:pPr>
    </w:p>
    <w:p w14:paraId="1021593C">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p>
    <w:p w14:paraId="331B4BE6">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p>
    <w:p w14:paraId="72218E75">
      <w:pPr>
        <w:numPr>
          <w:ilvl w:val="0"/>
          <w:numId w:val="0"/>
        </w:numPr>
        <w:adjustRightInd w:val="0"/>
        <w:snapToGrid w:val="0"/>
        <w:spacing w:line="360" w:lineRule="auto"/>
        <w:ind w:left="540" w:leftChars="0"/>
        <w:jc w:val="center"/>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第六章  投标文件格式及附件</w:t>
      </w:r>
      <w:bookmarkEnd w:id="69"/>
      <w:bookmarkEnd w:id="230"/>
      <w:bookmarkEnd w:id="231"/>
      <w:bookmarkEnd w:id="232"/>
    </w:p>
    <w:p w14:paraId="52AA52D4">
      <w:pPr>
        <w:numPr>
          <w:ilvl w:val="0"/>
          <w:numId w:val="0"/>
        </w:numPr>
        <w:adjustRightInd w:val="0"/>
        <w:snapToGrid w:val="0"/>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投标文件封面格式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14:paraId="02C5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5" w:hRule="atLeast"/>
        </w:trPr>
        <w:tc>
          <w:tcPr>
            <w:tcW w:w="9457" w:type="dxa"/>
            <w:noWrap w:val="0"/>
            <w:vAlign w:val="top"/>
          </w:tcPr>
          <w:p w14:paraId="39C9CC05">
            <w:pPr>
              <w:spacing w:line="360" w:lineRule="auto"/>
              <w:ind w:firstLine="680" w:firstLineChars="200"/>
              <w:jc w:val="center"/>
              <w:outlineLvl w:val="9"/>
              <w:rPr>
                <w:rFonts w:hint="eastAsia"/>
              </w:rPr>
            </w:pPr>
          </w:p>
          <w:p w14:paraId="447EE7E5">
            <w:pPr>
              <w:spacing w:line="360" w:lineRule="auto"/>
              <w:ind w:firstLine="680" w:firstLineChars="200"/>
              <w:jc w:val="center"/>
              <w:outlineLvl w:val="9"/>
              <w:rPr>
                <w:rFonts w:hint="eastAsia"/>
              </w:rPr>
            </w:pPr>
            <w:r>
              <w:rPr>
                <w:rFonts w:hint="eastAsia"/>
              </w:rPr>
              <w:t>项目名称</w:t>
            </w:r>
          </w:p>
          <w:p w14:paraId="538AA9F8">
            <w:pPr>
              <w:spacing w:line="360" w:lineRule="auto"/>
              <w:ind w:firstLine="680" w:firstLineChars="200"/>
              <w:jc w:val="center"/>
              <w:outlineLvl w:val="9"/>
              <w:rPr>
                <w:rFonts w:hint="eastAsia"/>
              </w:rPr>
            </w:pPr>
          </w:p>
          <w:p w14:paraId="440EA4F0">
            <w:pPr>
              <w:spacing w:line="360" w:lineRule="auto"/>
              <w:ind w:firstLine="680" w:firstLineChars="200"/>
              <w:jc w:val="center"/>
              <w:outlineLvl w:val="9"/>
              <w:rPr>
                <w:rFonts w:hint="eastAsia"/>
              </w:rPr>
            </w:pPr>
          </w:p>
          <w:p w14:paraId="1EF48A54">
            <w:pPr>
              <w:spacing w:line="360" w:lineRule="auto"/>
              <w:ind w:firstLine="680" w:firstLineChars="200"/>
              <w:jc w:val="center"/>
              <w:outlineLvl w:val="9"/>
              <w:rPr>
                <w:rFonts w:hint="eastAsia"/>
              </w:rPr>
            </w:pPr>
            <w:r>
              <w:rPr>
                <w:rFonts w:hint="eastAsia"/>
              </w:rPr>
              <w:t>投标文件</w:t>
            </w:r>
          </w:p>
          <w:p w14:paraId="6A87CD76">
            <w:pPr>
              <w:spacing w:line="360" w:lineRule="auto"/>
              <w:ind w:firstLine="680" w:firstLineChars="200"/>
              <w:outlineLvl w:val="9"/>
              <w:rPr>
                <w:rFonts w:hint="eastAsia"/>
              </w:rPr>
            </w:pPr>
          </w:p>
          <w:p w14:paraId="7E9BA532">
            <w:pPr>
              <w:spacing w:line="360" w:lineRule="auto"/>
              <w:ind w:firstLine="680" w:firstLineChars="200"/>
              <w:outlineLvl w:val="9"/>
              <w:rPr>
                <w:rFonts w:hint="eastAsia"/>
              </w:rPr>
            </w:pPr>
          </w:p>
          <w:p w14:paraId="709EDD3F">
            <w:pPr>
              <w:spacing w:line="360" w:lineRule="auto"/>
              <w:ind w:firstLine="680" w:firstLineChars="200"/>
              <w:outlineLvl w:val="9"/>
              <w:rPr>
                <w:rFonts w:hint="eastAsia"/>
              </w:rPr>
            </w:pPr>
          </w:p>
          <w:p w14:paraId="3836C994">
            <w:pPr>
              <w:spacing w:line="360" w:lineRule="auto"/>
              <w:ind w:firstLine="680" w:firstLineChars="200"/>
              <w:outlineLvl w:val="9"/>
              <w:rPr>
                <w:rFonts w:hint="eastAsia"/>
              </w:rPr>
            </w:pPr>
          </w:p>
          <w:p w14:paraId="55273E49">
            <w:pPr>
              <w:spacing w:line="360" w:lineRule="auto"/>
              <w:ind w:firstLine="680" w:firstLineChars="200"/>
              <w:outlineLvl w:val="9"/>
              <w:rPr>
                <w:rFonts w:hint="eastAsia"/>
              </w:rPr>
            </w:pPr>
          </w:p>
          <w:p w14:paraId="044D0336">
            <w:pPr>
              <w:spacing w:line="360" w:lineRule="auto"/>
              <w:ind w:firstLine="680" w:firstLineChars="200"/>
              <w:outlineLvl w:val="9"/>
              <w:rPr>
                <w:rFonts w:hint="eastAsia"/>
              </w:rPr>
            </w:pPr>
          </w:p>
          <w:p w14:paraId="526303C1">
            <w:pPr>
              <w:spacing w:line="360" w:lineRule="auto"/>
              <w:ind w:firstLine="680" w:firstLineChars="200"/>
              <w:outlineLvl w:val="9"/>
              <w:rPr>
                <w:rFonts w:hint="eastAsia"/>
              </w:rPr>
            </w:pPr>
          </w:p>
          <w:p w14:paraId="11CE44D4">
            <w:pPr>
              <w:spacing w:line="360" w:lineRule="auto"/>
              <w:ind w:firstLine="480" w:firstLineChars="200"/>
              <w:outlineLvl w:val="9"/>
              <w:rPr>
                <w:rFonts w:hint="eastAsia"/>
                <w:sz w:val="24"/>
                <w:szCs w:val="24"/>
              </w:rPr>
            </w:pPr>
            <w:r>
              <w:rPr>
                <w:rFonts w:hint="eastAsia"/>
                <w:sz w:val="24"/>
                <w:szCs w:val="24"/>
                <w:lang w:eastAsia="zh-CN"/>
              </w:rPr>
              <w:t>采购</w:t>
            </w:r>
            <w:r>
              <w:rPr>
                <w:rFonts w:hint="eastAsia"/>
                <w:sz w:val="24"/>
                <w:szCs w:val="24"/>
              </w:rPr>
              <w:t>编号：</w:t>
            </w:r>
          </w:p>
          <w:p w14:paraId="18F4F80B">
            <w:pPr>
              <w:spacing w:line="360" w:lineRule="auto"/>
              <w:ind w:firstLine="480" w:firstLineChars="200"/>
              <w:outlineLvl w:val="9"/>
              <w:rPr>
                <w:rFonts w:hint="eastAsia"/>
                <w:sz w:val="24"/>
                <w:szCs w:val="24"/>
              </w:rPr>
            </w:pPr>
            <w:r>
              <w:rPr>
                <w:rFonts w:hint="eastAsia"/>
                <w:sz w:val="24"/>
                <w:szCs w:val="24"/>
                <w:lang w:eastAsia="zh-CN"/>
              </w:rPr>
              <w:t>交易</w:t>
            </w:r>
            <w:r>
              <w:rPr>
                <w:rFonts w:hint="eastAsia"/>
                <w:sz w:val="24"/>
                <w:szCs w:val="24"/>
              </w:rPr>
              <w:t>编号：</w:t>
            </w:r>
          </w:p>
          <w:p w14:paraId="31B7E948">
            <w:pPr>
              <w:spacing w:line="360" w:lineRule="auto"/>
              <w:ind w:firstLine="480" w:firstLineChars="200"/>
              <w:outlineLvl w:val="9"/>
              <w:rPr>
                <w:rFonts w:hint="eastAsia"/>
                <w:sz w:val="24"/>
                <w:szCs w:val="24"/>
              </w:rPr>
            </w:pPr>
            <w:r>
              <w:rPr>
                <w:rFonts w:hint="eastAsia"/>
                <w:sz w:val="24"/>
                <w:szCs w:val="24"/>
              </w:rPr>
              <w:t>供应商名称：（盖章）</w:t>
            </w:r>
          </w:p>
          <w:p w14:paraId="5C518A58">
            <w:pPr>
              <w:spacing w:line="360" w:lineRule="auto"/>
              <w:ind w:firstLine="480" w:firstLineChars="200"/>
              <w:outlineLvl w:val="9"/>
              <w:rPr>
                <w:rFonts w:hint="eastAsia"/>
                <w:sz w:val="24"/>
                <w:szCs w:val="24"/>
              </w:rPr>
            </w:pPr>
            <w:r>
              <w:rPr>
                <w:rFonts w:hint="eastAsia"/>
                <w:sz w:val="24"/>
                <w:szCs w:val="24"/>
                <w:lang w:eastAsia="zh-CN"/>
              </w:rPr>
              <w:t>法定代表人（单位负责人）或委托代理人</w:t>
            </w:r>
            <w:r>
              <w:rPr>
                <w:rFonts w:hint="eastAsia"/>
                <w:sz w:val="24"/>
                <w:szCs w:val="24"/>
              </w:rPr>
              <w:t>：（签字或盖章）</w:t>
            </w:r>
          </w:p>
          <w:p w14:paraId="4F3708FD">
            <w:pPr>
              <w:spacing w:line="360" w:lineRule="auto"/>
              <w:ind w:firstLine="480" w:firstLineChars="200"/>
              <w:outlineLvl w:val="9"/>
              <w:rPr>
                <w:rFonts w:hint="eastAsia"/>
                <w:sz w:val="24"/>
                <w:szCs w:val="24"/>
              </w:rPr>
            </w:pPr>
            <w:r>
              <w:rPr>
                <w:rFonts w:hint="eastAsia"/>
                <w:sz w:val="24"/>
                <w:szCs w:val="24"/>
              </w:rPr>
              <w:t>日    期：          年   月   日</w:t>
            </w:r>
          </w:p>
          <w:p w14:paraId="55D8A14F">
            <w:pPr>
              <w:bidi w:val="0"/>
              <w:jc w:val="left"/>
              <w:rPr>
                <w:rFonts w:hint="eastAsia" w:ascii="宋体" w:hAnsi="Times New Roman" w:eastAsia="宋体" w:cs="Times New Roman"/>
                <w:sz w:val="34"/>
                <w:lang w:val="en-US" w:eastAsia="zh-CN" w:bidi="ar-SA"/>
              </w:rPr>
            </w:pPr>
          </w:p>
        </w:tc>
      </w:tr>
    </w:tbl>
    <w:p w14:paraId="2C061738">
      <w:pPr>
        <w:outlineLvl w:val="9"/>
        <w:rPr>
          <w:rFonts w:hint="eastAsia" w:asciiTheme="minorEastAsia" w:hAnsiTheme="minorEastAsia" w:eastAsiaTheme="minorEastAsia" w:cstheme="minorEastAsia"/>
          <w:b/>
          <w:sz w:val="24"/>
          <w:szCs w:val="24"/>
        </w:rPr>
      </w:pPr>
      <w:bookmarkStart w:id="233" w:name="_Toc32835897"/>
      <w:bookmarkStart w:id="234" w:name="_Toc7673"/>
      <w:r>
        <w:rPr>
          <w:rFonts w:hint="eastAsia" w:asciiTheme="minorEastAsia" w:hAnsiTheme="minorEastAsia" w:eastAsiaTheme="minorEastAsia" w:cstheme="minorEastAsia"/>
          <w:b/>
          <w:sz w:val="24"/>
          <w:szCs w:val="24"/>
        </w:rPr>
        <w:br w:type="page"/>
      </w:r>
    </w:p>
    <w:p w14:paraId="6FEF0E8D">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附件1</w:t>
      </w:r>
      <w:bookmarkEnd w:id="233"/>
      <w:bookmarkStart w:id="235" w:name="_Toc32835898"/>
      <w:r>
        <w:rPr>
          <w:rFonts w:hint="eastAsia" w:asciiTheme="minorEastAsia" w:hAnsiTheme="minorEastAsia" w:eastAsiaTheme="minorEastAsia" w:cstheme="minorEastAsia"/>
          <w:b/>
          <w:sz w:val="24"/>
          <w:szCs w:val="24"/>
          <w:lang w:val="en-US" w:eastAsia="zh-CN"/>
        </w:rPr>
        <w:t xml:space="preserve">  </w:t>
      </w:r>
      <w:bookmarkStart w:id="236" w:name="_Toc29005"/>
      <w:r>
        <w:rPr>
          <w:rFonts w:hint="eastAsia" w:asciiTheme="minorEastAsia" w:hAnsiTheme="minorEastAsia" w:eastAsiaTheme="minorEastAsia" w:cstheme="minorEastAsia"/>
          <w:b/>
          <w:sz w:val="24"/>
          <w:szCs w:val="24"/>
        </w:rPr>
        <w:t>投 标 函</w:t>
      </w:r>
      <w:bookmarkEnd w:id="234"/>
      <w:bookmarkEnd w:id="235"/>
      <w:bookmarkEnd w:id="236"/>
    </w:p>
    <w:p w14:paraId="7D254A60">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p>
    <w:p w14:paraId="0D1D0EE1">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标段</w:t>
      </w:r>
      <w:r>
        <w:rPr>
          <w:rFonts w:hint="eastAsia" w:asciiTheme="minorEastAsia" w:hAnsiTheme="minorEastAsia" w:eastAsiaTheme="minorEastAsia" w:cstheme="minorEastAsia"/>
          <w:sz w:val="24"/>
          <w:szCs w:val="24"/>
        </w:rPr>
        <w:t>）项目的公开招标公告，签字代表（</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）经正式授权并代表供应商（</w:t>
      </w: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）提交</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文件正本一份：</w:t>
      </w:r>
    </w:p>
    <w:p w14:paraId="121E8F56">
      <w:pPr>
        <w:spacing w:line="360" w:lineRule="auto"/>
        <w:ind w:firstLine="480" w:firstLineChars="200"/>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1、我方投标总价为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w:t>
      </w:r>
      <w:r>
        <w:rPr>
          <w:rFonts w:hint="eastAsia" w:asciiTheme="minorEastAsia" w:hAnsiTheme="minorEastAsia" w:eastAsiaTheme="minorEastAsia" w:cstheme="minorEastAsia"/>
          <w:sz w:val="24"/>
          <w:szCs w:val="24"/>
        </w:rPr>
        <w:t>。</w:t>
      </w:r>
    </w:p>
    <w:p w14:paraId="0BB4A00C">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2、我方将按招标文件的规定履行合同责任和义务。</w:t>
      </w:r>
    </w:p>
    <w:p w14:paraId="0B83D1FF">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3、我方已详细审查全部招标文件，包括补充通知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。我们完全理解并同意放弃对这方面有不明及误解的权力。</w:t>
      </w:r>
    </w:p>
    <w:p w14:paraId="1C3F20BC">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4、投标有效期为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15872057">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5、根据供应商须知的规定，我方承诺，与采购单位聘请的为此项目提供咨询服务的公司及任何附属机构均无关联，我方不是采购单位的附属机构。</w:t>
      </w:r>
    </w:p>
    <w:p w14:paraId="62C447B9">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6、我方同意提供按照贵方可能要求的与其投标有关的一切数据或资料，完全理解贵方不一定接受最低价的投标或收到的任何投标。</w:t>
      </w:r>
    </w:p>
    <w:p w14:paraId="5180D7EA">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供应商名称（盖章）：_________________</w:t>
      </w:r>
    </w:p>
    <w:p w14:paraId="6B85E9C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法定代表人（单位负责人）或委托代理人</w:t>
      </w:r>
      <w:r>
        <w:rPr>
          <w:rFonts w:hint="eastAsia" w:asciiTheme="minorEastAsia" w:hAnsiTheme="minorEastAsia" w:eastAsiaTheme="minorEastAsia" w:cstheme="minorEastAsia"/>
          <w:sz w:val="24"/>
          <w:szCs w:val="24"/>
        </w:rPr>
        <w:t>（签字或盖章）：_____________</w:t>
      </w:r>
    </w:p>
    <w:p w14:paraId="681F0270">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p w14:paraId="4D86DB43">
      <w:pPr>
        <w:spacing w:line="360" w:lineRule="auto"/>
        <w:ind w:firstLine="482" w:firstLineChars="200"/>
        <w:outlineLvl w:val="9"/>
        <w:rPr>
          <w:rFonts w:hint="eastAsia" w:asciiTheme="minorEastAsia" w:hAnsiTheme="minorEastAsia" w:eastAsiaTheme="minorEastAsia" w:cstheme="minorEastAsia"/>
          <w:b/>
          <w:bCs/>
          <w:sz w:val="24"/>
          <w:szCs w:val="24"/>
        </w:rPr>
      </w:pPr>
      <w:bookmarkStart w:id="237" w:name="_Toc18214"/>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附件1.1</w:t>
      </w:r>
      <w:bookmarkEnd w:id="237"/>
    </w:p>
    <w:p w14:paraId="5EE35B7C">
      <w:pPr>
        <w:spacing w:line="360" w:lineRule="auto"/>
        <w:ind w:firstLine="482" w:firstLineChars="200"/>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开标一览表</w:t>
      </w:r>
    </w:p>
    <w:p w14:paraId="21A8234B">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项目名称：___________</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编号：___________                    单位：元</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8"/>
      </w:tblGrid>
      <w:tr w14:paraId="48DA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noWrap w:val="0"/>
            <w:vAlign w:val="center"/>
          </w:tcPr>
          <w:p w14:paraId="61B9A370">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投标单位名称</w:t>
            </w:r>
          </w:p>
        </w:tc>
        <w:tc>
          <w:tcPr>
            <w:tcW w:w="6838" w:type="dxa"/>
            <w:noWrap w:val="0"/>
            <w:vAlign w:val="center"/>
          </w:tcPr>
          <w:p w14:paraId="3E065E42">
            <w:pPr>
              <w:spacing w:line="360" w:lineRule="auto"/>
              <w:outlineLvl w:val="9"/>
              <w:rPr>
                <w:rFonts w:hint="eastAsia" w:asciiTheme="minorEastAsia" w:hAnsiTheme="minorEastAsia" w:eastAsiaTheme="minorEastAsia" w:cstheme="minorEastAsia"/>
                <w:sz w:val="24"/>
                <w:szCs w:val="24"/>
              </w:rPr>
            </w:pPr>
          </w:p>
        </w:tc>
      </w:tr>
      <w:tr w14:paraId="6FCA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Merge w:val="restart"/>
            <w:noWrap w:val="0"/>
            <w:vAlign w:val="center"/>
          </w:tcPr>
          <w:p w14:paraId="67BC4F3C">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投标总价</w:t>
            </w:r>
          </w:p>
        </w:tc>
        <w:tc>
          <w:tcPr>
            <w:tcW w:w="6838" w:type="dxa"/>
            <w:noWrap w:val="0"/>
            <w:vAlign w:val="center"/>
          </w:tcPr>
          <w:p w14:paraId="07A8A678">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tc>
      </w:tr>
      <w:tr w14:paraId="4371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448" w:type="dxa"/>
            <w:vMerge w:val="continue"/>
            <w:noWrap w:val="0"/>
            <w:vAlign w:val="center"/>
          </w:tcPr>
          <w:p w14:paraId="65720A1D">
            <w:pPr>
              <w:spacing w:line="360" w:lineRule="auto"/>
              <w:jc w:val="center"/>
              <w:outlineLvl w:val="9"/>
              <w:rPr>
                <w:rFonts w:hint="eastAsia" w:asciiTheme="minorEastAsia" w:hAnsiTheme="minorEastAsia" w:eastAsiaTheme="minorEastAsia" w:cstheme="minorEastAsia"/>
                <w:sz w:val="24"/>
                <w:szCs w:val="24"/>
              </w:rPr>
            </w:pPr>
          </w:p>
        </w:tc>
        <w:tc>
          <w:tcPr>
            <w:tcW w:w="6838" w:type="dxa"/>
            <w:noWrap w:val="0"/>
            <w:vAlign w:val="center"/>
          </w:tcPr>
          <w:p w14:paraId="214E1EFB">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p>
        </w:tc>
      </w:tr>
      <w:tr w14:paraId="7546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noWrap w:val="0"/>
            <w:vAlign w:val="center"/>
          </w:tcPr>
          <w:p w14:paraId="0DAA8141">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p>
        </w:tc>
        <w:tc>
          <w:tcPr>
            <w:tcW w:w="6838" w:type="dxa"/>
            <w:noWrap w:val="0"/>
            <w:vAlign w:val="center"/>
          </w:tcPr>
          <w:p w14:paraId="7967A696">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合同签订且生效后</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日历天内交货并安装调试完毕</w:t>
            </w:r>
            <w:r>
              <w:rPr>
                <w:rFonts w:hint="eastAsia" w:asciiTheme="minorEastAsia" w:hAnsiTheme="minorEastAsia" w:eastAsiaTheme="minorEastAsia" w:cstheme="minorEastAsia"/>
                <w:sz w:val="24"/>
                <w:szCs w:val="24"/>
              </w:rPr>
              <w:t>。</w:t>
            </w:r>
          </w:p>
        </w:tc>
      </w:tr>
      <w:tr w14:paraId="0AEC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noWrap w:val="0"/>
            <w:vAlign w:val="center"/>
          </w:tcPr>
          <w:p w14:paraId="7C9E60EE">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6838" w:type="dxa"/>
            <w:noWrap w:val="0"/>
            <w:vAlign w:val="center"/>
          </w:tcPr>
          <w:p w14:paraId="55B97F05">
            <w:pPr>
              <w:spacing w:line="360" w:lineRule="auto"/>
              <w:outlineLvl w:val="9"/>
              <w:rPr>
                <w:rFonts w:hint="eastAsia" w:asciiTheme="minorEastAsia" w:hAnsiTheme="minorEastAsia" w:eastAsiaTheme="minorEastAsia" w:cstheme="minorEastAsia"/>
                <w:sz w:val="24"/>
                <w:szCs w:val="24"/>
              </w:rPr>
            </w:pPr>
          </w:p>
        </w:tc>
      </w:tr>
      <w:tr w14:paraId="3BB5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noWrap w:val="0"/>
            <w:vAlign w:val="center"/>
          </w:tcPr>
          <w:p w14:paraId="0A200060">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w:t>
            </w:r>
          </w:p>
        </w:tc>
        <w:tc>
          <w:tcPr>
            <w:tcW w:w="6838" w:type="dxa"/>
            <w:noWrap w:val="0"/>
            <w:vAlign w:val="center"/>
          </w:tcPr>
          <w:p w14:paraId="5F341A39">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自货物验收合格使用之日起质保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p>
        </w:tc>
      </w:tr>
      <w:tr w14:paraId="0DD9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noWrap w:val="0"/>
            <w:vAlign w:val="center"/>
          </w:tcPr>
          <w:p w14:paraId="2AEAED26">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6838" w:type="dxa"/>
            <w:noWrap w:val="0"/>
            <w:vAlign w:val="center"/>
          </w:tcPr>
          <w:p w14:paraId="038DEB15">
            <w:pPr>
              <w:spacing w:line="360" w:lineRule="auto"/>
              <w:outlineLvl w:val="9"/>
              <w:rPr>
                <w:rFonts w:hint="eastAsia" w:asciiTheme="minorEastAsia" w:hAnsiTheme="minorEastAsia" w:eastAsiaTheme="minorEastAsia" w:cstheme="minorEastAsia"/>
                <w:sz w:val="24"/>
                <w:szCs w:val="24"/>
              </w:rPr>
            </w:pPr>
          </w:p>
        </w:tc>
      </w:tr>
      <w:tr w14:paraId="407B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noWrap w:val="0"/>
            <w:vAlign w:val="center"/>
          </w:tcPr>
          <w:p w14:paraId="40B51880">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6838" w:type="dxa"/>
            <w:noWrap w:val="0"/>
            <w:vAlign w:val="center"/>
          </w:tcPr>
          <w:p w14:paraId="4E1A4D4B">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同招标文件要求</w:t>
            </w:r>
          </w:p>
        </w:tc>
      </w:tr>
    </w:tbl>
    <w:p w14:paraId="66371E82">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供应商名称（盖章）：_________________</w:t>
      </w:r>
    </w:p>
    <w:p w14:paraId="4888F109">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法定代表人（单位负责人）或委托代理人</w:t>
      </w:r>
      <w:r>
        <w:rPr>
          <w:rFonts w:hint="eastAsia" w:asciiTheme="minorEastAsia" w:hAnsiTheme="minorEastAsia" w:eastAsiaTheme="minorEastAsia" w:cstheme="minorEastAsia"/>
          <w:sz w:val="24"/>
          <w:szCs w:val="24"/>
        </w:rPr>
        <w:t>（签字或盖章）：____________</w:t>
      </w:r>
    </w:p>
    <w:p w14:paraId="6ABB8EB1">
      <w:pPr>
        <w:pStyle w:val="27"/>
        <w:spacing w:line="360" w:lineRule="auto"/>
        <w:ind w:firstLine="480"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附件1.2</w:t>
      </w:r>
    </w:p>
    <w:p w14:paraId="1A830EFB">
      <w:pPr>
        <w:pStyle w:val="27"/>
        <w:spacing w:line="360" w:lineRule="auto"/>
        <w:ind w:firstLine="482" w:firstLineChars="200"/>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主要货物分项报价一览表</w:t>
      </w:r>
    </w:p>
    <w:p w14:paraId="22DAB6D3">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采购</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单位：元</w:t>
      </w:r>
    </w:p>
    <w:tbl>
      <w:tblPr>
        <w:tblStyle w:val="52"/>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441"/>
        <w:gridCol w:w="1701"/>
        <w:gridCol w:w="992"/>
        <w:gridCol w:w="687"/>
        <w:gridCol w:w="645"/>
        <w:gridCol w:w="924"/>
        <w:gridCol w:w="1692"/>
      </w:tblGrid>
      <w:tr w14:paraId="3D3E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4" w:type="dxa"/>
            <w:noWrap w:val="0"/>
            <w:vAlign w:val="center"/>
          </w:tcPr>
          <w:p w14:paraId="3E7E4F66">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41" w:type="dxa"/>
            <w:noWrap w:val="0"/>
            <w:vAlign w:val="center"/>
          </w:tcPr>
          <w:p w14:paraId="4B4450E3">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701" w:type="dxa"/>
            <w:noWrap w:val="0"/>
            <w:vAlign w:val="center"/>
          </w:tcPr>
          <w:p w14:paraId="15D8BA17">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w:t>
            </w:r>
          </w:p>
        </w:tc>
        <w:tc>
          <w:tcPr>
            <w:tcW w:w="992" w:type="dxa"/>
            <w:noWrap w:val="0"/>
            <w:vAlign w:val="center"/>
          </w:tcPr>
          <w:p w14:paraId="5A22FB77">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生产商</w:t>
            </w:r>
          </w:p>
        </w:tc>
        <w:tc>
          <w:tcPr>
            <w:tcW w:w="687" w:type="dxa"/>
            <w:noWrap w:val="0"/>
            <w:vAlign w:val="center"/>
          </w:tcPr>
          <w:p w14:paraId="4D16FE08">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645" w:type="dxa"/>
            <w:noWrap w:val="0"/>
            <w:vAlign w:val="center"/>
          </w:tcPr>
          <w:p w14:paraId="7EAA8949">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924" w:type="dxa"/>
            <w:noWrap w:val="0"/>
            <w:vAlign w:val="center"/>
          </w:tcPr>
          <w:p w14:paraId="084D288A">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692" w:type="dxa"/>
            <w:noWrap w:val="0"/>
            <w:vAlign w:val="center"/>
          </w:tcPr>
          <w:p w14:paraId="6D7DF01C">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r>
      <w:tr w14:paraId="63BC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3C51FF16">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41" w:type="dxa"/>
            <w:noWrap w:val="0"/>
            <w:vAlign w:val="top"/>
          </w:tcPr>
          <w:p w14:paraId="4873F334">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10AFA1EA">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4C24D5F4">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4F082A19">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77E0BC62">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703CC5B7">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70F636DA">
            <w:pPr>
              <w:spacing w:line="360" w:lineRule="auto"/>
              <w:outlineLvl w:val="9"/>
              <w:rPr>
                <w:rFonts w:hint="eastAsia" w:asciiTheme="minorEastAsia" w:hAnsiTheme="minorEastAsia" w:eastAsiaTheme="minorEastAsia" w:cstheme="minorEastAsia"/>
                <w:sz w:val="24"/>
                <w:szCs w:val="24"/>
              </w:rPr>
            </w:pPr>
          </w:p>
        </w:tc>
      </w:tr>
      <w:tr w14:paraId="3A3C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6E82FC1B">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41" w:type="dxa"/>
            <w:noWrap w:val="0"/>
            <w:vAlign w:val="top"/>
          </w:tcPr>
          <w:p w14:paraId="0000B3AA">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736A1B30">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3EC2EA7D">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42F37D90">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621A581A">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001A2D04">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503408C6">
            <w:pPr>
              <w:spacing w:line="360" w:lineRule="auto"/>
              <w:outlineLvl w:val="9"/>
              <w:rPr>
                <w:rFonts w:hint="eastAsia" w:asciiTheme="minorEastAsia" w:hAnsiTheme="minorEastAsia" w:eastAsiaTheme="minorEastAsia" w:cstheme="minorEastAsia"/>
                <w:sz w:val="24"/>
                <w:szCs w:val="24"/>
              </w:rPr>
            </w:pPr>
          </w:p>
        </w:tc>
      </w:tr>
      <w:tr w14:paraId="6D5B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6442726D">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41" w:type="dxa"/>
            <w:noWrap w:val="0"/>
            <w:vAlign w:val="top"/>
          </w:tcPr>
          <w:p w14:paraId="3F1F25B5">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360B5BEF">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17B245D3">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5C1F4403">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0F3C1AC2">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7EA5D349">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216BF35D">
            <w:pPr>
              <w:spacing w:line="360" w:lineRule="auto"/>
              <w:outlineLvl w:val="9"/>
              <w:rPr>
                <w:rFonts w:hint="eastAsia" w:asciiTheme="minorEastAsia" w:hAnsiTheme="minorEastAsia" w:eastAsiaTheme="minorEastAsia" w:cstheme="minorEastAsia"/>
                <w:sz w:val="24"/>
                <w:szCs w:val="24"/>
              </w:rPr>
            </w:pPr>
          </w:p>
        </w:tc>
      </w:tr>
      <w:tr w14:paraId="1110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11EF5A0A">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41" w:type="dxa"/>
            <w:noWrap w:val="0"/>
            <w:vAlign w:val="top"/>
          </w:tcPr>
          <w:p w14:paraId="7A8006F0">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04DE1E9F">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3AAC1F28">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783E9450">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0E7F5130">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07636BFE">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63934922">
            <w:pPr>
              <w:spacing w:line="360" w:lineRule="auto"/>
              <w:outlineLvl w:val="9"/>
              <w:rPr>
                <w:rFonts w:hint="eastAsia" w:asciiTheme="minorEastAsia" w:hAnsiTheme="minorEastAsia" w:eastAsiaTheme="minorEastAsia" w:cstheme="minorEastAsia"/>
                <w:sz w:val="24"/>
                <w:szCs w:val="24"/>
              </w:rPr>
            </w:pPr>
          </w:p>
        </w:tc>
      </w:tr>
      <w:tr w14:paraId="71A1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1D5DCD54">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41" w:type="dxa"/>
            <w:noWrap w:val="0"/>
            <w:vAlign w:val="top"/>
          </w:tcPr>
          <w:p w14:paraId="137D7353">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319FBFB4">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65408A09">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4087222F">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11E283E3">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3447C19D">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524345F7">
            <w:pPr>
              <w:spacing w:line="360" w:lineRule="auto"/>
              <w:outlineLvl w:val="9"/>
              <w:rPr>
                <w:rFonts w:hint="eastAsia" w:asciiTheme="minorEastAsia" w:hAnsiTheme="minorEastAsia" w:eastAsiaTheme="minorEastAsia" w:cstheme="minorEastAsia"/>
                <w:sz w:val="24"/>
                <w:szCs w:val="24"/>
              </w:rPr>
            </w:pPr>
          </w:p>
        </w:tc>
      </w:tr>
      <w:tr w14:paraId="4515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10FCC18A">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41" w:type="dxa"/>
            <w:noWrap w:val="0"/>
            <w:vAlign w:val="top"/>
          </w:tcPr>
          <w:p w14:paraId="46EC3F44">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2B33C014">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19A042A5">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673A9E02">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5822179B">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1736B540">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10743319">
            <w:pPr>
              <w:spacing w:line="360" w:lineRule="auto"/>
              <w:outlineLvl w:val="9"/>
              <w:rPr>
                <w:rFonts w:hint="eastAsia" w:asciiTheme="minorEastAsia" w:hAnsiTheme="minorEastAsia" w:eastAsiaTheme="minorEastAsia" w:cstheme="minorEastAsia"/>
                <w:sz w:val="24"/>
                <w:szCs w:val="24"/>
              </w:rPr>
            </w:pPr>
          </w:p>
        </w:tc>
      </w:tr>
      <w:tr w14:paraId="5A11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4" w:type="dxa"/>
            <w:noWrap w:val="0"/>
            <w:vAlign w:val="top"/>
          </w:tcPr>
          <w:p w14:paraId="76C0FCC3">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41" w:type="dxa"/>
            <w:noWrap w:val="0"/>
            <w:vAlign w:val="top"/>
          </w:tcPr>
          <w:p w14:paraId="74261090">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2F45640E">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12448AF8">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5CC076EF">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5F2171E0">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6DA67EC9">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2C1DB07C">
            <w:pPr>
              <w:spacing w:line="360" w:lineRule="auto"/>
              <w:outlineLvl w:val="9"/>
              <w:rPr>
                <w:rFonts w:hint="eastAsia" w:asciiTheme="minorEastAsia" w:hAnsiTheme="minorEastAsia" w:eastAsiaTheme="minorEastAsia" w:cstheme="minorEastAsia"/>
                <w:sz w:val="24"/>
                <w:szCs w:val="24"/>
              </w:rPr>
            </w:pPr>
          </w:p>
        </w:tc>
      </w:tr>
      <w:tr w14:paraId="2EF0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01C60FD8">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41" w:type="dxa"/>
            <w:noWrap w:val="0"/>
            <w:vAlign w:val="top"/>
          </w:tcPr>
          <w:p w14:paraId="3544240A">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4F02A8EC">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6BE52B56">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2C4B56BF">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5279C110">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6014CED9">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3C24F15D">
            <w:pPr>
              <w:spacing w:line="360" w:lineRule="auto"/>
              <w:outlineLvl w:val="9"/>
              <w:rPr>
                <w:rFonts w:hint="eastAsia" w:asciiTheme="minorEastAsia" w:hAnsiTheme="minorEastAsia" w:eastAsiaTheme="minorEastAsia" w:cstheme="minorEastAsia"/>
                <w:sz w:val="24"/>
                <w:szCs w:val="24"/>
              </w:rPr>
            </w:pPr>
          </w:p>
        </w:tc>
      </w:tr>
      <w:tr w14:paraId="2D78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3687C720">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41" w:type="dxa"/>
            <w:noWrap w:val="0"/>
            <w:vAlign w:val="top"/>
          </w:tcPr>
          <w:p w14:paraId="203B4DC8">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5648DED0">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3393AD20">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5E2B5A56">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037F6841">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3877D41E">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21E46156">
            <w:pPr>
              <w:spacing w:line="360" w:lineRule="auto"/>
              <w:outlineLvl w:val="9"/>
              <w:rPr>
                <w:rFonts w:hint="eastAsia" w:asciiTheme="minorEastAsia" w:hAnsiTheme="minorEastAsia" w:eastAsiaTheme="minorEastAsia" w:cstheme="minorEastAsia"/>
                <w:sz w:val="24"/>
                <w:szCs w:val="24"/>
              </w:rPr>
            </w:pPr>
          </w:p>
        </w:tc>
      </w:tr>
      <w:tr w14:paraId="646B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noWrap w:val="0"/>
            <w:vAlign w:val="top"/>
          </w:tcPr>
          <w:p w14:paraId="5514EC30">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总计</w:t>
            </w:r>
          </w:p>
        </w:tc>
        <w:tc>
          <w:tcPr>
            <w:tcW w:w="2441" w:type="dxa"/>
            <w:noWrap w:val="0"/>
            <w:vAlign w:val="top"/>
          </w:tcPr>
          <w:p w14:paraId="4CF2DBA4">
            <w:pPr>
              <w:spacing w:line="360" w:lineRule="auto"/>
              <w:outlineLvl w:val="9"/>
              <w:rPr>
                <w:rFonts w:hint="eastAsia" w:asciiTheme="minorEastAsia" w:hAnsiTheme="minorEastAsia" w:eastAsiaTheme="minorEastAsia" w:cstheme="minorEastAsia"/>
                <w:sz w:val="24"/>
                <w:szCs w:val="24"/>
              </w:rPr>
            </w:pPr>
          </w:p>
        </w:tc>
        <w:tc>
          <w:tcPr>
            <w:tcW w:w="1701" w:type="dxa"/>
            <w:noWrap w:val="0"/>
            <w:vAlign w:val="top"/>
          </w:tcPr>
          <w:p w14:paraId="7FFF622A">
            <w:pPr>
              <w:spacing w:line="360" w:lineRule="auto"/>
              <w:outlineLvl w:val="9"/>
              <w:rPr>
                <w:rFonts w:hint="eastAsia" w:asciiTheme="minorEastAsia" w:hAnsiTheme="minorEastAsia" w:eastAsiaTheme="minorEastAsia" w:cstheme="minorEastAsia"/>
                <w:sz w:val="24"/>
                <w:szCs w:val="24"/>
              </w:rPr>
            </w:pPr>
          </w:p>
        </w:tc>
        <w:tc>
          <w:tcPr>
            <w:tcW w:w="992" w:type="dxa"/>
            <w:noWrap w:val="0"/>
            <w:vAlign w:val="top"/>
          </w:tcPr>
          <w:p w14:paraId="2FE1499B">
            <w:pPr>
              <w:spacing w:line="360" w:lineRule="auto"/>
              <w:outlineLvl w:val="9"/>
              <w:rPr>
                <w:rFonts w:hint="eastAsia" w:asciiTheme="minorEastAsia" w:hAnsiTheme="minorEastAsia" w:eastAsiaTheme="minorEastAsia" w:cstheme="minorEastAsia"/>
                <w:sz w:val="24"/>
                <w:szCs w:val="24"/>
              </w:rPr>
            </w:pPr>
          </w:p>
        </w:tc>
        <w:tc>
          <w:tcPr>
            <w:tcW w:w="687" w:type="dxa"/>
            <w:noWrap w:val="0"/>
            <w:vAlign w:val="top"/>
          </w:tcPr>
          <w:p w14:paraId="11191CF9">
            <w:pPr>
              <w:spacing w:line="360" w:lineRule="auto"/>
              <w:outlineLvl w:val="9"/>
              <w:rPr>
                <w:rFonts w:hint="eastAsia" w:asciiTheme="minorEastAsia" w:hAnsiTheme="minorEastAsia" w:eastAsiaTheme="minorEastAsia" w:cstheme="minorEastAsia"/>
                <w:sz w:val="24"/>
                <w:szCs w:val="24"/>
              </w:rPr>
            </w:pPr>
          </w:p>
        </w:tc>
        <w:tc>
          <w:tcPr>
            <w:tcW w:w="645" w:type="dxa"/>
            <w:noWrap w:val="0"/>
            <w:vAlign w:val="top"/>
          </w:tcPr>
          <w:p w14:paraId="237C75FA">
            <w:pPr>
              <w:spacing w:line="360" w:lineRule="auto"/>
              <w:outlineLvl w:val="9"/>
              <w:rPr>
                <w:rFonts w:hint="eastAsia" w:asciiTheme="minorEastAsia" w:hAnsiTheme="minorEastAsia" w:eastAsiaTheme="minorEastAsia" w:cstheme="minorEastAsia"/>
                <w:sz w:val="24"/>
                <w:szCs w:val="24"/>
              </w:rPr>
            </w:pPr>
          </w:p>
        </w:tc>
        <w:tc>
          <w:tcPr>
            <w:tcW w:w="924" w:type="dxa"/>
            <w:noWrap w:val="0"/>
            <w:vAlign w:val="top"/>
          </w:tcPr>
          <w:p w14:paraId="5628C9C9">
            <w:pPr>
              <w:spacing w:line="360" w:lineRule="auto"/>
              <w:outlineLvl w:val="9"/>
              <w:rPr>
                <w:rFonts w:hint="eastAsia" w:asciiTheme="minorEastAsia" w:hAnsiTheme="minorEastAsia" w:eastAsiaTheme="minorEastAsia" w:cstheme="minorEastAsia"/>
                <w:sz w:val="24"/>
                <w:szCs w:val="24"/>
              </w:rPr>
            </w:pPr>
          </w:p>
        </w:tc>
        <w:tc>
          <w:tcPr>
            <w:tcW w:w="1692" w:type="dxa"/>
            <w:noWrap w:val="0"/>
            <w:vAlign w:val="top"/>
          </w:tcPr>
          <w:p w14:paraId="6BA73BE4">
            <w:pPr>
              <w:spacing w:line="360" w:lineRule="auto"/>
              <w:outlineLvl w:val="9"/>
              <w:rPr>
                <w:rFonts w:hint="eastAsia" w:asciiTheme="minorEastAsia" w:hAnsiTheme="minorEastAsia" w:eastAsiaTheme="minorEastAsia" w:cstheme="minorEastAsia"/>
                <w:sz w:val="24"/>
                <w:szCs w:val="24"/>
              </w:rPr>
            </w:pPr>
          </w:p>
        </w:tc>
      </w:tr>
    </w:tbl>
    <w:p w14:paraId="3BC99C48">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说明：1、采购货物报价指目的地交货价，含税费、运杂费、保险费、技术服务费、专用工具、质保期内的易损件等费用。</w:t>
      </w:r>
    </w:p>
    <w:p w14:paraId="33C844EF">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供应商名称（盖章）：_________________</w:t>
      </w:r>
    </w:p>
    <w:p w14:paraId="488A5C17">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法定代表人（单位负责人）或委托代理人</w:t>
      </w:r>
      <w:r>
        <w:rPr>
          <w:rFonts w:hint="eastAsia" w:asciiTheme="minorEastAsia" w:hAnsiTheme="minorEastAsia" w:eastAsiaTheme="minorEastAsia" w:cstheme="minorEastAsia"/>
          <w:sz w:val="24"/>
          <w:szCs w:val="24"/>
        </w:rPr>
        <w:t>（签字或盖章）：_____________</w:t>
      </w:r>
    </w:p>
    <w:p w14:paraId="6E57A90B">
      <w:pPr>
        <w:spacing w:line="360" w:lineRule="auto"/>
        <w:ind w:firstLine="480"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附件1.3</w:t>
      </w:r>
    </w:p>
    <w:p w14:paraId="26C0EAEC">
      <w:pPr>
        <w:spacing w:line="360" w:lineRule="auto"/>
        <w:ind w:firstLine="482" w:firstLineChars="200"/>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技术规格和商务条款偏差表</w:t>
      </w:r>
    </w:p>
    <w:p w14:paraId="4C49EFCC">
      <w:pPr>
        <w:pStyle w:val="14"/>
        <w:spacing w:line="360" w:lineRule="auto"/>
        <w:ind w:firstLine="480" w:firstLineChars="200"/>
        <w:outlineLvl w:val="9"/>
        <w:rPr>
          <w:rFonts w:hint="eastAsia" w:asciiTheme="minorEastAsia" w:hAnsiTheme="minorEastAsia" w:eastAsiaTheme="minorEastAsia" w:cstheme="minorEastAsia"/>
          <w:bCs/>
          <w:sz w:val="24"/>
          <w:szCs w:val="24"/>
        </w:rPr>
      </w:pPr>
    </w:p>
    <w:p w14:paraId="4FCD5568">
      <w:pPr>
        <w:pStyle w:val="14"/>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p w14:paraId="7A5F793D">
      <w:pPr>
        <w:pStyle w:val="14"/>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u w:val="none"/>
          <w:lang w:eastAsia="zh-CN"/>
        </w:rPr>
        <w:t>采购</w:t>
      </w:r>
      <w:r>
        <w:rPr>
          <w:rFonts w:hint="eastAsia" w:asciiTheme="minorEastAsia" w:hAnsiTheme="minorEastAsia" w:eastAsiaTheme="minorEastAsia" w:cstheme="minorEastAsia"/>
          <w:bCs/>
          <w:sz w:val="24"/>
          <w:szCs w:val="24"/>
        </w:rPr>
        <w:t>编号：</w:t>
      </w:r>
    </w:p>
    <w:p w14:paraId="067F5CB1">
      <w:pPr>
        <w:pStyle w:val="14"/>
        <w:spacing w:line="360" w:lineRule="auto"/>
        <w:ind w:firstLine="480" w:firstLineChars="200"/>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此处内容由供应商自拟</w:t>
      </w:r>
    </w:p>
    <w:p w14:paraId="1E55E1E4">
      <w:pPr>
        <w:adjustRightInd w:val="0"/>
        <w:snapToGrid w:val="0"/>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偏差表内容与投标文件中相关的材料不符的，投标文件将被采购人拒绝。</w:t>
      </w:r>
    </w:p>
    <w:p w14:paraId="4C22E9F6">
      <w:pPr>
        <w:pStyle w:val="27"/>
        <w:spacing w:line="360" w:lineRule="auto"/>
        <w:ind w:firstLine="480" w:firstLineChars="200"/>
        <w:outlineLvl w:val="9"/>
        <w:rPr>
          <w:rFonts w:hint="eastAsia" w:asciiTheme="minorEastAsia" w:hAnsiTheme="minorEastAsia" w:eastAsiaTheme="minorEastAsia" w:cstheme="minorEastAsia"/>
          <w:bCs/>
          <w:sz w:val="24"/>
          <w:szCs w:val="24"/>
        </w:rPr>
      </w:pPr>
    </w:p>
    <w:p w14:paraId="1989F483">
      <w:pPr>
        <w:pStyle w:val="27"/>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供应商名称（盖章）：_________________</w:t>
      </w:r>
    </w:p>
    <w:p w14:paraId="04189EAD">
      <w:pPr>
        <w:pStyle w:val="27"/>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法定代表人（单位负责人）或委托代理人</w:t>
      </w:r>
      <w:r>
        <w:rPr>
          <w:rFonts w:hint="eastAsia" w:asciiTheme="minorEastAsia" w:hAnsiTheme="minorEastAsia" w:eastAsiaTheme="minorEastAsia" w:cstheme="minorEastAsia"/>
          <w:bCs/>
          <w:sz w:val="24"/>
          <w:szCs w:val="24"/>
        </w:rPr>
        <w:t>（签字或盖章）：_____________</w:t>
      </w:r>
    </w:p>
    <w:p w14:paraId="60CF5611">
      <w:pPr>
        <w:pStyle w:val="27"/>
        <w:spacing w:line="360" w:lineRule="auto"/>
        <w:ind w:firstLine="480"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附件1.4</w:t>
      </w:r>
    </w:p>
    <w:p w14:paraId="1EB90730">
      <w:pPr>
        <w:pStyle w:val="27"/>
        <w:spacing w:line="360" w:lineRule="auto"/>
        <w:ind w:firstLine="482" w:firstLineChars="200"/>
        <w:jc w:val="center"/>
        <w:outlineLvl w:val="9"/>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质保期内备品备件、专用工具一览表</w:t>
      </w:r>
    </w:p>
    <w:p w14:paraId="378BB87F">
      <w:pPr>
        <w:spacing w:line="360" w:lineRule="auto"/>
        <w:ind w:firstLine="480" w:firstLineChars="200"/>
        <w:outlineLvl w:val="9"/>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采购</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tbl>
      <w:tblPr>
        <w:tblStyle w:val="52"/>
        <w:tblW w:w="0" w:type="auto"/>
        <w:tblInd w:w="0" w:type="dxa"/>
        <w:tblLayout w:type="fixed"/>
        <w:tblCellMar>
          <w:top w:w="0" w:type="dxa"/>
          <w:left w:w="0" w:type="dxa"/>
          <w:bottom w:w="0" w:type="dxa"/>
          <w:right w:w="0" w:type="dxa"/>
        </w:tblCellMar>
      </w:tblPr>
      <w:tblGrid>
        <w:gridCol w:w="678"/>
        <w:gridCol w:w="1667"/>
        <w:gridCol w:w="2206"/>
        <w:gridCol w:w="993"/>
        <w:gridCol w:w="850"/>
        <w:gridCol w:w="1418"/>
        <w:gridCol w:w="874"/>
      </w:tblGrid>
      <w:tr w14:paraId="6B4C99F3">
        <w:tblPrEx>
          <w:tblCellMar>
            <w:top w:w="0" w:type="dxa"/>
            <w:left w:w="0" w:type="dxa"/>
            <w:bottom w:w="0" w:type="dxa"/>
            <w:right w:w="0" w:type="dxa"/>
          </w:tblCellMar>
        </w:tblPrEx>
        <w:trPr>
          <w:trHeight w:val="431" w:hRule="atLeast"/>
        </w:trPr>
        <w:tc>
          <w:tcPr>
            <w:tcW w:w="6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D42D53D">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E95FA53">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220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F14C970">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9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5BC3CCC">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生产商</w:t>
            </w:r>
          </w:p>
        </w:tc>
        <w:tc>
          <w:tcPr>
            <w:tcW w:w="8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10FC5A5">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41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AD65D3">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C4B3833">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7CD0E7C5">
        <w:tblPrEx>
          <w:tblCellMar>
            <w:top w:w="0" w:type="dxa"/>
            <w:left w:w="0" w:type="dxa"/>
            <w:bottom w:w="0" w:type="dxa"/>
            <w:right w:w="0" w:type="dxa"/>
          </w:tblCellMar>
        </w:tblPrEx>
        <w:trPr>
          <w:trHeight w:val="461"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E24E1EA">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0AEA77">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3605B11">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CF51A54">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9DC1E8D">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BFEAD8E">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CAA43BB">
            <w:pPr>
              <w:spacing w:line="360" w:lineRule="auto"/>
              <w:outlineLvl w:val="9"/>
              <w:rPr>
                <w:rFonts w:hint="eastAsia" w:asciiTheme="minorEastAsia" w:hAnsiTheme="minorEastAsia" w:eastAsiaTheme="minorEastAsia" w:cstheme="minorEastAsia"/>
                <w:sz w:val="24"/>
                <w:szCs w:val="24"/>
              </w:rPr>
            </w:pPr>
          </w:p>
        </w:tc>
      </w:tr>
      <w:tr w14:paraId="30C75A1D">
        <w:tblPrEx>
          <w:tblCellMar>
            <w:top w:w="0" w:type="dxa"/>
            <w:left w:w="0" w:type="dxa"/>
            <w:bottom w:w="0" w:type="dxa"/>
            <w:right w:w="0" w:type="dxa"/>
          </w:tblCellMar>
        </w:tblPrEx>
        <w:trPr>
          <w:trHeight w:val="453"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4E21376">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6A0E69">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15D710">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D7D0295">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39FA3A3">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3961BB4">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CCD4A0">
            <w:pPr>
              <w:spacing w:line="360" w:lineRule="auto"/>
              <w:outlineLvl w:val="9"/>
              <w:rPr>
                <w:rFonts w:hint="eastAsia" w:asciiTheme="minorEastAsia" w:hAnsiTheme="minorEastAsia" w:eastAsiaTheme="minorEastAsia" w:cstheme="minorEastAsia"/>
                <w:sz w:val="24"/>
                <w:szCs w:val="24"/>
              </w:rPr>
            </w:pPr>
          </w:p>
        </w:tc>
      </w:tr>
      <w:tr w14:paraId="238C76A1">
        <w:tblPrEx>
          <w:tblCellMar>
            <w:top w:w="0" w:type="dxa"/>
            <w:left w:w="0" w:type="dxa"/>
            <w:bottom w:w="0" w:type="dxa"/>
            <w:right w:w="0" w:type="dxa"/>
          </w:tblCellMar>
        </w:tblPrEx>
        <w:trPr>
          <w:trHeight w:val="459"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98EA5DF">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24BFB39">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DB01CC">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126BEEA">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7EF3C99">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E0E2FE2">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FBE3811">
            <w:pPr>
              <w:spacing w:line="360" w:lineRule="auto"/>
              <w:outlineLvl w:val="9"/>
              <w:rPr>
                <w:rFonts w:hint="eastAsia" w:asciiTheme="minorEastAsia" w:hAnsiTheme="minorEastAsia" w:eastAsiaTheme="minorEastAsia" w:cstheme="minorEastAsia"/>
                <w:sz w:val="24"/>
                <w:szCs w:val="24"/>
              </w:rPr>
            </w:pPr>
          </w:p>
        </w:tc>
      </w:tr>
      <w:tr w14:paraId="10DBDD61">
        <w:tblPrEx>
          <w:tblCellMar>
            <w:top w:w="0" w:type="dxa"/>
            <w:left w:w="0" w:type="dxa"/>
            <w:bottom w:w="0" w:type="dxa"/>
            <w:right w:w="0" w:type="dxa"/>
          </w:tblCellMar>
        </w:tblPrEx>
        <w:trPr>
          <w:trHeight w:val="437"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01B07B7">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47921E">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F0901F">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9561E03">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E29C4B">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F1BFA5">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F92D1E4">
            <w:pPr>
              <w:spacing w:line="360" w:lineRule="auto"/>
              <w:outlineLvl w:val="9"/>
              <w:rPr>
                <w:rFonts w:hint="eastAsia" w:asciiTheme="minorEastAsia" w:hAnsiTheme="minorEastAsia" w:eastAsiaTheme="minorEastAsia" w:cstheme="minorEastAsia"/>
                <w:sz w:val="24"/>
                <w:szCs w:val="24"/>
              </w:rPr>
            </w:pPr>
          </w:p>
        </w:tc>
      </w:tr>
      <w:tr w14:paraId="1B98D96D">
        <w:tblPrEx>
          <w:tblCellMar>
            <w:top w:w="0" w:type="dxa"/>
            <w:left w:w="0" w:type="dxa"/>
            <w:bottom w:w="0" w:type="dxa"/>
            <w:right w:w="0" w:type="dxa"/>
          </w:tblCellMar>
        </w:tblPrEx>
        <w:trPr>
          <w:trHeight w:val="457"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8C21697">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EA3893F">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10C57B">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BA58F0">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7F4547">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F5E9C8A">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B720C5D">
            <w:pPr>
              <w:spacing w:line="360" w:lineRule="auto"/>
              <w:outlineLvl w:val="9"/>
              <w:rPr>
                <w:rFonts w:hint="eastAsia" w:asciiTheme="minorEastAsia" w:hAnsiTheme="minorEastAsia" w:eastAsiaTheme="minorEastAsia" w:cstheme="minorEastAsia"/>
                <w:sz w:val="24"/>
                <w:szCs w:val="24"/>
              </w:rPr>
            </w:pPr>
          </w:p>
        </w:tc>
      </w:tr>
      <w:tr w14:paraId="16EBBB6C">
        <w:tblPrEx>
          <w:tblCellMar>
            <w:top w:w="0" w:type="dxa"/>
            <w:left w:w="0" w:type="dxa"/>
            <w:bottom w:w="0" w:type="dxa"/>
            <w:right w:w="0" w:type="dxa"/>
          </w:tblCellMar>
        </w:tblPrEx>
        <w:trPr>
          <w:trHeight w:val="463"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5BDBDAD">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9022720">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C71DDC9">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3A26603">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0AE2BF">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322A35">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AA372B1">
            <w:pPr>
              <w:spacing w:line="360" w:lineRule="auto"/>
              <w:outlineLvl w:val="9"/>
              <w:rPr>
                <w:rFonts w:hint="eastAsia" w:asciiTheme="minorEastAsia" w:hAnsiTheme="minorEastAsia" w:eastAsiaTheme="minorEastAsia" w:cstheme="minorEastAsia"/>
                <w:sz w:val="24"/>
                <w:szCs w:val="24"/>
              </w:rPr>
            </w:pPr>
          </w:p>
        </w:tc>
      </w:tr>
      <w:tr w14:paraId="7E71CF2E">
        <w:tblPrEx>
          <w:tblCellMar>
            <w:top w:w="0" w:type="dxa"/>
            <w:left w:w="0" w:type="dxa"/>
            <w:bottom w:w="0" w:type="dxa"/>
            <w:right w:w="0" w:type="dxa"/>
          </w:tblCellMar>
        </w:tblPrEx>
        <w:trPr>
          <w:trHeight w:val="441"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7F93FDD">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DBFD30B">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949B00">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1DEC071">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29BD1A2">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998E5A0">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E0E445">
            <w:pPr>
              <w:spacing w:line="360" w:lineRule="auto"/>
              <w:outlineLvl w:val="9"/>
              <w:rPr>
                <w:rFonts w:hint="eastAsia" w:asciiTheme="minorEastAsia" w:hAnsiTheme="minorEastAsia" w:eastAsiaTheme="minorEastAsia" w:cstheme="minorEastAsia"/>
                <w:sz w:val="24"/>
                <w:szCs w:val="24"/>
              </w:rPr>
            </w:pPr>
          </w:p>
        </w:tc>
      </w:tr>
      <w:tr w14:paraId="480CCE02">
        <w:tblPrEx>
          <w:tblCellMar>
            <w:top w:w="0" w:type="dxa"/>
            <w:left w:w="0" w:type="dxa"/>
            <w:bottom w:w="0" w:type="dxa"/>
            <w:right w:w="0" w:type="dxa"/>
          </w:tblCellMar>
        </w:tblPrEx>
        <w:trPr>
          <w:trHeight w:val="461"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8355A81">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47F8822">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302B57A">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1503A9E">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20C2921">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1790A3C">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55FF9B">
            <w:pPr>
              <w:spacing w:line="360" w:lineRule="auto"/>
              <w:outlineLvl w:val="9"/>
              <w:rPr>
                <w:rFonts w:hint="eastAsia" w:asciiTheme="minorEastAsia" w:hAnsiTheme="minorEastAsia" w:eastAsiaTheme="minorEastAsia" w:cstheme="minorEastAsia"/>
                <w:sz w:val="24"/>
                <w:szCs w:val="24"/>
              </w:rPr>
            </w:pPr>
          </w:p>
        </w:tc>
      </w:tr>
      <w:tr w14:paraId="10C50DE3">
        <w:tblPrEx>
          <w:tblCellMar>
            <w:top w:w="0" w:type="dxa"/>
            <w:left w:w="0" w:type="dxa"/>
            <w:bottom w:w="0" w:type="dxa"/>
            <w:right w:w="0" w:type="dxa"/>
          </w:tblCellMar>
        </w:tblPrEx>
        <w:trPr>
          <w:trHeight w:val="453"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565D6FA">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F463A90">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3802B36">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1B33097">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0B8925">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27045D6">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B39796">
            <w:pPr>
              <w:spacing w:line="360" w:lineRule="auto"/>
              <w:outlineLvl w:val="9"/>
              <w:rPr>
                <w:rFonts w:hint="eastAsia" w:asciiTheme="minorEastAsia" w:hAnsiTheme="minorEastAsia" w:eastAsiaTheme="minorEastAsia" w:cstheme="minorEastAsia"/>
                <w:sz w:val="24"/>
                <w:szCs w:val="24"/>
              </w:rPr>
            </w:pPr>
          </w:p>
        </w:tc>
      </w:tr>
      <w:tr w14:paraId="621569E6">
        <w:tblPrEx>
          <w:tblCellMar>
            <w:top w:w="0" w:type="dxa"/>
            <w:left w:w="0" w:type="dxa"/>
            <w:bottom w:w="0" w:type="dxa"/>
            <w:right w:w="0" w:type="dxa"/>
          </w:tblCellMar>
        </w:tblPrEx>
        <w:trPr>
          <w:trHeight w:val="459"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349F78A">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F0A33BF">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565299">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3662BA">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714D69E">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2BD3334">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AD548A4">
            <w:pPr>
              <w:spacing w:line="360" w:lineRule="auto"/>
              <w:outlineLvl w:val="9"/>
              <w:rPr>
                <w:rFonts w:hint="eastAsia" w:asciiTheme="minorEastAsia" w:hAnsiTheme="minorEastAsia" w:eastAsiaTheme="minorEastAsia" w:cstheme="minorEastAsia"/>
                <w:sz w:val="24"/>
                <w:szCs w:val="24"/>
              </w:rPr>
            </w:pPr>
          </w:p>
        </w:tc>
      </w:tr>
      <w:tr w14:paraId="78B7264A">
        <w:tblPrEx>
          <w:tblCellMar>
            <w:top w:w="0" w:type="dxa"/>
            <w:left w:w="0" w:type="dxa"/>
            <w:bottom w:w="0" w:type="dxa"/>
            <w:right w:w="0" w:type="dxa"/>
          </w:tblCellMar>
        </w:tblPrEx>
        <w:trPr>
          <w:trHeight w:val="437"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6BB287D">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655ECAF">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FA21AF2">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A40A25">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E4EBDAF">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4607FC7">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D4D424E">
            <w:pPr>
              <w:spacing w:line="360" w:lineRule="auto"/>
              <w:outlineLvl w:val="9"/>
              <w:rPr>
                <w:rFonts w:hint="eastAsia" w:asciiTheme="minorEastAsia" w:hAnsiTheme="minorEastAsia" w:eastAsiaTheme="minorEastAsia" w:cstheme="minorEastAsia"/>
                <w:sz w:val="24"/>
                <w:szCs w:val="24"/>
              </w:rPr>
            </w:pPr>
          </w:p>
        </w:tc>
      </w:tr>
      <w:tr w14:paraId="01CEBC9E">
        <w:tblPrEx>
          <w:tblCellMar>
            <w:top w:w="0" w:type="dxa"/>
            <w:left w:w="0" w:type="dxa"/>
            <w:bottom w:w="0" w:type="dxa"/>
            <w:right w:w="0" w:type="dxa"/>
          </w:tblCellMar>
        </w:tblPrEx>
        <w:trPr>
          <w:trHeight w:val="457"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45C8C22">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0BEA66E">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640C6E">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C72855">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FD1A269">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262B815">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BB21C7">
            <w:pPr>
              <w:spacing w:line="360" w:lineRule="auto"/>
              <w:outlineLvl w:val="9"/>
              <w:rPr>
                <w:rFonts w:hint="eastAsia" w:asciiTheme="minorEastAsia" w:hAnsiTheme="minorEastAsia" w:eastAsiaTheme="minorEastAsia" w:cstheme="minorEastAsia"/>
                <w:sz w:val="24"/>
                <w:szCs w:val="24"/>
              </w:rPr>
            </w:pPr>
          </w:p>
        </w:tc>
      </w:tr>
      <w:tr w14:paraId="28A29E86">
        <w:tblPrEx>
          <w:tblCellMar>
            <w:top w:w="0" w:type="dxa"/>
            <w:left w:w="0" w:type="dxa"/>
            <w:bottom w:w="0" w:type="dxa"/>
            <w:right w:w="0" w:type="dxa"/>
          </w:tblCellMar>
        </w:tblPrEx>
        <w:trPr>
          <w:trHeight w:val="449"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CE40C08">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0A1E828">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2F260C0">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17AC752">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4EFE638">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F56E20D">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4E9A64C">
            <w:pPr>
              <w:spacing w:line="360" w:lineRule="auto"/>
              <w:outlineLvl w:val="9"/>
              <w:rPr>
                <w:rFonts w:hint="eastAsia" w:asciiTheme="minorEastAsia" w:hAnsiTheme="minorEastAsia" w:eastAsiaTheme="minorEastAsia" w:cstheme="minorEastAsia"/>
                <w:sz w:val="24"/>
                <w:szCs w:val="24"/>
              </w:rPr>
            </w:pPr>
          </w:p>
        </w:tc>
      </w:tr>
      <w:tr w14:paraId="686D81C2">
        <w:tblPrEx>
          <w:tblCellMar>
            <w:top w:w="0" w:type="dxa"/>
            <w:left w:w="0" w:type="dxa"/>
            <w:bottom w:w="0" w:type="dxa"/>
            <w:right w:w="0" w:type="dxa"/>
          </w:tblCellMar>
        </w:tblPrEx>
        <w:trPr>
          <w:trHeight w:val="468" w:hRule="atLeast"/>
        </w:trPr>
        <w:tc>
          <w:tcPr>
            <w:tcW w:w="67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40A9D57">
            <w:pPr>
              <w:spacing w:line="360" w:lineRule="auto"/>
              <w:outlineLvl w:val="9"/>
              <w:rPr>
                <w:rFonts w:hint="eastAsia" w:asciiTheme="minorEastAsia" w:hAnsiTheme="minorEastAsia" w:eastAsiaTheme="minorEastAsia" w:cstheme="minorEastAsia"/>
                <w:sz w:val="24"/>
                <w:szCs w:val="24"/>
              </w:rPr>
            </w:pPr>
          </w:p>
        </w:tc>
        <w:tc>
          <w:tcPr>
            <w:tcW w:w="166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F293EA">
            <w:pPr>
              <w:spacing w:line="360" w:lineRule="auto"/>
              <w:outlineLvl w:val="9"/>
              <w:rPr>
                <w:rFonts w:hint="eastAsia" w:asciiTheme="minorEastAsia" w:hAnsiTheme="minorEastAsia" w:eastAsiaTheme="minorEastAsia" w:cstheme="minorEastAsia"/>
                <w:sz w:val="24"/>
                <w:szCs w:val="24"/>
              </w:rPr>
            </w:pPr>
          </w:p>
        </w:tc>
        <w:tc>
          <w:tcPr>
            <w:tcW w:w="220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C113C85">
            <w:pPr>
              <w:spacing w:line="360" w:lineRule="auto"/>
              <w:outlineLvl w:val="9"/>
              <w:rPr>
                <w:rFonts w:hint="eastAsia" w:asciiTheme="minorEastAsia" w:hAnsiTheme="minorEastAsia" w:eastAsiaTheme="minorEastAsia" w:cstheme="minorEastAsia"/>
                <w:sz w:val="24"/>
                <w:szCs w:val="24"/>
              </w:rPr>
            </w:pP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24AEF92">
            <w:pPr>
              <w:spacing w:line="360" w:lineRule="auto"/>
              <w:outlineLvl w:val="9"/>
              <w:rPr>
                <w:rFonts w:hint="eastAsia" w:asciiTheme="minorEastAsia" w:hAnsiTheme="minorEastAsia" w:eastAsiaTheme="minorEastAsia" w:cstheme="minorEastAsia"/>
                <w:sz w:val="24"/>
                <w:szCs w:val="24"/>
              </w:rPr>
            </w:pP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9E41155">
            <w:pPr>
              <w:spacing w:line="360" w:lineRule="auto"/>
              <w:outlineLvl w:val="9"/>
              <w:rPr>
                <w:rFonts w:hint="eastAsia" w:asciiTheme="minorEastAsia" w:hAnsiTheme="minorEastAsia" w:eastAsiaTheme="minorEastAsia" w:cstheme="minorEastAsia"/>
                <w:sz w:val="24"/>
                <w:szCs w:val="24"/>
              </w:rPr>
            </w:pP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3B2C24E">
            <w:pPr>
              <w:spacing w:line="360" w:lineRule="auto"/>
              <w:outlineLvl w:val="9"/>
              <w:rPr>
                <w:rFonts w:hint="eastAsia" w:asciiTheme="minorEastAsia" w:hAnsiTheme="minorEastAsia" w:eastAsiaTheme="minorEastAsia" w:cstheme="minorEastAsia"/>
                <w:sz w:val="24"/>
                <w:szCs w:val="24"/>
              </w:rPr>
            </w:pPr>
          </w:p>
        </w:tc>
        <w:tc>
          <w:tcPr>
            <w:tcW w:w="87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EB6A0D9">
            <w:pPr>
              <w:spacing w:line="360" w:lineRule="auto"/>
              <w:outlineLvl w:val="9"/>
              <w:rPr>
                <w:rFonts w:hint="eastAsia" w:asciiTheme="minorEastAsia" w:hAnsiTheme="minorEastAsia" w:eastAsiaTheme="minorEastAsia" w:cstheme="minorEastAsia"/>
                <w:sz w:val="24"/>
                <w:szCs w:val="24"/>
              </w:rPr>
            </w:pPr>
          </w:p>
        </w:tc>
      </w:tr>
    </w:tbl>
    <w:p w14:paraId="5890FBEB">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注：本表内备品备件及专用工具在货物质保期内免费提供。</w:t>
      </w:r>
    </w:p>
    <w:p w14:paraId="57C7B100">
      <w:pPr>
        <w:pStyle w:val="27"/>
        <w:spacing w:line="360" w:lineRule="auto"/>
        <w:ind w:firstLine="480" w:firstLineChars="200"/>
        <w:outlineLvl w:val="9"/>
        <w:rPr>
          <w:rFonts w:hint="eastAsia" w:asciiTheme="minorEastAsia" w:hAnsiTheme="minorEastAsia" w:eastAsiaTheme="minorEastAsia" w:cstheme="minorEastAsia"/>
          <w:sz w:val="24"/>
          <w:szCs w:val="24"/>
        </w:rPr>
      </w:pPr>
    </w:p>
    <w:p w14:paraId="711D4A3D">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供应商名称（盖章）：_________________</w:t>
      </w:r>
    </w:p>
    <w:p w14:paraId="3E087C11">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法定代表人（单位负责人）或委托代理人</w:t>
      </w:r>
      <w:r>
        <w:rPr>
          <w:rFonts w:hint="eastAsia" w:asciiTheme="minorEastAsia" w:hAnsiTheme="minorEastAsia" w:eastAsiaTheme="minorEastAsia" w:cstheme="minorEastAsia"/>
          <w:sz w:val="24"/>
          <w:szCs w:val="24"/>
        </w:rPr>
        <w:t>（签字或盖章）：_____________</w:t>
      </w:r>
    </w:p>
    <w:p w14:paraId="039413FC">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p w14:paraId="7C9987E3">
      <w:pPr>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附件1.5</w:t>
      </w:r>
    </w:p>
    <w:p w14:paraId="4BE3791E">
      <w:pPr>
        <w:spacing w:line="360" w:lineRule="auto"/>
        <w:ind w:firstLine="482" w:firstLineChars="200"/>
        <w:jc w:val="center"/>
        <w:outlineLvl w:val="9"/>
        <w:rPr>
          <w:rFonts w:hint="eastAsia" w:asciiTheme="minorEastAsia" w:hAnsiTheme="minorEastAsia" w:eastAsiaTheme="minorEastAsia" w:cstheme="minorEastAsia"/>
          <w:b/>
          <w:bCs/>
          <w:sz w:val="24"/>
          <w:szCs w:val="24"/>
          <w:lang w:val="zh-CN"/>
        </w:rPr>
      </w:pPr>
      <w:bookmarkStart w:id="238" w:name="_Toc19230"/>
      <w:r>
        <w:rPr>
          <w:rFonts w:hint="eastAsia" w:asciiTheme="minorEastAsia" w:hAnsiTheme="minorEastAsia" w:eastAsiaTheme="minorEastAsia" w:cstheme="minorEastAsia"/>
          <w:b/>
          <w:bCs/>
          <w:sz w:val="24"/>
          <w:szCs w:val="24"/>
          <w:lang w:val="zh-CN"/>
        </w:rPr>
        <w:t>质保期外备品备件、专用工具报价表</w:t>
      </w:r>
      <w:bookmarkEnd w:id="238"/>
    </w:p>
    <w:p w14:paraId="16A89F01">
      <w:pPr>
        <w:spacing w:line="360" w:lineRule="auto"/>
        <w:ind w:firstLine="480" w:firstLineChars="200"/>
        <w:jc w:val="left"/>
        <w:outlineLvl w:val="9"/>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采购</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单位：元</w:t>
      </w:r>
    </w:p>
    <w:tbl>
      <w:tblPr>
        <w:tblStyle w:val="52"/>
        <w:tblW w:w="0" w:type="auto"/>
        <w:tblInd w:w="0" w:type="dxa"/>
        <w:tblLayout w:type="fixed"/>
        <w:tblCellMar>
          <w:top w:w="0" w:type="dxa"/>
          <w:left w:w="0" w:type="dxa"/>
          <w:bottom w:w="0" w:type="dxa"/>
          <w:right w:w="0" w:type="dxa"/>
        </w:tblCellMar>
      </w:tblPr>
      <w:tblGrid>
        <w:gridCol w:w="1786"/>
        <w:gridCol w:w="923"/>
        <w:gridCol w:w="1786"/>
        <w:gridCol w:w="1354"/>
        <w:gridCol w:w="923"/>
        <w:gridCol w:w="923"/>
        <w:gridCol w:w="925"/>
      </w:tblGrid>
      <w:tr w14:paraId="203C02CB">
        <w:tblPrEx>
          <w:tblCellMar>
            <w:top w:w="0" w:type="dxa"/>
            <w:left w:w="0" w:type="dxa"/>
            <w:bottom w:w="0" w:type="dxa"/>
            <w:right w:w="0" w:type="dxa"/>
          </w:tblCellMar>
        </w:tblPrEx>
        <w:trPr>
          <w:trHeight w:val="496" w:hRule="atLeast"/>
        </w:trPr>
        <w:tc>
          <w:tcPr>
            <w:tcW w:w="17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85E78E7">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9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AC17F4">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7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2D2D94">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13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7F6B79A">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生产商</w:t>
            </w:r>
          </w:p>
        </w:tc>
        <w:tc>
          <w:tcPr>
            <w:tcW w:w="9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F093EAC">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2C4F83">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9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EA76D7">
            <w:pPr>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折扣率</w:t>
            </w:r>
          </w:p>
        </w:tc>
      </w:tr>
      <w:tr w14:paraId="4266C25E">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FDDDD8">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366DE9A">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E21275">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3533CEB">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C3143F">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AFAB032">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ADDB212">
            <w:pPr>
              <w:spacing w:line="360" w:lineRule="auto"/>
              <w:jc w:val="center"/>
              <w:outlineLvl w:val="9"/>
              <w:rPr>
                <w:rFonts w:hint="eastAsia" w:asciiTheme="minorEastAsia" w:hAnsiTheme="minorEastAsia" w:eastAsiaTheme="minorEastAsia" w:cstheme="minorEastAsia"/>
                <w:sz w:val="24"/>
                <w:szCs w:val="24"/>
              </w:rPr>
            </w:pPr>
          </w:p>
        </w:tc>
      </w:tr>
      <w:tr w14:paraId="212CF534">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6972E1B">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B0B5B52">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01AB21C">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FB20D7">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BF3C36B">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B64E417">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B4AD411">
            <w:pPr>
              <w:spacing w:line="360" w:lineRule="auto"/>
              <w:jc w:val="center"/>
              <w:outlineLvl w:val="9"/>
              <w:rPr>
                <w:rFonts w:hint="eastAsia" w:asciiTheme="minorEastAsia" w:hAnsiTheme="minorEastAsia" w:eastAsiaTheme="minorEastAsia" w:cstheme="minorEastAsia"/>
                <w:sz w:val="24"/>
                <w:szCs w:val="24"/>
              </w:rPr>
            </w:pPr>
          </w:p>
        </w:tc>
      </w:tr>
      <w:tr w14:paraId="1F7F0651">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D70FFF2">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D04FA25">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7F1834">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740127">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DF4BA01">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28210E">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D1A2288">
            <w:pPr>
              <w:spacing w:line="360" w:lineRule="auto"/>
              <w:jc w:val="center"/>
              <w:outlineLvl w:val="9"/>
              <w:rPr>
                <w:rFonts w:hint="eastAsia" w:asciiTheme="minorEastAsia" w:hAnsiTheme="minorEastAsia" w:eastAsiaTheme="minorEastAsia" w:cstheme="minorEastAsia"/>
                <w:sz w:val="24"/>
                <w:szCs w:val="24"/>
              </w:rPr>
            </w:pPr>
          </w:p>
        </w:tc>
      </w:tr>
      <w:tr w14:paraId="1FD204DF">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D490956">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395D3F9">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3B47EDA">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188C5EB">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8E8F96D">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43E08B6">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E8E23E">
            <w:pPr>
              <w:spacing w:line="360" w:lineRule="auto"/>
              <w:jc w:val="center"/>
              <w:outlineLvl w:val="9"/>
              <w:rPr>
                <w:rFonts w:hint="eastAsia" w:asciiTheme="minorEastAsia" w:hAnsiTheme="minorEastAsia" w:eastAsiaTheme="minorEastAsia" w:cstheme="minorEastAsia"/>
                <w:sz w:val="24"/>
                <w:szCs w:val="24"/>
              </w:rPr>
            </w:pPr>
          </w:p>
        </w:tc>
      </w:tr>
      <w:tr w14:paraId="0E519AAC">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8B69A3D">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2D4155">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8F6FC6E">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33ECC5">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9FEDF54">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824684D">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44CE2B6">
            <w:pPr>
              <w:spacing w:line="360" w:lineRule="auto"/>
              <w:jc w:val="center"/>
              <w:outlineLvl w:val="9"/>
              <w:rPr>
                <w:rFonts w:hint="eastAsia" w:asciiTheme="minorEastAsia" w:hAnsiTheme="minorEastAsia" w:eastAsiaTheme="minorEastAsia" w:cstheme="minorEastAsia"/>
                <w:sz w:val="24"/>
                <w:szCs w:val="24"/>
              </w:rPr>
            </w:pPr>
          </w:p>
        </w:tc>
      </w:tr>
      <w:tr w14:paraId="0EED9062">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4DFE0AD">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A6657F8">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9DB3302">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405820">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C2009B">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663C8F6">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87EF51">
            <w:pPr>
              <w:spacing w:line="360" w:lineRule="auto"/>
              <w:jc w:val="center"/>
              <w:outlineLvl w:val="9"/>
              <w:rPr>
                <w:rFonts w:hint="eastAsia" w:asciiTheme="minorEastAsia" w:hAnsiTheme="minorEastAsia" w:eastAsiaTheme="minorEastAsia" w:cstheme="minorEastAsia"/>
                <w:sz w:val="24"/>
                <w:szCs w:val="24"/>
              </w:rPr>
            </w:pPr>
          </w:p>
        </w:tc>
      </w:tr>
      <w:tr w14:paraId="4EB36EBF">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DD78A3">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7916D57">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8590C67">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44BBDAF">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3E3D648">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47F068">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7BD65EC">
            <w:pPr>
              <w:spacing w:line="360" w:lineRule="auto"/>
              <w:jc w:val="center"/>
              <w:outlineLvl w:val="9"/>
              <w:rPr>
                <w:rFonts w:hint="eastAsia" w:asciiTheme="minorEastAsia" w:hAnsiTheme="minorEastAsia" w:eastAsiaTheme="minorEastAsia" w:cstheme="minorEastAsia"/>
                <w:sz w:val="24"/>
                <w:szCs w:val="24"/>
              </w:rPr>
            </w:pPr>
          </w:p>
        </w:tc>
      </w:tr>
      <w:tr w14:paraId="0C6BC579">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6EB80C2">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FD28BC1">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AF5D1B">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32D5A56">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E0CFE97">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56DE6F3">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A346ADB">
            <w:pPr>
              <w:spacing w:line="360" w:lineRule="auto"/>
              <w:jc w:val="center"/>
              <w:outlineLvl w:val="9"/>
              <w:rPr>
                <w:rFonts w:hint="eastAsia" w:asciiTheme="minorEastAsia" w:hAnsiTheme="minorEastAsia" w:eastAsiaTheme="minorEastAsia" w:cstheme="minorEastAsia"/>
                <w:sz w:val="24"/>
                <w:szCs w:val="24"/>
              </w:rPr>
            </w:pPr>
          </w:p>
        </w:tc>
      </w:tr>
      <w:tr w14:paraId="3F5E0894">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9A82C58">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AD496D1">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D2D68FD">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50FF67D">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CD322AE">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21CFE6">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BC17056">
            <w:pPr>
              <w:spacing w:line="360" w:lineRule="auto"/>
              <w:jc w:val="center"/>
              <w:outlineLvl w:val="9"/>
              <w:rPr>
                <w:rFonts w:hint="eastAsia" w:asciiTheme="minorEastAsia" w:hAnsiTheme="minorEastAsia" w:eastAsiaTheme="minorEastAsia" w:cstheme="minorEastAsia"/>
                <w:sz w:val="24"/>
                <w:szCs w:val="24"/>
              </w:rPr>
            </w:pPr>
          </w:p>
        </w:tc>
      </w:tr>
      <w:tr w14:paraId="097FFCCE">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C90E63">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6712662">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0E83BB3">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4839CA9">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0415451">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1F699F1">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A72FAFF">
            <w:pPr>
              <w:spacing w:line="360" w:lineRule="auto"/>
              <w:jc w:val="center"/>
              <w:outlineLvl w:val="9"/>
              <w:rPr>
                <w:rFonts w:hint="eastAsia" w:asciiTheme="minorEastAsia" w:hAnsiTheme="minorEastAsia" w:eastAsiaTheme="minorEastAsia" w:cstheme="minorEastAsia"/>
                <w:sz w:val="24"/>
                <w:szCs w:val="24"/>
              </w:rPr>
            </w:pPr>
          </w:p>
        </w:tc>
      </w:tr>
      <w:tr w14:paraId="07221819">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5DC9C50">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4D5ECB9">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C07F73">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6DC9390">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EF6927D">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5E45CA5">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813CFC">
            <w:pPr>
              <w:spacing w:line="360" w:lineRule="auto"/>
              <w:jc w:val="center"/>
              <w:outlineLvl w:val="9"/>
              <w:rPr>
                <w:rFonts w:hint="eastAsia" w:asciiTheme="minorEastAsia" w:hAnsiTheme="minorEastAsia" w:eastAsiaTheme="minorEastAsia" w:cstheme="minorEastAsia"/>
                <w:sz w:val="24"/>
                <w:szCs w:val="24"/>
              </w:rPr>
            </w:pPr>
          </w:p>
        </w:tc>
      </w:tr>
      <w:tr w14:paraId="469193E8">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DD5C77A">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8AB9CBE">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F656E1">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0EA4FFF">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69A8EB">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AD582FE">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28D6A7F">
            <w:pPr>
              <w:spacing w:line="360" w:lineRule="auto"/>
              <w:jc w:val="center"/>
              <w:outlineLvl w:val="9"/>
              <w:rPr>
                <w:rFonts w:hint="eastAsia" w:asciiTheme="minorEastAsia" w:hAnsiTheme="minorEastAsia" w:eastAsiaTheme="minorEastAsia" w:cstheme="minorEastAsia"/>
                <w:sz w:val="24"/>
                <w:szCs w:val="24"/>
              </w:rPr>
            </w:pPr>
          </w:p>
        </w:tc>
      </w:tr>
      <w:tr w14:paraId="667BA65E">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38AEC2">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BD5E0F1">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FFB1EE7">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650FCD5">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436742">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6360CB2">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8A8436">
            <w:pPr>
              <w:spacing w:line="360" w:lineRule="auto"/>
              <w:jc w:val="center"/>
              <w:outlineLvl w:val="9"/>
              <w:rPr>
                <w:rFonts w:hint="eastAsia" w:asciiTheme="minorEastAsia" w:hAnsiTheme="minorEastAsia" w:eastAsiaTheme="minorEastAsia" w:cstheme="minorEastAsia"/>
                <w:sz w:val="24"/>
                <w:szCs w:val="24"/>
              </w:rPr>
            </w:pPr>
          </w:p>
        </w:tc>
      </w:tr>
      <w:tr w14:paraId="37BFC076">
        <w:tblPrEx>
          <w:tblCellMar>
            <w:top w:w="0" w:type="dxa"/>
            <w:left w:w="0" w:type="dxa"/>
            <w:bottom w:w="0" w:type="dxa"/>
            <w:right w:w="0" w:type="dxa"/>
          </w:tblCellMar>
        </w:tblPrEx>
        <w:trPr>
          <w:trHeight w:val="506" w:hRule="atLeast"/>
        </w:trPr>
        <w:tc>
          <w:tcPr>
            <w:tcW w:w="17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3D21063">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53582D">
            <w:pPr>
              <w:spacing w:line="360" w:lineRule="auto"/>
              <w:jc w:val="center"/>
              <w:outlineLvl w:val="9"/>
              <w:rPr>
                <w:rFonts w:hint="eastAsia" w:asciiTheme="minorEastAsia" w:hAnsiTheme="minorEastAsia" w:eastAsiaTheme="minorEastAsia" w:cstheme="minorEastAsia"/>
                <w:sz w:val="24"/>
                <w:szCs w:val="24"/>
              </w:rPr>
            </w:pPr>
          </w:p>
        </w:tc>
        <w:tc>
          <w:tcPr>
            <w:tcW w:w="1786"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D1A9BAD">
            <w:pPr>
              <w:spacing w:line="360" w:lineRule="auto"/>
              <w:jc w:val="center"/>
              <w:outlineLvl w:val="9"/>
              <w:rPr>
                <w:rFonts w:hint="eastAsia" w:asciiTheme="minorEastAsia" w:hAnsiTheme="minorEastAsia" w:eastAsiaTheme="minorEastAsia" w:cstheme="minorEastAsia"/>
                <w:sz w:val="24"/>
                <w:szCs w:val="24"/>
              </w:rPr>
            </w:pPr>
          </w:p>
        </w:tc>
        <w:tc>
          <w:tcPr>
            <w:tcW w:w="135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F684FF">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157E55">
            <w:pPr>
              <w:spacing w:line="360" w:lineRule="auto"/>
              <w:jc w:val="center"/>
              <w:outlineLvl w:val="9"/>
              <w:rPr>
                <w:rFonts w:hint="eastAsia" w:asciiTheme="minorEastAsia" w:hAnsiTheme="minorEastAsia" w:eastAsiaTheme="minorEastAsia" w:cstheme="minorEastAsia"/>
                <w:sz w:val="24"/>
                <w:szCs w:val="24"/>
              </w:rPr>
            </w:pPr>
          </w:p>
        </w:tc>
        <w:tc>
          <w:tcPr>
            <w:tcW w:w="9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C56E5C">
            <w:pPr>
              <w:spacing w:line="360" w:lineRule="auto"/>
              <w:jc w:val="center"/>
              <w:outlineLvl w:val="9"/>
              <w:rPr>
                <w:rFonts w:hint="eastAsia"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0106667">
            <w:pPr>
              <w:spacing w:line="360" w:lineRule="auto"/>
              <w:jc w:val="center"/>
              <w:outlineLvl w:val="9"/>
              <w:rPr>
                <w:rFonts w:hint="eastAsia" w:asciiTheme="minorEastAsia" w:hAnsiTheme="minorEastAsia" w:eastAsiaTheme="minorEastAsia" w:cstheme="minorEastAsia"/>
                <w:sz w:val="24"/>
                <w:szCs w:val="24"/>
              </w:rPr>
            </w:pPr>
          </w:p>
        </w:tc>
      </w:tr>
    </w:tbl>
    <w:p w14:paraId="72288273">
      <w:pPr>
        <w:pStyle w:val="27"/>
        <w:spacing w:line="360" w:lineRule="auto"/>
        <w:ind w:firstLine="480" w:firstLineChars="200"/>
        <w:outlineLvl w:val="9"/>
        <w:rPr>
          <w:rFonts w:hint="eastAsia" w:asciiTheme="minorEastAsia" w:hAnsiTheme="minorEastAsia" w:eastAsiaTheme="minorEastAsia" w:cstheme="minorEastAsia"/>
          <w:sz w:val="24"/>
          <w:szCs w:val="24"/>
        </w:rPr>
      </w:pPr>
    </w:p>
    <w:p w14:paraId="55A0A761">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供应商名称（盖章）：_________________</w:t>
      </w:r>
    </w:p>
    <w:p w14:paraId="5B284264">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法定代表人（单位负责人）或委托代理人</w:t>
      </w:r>
      <w:r>
        <w:rPr>
          <w:rFonts w:hint="eastAsia" w:asciiTheme="minorEastAsia" w:hAnsiTheme="minorEastAsia" w:eastAsiaTheme="minorEastAsia" w:cstheme="minorEastAsia"/>
          <w:sz w:val="24"/>
          <w:szCs w:val="24"/>
        </w:rPr>
        <w:t>（签字或盖章）：_____________</w:t>
      </w:r>
    </w:p>
    <w:p w14:paraId="1AF4DAC9">
      <w:pPr>
        <w:pStyle w:val="27"/>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5B8E2D50">
      <w:pPr>
        <w:outlineLvl w:val="9"/>
        <w:rPr>
          <w:rFonts w:hint="eastAsia" w:asciiTheme="minorEastAsia" w:hAnsiTheme="minorEastAsia" w:eastAsiaTheme="minorEastAsia" w:cstheme="minorEastAsia"/>
          <w:b/>
          <w:bCs/>
          <w:sz w:val="24"/>
          <w:szCs w:val="24"/>
        </w:rPr>
      </w:pPr>
      <w:bookmarkStart w:id="239" w:name="_Toc32835899"/>
      <w:bookmarkStart w:id="240" w:name="_Toc3819"/>
      <w:r>
        <w:rPr>
          <w:rFonts w:hint="eastAsia" w:asciiTheme="minorEastAsia" w:hAnsiTheme="minorEastAsia" w:eastAsiaTheme="minorEastAsia" w:cstheme="minorEastAsia"/>
          <w:b/>
          <w:bCs/>
          <w:sz w:val="24"/>
          <w:szCs w:val="24"/>
        </w:rPr>
        <w:br w:type="page"/>
      </w:r>
    </w:p>
    <w:p w14:paraId="72305FF3">
      <w:pPr>
        <w:snapToGrid w:val="0"/>
        <w:spacing w:line="360" w:lineRule="auto"/>
        <w:ind w:firstLine="482" w:firstLineChars="200"/>
        <w:jc w:val="left"/>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附件2</w:t>
      </w:r>
      <w:bookmarkEnd w:id="239"/>
      <w:r>
        <w:rPr>
          <w:rFonts w:hint="eastAsia" w:asciiTheme="minorEastAsia" w:hAnsiTheme="minorEastAsia" w:eastAsiaTheme="minorEastAsia" w:cstheme="minorEastAsia"/>
          <w:b/>
          <w:bCs/>
          <w:sz w:val="24"/>
          <w:szCs w:val="24"/>
        </w:rPr>
        <w:t xml:space="preserve">  法定代表人（单位负责人）身份证明或法定代表人（单位负责人）</w:t>
      </w:r>
      <w:r>
        <w:rPr>
          <w:rFonts w:hint="eastAsia" w:asciiTheme="minorEastAsia" w:hAnsiTheme="minorEastAsia" w:eastAsiaTheme="minorEastAsia" w:cstheme="minorEastAsia"/>
          <w:b/>
          <w:sz w:val="24"/>
          <w:szCs w:val="24"/>
        </w:rPr>
        <w:t>授权书</w:t>
      </w:r>
      <w:bookmarkEnd w:id="240"/>
    </w:p>
    <w:p w14:paraId="07EA5014">
      <w:pPr>
        <w:snapToGrid w:val="0"/>
        <w:spacing w:line="360" w:lineRule="auto"/>
        <w:ind w:firstLine="482" w:firstLineChars="200"/>
        <w:jc w:val="left"/>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附件2.1</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法定代表人（单位负责人）身份证明（</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代表为</w:t>
      </w: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rPr>
        <w:t>（单位负责人）时须提供此项）</w:t>
      </w:r>
    </w:p>
    <w:p w14:paraId="7AD02B6D">
      <w:pPr>
        <w:snapToGrid w:val="0"/>
        <w:spacing w:line="360" w:lineRule="auto"/>
        <w:ind w:firstLine="482" w:firstLineChars="200"/>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法定代表人（单位负责人）身份证明</w:t>
      </w:r>
    </w:p>
    <w:p w14:paraId="7E0FA7F7">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供应商名称：______________</w:t>
      </w:r>
    </w:p>
    <w:p w14:paraId="5FCEA316">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单位性质：________________</w:t>
      </w:r>
    </w:p>
    <w:p w14:paraId="72FC8DF9">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地址：____________________</w:t>
      </w:r>
    </w:p>
    <w:p w14:paraId="39EB95CD">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成立时间：______年__月__日</w:t>
      </w:r>
    </w:p>
    <w:p w14:paraId="5C7B9DDA">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经营期限：________________</w:t>
      </w:r>
    </w:p>
    <w:p w14:paraId="1468E71A">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姓名：_________性别：_____年龄：______职务：________</w:t>
      </w:r>
    </w:p>
    <w:p w14:paraId="26C03FFB">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系________________（供应商名称）的法定代表人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w:t>
      </w:r>
    </w:p>
    <w:p w14:paraId="51B312B2">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4DBCD7B2">
      <w:pPr>
        <w:spacing w:line="360" w:lineRule="auto"/>
        <w:ind w:firstLine="480" w:firstLineChars="200"/>
        <w:jc w:val="righ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供应商：________________（盖单位章）</w:t>
      </w:r>
    </w:p>
    <w:p w14:paraId="7582A71A">
      <w:pPr>
        <w:spacing w:line="360" w:lineRule="auto"/>
        <w:ind w:firstLine="480" w:firstLineChars="200"/>
        <w:jc w:val="righ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________年__月__日</w:t>
      </w:r>
    </w:p>
    <w:p w14:paraId="6333F119">
      <w:pPr>
        <w:spacing w:line="360" w:lineRule="auto"/>
        <w:ind w:firstLine="480"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附：法定代表人（单位负责人）身份证明</w:t>
      </w:r>
      <w:r>
        <w:rPr>
          <w:rFonts w:hint="eastAsia" w:asciiTheme="minorEastAsia" w:hAnsiTheme="minorEastAsia" w:eastAsiaTheme="minorEastAsia" w:cstheme="minorEastAsia"/>
          <w:sz w:val="24"/>
          <w:szCs w:val="24"/>
          <w:lang w:eastAsia="zh-CN"/>
        </w:rPr>
        <w:t>扫描件</w:t>
      </w:r>
      <w:r>
        <w:rPr>
          <w:rFonts w:hint="eastAsia" w:asciiTheme="minorEastAsia" w:hAnsiTheme="minorEastAsia" w:eastAsiaTheme="minorEastAsia" w:cstheme="minorEastAsia"/>
          <w:sz w:val="24"/>
          <w:szCs w:val="24"/>
        </w:rPr>
        <w:t>（正反两面）</w:t>
      </w: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附件2.2</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sz w:val="24"/>
          <w:szCs w:val="24"/>
        </w:rPr>
        <w:t>法定代表人</w:t>
      </w:r>
      <w:r>
        <w:rPr>
          <w:rFonts w:hint="eastAsia" w:asciiTheme="minorEastAsia" w:hAnsiTheme="minorEastAsia" w:eastAsiaTheme="minorEastAsia" w:cstheme="minorEastAsia"/>
          <w:b/>
          <w:bCs/>
          <w:sz w:val="24"/>
          <w:szCs w:val="24"/>
        </w:rPr>
        <w:t>（单位负责人）</w:t>
      </w:r>
      <w:r>
        <w:rPr>
          <w:rFonts w:hint="eastAsia" w:asciiTheme="minorEastAsia" w:hAnsiTheme="minorEastAsia" w:eastAsiaTheme="minorEastAsia" w:cstheme="minorEastAsia"/>
          <w:b/>
          <w:sz w:val="24"/>
          <w:szCs w:val="24"/>
        </w:rPr>
        <w:t>授权书（</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代表为委托代理人时须提供此项</w:t>
      </w:r>
      <w:r>
        <w:rPr>
          <w:rFonts w:hint="eastAsia" w:asciiTheme="minorEastAsia" w:hAnsiTheme="minorEastAsia" w:eastAsiaTheme="minorEastAsia" w:cstheme="minorEastAsia"/>
          <w:b/>
          <w:sz w:val="24"/>
          <w:szCs w:val="24"/>
        </w:rPr>
        <w:t>）</w:t>
      </w:r>
    </w:p>
    <w:p w14:paraId="2C96618A">
      <w:pPr>
        <w:spacing w:line="360" w:lineRule="auto"/>
        <w:ind w:firstLine="482" w:firstLineChars="200"/>
        <w:jc w:val="cente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w:t>
      </w:r>
      <w:r>
        <w:rPr>
          <w:rFonts w:hint="eastAsia" w:asciiTheme="minorEastAsia" w:hAnsiTheme="minorEastAsia" w:eastAsiaTheme="minorEastAsia" w:cstheme="minorEastAsia"/>
          <w:b/>
          <w:bCs/>
          <w:sz w:val="24"/>
          <w:szCs w:val="24"/>
        </w:rPr>
        <w:t>（单位负责人）</w:t>
      </w:r>
      <w:r>
        <w:rPr>
          <w:rFonts w:hint="eastAsia" w:asciiTheme="minorEastAsia" w:hAnsiTheme="minorEastAsia" w:eastAsiaTheme="minorEastAsia" w:cstheme="minorEastAsia"/>
          <w:b/>
          <w:sz w:val="24"/>
          <w:szCs w:val="24"/>
        </w:rPr>
        <w:t>授权书</w:t>
      </w:r>
    </w:p>
    <w:p w14:paraId="7B7FF9C1">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本人________（姓名）系________________（供应商名称）的法定代表人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，现委托________（姓名）为我方委托代理人。委托代理人根据授权，以我方名义签署、澄清、说明、补正、递交、撤回、修改________</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________的投标文件、签订合同和处理有关事宜，其法律后果由我方承担。</w:t>
      </w:r>
    </w:p>
    <w:p w14:paraId="4471E28C">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053AFF82">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委托代理人无转委托权。</w:t>
      </w:r>
    </w:p>
    <w:p w14:paraId="67762E2A">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身份证明及委托代理人身份证明</w:t>
      </w:r>
      <w:r>
        <w:rPr>
          <w:rFonts w:hint="eastAsia" w:asciiTheme="minorEastAsia" w:hAnsiTheme="minorEastAsia" w:eastAsiaTheme="minorEastAsia" w:cstheme="minorEastAsia"/>
          <w:sz w:val="24"/>
          <w:szCs w:val="24"/>
          <w:lang w:eastAsia="zh-CN"/>
        </w:rPr>
        <w:t>扫描件</w:t>
      </w:r>
      <w:r>
        <w:rPr>
          <w:rFonts w:hint="eastAsia" w:asciiTheme="minorEastAsia" w:hAnsiTheme="minorEastAsia" w:eastAsiaTheme="minorEastAsia" w:cstheme="minorEastAsia"/>
          <w:sz w:val="24"/>
          <w:szCs w:val="24"/>
        </w:rPr>
        <w:t>（正反两面）</w:t>
      </w:r>
    </w:p>
    <w:p w14:paraId="17F7F922">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供应商：________________（盖单位章）</w:t>
      </w:r>
    </w:p>
    <w:p w14:paraId="1267D2AA">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b w:val="0"/>
          <w:bCs w:val="0"/>
          <w:sz w:val="24"/>
          <w:szCs w:val="24"/>
        </w:rPr>
        <w:t>（单位负责人）</w:t>
      </w:r>
      <w:r>
        <w:rPr>
          <w:rFonts w:hint="eastAsia" w:asciiTheme="minorEastAsia" w:hAnsiTheme="minorEastAsia" w:eastAsiaTheme="minorEastAsia" w:cstheme="minorEastAsia"/>
          <w:sz w:val="24"/>
          <w:szCs w:val="24"/>
        </w:rPr>
        <w:t>：________________（签字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59B4D805">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身份证号码：________________________</w:t>
      </w:r>
    </w:p>
    <w:p w14:paraId="24F932E2">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委托代理人：________________（签字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15DE5004">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身份证号码：________________________</w:t>
      </w:r>
    </w:p>
    <w:p w14:paraId="64653826">
      <w:pPr>
        <w:spacing w:line="360" w:lineRule="auto"/>
        <w:ind w:right="420" w:firstLine="480" w:firstLineChars="200"/>
        <w:jc w:val="righ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________年__月__日</w:t>
      </w:r>
    </w:p>
    <w:p w14:paraId="6A8ADA1C">
      <w:pPr>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注：委托期限不得少于投标有效期。</w:t>
      </w:r>
    </w:p>
    <w:p w14:paraId="2540CFEF">
      <w:pPr>
        <w:spacing w:line="360" w:lineRule="auto"/>
        <w:ind w:firstLine="482" w:firstLineChars="200"/>
        <w:outlineLvl w:val="1"/>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br w:type="page"/>
      </w:r>
      <w:bookmarkStart w:id="241" w:name="_Toc32835900"/>
      <w:bookmarkStart w:id="242" w:name="_Toc10614"/>
      <w:r>
        <w:rPr>
          <w:rFonts w:hint="eastAsia" w:asciiTheme="minorEastAsia" w:hAnsiTheme="minorEastAsia" w:eastAsiaTheme="minorEastAsia" w:cstheme="minorEastAsia"/>
          <w:b/>
          <w:bCs/>
          <w:sz w:val="24"/>
          <w:szCs w:val="24"/>
        </w:rPr>
        <w:t>附件3</w:t>
      </w:r>
      <w:bookmarkEnd w:id="241"/>
      <w:r>
        <w:rPr>
          <w:rFonts w:hint="eastAsia" w:asciiTheme="minorEastAsia" w:hAnsiTheme="minorEastAsia" w:eastAsiaTheme="minorEastAsia" w:cstheme="minorEastAsia"/>
          <w:b/>
          <w:bCs/>
          <w:sz w:val="24"/>
          <w:szCs w:val="24"/>
        </w:rPr>
        <w:t xml:space="preserve">  </w:t>
      </w:r>
      <w:bookmarkStart w:id="243" w:name="_Toc394334708"/>
      <w:bookmarkStart w:id="244" w:name="_Toc428782251"/>
      <w:bookmarkStart w:id="245" w:name="_Toc411427419"/>
      <w:bookmarkStart w:id="246" w:name="_Toc394334464"/>
      <w:r>
        <w:rPr>
          <w:rFonts w:hint="eastAsia" w:asciiTheme="minorEastAsia" w:hAnsiTheme="minorEastAsia" w:eastAsiaTheme="minorEastAsia" w:cstheme="minorEastAsia"/>
          <w:b/>
          <w:bCs/>
          <w:sz w:val="24"/>
          <w:szCs w:val="24"/>
        </w:rPr>
        <w:t>资格审查材料</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具体要求</w:t>
      </w:r>
      <w:r>
        <w:rPr>
          <w:rFonts w:hint="eastAsia" w:asciiTheme="minorEastAsia" w:hAnsiTheme="minorEastAsia" w:eastAsiaTheme="minorEastAsia" w:cstheme="minorEastAsia"/>
          <w:b/>
          <w:bCs/>
          <w:sz w:val="24"/>
          <w:szCs w:val="24"/>
        </w:rPr>
        <w:t>详见供应商须知前附表</w:t>
      </w:r>
      <w:r>
        <w:rPr>
          <w:rFonts w:hint="eastAsia" w:asciiTheme="minorEastAsia" w:hAnsiTheme="minorEastAsia" w:eastAsiaTheme="minorEastAsia" w:cstheme="minorEastAsia"/>
          <w:b/>
          <w:bCs/>
          <w:sz w:val="24"/>
          <w:szCs w:val="24"/>
          <w:lang w:eastAsia="zh-CN"/>
        </w:rPr>
        <w:t>）</w:t>
      </w:r>
      <w:bookmarkEnd w:id="242"/>
    </w:p>
    <w:p w14:paraId="734B154C">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247" w:name="_Toc32835902"/>
      <w:bookmarkStart w:id="248" w:name="_Toc29983"/>
      <w:r>
        <w:rPr>
          <w:rFonts w:hint="eastAsia" w:asciiTheme="minorEastAsia" w:hAnsiTheme="minorEastAsia" w:eastAsiaTheme="minorEastAsia" w:cstheme="minorEastAsia"/>
          <w:b/>
          <w:sz w:val="24"/>
          <w:szCs w:val="24"/>
        </w:rPr>
        <w:t>附件4</w:t>
      </w:r>
      <w:bookmarkEnd w:id="247"/>
      <w:bookmarkStart w:id="249" w:name="_Toc32835903"/>
      <w:r>
        <w:rPr>
          <w:rFonts w:hint="eastAsia" w:asciiTheme="minorEastAsia" w:hAnsiTheme="minorEastAsia" w:eastAsiaTheme="minorEastAsia" w:cstheme="minorEastAsia"/>
          <w:b/>
          <w:sz w:val="24"/>
          <w:szCs w:val="24"/>
        </w:rPr>
        <w:t xml:space="preserve"> </w:t>
      </w:r>
      <w:bookmarkEnd w:id="249"/>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中小企业声明函</w:t>
      </w:r>
      <w:bookmarkEnd w:id="248"/>
    </w:p>
    <w:bookmarkEnd w:id="243"/>
    <w:bookmarkEnd w:id="244"/>
    <w:bookmarkEnd w:id="245"/>
    <w:bookmarkEnd w:id="246"/>
    <w:p w14:paraId="17D9494B">
      <w:pPr>
        <w:spacing w:line="360" w:lineRule="auto"/>
        <w:ind w:firstLine="482" w:firstLineChars="200"/>
        <w:jc w:val="cente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中小企业声明函（货物）</w:t>
      </w:r>
    </w:p>
    <w:p w14:paraId="7EEC0792">
      <w:pPr>
        <w:pStyle w:val="14"/>
        <w:spacing w:line="360" w:lineRule="auto"/>
        <w:ind w:firstLine="480" w:firstLineChars="200"/>
        <w:jc w:val="left"/>
        <w:outlineLvl w:val="9"/>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C0A6C5E">
      <w:pPr>
        <w:pStyle w:val="14"/>
        <w:numPr>
          <w:ilvl w:val="0"/>
          <w:numId w:val="9"/>
        </w:numPr>
        <w:spacing w:line="360" w:lineRule="auto"/>
        <w:ind w:firstLine="480" w:firstLineChars="200"/>
        <w:jc w:val="left"/>
        <w:outlineLvl w:val="9"/>
        <w:rPr>
          <w:rFonts w:ascii="宋体" w:hAnsi="宋体" w:eastAsia="宋体" w:cs="宋体"/>
          <w:sz w:val="24"/>
          <w:szCs w:val="24"/>
        </w:rPr>
      </w:pPr>
      <w:r>
        <w:rPr>
          <w:rFonts w:ascii="宋体" w:hAnsi="宋体" w:eastAsia="宋体" w:cs="宋体"/>
          <w:sz w:val="24"/>
          <w:szCs w:val="24"/>
          <w:u w:val="single"/>
        </w:rPr>
        <w:t>（ 标 的 名 称 ）</w:t>
      </w:r>
      <w:r>
        <w:rPr>
          <w:rFonts w:ascii="宋体" w:hAnsi="宋体" w:eastAsia="宋体" w:cs="宋体"/>
          <w:sz w:val="24"/>
          <w:szCs w:val="24"/>
        </w:rPr>
        <w:t xml:space="preserve"> ， 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hAnsi="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hAnsi="宋体" w:cs="宋体"/>
          <w:sz w:val="24"/>
          <w:szCs w:val="24"/>
          <w:u w:val="single"/>
          <w:lang w:val="en-US" w:eastAsia="zh-CN"/>
        </w:rPr>
        <w:t xml:space="preserve">    </w:t>
      </w:r>
      <w:r>
        <w:rPr>
          <w:rFonts w:ascii="宋体" w:hAnsi="宋体" w:eastAsia="宋体" w:cs="宋体"/>
          <w:sz w:val="24"/>
          <w:szCs w:val="24"/>
        </w:rPr>
        <w:t>万元，资产总额为</w:t>
      </w:r>
      <w:r>
        <w:rPr>
          <w:rFonts w:hint="eastAsia" w:hAnsi="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04441EF4">
      <w:pPr>
        <w:pStyle w:val="14"/>
        <w:numPr>
          <w:ilvl w:val="0"/>
          <w:numId w:val="9"/>
        </w:numPr>
        <w:spacing w:line="360" w:lineRule="auto"/>
        <w:ind w:firstLine="480" w:firstLineChars="200"/>
        <w:jc w:val="left"/>
        <w:outlineLvl w:val="9"/>
        <w:rPr>
          <w:rFonts w:ascii="宋体" w:hAnsi="宋体" w:eastAsia="宋体" w:cs="宋体"/>
          <w:sz w:val="24"/>
          <w:szCs w:val="24"/>
        </w:rPr>
      </w:pPr>
      <w:r>
        <w:rPr>
          <w:rFonts w:ascii="宋体" w:hAnsi="宋体" w:eastAsia="宋体" w:cs="宋体"/>
          <w:sz w:val="24"/>
          <w:szCs w:val="24"/>
          <w:u w:val="single"/>
        </w:rPr>
        <w:t xml:space="preserve"> 标 的 名 称 ）</w:t>
      </w:r>
      <w:r>
        <w:rPr>
          <w:rFonts w:ascii="宋体" w:hAnsi="宋体" w:eastAsia="宋体" w:cs="宋体"/>
          <w:sz w:val="24"/>
          <w:szCs w:val="24"/>
        </w:rPr>
        <w:t xml:space="preserve"> ， 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hAnsi="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hAnsi="宋体" w:cs="宋体"/>
          <w:sz w:val="24"/>
          <w:szCs w:val="24"/>
          <w:u w:val="single"/>
          <w:lang w:val="en-US" w:eastAsia="zh-CN"/>
        </w:rPr>
        <w:t xml:space="preserve">    </w:t>
      </w:r>
      <w:r>
        <w:rPr>
          <w:rFonts w:ascii="宋体" w:hAnsi="宋体" w:eastAsia="宋体" w:cs="宋体"/>
          <w:sz w:val="24"/>
          <w:szCs w:val="24"/>
        </w:rPr>
        <w:t>万元，资产总额为</w:t>
      </w:r>
      <w:r>
        <w:rPr>
          <w:rFonts w:hint="eastAsia" w:hAnsi="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347D3F2">
      <w:pPr>
        <w:pStyle w:val="14"/>
        <w:numPr>
          <w:ilvl w:val="0"/>
          <w:numId w:val="9"/>
        </w:numPr>
        <w:spacing w:line="360" w:lineRule="auto"/>
        <w:ind w:firstLine="480" w:firstLineChars="200"/>
        <w:jc w:val="left"/>
        <w:outlineLvl w:val="9"/>
        <w:rPr>
          <w:rFonts w:ascii="宋体" w:hAnsi="宋体" w:eastAsia="宋体" w:cs="宋体"/>
          <w:sz w:val="24"/>
          <w:szCs w:val="24"/>
        </w:rPr>
      </w:pPr>
      <w:r>
        <w:rPr>
          <w:rFonts w:ascii="宋体" w:hAnsi="宋体" w:eastAsia="宋体" w:cs="宋体"/>
          <w:sz w:val="24"/>
          <w:szCs w:val="24"/>
        </w:rPr>
        <w:t>……</w:t>
      </w:r>
    </w:p>
    <w:p w14:paraId="26B1A6F7">
      <w:pPr>
        <w:pStyle w:val="14"/>
        <w:numPr>
          <w:ilvl w:val="0"/>
          <w:numId w:val="0"/>
        </w:numPr>
        <w:spacing w:line="360" w:lineRule="auto"/>
        <w:ind w:firstLine="720" w:firstLineChars="300"/>
        <w:jc w:val="left"/>
        <w:outlineLvl w:val="9"/>
        <w:rPr>
          <w:rFonts w:ascii="宋体" w:hAnsi="宋体" w:eastAsia="宋体" w:cs="宋体"/>
          <w:sz w:val="24"/>
          <w:szCs w:val="24"/>
        </w:rPr>
      </w:pPr>
      <w:r>
        <w:rPr>
          <w:rFonts w:hint="eastAsia" w:hAnsi="宋体" w:cs="宋体"/>
          <w:sz w:val="24"/>
          <w:szCs w:val="24"/>
          <w:lang w:val="en-US" w:eastAsia="zh-CN"/>
        </w:rPr>
        <w:t xml:space="preserve"> </w:t>
      </w:r>
      <w:r>
        <w:rPr>
          <w:rFonts w:ascii="宋体" w:hAnsi="宋体" w:eastAsia="宋体" w:cs="宋体"/>
          <w:sz w:val="24"/>
          <w:szCs w:val="24"/>
        </w:rPr>
        <w:t>以上企业，不属于大企业的分支机构，不存在控股股东为大企业的情形，也不存在与大企业的负责人为同一人的情形。</w:t>
      </w:r>
    </w:p>
    <w:p w14:paraId="52861454">
      <w:pPr>
        <w:pStyle w:val="14"/>
        <w:numPr>
          <w:ilvl w:val="0"/>
          <w:numId w:val="0"/>
        </w:numPr>
        <w:spacing w:line="360" w:lineRule="auto"/>
        <w:ind w:firstLine="720" w:firstLineChars="300"/>
        <w:jc w:val="left"/>
        <w:outlineLvl w:val="9"/>
        <w:rPr>
          <w:rFonts w:ascii="宋体" w:hAnsi="宋体" w:eastAsia="宋体" w:cs="宋体"/>
          <w:sz w:val="24"/>
          <w:szCs w:val="24"/>
        </w:rPr>
      </w:pPr>
      <w:r>
        <w:rPr>
          <w:rFonts w:hint="eastAsia" w:hAnsi="宋体" w:cs="宋体"/>
          <w:sz w:val="24"/>
          <w:szCs w:val="24"/>
          <w:lang w:val="en-US" w:eastAsia="zh-CN"/>
        </w:rPr>
        <w:t xml:space="preserve"> </w:t>
      </w:r>
      <w:r>
        <w:rPr>
          <w:rFonts w:ascii="宋体" w:hAnsi="宋体" w:eastAsia="宋体" w:cs="宋体"/>
          <w:sz w:val="24"/>
          <w:szCs w:val="24"/>
        </w:rPr>
        <w:t>本企业对上述声明内容的真实性负责。如有虚假，将依法承担相应责任。</w:t>
      </w:r>
    </w:p>
    <w:p w14:paraId="798384FA">
      <w:pPr>
        <w:pStyle w:val="14"/>
        <w:numPr>
          <w:ilvl w:val="0"/>
          <w:numId w:val="0"/>
        </w:numPr>
        <w:spacing w:line="360" w:lineRule="auto"/>
        <w:ind w:left="952" w:leftChars="280" w:firstLine="0" w:firstLineChars="0"/>
        <w:jc w:val="left"/>
        <w:outlineLvl w:val="9"/>
        <w:rPr>
          <w:rFonts w:hint="eastAsia" w:ascii="宋体" w:hAnsi="宋体" w:eastAsia="宋体" w:cs="宋体"/>
          <w:sz w:val="24"/>
          <w:szCs w:val="24"/>
          <w:lang w:eastAsia="zh-CN"/>
        </w:rPr>
      </w:pPr>
      <w:r>
        <w:rPr>
          <w:rFonts w:ascii="宋体" w:hAnsi="宋体" w:eastAsia="宋体" w:cs="宋体"/>
          <w:sz w:val="24"/>
          <w:szCs w:val="24"/>
        </w:rPr>
        <w:t>企业名称（盖章）：</w:t>
      </w:r>
    </w:p>
    <w:p w14:paraId="06A76FDF">
      <w:pPr>
        <w:pStyle w:val="14"/>
        <w:numPr>
          <w:ilvl w:val="0"/>
          <w:numId w:val="0"/>
        </w:numPr>
        <w:spacing w:line="360" w:lineRule="auto"/>
        <w:ind w:left="952" w:leftChars="280" w:firstLine="0" w:firstLineChars="0"/>
        <w:jc w:val="left"/>
        <w:outlineLvl w:val="9"/>
        <w:rPr>
          <w:rFonts w:ascii="宋体" w:hAnsi="宋体" w:eastAsia="宋体" w:cs="宋体"/>
          <w:sz w:val="24"/>
          <w:szCs w:val="24"/>
        </w:rPr>
      </w:pPr>
      <w:r>
        <w:rPr>
          <w:rFonts w:ascii="宋体" w:hAnsi="宋体" w:eastAsia="宋体" w:cs="宋体"/>
          <w:sz w:val="24"/>
          <w:szCs w:val="24"/>
        </w:rPr>
        <w:t>日期：</w:t>
      </w:r>
    </w:p>
    <w:p w14:paraId="75EC32EE">
      <w:pPr>
        <w:pStyle w:val="14"/>
        <w:numPr>
          <w:ilvl w:val="0"/>
          <w:numId w:val="0"/>
        </w:numPr>
        <w:spacing w:line="360" w:lineRule="auto"/>
        <w:ind w:left="952" w:leftChars="280" w:firstLine="0" w:firstLineChars="0"/>
        <w:jc w:val="left"/>
        <w:outlineLvl w:val="9"/>
        <w:rPr>
          <w:rFonts w:ascii="宋体" w:hAnsi="宋体" w:eastAsia="宋体" w:cs="宋体"/>
          <w:sz w:val="24"/>
          <w:szCs w:val="24"/>
        </w:rPr>
      </w:pPr>
    </w:p>
    <w:p w14:paraId="1A4626F3">
      <w:pPr>
        <w:pStyle w:val="14"/>
        <w:numPr>
          <w:ilvl w:val="0"/>
          <w:numId w:val="0"/>
        </w:numPr>
        <w:spacing w:line="360" w:lineRule="auto"/>
        <w:ind w:firstLine="480" w:firstLineChars="200"/>
        <w:jc w:val="left"/>
        <w:outlineLvl w:val="9"/>
        <w:rPr>
          <w:rFonts w:hint="eastAsia" w:asciiTheme="minorEastAsia" w:hAnsiTheme="minorEastAsia" w:eastAsiaTheme="minorEastAsia" w:cstheme="minorEastAsia"/>
          <w:b/>
          <w:sz w:val="24"/>
          <w:szCs w:val="24"/>
        </w:rPr>
      </w:pPr>
      <w:r>
        <w:rPr>
          <w:rFonts w:ascii="宋体" w:hAnsi="宋体" w:eastAsia="宋体" w:cs="宋体"/>
          <w:sz w:val="24"/>
          <w:szCs w:val="24"/>
        </w:rPr>
        <w:t>注：从业人员、营业收入、资产总额填报上一年度数据，无上一年度数据的新成立企业可不填报。</w:t>
      </w:r>
      <w:r>
        <w:rPr>
          <w:rFonts w:hint="eastAsia" w:asciiTheme="minorEastAsia" w:hAnsiTheme="minorEastAsia" w:eastAsiaTheme="minorEastAsia" w:cstheme="minorEastAsia"/>
          <w:b/>
          <w:sz w:val="24"/>
          <w:szCs w:val="24"/>
        </w:rPr>
        <w:br w:type="page"/>
      </w:r>
      <w:bookmarkStart w:id="250" w:name="_Toc32835904"/>
      <w:bookmarkStart w:id="251" w:name="_Toc22008"/>
    </w:p>
    <w:p w14:paraId="2324AF28">
      <w:pPr>
        <w:pStyle w:val="14"/>
        <w:numPr>
          <w:ilvl w:val="0"/>
          <w:numId w:val="0"/>
        </w:numPr>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280408F4">
      <w:pPr>
        <w:pStyle w:val="14"/>
        <w:numPr>
          <w:ilvl w:val="0"/>
          <w:numId w:val="0"/>
        </w:numPr>
        <w:spacing w:line="360" w:lineRule="auto"/>
        <w:ind w:firstLine="482" w:firstLineChars="200"/>
        <w:jc w:val="left"/>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bookmarkEnd w:id="250"/>
      <w:r>
        <w:rPr>
          <w:rFonts w:hint="eastAsia" w:asciiTheme="minorEastAsia" w:hAnsiTheme="minorEastAsia" w:eastAsiaTheme="minorEastAsia" w:cstheme="minorEastAsia"/>
          <w:b/>
          <w:sz w:val="24"/>
          <w:szCs w:val="24"/>
        </w:rPr>
        <w:t xml:space="preserve">  </w:t>
      </w:r>
      <w:bookmarkStart w:id="252" w:name="_Toc32835905"/>
      <w:r>
        <w:rPr>
          <w:rFonts w:hint="eastAsia" w:asciiTheme="minorEastAsia" w:hAnsiTheme="minorEastAsia" w:eastAsiaTheme="minorEastAsia" w:cstheme="minorEastAsia"/>
          <w:b/>
          <w:sz w:val="24"/>
          <w:szCs w:val="24"/>
        </w:rPr>
        <w:t>残疾人福利性单位声明函</w:t>
      </w:r>
      <w:bookmarkEnd w:id="251"/>
      <w:bookmarkEnd w:id="252"/>
    </w:p>
    <w:p w14:paraId="49667EBD">
      <w:pPr>
        <w:pStyle w:val="14"/>
        <w:spacing w:line="360" w:lineRule="auto"/>
        <w:ind w:firstLine="482" w:firstLineChars="200"/>
        <w:jc w:val="center"/>
        <w:outlineLvl w:val="9"/>
        <w:rPr>
          <w:rFonts w:hint="eastAsia" w:asciiTheme="minorEastAsia" w:hAnsiTheme="minorEastAsia" w:eastAsiaTheme="minorEastAsia" w:cstheme="minorEastAsia"/>
          <w:b/>
          <w:sz w:val="24"/>
          <w:szCs w:val="24"/>
        </w:rPr>
      </w:pPr>
      <w:bookmarkStart w:id="253" w:name="OLE_LINK13"/>
      <w:r>
        <w:rPr>
          <w:rFonts w:hint="eastAsia" w:asciiTheme="minorEastAsia" w:hAnsiTheme="minorEastAsia" w:eastAsiaTheme="minorEastAsia" w:cstheme="minorEastAsia"/>
          <w:b/>
          <w:sz w:val="24"/>
          <w:szCs w:val="24"/>
        </w:rPr>
        <w:t>残疾人福利性单位声明函</w:t>
      </w:r>
      <w:bookmarkEnd w:id="253"/>
    </w:p>
    <w:p w14:paraId="59F480A9">
      <w:pPr>
        <w:spacing w:line="360" w:lineRule="auto"/>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3773B3">
      <w:pPr>
        <w:spacing w:line="240" w:lineRule="auto"/>
        <w:ind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5EE31F12">
      <w:pPr>
        <w:spacing w:line="240" w:lineRule="auto"/>
        <w:ind w:firstLine="0" w:firstLineChars="0"/>
        <w:jc w:val="left"/>
        <w:outlineLvl w:val="9"/>
        <w:rPr>
          <w:rFonts w:hint="eastAsia" w:asciiTheme="minorEastAsia" w:hAnsiTheme="minorEastAsia" w:eastAsiaTheme="minorEastAsia" w:cstheme="minorEastAsia"/>
          <w:sz w:val="24"/>
          <w:szCs w:val="24"/>
        </w:rPr>
      </w:pPr>
    </w:p>
    <w:p w14:paraId="6D037543">
      <w:pPr>
        <w:spacing w:line="240" w:lineRule="auto"/>
        <w:ind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lang w:eastAsia="zh-CN"/>
        </w:rPr>
        <w:t>盖</w:t>
      </w:r>
      <w:r>
        <w:rPr>
          <w:rFonts w:hint="eastAsia" w:asciiTheme="minorEastAsia" w:hAnsiTheme="minorEastAsia" w:eastAsiaTheme="minorEastAsia" w:cstheme="minorEastAsia"/>
          <w:sz w:val="24"/>
          <w:szCs w:val="24"/>
        </w:rPr>
        <w:t xml:space="preserve">章）：                               </w:t>
      </w:r>
    </w:p>
    <w:p w14:paraId="58FF6CFD">
      <w:pPr>
        <w:spacing w:line="240" w:lineRule="auto"/>
        <w:ind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2538206A">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注：</w:t>
      </w:r>
      <w:r>
        <w:rPr>
          <w:rFonts w:hint="eastAsia" w:asciiTheme="minorEastAsia" w:hAnsiTheme="minorEastAsia" w:eastAsiaTheme="minorEastAsia" w:cstheme="minorEastAsia"/>
          <w:b/>
          <w:sz w:val="24"/>
          <w:szCs w:val="24"/>
        </w:rPr>
        <w:t>非残疾人福利性单位可不附此表</w:t>
      </w:r>
      <w:bookmarkStart w:id="254" w:name="_Toc32835906"/>
      <w:bookmarkStart w:id="255" w:name="_Toc26339"/>
    </w:p>
    <w:p w14:paraId="6C5E06C8">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16FC7287">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5CB7828D">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6E0F1502">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1E6D56BD">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335D9096">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190C9F72">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5406E543">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2C6E2017">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53258940">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435BC935">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253F0642">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7CCB3EF9">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435E94B1">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447471F2">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4B220A99">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020DEFD5">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60F1A6AF">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229CE8D0">
      <w:pPr>
        <w:pStyle w:val="14"/>
        <w:spacing w:line="360" w:lineRule="auto"/>
        <w:ind w:firstLine="482" w:firstLineChars="200"/>
        <w:jc w:val="left"/>
        <w:outlineLvl w:val="9"/>
        <w:rPr>
          <w:rFonts w:hint="eastAsia" w:asciiTheme="minorEastAsia" w:hAnsiTheme="minorEastAsia" w:eastAsiaTheme="minorEastAsia" w:cstheme="minorEastAsia"/>
          <w:b/>
          <w:sz w:val="24"/>
          <w:szCs w:val="24"/>
        </w:rPr>
      </w:pPr>
    </w:p>
    <w:p w14:paraId="3ED48422">
      <w:pPr>
        <w:ind w:firstLine="482" w:firstLineChars="200"/>
        <w:jc w:val="left"/>
        <w:outlineLvl w:val="1"/>
        <w:rPr>
          <w:rFonts w:hint="default"/>
          <w:b/>
          <w:bCs/>
          <w:sz w:val="24"/>
          <w:szCs w:val="24"/>
          <w:lang w:val="en-US" w:eastAsia="zh-CN"/>
        </w:rPr>
      </w:pPr>
      <w:r>
        <w:rPr>
          <w:rFonts w:hint="eastAsia"/>
          <w:b/>
          <w:bCs/>
          <w:sz w:val="24"/>
          <w:szCs w:val="24"/>
          <w:lang w:eastAsia="zh-CN"/>
        </w:rPr>
        <w:t>附件</w:t>
      </w:r>
      <w:r>
        <w:rPr>
          <w:rFonts w:hint="eastAsia"/>
          <w:b/>
          <w:bCs/>
          <w:sz w:val="24"/>
          <w:szCs w:val="24"/>
          <w:lang w:val="en-US" w:eastAsia="zh-CN"/>
        </w:rPr>
        <w:t xml:space="preserve">6  </w:t>
      </w:r>
      <w:r>
        <w:rPr>
          <w:rFonts w:hint="eastAsia"/>
          <w:b/>
          <w:bCs/>
          <w:sz w:val="24"/>
          <w:szCs w:val="24"/>
          <w:lang w:eastAsia="zh-CN"/>
        </w:rPr>
        <w:t>孟州市政府采购供应商资格信用承诺函</w:t>
      </w:r>
    </w:p>
    <w:p w14:paraId="50C2EB81">
      <w:pPr>
        <w:jc w:val="center"/>
        <w:rPr>
          <w:rFonts w:hint="eastAsia"/>
          <w:b/>
          <w:bCs/>
          <w:sz w:val="24"/>
          <w:szCs w:val="24"/>
          <w:lang w:eastAsia="zh-CN"/>
        </w:rPr>
      </w:pPr>
    </w:p>
    <w:p w14:paraId="234D7E7C">
      <w:pPr>
        <w:jc w:val="center"/>
        <w:rPr>
          <w:rFonts w:hint="eastAsia"/>
          <w:b/>
          <w:bCs/>
          <w:sz w:val="24"/>
          <w:szCs w:val="24"/>
          <w:lang w:eastAsia="zh-CN"/>
        </w:rPr>
      </w:pPr>
      <w:r>
        <w:rPr>
          <w:rFonts w:hint="eastAsia"/>
          <w:b/>
          <w:bCs/>
          <w:sz w:val="24"/>
          <w:szCs w:val="24"/>
          <w:lang w:eastAsia="zh-CN"/>
        </w:rPr>
        <w:t>孟州市政府采购供应商资格信用承诺函</w:t>
      </w:r>
    </w:p>
    <w:p w14:paraId="525C485D">
      <w:pPr>
        <w:spacing w:line="360" w:lineRule="auto"/>
        <w:ind w:firstLine="480" w:firstLineChars="200"/>
        <w:jc w:val="both"/>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w:t>
      </w:r>
    </w:p>
    <w:p w14:paraId="6FF3959E">
      <w:pPr>
        <w:spacing w:line="360" w:lineRule="auto"/>
        <w:ind w:firstLine="720" w:firstLineChars="3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w:t>
      </w:r>
    </w:p>
    <w:p w14:paraId="0C012291">
      <w:pPr>
        <w:spacing w:line="360" w:lineRule="auto"/>
        <w:ind w:firstLine="720" w:firstLineChars="3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统一社会信用代码：</w:t>
      </w:r>
    </w:p>
    <w:p w14:paraId="0CFBB227">
      <w:pPr>
        <w:spacing w:line="360" w:lineRule="auto"/>
        <w:ind w:firstLine="720" w:firstLineChars="3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供应商地址：</w:t>
      </w:r>
    </w:p>
    <w:p w14:paraId="1B003AF0">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32CA798">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1.我单位具有符合采购文件资格要求独立承担民事责任的能力。</w:t>
      </w:r>
    </w:p>
    <w:p w14:paraId="53CA936E">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2.我单位具有符合采购文件资格要求的财务状况报告。</w:t>
      </w:r>
    </w:p>
    <w:p w14:paraId="0CD368C6">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3.我单位具有符合采购文件资格要求的依法缴纳税收和社会保障记录的良好记录。</w:t>
      </w:r>
    </w:p>
    <w:p w14:paraId="51EE21B0">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4.我单位具有符合采购文件资格要求履行合同所必需的设备和专业技术能力。</w:t>
      </w:r>
    </w:p>
    <w:p w14:paraId="03C1EF2F">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5.参加政府采购活动前三年内，在经营活动中没有重大违法记录。若我单位承诺不实，自愿承担提供虚假材料谋取中标、成交的法律责任。</w:t>
      </w:r>
    </w:p>
    <w:p w14:paraId="244BC60C">
      <w:pPr>
        <w:spacing w:line="360" w:lineRule="auto"/>
        <w:ind w:firstLine="480" w:firstLineChars="200"/>
        <w:jc w:val="center"/>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承诺供应商(全称并加盖公章):</w:t>
      </w:r>
    </w:p>
    <w:p w14:paraId="1299EC6F">
      <w:pPr>
        <w:spacing w:line="360" w:lineRule="auto"/>
        <w:ind w:firstLine="480" w:firstLineChars="200"/>
        <w:jc w:val="righ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法定代表人或授权代表(签字或签章):    _</w:t>
      </w:r>
    </w:p>
    <w:p w14:paraId="4E86BBA8">
      <w:pPr>
        <w:spacing w:line="360" w:lineRule="auto"/>
        <w:ind w:firstLine="480" w:firstLineChars="200"/>
        <w:jc w:val="righ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   年    月    日</w:t>
      </w:r>
    </w:p>
    <w:p w14:paraId="47642A79">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注：1.供应商须在响应文件中按此模板提供承诺函，未提供视为未实质性响应文件要求，按无效投标处理。</w:t>
      </w:r>
    </w:p>
    <w:p w14:paraId="52EFC82B">
      <w:pPr>
        <w:spacing w:line="360" w:lineRule="auto"/>
        <w:ind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2.供应商的法定代表人(其他组织的为负责人)或者授权代表的签字或盖章应真实、有效，如由授权代表签字或盖章的，应提供“法定代表人授权书”。</w:t>
      </w:r>
    </w:p>
    <w:p w14:paraId="7876B8E4">
      <w:pPr>
        <w:rPr>
          <w:rFonts w:hint="eastAsia" w:asciiTheme="minorEastAsia" w:hAnsiTheme="minorEastAsia" w:eastAsiaTheme="minorEastAsia" w:cstheme="minorEastAsia"/>
          <w:sz w:val="24"/>
          <w:szCs w:val="24"/>
          <w:lang w:eastAsia="zh-CN"/>
        </w:rPr>
      </w:pPr>
    </w:p>
    <w:p w14:paraId="608FFAB2">
      <w:pPr>
        <w:pStyle w:val="14"/>
        <w:spacing w:line="360" w:lineRule="auto"/>
        <w:ind w:left="0" w:leftChars="0" w:firstLine="0" w:firstLineChars="0"/>
        <w:jc w:val="left"/>
        <w:outlineLvl w:val="9"/>
        <w:rPr>
          <w:rFonts w:hint="eastAsia" w:asciiTheme="minorEastAsia" w:hAnsiTheme="minorEastAsia" w:eastAsiaTheme="minorEastAsia" w:cstheme="minorEastAsia"/>
          <w:b/>
          <w:sz w:val="24"/>
          <w:szCs w:val="24"/>
        </w:rPr>
      </w:pPr>
    </w:p>
    <w:p w14:paraId="1434D767">
      <w:pPr>
        <w:pStyle w:val="14"/>
        <w:spacing w:line="360" w:lineRule="auto"/>
        <w:ind w:firstLine="482" w:firstLineChars="200"/>
        <w:jc w:val="left"/>
        <w:outlineLvl w:val="1"/>
        <w:rPr>
          <w:rFonts w:hint="eastAsia" w:asciiTheme="minorEastAsia" w:hAnsiTheme="minorEastAsia" w:eastAsiaTheme="minorEastAsia" w:cstheme="minorEastAsia"/>
          <w:b/>
          <w:sz w:val="24"/>
          <w:szCs w:val="24"/>
        </w:rPr>
      </w:pPr>
    </w:p>
    <w:p w14:paraId="40B89CB8">
      <w:pPr>
        <w:pStyle w:val="14"/>
        <w:spacing w:line="360" w:lineRule="auto"/>
        <w:ind w:firstLine="482" w:firstLineChars="200"/>
        <w:jc w:val="left"/>
        <w:outlineLvl w:val="1"/>
        <w:rPr>
          <w:rFonts w:hint="eastAsia" w:asciiTheme="minorEastAsia" w:hAnsiTheme="minorEastAsia" w:eastAsiaTheme="minorEastAsia" w:cstheme="minorEastAsia"/>
          <w:b/>
          <w:sz w:val="24"/>
          <w:szCs w:val="24"/>
        </w:rPr>
      </w:pPr>
    </w:p>
    <w:p w14:paraId="1EE87B81">
      <w:pPr>
        <w:pStyle w:val="14"/>
        <w:spacing w:line="360" w:lineRule="auto"/>
        <w:ind w:firstLine="482" w:firstLineChars="200"/>
        <w:jc w:val="left"/>
        <w:outlineLvl w:val="1"/>
        <w:rPr>
          <w:rFonts w:hint="eastAsia" w:asciiTheme="minorEastAsia" w:hAnsiTheme="minorEastAsia" w:eastAsiaTheme="minorEastAsia" w:cstheme="minorEastAsia"/>
          <w:b/>
          <w:sz w:val="24"/>
          <w:szCs w:val="24"/>
        </w:rPr>
      </w:pPr>
    </w:p>
    <w:p w14:paraId="6434D036">
      <w:pPr>
        <w:pStyle w:val="14"/>
        <w:spacing w:line="360" w:lineRule="auto"/>
        <w:ind w:firstLine="482" w:firstLineChars="200"/>
        <w:jc w:val="left"/>
        <w:outlineLvl w:val="1"/>
        <w:rPr>
          <w:rFonts w:hint="eastAsia" w:asciiTheme="minorEastAsia" w:hAnsiTheme="minorEastAsia" w:eastAsiaTheme="minorEastAsia" w:cstheme="minorEastAsia"/>
          <w:b/>
          <w:sz w:val="24"/>
          <w:szCs w:val="24"/>
        </w:rPr>
      </w:pPr>
    </w:p>
    <w:p w14:paraId="56B2EE10">
      <w:pPr>
        <w:pStyle w:val="14"/>
        <w:spacing w:line="360" w:lineRule="auto"/>
        <w:ind w:firstLine="482" w:firstLineChars="200"/>
        <w:jc w:val="left"/>
        <w:outlineLvl w:val="1"/>
        <w:rPr>
          <w:rFonts w:hint="eastAsia" w:asciiTheme="minorEastAsia" w:hAnsiTheme="minorEastAsia" w:eastAsiaTheme="minorEastAsia" w:cstheme="minorEastAsia"/>
          <w:b/>
          <w:sz w:val="24"/>
          <w:szCs w:val="24"/>
        </w:rPr>
      </w:pPr>
    </w:p>
    <w:p w14:paraId="7D3AB857">
      <w:pPr>
        <w:pStyle w:val="14"/>
        <w:spacing w:line="360" w:lineRule="auto"/>
        <w:ind w:firstLine="482" w:firstLineChars="200"/>
        <w:jc w:val="left"/>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w:t>
      </w:r>
      <w:bookmarkEnd w:id="254"/>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 xml:space="preserve">  售后服务方案及承诺</w:t>
      </w:r>
      <w:bookmarkEnd w:id="255"/>
    </w:p>
    <w:p w14:paraId="3E6D6826">
      <w:pPr>
        <w:spacing w:line="360" w:lineRule="auto"/>
        <w:ind w:firstLine="482" w:firstLineChars="200"/>
        <w:outlineLvl w:val="1"/>
        <w:rPr>
          <w:rFonts w:hint="eastAsia" w:asciiTheme="minorEastAsia" w:hAnsiTheme="minorEastAsia" w:eastAsiaTheme="minorEastAsia" w:cstheme="minorEastAsia"/>
          <w:b/>
          <w:sz w:val="24"/>
          <w:szCs w:val="24"/>
        </w:rPr>
      </w:pPr>
      <w:bookmarkStart w:id="256" w:name="_Toc32835908"/>
      <w:bookmarkStart w:id="257" w:name="_Toc23790"/>
      <w:r>
        <w:rPr>
          <w:rFonts w:hint="eastAsia" w:asciiTheme="minorEastAsia" w:hAnsiTheme="minorEastAsia" w:eastAsiaTheme="minorEastAsia" w:cstheme="minorEastAsia"/>
          <w:b/>
          <w:sz w:val="24"/>
          <w:szCs w:val="24"/>
        </w:rPr>
        <w:t>附件</w:t>
      </w:r>
      <w:bookmarkEnd w:id="256"/>
      <w:bookmarkStart w:id="258" w:name="_Toc32835909"/>
      <w:r>
        <w:rPr>
          <w:rFonts w:hint="eastAsia" w:asciiTheme="minorEastAsia" w:hAnsiTheme="minorEastAsia" w:eastAsiaTheme="minorEastAsia" w:cstheme="minorEastAsia"/>
          <w:b/>
          <w:sz w:val="24"/>
          <w:szCs w:val="24"/>
          <w:lang w:val="en-US" w:eastAsia="zh-CN"/>
        </w:rPr>
        <w:t xml:space="preserve">8  </w:t>
      </w:r>
      <w:r>
        <w:rPr>
          <w:rFonts w:hint="eastAsia" w:asciiTheme="minorEastAsia" w:hAnsiTheme="minorEastAsia" w:eastAsiaTheme="minorEastAsia" w:cstheme="minorEastAsia"/>
          <w:b/>
          <w:sz w:val="24"/>
          <w:szCs w:val="24"/>
        </w:rPr>
        <w:t>供应商认为需要提交的其他证明材料</w:t>
      </w:r>
      <w:bookmarkEnd w:id="257"/>
      <w:bookmarkEnd w:id="258"/>
    </w:p>
    <w:sectPr>
      <w:headerReference r:id="rId10" w:type="first"/>
      <w:footerReference r:id="rId12" w:type="first"/>
      <w:footerReference r:id="rId11" w:type="default"/>
      <w:pgSz w:w="11906" w:h="16838"/>
      <w:pgMar w:top="1418" w:right="1417" w:bottom="1418" w:left="141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楷体">
    <w:altName w:val="黑体"/>
    <w:panose1 w:val="00000000000000000000"/>
    <w:charset w:val="86"/>
    <w:family w:val="modern"/>
    <w:pitch w:val="default"/>
    <w:sig w:usb0="00000000" w:usb1="00000000" w:usb2="00000010" w:usb3="00000000" w:csb0="00040008" w:csb1="00000000"/>
  </w:font>
  <w:font w:name="INMAB J+ Univers">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3C44">
    <w:pPr>
      <w:pStyle w:val="32"/>
      <w:pBdr>
        <w:top w:val="single" w:color="auto" w:sz="4" w:space="0"/>
      </w:pBdr>
      <w:tabs>
        <w:tab w:val="left" w:pos="9180"/>
        <w:tab w:val="right" w:pos="9360"/>
        <w:tab w:val="clear" w:pos="8306"/>
      </w:tabs>
      <w:ind w:right="6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9B5C1">
                          <w:pPr>
                            <w:pStyle w:val="32"/>
                            <w:rPr>
                              <w:rStyle w:val="57"/>
                              <w:rFonts w:ascii="宋体" w:hAnsi="宋体"/>
                            </w:rPr>
                          </w:pPr>
                          <w:r>
                            <w:rPr>
                              <w:rFonts w:ascii="宋体" w:hAnsi="宋体"/>
                            </w:rPr>
                            <w:fldChar w:fldCharType="begin"/>
                          </w:r>
                          <w:r>
                            <w:rPr>
                              <w:rStyle w:val="57"/>
                              <w:rFonts w:ascii="宋体" w:hAnsi="宋体"/>
                            </w:rPr>
                            <w:instrText xml:space="preserve">PAGE  </w:instrText>
                          </w:r>
                          <w:r>
                            <w:rPr>
                              <w:rFonts w:ascii="宋体" w:hAnsi="宋体"/>
                            </w:rPr>
                            <w:fldChar w:fldCharType="separate"/>
                          </w:r>
                          <w:r>
                            <w:rPr>
                              <w:rStyle w:val="57"/>
                              <w:rFonts w:ascii="宋体" w:hAnsi="宋体"/>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99B5C1">
                    <w:pPr>
                      <w:pStyle w:val="32"/>
                      <w:rPr>
                        <w:rStyle w:val="57"/>
                        <w:rFonts w:ascii="宋体" w:hAnsi="宋体"/>
                      </w:rPr>
                    </w:pPr>
                    <w:r>
                      <w:rPr>
                        <w:rFonts w:ascii="宋体" w:hAnsi="宋体"/>
                      </w:rPr>
                      <w:fldChar w:fldCharType="begin"/>
                    </w:r>
                    <w:r>
                      <w:rPr>
                        <w:rStyle w:val="57"/>
                        <w:rFonts w:ascii="宋体" w:hAnsi="宋体"/>
                      </w:rPr>
                      <w:instrText xml:space="preserve">PAGE  </w:instrText>
                    </w:r>
                    <w:r>
                      <w:rPr>
                        <w:rFonts w:ascii="宋体" w:hAnsi="宋体"/>
                      </w:rPr>
                      <w:fldChar w:fldCharType="separate"/>
                    </w:r>
                    <w:r>
                      <w:rPr>
                        <w:rStyle w:val="57"/>
                        <w:rFonts w:ascii="宋体" w:hAnsi="宋体"/>
                      </w:rPr>
                      <w:t>2</w:t>
                    </w:r>
                    <w:r>
                      <w:rPr>
                        <w:rFonts w:ascii="宋体" w:hAnsi="宋体"/>
                      </w:rPr>
                      <w:fldChar w:fldCharType="end"/>
                    </w:r>
                  </w:p>
                </w:txbxContent>
              </v:textbox>
            </v:shape>
          </w:pict>
        </mc:Fallback>
      </mc:AlternateContent>
    </w:r>
    <w:r>
      <w:rPr>
        <w:rFonts w:hint="eastAsia"/>
      </w:rPr>
      <w:t>河南省至诚招标采购服务有限公司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921F">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A2EB">
    <w:pPr>
      <w:pStyle w:val="32"/>
      <w:jc w:val="center"/>
    </w:pPr>
  </w:p>
  <w:p w14:paraId="62DB4FBD">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D8DB">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948C80">
                          <w:pPr>
                            <w:pStyle w:val="32"/>
                            <w:jc w:val="center"/>
                          </w:pPr>
                          <w:r>
                            <w:fldChar w:fldCharType="begin"/>
                          </w:r>
                          <w:r>
                            <w:instrText xml:space="preserve">PAGE   \* MERGEFORMAT</w:instrText>
                          </w:r>
                          <w:r>
                            <w:fldChar w:fldCharType="separate"/>
                          </w:r>
                          <w:r>
                            <w:rPr>
                              <w:lang w:val="zh-CN"/>
                            </w:rPr>
                            <w:t>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B948C80">
                    <w:pPr>
                      <w:pStyle w:val="32"/>
                      <w:jc w:val="center"/>
                    </w:pPr>
                    <w:r>
                      <w:fldChar w:fldCharType="begin"/>
                    </w:r>
                    <w:r>
                      <w:instrText xml:space="preserve">PAGE   \* MERGEFORMAT</w:instrText>
                    </w:r>
                    <w:r>
                      <w:fldChar w:fldCharType="separate"/>
                    </w:r>
                    <w:r>
                      <w:rPr>
                        <w:lang w:val="zh-CN"/>
                      </w:rPr>
                      <w:t>9</w:t>
                    </w:r>
                    <w:r>
                      <w:rPr>
                        <w:lang w:val="zh-CN"/>
                      </w:rPr>
                      <w:fldChar w:fldCharType="end"/>
                    </w:r>
                  </w:p>
                </w:txbxContent>
              </v:textbox>
            </v:shape>
          </w:pict>
        </mc:Fallback>
      </mc:AlternateContent>
    </w:r>
  </w:p>
  <w:p w14:paraId="6BC77557">
    <w:pPr>
      <w:pStyle w:val="3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6AF8">
    <w:pPr>
      <w:pStyle w:val="192"/>
      <w:pBdr>
        <w:top w:val="single" w:color="auto" w:sz="4" w:space="0"/>
      </w:pBdr>
      <w:spacing w:line="240" w:lineRule="auto"/>
      <w:rPr>
        <w:rFonts w:hint="eastAsia"/>
        <w:bCs/>
        <w:color w:val="auto"/>
        <w:kern w:val="0"/>
        <w:sz w:val="18"/>
        <w:szCs w:val="18"/>
        <w14:shadow w14:blurRad="50800" w14:dist="38100" w14:dir="2700000" w14:sx="100000" w14:sy="100000" w14:kx="0" w14:ky="0" w14:algn="tl">
          <w14:srgbClr w14:val="000000">
            <w14:alpha w14:val="60000"/>
          </w14:srgbClr>
        </w14:shadow>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5E4124">
                          <w:pPr>
                            <w:pStyle w:val="192"/>
                            <w:pBdr>
                              <w:top w:val="single" w:color="auto" w:sz="4" w:space="0"/>
                            </w:pBdr>
                            <w:spacing w:line="240" w:lineRule="auto"/>
                          </w:pPr>
                          <w:r>
                            <w:rPr>
                              <w:rFonts w:hint="eastAsia"/>
                              <w:bCs/>
                              <w:color w:val="auto"/>
                              <w:kern w:val="0"/>
                              <w:sz w:val="18"/>
                              <w:szCs w:val="18"/>
                              <w14:shadow w14:blurRad="50800" w14:dist="38100" w14:dir="2700000" w14:sx="100000" w14:sy="100000" w14:kx="0" w14:ky="0" w14:algn="tl">
                                <w14:srgbClr w14:val="000000">
                                  <w14:alpha w14:val="60000"/>
                                </w14:srgbClr>
                              </w14:shadow>
                            </w:rPr>
                            <w:t xml:space="preserve"> </w:t>
                          </w:r>
                          <w:r>
                            <w:rPr>
                              <w:bCs/>
                              <w:color w:val="auto"/>
                              <w:kern w:val="0"/>
                              <w:sz w:val="18"/>
                              <w:szCs w:val="18"/>
                              <w14:shadow w14:blurRad="50800" w14:dist="38100" w14:dir="2700000" w14:sx="100000" w14:sy="100000" w14:kx="0" w14:ky="0" w14:algn="tl">
                                <w14:srgbClr w14:val="000000">
                                  <w14:alpha w14:val="60000"/>
                                </w14:srgbClr>
                              </w14:shadow>
                            </w:rPr>
                            <w:fldChar w:fldCharType="begin"/>
                          </w:r>
                          <w:r>
                            <w:rPr>
                              <w:bCs/>
                              <w:color w:val="auto"/>
                              <w:kern w:val="0"/>
                              <w:sz w:val="18"/>
                              <w:szCs w:val="18"/>
                              <w14:shadow w14:blurRad="50800" w14:dist="38100" w14:dir="2700000" w14:sx="100000" w14:sy="100000" w14:kx="0" w14:ky="0" w14:algn="tl">
                                <w14:srgbClr w14:val="000000">
                                  <w14:alpha w14:val="60000"/>
                                </w14:srgbClr>
                              </w14:shadow>
                            </w:rPr>
                            <w:instrText xml:space="preserve"> PAGE </w:instrText>
                          </w:r>
                          <w:r>
                            <w:rPr>
                              <w:bCs/>
                              <w:color w:val="auto"/>
                              <w:kern w:val="0"/>
                              <w:sz w:val="18"/>
                              <w:szCs w:val="18"/>
                              <w14:shadow w14:blurRad="50800" w14:dist="38100" w14:dir="2700000" w14:sx="100000" w14:sy="100000" w14:kx="0" w14:ky="0" w14:algn="tl">
                                <w14:srgbClr w14:val="000000">
                                  <w14:alpha w14:val="60000"/>
                                </w14:srgbClr>
                              </w14:shadow>
                            </w:rPr>
                            <w:fldChar w:fldCharType="separate"/>
                          </w:r>
                          <w:r>
                            <w:rPr>
                              <w:bCs/>
                              <w:color w:val="auto"/>
                              <w:kern w:val="0"/>
                              <w:sz w:val="18"/>
                              <w:szCs w:val="18"/>
                              <w14:shadow w14:blurRad="50800" w14:dist="38100" w14:dir="2700000" w14:sx="100000" w14:sy="100000" w14:kx="0" w14:ky="0" w14:algn="tl">
                                <w14:srgbClr w14:val="000000">
                                  <w14:alpha w14:val="60000"/>
                                </w14:srgbClr>
                              </w14:shadow>
                            </w:rPr>
                            <w:t>141</w:t>
                          </w:r>
                          <w:r>
                            <w:rPr>
                              <w:bCs/>
                              <w:color w:val="auto"/>
                              <w:kern w:val="0"/>
                              <w:sz w:val="18"/>
                              <w:szCs w:val="18"/>
                              <w14:shadow w14:blurRad="50800" w14:dist="38100" w14:dir="2700000" w14:sx="100000" w14:sy="100000" w14:kx="0" w14:ky="0" w14:algn="tl">
                                <w14:srgbClr w14:val="000000">
                                  <w14:alpha w14:val="60000"/>
                                </w14:srgbClr>
                              </w14:shadow>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jyZbmAQAAy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HI8mW5gEA&#10;AMgDAAAOAAAAAAAAAAEAIAAAACIBAABkcnMvZTJvRG9jLnhtbFBLBQYAAAAABgAGAFkBAAB6BQAA&#10;AAA=&#10;">
              <v:fill on="f" focussize="0,0"/>
              <v:stroke on="f" weight="1.25pt"/>
              <v:imagedata o:title=""/>
              <o:lock v:ext="edit" aspectratio="f"/>
              <v:textbox inset="0mm,0mm,0mm,0mm" style="mso-fit-shape-to-text:t;">
                <w:txbxContent>
                  <w:p w14:paraId="225E4124">
                    <w:pPr>
                      <w:pStyle w:val="192"/>
                      <w:pBdr>
                        <w:top w:val="single" w:color="auto" w:sz="4" w:space="0"/>
                      </w:pBdr>
                      <w:spacing w:line="240" w:lineRule="auto"/>
                    </w:pPr>
                    <w:r>
                      <w:rPr>
                        <w:rFonts w:hint="eastAsia"/>
                        <w:bCs/>
                        <w:color w:val="auto"/>
                        <w:kern w:val="0"/>
                        <w:sz w:val="18"/>
                        <w:szCs w:val="18"/>
                        <w14:shadow w14:blurRad="50800" w14:dist="38100" w14:dir="2700000" w14:sx="100000" w14:sy="100000" w14:kx="0" w14:ky="0" w14:algn="tl">
                          <w14:srgbClr w14:val="000000">
                            <w14:alpha w14:val="60000"/>
                          </w14:srgbClr>
                        </w14:shadow>
                      </w:rPr>
                      <w:t xml:space="preserve"> </w:t>
                    </w:r>
                    <w:r>
                      <w:rPr>
                        <w:bCs/>
                        <w:color w:val="auto"/>
                        <w:kern w:val="0"/>
                        <w:sz w:val="18"/>
                        <w:szCs w:val="18"/>
                        <w14:shadow w14:blurRad="50800" w14:dist="38100" w14:dir="2700000" w14:sx="100000" w14:sy="100000" w14:kx="0" w14:ky="0" w14:algn="tl">
                          <w14:srgbClr w14:val="000000">
                            <w14:alpha w14:val="60000"/>
                          </w14:srgbClr>
                        </w14:shadow>
                      </w:rPr>
                      <w:fldChar w:fldCharType="begin"/>
                    </w:r>
                    <w:r>
                      <w:rPr>
                        <w:bCs/>
                        <w:color w:val="auto"/>
                        <w:kern w:val="0"/>
                        <w:sz w:val="18"/>
                        <w:szCs w:val="18"/>
                        <w14:shadow w14:blurRad="50800" w14:dist="38100" w14:dir="2700000" w14:sx="100000" w14:sy="100000" w14:kx="0" w14:ky="0" w14:algn="tl">
                          <w14:srgbClr w14:val="000000">
                            <w14:alpha w14:val="60000"/>
                          </w14:srgbClr>
                        </w14:shadow>
                      </w:rPr>
                      <w:instrText xml:space="preserve"> PAGE </w:instrText>
                    </w:r>
                    <w:r>
                      <w:rPr>
                        <w:bCs/>
                        <w:color w:val="auto"/>
                        <w:kern w:val="0"/>
                        <w:sz w:val="18"/>
                        <w:szCs w:val="18"/>
                        <w14:shadow w14:blurRad="50800" w14:dist="38100" w14:dir="2700000" w14:sx="100000" w14:sy="100000" w14:kx="0" w14:ky="0" w14:algn="tl">
                          <w14:srgbClr w14:val="000000">
                            <w14:alpha w14:val="60000"/>
                          </w14:srgbClr>
                        </w14:shadow>
                      </w:rPr>
                      <w:fldChar w:fldCharType="separate"/>
                    </w:r>
                    <w:r>
                      <w:rPr>
                        <w:bCs/>
                        <w:color w:val="auto"/>
                        <w:kern w:val="0"/>
                        <w:sz w:val="18"/>
                        <w:szCs w:val="18"/>
                        <w14:shadow w14:blurRad="50800" w14:dist="38100" w14:dir="2700000" w14:sx="100000" w14:sy="100000" w14:kx="0" w14:ky="0" w14:algn="tl">
                          <w14:srgbClr w14:val="000000">
                            <w14:alpha w14:val="60000"/>
                          </w14:srgbClr>
                        </w14:shadow>
                      </w:rPr>
                      <w:t>141</w:t>
                    </w:r>
                    <w:r>
                      <w:rPr>
                        <w:bCs/>
                        <w:color w:val="auto"/>
                        <w:kern w:val="0"/>
                        <w:sz w:val="18"/>
                        <w:szCs w:val="18"/>
                        <w14:shadow w14:blurRad="50800" w14:dist="38100" w14:dir="2700000" w14:sx="100000" w14:sy="100000" w14:kx="0" w14:ky="0" w14:algn="tl">
                          <w14:srgbClr w14:val="000000">
                            <w14:alpha w14:val="60000"/>
                          </w14:srgbClr>
                        </w14:shadow>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59714">
    <w:pPr>
      <w:pStyle w:val="32"/>
      <w:pBdr>
        <w:top w:val="single" w:color="auto" w:sz="4" w:space="1"/>
      </w:pBdr>
      <w:tabs>
        <w:tab w:val="left" w:pos="6939"/>
        <w:tab w:val="clear" w:pos="4153"/>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65A0D0">
                          <w:pPr>
                            <w:pStyle w:val="32"/>
                            <w:pBdr>
                              <w:top w:val="single" w:color="auto" w:sz="4" w:space="1"/>
                            </w:pBdr>
                          </w:pPr>
                          <w:r>
                            <w:t xml:space="preserve"> </w:t>
                          </w: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2neumucB&#10;AADIAwAADgAAAAAAAAABACAAAAAiAQAAZHJzL2Uyb0RvYy54bWxQSwUGAAAAAAYABgBZAQAAewUA&#10;AAAA&#10;">
              <v:fill on="f" focussize="0,0"/>
              <v:stroke on="f" weight="1.25pt"/>
              <v:imagedata o:title=""/>
              <o:lock v:ext="edit" aspectratio="f"/>
              <v:textbox inset="0mm,0mm,0mm,0mm" style="mso-fit-shape-to-text:t;">
                <w:txbxContent>
                  <w:p w14:paraId="3A65A0D0">
                    <w:pPr>
                      <w:pStyle w:val="32"/>
                      <w:pBdr>
                        <w:top w:val="single" w:color="auto" w:sz="4" w:space="1"/>
                      </w:pBdr>
                    </w:pPr>
                    <w:r>
                      <w:t xml:space="preserve"> </w:t>
                    </w: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E3AB">
    <w:pPr>
      <w:pStyle w:val="33"/>
      <w:pBdr>
        <w:bottom w:val="single" w:color="auto" w:sz="6" w:space="0"/>
      </w:pBdr>
      <w:rPr>
        <w:rFonts w:hint="eastAsia"/>
      </w:rPr>
    </w:pPr>
    <w:r>
      <w:rPr>
        <w:rFonts w:hint="eastAsia"/>
        <w:lang w:eastAsia="zh-CN"/>
      </w:rPr>
      <w:t>**************************</w:t>
    </w:r>
    <w:r>
      <w:rPr>
        <w:rFonts w:hint="eastAsia"/>
      </w:rPr>
      <w:t>（C包）</w:t>
    </w:r>
    <w:r>
      <w:rPr>
        <w:rFonts w:hint="eastAsia" w:ascii="宋体" w:hAnsi="宋体"/>
        <w:bCs/>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0475E">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3B1E">
    <w:pPr>
      <w:pStyle w:val="33"/>
      <w:jc w:val="left"/>
    </w:pPr>
    <w:r>
      <w:rPr>
        <w:rFonts w:hint="eastAsia" w:hAnsi="宋体" w:cs="宋体"/>
        <w:sz w:val="18"/>
        <w:szCs w:val="18"/>
        <w:lang w:val="en-US" w:eastAsia="zh-CN"/>
      </w:rPr>
      <w:t xml:space="preserve">2025年孟州市河雍办钱庄村育苗大棚配套设施项目                                       </w:t>
    </w:r>
    <w:r>
      <w:rPr>
        <w:rFonts w:hint="eastAsia" w:ascii="宋体" w:hAnsi="宋体" w:cs="宋体"/>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A0C2">
    <w:pPr>
      <w:pBdr>
        <w:bottom w:val="single" w:color="auto" w:sz="4" w:space="0"/>
      </w:pBdr>
      <w:jc w:val="left"/>
      <w:rPr>
        <w:rFonts w:hint="eastAsia" w:ascii="宋体" w:hAnsi="宋体" w:cs="宋体"/>
      </w:rPr>
    </w:pPr>
    <w:r>
      <w:rPr>
        <w:rFonts w:hint="eastAsia" w:hAnsi="宋体" w:cs="宋体"/>
        <w:sz w:val="18"/>
        <w:szCs w:val="18"/>
        <w:lang w:val="en-US" w:eastAsia="zh-CN"/>
      </w:rPr>
      <w:t xml:space="preserve">孟州市产品质量检验检测中心购置检验摩擦性能和有害元素限量的检测设备                         </w:t>
    </w:r>
    <w:r>
      <w:rPr>
        <w:rFonts w:hint="eastAsia" w:ascii="宋体" w:hAnsi="宋体" w:cs="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52A04"/>
    <w:multiLevelType w:val="singleLevel"/>
    <w:tmpl w:val="E4952A04"/>
    <w:lvl w:ilvl="0" w:tentative="0">
      <w:start w:val="1"/>
      <w:numFmt w:val="decimal"/>
      <w:suff w:val="space"/>
      <w:lvlText w:val="%1."/>
      <w:lvlJc w:val="left"/>
    </w:lvl>
  </w:abstractNum>
  <w:abstractNum w:abstractNumId="1">
    <w:nsid w:val="E54BF8BE"/>
    <w:multiLevelType w:val="singleLevel"/>
    <w:tmpl w:val="E54BF8BE"/>
    <w:lvl w:ilvl="0" w:tentative="0">
      <w:start w:val="1"/>
      <w:numFmt w:val="decimal"/>
      <w:lvlText w:val="%1."/>
      <w:lvlJc w:val="left"/>
      <w:pPr>
        <w:tabs>
          <w:tab w:val="left" w:pos="312"/>
        </w:tabs>
      </w:pPr>
    </w:lvl>
  </w:abstractNum>
  <w:abstractNum w:abstractNumId="2">
    <w:nsid w:val="F9E2495C"/>
    <w:multiLevelType w:val="singleLevel"/>
    <w:tmpl w:val="F9E2495C"/>
    <w:lvl w:ilvl="0" w:tentative="0">
      <w:start w:val="1"/>
      <w:numFmt w:val="chineseCounting"/>
      <w:suff w:val="space"/>
      <w:lvlText w:val="第%1章"/>
      <w:lvlJc w:val="left"/>
      <w:rPr>
        <w:rFonts w:hint="eastAsia"/>
      </w:rPr>
    </w:lvl>
  </w:abstractNum>
  <w:abstractNum w:abstractNumId="3">
    <w:nsid w:val="01973298"/>
    <w:multiLevelType w:val="singleLevel"/>
    <w:tmpl w:val="01973298"/>
    <w:lvl w:ilvl="0" w:tentative="0">
      <w:start w:val="1"/>
      <w:numFmt w:val="decimal"/>
      <w:lvlText w:val="%1)"/>
      <w:lvlJc w:val="left"/>
      <w:pPr>
        <w:tabs>
          <w:tab w:val="left" w:pos="930"/>
        </w:tabs>
        <w:ind w:left="930" w:hanging="240"/>
      </w:pPr>
      <w:rPr>
        <w:rFonts w:hint="eastAsia"/>
      </w:rPr>
    </w:lvl>
  </w:abstractNum>
  <w:abstractNum w:abstractNumId="4">
    <w:nsid w:val="057F4B32"/>
    <w:multiLevelType w:val="singleLevel"/>
    <w:tmpl w:val="057F4B32"/>
    <w:lvl w:ilvl="0" w:tentative="0">
      <w:start w:val="1"/>
      <w:numFmt w:val="decimal"/>
      <w:lvlText w:val="%1."/>
      <w:lvlJc w:val="left"/>
      <w:pPr>
        <w:tabs>
          <w:tab w:val="left" w:pos="312"/>
        </w:tabs>
      </w:pPr>
    </w:lvl>
  </w:abstractNum>
  <w:abstractNum w:abstractNumId="5">
    <w:nsid w:val="0BCD640A"/>
    <w:multiLevelType w:val="multilevel"/>
    <w:tmpl w:val="0BCD640A"/>
    <w:lvl w:ilvl="0" w:tentative="0">
      <w:start w:val="1"/>
      <w:numFmt w:val="decimal"/>
      <w:lvlText w:val="%1)"/>
      <w:lvlJc w:val="left"/>
      <w:pPr>
        <w:tabs>
          <w:tab w:val="left" w:pos="420"/>
        </w:tabs>
        <w:ind w:left="420" w:hanging="420"/>
      </w:pPr>
    </w:lvl>
    <w:lvl w:ilvl="1" w:tentative="0">
      <w:start w:val="1"/>
      <w:numFmt w:val="decimal"/>
      <w:pStyle w:val="4"/>
      <w:lvlText w:val="%2."/>
      <w:lvlJc w:val="left"/>
      <w:pPr>
        <w:tabs>
          <w:tab w:val="left" w:pos="3398"/>
        </w:tabs>
        <w:ind w:left="3398"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1E5D4B"/>
    <w:multiLevelType w:val="singleLevel"/>
    <w:tmpl w:val="4B1E5D4B"/>
    <w:lvl w:ilvl="0" w:tentative="0">
      <w:start w:val="1"/>
      <w:numFmt w:val="decimal"/>
      <w:suff w:val="nothing"/>
      <w:lvlText w:val="%1、"/>
      <w:lvlJc w:val="left"/>
    </w:lvl>
  </w:abstractNum>
  <w:abstractNum w:abstractNumId="7">
    <w:nsid w:val="718EC87A"/>
    <w:multiLevelType w:val="singleLevel"/>
    <w:tmpl w:val="718EC87A"/>
    <w:lvl w:ilvl="0" w:tentative="0">
      <w:start w:val="1"/>
      <w:numFmt w:val="decimal"/>
      <w:lvlText w:val="%1."/>
      <w:lvlJc w:val="left"/>
      <w:pPr>
        <w:tabs>
          <w:tab w:val="left" w:pos="312"/>
        </w:tabs>
      </w:pPr>
    </w:lvl>
  </w:abstractNum>
  <w:abstractNum w:abstractNumId="8">
    <w:nsid w:val="7EE38C6D"/>
    <w:multiLevelType w:val="singleLevel"/>
    <w:tmpl w:val="7EE38C6D"/>
    <w:lvl w:ilvl="0" w:tentative="0">
      <w:start w:val="1"/>
      <w:numFmt w:val="decimal"/>
      <w:suff w:val="space"/>
      <w:lvlText w:val="%1."/>
      <w:lvlJc w:val="left"/>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TI5ZjM1YzNmYWMxZWZiMDVkM2EyY2FiODg0N2UifQ=="/>
    <w:docVar w:name="KSO_WPS_MARK_KEY" w:val="35a6146b-97ad-40d7-8ffc-f389df1ca539"/>
  </w:docVars>
  <w:rsids>
    <w:rsidRoot w:val="00172A27"/>
    <w:rsid w:val="00000B2C"/>
    <w:rsid w:val="00002D9A"/>
    <w:rsid w:val="00003D35"/>
    <w:rsid w:val="000043A4"/>
    <w:rsid w:val="00006D23"/>
    <w:rsid w:val="00007CB3"/>
    <w:rsid w:val="00010D2C"/>
    <w:rsid w:val="00011A00"/>
    <w:rsid w:val="00012911"/>
    <w:rsid w:val="000129AA"/>
    <w:rsid w:val="00013D93"/>
    <w:rsid w:val="000148A6"/>
    <w:rsid w:val="0001493F"/>
    <w:rsid w:val="00014D32"/>
    <w:rsid w:val="00015321"/>
    <w:rsid w:val="00015A04"/>
    <w:rsid w:val="00016682"/>
    <w:rsid w:val="00017AD9"/>
    <w:rsid w:val="000207AA"/>
    <w:rsid w:val="00020F21"/>
    <w:rsid w:val="0002315E"/>
    <w:rsid w:val="00024944"/>
    <w:rsid w:val="00025204"/>
    <w:rsid w:val="00025ECF"/>
    <w:rsid w:val="00026699"/>
    <w:rsid w:val="000303C6"/>
    <w:rsid w:val="00031B12"/>
    <w:rsid w:val="00031E94"/>
    <w:rsid w:val="00031EB2"/>
    <w:rsid w:val="00032520"/>
    <w:rsid w:val="000331D3"/>
    <w:rsid w:val="00033B62"/>
    <w:rsid w:val="00036CE9"/>
    <w:rsid w:val="00037FE5"/>
    <w:rsid w:val="00040452"/>
    <w:rsid w:val="00040556"/>
    <w:rsid w:val="000432F2"/>
    <w:rsid w:val="00046317"/>
    <w:rsid w:val="000474F3"/>
    <w:rsid w:val="00047BD1"/>
    <w:rsid w:val="00050A5A"/>
    <w:rsid w:val="00051187"/>
    <w:rsid w:val="00052C2D"/>
    <w:rsid w:val="00053630"/>
    <w:rsid w:val="0005446C"/>
    <w:rsid w:val="00055C6B"/>
    <w:rsid w:val="00057F8E"/>
    <w:rsid w:val="000639EE"/>
    <w:rsid w:val="00065973"/>
    <w:rsid w:val="00071275"/>
    <w:rsid w:val="000712B9"/>
    <w:rsid w:val="000714E0"/>
    <w:rsid w:val="00072F0D"/>
    <w:rsid w:val="000753F7"/>
    <w:rsid w:val="000757D8"/>
    <w:rsid w:val="00081241"/>
    <w:rsid w:val="00082BDD"/>
    <w:rsid w:val="00085992"/>
    <w:rsid w:val="00085A6C"/>
    <w:rsid w:val="00087201"/>
    <w:rsid w:val="00087E57"/>
    <w:rsid w:val="0009025C"/>
    <w:rsid w:val="00092627"/>
    <w:rsid w:val="00092815"/>
    <w:rsid w:val="000938D0"/>
    <w:rsid w:val="00093CB8"/>
    <w:rsid w:val="00093F97"/>
    <w:rsid w:val="00094C26"/>
    <w:rsid w:val="00096341"/>
    <w:rsid w:val="0009647A"/>
    <w:rsid w:val="0009753E"/>
    <w:rsid w:val="000A0786"/>
    <w:rsid w:val="000A0A86"/>
    <w:rsid w:val="000A0FBB"/>
    <w:rsid w:val="000A3102"/>
    <w:rsid w:val="000A37CC"/>
    <w:rsid w:val="000A3E1A"/>
    <w:rsid w:val="000A70CB"/>
    <w:rsid w:val="000A7178"/>
    <w:rsid w:val="000A7758"/>
    <w:rsid w:val="000A79B2"/>
    <w:rsid w:val="000B15C0"/>
    <w:rsid w:val="000B16E2"/>
    <w:rsid w:val="000B190D"/>
    <w:rsid w:val="000B1CCA"/>
    <w:rsid w:val="000B217D"/>
    <w:rsid w:val="000B6A44"/>
    <w:rsid w:val="000B75DE"/>
    <w:rsid w:val="000C00D6"/>
    <w:rsid w:val="000C293B"/>
    <w:rsid w:val="000C5D04"/>
    <w:rsid w:val="000C64F1"/>
    <w:rsid w:val="000D0DD2"/>
    <w:rsid w:val="000D1987"/>
    <w:rsid w:val="000D2732"/>
    <w:rsid w:val="000D518A"/>
    <w:rsid w:val="000D5CCA"/>
    <w:rsid w:val="000D6477"/>
    <w:rsid w:val="000D6E96"/>
    <w:rsid w:val="000D72E0"/>
    <w:rsid w:val="000E0C53"/>
    <w:rsid w:val="000E0FEB"/>
    <w:rsid w:val="000E1FAF"/>
    <w:rsid w:val="000E23B8"/>
    <w:rsid w:val="000E24CA"/>
    <w:rsid w:val="000E2C16"/>
    <w:rsid w:val="000E2D06"/>
    <w:rsid w:val="000E2F47"/>
    <w:rsid w:val="000E3082"/>
    <w:rsid w:val="000E6E54"/>
    <w:rsid w:val="000E7EF6"/>
    <w:rsid w:val="000F01AC"/>
    <w:rsid w:val="000F18BB"/>
    <w:rsid w:val="000F1948"/>
    <w:rsid w:val="000F1C54"/>
    <w:rsid w:val="000F25FE"/>
    <w:rsid w:val="000F28C2"/>
    <w:rsid w:val="000F2C75"/>
    <w:rsid w:val="00101F0B"/>
    <w:rsid w:val="00102427"/>
    <w:rsid w:val="00102B6D"/>
    <w:rsid w:val="00104430"/>
    <w:rsid w:val="001059F1"/>
    <w:rsid w:val="001069D6"/>
    <w:rsid w:val="00107BFC"/>
    <w:rsid w:val="0011021D"/>
    <w:rsid w:val="00110411"/>
    <w:rsid w:val="0011293D"/>
    <w:rsid w:val="00112AED"/>
    <w:rsid w:val="00112B4D"/>
    <w:rsid w:val="001139AD"/>
    <w:rsid w:val="00113F90"/>
    <w:rsid w:val="0011527F"/>
    <w:rsid w:val="00117FE3"/>
    <w:rsid w:val="00120059"/>
    <w:rsid w:val="0012104C"/>
    <w:rsid w:val="0012123B"/>
    <w:rsid w:val="0012460E"/>
    <w:rsid w:val="0012644B"/>
    <w:rsid w:val="001273A2"/>
    <w:rsid w:val="00127914"/>
    <w:rsid w:val="00131766"/>
    <w:rsid w:val="001324FE"/>
    <w:rsid w:val="0013307D"/>
    <w:rsid w:val="00134111"/>
    <w:rsid w:val="00136CA4"/>
    <w:rsid w:val="00136DC9"/>
    <w:rsid w:val="00137502"/>
    <w:rsid w:val="0013778D"/>
    <w:rsid w:val="00142565"/>
    <w:rsid w:val="00142592"/>
    <w:rsid w:val="00142B3D"/>
    <w:rsid w:val="00142EA1"/>
    <w:rsid w:val="00145272"/>
    <w:rsid w:val="001453E3"/>
    <w:rsid w:val="00145A83"/>
    <w:rsid w:val="00147F2C"/>
    <w:rsid w:val="001507A9"/>
    <w:rsid w:val="00151B14"/>
    <w:rsid w:val="00152289"/>
    <w:rsid w:val="00152966"/>
    <w:rsid w:val="0015569A"/>
    <w:rsid w:val="0015585D"/>
    <w:rsid w:val="001568E9"/>
    <w:rsid w:val="00161649"/>
    <w:rsid w:val="00163246"/>
    <w:rsid w:val="00163E24"/>
    <w:rsid w:val="0016473B"/>
    <w:rsid w:val="00167379"/>
    <w:rsid w:val="001679C8"/>
    <w:rsid w:val="001726EF"/>
    <w:rsid w:val="00172D1C"/>
    <w:rsid w:val="001749D6"/>
    <w:rsid w:val="001759BA"/>
    <w:rsid w:val="001769DA"/>
    <w:rsid w:val="00176C24"/>
    <w:rsid w:val="0017746C"/>
    <w:rsid w:val="00180F1C"/>
    <w:rsid w:val="0018366C"/>
    <w:rsid w:val="00185199"/>
    <w:rsid w:val="0018524D"/>
    <w:rsid w:val="001856CB"/>
    <w:rsid w:val="00187970"/>
    <w:rsid w:val="001948A2"/>
    <w:rsid w:val="0019593A"/>
    <w:rsid w:val="001960C3"/>
    <w:rsid w:val="0019611F"/>
    <w:rsid w:val="00197923"/>
    <w:rsid w:val="001A0B57"/>
    <w:rsid w:val="001A18CB"/>
    <w:rsid w:val="001A48CF"/>
    <w:rsid w:val="001A4A0B"/>
    <w:rsid w:val="001A5C2D"/>
    <w:rsid w:val="001A6216"/>
    <w:rsid w:val="001A6999"/>
    <w:rsid w:val="001A77C0"/>
    <w:rsid w:val="001B619A"/>
    <w:rsid w:val="001C0AF8"/>
    <w:rsid w:val="001C0FB2"/>
    <w:rsid w:val="001C1211"/>
    <w:rsid w:val="001C1320"/>
    <w:rsid w:val="001C3D13"/>
    <w:rsid w:val="001C4225"/>
    <w:rsid w:val="001C56D4"/>
    <w:rsid w:val="001C6CCF"/>
    <w:rsid w:val="001C6E46"/>
    <w:rsid w:val="001D2712"/>
    <w:rsid w:val="001D2A25"/>
    <w:rsid w:val="001D4EAE"/>
    <w:rsid w:val="001D5C3A"/>
    <w:rsid w:val="001D7F84"/>
    <w:rsid w:val="001E1031"/>
    <w:rsid w:val="001E289E"/>
    <w:rsid w:val="001E29EE"/>
    <w:rsid w:val="001E2A55"/>
    <w:rsid w:val="001E2C85"/>
    <w:rsid w:val="001E2D85"/>
    <w:rsid w:val="001E2D86"/>
    <w:rsid w:val="001E41D4"/>
    <w:rsid w:val="001E4D7D"/>
    <w:rsid w:val="001E54E9"/>
    <w:rsid w:val="001E6F07"/>
    <w:rsid w:val="001E7149"/>
    <w:rsid w:val="001F0677"/>
    <w:rsid w:val="001F11C0"/>
    <w:rsid w:val="001F33DF"/>
    <w:rsid w:val="001F355A"/>
    <w:rsid w:val="001F36A7"/>
    <w:rsid w:val="001F7E63"/>
    <w:rsid w:val="00200348"/>
    <w:rsid w:val="00200777"/>
    <w:rsid w:val="00200F05"/>
    <w:rsid w:val="0020103C"/>
    <w:rsid w:val="0020167A"/>
    <w:rsid w:val="00201D3B"/>
    <w:rsid w:val="0020320D"/>
    <w:rsid w:val="00203986"/>
    <w:rsid w:val="00204243"/>
    <w:rsid w:val="002046ED"/>
    <w:rsid w:val="00204A5E"/>
    <w:rsid w:val="002054FA"/>
    <w:rsid w:val="0020614E"/>
    <w:rsid w:val="0021045E"/>
    <w:rsid w:val="00213DF7"/>
    <w:rsid w:val="0021415D"/>
    <w:rsid w:val="00215654"/>
    <w:rsid w:val="00215925"/>
    <w:rsid w:val="00215FA3"/>
    <w:rsid w:val="00217D4F"/>
    <w:rsid w:val="00221A41"/>
    <w:rsid w:val="00221F6C"/>
    <w:rsid w:val="0022237C"/>
    <w:rsid w:val="0022399C"/>
    <w:rsid w:val="00225F89"/>
    <w:rsid w:val="00226173"/>
    <w:rsid w:val="00226E0B"/>
    <w:rsid w:val="00227D13"/>
    <w:rsid w:val="00232B8E"/>
    <w:rsid w:val="00234465"/>
    <w:rsid w:val="00237CF4"/>
    <w:rsid w:val="00241382"/>
    <w:rsid w:val="00243804"/>
    <w:rsid w:val="00244FA3"/>
    <w:rsid w:val="00245A22"/>
    <w:rsid w:val="00245BA6"/>
    <w:rsid w:val="00245DD4"/>
    <w:rsid w:val="00250506"/>
    <w:rsid w:val="00251735"/>
    <w:rsid w:val="002522A6"/>
    <w:rsid w:val="002527FE"/>
    <w:rsid w:val="00254EC0"/>
    <w:rsid w:val="00254EC3"/>
    <w:rsid w:val="00255780"/>
    <w:rsid w:val="00255ACE"/>
    <w:rsid w:val="00257EF6"/>
    <w:rsid w:val="00260934"/>
    <w:rsid w:val="00261BC3"/>
    <w:rsid w:val="002624D8"/>
    <w:rsid w:val="00263D86"/>
    <w:rsid w:val="0026402F"/>
    <w:rsid w:val="00265874"/>
    <w:rsid w:val="0026613B"/>
    <w:rsid w:val="00266660"/>
    <w:rsid w:val="0026666B"/>
    <w:rsid w:val="002705CD"/>
    <w:rsid w:val="002708E6"/>
    <w:rsid w:val="002725ED"/>
    <w:rsid w:val="002726D9"/>
    <w:rsid w:val="00272888"/>
    <w:rsid w:val="002728F6"/>
    <w:rsid w:val="00273FF0"/>
    <w:rsid w:val="00274A0C"/>
    <w:rsid w:val="00275B6B"/>
    <w:rsid w:val="002767CA"/>
    <w:rsid w:val="0027747F"/>
    <w:rsid w:val="002808BF"/>
    <w:rsid w:val="0028108B"/>
    <w:rsid w:val="002835A5"/>
    <w:rsid w:val="00283920"/>
    <w:rsid w:val="002843EE"/>
    <w:rsid w:val="00284E8A"/>
    <w:rsid w:val="002868BB"/>
    <w:rsid w:val="00286E21"/>
    <w:rsid w:val="00286F16"/>
    <w:rsid w:val="002878AF"/>
    <w:rsid w:val="00291031"/>
    <w:rsid w:val="002910EF"/>
    <w:rsid w:val="0029314C"/>
    <w:rsid w:val="00293688"/>
    <w:rsid w:val="002949A2"/>
    <w:rsid w:val="00294DAE"/>
    <w:rsid w:val="00296D90"/>
    <w:rsid w:val="00297DCC"/>
    <w:rsid w:val="00297E93"/>
    <w:rsid w:val="002A0610"/>
    <w:rsid w:val="002A1D7F"/>
    <w:rsid w:val="002A1E4E"/>
    <w:rsid w:val="002A28CD"/>
    <w:rsid w:val="002A2AAD"/>
    <w:rsid w:val="002A417D"/>
    <w:rsid w:val="002A58A1"/>
    <w:rsid w:val="002A60E3"/>
    <w:rsid w:val="002B0E8E"/>
    <w:rsid w:val="002B29DA"/>
    <w:rsid w:val="002B478A"/>
    <w:rsid w:val="002B4A42"/>
    <w:rsid w:val="002B70C6"/>
    <w:rsid w:val="002B74AD"/>
    <w:rsid w:val="002C1BCE"/>
    <w:rsid w:val="002C274A"/>
    <w:rsid w:val="002C2AF4"/>
    <w:rsid w:val="002C31EC"/>
    <w:rsid w:val="002C3654"/>
    <w:rsid w:val="002C411E"/>
    <w:rsid w:val="002C629B"/>
    <w:rsid w:val="002C71D8"/>
    <w:rsid w:val="002D03E0"/>
    <w:rsid w:val="002D2814"/>
    <w:rsid w:val="002D49B3"/>
    <w:rsid w:val="002D520F"/>
    <w:rsid w:val="002D56A2"/>
    <w:rsid w:val="002D6840"/>
    <w:rsid w:val="002D6DEF"/>
    <w:rsid w:val="002D70BF"/>
    <w:rsid w:val="002D7288"/>
    <w:rsid w:val="002D7745"/>
    <w:rsid w:val="002D7772"/>
    <w:rsid w:val="002D78DB"/>
    <w:rsid w:val="002D7D7A"/>
    <w:rsid w:val="002E0530"/>
    <w:rsid w:val="002E06AF"/>
    <w:rsid w:val="002E1413"/>
    <w:rsid w:val="002E5AEE"/>
    <w:rsid w:val="002E5EC0"/>
    <w:rsid w:val="002E6614"/>
    <w:rsid w:val="002E668F"/>
    <w:rsid w:val="002F06FD"/>
    <w:rsid w:val="002F11A5"/>
    <w:rsid w:val="002F16C8"/>
    <w:rsid w:val="002F185F"/>
    <w:rsid w:val="002F18E3"/>
    <w:rsid w:val="002F2766"/>
    <w:rsid w:val="002F2E7D"/>
    <w:rsid w:val="002F3E72"/>
    <w:rsid w:val="002F5FCD"/>
    <w:rsid w:val="002F5FEE"/>
    <w:rsid w:val="002F680F"/>
    <w:rsid w:val="002F6991"/>
    <w:rsid w:val="002F6AF6"/>
    <w:rsid w:val="002F7BE6"/>
    <w:rsid w:val="00300FA1"/>
    <w:rsid w:val="0030185D"/>
    <w:rsid w:val="0030356E"/>
    <w:rsid w:val="00304001"/>
    <w:rsid w:val="003046F8"/>
    <w:rsid w:val="00304D2A"/>
    <w:rsid w:val="00305D12"/>
    <w:rsid w:val="00306070"/>
    <w:rsid w:val="00306414"/>
    <w:rsid w:val="00306C4F"/>
    <w:rsid w:val="00307FF3"/>
    <w:rsid w:val="0031092F"/>
    <w:rsid w:val="003115DA"/>
    <w:rsid w:val="0031172D"/>
    <w:rsid w:val="00312EF9"/>
    <w:rsid w:val="003140C3"/>
    <w:rsid w:val="00315D65"/>
    <w:rsid w:val="00316D56"/>
    <w:rsid w:val="003178BD"/>
    <w:rsid w:val="00317A5D"/>
    <w:rsid w:val="00317E30"/>
    <w:rsid w:val="003201FD"/>
    <w:rsid w:val="00320AD9"/>
    <w:rsid w:val="003211A4"/>
    <w:rsid w:val="00321D03"/>
    <w:rsid w:val="00321F73"/>
    <w:rsid w:val="00323395"/>
    <w:rsid w:val="0032393D"/>
    <w:rsid w:val="00323A0D"/>
    <w:rsid w:val="00324DB6"/>
    <w:rsid w:val="00326BB6"/>
    <w:rsid w:val="00326D0D"/>
    <w:rsid w:val="00330465"/>
    <w:rsid w:val="00331E2C"/>
    <w:rsid w:val="0033468C"/>
    <w:rsid w:val="003349A4"/>
    <w:rsid w:val="003405B2"/>
    <w:rsid w:val="00340C2D"/>
    <w:rsid w:val="00340F56"/>
    <w:rsid w:val="0034103C"/>
    <w:rsid w:val="003429E0"/>
    <w:rsid w:val="00343209"/>
    <w:rsid w:val="00343807"/>
    <w:rsid w:val="00343E12"/>
    <w:rsid w:val="00346072"/>
    <w:rsid w:val="0034639C"/>
    <w:rsid w:val="00346F6E"/>
    <w:rsid w:val="0034754A"/>
    <w:rsid w:val="00351105"/>
    <w:rsid w:val="003547CC"/>
    <w:rsid w:val="003560A0"/>
    <w:rsid w:val="00356D68"/>
    <w:rsid w:val="00357630"/>
    <w:rsid w:val="00357FE8"/>
    <w:rsid w:val="0036013D"/>
    <w:rsid w:val="00360A61"/>
    <w:rsid w:val="003620F4"/>
    <w:rsid w:val="0036239F"/>
    <w:rsid w:val="00363DFD"/>
    <w:rsid w:val="00364943"/>
    <w:rsid w:val="00364956"/>
    <w:rsid w:val="00364AC4"/>
    <w:rsid w:val="0036510F"/>
    <w:rsid w:val="00365170"/>
    <w:rsid w:val="00365C06"/>
    <w:rsid w:val="003704C1"/>
    <w:rsid w:val="0037147B"/>
    <w:rsid w:val="00371B4F"/>
    <w:rsid w:val="00373E85"/>
    <w:rsid w:val="003750FF"/>
    <w:rsid w:val="00375E1C"/>
    <w:rsid w:val="00380620"/>
    <w:rsid w:val="003810BE"/>
    <w:rsid w:val="003812E9"/>
    <w:rsid w:val="00381814"/>
    <w:rsid w:val="00381D58"/>
    <w:rsid w:val="003844CD"/>
    <w:rsid w:val="00385A50"/>
    <w:rsid w:val="00386BB6"/>
    <w:rsid w:val="00387051"/>
    <w:rsid w:val="00387100"/>
    <w:rsid w:val="003913CE"/>
    <w:rsid w:val="003914AD"/>
    <w:rsid w:val="00391A94"/>
    <w:rsid w:val="00392699"/>
    <w:rsid w:val="00395680"/>
    <w:rsid w:val="003973D0"/>
    <w:rsid w:val="003A1DA4"/>
    <w:rsid w:val="003A34C8"/>
    <w:rsid w:val="003A394F"/>
    <w:rsid w:val="003A3A33"/>
    <w:rsid w:val="003A42C0"/>
    <w:rsid w:val="003A4791"/>
    <w:rsid w:val="003A595C"/>
    <w:rsid w:val="003A5D60"/>
    <w:rsid w:val="003B1F23"/>
    <w:rsid w:val="003B1FBE"/>
    <w:rsid w:val="003B3556"/>
    <w:rsid w:val="003B5B2D"/>
    <w:rsid w:val="003B6D28"/>
    <w:rsid w:val="003B6DD1"/>
    <w:rsid w:val="003B7802"/>
    <w:rsid w:val="003B798B"/>
    <w:rsid w:val="003B79A3"/>
    <w:rsid w:val="003C1CAF"/>
    <w:rsid w:val="003C1D03"/>
    <w:rsid w:val="003C1D05"/>
    <w:rsid w:val="003C22C5"/>
    <w:rsid w:val="003C2A17"/>
    <w:rsid w:val="003C2E43"/>
    <w:rsid w:val="003C36FE"/>
    <w:rsid w:val="003C3A58"/>
    <w:rsid w:val="003C580F"/>
    <w:rsid w:val="003C5A9B"/>
    <w:rsid w:val="003C645A"/>
    <w:rsid w:val="003D16D1"/>
    <w:rsid w:val="003D1A1F"/>
    <w:rsid w:val="003D1C8B"/>
    <w:rsid w:val="003D20DD"/>
    <w:rsid w:val="003D2EE4"/>
    <w:rsid w:val="003D3026"/>
    <w:rsid w:val="003D350A"/>
    <w:rsid w:val="003D598B"/>
    <w:rsid w:val="003D6A42"/>
    <w:rsid w:val="003D7B27"/>
    <w:rsid w:val="003E0CB8"/>
    <w:rsid w:val="003E1014"/>
    <w:rsid w:val="003E26AB"/>
    <w:rsid w:val="003E27D0"/>
    <w:rsid w:val="003E2891"/>
    <w:rsid w:val="003E3B68"/>
    <w:rsid w:val="003E787A"/>
    <w:rsid w:val="003F1D19"/>
    <w:rsid w:val="003F2AF9"/>
    <w:rsid w:val="003F36AA"/>
    <w:rsid w:val="003F4679"/>
    <w:rsid w:val="003F5714"/>
    <w:rsid w:val="003F7515"/>
    <w:rsid w:val="004007A9"/>
    <w:rsid w:val="00400F87"/>
    <w:rsid w:val="00402B82"/>
    <w:rsid w:val="00403681"/>
    <w:rsid w:val="0041031D"/>
    <w:rsid w:val="00411683"/>
    <w:rsid w:val="00412357"/>
    <w:rsid w:val="004126A8"/>
    <w:rsid w:val="004137EE"/>
    <w:rsid w:val="00415BA2"/>
    <w:rsid w:val="0042055B"/>
    <w:rsid w:val="00420A56"/>
    <w:rsid w:val="00420BCF"/>
    <w:rsid w:val="00420E25"/>
    <w:rsid w:val="004215FE"/>
    <w:rsid w:val="00422422"/>
    <w:rsid w:val="00423487"/>
    <w:rsid w:val="00423A00"/>
    <w:rsid w:val="00424089"/>
    <w:rsid w:val="004240F6"/>
    <w:rsid w:val="004351F7"/>
    <w:rsid w:val="00435A55"/>
    <w:rsid w:val="00440335"/>
    <w:rsid w:val="0044389F"/>
    <w:rsid w:val="00444AB4"/>
    <w:rsid w:val="00444B2A"/>
    <w:rsid w:val="00446258"/>
    <w:rsid w:val="0044643C"/>
    <w:rsid w:val="00446B17"/>
    <w:rsid w:val="00446BB5"/>
    <w:rsid w:val="00446D7D"/>
    <w:rsid w:val="004471E4"/>
    <w:rsid w:val="004476B6"/>
    <w:rsid w:val="00447B51"/>
    <w:rsid w:val="00451B93"/>
    <w:rsid w:val="00451DDF"/>
    <w:rsid w:val="00454CE4"/>
    <w:rsid w:val="00455966"/>
    <w:rsid w:val="004561BB"/>
    <w:rsid w:val="00456492"/>
    <w:rsid w:val="00456C4D"/>
    <w:rsid w:val="00456FEC"/>
    <w:rsid w:val="004613FB"/>
    <w:rsid w:val="00462896"/>
    <w:rsid w:val="00462EBB"/>
    <w:rsid w:val="004645C7"/>
    <w:rsid w:val="004655CA"/>
    <w:rsid w:val="00466F36"/>
    <w:rsid w:val="00472A70"/>
    <w:rsid w:val="0047576A"/>
    <w:rsid w:val="004764A5"/>
    <w:rsid w:val="0047745B"/>
    <w:rsid w:val="00480041"/>
    <w:rsid w:val="00481268"/>
    <w:rsid w:val="00481440"/>
    <w:rsid w:val="00482E13"/>
    <w:rsid w:val="00483C76"/>
    <w:rsid w:val="00484190"/>
    <w:rsid w:val="0048434A"/>
    <w:rsid w:val="00484972"/>
    <w:rsid w:val="004850CA"/>
    <w:rsid w:val="00487470"/>
    <w:rsid w:val="00491922"/>
    <w:rsid w:val="00493070"/>
    <w:rsid w:val="00493373"/>
    <w:rsid w:val="00493378"/>
    <w:rsid w:val="00494372"/>
    <w:rsid w:val="004946F4"/>
    <w:rsid w:val="00495D4D"/>
    <w:rsid w:val="00495E56"/>
    <w:rsid w:val="00496B11"/>
    <w:rsid w:val="004A156F"/>
    <w:rsid w:val="004A1A07"/>
    <w:rsid w:val="004A1B36"/>
    <w:rsid w:val="004A21CC"/>
    <w:rsid w:val="004A4EB8"/>
    <w:rsid w:val="004B00F4"/>
    <w:rsid w:val="004B19EE"/>
    <w:rsid w:val="004B269E"/>
    <w:rsid w:val="004B2817"/>
    <w:rsid w:val="004B2B34"/>
    <w:rsid w:val="004B2F01"/>
    <w:rsid w:val="004B405F"/>
    <w:rsid w:val="004B4D9E"/>
    <w:rsid w:val="004B4E93"/>
    <w:rsid w:val="004B7538"/>
    <w:rsid w:val="004B7CA1"/>
    <w:rsid w:val="004C0890"/>
    <w:rsid w:val="004C0F7E"/>
    <w:rsid w:val="004C353C"/>
    <w:rsid w:val="004C4FF2"/>
    <w:rsid w:val="004C5E3C"/>
    <w:rsid w:val="004C5EFA"/>
    <w:rsid w:val="004C63F8"/>
    <w:rsid w:val="004C6BC9"/>
    <w:rsid w:val="004D02AF"/>
    <w:rsid w:val="004D1604"/>
    <w:rsid w:val="004D16D9"/>
    <w:rsid w:val="004D2EE3"/>
    <w:rsid w:val="004D7030"/>
    <w:rsid w:val="004D757B"/>
    <w:rsid w:val="004E158B"/>
    <w:rsid w:val="004E1B90"/>
    <w:rsid w:val="004E286C"/>
    <w:rsid w:val="004E2AFC"/>
    <w:rsid w:val="004E3306"/>
    <w:rsid w:val="004E5FD9"/>
    <w:rsid w:val="004E6E00"/>
    <w:rsid w:val="004E7084"/>
    <w:rsid w:val="004F06FE"/>
    <w:rsid w:val="004F0B1B"/>
    <w:rsid w:val="004F2FE3"/>
    <w:rsid w:val="004F3104"/>
    <w:rsid w:val="004F31C4"/>
    <w:rsid w:val="004F44A3"/>
    <w:rsid w:val="004F4A97"/>
    <w:rsid w:val="004F4BF0"/>
    <w:rsid w:val="004F5AA4"/>
    <w:rsid w:val="004F6183"/>
    <w:rsid w:val="004F6F53"/>
    <w:rsid w:val="004F77AE"/>
    <w:rsid w:val="0050375D"/>
    <w:rsid w:val="00503C0B"/>
    <w:rsid w:val="00505276"/>
    <w:rsid w:val="0050626A"/>
    <w:rsid w:val="005122DA"/>
    <w:rsid w:val="005123A4"/>
    <w:rsid w:val="005162F4"/>
    <w:rsid w:val="00517476"/>
    <w:rsid w:val="0051789E"/>
    <w:rsid w:val="00517FEE"/>
    <w:rsid w:val="0052374F"/>
    <w:rsid w:val="005242B1"/>
    <w:rsid w:val="005247D5"/>
    <w:rsid w:val="005254DE"/>
    <w:rsid w:val="005255AD"/>
    <w:rsid w:val="005262AC"/>
    <w:rsid w:val="00526E86"/>
    <w:rsid w:val="00527F5D"/>
    <w:rsid w:val="00530444"/>
    <w:rsid w:val="00530B5B"/>
    <w:rsid w:val="00533EBC"/>
    <w:rsid w:val="00534025"/>
    <w:rsid w:val="00534292"/>
    <w:rsid w:val="00535C0D"/>
    <w:rsid w:val="0053648F"/>
    <w:rsid w:val="00537F78"/>
    <w:rsid w:val="00540AF4"/>
    <w:rsid w:val="00542D87"/>
    <w:rsid w:val="00544B81"/>
    <w:rsid w:val="005456D1"/>
    <w:rsid w:val="0054575F"/>
    <w:rsid w:val="005458EB"/>
    <w:rsid w:val="00545E79"/>
    <w:rsid w:val="00546A8F"/>
    <w:rsid w:val="00547672"/>
    <w:rsid w:val="005504A3"/>
    <w:rsid w:val="0055199C"/>
    <w:rsid w:val="00551B90"/>
    <w:rsid w:val="0055237F"/>
    <w:rsid w:val="00552612"/>
    <w:rsid w:val="005528AE"/>
    <w:rsid w:val="0055434A"/>
    <w:rsid w:val="005547BE"/>
    <w:rsid w:val="0055520B"/>
    <w:rsid w:val="00555266"/>
    <w:rsid w:val="005556B6"/>
    <w:rsid w:val="005576A5"/>
    <w:rsid w:val="0055775D"/>
    <w:rsid w:val="00557B62"/>
    <w:rsid w:val="00560FF1"/>
    <w:rsid w:val="005616D0"/>
    <w:rsid w:val="005627D4"/>
    <w:rsid w:val="00563C27"/>
    <w:rsid w:val="00563FF4"/>
    <w:rsid w:val="00564725"/>
    <w:rsid w:val="00566189"/>
    <w:rsid w:val="00567A6A"/>
    <w:rsid w:val="00567FFD"/>
    <w:rsid w:val="0057154F"/>
    <w:rsid w:val="00571B6F"/>
    <w:rsid w:val="00572215"/>
    <w:rsid w:val="005726CF"/>
    <w:rsid w:val="00572756"/>
    <w:rsid w:val="005755F8"/>
    <w:rsid w:val="00575860"/>
    <w:rsid w:val="005817EC"/>
    <w:rsid w:val="005839D4"/>
    <w:rsid w:val="00583A5D"/>
    <w:rsid w:val="005842EC"/>
    <w:rsid w:val="00584B53"/>
    <w:rsid w:val="005850F3"/>
    <w:rsid w:val="00586B1E"/>
    <w:rsid w:val="00587409"/>
    <w:rsid w:val="005907EE"/>
    <w:rsid w:val="00591F26"/>
    <w:rsid w:val="005928EF"/>
    <w:rsid w:val="00594D70"/>
    <w:rsid w:val="005A1A8D"/>
    <w:rsid w:val="005A27D4"/>
    <w:rsid w:val="005A5F83"/>
    <w:rsid w:val="005A71F1"/>
    <w:rsid w:val="005A7B95"/>
    <w:rsid w:val="005A7BE5"/>
    <w:rsid w:val="005B0F08"/>
    <w:rsid w:val="005B2614"/>
    <w:rsid w:val="005B2695"/>
    <w:rsid w:val="005B38C5"/>
    <w:rsid w:val="005B49AD"/>
    <w:rsid w:val="005B5383"/>
    <w:rsid w:val="005B5452"/>
    <w:rsid w:val="005B5DAB"/>
    <w:rsid w:val="005C0E2A"/>
    <w:rsid w:val="005C1426"/>
    <w:rsid w:val="005C236C"/>
    <w:rsid w:val="005C316E"/>
    <w:rsid w:val="005C57D8"/>
    <w:rsid w:val="005C737F"/>
    <w:rsid w:val="005D1426"/>
    <w:rsid w:val="005D4385"/>
    <w:rsid w:val="005D506C"/>
    <w:rsid w:val="005D59AC"/>
    <w:rsid w:val="005D5E3D"/>
    <w:rsid w:val="005D6FAC"/>
    <w:rsid w:val="005D7146"/>
    <w:rsid w:val="005D780C"/>
    <w:rsid w:val="005E171D"/>
    <w:rsid w:val="005E290C"/>
    <w:rsid w:val="005E2CB3"/>
    <w:rsid w:val="005E31F2"/>
    <w:rsid w:val="005E46AF"/>
    <w:rsid w:val="005E4BB3"/>
    <w:rsid w:val="005E51E6"/>
    <w:rsid w:val="005E53AF"/>
    <w:rsid w:val="005E698A"/>
    <w:rsid w:val="005E773C"/>
    <w:rsid w:val="005E7775"/>
    <w:rsid w:val="005E7F19"/>
    <w:rsid w:val="005F08EF"/>
    <w:rsid w:val="005F15C2"/>
    <w:rsid w:val="005F47DD"/>
    <w:rsid w:val="005F4FE5"/>
    <w:rsid w:val="005F50AE"/>
    <w:rsid w:val="005F5427"/>
    <w:rsid w:val="005F5940"/>
    <w:rsid w:val="005F5F3B"/>
    <w:rsid w:val="005F6FD2"/>
    <w:rsid w:val="005F70DC"/>
    <w:rsid w:val="005F723B"/>
    <w:rsid w:val="005F7A71"/>
    <w:rsid w:val="00600431"/>
    <w:rsid w:val="006052E0"/>
    <w:rsid w:val="00606AEF"/>
    <w:rsid w:val="006105E5"/>
    <w:rsid w:val="00613623"/>
    <w:rsid w:val="006152BF"/>
    <w:rsid w:val="0061574C"/>
    <w:rsid w:val="00615F45"/>
    <w:rsid w:val="00617074"/>
    <w:rsid w:val="006204CC"/>
    <w:rsid w:val="0062243D"/>
    <w:rsid w:val="00624A13"/>
    <w:rsid w:val="00626C23"/>
    <w:rsid w:val="006279A5"/>
    <w:rsid w:val="006303B9"/>
    <w:rsid w:val="00630BD8"/>
    <w:rsid w:val="00630E7C"/>
    <w:rsid w:val="00631AA3"/>
    <w:rsid w:val="00633F16"/>
    <w:rsid w:val="00634797"/>
    <w:rsid w:val="00634FC2"/>
    <w:rsid w:val="00635149"/>
    <w:rsid w:val="00636138"/>
    <w:rsid w:val="00637240"/>
    <w:rsid w:val="0064077A"/>
    <w:rsid w:val="006414C6"/>
    <w:rsid w:val="006446DE"/>
    <w:rsid w:val="00644EFC"/>
    <w:rsid w:val="0064535B"/>
    <w:rsid w:val="0064556F"/>
    <w:rsid w:val="006457F5"/>
    <w:rsid w:val="006462F7"/>
    <w:rsid w:val="00646DBB"/>
    <w:rsid w:val="00647984"/>
    <w:rsid w:val="00650197"/>
    <w:rsid w:val="006505BC"/>
    <w:rsid w:val="00650EEC"/>
    <w:rsid w:val="00651062"/>
    <w:rsid w:val="00651532"/>
    <w:rsid w:val="00651BE9"/>
    <w:rsid w:val="006532D3"/>
    <w:rsid w:val="0065648E"/>
    <w:rsid w:val="00656E2A"/>
    <w:rsid w:val="00663294"/>
    <w:rsid w:val="00663EAC"/>
    <w:rsid w:val="006649D7"/>
    <w:rsid w:val="00664AE4"/>
    <w:rsid w:val="00664CAE"/>
    <w:rsid w:val="006652B4"/>
    <w:rsid w:val="00665772"/>
    <w:rsid w:val="006665D1"/>
    <w:rsid w:val="00666919"/>
    <w:rsid w:val="00667D6E"/>
    <w:rsid w:val="00671451"/>
    <w:rsid w:val="00671BE3"/>
    <w:rsid w:val="006726EA"/>
    <w:rsid w:val="00673A3C"/>
    <w:rsid w:val="00673A4B"/>
    <w:rsid w:val="00675788"/>
    <w:rsid w:val="00676B32"/>
    <w:rsid w:val="006812D3"/>
    <w:rsid w:val="0068178E"/>
    <w:rsid w:val="00681EE0"/>
    <w:rsid w:val="00682F70"/>
    <w:rsid w:val="00683B39"/>
    <w:rsid w:val="006852BE"/>
    <w:rsid w:val="00685341"/>
    <w:rsid w:val="00687D48"/>
    <w:rsid w:val="006912FC"/>
    <w:rsid w:val="00691C6D"/>
    <w:rsid w:val="00691D29"/>
    <w:rsid w:val="00695120"/>
    <w:rsid w:val="006A2216"/>
    <w:rsid w:val="006A2250"/>
    <w:rsid w:val="006A4621"/>
    <w:rsid w:val="006A4C07"/>
    <w:rsid w:val="006A5460"/>
    <w:rsid w:val="006A5F29"/>
    <w:rsid w:val="006A7090"/>
    <w:rsid w:val="006B1259"/>
    <w:rsid w:val="006B1E65"/>
    <w:rsid w:val="006B2483"/>
    <w:rsid w:val="006B2CE7"/>
    <w:rsid w:val="006B33B4"/>
    <w:rsid w:val="006B4613"/>
    <w:rsid w:val="006B6A74"/>
    <w:rsid w:val="006B71E7"/>
    <w:rsid w:val="006C06BF"/>
    <w:rsid w:val="006C0A77"/>
    <w:rsid w:val="006C0F6F"/>
    <w:rsid w:val="006C10EC"/>
    <w:rsid w:val="006C19B3"/>
    <w:rsid w:val="006C3239"/>
    <w:rsid w:val="006C3A5F"/>
    <w:rsid w:val="006C4273"/>
    <w:rsid w:val="006C518E"/>
    <w:rsid w:val="006C7D4C"/>
    <w:rsid w:val="006C7FA3"/>
    <w:rsid w:val="006D004B"/>
    <w:rsid w:val="006D06A6"/>
    <w:rsid w:val="006D0787"/>
    <w:rsid w:val="006D12A3"/>
    <w:rsid w:val="006D14FE"/>
    <w:rsid w:val="006D3161"/>
    <w:rsid w:val="006D33A0"/>
    <w:rsid w:val="006D35DD"/>
    <w:rsid w:val="006D48FD"/>
    <w:rsid w:val="006D553C"/>
    <w:rsid w:val="006D5B67"/>
    <w:rsid w:val="006E148F"/>
    <w:rsid w:val="006E274E"/>
    <w:rsid w:val="006E2DBB"/>
    <w:rsid w:val="006E2F28"/>
    <w:rsid w:val="006E3995"/>
    <w:rsid w:val="006E4984"/>
    <w:rsid w:val="006E4B18"/>
    <w:rsid w:val="006E58F7"/>
    <w:rsid w:val="006E77E8"/>
    <w:rsid w:val="006E7FAC"/>
    <w:rsid w:val="006F2224"/>
    <w:rsid w:val="006F3CBF"/>
    <w:rsid w:val="006F54BF"/>
    <w:rsid w:val="006F71AB"/>
    <w:rsid w:val="00700FCE"/>
    <w:rsid w:val="0070157E"/>
    <w:rsid w:val="007025B7"/>
    <w:rsid w:val="00702698"/>
    <w:rsid w:val="00705715"/>
    <w:rsid w:val="00706EB7"/>
    <w:rsid w:val="00710357"/>
    <w:rsid w:val="007106A7"/>
    <w:rsid w:val="00710F50"/>
    <w:rsid w:val="0071296A"/>
    <w:rsid w:val="007147E0"/>
    <w:rsid w:val="00716386"/>
    <w:rsid w:val="00716DA4"/>
    <w:rsid w:val="00716E16"/>
    <w:rsid w:val="00716F04"/>
    <w:rsid w:val="00717511"/>
    <w:rsid w:val="00717AA7"/>
    <w:rsid w:val="00717E22"/>
    <w:rsid w:val="00722B03"/>
    <w:rsid w:val="007243B3"/>
    <w:rsid w:val="00724870"/>
    <w:rsid w:val="00726FC1"/>
    <w:rsid w:val="00727C03"/>
    <w:rsid w:val="00727E02"/>
    <w:rsid w:val="0073033C"/>
    <w:rsid w:val="00730A59"/>
    <w:rsid w:val="00730A61"/>
    <w:rsid w:val="007334C2"/>
    <w:rsid w:val="00733659"/>
    <w:rsid w:val="00733D90"/>
    <w:rsid w:val="00734370"/>
    <w:rsid w:val="007351BA"/>
    <w:rsid w:val="00736AFD"/>
    <w:rsid w:val="00736FBB"/>
    <w:rsid w:val="00737AC9"/>
    <w:rsid w:val="007402A5"/>
    <w:rsid w:val="007409D0"/>
    <w:rsid w:val="00740CC8"/>
    <w:rsid w:val="00741B02"/>
    <w:rsid w:val="00742419"/>
    <w:rsid w:val="00742D02"/>
    <w:rsid w:val="00743864"/>
    <w:rsid w:val="00743B69"/>
    <w:rsid w:val="00745671"/>
    <w:rsid w:val="0075008F"/>
    <w:rsid w:val="007501A8"/>
    <w:rsid w:val="007501E6"/>
    <w:rsid w:val="007505A4"/>
    <w:rsid w:val="00751298"/>
    <w:rsid w:val="0075309F"/>
    <w:rsid w:val="0075399A"/>
    <w:rsid w:val="00754012"/>
    <w:rsid w:val="00756024"/>
    <w:rsid w:val="007564CD"/>
    <w:rsid w:val="00756C4A"/>
    <w:rsid w:val="00760A18"/>
    <w:rsid w:val="007621A6"/>
    <w:rsid w:val="00762315"/>
    <w:rsid w:val="0076528C"/>
    <w:rsid w:val="00765EDC"/>
    <w:rsid w:val="007677C8"/>
    <w:rsid w:val="00767B87"/>
    <w:rsid w:val="00767C2A"/>
    <w:rsid w:val="00770B9F"/>
    <w:rsid w:val="007727D6"/>
    <w:rsid w:val="00774BD7"/>
    <w:rsid w:val="00775DAC"/>
    <w:rsid w:val="00776561"/>
    <w:rsid w:val="007829B1"/>
    <w:rsid w:val="00782CC7"/>
    <w:rsid w:val="007834C2"/>
    <w:rsid w:val="00786DF1"/>
    <w:rsid w:val="007911E2"/>
    <w:rsid w:val="00791211"/>
    <w:rsid w:val="00792C2F"/>
    <w:rsid w:val="00792F25"/>
    <w:rsid w:val="00793BE8"/>
    <w:rsid w:val="0079433A"/>
    <w:rsid w:val="007949E5"/>
    <w:rsid w:val="00795756"/>
    <w:rsid w:val="007964F0"/>
    <w:rsid w:val="007A18B7"/>
    <w:rsid w:val="007A219C"/>
    <w:rsid w:val="007A4FCD"/>
    <w:rsid w:val="007A506A"/>
    <w:rsid w:val="007A6238"/>
    <w:rsid w:val="007A6598"/>
    <w:rsid w:val="007A65D9"/>
    <w:rsid w:val="007A7CC1"/>
    <w:rsid w:val="007B2AC2"/>
    <w:rsid w:val="007B2C6C"/>
    <w:rsid w:val="007B3952"/>
    <w:rsid w:val="007B462C"/>
    <w:rsid w:val="007B58DD"/>
    <w:rsid w:val="007B6F0D"/>
    <w:rsid w:val="007C004D"/>
    <w:rsid w:val="007C068D"/>
    <w:rsid w:val="007C0F37"/>
    <w:rsid w:val="007C17D8"/>
    <w:rsid w:val="007C1C30"/>
    <w:rsid w:val="007C2422"/>
    <w:rsid w:val="007C5EF3"/>
    <w:rsid w:val="007D21C1"/>
    <w:rsid w:val="007D3607"/>
    <w:rsid w:val="007D509B"/>
    <w:rsid w:val="007D735F"/>
    <w:rsid w:val="007E027E"/>
    <w:rsid w:val="007E03C1"/>
    <w:rsid w:val="007E0BF5"/>
    <w:rsid w:val="007E3147"/>
    <w:rsid w:val="007E37DA"/>
    <w:rsid w:val="007E50E3"/>
    <w:rsid w:val="007E688E"/>
    <w:rsid w:val="007F20BD"/>
    <w:rsid w:val="007F2AA3"/>
    <w:rsid w:val="007F2B66"/>
    <w:rsid w:val="007F4F00"/>
    <w:rsid w:val="007F5E0D"/>
    <w:rsid w:val="00800D4C"/>
    <w:rsid w:val="008013E8"/>
    <w:rsid w:val="00801571"/>
    <w:rsid w:val="00801B6D"/>
    <w:rsid w:val="008021EB"/>
    <w:rsid w:val="00802B25"/>
    <w:rsid w:val="00802B6A"/>
    <w:rsid w:val="00803569"/>
    <w:rsid w:val="008047B3"/>
    <w:rsid w:val="00804A99"/>
    <w:rsid w:val="00805F9D"/>
    <w:rsid w:val="00805FBF"/>
    <w:rsid w:val="00807174"/>
    <w:rsid w:val="008102D1"/>
    <w:rsid w:val="00814D9F"/>
    <w:rsid w:val="008152B8"/>
    <w:rsid w:val="008168BE"/>
    <w:rsid w:val="0081723F"/>
    <w:rsid w:val="00820CE7"/>
    <w:rsid w:val="00821256"/>
    <w:rsid w:val="00821D83"/>
    <w:rsid w:val="008245EA"/>
    <w:rsid w:val="008251BB"/>
    <w:rsid w:val="00825E54"/>
    <w:rsid w:val="008267DB"/>
    <w:rsid w:val="0082693E"/>
    <w:rsid w:val="008309DD"/>
    <w:rsid w:val="008319A6"/>
    <w:rsid w:val="00831E12"/>
    <w:rsid w:val="0083357F"/>
    <w:rsid w:val="00834B6C"/>
    <w:rsid w:val="008350D1"/>
    <w:rsid w:val="008352A8"/>
    <w:rsid w:val="00836693"/>
    <w:rsid w:val="00836A0F"/>
    <w:rsid w:val="00837C67"/>
    <w:rsid w:val="00841C0D"/>
    <w:rsid w:val="00844EE4"/>
    <w:rsid w:val="0084609F"/>
    <w:rsid w:val="00846D1F"/>
    <w:rsid w:val="008479F3"/>
    <w:rsid w:val="00847CC6"/>
    <w:rsid w:val="00851663"/>
    <w:rsid w:val="0085293C"/>
    <w:rsid w:val="00855B0F"/>
    <w:rsid w:val="008562D5"/>
    <w:rsid w:val="008608F9"/>
    <w:rsid w:val="00860DB3"/>
    <w:rsid w:val="00863A38"/>
    <w:rsid w:val="00863D97"/>
    <w:rsid w:val="00864426"/>
    <w:rsid w:val="00864872"/>
    <w:rsid w:val="00864BCD"/>
    <w:rsid w:val="00865039"/>
    <w:rsid w:val="00865CFE"/>
    <w:rsid w:val="0087002C"/>
    <w:rsid w:val="00872428"/>
    <w:rsid w:val="0087276B"/>
    <w:rsid w:val="008731B7"/>
    <w:rsid w:val="00873723"/>
    <w:rsid w:val="0087404F"/>
    <w:rsid w:val="00874565"/>
    <w:rsid w:val="00875877"/>
    <w:rsid w:val="00875DD1"/>
    <w:rsid w:val="00877178"/>
    <w:rsid w:val="008817B9"/>
    <w:rsid w:val="00881892"/>
    <w:rsid w:val="008823B8"/>
    <w:rsid w:val="00883665"/>
    <w:rsid w:val="00886F62"/>
    <w:rsid w:val="008876DA"/>
    <w:rsid w:val="00890700"/>
    <w:rsid w:val="008939AA"/>
    <w:rsid w:val="008957E6"/>
    <w:rsid w:val="00896E2F"/>
    <w:rsid w:val="00897914"/>
    <w:rsid w:val="008A085D"/>
    <w:rsid w:val="008A47B1"/>
    <w:rsid w:val="008A4BFF"/>
    <w:rsid w:val="008A5010"/>
    <w:rsid w:val="008A5658"/>
    <w:rsid w:val="008A787E"/>
    <w:rsid w:val="008B03C3"/>
    <w:rsid w:val="008B1177"/>
    <w:rsid w:val="008B1443"/>
    <w:rsid w:val="008B18C8"/>
    <w:rsid w:val="008B1BF3"/>
    <w:rsid w:val="008B2185"/>
    <w:rsid w:val="008B29BB"/>
    <w:rsid w:val="008B30F4"/>
    <w:rsid w:val="008B3617"/>
    <w:rsid w:val="008B3F89"/>
    <w:rsid w:val="008B4EBD"/>
    <w:rsid w:val="008B5B73"/>
    <w:rsid w:val="008B62E7"/>
    <w:rsid w:val="008B6A94"/>
    <w:rsid w:val="008B7EE8"/>
    <w:rsid w:val="008C0A58"/>
    <w:rsid w:val="008C4817"/>
    <w:rsid w:val="008C4861"/>
    <w:rsid w:val="008C7898"/>
    <w:rsid w:val="008D0083"/>
    <w:rsid w:val="008D1AA3"/>
    <w:rsid w:val="008D1CCE"/>
    <w:rsid w:val="008D1DF3"/>
    <w:rsid w:val="008D3EFF"/>
    <w:rsid w:val="008D5002"/>
    <w:rsid w:val="008D5A04"/>
    <w:rsid w:val="008D66FA"/>
    <w:rsid w:val="008E1C6B"/>
    <w:rsid w:val="008E1DF7"/>
    <w:rsid w:val="008E289C"/>
    <w:rsid w:val="008E39BE"/>
    <w:rsid w:val="008E572E"/>
    <w:rsid w:val="008E5FD7"/>
    <w:rsid w:val="008E71BA"/>
    <w:rsid w:val="008F0949"/>
    <w:rsid w:val="008F0B3E"/>
    <w:rsid w:val="008F1878"/>
    <w:rsid w:val="008F2125"/>
    <w:rsid w:val="008F3253"/>
    <w:rsid w:val="008F3E1E"/>
    <w:rsid w:val="008F3F1F"/>
    <w:rsid w:val="008F4444"/>
    <w:rsid w:val="008F5DF7"/>
    <w:rsid w:val="008F6E31"/>
    <w:rsid w:val="008F6FE7"/>
    <w:rsid w:val="008F7469"/>
    <w:rsid w:val="008F76D4"/>
    <w:rsid w:val="00901001"/>
    <w:rsid w:val="0090128C"/>
    <w:rsid w:val="00901700"/>
    <w:rsid w:val="00901F2B"/>
    <w:rsid w:val="0090201D"/>
    <w:rsid w:val="0090243C"/>
    <w:rsid w:val="00902AA1"/>
    <w:rsid w:val="0090454D"/>
    <w:rsid w:val="00905D27"/>
    <w:rsid w:val="00906569"/>
    <w:rsid w:val="009106A8"/>
    <w:rsid w:val="0091189C"/>
    <w:rsid w:val="009128ED"/>
    <w:rsid w:val="009138D7"/>
    <w:rsid w:val="0091450A"/>
    <w:rsid w:val="00915A4D"/>
    <w:rsid w:val="00916026"/>
    <w:rsid w:val="00916130"/>
    <w:rsid w:val="009169AD"/>
    <w:rsid w:val="00916BD9"/>
    <w:rsid w:val="00917492"/>
    <w:rsid w:val="00917979"/>
    <w:rsid w:val="0092058C"/>
    <w:rsid w:val="009236D1"/>
    <w:rsid w:val="00924A51"/>
    <w:rsid w:val="00925A4E"/>
    <w:rsid w:val="00925CC4"/>
    <w:rsid w:val="00926394"/>
    <w:rsid w:val="009263AE"/>
    <w:rsid w:val="0092696D"/>
    <w:rsid w:val="00926F94"/>
    <w:rsid w:val="009271D6"/>
    <w:rsid w:val="009300FB"/>
    <w:rsid w:val="00930ACB"/>
    <w:rsid w:val="00933452"/>
    <w:rsid w:val="0093430E"/>
    <w:rsid w:val="00935B83"/>
    <w:rsid w:val="009361DB"/>
    <w:rsid w:val="009368FA"/>
    <w:rsid w:val="00942A86"/>
    <w:rsid w:val="00943000"/>
    <w:rsid w:val="009437D1"/>
    <w:rsid w:val="00943FE8"/>
    <w:rsid w:val="00944728"/>
    <w:rsid w:val="00944C33"/>
    <w:rsid w:val="00945328"/>
    <w:rsid w:val="009509AD"/>
    <w:rsid w:val="009524D9"/>
    <w:rsid w:val="009548AA"/>
    <w:rsid w:val="009564F4"/>
    <w:rsid w:val="00957EAA"/>
    <w:rsid w:val="00957EC5"/>
    <w:rsid w:val="0096068B"/>
    <w:rsid w:val="00962084"/>
    <w:rsid w:val="009627D4"/>
    <w:rsid w:val="009629BA"/>
    <w:rsid w:val="00965715"/>
    <w:rsid w:val="00965DBB"/>
    <w:rsid w:val="0096612F"/>
    <w:rsid w:val="0096774C"/>
    <w:rsid w:val="00970F95"/>
    <w:rsid w:val="00970FA8"/>
    <w:rsid w:val="009714CE"/>
    <w:rsid w:val="009731E7"/>
    <w:rsid w:val="00974918"/>
    <w:rsid w:val="00976297"/>
    <w:rsid w:val="0097755F"/>
    <w:rsid w:val="00977B91"/>
    <w:rsid w:val="00980881"/>
    <w:rsid w:val="0098103B"/>
    <w:rsid w:val="00984A17"/>
    <w:rsid w:val="0098562B"/>
    <w:rsid w:val="00986B45"/>
    <w:rsid w:val="00986C3F"/>
    <w:rsid w:val="0098775A"/>
    <w:rsid w:val="0098797C"/>
    <w:rsid w:val="009901D7"/>
    <w:rsid w:val="00991AFE"/>
    <w:rsid w:val="009927FA"/>
    <w:rsid w:val="0099294B"/>
    <w:rsid w:val="00993416"/>
    <w:rsid w:val="009936C0"/>
    <w:rsid w:val="00993F23"/>
    <w:rsid w:val="0099630A"/>
    <w:rsid w:val="00996EC0"/>
    <w:rsid w:val="009A011E"/>
    <w:rsid w:val="009A1190"/>
    <w:rsid w:val="009A17D3"/>
    <w:rsid w:val="009A2834"/>
    <w:rsid w:val="009A39AE"/>
    <w:rsid w:val="009A3FD9"/>
    <w:rsid w:val="009A47F7"/>
    <w:rsid w:val="009A517A"/>
    <w:rsid w:val="009A592A"/>
    <w:rsid w:val="009A6A2F"/>
    <w:rsid w:val="009A70AE"/>
    <w:rsid w:val="009B10C0"/>
    <w:rsid w:val="009B1A34"/>
    <w:rsid w:val="009B2624"/>
    <w:rsid w:val="009B2B2D"/>
    <w:rsid w:val="009B2BB2"/>
    <w:rsid w:val="009B4540"/>
    <w:rsid w:val="009B4934"/>
    <w:rsid w:val="009B6501"/>
    <w:rsid w:val="009B763C"/>
    <w:rsid w:val="009C020A"/>
    <w:rsid w:val="009C0A6D"/>
    <w:rsid w:val="009C1619"/>
    <w:rsid w:val="009C514B"/>
    <w:rsid w:val="009C5B05"/>
    <w:rsid w:val="009C5F7B"/>
    <w:rsid w:val="009C5FD6"/>
    <w:rsid w:val="009C6F0D"/>
    <w:rsid w:val="009C7103"/>
    <w:rsid w:val="009D0152"/>
    <w:rsid w:val="009D0E2A"/>
    <w:rsid w:val="009D239C"/>
    <w:rsid w:val="009D34CE"/>
    <w:rsid w:val="009D4511"/>
    <w:rsid w:val="009D453F"/>
    <w:rsid w:val="009D4AFB"/>
    <w:rsid w:val="009E0BFA"/>
    <w:rsid w:val="009E1AFB"/>
    <w:rsid w:val="009E34D0"/>
    <w:rsid w:val="009F0215"/>
    <w:rsid w:val="009F0669"/>
    <w:rsid w:val="009F0A56"/>
    <w:rsid w:val="009F0BBD"/>
    <w:rsid w:val="009F18D2"/>
    <w:rsid w:val="009F31F0"/>
    <w:rsid w:val="009F33A1"/>
    <w:rsid w:val="009F4C55"/>
    <w:rsid w:val="009F7497"/>
    <w:rsid w:val="00A00098"/>
    <w:rsid w:val="00A0075D"/>
    <w:rsid w:val="00A03CC8"/>
    <w:rsid w:val="00A04585"/>
    <w:rsid w:val="00A04F08"/>
    <w:rsid w:val="00A05301"/>
    <w:rsid w:val="00A0588B"/>
    <w:rsid w:val="00A059EE"/>
    <w:rsid w:val="00A06D0F"/>
    <w:rsid w:val="00A12161"/>
    <w:rsid w:val="00A1390E"/>
    <w:rsid w:val="00A16714"/>
    <w:rsid w:val="00A21024"/>
    <w:rsid w:val="00A21D37"/>
    <w:rsid w:val="00A220FF"/>
    <w:rsid w:val="00A2405F"/>
    <w:rsid w:val="00A2412D"/>
    <w:rsid w:val="00A27882"/>
    <w:rsid w:val="00A27EBE"/>
    <w:rsid w:val="00A30EE1"/>
    <w:rsid w:val="00A315F5"/>
    <w:rsid w:val="00A3213A"/>
    <w:rsid w:val="00A32F99"/>
    <w:rsid w:val="00A336BC"/>
    <w:rsid w:val="00A340E6"/>
    <w:rsid w:val="00A35382"/>
    <w:rsid w:val="00A353B3"/>
    <w:rsid w:val="00A353D1"/>
    <w:rsid w:val="00A3629D"/>
    <w:rsid w:val="00A363CB"/>
    <w:rsid w:val="00A40249"/>
    <w:rsid w:val="00A40A6D"/>
    <w:rsid w:val="00A40F63"/>
    <w:rsid w:val="00A415FF"/>
    <w:rsid w:val="00A42161"/>
    <w:rsid w:val="00A42865"/>
    <w:rsid w:val="00A42E04"/>
    <w:rsid w:val="00A4365F"/>
    <w:rsid w:val="00A44156"/>
    <w:rsid w:val="00A44AA3"/>
    <w:rsid w:val="00A45A9A"/>
    <w:rsid w:val="00A462D1"/>
    <w:rsid w:val="00A50382"/>
    <w:rsid w:val="00A508F2"/>
    <w:rsid w:val="00A530CE"/>
    <w:rsid w:val="00A543ED"/>
    <w:rsid w:val="00A55998"/>
    <w:rsid w:val="00A56BA5"/>
    <w:rsid w:val="00A57586"/>
    <w:rsid w:val="00A6049F"/>
    <w:rsid w:val="00A60B3A"/>
    <w:rsid w:val="00A62D32"/>
    <w:rsid w:val="00A62EB4"/>
    <w:rsid w:val="00A647DA"/>
    <w:rsid w:val="00A66BE7"/>
    <w:rsid w:val="00A70382"/>
    <w:rsid w:val="00A70F58"/>
    <w:rsid w:val="00A733D9"/>
    <w:rsid w:val="00A74280"/>
    <w:rsid w:val="00A74E67"/>
    <w:rsid w:val="00A75B93"/>
    <w:rsid w:val="00A75C3E"/>
    <w:rsid w:val="00A7652B"/>
    <w:rsid w:val="00A76E48"/>
    <w:rsid w:val="00A809B7"/>
    <w:rsid w:val="00A80E74"/>
    <w:rsid w:val="00A812AF"/>
    <w:rsid w:val="00A81A0F"/>
    <w:rsid w:val="00A81C70"/>
    <w:rsid w:val="00A849F6"/>
    <w:rsid w:val="00A84C6D"/>
    <w:rsid w:val="00A86603"/>
    <w:rsid w:val="00A90874"/>
    <w:rsid w:val="00A9176B"/>
    <w:rsid w:val="00A92DE0"/>
    <w:rsid w:val="00A94F5D"/>
    <w:rsid w:val="00A973FA"/>
    <w:rsid w:val="00A9778B"/>
    <w:rsid w:val="00AA023D"/>
    <w:rsid w:val="00AA0B9C"/>
    <w:rsid w:val="00AA2343"/>
    <w:rsid w:val="00AA35A0"/>
    <w:rsid w:val="00AA383B"/>
    <w:rsid w:val="00AA3E15"/>
    <w:rsid w:val="00AA4FD3"/>
    <w:rsid w:val="00AA53B2"/>
    <w:rsid w:val="00AA604D"/>
    <w:rsid w:val="00AA7AD0"/>
    <w:rsid w:val="00AB0B2E"/>
    <w:rsid w:val="00AB0E29"/>
    <w:rsid w:val="00AB12E8"/>
    <w:rsid w:val="00AB32DB"/>
    <w:rsid w:val="00AB40A4"/>
    <w:rsid w:val="00AB6422"/>
    <w:rsid w:val="00AC1FA4"/>
    <w:rsid w:val="00AC2311"/>
    <w:rsid w:val="00AC23D1"/>
    <w:rsid w:val="00AC2760"/>
    <w:rsid w:val="00AC3EF3"/>
    <w:rsid w:val="00AC4C33"/>
    <w:rsid w:val="00AC582E"/>
    <w:rsid w:val="00AC6D4D"/>
    <w:rsid w:val="00AC7674"/>
    <w:rsid w:val="00AD14CA"/>
    <w:rsid w:val="00AD16A9"/>
    <w:rsid w:val="00AD38BA"/>
    <w:rsid w:val="00AD3B08"/>
    <w:rsid w:val="00AD3CB9"/>
    <w:rsid w:val="00AD5916"/>
    <w:rsid w:val="00AE126E"/>
    <w:rsid w:val="00AE1280"/>
    <w:rsid w:val="00AE1680"/>
    <w:rsid w:val="00AE19CA"/>
    <w:rsid w:val="00AE329F"/>
    <w:rsid w:val="00AE33BE"/>
    <w:rsid w:val="00AE52F1"/>
    <w:rsid w:val="00AF00CD"/>
    <w:rsid w:val="00AF062B"/>
    <w:rsid w:val="00AF0E5B"/>
    <w:rsid w:val="00AF1231"/>
    <w:rsid w:val="00AF2A39"/>
    <w:rsid w:val="00AF3605"/>
    <w:rsid w:val="00AF40A0"/>
    <w:rsid w:val="00B000E2"/>
    <w:rsid w:val="00B01440"/>
    <w:rsid w:val="00B01CAD"/>
    <w:rsid w:val="00B01DD9"/>
    <w:rsid w:val="00B038EE"/>
    <w:rsid w:val="00B05CC5"/>
    <w:rsid w:val="00B05FCE"/>
    <w:rsid w:val="00B07088"/>
    <w:rsid w:val="00B077A7"/>
    <w:rsid w:val="00B1016A"/>
    <w:rsid w:val="00B10EDA"/>
    <w:rsid w:val="00B14CE7"/>
    <w:rsid w:val="00B15CA0"/>
    <w:rsid w:val="00B15E69"/>
    <w:rsid w:val="00B20D1F"/>
    <w:rsid w:val="00B218FF"/>
    <w:rsid w:val="00B22293"/>
    <w:rsid w:val="00B22341"/>
    <w:rsid w:val="00B2380A"/>
    <w:rsid w:val="00B23ECF"/>
    <w:rsid w:val="00B245FA"/>
    <w:rsid w:val="00B25012"/>
    <w:rsid w:val="00B25BF5"/>
    <w:rsid w:val="00B25C1E"/>
    <w:rsid w:val="00B25EE0"/>
    <w:rsid w:val="00B26771"/>
    <w:rsid w:val="00B268A1"/>
    <w:rsid w:val="00B26D76"/>
    <w:rsid w:val="00B30700"/>
    <w:rsid w:val="00B30BA2"/>
    <w:rsid w:val="00B315C0"/>
    <w:rsid w:val="00B3172F"/>
    <w:rsid w:val="00B31B64"/>
    <w:rsid w:val="00B32E1A"/>
    <w:rsid w:val="00B3320B"/>
    <w:rsid w:val="00B339CF"/>
    <w:rsid w:val="00B33E8B"/>
    <w:rsid w:val="00B34039"/>
    <w:rsid w:val="00B34069"/>
    <w:rsid w:val="00B36CFC"/>
    <w:rsid w:val="00B44B38"/>
    <w:rsid w:val="00B467C5"/>
    <w:rsid w:val="00B46970"/>
    <w:rsid w:val="00B46AB5"/>
    <w:rsid w:val="00B46AD6"/>
    <w:rsid w:val="00B475F3"/>
    <w:rsid w:val="00B51567"/>
    <w:rsid w:val="00B5260C"/>
    <w:rsid w:val="00B5413C"/>
    <w:rsid w:val="00B60B09"/>
    <w:rsid w:val="00B61C85"/>
    <w:rsid w:val="00B635AC"/>
    <w:rsid w:val="00B63A6E"/>
    <w:rsid w:val="00B63B59"/>
    <w:rsid w:val="00B65541"/>
    <w:rsid w:val="00B675BE"/>
    <w:rsid w:val="00B67E47"/>
    <w:rsid w:val="00B70A60"/>
    <w:rsid w:val="00B70D0D"/>
    <w:rsid w:val="00B735EC"/>
    <w:rsid w:val="00B766E5"/>
    <w:rsid w:val="00B771CB"/>
    <w:rsid w:val="00B82777"/>
    <w:rsid w:val="00B856D8"/>
    <w:rsid w:val="00B85DC3"/>
    <w:rsid w:val="00B8608F"/>
    <w:rsid w:val="00B87390"/>
    <w:rsid w:val="00B9224E"/>
    <w:rsid w:val="00B92331"/>
    <w:rsid w:val="00B93A3C"/>
    <w:rsid w:val="00B93CCB"/>
    <w:rsid w:val="00B94536"/>
    <w:rsid w:val="00B97741"/>
    <w:rsid w:val="00B9798B"/>
    <w:rsid w:val="00B97EED"/>
    <w:rsid w:val="00BA1B32"/>
    <w:rsid w:val="00BA280C"/>
    <w:rsid w:val="00BA3906"/>
    <w:rsid w:val="00BA4958"/>
    <w:rsid w:val="00BA4AEF"/>
    <w:rsid w:val="00BA709D"/>
    <w:rsid w:val="00BB0D1C"/>
    <w:rsid w:val="00BB11D7"/>
    <w:rsid w:val="00BB2187"/>
    <w:rsid w:val="00BB21C0"/>
    <w:rsid w:val="00BB2D27"/>
    <w:rsid w:val="00BB4340"/>
    <w:rsid w:val="00BB4341"/>
    <w:rsid w:val="00BB44F3"/>
    <w:rsid w:val="00BB66CA"/>
    <w:rsid w:val="00BB70CA"/>
    <w:rsid w:val="00BC027E"/>
    <w:rsid w:val="00BC0CD1"/>
    <w:rsid w:val="00BC1128"/>
    <w:rsid w:val="00BC3196"/>
    <w:rsid w:val="00BC38A3"/>
    <w:rsid w:val="00BC40A7"/>
    <w:rsid w:val="00BC40FF"/>
    <w:rsid w:val="00BC4F83"/>
    <w:rsid w:val="00BC5685"/>
    <w:rsid w:val="00BD2175"/>
    <w:rsid w:val="00BD48C9"/>
    <w:rsid w:val="00BD6220"/>
    <w:rsid w:val="00BD6D7F"/>
    <w:rsid w:val="00BD6F35"/>
    <w:rsid w:val="00BE0BB6"/>
    <w:rsid w:val="00BE3200"/>
    <w:rsid w:val="00BE390F"/>
    <w:rsid w:val="00BE5C06"/>
    <w:rsid w:val="00BE7A5C"/>
    <w:rsid w:val="00BF0F56"/>
    <w:rsid w:val="00BF16BD"/>
    <w:rsid w:val="00BF18D3"/>
    <w:rsid w:val="00BF1AAE"/>
    <w:rsid w:val="00BF2973"/>
    <w:rsid w:val="00BF2D38"/>
    <w:rsid w:val="00BF5EF3"/>
    <w:rsid w:val="00BF69A3"/>
    <w:rsid w:val="00BF7C9E"/>
    <w:rsid w:val="00C002F3"/>
    <w:rsid w:val="00C023BB"/>
    <w:rsid w:val="00C0257D"/>
    <w:rsid w:val="00C03974"/>
    <w:rsid w:val="00C047A4"/>
    <w:rsid w:val="00C05391"/>
    <w:rsid w:val="00C0636B"/>
    <w:rsid w:val="00C0646E"/>
    <w:rsid w:val="00C06EC8"/>
    <w:rsid w:val="00C112DB"/>
    <w:rsid w:val="00C13A1A"/>
    <w:rsid w:val="00C15AE7"/>
    <w:rsid w:val="00C15C40"/>
    <w:rsid w:val="00C17B02"/>
    <w:rsid w:val="00C17FD1"/>
    <w:rsid w:val="00C207FC"/>
    <w:rsid w:val="00C21A26"/>
    <w:rsid w:val="00C224FA"/>
    <w:rsid w:val="00C227DC"/>
    <w:rsid w:val="00C232AE"/>
    <w:rsid w:val="00C249EA"/>
    <w:rsid w:val="00C25FC2"/>
    <w:rsid w:val="00C26939"/>
    <w:rsid w:val="00C26A0F"/>
    <w:rsid w:val="00C300A7"/>
    <w:rsid w:val="00C32C29"/>
    <w:rsid w:val="00C334D1"/>
    <w:rsid w:val="00C347D7"/>
    <w:rsid w:val="00C36541"/>
    <w:rsid w:val="00C37660"/>
    <w:rsid w:val="00C40363"/>
    <w:rsid w:val="00C40812"/>
    <w:rsid w:val="00C4202D"/>
    <w:rsid w:val="00C42F4F"/>
    <w:rsid w:val="00C43EBB"/>
    <w:rsid w:val="00C44DE0"/>
    <w:rsid w:val="00C46B9E"/>
    <w:rsid w:val="00C512EE"/>
    <w:rsid w:val="00C53407"/>
    <w:rsid w:val="00C54476"/>
    <w:rsid w:val="00C556E0"/>
    <w:rsid w:val="00C56231"/>
    <w:rsid w:val="00C56556"/>
    <w:rsid w:val="00C57065"/>
    <w:rsid w:val="00C573BB"/>
    <w:rsid w:val="00C573D3"/>
    <w:rsid w:val="00C579FC"/>
    <w:rsid w:val="00C6116C"/>
    <w:rsid w:val="00C61DAF"/>
    <w:rsid w:val="00C6312A"/>
    <w:rsid w:val="00C63425"/>
    <w:rsid w:val="00C63F84"/>
    <w:rsid w:val="00C65A9C"/>
    <w:rsid w:val="00C65F50"/>
    <w:rsid w:val="00C679C7"/>
    <w:rsid w:val="00C67AE8"/>
    <w:rsid w:val="00C702D9"/>
    <w:rsid w:val="00C70FF4"/>
    <w:rsid w:val="00C713B2"/>
    <w:rsid w:val="00C733FE"/>
    <w:rsid w:val="00C742BD"/>
    <w:rsid w:val="00C7451B"/>
    <w:rsid w:val="00C74B7A"/>
    <w:rsid w:val="00C76186"/>
    <w:rsid w:val="00C76BB2"/>
    <w:rsid w:val="00C77328"/>
    <w:rsid w:val="00C77567"/>
    <w:rsid w:val="00C77AA7"/>
    <w:rsid w:val="00C81959"/>
    <w:rsid w:val="00C8213A"/>
    <w:rsid w:val="00C8269D"/>
    <w:rsid w:val="00C83363"/>
    <w:rsid w:val="00C843E0"/>
    <w:rsid w:val="00C85356"/>
    <w:rsid w:val="00C861F4"/>
    <w:rsid w:val="00C86D3B"/>
    <w:rsid w:val="00C87143"/>
    <w:rsid w:val="00C87488"/>
    <w:rsid w:val="00C87705"/>
    <w:rsid w:val="00C87CC0"/>
    <w:rsid w:val="00C93750"/>
    <w:rsid w:val="00C93DC4"/>
    <w:rsid w:val="00C95564"/>
    <w:rsid w:val="00C968D1"/>
    <w:rsid w:val="00C975C2"/>
    <w:rsid w:val="00CA43C5"/>
    <w:rsid w:val="00CA46F8"/>
    <w:rsid w:val="00CA48B5"/>
    <w:rsid w:val="00CA4ACC"/>
    <w:rsid w:val="00CA5466"/>
    <w:rsid w:val="00CA5813"/>
    <w:rsid w:val="00CB1BF8"/>
    <w:rsid w:val="00CB4548"/>
    <w:rsid w:val="00CB4650"/>
    <w:rsid w:val="00CB6A1F"/>
    <w:rsid w:val="00CB74A7"/>
    <w:rsid w:val="00CC14C5"/>
    <w:rsid w:val="00CC1ECD"/>
    <w:rsid w:val="00CC22B9"/>
    <w:rsid w:val="00CC4F54"/>
    <w:rsid w:val="00CC570E"/>
    <w:rsid w:val="00CC78A2"/>
    <w:rsid w:val="00CC7A46"/>
    <w:rsid w:val="00CC7E3F"/>
    <w:rsid w:val="00CD031B"/>
    <w:rsid w:val="00CD13B2"/>
    <w:rsid w:val="00CD16E4"/>
    <w:rsid w:val="00CD254D"/>
    <w:rsid w:val="00CD57E7"/>
    <w:rsid w:val="00CD590C"/>
    <w:rsid w:val="00CD5DE2"/>
    <w:rsid w:val="00CD632E"/>
    <w:rsid w:val="00CD74EA"/>
    <w:rsid w:val="00CD7CC0"/>
    <w:rsid w:val="00CE0845"/>
    <w:rsid w:val="00CE56BA"/>
    <w:rsid w:val="00CE65DC"/>
    <w:rsid w:val="00CE71EE"/>
    <w:rsid w:val="00CE7EA1"/>
    <w:rsid w:val="00CF053C"/>
    <w:rsid w:val="00CF2C87"/>
    <w:rsid w:val="00CF39ED"/>
    <w:rsid w:val="00CF4004"/>
    <w:rsid w:val="00CF431D"/>
    <w:rsid w:val="00CF602E"/>
    <w:rsid w:val="00CF69EB"/>
    <w:rsid w:val="00D00A31"/>
    <w:rsid w:val="00D0464A"/>
    <w:rsid w:val="00D05B2F"/>
    <w:rsid w:val="00D10023"/>
    <w:rsid w:val="00D10FE7"/>
    <w:rsid w:val="00D11C06"/>
    <w:rsid w:val="00D11D76"/>
    <w:rsid w:val="00D12B2B"/>
    <w:rsid w:val="00D12CEE"/>
    <w:rsid w:val="00D12FBD"/>
    <w:rsid w:val="00D13175"/>
    <w:rsid w:val="00D13AF5"/>
    <w:rsid w:val="00D13FB5"/>
    <w:rsid w:val="00D1642B"/>
    <w:rsid w:val="00D16476"/>
    <w:rsid w:val="00D165DB"/>
    <w:rsid w:val="00D16CA6"/>
    <w:rsid w:val="00D17338"/>
    <w:rsid w:val="00D175FE"/>
    <w:rsid w:val="00D200FA"/>
    <w:rsid w:val="00D2131B"/>
    <w:rsid w:val="00D227D4"/>
    <w:rsid w:val="00D254E4"/>
    <w:rsid w:val="00D25D86"/>
    <w:rsid w:val="00D26219"/>
    <w:rsid w:val="00D30C20"/>
    <w:rsid w:val="00D3127D"/>
    <w:rsid w:val="00D31399"/>
    <w:rsid w:val="00D31F79"/>
    <w:rsid w:val="00D34267"/>
    <w:rsid w:val="00D34356"/>
    <w:rsid w:val="00D40170"/>
    <w:rsid w:val="00D4072A"/>
    <w:rsid w:val="00D4134A"/>
    <w:rsid w:val="00D42D45"/>
    <w:rsid w:val="00D43B64"/>
    <w:rsid w:val="00D43D83"/>
    <w:rsid w:val="00D43EED"/>
    <w:rsid w:val="00D45F12"/>
    <w:rsid w:val="00D47768"/>
    <w:rsid w:val="00D47AD6"/>
    <w:rsid w:val="00D51D9C"/>
    <w:rsid w:val="00D527C5"/>
    <w:rsid w:val="00D5308A"/>
    <w:rsid w:val="00D54D1A"/>
    <w:rsid w:val="00D554A2"/>
    <w:rsid w:val="00D55610"/>
    <w:rsid w:val="00D6052C"/>
    <w:rsid w:val="00D61B29"/>
    <w:rsid w:val="00D62D3D"/>
    <w:rsid w:val="00D64DA9"/>
    <w:rsid w:val="00D65448"/>
    <w:rsid w:val="00D65C2E"/>
    <w:rsid w:val="00D67880"/>
    <w:rsid w:val="00D67F28"/>
    <w:rsid w:val="00D70102"/>
    <w:rsid w:val="00D7098D"/>
    <w:rsid w:val="00D74F53"/>
    <w:rsid w:val="00D759DE"/>
    <w:rsid w:val="00D76838"/>
    <w:rsid w:val="00D838D7"/>
    <w:rsid w:val="00D85CF7"/>
    <w:rsid w:val="00D85E41"/>
    <w:rsid w:val="00D85E5E"/>
    <w:rsid w:val="00D86341"/>
    <w:rsid w:val="00D86AEF"/>
    <w:rsid w:val="00D87750"/>
    <w:rsid w:val="00D87824"/>
    <w:rsid w:val="00D9121A"/>
    <w:rsid w:val="00D9159E"/>
    <w:rsid w:val="00D916AA"/>
    <w:rsid w:val="00D933E4"/>
    <w:rsid w:val="00D9344E"/>
    <w:rsid w:val="00D95CC4"/>
    <w:rsid w:val="00D96EFF"/>
    <w:rsid w:val="00D96FA8"/>
    <w:rsid w:val="00DA02E4"/>
    <w:rsid w:val="00DA2129"/>
    <w:rsid w:val="00DA231A"/>
    <w:rsid w:val="00DA31A3"/>
    <w:rsid w:val="00DA47A4"/>
    <w:rsid w:val="00DA6C20"/>
    <w:rsid w:val="00DA7FF5"/>
    <w:rsid w:val="00DB04A8"/>
    <w:rsid w:val="00DB071A"/>
    <w:rsid w:val="00DB076A"/>
    <w:rsid w:val="00DB20D2"/>
    <w:rsid w:val="00DB2552"/>
    <w:rsid w:val="00DB259B"/>
    <w:rsid w:val="00DB25E9"/>
    <w:rsid w:val="00DB3B87"/>
    <w:rsid w:val="00DB492C"/>
    <w:rsid w:val="00DB5069"/>
    <w:rsid w:val="00DB6B9C"/>
    <w:rsid w:val="00DC0413"/>
    <w:rsid w:val="00DC0856"/>
    <w:rsid w:val="00DC45C5"/>
    <w:rsid w:val="00DC5149"/>
    <w:rsid w:val="00DC5631"/>
    <w:rsid w:val="00DC5A23"/>
    <w:rsid w:val="00DC650E"/>
    <w:rsid w:val="00DC7A07"/>
    <w:rsid w:val="00DC7DF3"/>
    <w:rsid w:val="00DD0B48"/>
    <w:rsid w:val="00DD2D8F"/>
    <w:rsid w:val="00DD366F"/>
    <w:rsid w:val="00DD399C"/>
    <w:rsid w:val="00DD58EF"/>
    <w:rsid w:val="00DD5DDF"/>
    <w:rsid w:val="00DD5ED7"/>
    <w:rsid w:val="00DD6302"/>
    <w:rsid w:val="00DD6A0E"/>
    <w:rsid w:val="00DD6B7B"/>
    <w:rsid w:val="00DD6BF0"/>
    <w:rsid w:val="00DE0A46"/>
    <w:rsid w:val="00DE0DEC"/>
    <w:rsid w:val="00DE20AB"/>
    <w:rsid w:val="00DE3BDA"/>
    <w:rsid w:val="00DE3E6D"/>
    <w:rsid w:val="00DE4EEF"/>
    <w:rsid w:val="00DE5925"/>
    <w:rsid w:val="00DE6CEB"/>
    <w:rsid w:val="00DE6F7E"/>
    <w:rsid w:val="00DE753E"/>
    <w:rsid w:val="00DF5217"/>
    <w:rsid w:val="00DF5226"/>
    <w:rsid w:val="00DF67ED"/>
    <w:rsid w:val="00DF6FDA"/>
    <w:rsid w:val="00E01E10"/>
    <w:rsid w:val="00E02820"/>
    <w:rsid w:val="00E034AC"/>
    <w:rsid w:val="00E03AA1"/>
    <w:rsid w:val="00E03F36"/>
    <w:rsid w:val="00E04A4F"/>
    <w:rsid w:val="00E0641F"/>
    <w:rsid w:val="00E06B97"/>
    <w:rsid w:val="00E07343"/>
    <w:rsid w:val="00E073EC"/>
    <w:rsid w:val="00E07513"/>
    <w:rsid w:val="00E07E5F"/>
    <w:rsid w:val="00E10DC6"/>
    <w:rsid w:val="00E11396"/>
    <w:rsid w:val="00E114C7"/>
    <w:rsid w:val="00E14D5C"/>
    <w:rsid w:val="00E15ED4"/>
    <w:rsid w:val="00E17707"/>
    <w:rsid w:val="00E20A95"/>
    <w:rsid w:val="00E213EA"/>
    <w:rsid w:val="00E230DA"/>
    <w:rsid w:val="00E259FE"/>
    <w:rsid w:val="00E26CB6"/>
    <w:rsid w:val="00E27712"/>
    <w:rsid w:val="00E27AD7"/>
    <w:rsid w:val="00E329D7"/>
    <w:rsid w:val="00E346CA"/>
    <w:rsid w:val="00E34C9A"/>
    <w:rsid w:val="00E35B7F"/>
    <w:rsid w:val="00E36821"/>
    <w:rsid w:val="00E371C6"/>
    <w:rsid w:val="00E37FA1"/>
    <w:rsid w:val="00E409BC"/>
    <w:rsid w:val="00E43C24"/>
    <w:rsid w:val="00E43D13"/>
    <w:rsid w:val="00E45528"/>
    <w:rsid w:val="00E469A7"/>
    <w:rsid w:val="00E4756C"/>
    <w:rsid w:val="00E50EC5"/>
    <w:rsid w:val="00E51547"/>
    <w:rsid w:val="00E522C5"/>
    <w:rsid w:val="00E52596"/>
    <w:rsid w:val="00E529C5"/>
    <w:rsid w:val="00E52C95"/>
    <w:rsid w:val="00E56ADF"/>
    <w:rsid w:val="00E572C2"/>
    <w:rsid w:val="00E57610"/>
    <w:rsid w:val="00E605AB"/>
    <w:rsid w:val="00E61E7E"/>
    <w:rsid w:val="00E62C00"/>
    <w:rsid w:val="00E63797"/>
    <w:rsid w:val="00E64024"/>
    <w:rsid w:val="00E64E6C"/>
    <w:rsid w:val="00E65CDE"/>
    <w:rsid w:val="00E67FC0"/>
    <w:rsid w:val="00E72BD6"/>
    <w:rsid w:val="00E76BE7"/>
    <w:rsid w:val="00E772BF"/>
    <w:rsid w:val="00E7791A"/>
    <w:rsid w:val="00E82665"/>
    <w:rsid w:val="00E855BB"/>
    <w:rsid w:val="00E900CA"/>
    <w:rsid w:val="00E90188"/>
    <w:rsid w:val="00E9020A"/>
    <w:rsid w:val="00E9292E"/>
    <w:rsid w:val="00E941A5"/>
    <w:rsid w:val="00E94FFC"/>
    <w:rsid w:val="00E95528"/>
    <w:rsid w:val="00E963BF"/>
    <w:rsid w:val="00E97143"/>
    <w:rsid w:val="00EA0758"/>
    <w:rsid w:val="00EA0DCF"/>
    <w:rsid w:val="00EA497F"/>
    <w:rsid w:val="00EA6884"/>
    <w:rsid w:val="00EA76C4"/>
    <w:rsid w:val="00EA7B26"/>
    <w:rsid w:val="00EA7F4E"/>
    <w:rsid w:val="00EB18B0"/>
    <w:rsid w:val="00EB292F"/>
    <w:rsid w:val="00EB4B9A"/>
    <w:rsid w:val="00EB51AB"/>
    <w:rsid w:val="00EB5E89"/>
    <w:rsid w:val="00EC1EC8"/>
    <w:rsid w:val="00EC4193"/>
    <w:rsid w:val="00EC5382"/>
    <w:rsid w:val="00EC5C3F"/>
    <w:rsid w:val="00EC5F52"/>
    <w:rsid w:val="00EC68DB"/>
    <w:rsid w:val="00EC68E2"/>
    <w:rsid w:val="00EC73A7"/>
    <w:rsid w:val="00ED24DE"/>
    <w:rsid w:val="00ED36A2"/>
    <w:rsid w:val="00ED3805"/>
    <w:rsid w:val="00ED39F5"/>
    <w:rsid w:val="00ED3F18"/>
    <w:rsid w:val="00ED4240"/>
    <w:rsid w:val="00ED4BED"/>
    <w:rsid w:val="00ED5885"/>
    <w:rsid w:val="00ED5B8B"/>
    <w:rsid w:val="00ED5C59"/>
    <w:rsid w:val="00ED6C57"/>
    <w:rsid w:val="00ED6CC0"/>
    <w:rsid w:val="00EE0A21"/>
    <w:rsid w:val="00EE246D"/>
    <w:rsid w:val="00EE3763"/>
    <w:rsid w:val="00EE38E1"/>
    <w:rsid w:val="00EE5706"/>
    <w:rsid w:val="00EE5B5F"/>
    <w:rsid w:val="00EF03A2"/>
    <w:rsid w:val="00EF07DA"/>
    <w:rsid w:val="00EF0A14"/>
    <w:rsid w:val="00EF0FBC"/>
    <w:rsid w:val="00EF2388"/>
    <w:rsid w:val="00EF2836"/>
    <w:rsid w:val="00EF6430"/>
    <w:rsid w:val="00F00822"/>
    <w:rsid w:val="00F00C96"/>
    <w:rsid w:val="00F01045"/>
    <w:rsid w:val="00F022FE"/>
    <w:rsid w:val="00F02971"/>
    <w:rsid w:val="00F0446C"/>
    <w:rsid w:val="00F05BC6"/>
    <w:rsid w:val="00F100AC"/>
    <w:rsid w:val="00F10CB3"/>
    <w:rsid w:val="00F1124A"/>
    <w:rsid w:val="00F11491"/>
    <w:rsid w:val="00F1337B"/>
    <w:rsid w:val="00F13F15"/>
    <w:rsid w:val="00F1474B"/>
    <w:rsid w:val="00F14910"/>
    <w:rsid w:val="00F14F9A"/>
    <w:rsid w:val="00F17617"/>
    <w:rsid w:val="00F1763D"/>
    <w:rsid w:val="00F179B4"/>
    <w:rsid w:val="00F20954"/>
    <w:rsid w:val="00F23119"/>
    <w:rsid w:val="00F231C4"/>
    <w:rsid w:val="00F23629"/>
    <w:rsid w:val="00F25E48"/>
    <w:rsid w:val="00F267F6"/>
    <w:rsid w:val="00F2790E"/>
    <w:rsid w:val="00F30338"/>
    <w:rsid w:val="00F307F4"/>
    <w:rsid w:val="00F30B67"/>
    <w:rsid w:val="00F30D35"/>
    <w:rsid w:val="00F31006"/>
    <w:rsid w:val="00F315B4"/>
    <w:rsid w:val="00F32494"/>
    <w:rsid w:val="00F33263"/>
    <w:rsid w:val="00F33851"/>
    <w:rsid w:val="00F33C98"/>
    <w:rsid w:val="00F3436F"/>
    <w:rsid w:val="00F34798"/>
    <w:rsid w:val="00F35326"/>
    <w:rsid w:val="00F35DDB"/>
    <w:rsid w:val="00F41739"/>
    <w:rsid w:val="00F42244"/>
    <w:rsid w:val="00F42C3F"/>
    <w:rsid w:val="00F434C0"/>
    <w:rsid w:val="00F43EEC"/>
    <w:rsid w:val="00F4433B"/>
    <w:rsid w:val="00F51346"/>
    <w:rsid w:val="00F52495"/>
    <w:rsid w:val="00F526B2"/>
    <w:rsid w:val="00F52D96"/>
    <w:rsid w:val="00F536D9"/>
    <w:rsid w:val="00F53F18"/>
    <w:rsid w:val="00F54DEE"/>
    <w:rsid w:val="00F54F44"/>
    <w:rsid w:val="00F552A6"/>
    <w:rsid w:val="00F5740C"/>
    <w:rsid w:val="00F60477"/>
    <w:rsid w:val="00F61935"/>
    <w:rsid w:val="00F639E7"/>
    <w:rsid w:val="00F63B88"/>
    <w:rsid w:val="00F64011"/>
    <w:rsid w:val="00F66B0C"/>
    <w:rsid w:val="00F6734D"/>
    <w:rsid w:val="00F713C5"/>
    <w:rsid w:val="00F7190D"/>
    <w:rsid w:val="00F7261E"/>
    <w:rsid w:val="00F74693"/>
    <w:rsid w:val="00F74C26"/>
    <w:rsid w:val="00F75C91"/>
    <w:rsid w:val="00F75E65"/>
    <w:rsid w:val="00F801B0"/>
    <w:rsid w:val="00F80741"/>
    <w:rsid w:val="00F820BD"/>
    <w:rsid w:val="00F828A3"/>
    <w:rsid w:val="00F82F7E"/>
    <w:rsid w:val="00F83B67"/>
    <w:rsid w:val="00F83B71"/>
    <w:rsid w:val="00F844B0"/>
    <w:rsid w:val="00F85681"/>
    <w:rsid w:val="00F85887"/>
    <w:rsid w:val="00F85FB1"/>
    <w:rsid w:val="00F86016"/>
    <w:rsid w:val="00F863D3"/>
    <w:rsid w:val="00F90368"/>
    <w:rsid w:val="00F91035"/>
    <w:rsid w:val="00F943D9"/>
    <w:rsid w:val="00FA11B4"/>
    <w:rsid w:val="00FA2ACC"/>
    <w:rsid w:val="00FA3C03"/>
    <w:rsid w:val="00FA4AB1"/>
    <w:rsid w:val="00FA4FF7"/>
    <w:rsid w:val="00FA5D11"/>
    <w:rsid w:val="00FA5EA2"/>
    <w:rsid w:val="00FA6FE7"/>
    <w:rsid w:val="00FB104D"/>
    <w:rsid w:val="00FB19BC"/>
    <w:rsid w:val="00FB249A"/>
    <w:rsid w:val="00FB2C2B"/>
    <w:rsid w:val="00FB46C1"/>
    <w:rsid w:val="00FB6339"/>
    <w:rsid w:val="00FB75F5"/>
    <w:rsid w:val="00FB76C5"/>
    <w:rsid w:val="00FC23BE"/>
    <w:rsid w:val="00FC3599"/>
    <w:rsid w:val="00FC5706"/>
    <w:rsid w:val="00FC67EA"/>
    <w:rsid w:val="00FC67EC"/>
    <w:rsid w:val="00FC6922"/>
    <w:rsid w:val="00FC72A4"/>
    <w:rsid w:val="00FC759B"/>
    <w:rsid w:val="00FC7B09"/>
    <w:rsid w:val="00FD0042"/>
    <w:rsid w:val="00FD1C6F"/>
    <w:rsid w:val="00FD1CC4"/>
    <w:rsid w:val="00FD1E4C"/>
    <w:rsid w:val="00FD1F22"/>
    <w:rsid w:val="00FD258B"/>
    <w:rsid w:val="00FD2A23"/>
    <w:rsid w:val="00FD4087"/>
    <w:rsid w:val="00FD4354"/>
    <w:rsid w:val="00FD4859"/>
    <w:rsid w:val="00FD58ED"/>
    <w:rsid w:val="00FD5A13"/>
    <w:rsid w:val="00FD6C16"/>
    <w:rsid w:val="00FD7432"/>
    <w:rsid w:val="00FE0E15"/>
    <w:rsid w:val="00FE16F4"/>
    <w:rsid w:val="00FE27AC"/>
    <w:rsid w:val="00FE50CC"/>
    <w:rsid w:val="00FE53E2"/>
    <w:rsid w:val="00FE5BBA"/>
    <w:rsid w:val="00FE6284"/>
    <w:rsid w:val="00FF10A1"/>
    <w:rsid w:val="00FF115E"/>
    <w:rsid w:val="00FF260C"/>
    <w:rsid w:val="00FF30B8"/>
    <w:rsid w:val="00FF311B"/>
    <w:rsid w:val="00FF3E1F"/>
    <w:rsid w:val="00FF4C57"/>
    <w:rsid w:val="00FF4D73"/>
    <w:rsid w:val="00FF55E8"/>
    <w:rsid w:val="00FF667A"/>
    <w:rsid w:val="00FF7E3E"/>
    <w:rsid w:val="01296F6D"/>
    <w:rsid w:val="015069F9"/>
    <w:rsid w:val="01642627"/>
    <w:rsid w:val="016C4722"/>
    <w:rsid w:val="017246D8"/>
    <w:rsid w:val="01A60AB5"/>
    <w:rsid w:val="01A92377"/>
    <w:rsid w:val="01AD716D"/>
    <w:rsid w:val="01BC7569"/>
    <w:rsid w:val="01CC7629"/>
    <w:rsid w:val="01E965E4"/>
    <w:rsid w:val="01F67D81"/>
    <w:rsid w:val="01FB3CFF"/>
    <w:rsid w:val="02161FA5"/>
    <w:rsid w:val="022F39AC"/>
    <w:rsid w:val="027055D2"/>
    <w:rsid w:val="0281790C"/>
    <w:rsid w:val="028B18FB"/>
    <w:rsid w:val="029414DF"/>
    <w:rsid w:val="02AB63DB"/>
    <w:rsid w:val="02C1029E"/>
    <w:rsid w:val="02C126AE"/>
    <w:rsid w:val="02CA165E"/>
    <w:rsid w:val="02CA6F43"/>
    <w:rsid w:val="02D170E1"/>
    <w:rsid w:val="02D97118"/>
    <w:rsid w:val="02DA41F6"/>
    <w:rsid w:val="02DB7BBD"/>
    <w:rsid w:val="02E04496"/>
    <w:rsid w:val="02F84975"/>
    <w:rsid w:val="030C6C91"/>
    <w:rsid w:val="031873C7"/>
    <w:rsid w:val="031E4BF0"/>
    <w:rsid w:val="0330004A"/>
    <w:rsid w:val="03363E0E"/>
    <w:rsid w:val="033E0536"/>
    <w:rsid w:val="034C23D0"/>
    <w:rsid w:val="036F2280"/>
    <w:rsid w:val="037D7B54"/>
    <w:rsid w:val="03831B1B"/>
    <w:rsid w:val="039A1978"/>
    <w:rsid w:val="03A86A5A"/>
    <w:rsid w:val="03B0112E"/>
    <w:rsid w:val="03E86B34"/>
    <w:rsid w:val="04275C37"/>
    <w:rsid w:val="0433014E"/>
    <w:rsid w:val="04357D11"/>
    <w:rsid w:val="04357FA0"/>
    <w:rsid w:val="043818BC"/>
    <w:rsid w:val="045353C2"/>
    <w:rsid w:val="045D40A0"/>
    <w:rsid w:val="046D093A"/>
    <w:rsid w:val="047302F5"/>
    <w:rsid w:val="04817358"/>
    <w:rsid w:val="048A181C"/>
    <w:rsid w:val="04903BE2"/>
    <w:rsid w:val="049639FB"/>
    <w:rsid w:val="04AC2D14"/>
    <w:rsid w:val="04B949AA"/>
    <w:rsid w:val="04C679B4"/>
    <w:rsid w:val="04CD7E6C"/>
    <w:rsid w:val="04E07D90"/>
    <w:rsid w:val="04E15BA3"/>
    <w:rsid w:val="04E94574"/>
    <w:rsid w:val="050E221A"/>
    <w:rsid w:val="05211214"/>
    <w:rsid w:val="05303F42"/>
    <w:rsid w:val="05341703"/>
    <w:rsid w:val="054D5A44"/>
    <w:rsid w:val="055458A7"/>
    <w:rsid w:val="05605B0F"/>
    <w:rsid w:val="057843C5"/>
    <w:rsid w:val="057C4FE1"/>
    <w:rsid w:val="059407F3"/>
    <w:rsid w:val="05952B6F"/>
    <w:rsid w:val="05B235C6"/>
    <w:rsid w:val="05DD7277"/>
    <w:rsid w:val="0610621B"/>
    <w:rsid w:val="06433E7E"/>
    <w:rsid w:val="064A0093"/>
    <w:rsid w:val="067D33C6"/>
    <w:rsid w:val="069C2099"/>
    <w:rsid w:val="069E44AF"/>
    <w:rsid w:val="069F188E"/>
    <w:rsid w:val="06BA4EF1"/>
    <w:rsid w:val="06BC20EA"/>
    <w:rsid w:val="06CC5B3F"/>
    <w:rsid w:val="070172C6"/>
    <w:rsid w:val="070320D3"/>
    <w:rsid w:val="070572DF"/>
    <w:rsid w:val="071D39F3"/>
    <w:rsid w:val="076431EE"/>
    <w:rsid w:val="07741536"/>
    <w:rsid w:val="07922F0E"/>
    <w:rsid w:val="07965EB6"/>
    <w:rsid w:val="07A54111"/>
    <w:rsid w:val="07C531B9"/>
    <w:rsid w:val="07D90714"/>
    <w:rsid w:val="07E6071F"/>
    <w:rsid w:val="07E66CE8"/>
    <w:rsid w:val="07F04952"/>
    <w:rsid w:val="07FB333A"/>
    <w:rsid w:val="08144D34"/>
    <w:rsid w:val="0814730D"/>
    <w:rsid w:val="0826151D"/>
    <w:rsid w:val="08293577"/>
    <w:rsid w:val="08710D63"/>
    <w:rsid w:val="087F2CB8"/>
    <w:rsid w:val="089A52EE"/>
    <w:rsid w:val="089E0470"/>
    <w:rsid w:val="08A35481"/>
    <w:rsid w:val="08C744DB"/>
    <w:rsid w:val="08C86DC3"/>
    <w:rsid w:val="08CE3BCE"/>
    <w:rsid w:val="08CF4A49"/>
    <w:rsid w:val="08DF0A61"/>
    <w:rsid w:val="08E536DF"/>
    <w:rsid w:val="08E9448A"/>
    <w:rsid w:val="08F3765F"/>
    <w:rsid w:val="09046583"/>
    <w:rsid w:val="091D7BF6"/>
    <w:rsid w:val="093415D0"/>
    <w:rsid w:val="09454CC4"/>
    <w:rsid w:val="094B384E"/>
    <w:rsid w:val="094F7D54"/>
    <w:rsid w:val="09516FA5"/>
    <w:rsid w:val="096712DB"/>
    <w:rsid w:val="097137BB"/>
    <w:rsid w:val="09736C45"/>
    <w:rsid w:val="09756E61"/>
    <w:rsid w:val="097905CD"/>
    <w:rsid w:val="09815EAB"/>
    <w:rsid w:val="09854DD1"/>
    <w:rsid w:val="098A414A"/>
    <w:rsid w:val="098F294B"/>
    <w:rsid w:val="0994529D"/>
    <w:rsid w:val="09A3095E"/>
    <w:rsid w:val="09B0166B"/>
    <w:rsid w:val="09EE4F41"/>
    <w:rsid w:val="09FB1C09"/>
    <w:rsid w:val="0A0F3B4C"/>
    <w:rsid w:val="0A13272B"/>
    <w:rsid w:val="0A184E3B"/>
    <w:rsid w:val="0A1C3307"/>
    <w:rsid w:val="0A1F402D"/>
    <w:rsid w:val="0A2D7ADD"/>
    <w:rsid w:val="0A3C3EBD"/>
    <w:rsid w:val="0A65402E"/>
    <w:rsid w:val="0A6E5F24"/>
    <w:rsid w:val="0A6F61BB"/>
    <w:rsid w:val="0A764959"/>
    <w:rsid w:val="0A7C5A58"/>
    <w:rsid w:val="0A837E37"/>
    <w:rsid w:val="0A8D184A"/>
    <w:rsid w:val="0AAF37CB"/>
    <w:rsid w:val="0AB100FE"/>
    <w:rsid w:val="0ACC3381"/>
    <w:rsid w:val="0ACD4D3A"/>
    <w:rsid w:val="0ADC7263"/>
    <w:rsid w:val="0AE95D11"/>
    <w:rsid w:val="0AF0572E"/>
    <w:rsid w:val="0AFF049B"/>
    <w:rsid w:val="0B0B6888"/>
    <w:rsid w:val="0B345726"/>
    <w:rsid w:val="0B450770"/>
    <w:rsid w:val="0B8139B2"/>
    <w:rsid w:val="0B9A4307"/>
    <w:rsid w:val="0BA026B2"/>
    <w:rsid w:val="0BB04810"/>
    <w:rsid w:val="0BC1638D"/>
    <w:rsid w:val="0BE723E7"/>
    <w:rsid w:val="0BEF5158"/>
    <w:rsid w:val="0C023F2E"/>
    <w:rsid w:val="0C04429D"/>
    <w:rsid w:val="0C0B1B68"/>
    <w:rsid w:val="0C0D0A69"/>
    <w:rsid w:val="0C0E33B8"/>
    <w:rsid w:val="0C4A6C5B"/>
    <w:rsid w:val="0C4F43CA"/>
    <w:rsid w:val="0C501BB7"/>
    <w:rsid w:val="0C60563C"/>
    <w:rsid w:val="0C7B1748"/>
    <w:rsid w:val="0CA72A8D"/>
    <w:rsid w:val="0CCD0911"/>
    <w:rsid w:val="0CD65E68"/>
    <w:rsid w:val="0CD73CA4"/>
    <w:rsid w:val="0CF6747D"/>
    <w:rsid w:val="0CF8130C"/>
    <w:rsid w:val="0D194AC5"/>
    <w:rsid w:val="0D21421C"/>
    <w:rsid w:val="0D51395D"/>
    <w:rsid w:val="0D5E1CDD"/>
    <w:rsid w:val="0D604686"/>
    <w:rsid w:val="0D747FB8"/>
    <w:rsid w:val="0D775137"/>
    <w:rsid w:val="0D7C4010"/>
    <w:rsid w:val="0D9E3CDD"/>
    <w:rsid w:val="0DCA60A5"/>
    <w:rsid w:val="0DE77FB9"/>
    <w:rsid w:val="0DFF461F"/>
    <w:rsid w:val="0E2B2356"/>
    <w:rsid w:val="0E334CF5"/>
    <w:rsid w:val="0E366840"/>
    <w:rsid w:val="0E4331A9"/>
    <w:rsid w:val="0E65525C"/>
    <w:rsid w:val="0E6A4998"/>
    <w:rsid w:val="0E727C69"/>
    <w:rsid w:val="0E807677"/>
    <w:rsid w:val="0E882A85"/>
    <w:rsid w:val="0E9300A8"/>
    <w:rsid w:val="0E9B7475"/>
    <w:rsid w:val="0E9E192A"/>
    <w:rsid w:val="0EAE7448"/>
    <w:rsid w:val="0EBC0082"/>
    <w:rsid w:val="0ECB4AD3"/>
    <w:rsid w:val="0ED359F0"/>
    <w:rsid w:val="0ED921AB"/>
    <w:rsid w:val="0EE15048"/>
    <w:rsid w:val="0EF9063B"/>
    <w:rsid w:val="0EFF528C"/>
    <w:rsid w:val="0F3A3276"/>
    <w:rsid w:val="0F3C697B"/>
    <w:rsid w:val="0F6C728B"/>
    <w:rsid w:val="0F7125BE"/>
    <w:rsid w:val="0F7849FF"/>
    <w:rsid w:val="0F8B5F4B"/>
    <w:rsid w:val="0FA00DBB"/>
    <w:rsid w:val="0FBB4B45"/>
    <w:rsid w:val="0FBC6AC4"/>
    <w:rsid w:val="0FDC1E96"/>
    <w:rsid w:val="100221B6"/>
    <w:rsid w:val="100D3B36"/>
    <w:rsid w:val="10215953"/>
    <w:rsid w:val="10297CE7"/>
    <w:rsid w:val="102D6265"/>
    <w:rsid w:val="10317138"/>
    <w:rsid w:val="104E3521"/>
    <w:rsid w:val="10532F3B"/>
    <w:rsid w:val="106029F1"/>
    <w:rsid w:val="106F0A2E"/>
    <w:rsid w:val="108F78CF"/>
    <w:rsid w:val="1093113D"/>
    <w:rsid w:val="10946632"/>
    <w:rsid w:val="10AD60B8"/>
    <w:rsid w:val="10C2569F"/>
    <w:rsid w:val="10CD40A2"/>
    <w:rsid w:val="10DA04A5"/>
    <w:rsid w:val="10E619CB"/>
    <w:rsid w:val="10E63094"/>
    <w:rsid w:val="10F01122"/>
    <w:rsid w:val="10F21B1E"/>
    <w:rsid w:val="10F62832"/>
    <w:rsid w:val="10F66E76"/>
    <w:rsid w:val="10FC0587"/>
    <w:rsid w:val="11017694"/>
    <w:rsid w:val="11023A82"/>
    <w:rsid w:val="110F55B1"/>
    <w:rsid w:val="111A59C6"/>
    <w:rsid w:val="11267AE8"/>
    <w:rsid w:val="112838AD"/>
    <w:rsid w:val="112E3AD2"/>
    <w:rsid w:val="113472AF"/>
    <w:rsid w:val="11384EF1"/>
    <w:rsid w:val="113902AD"/>
    <w:rsid w:val="11430060"/>
    <w:rsid w:val="114A5AEB"/>
    <w:rsid w:val="114D1931"/>
    <w:rsid w:val="115117FD"/>
    <w:rsid w:val="11937C31"/>
    <w:rsid w:val="11960A7C"/>
    <w:rsid w:val="11961522"/>
    <w:rsid w:val="11A251CB"/>
    <w:rsid w:val="11AE6079"/>
    <w:rsid w:val="11B9224D"/>
    <w:rsid w:val="11C01399"/>
    <w:rsid w:val="11F258B7"/>
    <w:rsid w:val="11FC310F"/>
    <w:rsid w:val="122A3C49"/>
    <w:rsid w:val="124A41E6"/>
    <w:rsid w:val="12590844"/>
    <w:rsid w:val="127540A0"/>
    <w:rsid w:val="127A4FD6"/>
    <w:rsid w:val="129225AE"/>
    <w:rsid w:val="129409C5"/>
    <w:rsid w:val="12943333"/>
    <w:rsid w:val="12996608"/>
    <w:rsid w:val="129F0581"/>
    <w:rsid w:val="12BE5052"/>
    <w:rsid w:val="12BF5997"/>
    <w:rsid w:val="12CC56D3"/>
    <w:rsid w:val="12DC318A"/>
    <w:rsid w:val="12E46556"/>
    <w:rsid w:val="12F1557E"/>
    <w:rsid w:val="131034E5"/>
    <w:rsid w:val="13127E9A"/>
    <w:rsid w:val="132C5655"/>
    <w:rsid w:val="133B5607"/>
    <w:rsid w:val="13537008"/>
    <w:rsid w:val="136A56D8"/>
    <w:rsid w:val="137F41E9"/>
    <w:rsid w:val="138326CC"/>
    <w:rsid w:val="138C584C"/>
    <w:rsid w:val="139370B1"/>
    <w:rsid w:val="139956B7"/>
    <w:rsid w:val="13C820C5"/>
    <w:rsid w:val="13D16C3F"/>
    <w:rsid w:val="13E160FC"/>
    <w:rsid w:val="13EE4B96"/>
    <w:rsid w:val="13FB2C69"/>
    <w:rsid w:val="14080E5E"/>
    <w:rsid w:val="141627BD"/>
    <w:rsid w:val="14342A68"/>
    <w:rsid w:val="14563F95"/>
    <w:rsid w:val="147C55F3"/>
    <w:rsid w:val="14871BE7"/>
    <w:rsid w:val="149400A8"/>
    <w:rsid w:val="14A66967"/>
    <w:rsid w:val="14C604BE"/>
    <w:rsid w:val="14D14058"/>
    <w:rsid w:val="14D8734B"/>
    <w:rsid w:val="14FB1D93"/>
    <w:rsid w:val="15333346"/>
    <w:rsid w:val="15386C6F"/>
    <w:rsid w:val="153C24F8"/>
    <w:rsid w:val="153D5F0E"/>
    <w:rsid w:val="1549212E"/>
    <w:rsid w:val="155B503A"/>
    <w:rsid w:val="158F5F18"/>
    <w:rsid w:val="15AA5946"/>
    <w:rsid w:val="15B90BA0"/>
    <w:rsid w:val="15DD5526"/>
    <w:rsid w:val="15EF15CF"/>
    <w:rsid w:val="15F16273"/>
    <w:rsid w:val="15FB575E"/>
    <w:rsid w:val="162267CB"/>
    <w:rsid w:val="163A00D1"/>
    <w:rsid w:val="167A2E81"/>
    <w:rsid w:val="16A7526D"/>
    <w:rsid w:val="16E0076B"/>
    <w:rsid w:val="16F36F0A"/>
    <w:rsid w:val="171B07FB"/>
    <w:rsid w:val="17405197"/>
    <w:rsid w:val="17550379"/>
    <w:rsid w:val="1755625F"/>
    <w:rsid w:val="17624FE0"/>
    <w:rsid w:val="176345DE"/>
    <w:rsid w:val="17794F56"/>
    <w:rsid w:val="17945903"/>
    <w:rsid w:val="17B305E6"/>
    <w:rsid w:val="17CE2C65"/>
    <w:rsid w:val="17D46DBE"/>
    <w:rsid w:val="17E07536"/>
    <w:rsid w:val="17EC4D4A"/>
    <w:rsid w:val="17F24A2E"/>
    <w:rsid w:val="181F08C3"/>
    <w:rsid w:val="182B1EF8"/>
    <w:rsid w:val="184A55AA"/>
    <w:rsid w:val="1860516B"/>
    <w:rsid w:val="187374AA"/>
    <w:rsid w:val="187463B2"/>
    <w:rsid w:val="18762F63"/>
    <w:rsid w:val="18922F97"/>
    <w:rsid w:val="18971044"/>
    <w:rsid w:val="18EA5AA1"/>
    <w:rsid w:val="19047317"/>
    <w:rsid w:val="191E0317"/>
    <w:rsid w:val="1960255F"/>
    <w:rsid w:val="199E38F0"/>
    <w:rsid w:val="19C52F4C"/>
    <w:rsid w:val="19D163A1"/>
    <w:rsid w:val="19D306F3"/>
    <w:rsid w:val="19D75E7D"/>
    <w:rsid w:val="1A016B30"/>
    <w:rsid w:val="1A23104D"/>
    <w:rsid w:val="1A314A25"/>
    <w:rsid w:val="1A3220FC"/>
    <w:rsid w:val="1A43273C"/>
    <w:rsid w:val="1A4771A2"/>
    <w:rsid w:val="1A5731E8"/>
    <w:rsid w:val="1A8B516F"/>
    <w:rsid w:val="1A92439D"/>
    <w:rsid w:val="1AAA0EC8"/>
    <w:rsid w:val="1AC758B5"/>
    <w:rsid w:val="1AD50DC2"/>
    <w:rsid w:val="1AEE29FF"/>
    <w:rsid w:val="1AF730B2"/>
    <w:rsid w:val="1AF876CE"/>
    <w:rsid w:val="1B0A659B"/>
    <w:rsid w:val="1B150EA2"/>
    <w:rsid w:val="1B282AD6"/>
    <w:rsid w:val="1B763D95"/>
    <w:rsid w:val="1B795EEB"/>
    <w:rsid w:val="1B93777B"/>
    <w:rsid w:val="1B9B175B"/>
    <w:rsid w:val="1BC902C1"/>
    <w:rsid w:val="1BCA7ED4"/>
    <w:rsid w:val="1BD25653"/>
    <w:rsid w:val="1BEC6020"/>
    <w:rsid w:val="1BF74640"/>
    <w:rsid w:val="1BFA1F29"/>
    <w:rsid w:val="1BFC318D"/>
    <w:rsid w:val="1BFF6EA1"/>
    <w:rsid w:val="1C043ADD"/>
    <w:rsid w:val="1C2615A9"/>
    <w:rsid w:val="1C325B3F"/>
    <w:rsid w:val="1CB14475"/>
    <w:rsid w:val="1CC2243F"/>
    <w:rsid w:val="1CC749A1"/>
    <w:rsid w:val="1CD707D6"/>
    <w:rsid w:val="1CE15268"/>
    <w:rsid w:val="1CF10472"/>
    <w:rsid w:val="1CF97AD4"/>
    <w:rsid w:val="1D0911CC"/>
    <w:rsid w:val="1D2B7E9D"/>
    <w:rsid w:val="1D357AB4"/>
    <w:rsid w:val="1D623545"/>
    <w:rsid w:val="1D7174DC"/>
    <w:rsid w:val="1D722858"/>
    <w:rsid w:val="1D7B4128"/>
    <w:rsid w:val="1D820FFF"/>
    <w:rsid w:val="1D9B2ECA"/>
    <w:rsid w:val="1DDF6E92"/>
    <w:rsid w:val="1DE93154"/>
    <w:rsid w:val="1E032346"/>
    <w:rsid w:val="1E042D9D"/>
    <w:rsid w:val="1E0721A0"/>
    <w:rsid w:val="1E19741B"/>
    <w:rsid w:val="1E2E4D08"/>
    <w:rsid w:val="1E371750"/>
    <w:rsid w:val="1E41786E"/>
    <w:rsid w:val="1E4B11E0"/>
    <w:rsid w:val="1E53171B"/>
    <w:rsid w:val="1E57572C"/>
    <w:rsid w:val="1E5848E1"/>
    <w:rsid w:val="1E7A1A3B"/>
    <w:rsid w:val="1E962363"/>
    <w:rsid w:val="1E9D430C"/>
    <w:rsid w:val="1EAE5589"/>
    <w:rsid w:val="1EBB5783"/>
    <w:rsid w:val="1EEA6AB8"/>
    <w:rsid w:val="1F021BB4"/>
    <w:rsid w:val="1F025C1E"/>
    <w:rsid w:val="1F055356"/>
    <w:rsid w:val="1F1026C8"/>
    <w:rsid w:val="1F215E69"/>
    <w:rsid w:val="1F3C3707"/>
    <w:rsid w:val="1F4D2893"/>
    <w:rsid w:val="1F540EE2"/>
    <w:rsid w:val="1F606F49"/>
    <w:rsid w:val="1F773BCB"/>
    <w:rsid w:val="1F8163DF"/>
    <w:rsid w:val="1F9E34AB"/>
    <w:rsid w:val="1FB032FE"/>
    <w:rsid w:val="1FB350F6"/>
    <w:rsid w:val="1FB87382"/>
    <w:rsid w:val="1FD54A4C"/>
    <w:rsid w:val="1FE12005"/>
    <w:rsid w:val="201269C0"/>
    <w:rsid w:val="20272AD9"/>
    <w:rsid w:val="203416B0"/>
    <w:rsid w:val="2047400A"/>
    <w:rsid w:val="206C1623"/>
    <w:rsid w:val="208B2518"/>
    <w:rsid w:val="20967E71"/>
    <w:rsid w:val="20BB26FF"/>
    <w:rsid w:val="20BC6CD8"/>
    <w:rsid w:val="20CE1AD9"/>
    <w:rsid w:val="20CF581F"/>
    <w:rsid w:val="20D24AA0"/>
    <w:rsid w:val="20D91494"/>
    <w:rsid w:val="20EB5301"/>
    <w:rsid w:val="20FF4A50"/>
    <w:rsid w:val="21261194"/>
    <w:rsid w:val="21551DC9"/>
    <w:rsid w:val="215A7E8E"/>
    <w:rsid w:val="215E7486"/>
    <w:rsid w:val="2181764B"/>
    <w:rsid w:val="219D1A6B"/>
    <w:rsid w:val="21A27799"/>
    <w:rsid w:val="21C25E93"/>
    <w:rsid w:val="21C773C7"/>
    <w:rsid w:val="21C86F0F"/>
    <w:rsid w:val="21D129F6"/>
    <w:rsid w:val="22073015"/>
    <w:rsid w:val="225C3202"/>
    <w:rsid w:val="226D77EE"/>
    <w:rsid w:val="2276776A"/>
    <w:rsid w:val="227B427D"/>
    <w:rsid w:val="22A319BD"/>
    <w:rsid w:val="22D33916"/>
    <w:rsid w:val="22E52CC8"/>
    <w:rsid w:val="22F901FF"/>
    <w:rsid w:val="22FE4214"/>
    <w:rsid w:val="23052804"/>
    <w:rsid w:val="2338769D"/>
    <w:rsid w:val="2339747D"/>
    <w:rsid w:val="23640FA9"/>
    <w:rsid w:val="237D766E"/>
    <w:rsid w:val="23840B7A"/>
    <w:rsid w:val="238B37B5"/>
    <w:rsid w:val="23913EFC"/>
    <w:rsid w:val="23BC2446"/>
    <w:rsid w:val="23C158F9"/>
    <w:rsid w:val="23DA4F40"/>
    <w:rsid w:val="23DC68B8"/>
    <w:rsid w:val="23F66D07"/>
    <w:rsid w:val="240770E5"/>
    <w:rsid w:val="240F1823"/>
    <w:rsid w:val="241E2ABC"/>
    <w:rsid w:val="24570DB7"/>
    <w:rsid w:val="24A90C77"/>
    <w:rsid w:val="24AE0D62"/>
    <w:rsid w:val="24B91EB9"/>
    <w:rsid w:val="24BD79AB"/>
    <w:rsid w:val="24CE7E85"/>
    <w:rsid w:val="24EC7D16"/>
    <w:rsid w:val="24EF480A"/>
    <w:rsid w:val="250E5C6E"/>
    <w:rsid w:val="25134EC6"/>
    <w:rsid w:val="251A293E"/>
    <w:rsid w:val="252D5A4B"/>
    <w:rsid w:val="253A3937"/>
    <w:rsid w:val="253C031B"/>
    <w:rsid w:val="253D2805"/>
    <w:rsid w:val="2546120D"/>
    <w:rsid w:val="255A6E8F"/>
    <w:rsid w:val="25766CFE"/>
    <w:rsid w:val="2577499E"/>
    <w:rsid w:val="258E46B2"/>
    <w:rsid w:val="259D3F95"/>
    <w:rsid w:val="25A04DC3"/>
    <w:rsid w:val="25AA1880"/>
    <w:rsid w:val="25B4303E"/>
    <w:rsid w:val="25CC6700"/>
    <w:rsid w:val="25E226E6"/>
    <w:rsid w:val="261E1502"/>
    <w:rsid w:val="262571A5"/>
    <w:rsid w:val="265461B7"/>
    <w:rsid w:val="26695C3E"/>
    <w:rsid w:val="266E2FEF"/>
    <w:rsid w:val="266F4E82"/>
    <w:rsid w:val="26741174"/>
    <w:rsid w:val="26887A7B"/>
    <w:rsid w:val="26A730DB"/>
    <w:rsid w:val="26C303B3"/>
    <w:rsid w:val="26C30400"/>
    <w:rsid w:val="26D675CB"/>
    <w:rsid w:val="26F41D02"/>
    <w:rsid w:val="270A55B9"/>
    <w:rsid w:val="270C3022"/>
    <w:rsid w:val="27283A90"/>
    <w:rsid w:val="273854AA"/>
    <w:rsid w:val="27573779"/>
    <w:rsid w:val="275E3403"/>
    <w:rsid w:val="2773072B"/>
    <w:rsid w:val="27D8595B"/>
    <w:rsid w:val="27D961E3"/>
    <w:rsid w:val="27E16F39"/>
    <w:rsid w:val="28157D0E"/>
    <w:rsid w:val="281D3176"/>
    <w:rsid w:val="28327D8C"/>
    <w:rsid w:val="2855334A"/>
    <w:rsid w:val="285F05DB"/>
    <w:rsid w:val="285F3590"/>
    <w:rsid w:val="286464E1"/>
    <w:rsid w:val="28727840"/>
    <w:rsid w:val="2877299E"/>
    <w:rsid w:val="28847235"/>
    <w:rsid w:val="288F4F40"/>
    <w:rsid w:val="289C4418"/>
    <w:rsid w:val="28B80190"/>
    <w:rsid w:val="28D67556"/>
    <w:rsid w:val="28FA2AF7"/>
    <w:rsid w:val="28FD435C"/>
    <w:rsid w:val="291A087E"/>
    <w:rsid w:val="29215410"/>
    <w:rsid w:val="29286CDE"/>
    <w:rsid w:val="295B0EC0"/>
    <w:rsid w:val="295C3FE2"/>
    <w:rsid w:val="29652368"/>
    <w:rsid w:val="2974232D"/>
    <w:rsid w:val="29932C1D"/>
    <w:rsid w:val="29A943E7"/>
    <w:rsid w:val="29B076D7"/>
    <w:rsid w:val="29C41C4C"/>
    <w:rsid w:val="29CA4207"/>
    <w:rsid w:val="29CA4C26"/>
    <w:rsid w:val="29CB6ED9"/>
    <w:rsid w:val="2A0B31BB"/>
    <w:rsid w:val="2A223A03"/>
    <w:rsid w:val="2A351FC9"/>
    <w:rsid w:val="2A786A47"/>
    <w:rsid w:val="2A9A63DD"/>
    <w:rsid w:val="2A9B62B4"/>
    <w:rsid w:val="2ABA1488"/>
    <w:rsid w:val="2AC424E5"/>
    <w:rsid w:val="2ACA7870"/>
    <w:rsid w:val="2ACA7E15"/>
    <w:rsid w:val="2AE45AD6"/>
    <w:rsid w:val="2AFA0852"/>
    <w:rsid w:val="2B0D191E"/>
    <w:rsid w:val="2B1D6E92"/>
    <w:rsid w:val="2B2F223C"/>
    <w:rsid w:val="2B382894"/>
    <w:rsid w:val="2B392B35"/>
    <w:rsid w:val="2B39799F"/>
    <w:rsid w:val="2B4F20B5"/>
    <w:rsid w:val="2B5D6A6E"/>
    <w:rsid w:val="2B6C0C12"/>
    <w:rsid w:val="2B7413FC"/>
    <w:rsid w:val="2B7C78C6"/>
    <w:rsid w:val="2B900D9E"/>
    <w:rsid w:val="2B981A9E"/>
    <w:rsid w:val="2BA26C44"/>
    <w:rsid w:val="2BC0299A"/>
    <w:rsid w:val="2BDA33C6"/>
    <w:rsid w:val="2BDD3602"/>
    <w:rsid w:val="2BE77D3B"/>
    <w:rsid w:val="2C1D5CEF"/>
    <w:rsid w:val="2C1F6E31"/>
    <w:rsid w:val="2C226F21"/>
    <w:rsid w:val="2C250DE8"/>
    <w:rsid w:val="2C3D0B95"/>
    <w:rsid w:val="2C495C87"/>
    <w:rsid w:val="2C4A3D44"/>
    <w:rsid w:val="2C836DDE"/>
    <w:rsid w:val="2CD2588F"/>
    <w:rsid w:val="2CEA61A4"/>
    <w:rsid w:val="2CF21062"/>
    <w:rsid w:val="2D124D7A"/>
    <w:rsid w:val="2D140992"/>
    <w:rsid w:val="2D1D0AFB"/>
    <w:rsid w:val="2D1D68BF"/>
    <w:rsid w:val="2D672D6F"/>
    <w:rsid w:val="2D6F5DFA"/>
    <w:rsid w:val="2DA33350"/>
    <w:rsid w:val="2DA84828"/>
    <w:rsid w:val="2DAC5F2A"/>
    <w:rsid w:val="2DDA2F36"/>
    <w:rsid w:val="2DDB608D"/>
    <w:rsid w:val="2DEA5FDB"/>
    <w:rsid w:val="2DEC7E81"/>
    <w:rsid w:val="2E000540"/>
    <w:rsid w:val="2E0E401C"/>
    <w:rsid w:val="2E136894"/>
    <w:rsid w:val="2E285CD3"/>
    <w:rsid w:val="2E326805"/>
    <w:rsid w:val="2E4E6B6F"/>
    <w:rsid w:val="2E723981"/>
    <w:rsid w:val="2E76640B"/>
    <w:rsid w:val="2E7A31B0"/>
    <w:rsid w:val="2E98738B"/>
    <w:rsid w:val="2E98772C"/>
    <w:rsid w:val="2EAF63AA"/>
    <w:rsid w:val="2EFD0E8F"/>
    <w:rsid w:val="2F1265C9"/>
    <w:rsid w:val="2F631CDE"/>
    <w:rsid w:val="2F7A4158"/>
    <w:rsid w:val="2F840588"/>
    <w:rsid w:val="2F9344D5"/>
    <w:rsid w:val="2FA11710"/>
    <w:rsid w:val="2FC63ECB"/>
    <w:rsid w:val="2FC93B76"/>
    <w:rsid w:val="2FCC5A9D"/>
    <w:rsid w:val="2FD8758F"/>
    <w:rsid w:val="2FDF1D06"/>
    <w:rsid w:val="2FE04590"/>
    <w:rsid w:val="2FE94639"/>
    <w:rsid w:val="2FEF56E4"/>
    <w:rsid w:val="30067E3C"/>
    <w:rsid w:val="300E2B43"/>
    <w:rsid w:val="300F1B56"/>
    <w:rsid w:val="30152426"/>
    <w:rsid w:val="30477BE7"/>
    <w:rsid w:val="30697564"/>
    <w:rsid w:val="30730C61"/>
    <w:rsid w:val="30760400"/>
    <w:rsid w:val="30926851"/>
    <w:rsid w:val="30A84BBC"/>
    <w:rsid w:val="30C26933"/>
    <w:rsid w:val="30C93452"/>
    <w:rsid w:val="30CA1081"/>
    <w:rsid w:val="30F80BBA"/>
    <w:rsid w:val="30FE1D38"/>
    <w:rsid w:val="31087F6F"/>
    <w:rsid w:val="31111556"/>
    <w:rsid w:val="313B0F54"/>
    <w:rsid w:val="31414525"/>
    <w:rsid w:val="3142235E"/>
    <w:rsid w:val="316B5F85"/>
    <w:rsid w:val="31805004"/>
    <w:rsid w:val="318A7AAF"/>
    <w:rsid w:val="319770B3"/>
    <w:rsid w:val="319911A6"/>
    <w:rsid w:val="31AE2FD6"/>
    <w:rsid w:val="31EE56D2"/>
    <w:rsid w:val="32306C28"/>
    <w:rsid w:val="32327257"/>
    <w:rsid w:val="32760C9D"/>
    <w:rsid w:val="327C13DA"/>
    <w:rsid w:val="32C823C5"/>
    <w:rsid w:val="32D72F90"/>
    <w:rsid w:val="32ED3AB3"/>
    <w:rsid w:val="32F409B8"/>
    <w:rsid w:val="32FA498A"/>
    <w:rsid w:val="330123E3"/>
    <w:rsid w:val="33020954"/>
    <w:rsid w:val="330D416E"/>
    <w:rsid w:val="330F7A43"/>
    <w:rsid w:val="331C4B27"/>
    <w:rsid w:val="332631B8"/>
    <w:rsid w:val="33385513"/>
    <w:rsid w:val="3348767A"/>
    <w:rsid w:val="335B6C59"/>
    <w:rsid w:val="336C2DC4"/>
    <w:rsid w:val="336F33D1"/>
    <w:rsid w:val="33837BA2"/>
    <w:rsid w:val="33ED0127"/>
    <w:rsid w:val="33FF1014"/>
    <w:rsid w:val="34022E3F"/>
    <w:rsid w:val="34272E4C"/>
    <w:rsid w:val="34396177"/>
    <w:rsid w:val="344E1427"/>
    <w:rsid w:val="346E6532"/>
    <w:rsid w:val="34872BD1"/>
    <w:rsid w:val="34A51191"/>
    <w:rsid w:val="34A80594"/>
    <w:rsid w:val="34B57CC1"/>
    <w:rsid w:val="34B675BE"/>
    <w:rsid w:val="34CD2107"/>
    <w:rsid w:val="34D85721"/>
    <w:rsid w:val="34ED5C58"/>
    <w:rsid w:val="34F11BC6"/>
    <w:rsid w:val="34FF0290"/>
    <w:rsid w:val="35050070"/>
    <w:rsid w:val="350E5088"/>
    <w:rsid w:val="351F390A"/>
    <w:rsid w:val="35220190"/>
    <w:rsid w:val="35264ABB"/>
    <w:rsid w:val="353646A9"/>
    <w:rsid w:val="354C4DB5"/>
    <w:rsid w:val="354F5EB5"/>
    <w:rsid w:val="355F0554"/>
    <w:rsid w:val="35950B1E"/>
    <w:rsid w:val="35977F80"/>
    <w:rsid w:val="35A04B75"/>
    <w:rsid w:val="35B2271F"/>
    <w:rsid w:val="35B30B44"/>
    <w:rsid w:val="35C8104C"/>
    <w:rsid w:val="35CB5077"/>
    <w:rsid w:val="35E03139"/>
    <w:rsid w:val="35F60B85"/>
    <w:rsid w:val="35FB23C9"/>
    <w:rsid w:val="35FD1A8E"/>
    <w:rsid w:val="36221379"/>
    <w:rsid w:val="36330FA3"/>
    <w:rsid w:val="36357EAB"/>
    <w:rsid w:val="368868F4"/>
    <w:rsid w:val="36917D25"/>
    <w:rsid w:val="369926E3"/>
    <w:rsid w:val="369A432F"/>
    <w:rsid w:val="36B519F9"/>
    <w:rsid w:val="36B8635A"/>
    <w:rsid w:val="36CF2547"/>
    <w:rsid w:val="36E0471D"/>
    <w:rsid w:val="36EE55C6"/>
    <w:rsid w:val="36FC2111"/>
    <w:rsid w:val="370848C0"/>
    <w:rsid w:val="37190FCA"/>
    <w:rsid w:val="37323543"/>
    <w:rsid w:val="374E219E"/>
    <w:rsid w:val="375B4105"/>
    <w:rsid w:val="377229B1"/>
    <w:rsid w:val="3777104F"/>
    <w:rsid w:val="378859E0"/>
    <w:rsid w:val="37CA4A34"/>
    <w:rsid w:val="380B2D93"/>
    <w:rsid w:val="380D1137"/>
    <w:rsid w:val="38232612"/>
    <w:rsid w:val="38387A18"/>
    <w:rsid w:val="38453817"/>
    <w:rsid w:val="384C64EB"/>
    <w:rsid w:val="384F0CF2"/>
    <w:rsid w:val="387104F6"/>
    <w:rsid w:val="38845B55"/>
    <w:rsid w:val="38923FF9"/>
    <w:rsid w:val="389648C9"/>
    <w:rsid w:val="3897774F"/>
    <w:rsid w:val="38992E3C"/>
    <w:rsid w:val="38A012B4"/>
    <w:rsid w:val="38A42092"/>
    <w:rsid w:val="38A51740"/>
    <w:rsid w:val="38A66B0C"/>
    <w:rsid w:val="38AF3BE2"/>
    <w:rsid w:val="38B65A4C"/>
    <w:rsid w:val="38D74082"/>
    <w:rsid w:val="38EC3180"/>
    <w:rsid w:val="3905129C"/>
    <w:rsid w:val="396D732A"/>
    <w:rsid w:val="39870555"/>
    <w:rsid w:val="398A3E18"/>
    <w:rsid w:val="398B6CDF"/>
    <w:rsid w:val="399073AE"/>
    <w:rsid w:val="39B76409"/>
    <w:rsid w:val="39DA444A"/>
    <w:rsid w:val="39F71E8D"/>
    <w:rsid w:val="39FA2D9B"/>
    <w:rsid w:val="3A077822"/>
    <w:rsid w:val="3A0F71A4"/>
    <w:rsid w:val="3A1139CD"/>
    <w:rsid w:val="3A1B2E4C"/>
    <w:rsid w:val="3A1B7877"/>
    <w:rsid w:val="3A1E3678"/>
    <w:rsid w:val="3A3A70BA"/>
    <w:rsid w:val="3A573895"/>
    <w:rsid w:val="3A6800C7"/>
    <w:rsid w:val="3A805E42"/>
    <w:rsid w:val="3A8248AD"/>
    <w:rsid w:val="3A9B15DC"/>
    <w:rsid w:val="3AAF1772"/>
    <w:rsid w:val="3AD16C23"/>
    <w:rsid w:val="3ADB5F75"/>
    <w:rsid w:val="3AF67B04"/>
    <w:rsid w:val="3B030459"/>
    <w:rsid w:val="3B127770"/>
    <w:rsid w:val="3B3B4C54"/>
    <w:rsid w:val="3B3C3FBF"/>
    <w:rsid w:val="3B8A1526"/>
    <w:rsid w:val="3BA56511"/>
    <w:rsid w:val="3BF114E1"/>
    <w:rsid w:val="3C004811"/>
    <w:rsid w:val="3C0B6B9F"/>
    <w:rsid w:val="3C122C6C"/>
    <w:rsid w:val="3C287620"/>
    <w:rsid w:val="3C2F76AB"/>
    <w:rsid w:val="3C365228"/>
    <w:rsid w:val="3C38791E"/>
    <w:rsid w:val="3C461190"/>
    <w:rsid w:val="3C8E7A6E"/>
    <w:rsid w:val="3C98700A"/>
    <w:rsid w:val="3CAB7042"/>
    <w:rsid w:val="3CB157CC"/>
    <w:rsid w:val="3CB34027"/>
    <w:rsid w:val="3CBC72C4"/>
    <w:rsid w:val="3CDE6C16"/>
    <w:rsid w:val="3D1F5A91"/>
    <w:rsid w:val="3D311178"/>
    <w:rsid w:val="3D337799"/>
    <w:rsid w:val="3D3520B8"/>
    <w:rsid w:val="3D717813"/>
    <w:rsid w:val="3D841C8B"/>
    <w:rsid w:val="3D932217"/>
    <w:rsid w:val="3DB3578F"/>
    <w:rsid w:val="3DB66039"/>
    <w:rsid w:val="3DBF06CA"/>
    <w:rsid w:val="3DCA0D5E"/>
    <w:rsid w:val="3DD34B8E"/>
    <w:rsid w:val="3DEA5942"/>
    <w:rsid w:val="3E0E22F6"/>
    <w:rsid w:val="3E1076AF"/>
    <w:rsid w:val="3E2E703B"/>
    <w:rsid w:val="3E4E0165"/>
    <w:rsid w:val="3E5833C2"/>
    <w:rsid w:val="3E6B005A"/>
    <w:rsid w:val="3E6D2F09"/>
    <w:rsid w:val="3E8C2E56"/>
    <w:rsid w:val="3EB93417"/>
    <w:rsid w:val="3EDF5378"/>
    <w:rsid w:val="3EEA031E"/>
    <w:rsid w:val="3EFA3D64"/>
    <w:rsid w:val="3F053C86"/>
    <w:rsid w:val="3F2A06EA"/>
    <w:rsid w:val="3F2A0A62"/>
    <w:rsid w:val="3F2C5222"/>
    <w:rsid w:val="3F355660"/>
    <w:rsid w:val="3F5A1B0B"/>
    <w:rsid w:val="3F624229"/>
    <w:rsid w:val="3FB21E95"/>
    <w:rsid w:val="3FC33C6C"/>
    <w:rsid w:val="3FEF5E01"/>
    <w:rsid w:val="4006733B"/>
    <w:rsid w:val="400A6ED0"/>
    <w:rsid w:val="40465213"/>
    <w:rsid w:val="404A02D6"/>
    <w:rsid w:val="405B4AD0"/>
    <w:rsid w:val="40910652"/>
    <w:rsid w:val="409757AA"/>
    <w:rsid w:val="40991E23"/>
    <w:rsid w:val="40A223AE"/>
    <w:rsid w:val="40A26067"/>
    <w:rsid w:val="40A30695"/>
    <w:rsid w:val="40A46878"/>
    <w:rsid w:val="40C211EF"/>
    <w:rsid w:val="40CB48B1"/>
    <w:rsid w:val="40CC22BA"/>
    <w:rsid w:val="40D770AA"/>
    <w:rsid w:val="40F67FCA"/>
    <w:rsid w:val="411A73CB"/>
    <w:rsid w:val="412564A1"/>
    <w:rsid w:val="412C65BB"/>
    <w:rsid w:val="412D5EF6"/>
    <w:rsid w:val="41356370"/>
    <w:rsid w:val="415542BD"/>
    <w:rsid w:val="41A1545D"/>
    <w:rsid w:val="41A22316"/>
    <w:rsid w:val="41A37080"/>
    <w:rsid w:val="41E764F7"/>
    <w:rsid w:val="421A6130"/>
    <w:rsid w:val="423246F3"/>
    <w:rsid w:val="42382E2A"/>
    <w:rsid w:val="425B0D11"/>
    <w:rsid w:val="425D01C4"/>
    <w:rsid w:val="427E36BD"/>
    <w:rsid w:val="429E1505"/>
    <w:rsid w:val="42CE487F"/>
    <w:rsid w:val="42D063E4"/>
    <w:rsid w:val="42DE0F25"/>
    <w:rsid w:val="42EC59D6"/>
    <w:rsid w:val="43171E14"/>
    <w:rsid w:val="432050DE"/>
    <w:rsid w:val="432A508D"/>
    <w:rsid w:val="43331236"/>
    <w:rsid w:val="43847FEC"/>
    <w:rsid w:val="439B1BBF"/>
    <w:rsid w:val="43A132A2"/>
    <w:rsid w:val="43AF2B1A"/>
    <w:rsid w:val="43C06114"/>
    <w:rsid w:val="43C86131"/>
    <w:rsid w:val="43CD1A57"/>
    <w:rsid w:val="43D06078"/>
    <w:rsid w:val="43D814F5"/>
    <w:rsid w:val="440F5111"/>
    <w:rsid w:val="44127B79"/>
    <w:rsid w:val="44175787"/>
    <w:rsid w:val="442F278A"/>
    <w:rsid w:val="443F6E03"/>
    <w:rsid w:val="4458750E"/>
    <w:rsid w:val="446077EA"/>
    <w:rsid w:val="44764747"/>
    <w:rsid w:val="447E073D"/>
    <w:rsid w:val="448F5078"/>
    <w:rsid w:val="44AF1113"/>
    <w:rsid w:val="44BD52B1"/>
    <w:rsid w:val="44C148F6"/>
    <w:rsid w:val="44C30655"/>
    <w:rsid w:val="44D0117B"/>
    <w:rsid w:val="44E4530F"/>
    <w:rsid w:val="44EC7A75"/>
    <w:rsid w:val="452951BE"/>
    <w:rsid w:val="452C199F"/>
    <w:rsid w:val="45305805"/>
    <w:rsid w:val="453752CA"/>
    <w:rsid w:val="453F1E21"/>
    <w:rsid w:val="45516251"/>
    <w:rsid w:val="4554236B"/>
    <w:rsid w:val="455854A6"/>
    <w:rsid w:val="457E31A8"/>
    <w:rsid w:val="458238C7"/>
    <w:rsid w:val="45935A93"/>
    <w:rsid w:val="45C74000"/>
    <w:rsid w:val="45D97AB2"/>
    <w:rsid w:val="45DC5295"/>
    <w:rsid w:val="45F631F1"/>
    <w:rsid w:val="4639036A"/>
    <w:rsid w:val="463C4B1F"/>
    <w:rsid w:val="46453B88"/>
    <w:rsid w:val="464A0AC1"/>
    <w:rsid w:val="464C660B"/>
    <w:rsid w:val="465077C1"/>
    <w:rsid w:val="466D7951"/>
    <w:rsid w:val="467341EF"/>
    <w:rsid w:val="467D779D"/>
    <w:rsid w:val="46901812"/>
    <w:rsid w:val="469803F2"/>
    <w:rsid w:val="46BE339F"/>
    <w:rsid w:val="471B4085"/>
    <w:rsid w:val="472E4772"/>
    <w:rsid w:val="47304826"/>
    <w:rsid w:val="47354ABD"/>
    <w:rsid w:val="476373C9"/>
    <w:rsid w:val="476561F7"/>
    <w:rsid w:val="477377B7"/>
    <w:rsid w:val="477E58EA"/>
    <w:rsid w:val="47893DFF"/>
    <w:rsid w:val="479306D2"/>
    <w:rsid w:val="47BD70DA"/>
    <w:rsid w:val="47F20010"/>
    <w:rsid w:val="480B2591"/>
    <w:rsid w:val="481162C0"/>
    <w:rsid w:val="48256C41"/>
    <w:rsid w:val="486C29F9"/>
    <w:rsid w:val="48820AEE"/>
    <w:rsid w:val="488240F0"/>
    <w:rsid w:val="489C59EB"/>
    <w:rsid w:val="48A96BA5"/>
    <w:rsid w:val="48C50927"/>
    <w:rsid w:val="48CB35FD"/>
    <w:rsid w:val="48CB3BB9"/>
    <w:rsid w:val="48D81A14"/>
    <w:rsid w:val="48D90620"/>
    <w:rsid w:val="49027D07"/>
    <w:rsid w:val="490A3FFF"/>
    <w:rsid w:val="490D2422"/>
    <w:rsid w:val="49261FD0"/>
    <w:rsid w:val="495A6F16"/>
    <w:rsid w:val="496E0AC4"/>
    <w:rsid w:val="498F11DF"/>
    <w:rsid w:val="49AD702E"/>
    <w:rsid w:val="49D9349F"/>
    <w:rsid w:val="49EB268C"/>
    <w:rsid w:val="4A03603E"/>
    <w:rsid w:val="4A372C92"/>
    <w:rsid w:val="4A3D0FBA"/>
    <w:rsid w:val="4A463572"/>
    <w:rsid w:val="4A5A02BA"/>
    <w:rsid w:val="4A5F0166"/>
    <w:rsid w:val="4A7F6E0E"/>
    <w:rsid w:val="4A843488"/>
    <w:rsid w:val="4A96209A"/>
    <w:rsid w:val="4ADE46E8"/>
    <w:rsid w:val="4AE96E06"/>
    <w:rsid w:val="4AF4732B"/>
    <w:rsid w:val="4AF757D3"/>
    <w:rsid w:val="4B110695"/>
    <w:rsid w:val="4B2B2900"/>
    <w:rsid w:val="4B356205"/>
    <w:rsid w:val="4B48396B"/>
    <w:rsid w:val="4B5C3016"/>
    <w:rsid w:val="4B6614E7"/>
    <w:rsid w:val="4B697C46"/>
    <w:rsid w:val="4B827FD5"/>
    <w:rsid w:val="4B8C685E"/>
    <w:rsid w:val="4B927D59"/>
    <w:rsid w:val="4B955995"/>
    <w:rsid w:val="4BB00C36"/>
    <w:rsid w:val="4BCC02A7"/>
    <w:rsid w:val="4BD84E60"/>
    <w:rsid w:val="4BEB431B"/>
    <w:rsid w:val="4BEC4C0D"/>
    <w:rsid w:val="4BEE6343"/>
    <w:rsid w:val="4BF86303"/>
    <w:rsid w:val="4C00733F"/>
    <w:rsid w:val="4C071658"/>
    <w:rsid w:val="4C4031C0"/>
    <w:rsid w:val="4C4275C4"/>
    <w:rsid w:val="4C440BD6"/>
    <w:rsid w:val="4C59545C"/>
    <w:rsid w:val="4C5D2A02"/>
    <w:rsid w:val="4C626E66"/>
    <w:rsid w:val="4C685787"/>
    <w:rsid w:val="4C8E7C21"/>
    <w:rsid w:val="4CB82983"/>
    <w:rsid w:val="4CD403E5"/>
    <w:rsid w:val="4CE229F3"/>
    <w:rsid w:val="4CEE4538"/>
    <w:rsid w:val="4CEF672D"/>
    <w:rsid w:val="4CFC18B9"/>
    <w:rsid w:val="4D051095"/>
    <w:rsid w:val="4D0D06D7"/>
    <w:rsid w:val="4D0E7E79"/>
    <w:rsid w:val="4D1018F2"/>
    <w:rsid w:val="4D17330A"/>
    <w:rsid w:val="4D1946B1"/>
    <w:rsid w:val="4D1D1B0E"/>
    <w:rsid w:val="4D3962B6"/>
    <w:rsid w:val="4D4D0AC5"/>
    <w:rsid w:val="4D737B42"/>
    <w:rsid w:val="4D7A24BF"/>
    <w:rsid w:val="4D803537"/>
    <w:rsid w:val="4D8B58D8"/>
    <w:rsid w:val="4D971ED9"/>
    <w:rsid w:val="4DAE60FF"/>
    <w:rsid w:val="4DB64D75"/>
    <w:rsid w:val="4DBB02EB"/>
    <w:rsid w:val="4DC06608"/>
    <w:rsid w:val="4DEE0D9E"/>
    <w:rsid w:val="4DF14FDA"/>
    <w:rsid w:val="4DF167E9"/>
    <w:rsid w:val="4DFA1274"/>
    <w:rsid w:val="4DFB6793"/>
    <w:rsid w:val="4E013771"/>
    <w:rsid w:val="4E0D1E26"/>
    <w:rsid w:val="4E2102C6"/>
    <w:rsid w:val="4E48652A"/>
    <w:rsid w:val="4E811CA2"/>
    <w:rsid w:val="4F303648"/>
    <w:rsid w:val="4F323706"/>
    <w:rsid w:val="4F4060CB"/>
    <w:rsid w:val="4F4574E3"/>
    <w:rsid w:val="4F5615F1"/>
    <w:rsid w:val="4F5A6B02"/>
    <w:rsid w:val="4F623553"/>
    <w:rsid w:val="4F7457F5"/>
    <w:rsid w:val="4F7733E9"/>
    <w:rsid w:val="4F9A5908"/>
    <w:rsid w:val="4FAC1A10"/>
    <w:rsid w:val="4FBE3C09"/>
    <w:rsid w:val="4FC31E16"/>
    <w:rsid w:val="4FC877C2"/>
    <w:rsid w:val="4FD82F62"/>
    <w:rsid w:val="4FF60AE4"/>
    <w:rsid w:val="50201D44"/>
    <w:rsid w:val="50253903"/>
    <w:rsid w:val="50652920"/>
    <w:rsid w:val="50724493"/>
    <w:rsid w:val="50863154"/>
    <w:rsid w:val="50866B06"/>
    <w:rsid w:val="50871004"/>
    <w:rsid w:val="508E4A4F"/>
    <w:rsid w:val="50A26635"/>
    <w:rsid w:val="50C21249"/>
    <w:rsid w:val="50DE39A3"/>
    <w:rsid w:val="51152275"/>
    <w:rsid w:val="5147406A"/>
    <w:rsid w:val="514D6AE0"/>
    <w:rsid w:val="51554573"/>
    <w:rsid w:val="515663F6"/>
    <w:rsid w:val="51580048"/>
    <w:rsid w:val="515A641E"/>
    <w:rsid w:val="515C30FD"/>
    <w:rsid w:val="516461A0"/>
    <w:rsid w:val="51791BA8"/>
    <w:rsid w:val="517D5EEF"/>
    <w:rsid w:val="518D22AD"/>
    <w:rsid w:val="519D6C33"/>
    <w:rsid w:val="51A02B80"/>
    <w:rsid w:val="51A17420"/>
    <w:rsid w:val="51B30137"/>
    <w:rsid w:val="51BB130F"/>
    <w:rsid w:val="51C43DED"/>
    <w:rsid w:val="51C85DAF"/>
    <w:rsid w:val="52045828"/>
    <w:rsid w:val="52165331"/>
    <w:rsid w:val="5232373F"/>
    <w:rsid w:val="525D74C1"/>
    <w:rsid w:val="5267043E"/>
    <w:rsid w:val="526D20F9"/>
    <w:rsid w:val="52986F2C"/>
    <w:rsid w:val="529C2335"/>
    <w:rsid w:val="52A33589"/>
    <w:rsid w:val="52A54B72"/>
    <w:rsid w:val="52AE5E75"/>
    <w:rsid w:val="52C4195A"/>
    <w:rsid w:val="52DB717E"/>
    <w:rsid w:val="52EC6A03"/>
    <w:rsid w:val="52FC0A43"/>
    <w:rsid w:val="52FD7CEF"/>
    <w:rsid w:val="532C09C1"/>
    <w:rsid w:val="532F5CEA"/>
    <w:rsid w:val="53385BC6"/>
    <w:rsid w:val="5358134C"/>
    <w:rsid w:val="536415E2"/>
    <w:rsid w:val="53774E44"/>
    <w:rsid w:val="537B3E10"/>
    <w:rsid w:val="5380296A"/>
    <w:rsid w:val="53A801BC"/>
    <w:rsid w:val="53B66DA2"/>
    <w:rsid w:val="53B75BE3"/>
    <w:rsid w:val="53C02CF3"/>
    <w:rsid w:val="53CD5A1C"/>
    <w:rsid w:val="53D74047"/>
    <w:rsid w:val="53E170B7"/>
    <w:rsid w:val="53E7600D"/>
    <w:rsid w:val="54132B8A"/>
    <w:rsid w:val="543876CE"/>
    <w:rsid w:val="546574E3"/>
    <w:rsid w:val="548731A7"/>
    <w:rsid w:val="548A211D"/>
    <w:rsid w:val="54AF58A4"/>
    <w:rsid w:val="54B54B0A"/>
    <w:rsid w:val="54E33CA6"/>
    <w:rsid w:val="54F47021"/>
    <w:rsid w:val="54F9501F"/>
    <w:rsid w:val="550B4B7F"/>
    <w:rsid w:val="551F3663"/>
    <w:rsid w:val="55262802"/>
    <w:rsid w:val="55573422"/>
    <w:rsid w:val="555C4200"/>
    <w:rsid w:val="557340C0"/>
    <w:rsid w:val="557D1239"/>
    <w:rsid w:val="55A21419"/>
    <w:rsid w:val="55D174C0"/>
    <w:rsid w:val="55D566B2"/>
    <w:rsid w:val="561F7E79"/>
    <w:rsid w:val="562A26AD"/>
    <w:rsid w:val="56427924"/>
    <w:rsid w:val="564F4C98"/>
    <w:rsid w:val="5663235C"/>
    <w:rsid w:val="56647923"/>
    <w:rsid w:val="56726E70"/>
    <w:rsid w:val="56950908"/>
    <w:rsid w:val="569A5179"/>
    <w:rsid w:val="569B498A"/>
    <w:rsid w:val="56B4084A"/>
    <w:rsid w:val="56CD34F3"/>
    <w:rsid w:val="56D43EB5"/>
    <w:rsid w:val="56F074CE"/>
    <w:rsid w:val="570F2E24"/>
    <w:rsid w:val="572B38E3"/>
    <w:rsid w:val="572F1FF9"/>
    <w:rsid w:val="573114B7"/>
    <w:rsid w:val="57393F9B"/>
    <w:rsid w:val="57651ACB"/>
    <w:rsid w:val="57714F01"/>
    <w:rsid w:val="578672E6"/>
    <w:rsid w:val="578C09B6"/>
    <w:rsid w:val="579A224A"/>
    <w:rsid w:val="57B91C3F"/>
    <w:rsid w:val="57BA50F2"/>
    <w:rsid w:val="57D43EB1"/>
    <w:rsid w:val="58180D16"/>
    <w:rsid w:val="582A7242"/>
    <w:rsid w:val="58342E13"/>
    <w:rsid w:val="583D0BB8"/>
    <w:rsid w:val="58457FBD"/>
    <w:rsid w:val="586450B1"/>
    <w:rsid w:val="58681069"/>
    <w:rsid w:val="588614A2"/>
    <w:rsid w:val="58AC66F5"/>
    <w:rsid w:val="58B044DC"/>
    <w:rsid w:val="58BD1A40"/>
    <w:rsid w:val="58CD64F2"/>
    <w:rsid w:val="58E95F87"/>
    <w:rsid w:val="58EE03F2"/>
    <w:rsid w:val="59094122"/>
    <w:rsid w:val="59154703"/>
    <w:rsid w:val="592542A9"/>
    <w:rsid w:val="592D7615"/>
    <w:rsid w:val="592F5512"/>
    <w:rsid w:val="59316E8D"/>
    <w:rsid w:val="593B457D"/>
    <w:rsid w:val="594B6A4C"/>
    <w:rsid w:val="59576368"/>
    <w:rsid w:val="5960101E"/>
    <w:rsid w:val="59677CC4"/>
    <w:rsid w:val="5977175D"/>
    <w:rsid w:val="597B4F6E"/>
    <w:rsid w:val="597E7E17"/>
    <w:rsid w:val="598816AD"/>
    <w:rsid w:val="598A1797"/>
    <w:rsid w:val="59A25953"/>
    <w:rsid w:val="59A457F3"/>
    <w:rsid w:val="59AC2C3E"/>
    <w:rsid w:val="59B321D3"/>
    <w:rsid w:val="59C268E7"/>
    <w:rsid w:val="59E57DCF"/>
    <w:rsid w:val="59E95939"/>
    <w:rsid w:val="5A1A090B"/>
    <w:rsid w:val="5A1B7B46"/>
    <w:rsid w:val="5A21075C"/>
    <w:rsid w:val="5A257E0F"/>
    <w:rsid w:val="5A484FEE"/>
    <w:rsid w:val="5A525737"/>
    <w:rsid w:val="5A5D02D8"/>
    <w:rsid w:val="5A73535F"/>
    <w:rsid w:val="5A785AC2"/>
    <w:rsid w:val="5A80528C"/>
    <w:rsid w:val="5A8A0783"/>
    <w:rsid w:val="5AA43834"/>
    <w:rsid w:val="5AB0793A"/>
    <w:rsid w:val="5AB52CD5"/>
    <w:rsid w:val="5AB87151"/>
    <w:rsid w:val="5ABC5EB6"/>
    <w:rsid w:val="5AC044DC"/>
    <w:rsid w:val="5ADD0784"/>
    <w:rsid w:val="5ADF1771"/>
    <w:rsid w:val="5AEF1274"/>
    <w:rsid w:val="5B103354"/>
    <w:rsid w:val="5B27628B"/>
    <w:rsid w:val="5B543D5D"/>
    <w:rsid w:val="5B592399"/>
    <w:rsid w:val="5B687725"/>
    <w:rsid w:val="5B7820B3"/>
    <w:rsid w:val="5B9E4A20"/>
    <w:rsid w:val="5BAA130F"/>
    <w:rsid w:val="5BAA62D9"/>
    <w:rsid w:val="5BAD03F7"/>
    <w:rsid w:val="5BE456B2"/>
    <w:rsid w:val="5BFA341E"/>
    <w:rsid w:val="5C092F45"/>
    <w:rsid w:val="5C274D5B"/>
    <w:rsid w:val="5C34522B"/>
    <w:rsid w:val="5C3E10E3"/>
    <w:rsid w:val="5C4866BA"/>
    <w:rsid w:val="5C5126F9"/>
    <w:rsid w:val="5C744E01"/>
    <w:rsid w:val="5C8C5D05"/>
    <w:rsid w:val="5C9F42E9"/>
    <w:rsid w:val="5CA16465"/>
    <w:rsid w:val="5CED4DFF"/>
    <w:rsid w:val="5CFF4C69"/>
    <w:rsid w:val="5D080A3E"/>
    <w:rsid w:val="5D162A1C"/>
    <w:rsid w:val="5D163C32"/>
    <w:rsid w:val="5D2557C6"/>
    <w:rsid w:val="5D2D3DF5"/>
    <w:rsid w:val="5D8158D4"/>
    <w:rsid w:val="5DC85998"/>
    <w:rsid w:val="5DD928E3"/>
    <w:rsid w:val="5DE24B1E"/>
    <w:rsid w:val="5E17069B"/>
    <w:rsid w:val="5E1C4426"/>
    <w:rsid w:val="5E1F1044"/>
    <w:rsid w:val="5E262201"/>
    <w:rsid w:val="5E2E78E7"/>
    <w:rsid w:val="5E4332D4"/>
    <w:rsid w:val="5E627944"/>
    <w:rsid w:val="5E7F656F"/>
    <w:rsid w:val="5E870EED"/>
    <w:rsid w:val="5E9748AC"/>
    <w:rsid w:val="5E9F6E3E"/>
    <w:rsid w:val="5EAE1DBB"/>
    <w:rsid w:val="5EAE303A"/>
    <w:rsid w:val="5EB163CD"/>
    <w:rsid w:val="5EBB436F"/>
    <w:rsid w:val="5ECD0211"/>
    <w:rsid w:val="5ED52C59"/>
    <w:rsid w:val="5ED756D6"/>
    <w:rsid w:val="5F196B74"/>
    <w:rsid w:val="5F1D1ED8"/>
    <w:rsid w:val="5F302018"/>
    <w:rsid w:val="5F4A3D74"/>
    <w:rsid w:val="5F4F2263"/>
    <w:rsid w:val="5F9B1047"/>
    <w:rsid w:val="5F9B1F50"/>
    <w:rsid w:val="5F9F6144"/>
    <w:rsid w:val="5FAE3384"/>
    <w:rsid w:val="5FD70FDA"/>
    <w:rsid w:val="5FEC0124"/>
    <w:rsid w:val="5FF72D2C"/>
    <w:rsid w:val="601B1677"/>
    <w:rsid w:val="601E082E"/>
    <w:rsid w:val="605D284E"/>
    <w:rsid w:val="60602276"/>
    <w:rsid w:val="60E436E0"/>
    <w:rsid w:val="60E76EA8"/>
    <w:rsid w:val="60ED4B55"/>
    <w:rsid w:val="60EE78A7"/>
    <w:rsid w:val="611C0A8B"/>
    <w:rsid w:val="612C162D"/>
    <w:rsid w:val="612E593C"/>
    <w:rsid w:val="612F721E"/>
    <w:rsid w:val="61314D44"/>
    <w:rsid w:val="615000B2"/>
    <w:rsid w:val="61694B1D"/>
    <w:rsid w:val="616D53AB"/>
    <w:rsid w:val="618D64DA"/>
    <w:rsid w:val="6193336A"/>
    <w:rsid w:val="619C53E3"/>
    <w:rsid w:val="61A14C5F"/>
    <w:rsid w:val="61AD6037"/>
    <w:rsid w:val="61AE168E"/>
    <w:rsid w:val="61BF3F73"/>
    <w:rsid w:val="61CF3DCC"/>
    <w:rsid w:val="620F18AF"/>
    <w:rsid w:val="62155951"/>
    <w:rsid w:val="621F4013"/>
    <w:rsid w:val="622F6EAD"/>
    <w:rsid w:val="62446121"/>
    <w:rsid w:val="62450915"/>
    <w:rsid w:val="62527635"/>
    <w:rsid w:val="62553F41"/>
    <w:rsid w:val="625D50D7"/>
    <w:rsid w:val="62671F3B"/>
    <w:rsid w:val="628A118C"/>
    <w:rsid w:val="62C73791"/>
    <w:rsid w:val="62CF7C54"/>
    <w:rsid w:val="62E97E47"/>
    <w:rsid w:val="62EC59E9"/>
    <w:rsid w:val="62F31D9E"/>
    <w:rsid w:val="62FC11A5"/>
    <w:rsid w:val="630A4D94"/>
    <w:rsid w:val="6325253D"/>
    <w:rsid w:val="633A4D4B"/>
    <w:rsid w:val="63420CD4"/>
    <w:rsid w:val="63624FAF"/>
    <w:rsid w:val="6369700F"/>
    <w:rsid w:val="636F07AD"/>
    <w:rsid w:val="638C06C8"/>
    <w:rsid w:val="63921437"/>
    <w:rsid w:val="639B2E4B"/>
    <w:rsid w:val="63A106BD"/>
    <w:rsid w:val="63A975A1"/>
    <w:rsid w:val="63BD6E91"/>
    <w:rsid w:val="63D336DD"/>
    <w:rsid w:val="63E13AC7"/>
    <w:rsid w:val="63E623FF"/>
    <w:rsid w:val="63FD01FA"/>
    <w:rsid w:val="64012A04"/>
    <w:rsid w:val="64095276"/>
    <w:rsid w:val="641B724A"/>
    <w:rsid w:val="64251397"/>
    <w:rsid w:val="64293568"/>
    <w:rsid w:val="64387AEA"/>
    <w:rsid w:val="646303E8"/>
    <w:rsid w:val="64653844"/>
    <w:rsid w:val="64736280"/>
    <w:rsid w:val="647E3A54"/>
    <w:rsid w:val="64AA0EEF"/>
    <w:rsid w:val="64F51A08"/>
    <w:rsid w:val="65196117"/>
    <w:rsid w:val="652E6EE0"/>
    <w:rsid w:val="654072BF"/>
    <w:rsid w:val="6559602C"/>
    <w:rsid w:val="65637F16"/>
    <w:rsid w:val="656A37EF"/>
    <w:rsid w:val="657C442B"/>
    <w:rsid w:val="658A2BC1"/>
    <w:rsid w:val="659969E4"/>
    <w:rsid w:val="65A06F67"/>
    <w:rsid w:val="65BB660A"/>
    <w:rsid w:val="65C64FCC"/>
    <w:rsid w:val="65EA472F"/>
    <w:rsid w:val="65FD4796"/>
    <w:rsid w:val="65FD4ED1"/>
    <w:rsid w:val="66086F21"/>
    <w:rsid w:val="661B5907"/>
    <w:rsid w:val="661F3F43"/>
    <w:rsid w:val="66282AA1"/>
    <w:rsid w:val="662A00DF"/>
    <w:rsid w:val="66495E39"/>
    <w:rsid w:val="66557C10"/>
    <w:rsid w:val="665B4F40"/>
    <w:rsid w:val="665C0E89"/>
    <w:rsid w:val="66605F5F"/>
    <w:rsid w:val="667705FD"/>
    <w:rsid w:val="6677159F"/>
    <w:rsid w:val="66835FC3"/>
    <w:rsid w:val="669E00DE"/>
    <w:rsid w:val="669E2D1E"/>
    <w:rsid w:val="66A654AA"/>
    <w:rsid w:val="66AF1CD8"/>
    <w:rsid w:val="66B94D13"/>
    <w:rsid w:val="66C853DD"/>
    <w:rsid w:val="66CA5449"/>
    <w:rsid w:val="66E43049"/>
    <w:rsid w:val="67167D49"/>
    <w:rsid w:val="672F5AA8"/>
    <w:rsid w:val="67542897"/>
    <w:rsid w:val="67623B11"/>
    <w:rsid w:val="676A0D94"/>
    <w:rsid w:val="67733A4A"/>
    <w:rsid w:val="67863911"/>
    <w:rsid w:val="679451B1"/>
    <w:rsid w:val="67BB4D66"/>
    <w:rsid w:val="67C44461"/>
    <w:rsid w:val="67EA4CEC"/>
    <w:rsid w:val="67F62AA5"/>
    <w:rsid w:val="67FD6794"/>
    <w:rsid w:val="68052D8E"/>
    <w:rsid w:val="680A2B20"/>
    <w:rsid w:val="681A7987"/>
    <w:rsid w:val="681B5CFC"/>
    <w:rsid w:val="68572D73"/>
    <w:rsid w:val="685A3DEE"/>
    <w:rsid w:val="68847B56"/>
    <w:rsid w:val="68870D90"/>
    <w:rsid w:val="6895232C"/>
    <w:rsid w:val="68A05AB2"/>
    <w:rsid w:val="68A31CF8"/>
    <w:rsid w:val="68A77C0B"/>
    <w:rsid w:val="68C51948"/>
    <w:rsid w:val="68E11145"/>
    <w:rsid w:val="68EB38F0"/>
    <w:rsid w:val="690B6007"/>
    <w:rsid w:val="6917144C"/>
    <w:rsid w:val="692D69AA"/>
    <w:rsid w:val="69385AA2"/>
    <w:rsid w:val="693B52E5"/>
    <w:rsid w:val="6941060C"/>
    <w:rsid w:val="69414219"/>
    <w:rsid w:val="69655DF3"/>
    <w:rsid w:val="696A6965"/>
    <w:rsid w:val="697A025F"/>
    <w:rsid w:val="697F0853"/>
    <w:rsid w:val="69973E5C"/>
    <w:rsid w:val="69A013E4"/>
    <w:rsid w:val="69B16BB9"/>
    <w:rsid w:val="69CF5D59"/>
    <w:rsid w:val="69F84CEF"/>
    <w:rsid w:val="69FC5DB6"/>
    <w:rsid w:val="6A0A3FA6"/>
    <w:rsid w:val="6A192729"/>
    <w:rsid w:val="6A4F4C8F"/>
    <w:rsid w:val="6A750543"/>
    <w:rsid w:val="6A8D1016"/>
    <w:rsid w:val="6AAD17DC"/>
    <w:rsid w:val="6AB726F7"/>
    <w:rsid w:val="6B0115C6"/>
    <w:rsid w:val="6B482FBC"/>
    <w:rsid w:val="6B705EC4"/>
    <w:rsid w:val="6B9401A9"/>
    <w:rsid w:val="6BA07182"/>
    <w:rsid w:val="6BAC024A"/>
    <w:rsid w:val="6BB04E80"/>
    <w:rsid w:val="6BC02436"/>
    <w:rsid w:val="6BE155EF"/>
    <w:rsid w:val="6BE43033"/>
    <w:rsid w:val="6BF13D70"/>
    <w:rsid w:val="6C025E95"/>
    <w:rsid w:val="6C1E2A3C"/>
    <w:rsid w:val="6C1E4D60"/>
    <w:rsid w:val="6C344B91"/>
    <w:rsid w:val="6C425BE9"/>
    <w:rsid w:val="6C550BB6"/>
    <w:rsid w:val="6CA823AB"/>
    <w:rsid w:val="6CAD4BE8"/>
    <w:rsid w:val="6CBC5BB6"/>
    <w:rsid w:val="6CC62B2D"/>
    <w:rsid w:val="6CCD42C2"/>
    <w:rsid w:val="6CD11207"/>
    <w:rsid w:val="6CE90850"/>
    <w:rsid w:val="6CF252BB"/>
    <w:rsid w:val="6CF42F35"/>
    <w:rsid w:val="6D27786A"/>
    <w:rsid w:val="6D661D99"/>
    <w:rsid w:val="6D7E19C1"/>
    <w:rsid w:val="6D8E1A5F"/>
    <w:rsid w:val="6D927FE2"/>
    <w:rsid w:val="6DB2723C"/>
    <w:rsid w:val="6DB335D3"/>
    <w:rsid w:val="6DBE161B"/>
    <w:rsid w:val="6DCD54DB"/>
    <w:rsid w:val="6DEF7365"/>
    <w:rsid w:val="6DF43DBC"/>
    <w:rsid w:val="6E0D3644"/>
    <w:rsid w:val="6E6E7452"/>
    <w:rsid w:val="6E7D7781"/>
    <w:rsid w:val="6EA6637A"/>
    <w:rsid w:val="6EA947A7"/>
    <w:rsid w:val="6EB074AD"/>
    <w:rsid w:val="6EB26657"/>
    <w:rsid w:val="6EBA4177"/>
    <w:rsid w:val="6ECF5F73"/>
    <w:rsid w:val="6EDF7EAA"/>
    <w:rsid w:val="6F0D073A"/>
    <w:rsid w:val="6F7B6552"/>
    <w:rsid w:val="6F7F333B"/>
    <w:rsid w:val="6F8A5A0F"/>
    <w:rsid w:val="6F8F2BAE"/>
    <w:rsid w:val="6FA3277A"/>
    <w:rsid w:val="6FCD7EB6"/>
    <w:rsid w:val="6FD01105"/>
    <w:rsid w:val="6FD051CF"/>
    <w:rsid w:val="6FDE6A02"/>
    <w:rsid w:val="6FF755C5"/>
    <w:rsid w:val="701F76B7"/>
    <w:rsid w:val="70345A51"/>
    <w:rsid w:val="7040464F"/>
    <w:rsid w:val="704A4D27"/>
    <w:rsid w:val="704F6D15"/>
    <w:rsid w:val="706257E0"/>
    <w:rsid w:val="707249B6"/>
    <w:rsid w:val="7083750A"/>
    <w:rsid w:val="70A93E66"/>
    <w:rsid w:val="70AD38CC"/>
    <w:rsid w:val="70C816EA"/>
    <w:rsid w:val="70CB0912"/>
    <w:rsid w:val="70CF45FF"/>
    <w:rsid w:val="70DB7C35"/>
    <w:rsid w:val="70DF0579"/>
    <w:rsid w:val="70F1400E"/>
    <w:rsid w:val="71025CC8"/>
    <w:rsid w:val="710623A8"/>
    <w:rsid w:val="7117429B"/>
    <w:rsid w:val="71201629"/>
    <w:rsid w:val="71287CD7"/>
    <w:rsid w:val="712B675C"/>
    <w:rsid w:val="71540B63"/>
    <w:rsid w:val="71566BC9"/>
    <w:rsid w:val="7161035B"/>
    <w:rsid w:val="71995A79"/>
    <w:rsid w:val="71CA0234"/>
    <w:rsid w:val="71DE1200"/>
    <w:rsid w:val="71E53AF6"/>
    <w:rsid w:val="720304E1"/>
    <w:rsid w:val="720C4100"/>
    <w:rsid w:val="721672B1"/>
    <w:rsid w:val="727B593B"/>
    <w:rsid w:val="727C75D8"/>
    <w:rsid w:val="729B4432"/>
    <w:rsid w:val="72A129A7"/>
    <w:rsid w:val="72B519CE"/>
    <w:rsid w:val="72D431CC"/>
    <w:rsid w:val="72E43E63"/>
    <w:rsid w:val="72FB09D1"/>
    <w:rsid w:val="73343305"/>
    <w:rsid w:val="73426189"/>
    <w:rsid w:val="737F671A"/>
    <w:rsid w:val="73810CAF"/>
    <w:rsid w:val="738E4E6B"/>
    <w:rsid w:val="73B57A86"/>
    <w:rsid w:val="73C179F6"/>
    <w:rsid w:val="73E028D5"/>
    <w:rsid w:val="74091B37"/>
    <w:rsid w:val="740A7E38"/>
    <w:rsid w:val="7437104A"/>
    <w:rsid w:val="743D4CDF"/>
    <w:rsid w:val="74477EFB"/>
    <w:rsid w:val="744F67A0"/>
    <w:rsid w:val="74735810"/>
    <w:rsid w:val="74B733E1"/>
    <w:rsid w:val="74C64BC9"/>
    <w:rsid w:val="74E10A53"/>
    <w:rsid w:val="74EF40D1"/>
    <w:rsid w:val="750C36BE"/>
    <w:rsid w:val="7536383C"/>
    <w:rsid w:val="75373AFA"/>
    <w:rsid w:val="7555660B"/>
    <w:rsid w:val="75624F03"/>
    <w:rsid w:val="756F22CF"/>
    <w:rsid w:val="7590088D"/>
    <w:rsid w:val="7597391B"/>
    <w:rsid w:val="759D0C1B"/>
    <w:rsid w:val="75A55C85"/>
    <w:rsid w:val="75B83007"/>
    <w:rsid w:val="75EC3878"/>
    <w:rsid w:val="75F4575B"/>
    <w:rsid w:val="760A2D9A"/>
    <w:rsid w:val="760C412F"/>
    <w:rsid w:val="76232E8D"/>
    <w:rsid w:val="76244C37"/>
    <w:rsid w:val="7655168F"/>
    <w:rsid w:val="765832B3"/>
    <w:rsid w:val="765C1AC7"/>
    <w:rsid w:val="7668512F"/>
    <w:rsid w:val="766A3000"/>
    <w:rsid w:val="768960B9"/>
    <w:rsid w:val="76975E8B"/>
    <w:rsid w:val="769A0600"/>
    <w:rsid w:val="76A73668"/>
    <w:rsid w:val="76A76A8C"/>
    <w:rsid w:val="76AB0600"/>
    <w:rsid w:val="76C222E9"/>
    <w:rsid w:val="76D2411D"/>
    <w:rsid w:val="76D860AB"/>
    <w:rsid w:val="76EC62C2"/>
    <w:rsid w:val="7726566E"/>
    <w:rsid w:val="77284AC3"/>
    <w:rsid w:val="773E295E"/>
    <w:rsid w:val="77542003"/>
    <w:rsid w:val="7764610B"/>
    <w:rsid w:val="777C105E"/>
    <w:rsid w:val="778C7215"/>
    <w:rsid w:val="77945EB6"/>
    <w:rsid w:val="779F0557"/>
    <w:rsid w:val="77BC7EFD"/>
    <w:rsid w:val="77D67816"/>
    <w:rsid w:val="77EB1E58"/>
    <w:rsid w:val="77EE7495"/>
    <w:rsid w:val="77F26A5B"/>
    <w:rsid w:val="78043937"/>
    <w:rsid w:val="781A6106"/>
    <w:rsid w:val="78275B5E"/>
    <w:rsid w:val="784E26B3"/>
    <w:rsid w:val="78506BBC"/>
    <w:rsid w:val="78615208"/>
    <w:rsid w:val="78630DB1"/>
    <w:rsid w:val="7863367F"/>
    <w:rsid w:val="78655ACE"/>
    <w:rsid w:val="78745074"/>
    <w:rsid w:val="78924721"/>
    <w:rsid w:val="789F4F89"/>
    <w:rsid w:val="78B30A3B"/>
    <w:rsid w:val="78B337FF"/>
    <w:rsid w:val="78C34A06"/>
    <w:rsid w:val="78D40233"/>
    <w:rsid w:val="79270606"/>
    <w:rsid w:val="795304A5"/>
    <w:rsid w:val="79536CDC"/>
    <w:rsid w:val="7954054F"/>
    <w:rsid w:val="796072A6"/>
    <w:rsid w:val="79747307"/>
    <w:rsid w:val="798F5601"/>
    <w:rsid w:val="79AF0074"/>
    <w:rsid w:val="79C32F2C"/>
    <w:rsid w:val="79C67914"/>
    <w:rsid w:val="79CE79E6"/>
    <w:rsid w:val="79E44125"/>
    <w:rsid w:val="79E87E94"/>
    <w:rsid w:val="7A1A1F48"/>
    <w:rsid w:val="7A2F2517"/>
    <w:rsid w:val="7A3A0133"/>
    <w:rsid w:val="7A3D4DF8"/>
    <w:rsid w:val="7A537953"/>
    <w:rsid w:val="7A591AE7"/>
    <w:rsid w:val="7A6E6441"/>
    <w:rsid w:val="7A7D384D"/>
    <w:rsid w:val="7A9E0CC1"/>
    <w:rsid w:val="7AA44110"/>
    <w:rsid w:val="7AB53CBE"/>
    <w:rsid w:val="7AC70D7B"/>
    <w:rsid w:val="7AD31173"/>
    <w:rsid w:val="7B070958"/>
    <w:rsid w:val="7B217652"/>
    <w:rsid w:val="7B3473DC"/>
    <w:rsid w:val="7B505AD5"/>
    <w:rsid w:val="7B5A38C4"/>
    <w:rsid w:val="7B7765BE"/>
    <w:rsid w:val="7B957C8B"/>
    <w:rsid w:val="7BA8570E"/>
    <w:rsid w:val="7BBC47DC"/>
    <w:rsid w:val="7BDA6B5A"/>
    <w:rsid w:val="7BEA22B0"/>
    <w:rsid w:val="7BEE0A91"/>
    <w:rsid w:val="7BFE1E67"/>
    <w:rsid w:val="7C0106A1"/>
    <w:rsid w:val="7C124837"/>
    <w:rsid w:val="7C180562"/>
    <w:rsid w:val="7C264F92"/>
    <w:rsid w:val="7C2C33E4"/>
    <w:rsid w:val="7C337CCF"/>
    <w:rsid w:val="7C401A1B"/>
    <w:rsid w:val="7C410FED"/>
    <w:rsid w:val="7C6A0341"/>
    <w:rsid w:val="7C710074"/>
    <w:rsid w:val="7C7A17F3"/>
    <w:rsid w:val="7C7D05F9"/>
    <w:rsid w:val="7C7E7D87"/>
    <w:rsid w:val="7C8A2819"/>
    <w:rsid w:val="7C925D94"/>
    <w:rsid w:val="7C925DD1"/>
    <w:rsid w:val="7C9772F4"/>
    <w:rsid w:val="7D1D1907"/>
    <w:rsid w:val="7D5F6AA5"/>
    <w:rsid w:val="7DAB379F"/>
    <w:rsid w:val="7DC2371A"/>
    <w:rsid w:val="7DC40F0D"/>
    <w:rsid w:val="7DCE56E2"/>
    <w:rsid w:val="7DE057C6"/>
    <w:rsid w:val="7DEA69F5"/>
    <w:rsid w:val="7E130A5A"/>
    <w:rsid w:val="7E412903"/>
    <w:rsid w:val="7E5D47C5"/>
    <w:rsid w:val="7E85409B"/>
    <w:rsid w:val="7E911B42"/>
    <w:rsid w:val="7EB9716C"/>
    <w:rsid w:val="7EC00CFE"/>
    <w:rsid w:val="7EC160D6"/>
    <w:rsid w:val="7ED04D10"/>
    <w:rsid w:val="7EE919D7"/>
    <w:rsid w:val="7F0940A3"/>
    <w:rsid w:val="7F106397"/>
    <w:rsid w:val="7F1F7220"/>
    <w:rsid w:val="7F451662"/>
    <w:rsid w:val="7F596E7C"/>
    <w:rsid w:val="7F734F00"/>
    <w:rsid w:val="7F881D1B"/>
    <w:rsid w:val="7F960724"/>
    <w:rsid w:val="7F9E51D9"/>
    <w:rsid w:val="7FAF1305"/>
    <w:rsid w:val="7FC818E2"/>
    <w:rsid w:val="7FCD5D3A"/>
    <w:rsid w:val="7FD30F8F"/>
    <w:rsid w:val="7FD47607"/>
    <w:rsid w:val="7FE231CE"/>
    <w:rsid w:val="7FE90149"/>
    <w:rsid w:val="7FEE25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65"/>
    <w:qFormat/>
    <w:uiPriority w:val="0"/>
    <w:pPr>
      <w:keepNext/>
      <w:keepLines/>
      <w:spacing w:before="340" w:after="330" w:line="360" w:lineRule="auto"/>
      <w:jc w:val="center"/>
      <w:outlineLvl w:val="0"/>
    </w:pPr>
    <w:rPr>
      <w:b/>
      <w:kern w:val="44"/>
      <w:sz w:val="44"/>
      <w:szCs w:val="20"/>
    </w:rPr>
  </w:style>
  <w:style w:type="paragraph" w:styleId="4">
    <w:name w:val="heading 2"/>
    <w:basedOn w:val="1"/>
    <w:next w:val="1"/>
    <w:link w:val="66"/>
    <w:qFormat/>
    <w:uiPriority w:val="0"/>
    <w:pPr>
      <w:keepNext/>
      <w:keepLines/>
      <w:numPr>
        <w:ilvl w:val="1"/>
        <w:numId w:val="1"/>
      </w:numPr>
      <w:tabs>
        <w:tab w:val="left" w:pos="840"/>
      </w:tabs>
      <w:spacing w:before="260" w:after="260" w:line="360" w:lineRule="auto"/>
      <w:jc w:val="center"/>
      <w:outlineLvl w:val="1"/>
    </w:pPr>
    <w:rPr>
      <w:rFonts w:ascii="Arial" w:hAnsi="Arial"/>
      <w:b/>
      <w:sz w:val="32"/>
      <w:szCs w:val="20"/>
    </w:rPr>
  </w:style>
  <w:style w:type="paragraph" w:styleId="5">
    <w:name w:val="heading 3"/>
    <w:basedOn w:val="1"/>
    <w:next w:val="1"/>
    <w:link w:val="67"/>
    <w:qFormat/>
    <w:uiPriority w:val="0"/>
    <w:pPr>
      <w:keepNext/>
      <w:keepLines/>
      <w:spacing w:before="260" w:beforeLines="0" w:after="260" w:afterLines="0" w:line="416" w:lineRule="auto"/>
      <w:outlineLvl w:val="2"/>
    </w:pPr>
    <w:rPr>
      <w:b/>
      <w:sz w:val="32"/>
      <w:szCs w:val="20"/>
    </w:rPr>
  </w:style>
  <w:style w:type="paragraph" w:styleId="6">
    <w:name w:val="heading 4"/>
    <w:basedOn w:val="1"/>
    <w:next w:val="1"/>
    <w:qFormat/>
    <w:uiPriority w:val="0"/>
    <w:pPr>
      <w:keepNext/>
      <w:outlineLvl w:val="3"/>
    </w:pPr>
    <w:rPr>
      <w:sz w:val="32"/>
      <w:szCs w:val="20"/>
    </w:rPr>
  </w:style>
  <w:style w:type="paragraph" w:styleId="7">
    <w:name w:val="heading 5"/>
    <w:basedOn w:val="1"/>
    <w:next w:val="1"/>
    <w:qFormat/>
    <w:uiPriority w:val="0"/>
    <w:pPr>
      <w:spacing w:before="120" w:beforeLines="0" w:line="60" w:lineRule="atLeast"/>
      <w:outlineLvl w:val="4"/>
    </w:pPr>
    <w:rPr>
      <w:rFonts w:ascii="Arial" w:hAnsi="Arial"/>
      <w:b/>
      <w:sz w:val="28"/>
      <w:szCs w:val="20"/>
    </w:rPr>
  </w:style>
  <w:style w:type="paragraph" w:styleId="8">
    <w:name w:val="heading 6"/>
    <w:basedOn w:val="1"/>
    <w:next w:val="1"/>
    <w:qFormat/>
    <w:uiPriority w:val="0"/>
    <w:pPr>
      <w:keepNext/>
      <w:keepLines/>
      <w:spacing w:before="240" w:beforeLines="0" w:after="64" w:afterLines="0" w:line="320" w:lineRule="auto"/>
      <w:outlineLvl w:val="5"/>
    </w:pPr>
    <w:rPr>
      <w:rFonts w:ascii="宋体" w:hAnsi="宋体"/>
      <w:b/>
      <w:sz w:val="24"/>
      <w:szCs w:val="20"/>
    </w:rPr>
  </w:style>
  <w:style w:type="paragraph" w:styleId="9">
    <w:name w:val="heading 7"/>
    <w:basedOn w:val="1"/>
    <w:next w:val="1"/>
    <w:qFormat/>
    <w:uiPriority w:val="0"/>
    <w:pPr>
      <w:keepNext/>
      <w:keepLines/>
      <w:numPr>
        <w:ilvl w:val="6"/>
        <w:numId w:val="2"/>
      </w:numPr>
      <w:tabs>
        <w:tab w:val="left" w:pos="930"/>
      </w:tabs>
      <w:adjustRightInd w:val="0"/>
      <w:snapToGri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qFormat/>
    <w:uiPriority w:val="0"/>
    <w:pPr>
      <w:keepNext/>
      <w:keepLines/>
      <w:numPr>
        <w:ilvl w:val="7"/>
        <w:numId w:val="2"/>
      </w:numPr>
      <w:tabs>
        <w:tab w:val="left" w:pos="930"/>
      </w:tabs>
      <w:adjustRightInd w:val="0"/>
      <w:snapToGri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2"/>
      </w:numPr>
      <w:tabs>
        <w:tab w:val="left" w:pos="930"/>
      </w:tabs>
      <w:adjustRightInd w:val="0"/>
      <w:snapToGri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semiHidden/>
    <w:qFormat/>
    <w:uiPriority w:val="0"/>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toc 7"/>
    <w:basedOn w:val="1"/>
    <w:next w:val="1"/>
    <w:qFormat/>
    <w:uiPriority w:val="0"/>
    <w:pPr>
      <w:ind w:left="1260"/>
      <w:jc w:val="left"/>
    </w:pPr>
    <w:rPr>
      <w:sz w:val="18"/>
      <w:szCs w:val="20"/>
    </w:rPr>
  </w:style>
  <w:style w:type="paragraph" w:styleId="13">
    <w:name w:val="Note Heading"/>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4">
    <w:name w:val="Normal Indent"/>
    <w:basedOn w:val="1"/>
    <w:link w:val="68"/>
    <w:qFormat/>
    <w:uiPriority w:val="0"/>
    <w:pPr>
      <w:ind w:firstLine="420"/>
    </w:pPr>
    <w:rPr>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0"/>
    <w:pPr>
      <w:spacing w:before="120" w:beforeLines="0"/>
    </w:pPr>
    <w:rPr>
      <w:rFonts w:ascii="Arial" w:hAnsi="Arial"/>
      <w:sz w:val="24"/>
      <w:szCs w:val="20"/>
    </w:rPr>
  </w:style>
  <w:style w:type="paragraph" w:styleId="17">
    <w:name w:val="annotation text"/>
    <w:basedOn w:val="1"/>
    <w:link w:val="69"/>
    <w:qFormat/>
    <w:uiPriority w:val="0"/>
    <w:pPr>
      <w:jc w:val="left"/>
    </w:pPr>
  </w:style>
  <w:style w:type="paragraph" w:styleId="18">
    <w:name w:val="Body Text 3"/>
    <w:basedOn w:val="1"/>
    <w:qFormat/>
    <w:uiPriority w:val="0"/>
    <w:rPr>
      <w:b/>
      <w:bCs/>
      <w:sz w:val="24"/>
    </w:rPr>
  </w:style>
  <w:style w:type="paragraph" w:styleId="19">
    <w:name w:val="Body Text"/>
    <w:basedOn w:val="1"/>
    <w:next w:val="20"/>
    <w:qFormat/>
    <w:uiPriority w:val="1"/>
    <w:pPr>
      <w:spacing w:after="120" w:afterLines="0"/>
    </w:pPr>
  </w:style>
  <w:style w:type="paragraph" w:styleId="20">
    <w:name w:val="Body Text 2"/>
    <w:basedOn w:val="1"/>
    <w:next w:val="19"/>
    <w:qFormat/>
    <w:uiPriority w:val="0"/>
    <w:pPr>
      <w:spacing w:line="360" w:lineRule="auto"/>
    </w:pPr>
    <w:rPr>
      <w:sz w:val="24"/>
      <w:szCs w:val="20"/>
    </w:rPr>
  </w:style>
  <w:style w:type="paragraph" w:styleId="21">
    <w:name w:val="Body Text Indent"/>
    <w:basedOn w:val="1"/>
    <w:next w:val="22"/>
    <w:qFormat/>
    <w:uiPriority w:val="0"/>
    <w:pPr>
      <w:adjustRightInd w:val="0"/>
      <w:ind w:left="960"/>
      <w:jc w:val="left"/>
      <w:textAlignment w:val="baseline"/>
    </w:pPr>
    <w:rPr>
      <w:rFonts w:ascii="楷体_GB2312" w:eastAsia="楷体_GB2312"/>
      <w:kern w:val="0"/>
      <w:sz w:val="28"/>
      <w:szCs w:val="20"/>
    </w:rPr>
  </w:style>
  <w:style w:type="paragraph" w:styleId="22">
    <w:name w:val="envelope return"/>
    <w:basedOn w:val="1"/>
    <w:qFormat/>
    <w:uiPriority w:val="0"/>
    <w:pPr>
      <w:snapToGrid w:val="0"/>
    </w:pPr>
    <w:rPr>
      <w:rFonts w:ascii="Arial" w:hAnsi="Arial"/>
    </w:rPr>
  </w:style>
  <w:style w:type="paragraph" w:styleId="23">
    <w:name w:val="List Continue"/>
    <w:basedOn w:val="1"/>
    <w:qFormat/>
    <w:uiPriority w:val="0"/>
    <w:pPr>
      <w:spacing w:after="120" w:afterLines="0"/>
      <w:ind w:left="420"/>
    </w:pPr>
    <w:rPr>
      <w:rFonts w:eastAsia="楷体_GB2312"/>
      <w:sz w:val="32"/>
      <w:szCs w:val="20"/>
    </w:rPr>
  </w:style>
  <w:style w:type="paragraph" w:styleId="24">
    <w:name w:val="List Bullet 2"/>
    <w:basedOn w:val="1"/>
    <w:qFormat/>
    <w:uiPriority w:val="0"/>
    <w:pPr>
      <w:widowControl/>
      <w:spacing w:line="0" w:lineRule="atLeast"/>
    </w:pPr>
    <w:rPr>
      <w:rFonts w:ascii="宋体" w:hAnsi="宋体"/>
      <w:kern w:val="0"/>
      <w:sz w:val="24"/>
    </w:rPr>
  </w:style>
  <w:style w:type="paragraph" w:styleId="25">
    <w:name w:val="toc 5"/>
    <w:basedOn w:val="1"/>
    <w:next w:val="1"/>
    <w:qFormat/>
    <w:uiPriority w:val="0"/>
    <w:pPr>
      <w:ind w:left="840"/>
      <w:jc w:val="left"/>
    </w:pPr>
    <w:rPr>
      <w:sz w:val="18"/>
      <w:szCs w:val="20"/>
    </w:rPr>
  </w:style>
  <w:style w:type="paragraph" w:styleId="26">
    <w:name w:val="toc 3"/>
    <w:basedOn w:val="1"/>
    <w:next w:val="1"/>
    <w:qFormat/>
    <w:uiPriority w:val="39"/>
    <w:pPr>
      <w:jc w:val="center"/>
    </w:pPr>
    <w:rPr>
      <w:rFonts w:ascii="宋体" w:hAnsi="宋体"/>
      <w:iCs/>
      <w:sz w:val="24"/>
    </w:rPr>
  </w:style>
  <w:style w:type="paragraph" w:styleId="27">
    <w:name w:val="Plain Text"/>
    <w:basedOn w:val="1"/>
    <w:link w:val="70"/>
    <w:qFormat/>
    <w:uiPriority w:val="0"/>
    <w:rPr>
      <w:rFonts w:ascii="宋体" w:hAnsi="Courier New"/>
      <w:szCs w:val="20"/>
    </w:rPr>
  </w:style>
  <w:style w:type="paragraph" w:styleId="28">
    <w:name w:val="toc 8"/>
    <w:basedOn w:val="1"/>
    <w:next w:val="1"/>
    <w:qFormat/>
    <w:uiPriority w:val="0"/>
    <w:pPr>
      <w:ind w:left="1470"/>
      <w:jc w:val="left"/>
    </w:pPr>
    <w:rPr>
      <w:sz w:val="18"/>
      <w:szCs w:val="20"/>
    </w:rPr>
  </w:style>
  <w:style w:type="paragraph" w:styleId="29">
    <w:name w:val="Date"/>
    <w:basedOn w:val="1"/>
    <w:next w:val="1"/>
    <w:link w:val="71"/>
    <w:qFormat/>
    <w:uiPriority w:val="99"/>
    <w:pPr>
      <w:adjustRightInd w:val="0"/>
      <w:spacing w:line="360" w:lineRule="atLeast"/>
      <w:textAlignment w:val="baseline"/>
    </w:pPr>
    <w:rPr>
      <w:kern w:val="0"/>
      <w:sz w:val="28"/>
      <w:szCs w:val="20"/>
    </w:rPr>
  </w:style>
  <w:style w:type="paragraph" w:styleId="30">
    <w:name w:val="Body Text Indent 2"/>
    <w:basedOn w:val="1"/>
    <w:qFormat/>
    <w:uiPriority w:val="0"/>
    <w:pPr>
      <w:spacing w:line="360" w:lineRule="auto"/>
      <w:ind w:left="1140"/>
    </w:pPr>
    <w:rPr>
      <w:rFonts w:ascii="宋体"/>
      <w:sz w:val="24"/>
      <w:szCs w:val="20"/>
    </w:rPr>
  </w:style>
  <w:style w:type="paragraph" w:styleId="31">
    <w:name w:val="Balloon Text"/>
    <w:basedOn w:val="1"/>
    <w:link w:val="72"/>
    <w:qFormat/>
    <w:uiPriority w:val="0"/>
    <w:pPr>
      <w:adjustRightInd w:val="0"/>
      <w:spacing w:line="312" w:lineRule="atLeast"/>
      <w:textAlignment w:val="baseline"/>
    </w:pPr>
    <w:rPr>
      <w:kern w:val="0"/>
      <w:sz w:val="18"/>
      <w:szCs w:val="18"/>
    </w:rPr>
  </w:style>
  <w:style w:type="paragraph" w:styleId="32">
    <w:name w:val="footer"/>
    <w:basedOn w:val="1"/>
    <w:link w:val="73"/>
    <w:qFormat/>
    <w:uiPriority w:val="0"/>
    <w:pPr>
      <w:tabs>
        <w:tab w:val="center" w:pos="4153"/>
        <w:tab w:val="right" w:pos="8306"/>
      </w:tabs>
      <w:snapToGrid w:val="0"/>
      <w:jc w:val="left"/>
    </w:pPr>
    <w:rPr>
      <w:sz w:val="18"/>
      <w:szCs w:val="18"/>
    </w:rPr>
  </w:style>
  <w:style w:type="paragraph" w:styleId="33">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beforeLines="0" w:after="120" w:afterLines="0"/>
      <w:jc w:val="left"/>
    </w:pPr>
    <w:rPr>
      <w:b/>
      <w:bCs/>
      <w:caps/>
    </w:rPr>
  </w:style>
  <w:style w:type="paragraph" w:styleId="35">
    <w:name w:val="toc 4"/>
    <w:basedOn w:val="1"/>
    <w:next w:val="1"/>
    <w:qFormat/>
    <w:uiPriority w:val="0"/>
    <w:pPr>
      <w:ind w:left="630"/>
      <w:jc w:val="left"/>
    </w:pPr>
    <w:rPr>
      <w:sz w:val="18"/>
      <w:szCs w:val="20"/>
    </w:rPr>
  </w:style>
  <w:style w:type="paragraph" w:styleId="36">
    <w:name w:val="index heading"/>
    <w:basedOn w:val="1"/>
    <w:next w:val="37"/>
    <w:qFormat/>
    <w:uiPriority w:val="0"/>
    <w:rPr>
      <w:szCs w:val="20"/>
    </w:rPr>
  </w:style>
  <w:style w:type="paragraph" w:styleId="37">
    <w:name w:val="index 1"/>
    <w:basedOn w:val="1"/>
    <w:next w:val="1"/>
    <w:qFormat/>
    <w:uiPriority w:val="0"/>
    <w:rPr>
      <w:szCs w:val="20"/>
    </w:rPr>
  </w:style>
  <w:style w:type="paragraph" w:styleId="38">
    <w:name w:val="List"/>
    <w:basedOn w:val="1"/>
    <w:qFormat/>
    <w:uiPriority w:val="0"/>
    <w:pPr>
      <w:ind w:left="420" w:hanging="420"/>
    </w:pPr>
    <w:rPr>
      <w:rFonts w:eastAsia="楷体_GB2312"/>
      <w:sz w:val="32"/>
      <w:szCs w:val="20"/>
    </w:rPr>
  </w:style>
  <w:style w:type="paragraph" w:styleId="39">
    <w:name w:val="footnote text"/>
    <w:basedOn w:val="1"/>
    <w:semiHidden/>
    <w:qFormat/>
    <w:uiPriority w:val="0"/>
    <w:pPr>
      <w:widowControl/>
      <w:jc w:val="left"/>
    </w:pPr>
    <w:rPr>
      <w:kern w:val="0"/>
      <w:sz w:val="20"/>
      <w:szCs w:val="20"/>
      <w:lang w:eastAsia="en-US"/>
    </w:rPr>
  </w:style>
  <w:style w:type="paragraph" w:styleId="40">
    <w:name w:val="toc 6"/>
    <w:basedOn w:val="1"/>
    <w:next w:val="1"/>
    <w:qFormat/>
    <w:uiPriority w:val="0"/>
    <w:pPr>
      <w:ind w:left="1050"/>
      <w:jc w:val="left"/>
    </w:pPr>
    <w:rPr>
      <w:sz w:val="18"/>
      <w:szCs w:val="20"/>
    </w:rPr>
  </w:style>
  <w:style w:type="paragraph" w:styleId="41">
    <w:name w:val="List 5"/>
    <w:basedOn w:val="1"/>
    <w:qFormat/>
    <w:uiPriority w:val="0"/>
    <w:pPr>
      <w:ind w:left="2100" w:hanging="420"/>
    </w:pPr>
    <w:rPr>
      <w:rFonts w:eastAsia="楷体_GB2312"/>
      <w:sz w:val="32"/>
      <w:szCs w:val="20"/>
    </w:rPr>
  </w:style>
  <w:style w:type="paragraph" w:styleId="42">
    <w:name w:val="Body Text Indent 3"/>
    <w:basedOn w:val="1"/>
    <w:qFormat/>
    <w:uiPriority w:val="0"/>
    <w:pPr>
      <w:ind w:firstLine="540" w:firstLineChars="225"/>
    </w:pPr>
    <w:rPr>
      <w:sz w:val="24"/>
      <w:szCs w:val="20"/>
    </w:rPr>
  </w:style>
  <w:style w:type="paragraph" w:styleId="43">
    <w:name w:val="toc 2"/>
    <w:basedOn w:val="1"/>
    <w:next w:val="1"/>
    <w:qFormat/>
    <w:uiPriority w:val="39"/>
    <w:pPr>
      <w:tabs>
        <w:tab w:val="left" w:pos="840"/>
        <w:tab w:val="right" w:leader="dot" w:pos="9231"/>
      </w:tabs>
      <w:spacing w:line="360" w:lineRule="auto"/>
      <w:ind w:left="210"/>
      <w:jc w:val="left"/>
    </w:pPr>
    <w:rPr>
      <w:smallCaps/>
    </w:rPr>
  </w:style>
  <w:style w:type="paragraph" w:styleId="44">
    <w:name w:val="toc 9"/>
    <w:basedOn w:val="1"/>
    <w:next w:val="1"/>
    <w:qFormat/>
    <w:uiPriority w:val="0"/>
    <w:pPr>
      <w:ind w:left="1680"/>
      <w:jc w:val="left"/>
    </w:pPr>
    <w:rPr>
      <w:sz w:val="18"/>
      <w:szCs w:val="20"/>
    </w:rPr>
  </w:style>
  <w:style w:type="paragraph" w:styleId="45">
    <w:name w:val="List 4"/>
    <w:basedOn w:val="1"/>
    <w:qFormat/>
    <w:uiPriority w:val="0"/>
    <w:pPr>
      <w:ind w:left="1680" w:hanging="420"/>
    </w:pPr>
    <w:rPr>
      <w:rFonts w:eastAsia="楷体_GB2312"/>
      <w:sz w:val="32"/>
      <w:szCs w:val="20"/>
    </w:rPr>
  </w:style>
  <w:style w:type="paragraph" w:styleId="46">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4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8">
    <w:name w:val="Title"/>
    <w:basedOn w:val="1"/>
    <w:qFormat/>
    <w:uiPriority w:val="0"/>
    <w:pPr>
      <w:spacing w:before="240" w:beforeLines="0" w:after="60" w:afterLines="0"/>
      <w:jc w:val="center"/>
      <w:outlineLvl w:val="0"/>
    </w:pPr>
    <w:rPr>
      <w:rFonts w:ascii="Arial" w:hAnsi="Arial" w:eastAsia="隶书"/>
      <w:b/>
      <w:sz w:val="32"/>
      <w:szCs w:val="20"/>
    </w:rPr>
  </w:style>
  <w:style w:type="paragraph" w:styleId="49">
    <w:name w:val="annotation subject"/>
    <w:basedOn w:val="17"/>
    <w:next w:val="17"/>
    <w:link w:val="76"/>
    <w:qFormat/>
    <w:uiPriority w:val="0"/>
    <w:rPr>
      <w:b/>
      <w:bCs/>
    </w:rPr>
  </w:style>
  <w:style w:type="paragraph" w:styleId="50">
    <w:name w:val="Body Text First Indent"/>
    <w:basedOn w:val="19"/>
    <w:next w:val="51"/>
    <w:qFormat/>
    <w:uiPriority w:val="0"/>
    <w:pPr>
      <w:ind w:firstLine="420"/>
    </w:pPr>
    <w:rPr>
      <w:rFonts w:eastAsia="楷体_GB2312"/>
      <w:sz w:val="32"/>
      <w:szCs w:val="20"/>
    </w:rPr>
  </w:style>
  <w:style w:type="paragraph" w:styleId="51">
    <w:name w:val="Body Text First Indent 2"/>
    <w:basedOn w:val="21"/>
    <w:next w:val="1"/>
    <w:qFormat/>
    <w:uiPriority w:val="0"/>
    <w:pPr>
      <w:ind w:firstLine="420" w:firstLineChars="200"/>
    </w:pPr>
    <w:rPr>
      <w:rFonts w:hAnsi="Calibri"/>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0"/>
    <w:rPr>
      <w:b/>
      <w:bCs/>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color w:val="CC0000"/>
    </w:rPr>
  </w:style>
  <w:style w:type="character" w:styleId="60">
    <w:name w:val="HTML Typewriter"/>
    <w:qFormat/>
    <w:uiPriority w:val="0"/>
    <w:rPr>
      <w:rFonts w:hint="eastAsia" w:ascii="宋体" w:hAnsi="宋体" w:eastAsia="宋体" w:cs="宋体"/>
      <w:sz w:val="18"/>
      <w:szCs w:val="18"/>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样式1"/>
    <w:basedOn w:val="33"/>
    <w:qFormat/>
    <w:uiPriority w:val="0"/>
  </w:style>
  <w:style w:type="character" w:customStyle="1" w:styleId="65">
    <w:name w:val="标题 1 Char"/>
    <w:link w:val="3"/>
    <w:qFormat/>
    <w:locked/>
    <w:uiPriority w:val="0"/>
    <w:rPr>
      <w:b/>
      <w:kern w:val="44"/>
      <w:sz w:val="44"/>
    </w:rPr>
  </w:style>
  <w:style w:type="character" w:customStyle="1" w:styleId="66">
    <w:name w:val="标题 2 Char"/>
    <w:link w:val="4"/>
    <w:qFormat/>
    <w:uiPriority w:val="0"/>
    <w:rPr>
      <w:rFonts w:ascii="Arial" w:hAnsi="Arial"/>
      <w:b/>
      <w:kern w:val="2"/>
      <w:sz w:val="32"/>
    </w:rPr>
  </w:style>
  <w:style w:type="character" w:customStyle="1" w:styleId="67">
    <w:name w:val="标题 3 Char"/>
    <w:link w:val="5"/>
    <w:qFormat/>
    <w:uiPriority w:val="0"/>
    <w:rPr>
      <w:rFonts w:eastAsia="宋体"/>
      <w:b/>
      <w:kern w:val="2"/>
      <w:sz w:val="32"/>
      <w:lang w:val="en-US" w:eastAsia="zh-CN" w:bidi="ar-SA"/>
    </w:rPr>
  </w:style>
  <w:style w:type="character" w:customStyle="1" w:styleId="68">
    <w:name w:val="正文缩进 Char"/>
    <w:link w:val="14"/>
    <w:qFormat/>
    <w:uiPriority w:val="0"/>
    <w:rPr>
      <w:kern w:val="2"/>
      <w:sz w:val="21"/>
    </w:rPr>
  </w:style>
  <w:style w:type="character" w:customStyle="1" w:styleId="69">
    <w:name w:val="批注文字 Char"/>
    <w:link w:val="17"/>
    <w:qFormat/>
    <w:uiPriority w:val="0"/>
    <w:rPr>
      <w:kern w:val="2"/>
      <w:sz w:val="21"/>
      <w:szCs w:val="24"/>
      <w:lang w:bidi="ar-SA"/>
    </w:rPr>
  </w:style>
  <w:style w:type="character" w:customStyle="1" w:styleId="70">
    <w:name w:val="纯文本 Char"/>
    <w:link w:val="27"/>
    <w:qFormat/>
    <w:uiPriority w:val="0"/>
    <w:rPr>
      <w:rFonts w:ascii="宋体" w:hAnsi="Courier New" w:eastAsia="宋体"/>
      <w:kern w:val="2"/>
      <w:sz w:val="21"/>
      <w:lang w:val="en-US" w:eastAsia="zh-CN" w:bidi="ar-SA"/>
    </w:rPr>
  </w:style>
  <w:style w:type="character" w:customStyle="1" w:styleId="71">
    <w:name w:val="日期 Char"/>
    <w:link w:val="29"/>
    <w:qFormat/>
    <w:uiPriority w:val="99"/>
    <w:rPr>
      <w:sz w:val="28"/>
    </w:rPr>
  </w:style>
  <w:style w:type="character" w:customStyle="1" w:styleId="72">
    <w:name w:val="批注框文本 Char"/>
    <w:link w:val="31"/>
    <w:qFormat/>
    <w:uiPriority w:val="0"/>
    <w:rPr>
      <w:sz w:val="18"/>
      <w:szCs w:val="18"/>
    </w:rPr>
  </w:style>
  <w:style w:type="character" w:customStyle="1" w:styleId="73">
    <w:name w:val="页脚 Char"/>
    <w:link w:val="32"/>
    <w:qFormat/>
    <w:uiPriority w:val="0"/>
    <w:rPr>
      <w:rFonts w:eastAsia="宋体"/>
      <w:kern w:val="2"/>
      <w:sz w:val="18"/>
      <w:szCs w:val="18"/>
      <w:lang w:val="en-US" w:eastAsia="zh-CN" w:bidi="ar-SA"/>
    </w:rPr>
  </w:style>
  <w:style w:type="character" w:customStyle="1" w:styleId="74">
    <w:name w:val="页眉 Char"/>
    <w:link w:val="33"/>
    <w:qFormat/>
    <w:uiPriority w:val="0"/>
    <w:rPr>
      <w:kern w:val="2"/>
      <w:sz w:val="18"/>
      <w:szCs w:val="18"/>
    </w:rPr>
  </w:style>
  <w:style w:type="character" w:customStyle="1" w:styleId="75">
    <w:name w:val="HTML 预设格式 Char"/>
    <w:link w:val="46"/>
    <w:qFormat/>
    <w:uiPriority w:val="99"/>
    <w:rPr>
      <w:rFonts w:ascii="Arial Unicode MS" w:hAnsi="Arial Unicode MS" w:eastAsia="Courier New" w:cs="Courier New"/>
    </w:rPr>
  </w:style>
  <w:style w:type="character" w:customStyle="1" w:styleId="76">
    <w:name w:val="批注主题 Char"/>
    <w:link w:val="49"/>
    <w:qFormat/>
    <w:uiPriority w:val="0"/>
    <w:rPr>
      <w:b/>
      <w:bCs/>
      <w:kern w:val="2"/>
      <w:sz w:val="21"/>
      <w:szCs w:val="24"/>
      <w:lang w:bidi="ar-SA"/>
    </w:rPr>
  </w:style>
  <w:style w:type="character" w:customStyle="1" w:styleId="77">
    <w:name w:val="text11"/>
    <w:qFormat/>
    <w:uiPriority w:val="0"/>
    <w:rPr>
      <w:rFonts w:hint="default" w:ascii="Verdana" w:hAnsi="Verdana"/>
      <w:color w:val="4E4E4E"/>
      <w:sz w:val="18"/>
      <w:szCs w:val="18"/>
    </w:rPr>
  </w:style>
  <w:style w:type="character" w:customStyle="1" w:styleId="78">
    <w:name w:val=" Char Char1"/>
    <w:qFormat/>
    <w:uiPriority w:val="0"/>
    <w:rPr>
      <w:sz w:val="18"/>
    </w:rPr>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converted-space"/>
    <w:qFormat/>
    <w:uiPriority w:val="0"/>
  </w:style>
  <w:style w:type="character" w:customStyle="1" w:styleId="81">
    <w:name w:val="font91"/>
    <w:qFormat/>
    <w:uiPriority w:val="0"/>
    <w:rPr>
      <w:rFonts w:hint="eastAsia" w:ascii="宋体" w:hAnsi="宋体" w:eastAsia="宋体" w:cs="宋体"/>
      <w:color w:val="000000"/>
      <w:sz w:val="20"/>
      <w:szCs w:val="20"/>
    </w:rPr>
  </w:style>
  <w:style w:type="character" w:customStyle="1" w:styleId="82">
    <w:name w:val="indent1 Char"/>
    <w:link w:val="83"/>
    <w:qFormat/>
    <w:uiPriority w:val="0"/>
    <w:rPr>
      <w:rFonts w:ascii="宋体" w:hAnsi="宋体" w:eastAsia="宋体"/>
      <w:color w:val="5E5E5E"/>
      <w:sz w:val="18"/>
      <w:szCs w:val="18"/>
      <w:lang w:val="en-US" w:eastAsia="zh-CN" w:bidi="ar-SA"/>
    </w:rPr>
  </w:style>
  <w:style w:type="paragraph" w:customStyle="1" w:styleId="83">
    <w:name w:val="indent1"/>
    <w:basedOn w:val="1"/>
    <w:link w:val="82"/>
    <w:qFormat/>
    <w:uiPriority w:val="0"/>
    <w:pPr>
      <w:widowControl/>
      <w:spacing w:after="15" w:afterLines="0" w:line="240" w:lineRule="atLeast"/>
      <w:ind w:firstLine="360"/>
      <w:jc w:val="left"/>
    </w:pPr>
    <w:rPr>
      <w:rFonts w:ascii="宋体" w:hAnsi="宋体"/>
      <w:color w:val="5E5E5E"/>
      <w:kern w:val="0"/>
      <w:sz w:val="18"/>
      <w:szCs w:val="18"/>
    </w:rPr>
  </w:style>
  <w:style w:type="character" w:customStyle="1" w:styleId="84">
    <w:name w:val="l151"/>
    <w:qFormat/>
    <w:uiPriority w:val="0"/>
  </w:style>
  <w:style w:type="character" w:customStyle="1" w:styleId="85">
    <w:name w:val="font41"/>
    <w:qFormat/>
    <w:uiPriority w:val="0"/>
    <w:rPr>
      <w:rFonts w:hint="eastAsia" w:ascii="宋体" w:hAnsi="宋体" w:eastAsia="宋体" w:cs="宋体"/>
      <w:color w:val="FF0000"/>
      <w:sz w:val="21"/>
      <w:szCs w:val="21"/>
      <w:u w:val="none"/>
    </w:rPr>
  </w:style>
  <w:style w:type="character" w:customStyle="1" w:styleId="86">
    <w:name w:val="_Style 82"/>
    <w:qFormat/>
    <w:uiPriority w:val="31"/>
    <w:rPr>
      <w:smallCaps/>
      <w:color w:val="C0504D"/>
      <w:u w:val="single"/>
    </w:rPr>
  </w:style>
  <w:style w:type="character" w:customStyle="1" w:styleId="87">
    <w:name w:val="search_content1"/>
    <w:qFormat/>
    <w:uiPriority w:val="0"/>
    <w:rPr>
      <w:sz w:val="20"/>
      <w:szCs w:val="20"/>
    </w:rPr>
  </w:style>
  <w:style w:type="character" w:customStyle="1" w:styleId="88">
    <w:name w:val="text1"/>
    <w:qFormat/>
    <w:uiPriority w:val="0"/>
    <w:rPr>
      <w:color w:val="000000"/>
      <w:sz w:val="20"/>
      <w:szCs w:val="20"/>
    </w:rPr>
  </w:style>
  <w:style w:type="character" w:customStyle="1" w:styleId="89">
    <w:name w:val="f71"/>
    <w:qFormat/>
    <w:uiPriority w:val="0"/>
    <w:rPr>
      <w:sz w:val="18"/>
      <w:szCs w:val="18"/>
    </w:rPr>
  </w:style>
  <w:style w:type="character" w:customStyle="1" w:styleId="90">
    <w:name w:val="f141"/>
    <w:qFormat/>
    <w:uiPriority w:val="0"/>
    <w:rPr>
      <w:sz w:val="21"/>
      <w:szCs w:val="21"/>
    </w:rPr>
  </w:style>
  <w:style w:type="character" w:customStyle="1" w:styleId="91">
    <w:name w:val="font11"/>
    <w:qFormat/>
    <w:uiPriority w:val="0"/>
    <w:rPr>
      <w:rFonts w:hint="eastAsia" w:ascii="微软雅黑" w:hAnsi="微软雅黑" w:eastAsia="微软雅黑" w:cs="微软雅黑"/>
      <w:b/>
      <w:color w:val="000000"/>
      <w:sz w:val="21"/>
      <w:szCs w:val="21"/>
      <w:u w:val="none"/>
    </w:rPr>
  </w:style>
  <w:style w:type="character" w:customStyle="1" w:styleId="92">
    <w:name w:val="location"/>
    <w:qFormat/>
    <w:uiPriority w:val="0"/>
  </w:style>
  <w:style w:type="character" w:customStyle="1" w:styleId="93">
    <w:name w:val="font01"/>
    <w:qFormat/>
    <w:uiPriority w:val="0"/>
    <w:rPr>
      <w:rFonts w:hint="default" w:ascii="Times New Roman" w:hAnsi="Times New Roman" w:cs="Times New Roman"/>
      <w:color w:val="000000"/>
      <w:sz w:val="20"/>
      <w:szCs w:val="20"/>
    </w:rPr>
  </w:style>
  <w:style w:type="character" w:customStyle="1" w:styleId="94">
    <w:name w:val="lineitems1"/>
    <w:qFormat/>
    <w:uiPriority w:val="0"/>
    <w:rPr>
      <w:sz w:val="17"/>
      <w:szCs w:val="17"/>
    </w:rPr>
  </w:style>
  <w:style w:type="character" w:customStyle="1" w:styleId="95">
    <w:name w:val="页脚 字符"/>
    <w:qFormat/>
    <w:uiPriority w:val="99"/>
  </w:style>
  <w:style w:type="character" w:customStyle="1" w:styleId="96">
    <w:name w:val="font31"/>
    <w:qFormat/>
    <w:uiPriority w:val="0"/>
    <w:rPr>
      <w:rFonts w:hint="eastAsia" w:ascii="宋体" w:hAnsi="宋体" w:eastAsia="宋体" w:cs="宋体"/>
      <w:b/>
      <w:color w:val="000000"/>
      <w:sz w:val="21"/>
      <w:szCs w:val="21"/>
      <w:u w:val="none"/>
    </w:rPr>
  </w:style>
  <w:style w:type="character" w:customStyle="1" w:styleId="97">
    <w:name w:val=" Char Char"/>
    <w:qFormat/>
    <w:uiPriority w:val="0"/>
    <w:rPr>
      <w:kern w:val="2"/>
      <w:sz w:val="18"/>
      <w:szCs w:val="18"/>
    </w:rPr>
  </w:style>
  <w:style w:type="character" w:customStyle="1" w:styleId="98">
    <w:name w:val="H2 Char"/>
    <w:qFormat/>
    <w:uiPriority w:val="0"/>
    <w:rPr>
      <w:rFonts w:ascii="Arial" w:hAnsi="Arial" w:eastAsia="黑体"/>
      <w:b/>
      <w:kern w:val="2"/>
      <w:sz w:val="32"/>
      <w:lang w:val="en-US" w:eastAsia="zh-CN" w:bidi="ar-SA"/>
    </w:rPr>
  </w:style>
  <w:style w:type="character" w:customStyle="1" w:styleId="99">
    <w:name w:val="style51"/>
    <w:qFormat/>
    <w:uiPriority w:val="0"/>
    <w:rPr>
      <w:color w:val="000000"/>
      <w:sz w:val="18"/>
      <w:szCs w:val="18"/>
    </w:rPr>
  </w:style>
  <w:style w:type="character" w:customStyle="1" w:styleId="100">
    <w:name w:val="批注文字 Char1"/>
    <w:qFormat/>
    <w:uiPriority w:val="0"/>
    <w:rPr>
      <w:kern w:val="2"/>
      <w:sz w:val="21"/>
      <w:szCs w:val="24"/>
    </w:rPr>
  </w:style>
  <w:style w:type="character" w:customStyle="1" w:styleId="101">
    <w:name w:val="huei12b1"/>
    <w:qFormat/>
    <w:uiPriority w:val="0"/>
    <w:rPr>
      <w:b/>
      <w:bCs/>
      <w:color w:val="333333"/>
      <w:sz w:val="18"/>
      <w:szCs w:val="18"/>
    </w:rPr>
  </w:style>
  <w:style w:type="character" w:customStyle="1" w:styleId="102">
    <w:name w:val="font51"/>
    <w:qFormat/>
    <w:uiPriority w:val="0"/>
    <w:rPr>
      <w:rFonts w:hint="eastAsia" w:ascii="宋体" w:hAnsi="宋体" w:eastAsia="宋体" w:cs="宋体"/>
      <w:color w:val="000000"/>
      <w:sz w:val="18"/>
      <w:szCs w:val="18"/>
      <w:u w:val="none"/>
    </w:rPr>
  </w:style>
  <w:style w:type="character" w:customStyle="1" w:styleId="103">
    <w:name w:val="location1"/>
    <w:qFormat/>
    <w:uiPriority w:val="0"/>
    <w:rPr>
      <w:rFonts w:hint="default" w:ascii="Verdana" w:hAnsi="Verdana"/>
      <w:sz w:val="20"/>
      <w:szCs w:val="20"/>
    </w:rPr>
  </w:style>
  <w:style w:type="character" w:customStyle="1" w:styleId="104">
    <w:name w:val="point_normal"/>
    <w:qFormat/>
    <w:uiPriority w:val="0"/>
  </w:style>
  <w:style w:type="character" w:customStyle="1" w:styleId="105">
    <w:name w:val="para"/>
    <w:qFormat/>
    <w:uiPriority w:val="0"/>
  </w:style>
  <w:style w:type="paragraph" w:customStyle="1" w:styleId="106">
    <w:name w:val="样式 标题 3Level 3 HeadH3Heading 3 - oldh3sect1.2.3Head33l3..."/>
    <w:basedOn w:val="5"/>
    <w:qFormat/>
    <w:uiPriority w:val="0"/>
    <w:pPr>
      <w:spacing w:line="300" w:lineRule="auto"/>
      <w:jc w:val="left"/>
      <w:outlineLvl w:val="9"/>
    </w:pPr>
    <w:rPr>
      <w:rFonts w:ascii="宋体" w:hAnsi="宋体"/>
      <w:sz w:val="28"/>
    </w:rPr>
  </w:style>
  <w:style w:type="paragraph" w:customStyle="1" w:styleId="107">
    <w:name w:val="2册标题2"/>
    <w:basedOn w:val="1"/>
    <w:next w:val="1"/>
    <w:qFormat/>
    <w:uiPriority w:val="0"/>
    <w:pPr>
      <w:spacing w:before="156" w:beforeLines="50" w:after="156" w:afterLines="50" w:line="300" w:lineRule="auto"/>
      <w:outlineLvl w:val="1"/>
    </w:pPr>
    <w:rPr>
      <w:rFonts w:ascii="Arial" w:hAnsi="Arial" w:eastAsia="黑体"/>
      <w:sz w:val="30"/>
      <w:szCs w:val="20"/>
    </w:rPr>
  </w:style>
  <w:style w:type="paragraph" w:customStyle="1" w:styleId="108">
    <w:name w:val="样式 标题 2标题 1.1H2Heading 2 HiddenHeading 2 CCBSheading 2第一章 ...1"/>
    <w:basedOn w:val="4"/>
    <w:qFormat/>
    <w:uiPriority w:val="0"/>
    <w:pPr>
      <w:numPr>
        <w:ilvl w:val="1"/>
        <w:numId w:val="0"/>
      </w:numPr>
      <w:spacing w:before="156" w:beforeLines="0" w:after="156" w:afterLines="0" w:line="360" w:lineRule="auto"/>
      <w:jc w:val="both"/>
      <w:outlineLvl w:val="9"/>
    </w:pPr>
    <w:rPr>
      <w:rFonts w:eastAsia="宋体"/>
      <w:kern w:val="0"/>
      <w:sz w:val="21"/>
    </w:rPr>
  </w:style>
  <w:style w:type="paragraph" w:customStyle="1" w:styleId="109">
    <w:name w:val=" Char2 Char Char Char"/>
    <w:basedOn w:val="1"/>
    <w:qFormat/>
    <w:uiPriority w:val="0"/>
    <w:rPr>
      <w:rFonts w:ascii="仿宋_GB2312"/>
      <w:b/>
      <w:sz w:val="30"/>
      <w:szCs w:val="32"/>
    </w:rPr>
  </w:style>
  <w:style w:type="paragraph" w:customStyle="1" w:styleId="110">
    <w:name w:val="样式 2册标题2 + 段前: 0.5 行 段后: 0.5 行"/>
    <w:basedOn w:val="107"/>
    <w:qFormat/>
    <w:uiPriority w:val="0"/>
    <w:pPr>
      <w:spacing w:before="0" w:beforeLines="0" w:after="0" w:afterLines="0" w:line="240" w:lineRule="auto"/>
    </w:pPr>
    <w:rPr>
      <w:sz w:val="32"/>
    </w:rPr>
  </w:style>
  <w:style w:type="paragraph" w:customStyle="1" w:styleId="111">
    <w:name w:val=" Char Char Char Char"/>
    <w:basedOn w:val="1"/>
    <w:qFormat/>
    <w:uiPriority w:val="0"/>
    <w:rPr>
      <w:rFonts w:ascii="Tahoma" w:hAnsi="Tahoma"/>
      <w:sz w:val="24"/>
      <w:szCs w:val="20"/>
    </w:rPr>
  </w:style>
  <w:style w:type="paragraph" w:customStyle="1" w:styleId="112">
    <w:name w:val="编号1"/>
    <w:basedOn w:val="1"/>
    <w:qFormat/>
    <w:uiPriority w:val="0"/>
    <w:pPr>
      <w:tabs>
        <w:tab w:val="left" w:pos="1344"/>
      </w:tabs>
      <w:spacing w:line="360" w:lineRule="auto"/>
      <w:outlineLvl w:val="0"/>
    </w:pPr>
    <w:rPr>
      <w:rFonts w:ascii="宋体" w:hAnsi="宋体"/>
      <w:sz w:val="24"/>
      <w:szCs w:val="20"/>
    </w:rPr>
  </w:style>
  <w:style w:type="paragraph" w:customStyle="1" w:styleId="113">
    <w:name w:val="_Style 8"/>
    <w:basedOn w:val="1"/>
    <w:qFormat/>
    <w:uiPriority w:val="0"/>
    <w:pPr>
      <w:widowControl/>
      <w:spacing w:after="160" w:line="240" w:lineRule="exact"/>
      <w:jc w:val="left"/>
    </w:pPr>
  </w:style>
  <w:style w:type="paragraph" w:customStyle="1" w:styleId="114">
    <w:name w:val="样式2"/>
    <w:basedOn w:val="32"/>
    <w:qFormat/>
    <w:uiPriority w:val="0"/>
    <w:pPr>
      <w:jc w:val="both"/>
    </w:pPr>
    <w:rPr>
      <w:kern w:val="0"/>
      <w:szCs w:val="20"/>
    </w:rPr>
  </w:style>
  <w:style w:type="paragraph" w:customStyle="1" w:styleId="115">
    <w:name w:val="样式8"/>
    <w:basedOn w:val="1"/>
    <w:qFormat/>
    <w:uiPriority w:val="0"/>
    <w:pPr>
      <w:tabs>
        <w:tab w:val="left" w:pos="720"/>
      </w:tabs>
      <w:spacing w:line="360" w:lineRule="auto"/>
      <w:ind w:left="720" w:hanging="720"/>
      <w:jc w:val="left"/>
      <w:outlineLvl w:val="0"/>
    </w:pPr>
    <w:rPr>
      <w:szCs w:val="20"/>
    </w:rPr>
  </w:style>
  <w:style w:type="paragraph" w:customStyle="1" w:styleId="116">
    <w:name w:val="2册标题4"/>
    <w:basedOn w:val="1"/>
    <w:next w:val="1"/>
    <w:qFormat/>
    <w:uiPriority w:val="0"/>
    <w:pPr>
      <w:spacing w:before="156" w:beforeLines="50" w:after="156" w:afterLines="50" w:line="300" w:lineRule="auto"/>
      <w:ind w:left="420" w:leftChars="200"/>
      <w:outlineLvl w:val="3"/>
    </w:pPr>
    <w:rPr>
      <w:rFonts w:ascii="Arial" w:hAnsi="Arial" w:eastAsia="幼圆"/>
      <w:b/>
      <w:sz w:val="24"/>
      <w:szCs w:val="20"/>
    </w:rPr>
  </w:style>
  <w:style w:type="paragraph" w:customStyle="1" w:styleId="117">
    <w:name w:val="xl37"/>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szCs w:val="20"/>
    </w:rPr>
  </w:style>
  <w:style w:type="paragraph" w:customStyle="1" w:styleId="118">
    <w:name w:val="我的征文"/>
    <w:basedOn w:val="1"/>
    <w:qFormat/>
    <w:uiPriority w:val="0"/>
    <w:pPr>
      <w:tabs>
        <w:tab w:val="left" w:pos="851"/>
      </w:tabs>
      <w:spacing w:before="360" w:beforeLines="0" w:after="360" w:afterLines="0"/>
      <w:ind w:left="851" w:right="113" w:hanging="851"/>
    </w:pPr>
  </w:style>
  <w:style w:type="paragraph" w:customStyle="1" w:styleId="119">
    <w:name w:val="样式 (西文) 宋体 行距: 1.5 倍行距"/>
    <w:basedOn w:val="1"/>
    <w:qFormat/>
    <w:uiPriority w:val="0"/>
    <w:pPr>
      <w:spacing w:line="360" w:lineRule="auto"/>
    </w:pPr>
    <w:rPr>
      <w:rFonts w:ascii="宋体" w:hAnsi="宋体"/>
      <w:szCs w:val="20"/>
    </w:rPr>
  </w:style>
  <w:style w:type="paragraph" w:customStyle="1" w:styleId="120">
    <w:name w:val="Bullet Level 1"/>
    <w:basedOn w:val="1"/>
    <w:qFormat/>
    <w:uiPriority w:val="0"/>
    <w:pPr>
      <w:widowControl/>
      <w:tabs>
        <w:tab w:val="left" w:pos="360"/>
        <w:tab w:val="left" w:pos="1474"/>
      </w:tabs>
      <w:spacing w:before="120" w:beforeLines="0"/>
      <w:ind w:left="1508" w:hanging="357"/>
      <w:jc w:val="left"/>
    </w:pPr>
    <w:rPr>
      <w:rFonts w:ascii="Verdana" w:hAnsi="Verdana"/>
      <w:kern w:val="0"/>
      <w:sz w:val="20"/>
      <w:lang w:val="en-GB"/>
    </w:rPr>
  </w:style>
  <w:style w:type="paragraph" w:customStyle="1" w:styleId="121">
    <w:name w:val="List Paragraph1"/>
    <w:basedOn w:val="1"/>
    <w:qFormat/>
    <w:uiPriority w:val="0"/>
    <w:pPr>
      <w:ind w:firstLine="420" w:firstLineChars="200"/>
    </w:pPr>
  </w:style>
  <w:style w:type="paragraph" w:customStyle="1" w:styleId="122">
    <w:name w:val="样式4"/>
    <w:basedOn w:val="32"/>
    <w:next w:val="32"/>
    <w:qFormat/>
    <w:uiPriority w:val="0"/>
    <w:rPr>
      <w:kern w:val="0"/>
      <w:szCs w:val="20"/>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kern w:val="0"/>
      <w:sz w:val="18"/>
      <w:szCs w:val="20"/>
    </w:rPr>
  </w:style>
  <w:style w:type="paragraph" w:customStyle="1" w:styleId="124">
    <w:name w:val="xl36"/>
    <w:basedOn w:val="1"/>
    <w:qFormat/>
    <w:uiPriority w:val="0"/>
    <w:pPr>
      <w:widowControl/>
      <w:spacing w:before="100" w:beforeLines="0" w:after="100" w:afterLines="0"/>
      <w:jc w:val="center"/>
    </w:pPr>
    <w:rPr>
      <w:rFonts w:ascii="宋体" w:hAnsi="宋体"/>
      <w:kern w:val="0"/>
      <w:sz w:val="24"/>
      <w:szCs w:val="20"/>
    </w:rPr>
  </w:style>
  <w:style w:type="paragraph" w:customStyle="1" w:styleId="125">
    <w:name w:val=" Char2 Char Char Char Char Char Char"/>
    <w:basedOn w:val="1"/>
    <w:qFormat/>
    <w:uiPriority w:val="0"/>
    <w:rPr>
      <w:rFonts w:ascii="仿宋_GB2312"/>
      <w:b/>
      <w:sz w:val="30"/>
      <w:szCs w:val="32"/>
    </w:rPr>
  </w:style>
  <w:style w:type="paragraph" w:customStyle="1" w:styleId="12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默认段落字体 Para Char Char Char Char"/>
    <w:basedOn w:val="1"/>
    <w:qFormat/>
    <w:uiPriority w:val="0"/>
    <w:rPr>
      <w:szCs w:val="20"/>
    </w:rPr>
  </w:style>
  <w:style w:type="paragraph" w:customStyle="1" w:styleId="12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29">
    <w:name w:val="样式 USE 1 + 行距: 单倍行距"/>
    <w:basedOn w:val="130"/>
    <w:qFormat/>
    <w:uiPriority w:val="0"/>
    <w:pPr>
      <w:tabs>
        <w:tab w:val="left" w:pos="435"/>
      </w:tabs>
      <w:spacing w:line="180" w:lineRule="atLeast"/>
      <w:ind w:left="435" w:hanging="435"/>
    </w:pPr>
  </w:style>
  <w:style w:type="paragraph" w:customStyle="1" w:styleId="130">
    <w:name w:val="USE 1"/>
    <w:basedOn w:val="1"/>
    <w:qFormat/>
    <w:uiPriority w:val="0"/>
    <w:pPr>
      <w:spacing w:line="200" w:lineRule="atLeast"/>
      <w:jc w:val="left"/>
    </w:pPr>
    <w:rPr>
      <w:rFonts w:ascii="宋体" w:hAnsi="宋体"/>
      <w:b/>
      <w:sz w:val="24"/>
      <w:szCs w:val="20"/>
    </w:rPr>
  </w:style>
  <w:style w:type="paragraph" w:customStyle="1" w:styleId="131">
    <w:name w:val=" Char Char Char Char Char Char"/>
    <w:basedOn w:val="1"/>
    <w:qFormat/>
    <w:uiPriority w:val="0"/>
    <w:pPr>
      <w:widowControl/>
      <w:spacing w:after="160" w:line="240" w:lineRule="exact"/>
      <w:jc w:val="left"/>
    </w:pPr>
    <w:rPr>
      <w:szCs w:val="20"/>
    </w:rPr>
  </w:style>
  <w:style w:type="paragraph" w:customStyle="1" w:styleId="132">
    <w:name w:val="样式3"/>
    <w:basedOn w:val="32"/>
    <w:next w:val="32"/>
    <w:qFormat/>
    <w:uiPriority w:val="0"/>
    <w:pPr>
      <w:jc w:val="both"/>
    </w:pPr>
    <w:rPr>
      <w:kern w:val="0"/>
      <w:szCs w:val="20"/>
    </w:rPr>
  </w:style>
  <w:style w:type="paragraph" w:customStyle="1" w:styleId="133">
    <w:name w:val="样式 USE 2 + 行距: 单倍行距"/>
    <w:basedOn w:val="134"/>
    <w:qFormat/>
    <w:uiPriority w:val="0"/>
    <w:pPr>
      <w:tabs>
        <w:tab w:val="left" w:pos="360"/>
      </w:tabs>
    </w:pPr>
  </w:style>
  <w:style w:type="paragraph" w:customStyle="1" w:styleId="134">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135">
    <w:name w:val="样式 标题 3Level 3 HeadH3Heading 3 - oldh3sect1.2.3Head33l3...1"/>
    <w:basedOn w:val="5"/>
    <w:qFormat/>
    <w:uiPriority w:val="0"/>
    <w:pPr>
      <w:spacing w:line="413" w:lineRule="auto"/>
      <w:jc w:val="left"/>
      <w:outlineLvl w:val="9"/>
    </w:pPr>
    <w:rPr>
      <w:rFonts w:ascii="宋体" w:hAnsi="宋体"/>
      <w:sz w:val="24"/>
    </w:rPr>
  </w:style>
  <w:style w:type="paragraph" w:customStyle="1" w:styleId="13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表格文字"/>
    <w:basedOn w:val="1"/>
    <w:qFormat/>
    <w:uiPriority w:val="0"/>
    <w:pPr>
      <w:spacing w:line="360" w:lineRule="auto"/>
      <w:jc w:val="left"/>
    </w:pPr>
    <w:rPr>
      <w:rFonts w:ascii="Calibri" w:hAnsi="Calibri"/>
      <w:szCs w:val="21"/>
    </w:rPr>
  </w:style>
  <w:style w:type="paragraph" w:customStyle="1" w:styleId="138">
    <w:name w:val="xl81"/>
    <w:basedOn w:val="1"/>
    <w:qFormat/>
    <w:uiPriority w:val="0"/>
    <w:pPr>
      <w:widowControl/>
      <w:spacing w:before="100" w:beforeLines="0" w:beforeAutospacing="1" w:after="100" w:afterLines="0" w:afterAutospacing="1"/>
      <w:jc w:val="center"/>
      <w:textAlignment w:val="center"/>
    </w:pPr>
    <w:rPr>
      <w:rFonts w:ascii="宋体" w:hAnsi="宋体"/>
      <w:b/>
      <w:bCs/>
      <w:kern w:val="0"/>
      <w:sz w:val="44"/>
      <w:szCs w:val="44"/>
    </w:rPr>
  </w:style>
  <w:style w:type="paragraph" w:customStyle="1" w:styleId="139">
    <w:name w:val=" Char"/>
    <w:basedOn w:val="15"/>
    <w:qFormat/>
    <w:uiPriority w:val="0"/>
    <w:rPr>
      <w:rFonts w:ascii="Tahoma" w:hAnsi="Tahoma"/>
      <w:sz w:val="24"/>
      <w:szCs w:val="20"/>
    </w:rPr>
  </w:style>
  <w:style w:type="paragraph" w:customStyle="1" w:styleId="140">
    <w:name w:val="项目1"/>
    <w:basedOn w:val="1"/>
    <w:qFormat/>
    <w:uiPriority w:val="0"/>
    <w:pPr>
      <w:widowControl/>
      <w:tabs>
        <w:tab w:val="left" w:pos="720"/>
      </w:tabs>
      <w:autoSpaceDE w:val="0"/>
      <w:autoSpaceDN w:val="0"/>
      <w:adjustRightInd w:val="0"/>
      <w:spacing w:before="120" w:beforeLines="0" w:after="120" w:afterLines="0" w:line="300" w:lineRule="auto"/>
      <w:ind w:left="720" w:hanging="720"/>
      <w:jc w:val="left"/>
      <w:textAlignment w:val="bottom"/>
    </w:pPr>
    <w:rPr>
      <w:rFonts w:eastAsia="楷体_GB2312"/>
      <w:kern w:val="0"/>
      <w:sz w:val="24"/>
      <w:szCs w:val="20"/>
    </w:rPr>
  </w:style>
  <w:style w:type="paragraph" w:customStyle="1" w:styleId="141">
    <w:name w:val="Char"/>
    <w:basedOn w:val="1"/>
    <w:qFormat/>
    <w:uiPriority w:val="0"/>
    <w:pPr>
      <w:widowControl/>
      <w:spacing w:after="160" w:afterLines="0" w:line="240" w:lineRule="exact"/>
      <w:ind w:firstLine="400" w:firstLineChars="200"/>
    </w:pPr>
    <w:rPr>
      <w:rFonts w:ascii="Verdana" w:hAnsi="Verdana"/>
      <w:kern w:val="0"/>
      <w:sz w:val="20"/>
      <w:szCs w:val="20"/>
      <w:lang w:eastAsia="en-US"/>
    </w:rPr>
  </w:style>
  <w:style w:type="paragraph" w:customStyle="1" w:styleId="142">
    <w:name w:val="2册标题3"/>
    <w:basedOn w:val="1"/>
    <w:next w:val="1"/>
    <w:qFormat/>
    <w:uiPriority w:val="0"/>
    <w:pPr>
      <w:spacing w:before="156" w:beforeLines="50" w:after="156" w:afterLines="50" w:line="300" w:lineRule="auto"/>
      <w:ind w:left="210" w:leftChars="100"/>
      <w:jc w:val="center"/>
      <w:outlineLvl w:val="2"/>
    </w:pPr>
    <w:rPr>
      <w:rFonts w:ascii="宋体" w:hAnsi="宋体"/>
      <w:b/>
      <w:sz w:val="30"/>
      <w:szCs w:val="20"/>
    </w:rPr>
  </w:style>
  <w:style w:type="paragraph" w:customStyle="1" w:styleId="143">
    <w:name w:val=" Char1"/>
    <w:basedOn w:val="15"/>
    <w:qFormat/>
    <w:uiPriority w:val="0"/>
    <w:rPr>
      <w:rFonts w:ascii="Tahoma" w:hAnsi="Tahoma"/>
      <w:sz w:val="24"/>
    </w:rPr>
  </w:style>
  <w:style w:type="paragraph" w:customStyle="1" w:styleId="144">
    <w:name w:val="目录"/>
    <w:basedOn w:val="1"/>
    <w:next w:val="145"/>
    <w:qFormat/>
    <w:uiPriority w:val="0"/>
    <w:pPr>
      <w:adjustRightInd w:val="0"/>
      <w:spacing w:before="360" w:beforeLines="0" w:after="360" w:afterLines="0" w:line="312" w:lineRule="atLeast"/>
      <w:jc w:val="center"/>
      <w:textAlignment w:val="baseline"/>
    </w:pPr>
    <w:rPr>
      <w:rFonts w:ascii="黑体" w:eastAsia="黑体"/>
      <w:spacing w:val="20"/>
      <w:kern w:val="0"/>
      <w:sz w:val="32"/>
      <w:szCs w:val="20"/>
    </w:rPr>
  </w:style>
  <w:style w:type="paragraph" w:customStyle="1" w:styleId="14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46">
    <w:name w:val="xl25"/>
    <w:basedOn w:val="1"/>
    <w:qFormat/>
    <w:uiPriority w:val="0"/>
    <w:pPr>
      <w:widowControl/>
      <w:spacing w:before="100" w:beforeLines="0" w:beforeAutospacing="1" w:after="100" w:afterLines="0" w:afterAutospacing="1"/>
      <w:jc w:val="center"/>
      <w:textAlignment w:val="bottom"/>
    </w:pPr>
    <w:rPr>
      <w:rFonts w:ascii="宋体" w:hAnsi="宋体"/>
      <w:kern w:val="0"/>
      <w:sz w:val="24"/>
    </w:rPr>
  </w:style>
  <w:style w:type="paragraph" w:customStyle="1" w:styleId="147">
    <w:name w:val="样式 行距: 1.5 倍行距"/>
    <w:basedOn w:val="1"/>
    <w:qFormat/>
    <w:uiPriority w:val="0"/>
    <w:pPr>
      <w:spacing w:line="360" w:lineRule="auto"/>
    </w:pPr>
    <w:rPr>
      <w:rFonts w:ascii="宋体" w:hAnsi="宋体"/>
      <w:szCs w:val="20"/>
    </w:rPr>
  </w:style>
  <w:style w:type="paragraph" w:customStyle="1" w:styleId="148">
    <w:name w:val="样式 宋体 行距: 1.5 倍行距"/>
    <w:basedOn w:val="1"/>
    <w:qFormat/>
    <w:uiPriority w:val="0"/>
    <w:pPr>
      <w:tabs>
        <w:tab w:val="left" w:pos="360"/>
        <w:tab w:val="left" w:pos="420"/>
      </w:tabs>
      <w:ind w:left="360" w:hanging="360"/>
    </w:pPr>
    <w:rPr>
      <w:szCs w:val="20"/>
    </w:rPr>
  </w:style>
  <w:style w:type="paragraph" w:customStyle="1" w:styleId="149">
    <w:name w:val="样式 标题 2 + 宋体 五号 行距: 单倍行距"/>
    <w:basedOn w:val="4"/>
    <w:qFormat/>
    <w:uiPriority w:val="0"/>
    <w:pPr>
      <w:numPr>
        <w:ilvl w:val="1"/>
        <w:numId w:val="0"/>
      </w:numPr>
      <w:tabs>
        <w:tab w:val="left" w:pos="405"/>
        <w:tab w:val="clear" w:pos="840"/>
      </w:tabs>
      <w:adjustRightInd w:val="0"/>
      <w:spacing w:line="240" w:lineRule="auto"/>
      <w:ind w:left="720"/>
      <w:jc w:val="left"/>
      <w:textAlignment w:val="baseline"/>
    </w:pPr>
    <w:rPr>
      <w:rFonts w:ascii="宋体" w:hAnsi="宋体" w:eastAsia="宋体"/>
      <w:kern w:val="0"/>
      <w:sz w:val="21"/>
    </w:rPr>
  </w:style>
  <w:style w:type="paragraph" w:styleId="150">
    <w:name w:val="List Paragraph"/>
    <w:basedOn w:val="1"/>
    <w:qFormat/>
    <w:uiPriority w:val="99"/>
    <w:pPr>
      <w:ind w:firstLine="420" w:firstLineChars="200"/>
    </w:pPr>
  </w:style>
  <w:style w:type="paragraph" w:customStyle="1" w:styleId="151">
    <w:name w:val="正文1"/>
    <w:basedOn w:val="1"/>
    <w:qFormat/>
    <w:uiPriority w:val="0"/>
    <w:pPr>
      <w:spacing w:line="360" w:lineRule="auto"/>
      <w:ind w:left="1260" w:leftChars="600" w:firstLine="540" w:firstLineChars="257"/>
    </w:pPr>
    <w:rPr>
      <w:rFonts w:ascii="宋体" w:hAnsi="宋体"/>
    </w:rPr>
  </w:style>
  <w:style w:type="paragraph" w:customStyle="1" w:styleId="152">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153">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beforeLines="0"/>
      <w:ind w:left="1080" w:hanging="360"/>
      <w:jc w:val="left"/>
      <w:textAlignment w:val="baseline"/>
      <w:outlineLvl w:val="1"/>
    </w:pPr>
    <w:rPr>
      <w:rFonts w:ascii="宋体" w:hAnsi="宋体"/>
      <w:b/>
      <w:color w:val="000000"/>
      <w:kern w:val="0"/>
      <w:szCs w:val="20"/>
    </w:rPr>
  </w:style>
  <w:style w:type="paragraph" w:customStyle="1" w:styleId="154">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15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Char1"/>
    <w:basedOn w:val="15"/>
    <w:qFormat/>
    <w:uiPriority w:val="0"/>
    <w:rPr>
      <w:rFonts w:ascii="Tahoma" w:hAnsi="Tahoma"/>
      <w:sz w:val="24"/>
      <w:szCs w:val="20"/>
    </w:rPr>
  </w:style>
  <w:style w:type="paragraph" w:customStyle="1" w:styleId="157">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158">
    <w:name w:val="标题2 + 居中"/>
    <w:basedOn w:val="3"/>
    <w:qFormat/>
    <w:uiPriority w:val="0"/>
    <w:pPr>
      <w:spacing w:before="0" w:beforeLines="0" w:after="0" w:afterLines="0" w:line="360" w:lineRule="auto"/>
    </w:pPr>
    <w:rPr>
      <w:rFonts w:eastAsia="宋体"/>
      <w:b w:val="0"/>
      <w:bCs/>
      <w:szCs w:val="44"/>
    </w:rPr>
  </w:style>
  <w:style w:type="paragraph" w:customStyle="1" w:styleId="159">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160">
    <w:name w:val="默认段落字体 Para Char"/>
    <w:basedOn w:val="1"/>
    <w:qFormat/>
    <w:uiPriority w:val="0"/>
    <w:pPr>
      <w:tabs>
        <w:tab w:val="left" w:pos="360"/>
      </w:tabs>
      <w:ind w:left="420" w:hanging="420"/>
    </w:pPr>
    <w:rPr>
      <w:sz w:val="24"/>
    </w:rPr>
  </w:style>
  <w:style w:type="paragraph" w:customStyle="1" w:styleId="161">
    <w:name w:val=" Char Char Char Char Char Char Char Char Char"/>
    <w:basedOn w:val="15"/>
    <w:qFormat/>
    <w:uiPriority w:val="0"/>
    <w:pPr>
      <w:jc w:val="left"/>
    </w:pPr>
    <w:rPr>
      <w:rFonts w:ascii="Tahoma" w:hAnsi="Tahoma"/>
      <w:sz w:val="24"/>
      <w:szCs w:val="20"/>
    </w:rPr>
  </w:style>
  <w:style w:type="paragraph" w:customStyle="1" w:styleId="162">
    <w:name w:val="保留正文"/>
    <w:basedOn w:val="19"/>
    <w:qFormat/>
    <w:uiPriority w:val="0"/>
    <w:pPr>
      <w:keepNext/>
      <w:spacing w:after="160" w:afterLines="0"/>
    </w:pPr>
  </w:style>
  <w:style w:type="paragraph" w:customStyle="1" w:styleId="163">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164">
    <w:name w:val="xl32"/>
    <w:basedOn w:val="1"/>
    <w:qFormat/>
    <w:uiPriority w:val="0"/>
    <w:pPr>
      <w:widowControl/>
      <w:pBdr>
        <w:bottom w:val="single" w:color="auto" w:sz="4" w:space="0"/>
      </w:pBdr>
      <w:spacing w:before="100" w:beforeLines="0" w:after="100" w:afterLines="0"/>
      <w:jc w:val="center"/>
    </w:pPr>
    <w:rPr>
      <w:rFonts w:ascii="宋体" w:hAnsi="宋体"/>
      <w:kern w:val="0"/>
      <w:sz w:val="24"/>
    </w:rPr>
  </w:style>
  <w:style w:type="paragraph" w:customStyle="1" w:styleId="165">
    <w:name w:val="样式 段后: 3 磅 行距: 1.5 倍行距"/>
    <w:basedOn w:val="1"/>
    <w:qFormat/>
    <w:uiPriority w:val="0"/>
    <w:pPr>
      <w:spacing w:after="60" w:afterLines="0" w:line="360" w:lineRule="auto"/>
    </w:pPr>
    <w:rPr>
      <w:szCs w:val="20"/>
    </w:rPr>
  </w:style>
  <w:style w:type="paragraph" w:customStyle="1" w:styleId="166">
    <w:name w:val="样式 标题 2标题 1.1H2Heading 2 HiddenHeading 2 CCBSheading 2第一章 ..."/>
    <w:basedOn w:val="4"/>
    <w:qFormat/>
    <w:uiPriority w:val="0"/>
    <w:pPr>
      <w:numPr>
        <w:ilvl w:val="1"/>
        <w:numId w:val="0"/>
      </w:numPr>
      <w:spacing w:before="312" w:beforeLines="0" w:after="312" w:afterLines="0" w:line="240" w:lineRule="auto"/>
      <w:ind w:firstLine="562" w:firstLineChars="200"/>
    </w:pPr>
    <w:rPr>
      <w:rFonts w:eastAsia="宋体"/>
      <w:kern w:val="0"/>
      <w:sz w:val="28"/>
    </w:rPr>
  </w:style>
  <w:style w:type="paragraph" w:customStyle="1" w:styleId="167">
    <w:name w:val="p0"/>
    <w:basedOn w:val="1"/>
    <w:qFormat/>
    <w:uiPriority w:val="0"/>
    <w:pPr>
      <w:widowControl/>
    </w:pPr>
    <w:rPr>
      <w:rFonts w:hint="eastAsia" w:ascii="宋体" w:hAnsi="宋体"/>
      <w:kern w:val="0"/>
      <w:szCs w:val="21"/>
    </w:rPr>
  </w:style>
  <w:style w:type="paragraph" w:customStyle="1" w:styleId="168">
    <w:name w:val="Numbered list 2.3"/>
    <w:basedOn w:val="5"/>
    <w:next w:val="1"/>
    <w:qFormat/>
    <w:uiPriority w:val="0"/>
    <w:pPr>
      <w:keepLines w:val="0"/>
      <w:widowControl/>
      <w:tabs>
        <w:tab w:val="left" w:pos="360"/>
        <w:tab w:val="left" w:pos="705"/>
        <w:tab w:val="left" w:pos="1080"/>
      </w:tabs>
      <w:spacing w:before="240" w:beforeLines="0" w:after="60" w:afterLines="0" w:line="240" w:lineRule="auto"/>
      <w:ind w:left="720" w:hanging="720"/>
      <w:jc w:val="left"/>
    </w:pPr>
    <w:rPr>
      <w:rFonts w:ascii="Arial" w:hAnsi="Arial"/>
      <w:b w:val="0"/>
      <w:bCs/>
      <w:iCs/>
      <w:kern w:val="0"/>
      <w:sz w:val="28"/>
      <w:szCs w:val="24"/>
    </w:rPr>
  </w:style>
  <w:style w:type="paragraph" w:customStyle="1" w:styleId="169">
    <w:name w:val="maint"/>
    <w:basedOn w:val="1"/>
    <w:qFormat/>
    <w:uiPriority w:val="0"/>
    <w:pPr>
      <w:widowControl/>
      <w:jc w:val="left"/>
    </w:pPr>
    <w:rPr>
      <w:rFonts w:ascii="宋体" w:hAnsi="宋体" w:cs="宋体"/>
      <w:kern w:val="0"/>
      <w:sz w:val="24"/>
    </w:rPr>
  </w:style>
  <w:style w:type="paragraph" w:customStyle="1" w:styleId="170">
    <w:name w:val="编号二"/>
    <w:basedOn w:val="1"/>
    <w:qFormat/>
    <w:uiPriority w:val="0"/>
    <w:rPr>
      <w:szCs w:val="20"/>
    </w:rPr>
  </w:style>
  <w:style w:type="paragraph" w:customStyle="1" w:styleId="171">
    <w:name w:val="注"/>
    <w:basedOn w:val="145"/>
    <w:qFormat/>
    <w:uiPriority w:val="0"/>
    <w:rPr>
      <w:rFonts w:ascii="长城楷体" w:eastAsia="长城楷体"/>
      <w:sz w:val="21"/>
    </w:rPr>
  </w:style>
  <w:style w:type="paragraph" w:customStyle="1" w:styleId="172">
    <w:name w:val="font7"/>
    <w:basedOn w:val="1"/>
    <w:qFormat/>
    <w:uiPriority w:val="0"/>
    <w:pPr>
      <w:widowControl/>
      <w:spacing w:before="100" w:beforeLines="0" w:beforeAutospacing="1" w:after="100" w:afterLines="0" w:afterAutospacing="1"/>
      <w:jc w:val="left"/>
    </w:pPr>
    <w:rPr>
      <w:kern w:val="0"/>
      <w:sz w:val="22"/>
      <w:szCs w:val="22"/>
    </w:rPr>
  </w:style>
  <w:style w:type="paragraph" w:customStyle="1" w:styleId="173">
    <w:name w:val=" Char Char Char"/>
    <w:basedOn w:val="15"/>
    <w:qFormat/>
    <w:uiPriority w:val="0"/>
    <w:rPr>
      <w:rFonts w:ascii="Tahoma" w:hAnsi="Tahoma"/>
      <w:sz w:val="24"/>
    </w:rPr>
  </w:style>
  <w:style w:type="paragraph" w:customStyle="1" w:styleId="174">
    <w:name w:val="Char Char Char"/>
    <w:basedOn w:val="1"/>
    <w:qFormat/>
    <w:uiPriority w:val="0"/>
    <w:rPr>
      <w:rFonts w:ascii="Tahoma" w:hAnsi="Tahoma"/>
      <w:sz w:val="24"/>
      <w:szCs w:val="20"/>
    </w:rPr>
  </w:style>
  <w:style w:type="paragraph" w:customStyle="1" w:styleId="175">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176">
    <w:name w:val=" Char1 Char Char Char Char Char Char"/>
    <w:basedOn w:val="1"/>
    <w:qFormat/>
    <w:uiPriority w:val="0"/>
    <w:rPr>
      <w:rFonts w:ascii="Tahoma" w:hAnsi="Tahoma"/>
      <w:sz w:val="24"/>
      <w:szCs w:val="20"/>
    </w:rPr>
  </w:style>
  <w:style w:type="paragraph" w:customStyle="1" w:styleId="177">
    <w:name w:val="Table Paragraph"/>
    <w:basedOn w:val="1"/>
    <w:qFormat/>
    <w:uiPriority w:val="1"/>
    <w:pPr>
      <w:autoSpaceDE w:val="0"/>
      <w:autoSpaceDN w:val="0"/>
      <w:spacing w:line="360" w:lineRule="auto"/>
      <w:jc w:val="left"/>
    </w:pPr>
    <w:rPr>
      <w:rFonts w:ascii="宋体" w:hAnsi="宋体" w:cs="宋体"/>
      <w:kern w:val="0"/>
      <w:sz w:val="24"/>
      <w:szCs w:val="22"/>
      <w:lang w:val="zh-CN" w:bidi="zh-CN"/>
    </w:rPr>
  </w:style>
  <w:style w:type="paragraph" w:customStyle="1" w:styleId="178">
    <w:name w:val="文章副标题"/>
    <w:basedOn w:val="1"/>
    <w:next w:val="1"/>
    <w:qFormat/>
    <w:uiPriority w:val="0"/>
    <w:pPr>
      <w:widowControl/>
      <w:spacing w:before="187" w:beforeLines="0" w:after="175" w:afterLines="0" w:line="1870" w:lineRule="atLeast"/>
      <w:jc w:val="center"/>
      <w:textAlignment w:val="baseline"/>
    </w:pPr>
    <w:rPr>
      <w:color w:val="000000"/>
      <w:kern w:val="0"/>
      <w:sz w:val="36"/>
    </w:rPr>
  </w:style>
  <w:style w:type="paragraph" w:customStyle="1" w:styleId="179">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180">
    <w:name w:val="默认段落"/>
    <w:basedOn w:val="1"/>
    <w:qFormat/>
    <w:uiPriority w:val="0"/>
    <w:pPr>
      <w:spacing w:after="120" w:afterLines="0" w:line="360" w:lineRule="auto"/>
      <w:ind w:firstLine="480" w:firstLineChars="200"/>
    </w:pPr>
    <w:rPr>
      <w:sz w:val="24"/>
      <w:szCs w:val="20"/>
    </w:rPr>
  </w:style>
  <w:style w:type="paragraph" w:customStyle="1" w:styleId="181">
    <w:name w:val=" Char Char Char Char Char Char Char"/>
    <w:basedOn w:val="1"/>
    <w:qFormat/>
    <w:uiPriority w:val="0"/>
    <w:pPr>
      <w:tabs>
        <w:tab w:val="left" w:pos="432"/>
      </w:tabs>
      <w:ind w:left="432" w:hanging="432"/>
    </w:pPr>
    <w:rPr>
      <w:rFonts w:ascii="Tahoma" w:hAnsi="Tahoma"/>
      <w:sz w:val="24"/>
      <w:szCs w:val="20"/>
    </w:rPr>
  </w:style>
  <w:style w:type="paragraph" w:customStyle="1" w:styleId="182">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183">
    <w:name w:val="样式 标题 3Level 3 HeadH3Heading 3 - oldh3sect1.2.3Head33l3...2"/>
    <w:basedOn w:val="5"/>
    <w:qFormat/>
    <w:uiPriority w:val="0"/>
    <w:pPr>
      <w:spacing w:before="120" w:beforeLines="0" w:after="120" w:afterLines="0" w:line="413" w:lineRule="auto"/>
      <w:jc w:val="center"/>
      <w:outlineLvl w:val="9"/>
    </w:pPr>
    <w:rPr>
      <w:rFonts w:ascii="宋体" w:hAnsi="宋体"/>
      <w:sz w:val="28"/>
    </w:rPr>
  </w:style>
  <w:style w:type="paragraph" w:customStyle="1" w:styleId="184">
    <w:name w:val="Heading 3"/>
    <w:basedOn w:val="1"/>
    <w:qFormat/>
    <w:uiPriority w:val="0"/>
    <w:pPr>
      <w:widowControl/>
      <w:jc w:val="left"/>
    </w:pPr>
    <w:rPr>
      <w:kern w:val="0"/>
      <w:sz w:val="20"/>
      <w:szCs w:val="20"/>
    </w:rPr>
  </w:style>
  <w:style w:type="paragraph" w:customStyle="1" w:styleId="185">
    <w:name w:val="CM16"/>
    <w:basedOn w:val="1"/>
    <w:next w:val="1"/>
    <w:qFormat/>
    <w:uiPriority w:val="0"/>
    <w:pPr>
      <w:autoSpaceDE w:val="0"/>
      <w:autoSpaceDN w:val="0"/>
      <w:adjustRightInd w:val="0"/>
      <w:spacing w:after="163" w:afterLines="0"/>
      <w:jc w:val="left"/>
    </w:pPr>
    <w:rPr>
      <w:rFonts w:ascii="INMAB J+ Univers" w:eastAsia="INMAB J+ Univers"/>
      <w:kern w:val="0"/>
      <w:sz w:val="24"/>
    </w:rPr>
  </w:style>
  <w:style w:type="paragraph" w:customStyle="1" w:styleId="186">
    <w:name w:val="列出段落 Char Char"/>
    <w:basedOn w:val="1"/>
    <w:qFormat/>
    <w:uiPriority w:val="0"/>
    <w:pPr>
      <w:ind w:firstLine="420" w:firstLineChars="200"/>
    </w:pPr>
    <w:rPr>
      <w:szCs w:val="20"/>
    </w:rPr>
  </w:style>
  <w:style w:type="paragraph" w:customStyle="1" w:styleId="187">
    <w:name w:val="标准1 段落"/>
    <w:basedOn w:val="1"/>
    <w:qFormat/>
    <w:uiPriority w:val="0"/>
    <w:pPr>
      <w:tabs>
        <w:tab w:val="left" w:pos="360"/>
      </w:tabs>
      <w:spacing w:before="156" w:beforeLines="50" w:line="360" w:lineRule="auto"/>
      <w:ind w:left="360" w:hanging="360"/>
    </w:pPr>
    <w:rPr>
      <w:sz w:val="24"/>
    </w:rPr>
  </w:style>
  <w:style w:type="paragraph" w:customStyle="1" w:styleId="188">
    <w:name w:val="样式 标题 2H2Heading 2 HiddenHeading 2 CCBS2nd levelh22Header..."/>
    <w:basedOn w:val="4"/>
    <w:qFormat/>
    <w:uiPriority w:val="0"/>
    <w:pPr>
      <w:spacing w:before="200" w:after="200" w:line="415" w:lineRule="auto"/>
      <w:jc w:val="both"/>
    </w:pPr>
    <w:rPr>
      <w:rFonts w:ascii="宋体" w:hAnsi="宋体" w:eastAsia="宋体" w:cs="宋体"/>
      <w:bCs/>
      <w:sz w:val="21"/>
    </w:rPr>
  </w:style>
  <w:style w:type="paragraph" w:customStyle="1" w:styleId="189">
    <w:name w:val="_Style 186"/>
    <w:basedOn w:val="3"/>
    <w:next w:val="1"/>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lang w:val="en-US" w:eastAsia="zh-CN"/>
    </w:rPr>
  </w:style>
  <w:style w:type="paragraph" w:customStyle="1" w:styleId="190">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191">
    <w:name w:val="默认段落字体 Para Char Char Char Char Char Char Char Char Char Char"/>
    <w:basedOn w:val="15"/>
    <w:qFormat/>
    <w:uiPriority w:val="0"/>
    <w:rPr>
      <w:rFonts w:ascii="Tahoma" w:hAnsi="Tahoma"/>
      <w:sz w:val="24"/>
      <w:szCs w:val="20"/>
    </w:rPr>
  </w:style>
  <w:style w:type="paragraph" w:customStyle="1" w:styleId="192">
    <w:name w:val="样式 正文文本缩进 2封面3 +"/>
    <w:basedOn w:val="30"/>
    <w:qFormat/>
    <w:uiPriority w:val="0"/>
    <w:pPr>
      <w:adjustRightInd w:val="0"/>
      <w:snapToGrid w:val="0"/>
      <w:spacing w:before="100" w:beforeLines="0" w:beforeAutospacing="1" w:after="100" w:afterLines="0" w:afterAutospacing="1" w:line="400" w:lineRule="atLeast"/>
      <w:ind w:left="0" w:leftChars="0"/>
    </w:pPr>
    <w:rPr>
      <w:rFonts w:ascii="宋体" w:hAnsi="宋体" w:cs="宋体"/>
      <w:color w:val="000000"/>
      <w:sz w:val="24"/>
      <w:szCs w:val="20"/>
      <w14:shadow w14:blurRad="50800" w14:dist="38100" w14:dir="2700000" w14:sx="100000" w14:sy="100000" w14:kx="0" w14:ky="0" w14:algn="tl">
        <w14:srgbClr w14:val="000000">
          <w14:alpha w14:val="60000"/>
        </w14:srgbClr>
      </w14:shadow>
    </w:rPr>
  </w:style>
  <w:style w:type="paragraph" w:customStyle="1" w:styleId="193">
    <w:name w:val="普通正文"/>
    <w:basedOn w:val="1"/>
    <w:qFormat/>
    <w:uiPriority w:val="0"/>
    <w:pPr>
      <w:adjustRightInd w:val="0"/>
      <w:snapToGrid w:val="0"/>
      <w:spacing w:before="120" w:beforeLines="0" w:after="120" w:afterLines="0" w:line="360" w:lineRule="auto"/>
      <w:ind w:left="480" w:leftChars="100" w:right="240" w:rightChars="100"/>
      <w:jc w:val="left"/>
    </w:pPr>
    <w:rPr>
      <w:rFonts w:ascii="宋体"/>
      <w:kern w:val="0"/>
      <w:sz w:val="24"/>
    </w:rPr>
  </w:style>
  <w:style w:type="paragraph" w:customStyle="1" w:styleId="194">
    <w:name w:val="Char Char Char Char Char Char1 Char"/>
    <w:basedOn w:val="1"/>
    <w:qFormat/>
    <w:uiPriority w:val="0"/>
    <w:pPr>
      <w:widowControl/>
      <w:spacing w:after="160" w:afterLines="0" w:line="240" w:lineRule="exact"/>
      <w:jc w:val="left"/>
    </w:pPr>
    <w:rPr>
      <w:rFonts w:ascii="Verdana" w:hAnsi="Verdana" w:eastAsia="仿宋_GB2312"/>
      <w:kern w:val="0"/>
      <w:sz w:val="30"/>
      <w:szCs w:val="20"/>
      <w:lang w:eastAsia="en-US"/>
    </w:rPr>
  </w:style>
  <w:style w:type="paragraph" w:customStyle="1" w:styleId="195">
    <w:name w:val="Char2 Char Char Char Char Char Char"/>
    <w:basedOn w:val="1"/>
    <w:qFormat/>
    <w:uiPriority w:val="0"/>
    <w:rPr>
      <w:rFonts w:ascii="仿宋_GB2312"/>
      <w:b/>
      <w:sz w:val="30"/>
      <w:szCs w:val="32"/>
    </w:rPr>
  </w:style>
  <w:style w:type="paragraph" w:customStyle="1" w:styleId="1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7">
    <w:name w:val="style50"/>
    <w:basedOn w:val="1"/>
    <w:qFormat/>
    <w:uiPriority w:val="0"/>
    <w:pPr>
      <w:widowControl/>
      <w:spacing w:before="75" w:beforeLines="0" w:after="75" w:afterLines="0" w:line="384" w:lineRule="auto"/>
      <w:jc w:val="left"/>
    </w:pPr>
    <w:rPr>
      <w:rFonts w:ascii="黑体" w:hAnsi="宋体" w:eastAsia="黑体" w:cs="宋体"/>
      <w:kern w:val="0"/>
      <w:sz w:val="24"/>
    </w:rPr>
  </w:style>
  <w:style w:type="paragraph" w:customStyle="1" w:styleId="19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99">
    <w:name w:val="正文列表"/>
    <w:basedOn w:val="1"/>
    <w:qFormat/>
    <w:uiPriority w:val="0"/>
    <w:pPr>
      <w:spacing w:line="360" w:lineRule="auto"/>
      <w:jc w:val="center"/>
    </w:pPr>
    <w:rPr>
      <w:rFonts w:ascii="宋体" w:hAnsi="宋体"/>
      <w:kern w:val="0"/>
      <w:position w:val="24"/>
      <w:szCs w:val="20"/>
    </w:rPr>
  </w:style>
  <w:style w:type="paragraph" w:customStyle="1" w:styleId="200">
    <w:name w:val="样式 样式 (中文) 仿宋_GB2312 四号 行距: 多倍行距 1.25 字行2 + 首行缩进:  2 字符"/>
    <w:basedOn w:val="1"/>
    <w:qFormat/>
    <w:uiPriority w:val="0"/>
    <w:pPr>
      <w:snapToGrid w:val="0"/>
      <w:spacing w:line="300" w:lineRule="auto"/>
      <w:ind w:firstLine="560" w:firstLineChars="200"/>
    </w:pPr>
    <w:rPr>
      <w:rFonts w:eastAsia="仿宋_GB2312"/>
      <w:color w:val="000000"/>
      <w:kern w:val="0"/>
      <w:sz w:val="28"/>
      <w:szCs w:val="20"/>
    </w:rPr>
  </w:style>
  <w:style w:type="character" w:customStyle="1" w:styleId="201">
    <w:name w:val="font111"/>
    <w:qFormat/>
    <w:uiPriority w:val="0"/>
    <w:rPr>
      <w:rFonts w:ascii="Calibri" w:hAnsi="Calibri" w:cs="Calibri"/>
      <w:color w:val="000000"/>
      <w:sz w:val="22"/>
      <w:szCs w:val="22"/>
      <w:u w:val="none"/>
    </w:rPr>
  </w:style>
  <w:style w:type="paragraph" w:customStyle="1" w:styleId="202">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203">
    <w:name w:val="索引 11"/>
    <w:basedOn w:val="1"/>
    <w:next w:val="1"/>
    <w:qFormat/>
    <w:uiPriority w:val="0"/>
    <w:pPr>
      <w:spacing w:line="360" w:lineRule="auto"/>
    </w:pPr>
    <w:rPr>
      <w:rFonts w:ascii="仿宋_GB2312" w:eastAsia="仿宋_GB2312"/>
      <w:sz w:val="24"/>
      <w:szCs w:val="20"/>
    </w:rPr>
  </w:style>
  <w:style w:type="paragraph" w:customStyle="1" w:styleId="204">
    <w:name w:val="纯文本1"/>
    <w:basedOn w:val="1"/>
    <w:qFormat/>
    <w:uiPriority w:val="0"/>
    <w:rPr>
      <w:rFonts w:ascii="宋体" w:hAnsi="Courier New"/>
      <w:kern w:val="0"/>
      <w:sz w:val="20"/>
      <w:szCs w:val="20"/>
    </w:rPr>
  </w:style>
  <w:style w:type="paragraph" w:customStyle="1" w:styleId="205">
    <w:name w:val="正文文本1"/>
    <w:basedOn w:val="1"/>
    <w:qFormat/>
    <w:uiPriority w:val="0"/>
    <w:pPr>
      <w:widowControl w:val="0"/>
      <w:shd w:val="clear" w:color="auto" w:fill="FFFFFF"/>
      <w:spacing w:line="386" w:lineRule="auto"/>
      <w:ind w:firstLine="400"/>
    </w:pPr>
    <w:rPr>
      <w:rFonts w:ascii="MingLiU" w:hAnsi="MingLiU" w:eastAsia="MingLiU" w:cs="MingLiU"/>
      <w:sz w:val="28"/>
      <w:szCs w:val="28"/>
      <w:u w:val="none"/>
      <w:lang w:val="zh-CN" w:eastAsia="zh-CN" w:bidi="zh-CN"/>
    </w:rPr>
  </w:style>
  <w:style w:type="paragraph" w:customStyle="1" w:styleId="206">
    <w:name w:val="WPSOffice手动目录 1"/>
    <w:qFormat/>
    <w:uiPriority w:val="0"/>
    <w:pPr>
      <w:ind w:leftChars="0"/>
    </w:pPr>
    <w:rPr>
      <w:rFonts w:ascii="Times New Roman" w:hAnsi="Times New Roman" w:eastAsia="宋体" w:cs="Times New Roman"/>
      <w:sz w:val="20"/>
      <w:szCs w:val="20"/>
    </w:rPr>
  </w:style>
  <w:style w:type="paragraph" w:customStyle="1" w:styleId="207">
    <w:name w:val="WPSOffice手动目录 2"/>
    <w:qFormat/>
    <w:uiPriority w:val="0"/>
    <w:pPr>
      <w:ind w:leftChars="200"/>
    </w:pPr>
    <w:rPr>
      <w:rFonts w:ascii="Times New Roman" w:hAnsi="Times New Roman" w:eastAsia="宋体" w:cs="Times New Roman"/>
      <w:sz w:val="20"/>
      <w:szCs w:val="20"/>
    </w:rPr>
  </w:style>
  <w:style w:type="character" w:customStyle="1" w:styleId="208">
    <w:name w:val="15"/>
    <w:qFormat/>
    <w:uiPriority w:val="0"/>
    <w:rPr>
      <w:rFonts w:hint="eastAsia" w:ascii="楷体_GB2312" w:hAnsi="楷体_GB2312" w:eastAsia="楷体_GB2312" w:cs="楷体_GB2312"/>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11543</Words>
  <Characters>12771</Characters>
  <Lines>873</Lines>
  <Paragraphs>246</Paragraphs>
  <TotalTime>63</TotalTime>
  <ScaleCrop>false</ScaleCrop>
  <LinksUpToDate>false</LinksUpToDate>
  <CharactersWithSpaces>13094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2020-02-17T03:44:00Z</dcterms:created>
  <dc:creator>河南省至诚招标采购服务有限公司</dc:creator>
  <cp:lastModifiedBy>DX</cp:lastModifiedBy>
  <cp:lastPrinted>2025-04-25T02:34:00Z</cp:lastPrinted>
  <dcterms:modified xsi:type="dcterms:W3CDTF">2025-05-19T07:20:14Z</dcterms:modified>
  <dc:subject>招标文件</dc:subject>
  <dc:title>hnszczb</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9A537B99B2974CE893C38A448304BD16_13</vt:lpwstr>
  </property>
  <property fmtid="{D5CDD505-2E9C-101B-9397-08002B2CF9AE}" pid="4" name="KSOTemplateDocerSaveRecord">
    <vt:lpwstr>eyJoZGlkIjoiMmI1YTI5ZjM1YzNmYWMxZWZiMDVkM2EyY2FiODg0N2UiLCJ1c2VySWQiOiIxMjU4OTg3NDAyIn0=</vt:lpwstr>
  </property>
</Properties>
</file>