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66F7">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祥符区控制性详细规划编制询价</w:t>
      </w:r>
    </w:p>
    <w:p w14:paraId="7498850C">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项目</w:t>
      </w:r>
    </w:p>
    <w:p w14:paraId="34C5E097">
      <w:pPr>
        <w:pStyle w:val="26"/>
        <w:widowControl w:val="0"/>
        <w:autoSpaceDE w:val="0"/>
        <w:autoSpaceDN w:val="0"/>
        <w:adjustRightInd w:val="0"/>
        <w:spacing w:before="0" w:beforeAutospacing="0" w:after="0" w:afterAutospacing="0"/>
        <w:jc w:val="center"/>
        <w:rPr>
          <w:rFonts w:hint="eastAsia"/>
          <w:b/>
          <w:sz w:val="56"/>
          <w:szCs w:val="56"/>
          <w:highlight w:val="none"/>
          <w:lang w:val="zh-TW" w:eastAsia="zh-CN"/>
        </w:rPr>
      </w:pPr>
      <w:r>
        <w:rPr>
          <w:rFonts w:hint="eastAsia"/>
          <w:b/>
          <w:sz w:val="56"/>
          <w:szCs w:val="56"/>
          <w:highlight w:val="none"/>
          <w:lang w:eastAsia="zh-CN"/>
        </w:rPr>
        <w:t>（</w:t>
      </w:r>
      <w:r>
        <w:rPr>
          <w:rFonts w:hint="eastAsia"/>
          <w:b/>
          <w:sz w:val="56"/>
          <w:szCs w:val="56"/>
          <w:highlight w:val="none"/>
        </w:rPr>
        <w:t>一标</w:t>
      </w:r>
      <w:r>
        <w:rPr>
          <w:rFonts w:hint="eastAsia"/>
          <w:b/>
          <w:sz w:val="56"/>
          <w:szCs w:val="56"/>
          <w:highlight w:val="none"/>
          <w:lang w:val="zh-TW"/>
        </w:rPr>
        <w:t>包</w:t>
      </w:r>
      <w:r>
        <w:rPr>
          <w:rFonts w:hint="eastAsia"/>
          <w:b/>
          <w:sz w:val="56"/>
          <w:szCs w:val="56"/>
          <w:highlight w:val="none"/>
          <w:lang w:val="zh-TW" w:eastAsia="zh-CN"/>
        </w:rPr>
        <w:t>）</w:t>
      </w:r>
    </w:p>
    <w:p w14:paraId="170BEEBE">
      <w:pPr>
        <w:spacing w:line="360" w:lineRule="auto"/>
        <w:rPr>
          <w:highlight w:val="none"/>
          <w:lang w:eastAsia="zh-CN"/>
        </w:rPr>
      </w:pPr>
    </w:p>
    <w:p w14:paraId="3A3215C0">
      <w:pPr>
        <w:spacing w:line="360" w:lineRule="auto"/>
        <w:rPr>
          <w:highlight w:val="none"/>
          <w:lang w:eastAsia="zh-CN"/>
        </w:rPr>
      </w:pPr>
    </w:p>
    <w:p w14:paraId="5D89D191">
      <w:pPr>
        <w:pStyle w:val="38"/>
        <w:rPr>
          <w:highlight w:val="none"/>
          <w:lang w:eastAsia="zh-CN"/>
        </w:rPr>
      </w:pPr>
    </w:p>
    <w:p w14:paraId="100F42E6">
      <w:pPr>
        <w:pStyle w:val="38"/>
        <w:rPr>
          <w:highlight w:val="none"/>
          <w:lang w:eastAsia="zh-CN"/>
        </w:rPr>
      </w:pPr>
    </w:p>
    <w:p w14:paraId="3FF07A05">
      <w:pPr>
        <w:spacing w:line="360" w:lineRule="auto"/>
        <w:jc w:val="center"/>
        <w:rPr>
          <w:rFonts w:ascii="宋体" w:hAnsi="宋体"/>
          <w:b/>
          <w:sz w:val="96"/>
          <w:szCs w:val="96"/>
          <w:highlight w:val="none"/>
        </w:rPr>
      </w:pPr>
      <w:r>
        <w:rPr>
          <w:rFonts w:hint="eastAsia" w:ascii="宋体" w:hAnsi="宋体"/>
          <w:b/>
          <w:sz w:val="96"/>
          <w:szCs w:val="96"/>
          <w:highlight w:val="none"/>
        </w:rPr>
        <w:t>招标文件</w:t>
      </w:r>
    </w:p>
    <w:p w14:paraId="56DE7FA2">
      <w:pPr>
        <w:widowControl/>
        <w:spacing w:line="360" w:lineRule="auto"/>
        <w:jc w:val="center"/>
        <w:rPr>
          <w:rFonts w:hint="default" w:ascii="宋体" w:hAnsi="宋体" w:eastAsia="宋体"/>
          <w:b/>
          <w:bCs w:val="0"/>
          <w:sz w:val="24"/>
          <w:szCs w:val="22"/>
          <w:highlight w:val="none"/>
          <w:lang w:val="en-US" w:eastAsia="zh-CN"/>
        </w:rPr>
      </w:pPr>
    </w:p>
    <w:p w14:paraId="6CAC72B2">
      <w:pPr>
        <w:pStyle w:val="75"/>
        <w:spacing w:line="360" w:lineRule="auto"/>
        <w:ind w:firstLine="0" w:firstLineChars="0"/>
        <w:rPr>
          <w:rFonts w:ascii="宋体" w:hAnsi="宋体"/>
          <w:b/>
          <w:sz w:val="24"/>
          <w:highlight w:val="none"/>
        </w:rPr>
      </w:pPr>
    </w:p>
    <w:p w14:paraId="4D9B7FC5">
      <w:pPr>
        <w:adjustRightInd w:val="0"/>
        <w:snapToGrid w:val="0"/>
        <w:spacing w:line="360" w:lineRule="auto"/>
        <w:jc w:val="center"/>
        <w:rPr>
          <w:highlight w:val="none"/>
        </w:rPr>
      </w:pPr>
    </w:p>
    <w:p w14:paraId="64C13025">
      <w:pPr>
        <w:spacing w:line="360" w:lineRule="auto"/>
        <w:jc w:val="center"/>
        <w:rPr>
          <w:rFonts w:ascii="宋体" w:hAnsi="宋体" w:cs="宋体"/>
          <w:b/>
          <w:bCs/>
          <w:sz w:val="36"/>
          <w:szCs w:val="36"/>
          <w:highlight w:val="none"/>
        </w:rPr>
      </w:pPr>
      <w:r>
        <w:rPr>
          <w:color w:val="auto"/>
          <w:highlight w:val="none"/>
        </w:rPr>
        <w:drawing>
          <wp:inline distT="0" distB="0" distL="114300" distR="114300">
            <wp:extent cx="1714500" cy="1993900"/>
            <wp:effectExtent l="0" t="0" r="0" b="6350"/>
            <wp:docPr id="2" name="图片 1" descr="eda12f95e0c7ea84144ca60b85b6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da12f95e0c7ea84144ca60b85b607f"/>
                    <pic:cNvPicPr>
                      <a:picLocks noChangeAspect="1"/>
                    </pic:cNvPicPr>
                  </pic:nvPicPr>
                  <pic:blipFill>
                    <a:blip r:embed="rId9"/>
                    <a:stretch>
                      <a:fillRect/>
                    </a:stretch>
                  </pic:blipFill>
                  <pic:spPr>
                    <a:xfrm>
                      <a:off x="0" y="0"/>
                      <a:ext cx="1714500" cy="1993900"/>
                    </a:xfrm>
                    <a:prstGeom prst="rect">
                      <a:avLst/>
                    </a:prstGeom>
                    <a:noFill/>
                    <a:ln>
                      <a:noFill/>
                    </a:ln>
                  </pic:spPr>
                </pic:pic>
              </a:graphicData>
            </a:graphic>
          </wp:inline>
        </w:drawing>
      </w:r>
    </w:p>
    <w:p w14:paraId="75EFE482">
      <w:pPr>
        <w:spacing w:line="360" w:lineRule="auto"/>
        <w:rPr>
          <w:highlight w:val="none"/>
        </w:rPr>
      </w:pPr>
    </w:p>
    <w:p w14:paraId="6E399AC0">
      <w:pPr>
        <w:pStyle w:val="38"/>
        <w:rPr>
          <w:rFonts w:hint="eastAsia" w:ascii="宋体" w:hAnsi="宋体" w:eastAsia="宋体" w:cs="宋体"/>
          <w:b/>
          <w:bCs/>
          <w:sz w:val="36"/>
          <w:szCs w:val="36"/>
          <w:highlight w:val="none"/>
          <w:lang w:eastAsia="zh-CN"/>
        </w:rPr>
      </w:pPr>
    </w:p>
    <w:p w14:paraId="440CC19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lang w:eastAsia="zh-CN"/>
        </w:rPr>
        <w:t>开封市祥符区自然资源局</w:t>
      </w:r>
    </w:p>
    <w:p w14:paraId="5B6A327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采购</w:t>
      </w:r>
      <w:r>
        <w:rPr>
          <w:rFonts w:hint="eastAsia" w:ascii="宋体" w:hAnsi="宋体" w:cs="宋体"/>
          <w:b/>
          <w:bCs/>
          <w:sz w:val="32"/>
          <w:szCs w:val="32"/>
          <w:highlight w:val="none"/>
        </w:rPr>
        <w:t>代理机构：</w:t>
      </w:r>
      <w:r>
        <w:rPr>
          <w:rFonts w:hint="eastAsia" w:ascii="宋体" w:hAnsi="宋体" w:cs="宋体"/>
          <w:b/>
          <w:bCs/>
          <w:color w:val="auto"/>
          <w:sz w:val="32"/>
          <w:szCs w:val="32"/>
          <w:highlight w:val="none"/>
          <w:lang w:val="en-US" w:eastAsia="zh-CN"/>
        </w:rPr>
        <w:t>中建山河建设管理集团有限公司</w:t>
      </w:r>
    </w:p>
    <w:p w14:paraId="3E7CD751">
      <w:pPr>
        <w:pStyle w:val="20"/>
        <w:tabs>
          <w:tab w:val="right" w:leader="dot" w:pos="8844"/>
          <w:tab w:val="clear" w:pos="8834"/>
        </w:tabs>
        <w:spacing w:line="360" w:lineRule="auto"/>
        <w:rPr>
          <w:rFonts w:hint="eastAsia" w:ascii="宋体" w:hAnsi="宋体" w:cs="宋体"/>
          <w:b/>
          <w:bCs/>
          <w:sz w:val="32"/>
          <w:szCs w:val="32"/>
          <w:highlight w:val="none"/>
        </w:rPr>
        <w:sectPr>
          <w:headerReference r:id="rId3" w:type="default"/>
          <w:footerReference r:id="rId4" w:type="default"/>
          <w:pgSz w:w="11906" w:h="16838"/>
          <w:pgMar w:top="1440" w:right="1418" w:bottom="1440" w:left="1418" w:header="851" w:footer="992" w:gutter="567"/>
          <w:pgNumType w:fmt="decimal" w:start="1"/>
          <w:cols w:space="720" w:num="1"/>
          <w:docGrid w:type="lines" w:linePitch="312" w:charSpace="0"/>
        </w:sectPr>
      </w:pP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六 </w:t>
      </w:r>
      <w:r>
        <w:rPr>
          <w:rFonts w:hint="eastAsia" w:ascii="宋体" w:hAnsi="宋体" w:cs="宋体"/>
          <w:b/>
          <w:bCs/>
          <w:sz w:val="32"/>
          <w:szCs w:val="32"/>
          <w:highlight w:val="none"/>
        </w:rPr>
        <w:t>月</w:t>
      </w:r>
    </w:p>
    <w:p w14:paraId="43964827">
      <w:pPr>
        <w:rPr>
          <w:rFonts w:hint="eastAsia"/>
          <w:highlight w:val="none"/>
          <w:lang w:eastAsia="zh-CN"/>
        </w:rPr>
      </w:pPr>
      <w:r>
        <w:rPr>
          <w:rFonts w:hint="eastAsia"/>
          <w:highlight w:val="none"/>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91440</wp:posOffset>
            </wp:positionV>
            <wp:extent cx="5657215" cy="8529955"/>
            <wp:effectExtent l="0" t="0" r="635" b="4445"/>
            <wp:wrapSquare wrapText="bothSides"/>
            <wp:docPr id="1" name="图片 1" descr="93a2687d360fcea146da43e1e7c9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a2687d360fcea146da43e1e7c978b"/>
                    <pic:cNvPicPr>
                      <a:picLocks noChangeAspect="1"/>
                    </pic:cNvPicPr>
                  </pic:nvPicPr>
                  <pic:blipFill>
                    <a:blip r:embed="rId10"/>
                    <a:stretch>
                      <a:fillRect/>
                    </a:stretch>
                  </pic:blipFill>
                  <pic:spPr>
                    <a:xfrm>
                      <a:off x="0" y="0"/>
                      <a:ext cx="5657215" cy="8529955"/>
                    </a:xfrm>
                    <a:prstGeom prst="rect">
                      <a:avLst/>
                    </a:prstGeom>
                  </pic:spPr>
                </pic:pic>
              </a:graphicData>
            </a:graphic>
          </wp:anchor>
        </w:drawing>
      </w:r>
    </w:p>
    <w:p w14:paraId="793E3CD6">
      <w:pPr>
        <w:pStyle w:val="20"/>
        <w:tabs>
          <w:tab w:val="right" w:leader="dot" w:pos="8844"/>
          <w:tab w:val="clear" w:pos="8834"/>
        </w:tabs>
        <w:spacing w:line="360" w:lineRule="auto"/>
        <w:rPr>
          <w:rFonts w:ascii="宋体" w:hAnsi="宋体" w:cs="宋体"/>
          <w:b/>
          <w:sz w:val="36"/>
          <w:szCs w:val="36"/>
          <w:highlight w:val="none"/>
        </w:rPr>
      </w:pPr>
      <w:r>
        <w:rPr>
          <w:rFonts w:hint="eastAsia" w:ascii="宋体" w:hAnsi="宋体" w:cs="宋体"/>
          <w:b/>
          <w:sz w:val="36"/>
          <w:szCs w:val="36"/>
          <w:highlight w:val="none"/>
        </w:rPr>
        <w:t xml:space="preserve">目 </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录</w:t>
      </w:r>
    </w:p>
    <w:sdt>
      <w:sdtPr>
        <w:rPr>
          <w:rFonts w:ascii="宋体" w:hAnsi="宋体" w:eastAsia="宋体" w:cs="Times New Roman"/>
          <w:kern w:val="2"/>
          <w:sz w:val="21"/>
          <w:szCs w:val="24"/>
          <w:highlight w:val="none"/>
          <w:lang w:val="en-US" w:eastAsia="zh-CN" w:bidi="ar-SA"/>
        </w:rPr>
        <w:id w:val="147467395"/>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14:paraId="277743A8">
          <w:pPr>
            <w:spacing w:before="0" w:beforeLines="0" w:after="0" w:afterLines="0" w:line="240" w:lineRule="auto"/>
            <w:ind w:left="0" w:leftChars="0" w:right="0" w:rightChars="0" w:firstLine="0" w:firstLineChars="0"/>
            <w:jc w:val="center"/>
            <w:rPr>
              <w:highlight w:val="none"/>
            </w:rPr>
          </w:pPr>
        </w:p>
        <w:p w14:paraId="1866FB5B">
          <w:pPr>
            <w:pStyle w:val="129"/>
            <w:tabs>
              <w:tab w:val="right" w:leader="dot" w:pos="8503"/>
            </w:tabs>
            <w:spacing w:line="480" w:lineRule="auto"/>
            <w:rPr>
              <w:sz w:val="21"/>
              <w:szCs w:val="21"/>
              <w:highlight w:val="none"/>
            </w:rPr>
          </w:pPr>
          <w:r>
            <w:rPr>
              <w:highlight w:val="none"/>
            </w:rPr>
            <w:fldChar w:fldCharType="begin"/>
          </w:r>
          <w:r>
            <w:rPr>
              <w:highlight w:val="none"/>
            </w:rPr>
            <w:instrText xml:space="preserve">TOC \o "1-1" \h \u </w:instrText>
          </w:r>
          <w:r>
            <w:rPr>
              <w:highlight w:val="none"/>
            </w:rPr>
            <w:fldChar w:fldCharType="separate"/>
          </w:r>
          <w:r>
            <w:rPr>
              <w:sz w:val="21"/>
              <w:szCs w:val="21"/>
              <w:highlight w:val="none"/>
            </w:rPr>
            <w:fldChar w:fldCharType="begin"/>
          </w:r>
          <w:r>
            <w:rPr>
              <w:sz w:val="21"/>
              <w:szCs w:val="21"/>
              <w:highlight w:val="none"/>
            </w:rPr>
            <w:instrText xml:space="preserve"> HYPERLINK \l _Toc16119 </w:instrText>
          </w:r>
          <w:r>
            <w:rPr>
              <w:sz w:val="21"/>
              <w:szCs w:val="21"/>
              <w:highlight w:val="none"/>
            </w:rPr>
            <w:fldChar w:fldCharType="separate"/>
          </w:r>
          <w:r>
            <w:rPr>
              <w:rFonts w:hint="eastAsia" w:ascii="宋体" w:hAnsi="宋体" w:cs="宋体"/>
              <w:sz w:val="21"/>
              <w:szCs w:val="21"/>
              <w:highlight w:val="none"/>
            </w:rPr>
            <w:t>第一章</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招标公告</w:t>
          </w:r>
          <w:r>
            <w:rPr>
              <w:sz w:val="21"/>
              <w:szCs w:val="21"/>
              <w:highlight w:val="none"/>
            </w:rPr>
            <w:tab/>
          </w:r>
          <w:r>
            <w:rPr>
              <w:sz w:val="21"/>
              <w:szCs w:val="21"/>
              <w:highlight w:val="none"/>
            </w:rPr>
            <w:fldChar w:fldCharType="begin"/>
          </w:r>
          <w:r>
            <w:rPr>
              <w:sz w:val="21"/>
              <w:szCs w:val="21"/>
              <w:highlight w:val="none"/>
            </w:rPr>
            <w:instrText xml:space="preserve"> PAGEREF _Toc16119 \h </w:instrText>
          </w:r>
          <w:r>
            <w:rPr>
              <w:sz w:val="21"/>
              <w:szCs w:val="21"/>
              <w:highlight w:val="none"/>
            </w:rPr>
            <w:fldChar w:fldCharType="separate"/>
          </w:r>
          <w:r>
            <w:rPr>
              <w:sz w:val="21"/>
              <w:szCs w:val="21"/>
              <w:highlight w:val="none"/>
            </w:rPr>
            <w:t>3</w:t>
          </w:r>
          <w:r>
            <w:rPr>
              <w:sz w:val="21"/>
              <w:szCs w:val="21"/>
              <w:highlight w:val="none"/>
            </w:rPr>
            <w:fldChar w:fldCharType="end"/>
          </w:r>
          <w:r>
            <w:rPr>
              <w:sz w:val="21"/>
              <w:szCs w:val="21"/>
              <w:highlight w:val="none"/>
            </w:rPr>
            <w:fldChar w:fldCharType="end"/>
          </w:r>
        </w:p>
        <w:p w14:paraId="47016449">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_Toc1333 </w:instrText>
          </w:r>
          <w:r>
            <w:rPr>
              <w:sz w:val="21"/>
              <w:szCs w:val="21"/>
              <w:highlight w:val="none"/>
            </w:rPr>
            <w:fldChar w:fldCharType="separate"/>
          </w:r>
          <w:r>
            <w:rPr>
              <w:rFonts w:hint="eastAsia" w:ascii="宋体" w:hAnsi="宋体" w:cs="宋体"/>
              <w:sz w:val="21"/>
              <w:szCs w:val="21"/>
              <w:highlight w:val="none"/>
            </w:rPr>
            <w:t xml:space="preserve">第二章 </w:t>
          </w:r>
          <w:r>
            <w:rPr>
              <w:rFonts w:hint="eastAsia" w:ascii="宋体" w:hAnsi="宋体" w:cs="宋体"/>
              <w:sz w:val="21"/>
              <w:szCs w:val="21"/>
              <w:highlight w:val="none"/>
              <w:lang w:eastAsia="zh-CN"/>
            </w:rPr>
            <w:t>投标人</w:t>
          </w:r>
          <w:r>
            <w:rPr>
              <w:rFonts w:hint="eastAsia" w:ascii="宋体" w:hAnsi="宋体" w:cs="宋体"/>
              <w:sz w:val="21"/>
              <w:szCs w:val="21"/>
              <w:highlight w:val="none"/>
            </w:rPr>
            <w:t>须知</w:t>
          </w:r>
          <w:r>
            <w:rPr>
              <w:sz w:val="21"/>
              <w:szCs w:val="21"/>
              <w:highlight w:val="none"/>
            </w:rPr>
            <w:tab/>
          </w:r>
          <w:r>
            <w:rPr>
              <w:sz w:val="21"/>
              <w:szCs w:val="21"/>
              <w:highlight w:val="none"/>
            </w:rPr>
            <w:fldChar w:fldCharType="begin"/>
          </w:r>
          <w:r>
            <w:rPr>
              <w:sz w:val="21"/>
              <w:szCs w:val="21"/>
              <w:highlight w:val="none"/>
            </w:rPr>
            <w:instrText xml:space="preserve"> PAGEREF _Toc1333 \h </w:instrText>
          </w:r>
          <w:r>
            <w:rPr>
              <w:sz w:val="21"/>
              <w:szCs w:val="21"/>
              <w:highlight w:val="none"/>
            </w:rPr>
            <w:fldChar w:fldCharType="separate"/>
          </w:r>
          <w:r>
            <w:rPr>
              <w:sz w:val="21"/>
              <w:szCs w:val="21"/>
              <w:highlight w:val="none"/>
            </w:rPr>
            <w:t>7</w:t>
          </w:r>
          <w:r>
            <w:rPr>
              <w:sz w:val="21"/>
              <w:szCs w:val="21"/>
              <w:highlight w:val="none"/>
            </w:rPr>
            <w:fldChar w:fldCharType="end"/>
          </w:r>
          <w:r>
            <w:rPr>
              <w:sz w:val="21"/>
              <w:szCs w:val="21"/>
              <w:highlight w:val="none"/>
            </w:rPr>
            <w:fldChar w:fldCharType="end"/>
          </w:r>
        </w:p>
        <w:p w14:paraId="01AF62F1">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_Toc12488 </w:instrText>
          </w:r>
          <w:r>
            <w:rPr>
              <w:sz w:val="21"/>
              <w:szCs w:val="21"/>
              <w:highlight w:val="none"/>
            </w:rPr>
            <w:fldChar w:fldCharType="separate"/>
          </w:r>
          <w:r>
            <w:rPr>
              <w:rFonts w:hint="eastAsia" w:ascii="宋体" w:hAnsi="宋体" w:cs="宋体"/>
              <w:bCs/>
              <w:sz w:val="21"/>
              <w:szCs w:val="21"/>
              <w:highlight w:val="none"/>
            </w:rPr>
            <w:t>第三章 评标办法</w:t>
          </w:r>
          <w:r>
            <w:rPr>
              <w:sz w:val="21"/>
              <w:szCs w:val="21"/>
              <w:highlight w:val="none"/>
            </w:rPr>
            <w:tab/>
          </w:r>
          <w:r>
            <w:rPr>
              <w:sz w:val="21"/>
              <w:szCs w:val="21"/>
              <w:highlight w:val="none"/>
            </w:rPr>
            <w:fldChar w:fldCharType="begin"/>
          </w:r>
          <w:r>
            <w:rPr>
              <w:sz w:val="21"/>
              <w:szCs w:val="21"/>
              <w:highlight w:val="none"/>
            </w:rPr>
            <w:instrText xml:space="preserve"> PAGEREF _Toc12488 \h </w:instrText>
          </w:r>
          <w:r>
            <w:rPr>
              <w:sz w:val="21"/>
              <w:szCs w:val="21"/>
              <w:highlight w:val="none"/>
            </w:rPr>
            <w:fldChar w:fldCharType="separate"/>
          </w:r>
          <w:r>
            <w:rPr>
              <w:sz w:val="21"/>
              <w:szCs w:val="21"/>
              <w:highlight w:val="none"/>
            </w:rPr>
            <w:t>26</w:t>
          </w:r>
          <w:r>
            <w:rPr>
              <w:sz w:val="21"/>
              <w:szCs w:val="21"/>
              <w:highlight w:val="none"/>
            </w:rPr>
            <w:fldChar w:fldCharType="end"/>
          </w:r>
          <w:r>
            <w:rPr>
              <w:sz w:val="21"/>
              <w:szCs w:val="21"/>
              <w:highlight w:val="none"/>
            </w:rPr>
            <w:fldChar w:fldCharType="end"/>
          </w:r>
        </w:p>
        <w:p w14:paraId="7A4807D2">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_Toc16026 </w:instrText>
          </w:r>
          <w:r>
            <w:rPr>
              <w:sz w:val="21"/>
              <w:szCs w:val="21"/>
              <w:highlight w:val="none"/>
            </w:rPr>
            <w:fldChar w:fldCharType="separate"/>
          </w:r>
          <w:r>
            <w:rPr>
              <w:rFonts w:hint="eastAsia" w:ascii="宋体" w:hAnsi="宋体" w:cs="宋体"/>
              <w:sz w:val="21"/>
              <w:szCs w:val="21"/>
              <w:highlight w:val="none"/>
            </w:rPr>
            <w:t xml:space="preserve">第四章 </w:t>
          </w:r>
          <w:r>
            <w:rPr>
              <w:rFonts w:hint="eastAsia" w:ascii="宋体" w:hAnsi="宋体" w:cs="宋体"/>
              <w:bCs w:val="0"/>
              <w:sz w:val="21"/>
              <w:szCs w:val="21"/>
              <w:highlight w:val="none"/>
            </w:rPr>
            <w:t xml:space="preserve"> 政府采购合同(样本)</w:t>
          </w:r>
          <w:r>
            <w:rPr>
              <w:sz w:val="21"/>
              <w:szCs w:val="21"/>
              <w:highlight w:val="none"/>
            </w:rPr>
            <w:tab/>
          </w:r>
          <w:r>
            <w:rPr>
              <w:sz w:val="21"/>
              <w:szCs w:val="21"/>
              <w:highlight w:val="none"/>
            </w:rPr>
            <w:fldChar w:fldCharType="begin"/>
          </w:r>
          <w:r>
            <w:rPr>
              <w:sz w:val="21"/>
              <w:szCs w:val="21"/>
              <w:highlight w:val="none"/>
            </w:rPr>
            <w:instrText xml:space="preserve"> PAGEREF _Toc16026 \h </w:instrText>
          </w:r>
          <w:r>
            <w:rPr>
              <w:sz w:val="21"/>
              <w:szCs w:val="21"/>
              <w:highlight w:val="none"/>
            </w:rPr>
            <w:fldChar w:fldCharType="separate"/>
          </w:r>
          <w:r>
            <w:rPr>
              <w:sz w:val="21"/>
              <w:szCs w:val="21"/>
              <w:highlight w:val="none"/>
            </w:rPr>
            <w:t>30</w:t>
          </w:r>
          <w:r>
            <w:rPr>
              <w:sz w:val="21"/>
              <w:szCs w:val="21"/>
              <w:highlight w:val="none"/>
            </w:rPr>
            <w:fldChar w:fldCharType="end"/>
          </w:r>
          <w:r>
            <w:rPr>
              <w:sz w:val="21"/>
              <w:szCs w:val="21"/>
              <w:highlight w:val="none"/>
            </w:rPr>
            <w:fldChar w:fldCharType="end"/>
          </w:r>
        </w:p>
        <w:p w14:paraId="0F51F3C5">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_Toc307 </w:instrText>
          </w:r>
          <w:r>
            <w:rPr>
              <w:sz w:val="21"/>
              <w:szCs w:val="21"/>
              <w:highlight w:val="none"/>
            </w:rPr>
            <w:fldChar w:fldCharType="separate"/>
          </w:r>
          <w:r>
            <w:rPr>
              <w:rFonts w:ascii="宋体" w:hAnsi="宋体" w:cs="宋体"/>
              <w:bCs w:val="0"/>
              <w:sz w:val="21"/>
              <w:szCs w:val="21"/>
              <w:highlight w:val="none"/>
            </w:rPr>
            <w:t xml:space="preserve">第五章 </w:t>
          </w:r>
          <w:r>
            <w:rPr>
              <w:rFonts w:hint="eastAsia" w:cs="Times New Roman"/>
              <w:sz w:val="21"/>
              <w:szCs w:val="21"/>
              <w:highlight w:val="none"/>
            </w:rPr>
            <w:t>服务内容及要求</w:t>
          </w:r>
          <w:r>
            <w:rPr>
              <w:sz w:val="21"/>
              <w:szCs w:val="21"/>
              <w:highlight w:val="none"/>
            </w:rPr>
            <w:tab/>
          </w:r>
          <w:r>
            <w:rPr>
              <w:sz w:val="21"/>
              <w:szCs w:val="21"/>
              <w:highlight w:val="none"/>
            </w:rPr>
            <w:fldChar w:fldCharType="begin"/>
          </w:r>
          <w:r>
            <w:rPr>
              <w:sz w:val="21"/>
              <w:szCs w:val="21"/>
              <w:highlight w:val="none"/>
            </w:rPr>
            <w:instrText xml:space="preserve"> PAGEREF _Toc307 \h </w:instrText>
          </w:r>
          <w:r>
            <w:rPr>
              <w:sz w:val="21"/>
              <w:szCs w:val="21"/>
              <w:highlight w:val="none"/>
            </w:rPr>
            <w:fldChar w:fldCharType="separate"/>
          </w:r>
          <w:r>
            <w:rPr>
              <w:sz w:val="21"/>
              <w:szCs w:val="21"/>
              <w:highlight w:val="none"/>
            </w:rPr>
            <w:t>37</w:t>
          </w:r>
          <w:r>
            <w:rPr>
              <w:sz w:val="21"/>
              <w:szCs w:val="21"/>
              <w:highlight w:val="none"/>
            </w:rPr>
            <w:fldChar w:fldCharType="end"/>
          </w:r>
          <w:r>
            <w:rPr>
              <w:sz w:val="21"/>
              <w:szCs w:val="21"/>
              <w:highlight w:val="none"/>
            </w:rPr>
            <w:fldChar w:fldCharType="end"/>
          </w:r>
        </w:p>
        <w:p w14:paraId="555A9B1E">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_Toc23600 </w:instrText>
          </w:r>
          <w:r>
            <w:rPr>
              <w:sz w:val="21"/>
              <w:szCs w:val="21"/>
              <w:highlight w:val="none"/>
            </w:rPr>
            <w:fldChar w:fldCharType="separate"/>
          </w:r>
          <w:r>
            <w:rPr>
              <w:rFonts w:hint="eastAsia"/>
              <w:sz w:val="21"/>
              <w:szCs w:val="21"/>
              <w:highlight w:val="none"/>
            </w:rPr>
            <w:t>第六章</w:t>
          </w:r>
          <w:r>
            <w:rPr>
              <w:rFonts w:hint="eastAsia"/>
              <w:sz w:val="21"/>
              <w:szCs w:val="21"/>
              <w:highlight w:val="none"/>
              <w:lang w:val="en-US" w:eastAsia="zh-CN"/>
            </w:rPr>
            <w:t xml:space="preserve"> </w:t>
          </w:r>
          <w:r>
            <w:rPr>
              <w:rFonts w:hint="eastAsia"/>
              <w:sz w:val="21"/>
              <w:szCs w:val="21"/>
              <w:highlight w:val="none"/>
            </w:rPr>
            <w:t>投标文件格式</w:t>
          </w:r>
          <w:r>
            <w:rPr>
              <w:sz w:val="21"/>
              <w:szCs w:val="21"/>
              <w:highlight w:val="none"/>
            </w:rPr>
            <w:tab/>
          </w:r>
          <w:r>
            <w:rPr>
              <w:sz w:val="21"/>
              <w:szCs w:val="21"/>
              <w:highlight w:val="none"/>
            </w:rPr>
            <w:fldChar w:fldCharType="begin"/>
          </w:r>
          <w:r>
            <w:rPr>
              <w:sz w:val="21"/>
              <w:szCs w:val="21"/>
              <w:highlight w:val="none"/>
            </w:rPr>
            <w:instrText xml:space="preserve"> PAGEREF _Toc23600 \h </w:instrText>
          </w:r>
          <w:r>
            <w:rPr>
              <w:sz w:val="21"/>
              <w:szCs w:val="21"/>
              <w:highlight w:val="none"/>
            </w:rPr>
            <w:fldChar w:fldCharType="separate"/>
          </w:r>
          <w:r>
            <w:rPr>
              <w:sz w:val="21"/>
              <w:szCs w:val="21"/>
              <w:highlight w:val="none"/>
            </w:rPr>
            <w:t>3</w:t>
          </w:r>
          <w:r>
            <w:rPr>
              <w:rFonts w:hint="eastAsia"/>
              <w:sz w:val="21"/>
              <w:szCs w:val="21"/>
              <w:highlight w:val="none"/>
              <w:lang w:val="en-US" w:eastAsia="zh-CN"/>
            </w:rPr>
            <w:t>8</w:t>
          </w:r>
          <w:r>
            <w:rPr>
              <w:sz w:val="21"/>
              <w:szCs w:val="21"/>
              <w:highlight w:val="none"/>
            </w:rPr>
            <w:fldChar w:fldCharType="end"/>
          </w:r>
          <w:r>
            <w:rPr>
              <w:sz w:val="21"/>
              <w:szCs w:val="21"/>
              <w:highlight w:val="none"/>
            </w:rPr>
            <w:fldChar w:fldCharType="end"/>
          </w:r>
        </w:p>
        <w:p w14:paraId="48CA0BFC">
          <w:pPr>
            <w:pStyle w:val="129"/>
            <w:tabs>
              <w:tab w:val="right" w:leader="dot" w:pos="8503"/>
            </w:tabs>
            <w:spacing w:line="480" w:lineRule="auto"/>
            <w:rPr>
              <w:highlight w:val="none"/>
            </w:rPr>
          </w:pPr>
        </w:p>
        <w:p w14:paraId="07FA0C9C">
          <w:pPr>
            <w:spacing w:line="480" w:lineRule="auto"/>
            <w:rPr>
              <w:highlight w:val="none"/>
            </w:rPr>
          </w:pPr>
          <w:r>
            <w:rPr>
              <w:highlight w:val="none"/>
            </w:rPr>
            <w:fldChar w:fldCharType="end"/>
          </w:r>
        </w:p>
      </w:sdtContent>
    </w:sdt>
    <w:p w14:paraId="55B23AFF">
      <w:pPr>
        <w:widowControl/>
        <w:spacing w:line="360" w:lineRule="auto"/>
        <w:jc w:val="left"/>
        <w:rPr>
          <w:rFonts w:ascii="宋体" w:hAnsi="宋体" w:cs="宋体"/>
          <w:b/>
          <w:bCs/>
          <w:kern w:val="44"/>
          <w:sz w:val="44"/>
          <w:szCs w:val="44"/>
          <w:highlight w:val="none"/>
        </w:rPr>
      </w:pPr>
      <w:r>
        <w:rPr>
          <w:rFonts w:ascii="宋体" w:hAnsi="宋体" w:cs="宋体"/>
          <w:highlight w:val="none"/>
        </w:rPr>
        <w:br w:type="page"/>
      </w:r>
    </w:p>
    <w:p w14:paraId="06672364">
      <w:pPr>
        <w:pStyle w:val="2"/>
        <w:spacing w:line="360" w:lineRule="auto"/>
        <w:ind w:left="0" w:firstLine="0"/>
        <w:rPr>
          <w:rFonts w:hint="eastAsia" w:ascii="宋体" w:hAnsi="宋体" w:cs="宋体"/>
          <w:highlight w:val="none"/>
        </w:rPr>
      </w:pPr>
      <w:bookmarkStart w:id="0" w:name="_Toc12365"/>
      <w:bookmarkStart w:id="1" w:name="_Toc3990"/>
      <w:bookmarkStart w:id="2" w:name="_Toc16119"/>
      <w:r>
        <w:rPr>
          <w:rFonts w:hint="eastAsia" w:ascii="宋体" w:hAnsi="宋体" w:cs="宋体"/>
          <w:highlight w:val="none"/>
        </w:rPr>
        <w:t>第一章招标公告</w:t>
      </w:r>
      <w:bookmarkEnd w:id="0"/>
      <w:bookmarkEnd w:id="1"/>
      <w:bookmarkEnd w:id="2"/>
    </w:p>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w:t>
      </w:r>
      <w:r>
        <w:rPr>
          <w:rFonts w:hint="eastAsia" w:ascii="宋体" w:hAnsi="宋体" w:eastAsia="宋体" w:cs="Times New Roman"/>
          <w:b/>
          <w:sz w:val="24"/>
          <w:szCs w:val="24"/>
          <w:highlight w:val="none"/>
        </w:rPr>
        <w:t>一标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153"/>
        <w:spacing w:line="360" w:lineRule="auto"/>
        <w:rPr>
          <w:rFonts w:ascii="宋体" w:hAnsi="宋体"/>
          <w:bCs/>
          <w:highlight w:val="none"/>
        </w:rPr>
      </w:pPr>
    </w:p>
    <w:p w14:paraId="362C54B7">
      <w:pPr>
        <w:pStyle w:val="153"/>
        <w:spacing w:line="360" w:lineRule="auto"/>
        <w:rPr>
          <w:rFonts w:hint="default" w:ascii="宋体" w:hAnsi="宋体"/>
          <w:bCs/>
          <w:highlight w:val="none"/>
        </w:rPr>
      </w:pPr>
      <w:r>
        <w:rPr>
          <w:rFonts w:ascii="宋体" w:hAnsi="宋体"/>
          <w:bCs/>
          <w:highlight w:val="none"/>
        </w:rPr>
        <w:t>项目概况</w:t>
      </w:r>
    </w:p>
    <w:p w14:paraId="7517BE66">
      <w:pPr>
        <w:pStyle w:val="153"/>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3" w:name="_Toc20212"/>
      <w:bookmarkStart w:id="4" w:name="_Toc20641"/>
      <w:bookmarkStart w:id="5" w:name="_Toc32717"/>
      <w:bookmarkStart w:id="6" w:name="_Toc31216"/>
      <w:bookmarkStart w:id="7" w:name="_Toc31524"/>
      <w:bookmarkStart w:id="8" w:name="_Toc30589"/>
      <w:bookmarkStart w:id="9" w:name="_Toc6778"/>
      <w:bookmarkStart w:id="10" w:name="_Toc26958"/>
    </w:p>
    <w:p w14:paraId="7356FE01">
      <w:pPr>
        <w:pStyle w:val="153"/>
        <w:spacing w:line="360" w:lineRule="auto"/>
        <w:rPr>
          <w:rFonts w:ascii="宋体" w:hAnsi="宋体"/>
          <w:sz w:val="21"/>
          <w:szCs w:val="21"/>
          <w:highlight w:val="none"/>
        </w:rPr>
      </w:pPr>
      <w:r>
        <w:rPr>
          <w:rFonts w:hint="eastAsia" w:ascii="宋体" w:hAnsi="宋体"/>
          <w:b/>
          <w:sz w:val="21"/>
          <w:szCs w:val="21"/>
          <w:highlight w:val="none"/>
        </w:rPr>
        <w:t>一、项目基本情况</w:t>
      </w:r>
      <w:bookmarkEnd w:id="3"/>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bookmarkStart w:id="752" w:name="_GoBack"/>
      <w:bookmarkEnd w:id="752"/>
    </w:p>
    <w:p w14:paraId="000274E0">
      <w:pPr>
        <w:spacing w:line="240" w:lineRule="auto"/>
        <w:ind w:firstLine="420" w:firstLineChars="200"/>
        <w:rPr>
          <w:rFonts w:ascii="宋体" w:hAnsi="宋体"/>
          <w:sz w:val="21"/>
          <w:szCs w:val="21"/>
          <w:highlight w:val="none"/>
        </w:rPr>
      </w:pPr>
      <w:r>
        <w:rPr>
          <w:rFonts w:hint="eastAsia" w:ascii="宋体" w:hAnsi="宋体"/>
          <w:sz w:val="21"/>
          <w:szCs w:val="21"/>
          <w:highlight w:val="none"/>
        </w:rPr>
        <w:t>4、预算金额：</w:t>
      </w:r>
      <w:r>
        <w:rPr>
          <w:rFonts w:hint="eastAsia" w:ascii="宋体" w:hAnsi="宋体" w:cs="宋体"/>
          <w:szCs w:val="21"/>
          <w:highlight w:val="none"/>
          <w:lang w:val="en-US" w:eastAsia="zh-CN"/>
        </w:rPr>
        <w:t>1600000</w:t>
      </w:r>
      <w:r>
        <w:rPr>
          <w:rFonts w:hint="eastAsia" w:ascii="宋体" w:hAnsi="宋体" w:eastAsia="宋体" w:cs="宋体"/>
          <w:szCs w:val="21"/>
          <w:highlight w:val="none"/>
          <w:lang w:val="en-US" w:eastAsia="zh-CN"/>
        </w:rPr>
        <w:t xml:space="preserve">元             </w:t>
      </w:r>
    </w:p>
    <w:p w14:paraId="4C5C9257">
      <w:pPr>
        <w:spacing w:line="240" w:lineRule="auto"/>
        <w:ind w:firstLine="840" w:firstLineChars="400"/>
        <w:rPr>
          <w:rFonts w:ascii="宋体" w:hAnsi="宋体"/>
          <w:sz w:val="21"/>
          <w:szCs w:val="21"/>
          <w:highlight w:val="none"/>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80000元/街坊</w:t>
      </w:r>
    </w:p>
    <w:tbl>
      <w:tblPr>
        <w:tblStyle w:val="30"/>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131B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6F75CA06">
            <w:pPr>
              <w:spacing w:line="360" w:lineRule="auto"/>
              <w:jc w:val="center"/>
              <w:rPr>
                <w:sz w:val="21"/>
                <w:szCs w:val="21"/>
                <w:highlight w:val="none"/>
                <w:lang w:eastAsia="zh-CN"/>
              </w:rPr>
            </w:pPr>
            <w:r>
              <w:rPr>
                <w:rFonts w:hint="eastAsia" w:ascii="宋体" w:hAnsi="宋体" w:cs="宋体"/>
                <w:sz w:val="20"/>
                <w:szCs w:val="22"/>
                <w:highlight w:val="none"/>
              </w:rPr>
              <w:t>1</w:t>
            </w:r>
          </w:p>
        </w:tc>
        <w:tc>
          <w:tcPr>
            <w:tcW w:w="1335" w:type="dxa"/>
            <w:vAlign w:val="center"/>
          </w:tcPr>
          <w:p w14:paraId="1F0F6697">
            <w:pPr>
              <w:spacing w:line="360" w:lineRule="auto"/>
              <w:jc w:val="center"/>
              <w:rPr>
                <w:sz w:val="21"/>
                <w:szCs w:val="21"/>
                <w:highlight w:val="none"/>
                <w:lang w:eastAsia="zh-CN"/>
              </w:rPr>
            </w:pPr>
            <w:r>
              <w:rPr>
                <w:rFonts w:hint="eastAsia" w:ascii="宋体" w:hAnsi="宋体" w:eastAsia="宋体" w:cs="宋体"/>
                <w:szCs w:val="21"/>
                <w:highlight w:val="none"/>
                <w:lang w:val="en-US" w:eastAsia="zh-CN"/>
              </w:rPr>
              <w:t>一标包</w:t>
            </w:r>
          </w:p>
        </w:tc>
        <w:tc>
          <w:tcPr>
            <w:tcW w:w="3981" w:type="dxa"/>
            <w:vAlign w:val="center"/>
          </w:tcPr>
          <w:p w14:paraId="1D1F7DC0">
            <w:pPr>
              <w:spacing w:line="240" w:lineRule="auto"/>
              <w:jc w:val="center"/>
              <w:rPr>
                <w:w w:val="90"/>
                <w:sz w:val="21"/>
                <w:szCs w:val="21"/>
                <w:highlight w:val="none"/>
                <w:lang w:val="en-US" w:eastAsia="zh-CN"/>
              </w:rPr>
            </w:pPr>
            <w:r>
              <w:rPr>
                <w:rFonts w:hint="eastAsia" w:ascii="宋体" w:hAnsi="宋体" w:eastAsia="宋体" w:cs="Times New Roman"/>
                <w:szCs w:val="21"/>
                <w:highlight w:val="none"/>
                <w:lang w:val="en-US" w:eastAsia="zh-CN"/>
              </w:rPr>
              <w:t>已编制单元控规的中心城区开发边界内街坊控制性详细规划</w:t>
            </w:r>
          </w:p>
        </w:tc>
        <w:tc>
          <w:tcPr>
            <w:tcW w:w="1359" w:type="dxa"/>
            <w:vAlign w:val="center"/>
          </w:tcPr>
          <w:p w14:paraId="132E10D9">
            <w:pPr>
              <w:spacing w:line="240" w:lineRule="auto"/>
              <w:jc w:val="center"/>
              <w:rPr>
                <w:sz w:val="21"/>
                <w:szCs w:val="21"/>
                <w:highlight w:val="none"/>
                <w:lang w:val="en-US" w:eastAsia="zh-CN"/>
              </w:rPr>
            </w:pPr>
            <w:r>
              <w:rPr>
                <w:rFonts w:hint="eastAsia" w:ascii="宋体" w:hAnsi="宋体" w:cs="宋体"/>
                <w:szCs w:val="21"/>
                <w:highlight w:val="none"/>
                <w:lang w:val="en-US" w:eastAsia="zh-CN"/>
              </w:rPr>
              <w:t>1600000</w:t>
            </w:r>
            <w:r>
              <w:rPr>
                <w:rFonts w:hint="eastAsia"/>
                <w:sz w:val="21"/>
                <w:szCs w:val="21"/>
                <w:highlight w:val="none"/>
                <w:lang w:eastAsia="zh-CN"/>
              </w:rPr>
              <w:t>元</w:t>
            </w:r>
          </w:p>
        </w:tc>
        <w:tc>
          <w:tcPr>
            <w:tcW w:w="1777" w:type="dxa"/>
            <w:vAlign w:val="center"/>
          </w:tcPr>
          <w:p w14:paraId="565DCE32">
            <w:pPr>
              <w:spacing w:line="360" w:lineRule="auto"/>
              <w:jc w:val="center"/>
              <w:rPr>
                <w:sz w:val="21"/>
                <w:szCs w:val="21"/>
                <w:highlight w:val="none"/>
                <w:lang w:eastAsia="zh-CN"/>
              </w:rPr>
            </w:pPr>
            <w:r>
              <w:rPr>
                <w:rFonts w:hint="eastAsia" w:ascii="宋体" w:hAnsi="宋体" w:eastAsia="宋体" w:cs="宋体"/>
                <w:szCs w:val="21"/>
                <w:highlight w:val="none"/>
                <w:lang w:val="en-US" w:eastAsia="zh-CN"/>
              </w:rPr>
              <w:t>80000元/街坊</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0F3AFE60">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11" w:name="_Toc31189"/>
      <w:r>
        <w:rPr>
          <w:rFonts w:hint="eastAsia" w:ascii="宋体" w:hAnsi="宋体" w:eastAsia="宋体" w:cs="宋体"/>
          <w:b w:val="0"/>
          <w:bCs w:val="0"/>
          <w:sz w:val="21"/>
          <w:szCs w:val="21"/>
          <w:highlight w:val="none"/>
        </w:rPr>
        <w:t>5.1、服务内容：一标包：已编制单元控规的中心城区开发边界内街坊控制性详细规划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403C6BC4">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0903E24B">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54D798DE">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2B8DE1F5">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7B09D75C">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一标包：已编制单元控规的中心城区开发边界内街坊控制性详细规划</w:t>
      </w:r>
    </w:p>
    <w:p w14:paraId="17F57445">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pStyle w:val="4"/>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4"/>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4"/>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11"/>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12"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38"/>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12"/>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3" w:name="_Toc7482"/>
      <w:r>
        <w:rPr>
          <w:rFonts w:hint="eastAsia" w:ascii="宋体" w:hAnsi="宋体"/>
          <w:kern w:val="0"/>
          <w:highlight w:val="none"/>
          <w:shd w:val="clear" w:color="auto" w:fill="FFFFFF"/>
        </w:rPr>
        <w:t>1、 时间：</w:t>
      </w:r>
      <w:r>
        <w:rPr>
          <w:rFonts w:hint="eastAsia" w:ascii="宋体" w:hAnsi="宋体"/>
          <w:kern w:val="0"/>
          <w:highlight w:val="none"/>
          <w:shd w:val="clear" w:color="auto" w:fill="FFFFFF"/>
        </w:rPr>
        <w:t>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w:t>
      </w:r>
      <w:r>
        <w:rPr>
          <w:rFonts w:hint="eastAsia" w:ascii="宋体" w:hAnsi="宋体"/>
          <w:kern w:val="0"/>
          <w:highlight w:val="none"/>
          <w:shd w:val="clear" w:color="auto" w:fill="FFFFFF"/>
        </w:rPr>
        <w:t>，每天上午9:00至12:00，下午12:00至17:00。（北京时间，法定节假日除外）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3"/>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w:t>
      </w:r>
      <w:r>
        <w:rPr>
          <w:rFonts w:hint="eastAsia" w:ascii="宋体" w:hAnsi="宋体"/>
          <w:b w:val="0"/>
          <w:bCs/>
          <w:color w:val="auto"/>
          <w:sz w:val="21"/>
          <w:szCs w:val="21"/>
          <w:highlight w:val="none"/>
        </w:rPr>
        <w:t>（北京时间）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4" w:name="_Toc29231"/>
      <w:r>
        <w:rPr>
          <w:rFonts w:hint="eastAsia" w:ascii="宋体" w:hAnsi="宋体"/>
          <w:b/>
          <w:sz w:val="21"/>
          <w:szCs w:val="21"/>
          <w:highlight w:val="none"/>
        </w:rPr>
        <w:t>五、开标时间及地点</w:t>
      </w:r>
      <w:bookmarkEnd w:id="14"/>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 xml:space="preserve"> 7 </w:t>
      </w:r>
      <w:r>
        <w:rPr>
          <w:rFonts w:ascii="宋体" w:hAnsi="宋体"/>
          <w:bCs/>
          <w:highlight w:val="none"/>
        </w:rPr>
        <w:t>月</w:t>
      </w:r>
      <w:r>
        <w:rPr>
          <w:rFonts w:hint="eastAsia" w:ascii="宋体" w:hAnsi="宋体"/>
          <w:bCs/>
          <w:highlight w:val="none"/>
          <w:lang w:val="en-US" w:eastAsia="zh-CN"/>
        </w:rPr>
        <w:t>15</w:t>
      </w:r>
      <w:r>
        <w:rPr>
          <w:rFonts w:ascii="宋体" w:hAnsi="宋体"/>
          <w:bCs/>
          <w:highlight w:val="none"/>
        </w:rPr>
        <w:t>日</w:t>
      </w:r>
      <w:r>
        <w:rPr>
          <w:rFonts w:hint="eastAsia" w:ascii="宋体" w:hAnsi="宋体"/>
          <w:b w:val="0"/>
          <w:bCs/>
          <w:color w:val="auto"/>
          <w:sz w:val="21"/>
          <w:szCs w:val="21"/>
          <w:highlight w:val="none"/>
        </w:rPr>
        <w:t>09时30分</w:t>
      </w:r>
      <w:r>
        <w:rPr>
          <w:rFonts w:hint="eastAsia" w:ascii="宋体" w:hAnsi="宋体"/>
          <w:b w:val="0"/>
          <w:bCs/>
          <w:color w:val="auto"/>
          <w:sz w:val="21"/>
          <w:szCs w:val="21"/>
          <w:highlight w:val="none"/>
        </w:rPr>
        <w:t>（北京时间）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5" w:name="_Toc31218"/>
      <w:r>
        <w:rPr>
          <w:rFonts w:hint="eastAsia" w:ascii="宋体" w:hAnsi="宋体"/>
          <w:b/>
          <w:sz w:val="21"/>
          <w:szCs w:val="21"/>
          <w:highlight w:val="none"/>
        </w:rPr>
        <w:t>六、发布公告的媒介及招标公告的期限</w:t>
      </w:r>
      <w:bookmarkEnd w:id="15"/>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6" w:name="_Toc15538"/>
      <w:r>
        <w:rPr>
          <w:rFonts w:hint="eastAsia" w:ascii="宋体" w:hAnsi="宋体"/>
          <w:b/>
          <w:sz w:val="21"/>
          <w:szCs w:val="21"/>
          <w:highlight w:val="none"/>
        </w:rPr>
        <w:t>其他补充事宜</w:t>
      </w:r>
      <w:bookmarkEnd w:id="16"/>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7" w:name="_Toc23689"/>
      <w:r>
        <w:rPr>
          <w:rFonts w:hint="eastAsia" w:ascii="宋体" w:hAnsi="宋体"/>
          <w:b/>
          <w:sz w:val="21"/>
          <w:szCs w:val="21"/>
          <w:highlight w:val="none"/>
        </w:rPr>
        <w:t>凡对本次招标提出询问，请按照以下方式联系</w:t>
      </w:r>
      <w:bookmarkEnd w:id="17"/>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联系电话：16637865003</w:t>
      </w:r>
      <w:bookmarkEnd w:id="4"/>
      <w:bookmarkEnd w:id="5"/>
      <w:bookmarkEnd w:id="6"/>
      <w:bookmarkEnd w:id="7"/>
      <w:bookmarkEnd w:id="8"/>
      <w:bookmarkEnd w:id="9"/>
      <w:bookmarkEnd w:id="10"/>
      <w:bookmarkStart w:id="18" w:name="_Toc20674"/>
      <w:bookmarkStart w:id="19" w:name="_Toc29617"/>
    </w:p>
    <w:p w14:paraId="00869CA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325DBD52">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3A9A617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2AC13B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76518288">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2D1D879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216A7363">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p>
    <w:p w14:paraId="0E6A49E2">
      <w:pPr>
        <w:pStyle w:val="4"/>
        <w:numPr>
          <w:ilvl w:val="0"/>
          <w:numId w:val="2"/>
        </w:numPr>
        <w:spacing w:line="240" w:lineRule="auto"/>
        <w:jc w:val="center"/>
        <w:rPr>
          <w:rFonts w:hint="eastAsia" w:ascii="宋体" w:hAnsi="宋体" w:cs="宋体"/>
          <w:sz w:val="44"/>
          <w:szCs w:val="44"/>
          <w:highlight w:val="none"/>
        </w:rPr>
      </w:pPr>
      <w:bookmarkStart w:id="20" w:name="_Toc8768"/>
      <w:bookmarkStart w:id="21" w:name="_Toc20195"/>
      <w:bookmarkStart w:id="22" w:name="_Toc7464"/>
      <w:bookmarkStart w:id="23" w:name="_Toc36128426"/>
      <w:r>
        <w:rPr>
          <w:rFonts w:hint="eastAsia" w:ascii="宋体" w:hAnsi="宋体" w:cs="宋体"/>
          <w:sz w:val="44"/>
          <w:szCs w:val="44"/>
          <w:highlight w:val="none"/>
          <w:lang w:eastAsia="zh-CN"/>
        </w:rPr>
        <w:t>投标人</w:t>
      </w:r>
      <w:r>
        <w:rPr>
          <w:rFonts w:hint="eastAsia" w:ascii="宋体" w:hAnsi="宋体" w:cs="宋体"/>
          <w:sz w:val="44"/>
          <w:szCs w:val="44"/>
          <w:highlight w:val="none"/>
        </w:rPr>
        <w:t>须知</w:t>
      </w:r>
    </w:p>
    <w:p w14:paraId="46EC378B">
      <w:pPr>
        <w:pStyle w:val="4"/>
        <w:numPr>
          <w:ilvl w:val="0"/>
          <w:numId w:val="0"/>
        </w:numPr>
        <w:spacing w:line="240" w:lineRule="auto"/>
        <w:jc w:val="center"/>
        <w:rPr>
          <w:rFonts w:hint="eastAsia" w:ascii="宋体" w:hAnsi="宋体" w:cs="宋体"/>
          <w:b w:val="0"/>
          <w:bCs w:val="0"/>
          <w:sz w:val="21"/>
          <w:szCs w:val="21"/>
          <w:highlight w:val="none"/>
        </w:rPr>
      </w:pPr>
      <w:r>
        <w:rPr>
          <w:rFonts w:hint="eastAsia" w:ascii="宋体" w:hAnsi="宋体" w:cs="宋体"/>
          <w:sz w:val="21"/>
          <w:szCs w:val="21"/>
          <w:highlight w:val="none"/>
          <w:lang w:eastAsia="zh-CN"/>
        </w:rPr>
        <w:t>投标人须知</w:t>
      </w:r>
      <w:r>
        <w:rPr>
          <w:rFonts w:hint="eastAsia" w:ascii="宋体" w:hAnsi="宋体" w:cs="宋体"/>
          <w:sz w:val="21"/>
          <w:szCs w:val="21"/>
          <w:highlight w:val="none"/>
        </w:rPr>
        <w:t>前附表</w:t>
      </w:r>
      <w:bookmarkEnd w:id="20"/>
      <w:bookmarkEnd w:id="21"/>
      <w:bookmarkEnd w:id="22"/>
      <w:bookmarkEnd w:id="23"/>
    </w:p>
    <w:p w14:paraId="23CD9A1D">
      <w:pPr>
        <w:pStyle w:val="4"/>
        <w:spacing w:before="0" w:after="0" w:line="240" w:lineRule="auto"/>
        <w:ind w:left="0" w:leftChars="0" w:firstLine="0" w:firstLineChars="0"/>
        <w:jc w:val="both"/>
        <w:rPr>
          <w:rFonts w:hint="eastAsia"/>
          <w:highlight w:val="none"/>
        </w:rPr>
      </w:pPr>
      <w:r>
        <w:rPr>
          <w:rFonts w:hint="eastAsia" w:ascii="宋体" w:hAnsi="宋体" w:cs="宋体"/>
          <w:b w:val="0"/>
          <w:bCs w:val="0"/>
          <w:sz w:val="21"/>
          <w:szCs w:val="21"/>
          <w:highlight w:val="none"/>
        </w:rPr>
        <w:t>注：本</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须知前附表内容与</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须知正文内容不一致时以本前附表内容为准。</w:t>
      </w:r>
    </w:p>
    <w:bookmarkEnd w:id="18"/>
    <w:bookmarkEnd w:id="19"/>
    <w:tbl>
      <w:tblPr>
        <w:tblStyle w:val="29"/>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75"/>
        <w:gridCol w:w="7132"/>
      </w:tblGrid>
      <w:tr w14:paraId="0CB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4D33A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875" w:type="dxa"/>
            <w:vAlign w:val="center"/>
          </w:tcPr>
          <w:p w14:paraId="65ED11A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7132" w:type="dxa"/>
            <w:vAlign w:val="center"/>
          </w:tcPr>
          <w:p w14:paraId="6ECA8924">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09C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35705DB">
            <w:pPr>
              <w:spacing w:line="360" w:lineRule="auto"/>
              <w:jc w:val="center"/>
              <w:rPr>
                <w:rFonts w:ascii="宋体" w:hAnsi="宋体" w:cs="宋体"/>
                <w:sz w:val="21"/>
                <w:szCs w:val="21"/>
                <w:highlight w:val="none"/>
              </w:rPr>
            </w:pPr>
            <w:r>
              <w:rPr>
                <w:rFonts w:hint="eastAsia" w:ascii="宋体" w:hAnsi="宋体" w:cs="宋体"/>
                <w:sz w:val="21"/>
                <w:szCs w:val="21"/>
                <w:highlight w:val="none"/>
              </w:rPr>
              <w:t>1.1.2</w:t>
            </w:r>
          </w:p>
        </w:tc>
        <w:tc>
          <w:tcPr>
            <w:tcW w:w="1875" w:type="dxa"/>
            <w:vAlign w:val="center"/>
          </w:tcPr>
          <w:p w14:paraId="3270EF8B">
            <w:pPr>
              <w:keepNext w:val="0"/>
              <w:keepLines w:val="0"/>
              <w:pageBreakBefore w:val="0"/>
              <w:kinsoku/>
              <w:wordWrap/>
              <w:overflowPunct/>
              <w:topLinePunct w:val="0"/>
              <w:autoSpaceDN/>
              <w:bidi w:val="0"/>
              <w:spacing w:line="3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采购人</w:t>
            </w:r>
          </w:p>
        </w:tc>
        <w:tc>
          <w:tcPr>
            <w:tcW w:w="7132" w:type="dxa"/>
            <w:vAlign w:val="center"/>
          </w:tcPr>
          <w:p w14:paraId="558DDB26">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采购人：</w:t>
            </w:r>
            <w:r>
              <w:rPr>
                <w:rFonts w:hint="eastAsia" w:ascii="宋体" w:hAnsi="宋体"/>
                <w:szCs w:val="21"/>
                <w:highlight w:val="none"/>
                <w:lang w:eastAsia="zh-CN"/>
              </w:rPr>
              <w:t>开封市祥符区自然资源局</w:t>
            </w:r>
            <w:r>
              <w:rPr>
                <w:rFonts w:hint="eastAsia" w:ascii="宋体" w:hAnsi="宋体"/>
                <w:szCs w:val="21"/>
                <w:highlight w:val="none"/>
              </w:rPr>
              <w:t xml:space="preserve"> </w:t>
            </w:r>
          </w:p>
          <w:p w14:paraId="67F5895C">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开封市祥符区县府东街196号</w:t>
            </w:r>
            <w:r>
              <w:rPr>
                <w:rFonts w:hint="eastAsia" w:ascii="宋体" w:hAnsi="宋体"/>
                <w:szCs w:val="21"/>
                <w:highlight w:val="none"/>
              </w:rPr>
              <w:t> </w:t>
            </w:r>
          </w:p>
          <w:p w14:paraId="394B33A8">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lang w:eastAsia="zh-CN"/>
              </w:rPr>
            </w:pPr>
            <w:r>
              <w:rPr>
                <w:rFonts w:hint="eastAsia" w:ascii="宋体" w:hAnsi="宋体"/>
                <w:szCs w:val="21"/>
                <w:highlight w:val="none"/>
              </w:rPr>
              <w:t>联系人：周</w:t>
            </w:r>
            <w:r>
              <w:rPr>
                <w:rFonts w:hint="eastAsia" w:ascii="宋体" w:hAnsi="宋体"/>
                <w:szCs w:val="21"/>
                <w:highlight w:val="none"/>
                <w:lang w:eastAsia="zh-CN"/>
              </w:rPr>
              <w:t>杰</w:t>
            </w:r>
          </w:p>
          <w:p w14:paraId="39B481A0">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ascii="宋体" w:hAnsi="宋体"/>
                <w:sz w:val="21"/>
                <w:szCs w:val="21"/>
                <w:highlight w:val="none"/>
              </w:rPr>
            </w:pPr>
            <w:r>
              <w:rPr>
                <w:rFonts w:hint="eastAsia" w:ascii="宋体" w:hAnsi="宋体"/>
                <w:szCs w:val="21"/>
                <w:highlight w:val="none"/>
              </w:rPr>
              <w:t>联系方式：13608607779</w:t>
            </w:r>
          </w:p>
        </w:tc>
      </w:tr>
      <w:tr w14:paraId="68A0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6A8353C">
            <w:pPr>
              <w:spacing w:line="360" w:lineRule="auto"/>
              <w:jc w:val="center"/>
              <w:rPr>
                <w:rFonts w:ascii="宋体" w:hAnsi="宋体" w:cs="宋体"/>
                <w:sz w:val="21"/>
                <w:szCs w:val="21"/>
                <w:highlight w:val="none"/>
              </w:rPr>
            </w:pPr>
            <w:r>
              <w:rPr>
                <w:rFonts w:hint="eastAsia" w:ascii="宋体" w:hAnsi="宋体" w:cs="宋体"/>
                <w:sz w:val="21"/>
                <w:szCs w:val="21"/>
                <w:highlight w:val="none"/>
              </w:rPr>
              <w:t>1.1.3</w:t>
            </w:r>
          </w:p>
        </w:tc>
        <w:tc>
          <w:tcPr>
            <w:tcW w:w="1875" w:type="dxa"/>
            <w:vAlign w:val="center"/>
          </w:tcPr>
          <w:p w14:paraId="7CAD8230">
            <w:pPr>
              <w:keepNext w:val="0"/>
              <w:keepLines w:val="0"/>
              <w:pageBreakBefore w:val="0"/>
              <w:kinsoku/>
              <w:wordWrap/>
              <w:overflowPunct/>
              <w:topLinePunct w:val="0"/>
              <w:autoSpaceDN/>
              <w:bidi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采购代理机构</w:t>
            </w:r>
          </w:p>
        </w:tc>
        <w:tc>
          <w:tcPr>
            <w:tcW w:w="7132" w:type="dxa"/>
            <w:vAlign w:val="center"/>
          </w:tcPr>
          <w:p w14:paraId="66EB874B">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采购代理机构：</w:t>
            </w:r>
            <w:r>
              <w:rPr>
                <w:rFonts w:hint="eastAsia" w:ascii="宋体" w:hAnsi="宋体"/>
                <w:color w:val="auto"/>
                <w:kern w:val="2"/>
                <w:sz w:val="21"/>
                <w:szCs w:val="21"/>
                <w:highlight w:val="none"/>
                <w:lang w:val="en-US" w:eastAsia="zh-CN" w:bidi="ar-SA"/>
              </w:rPr>
              <w:t>中建山河建设管理集团有限公司</w:t>
            </w:r>
          </w:p>
          <w:p w14:paraId="3A6B46AA">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4AD7C081">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67D4AE9D">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ascii="宋体" w:hAnsi="宋体"/>
                <w:sz w:val="21"/>
                <w:szCs w:val="21"/>
                <w:highlight w:val="none"/>
              </w:rPr>
            </w:pPr>
            <w:r>
              <w:rPr>
                <w:rFonts w:hint="eastAsia" w:ascii="宋体" w:hAnsi="宋体"/>
                <w:color w:val="auto"/>
                <w:kern w:val="2"/>
                <w:sz w:val="21"/>
                <w:szCs w:val="21"/>
                <w:highlight w:val="none"/>
                <w:lang w:val="en-US" w:eastAsia="zh-CN" w:bidi="ar-SA"/>
              </w:rPr>
              <w:t>联系方式：16637865003</w:t>
            </w:r>
          </w:p>
        </w:tc>
      </w:tr>
      <w:tr w14:paraId="4F9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D0DA88C">
            <w:pPr>
              <w:spacing w:line="360" w:lineRule="auto"/>
              <w:jc w:val="center"/>
              <w:rPr>
                <w:rFonts w:ascii="宋体" w:hAnsi="宋体" w:cs="宋体"/>
                <w:sz w:val="21"/>
                <w:szCs w:val="21"/>
                <w:highlight w:val="none"/>
              </w:rPr>
            </w:pPr>
            <w:r>
              <w:rPr>
                <w:rFonts w:hint="eastAsia" w:ascii="宋体" w:hAnsi="宋体" w:cs="宋体"/>
                <w:sz w:val="21"/>
                <w:szCs w:val="21"/>
                <w:highlight w:val="none"/>
              </w:rPr>
              <w:t>1.1.4</w:t>
            </w:r>
          </w:p>
        </w:tc>
        <w:tc>
          <w:tcPr>
            <w:tcW w:w="1875" w:type="dxa"/>
            <w:vAlign w:val="center"/>
          </w:tcPr>
          <w:p w14:paraId="7A7E9EB3">
            <w:pPr>
              <w:spacing w:line="360" w:lineRule="auto"/>
              <w:jc w:val="center"/>
              <w:rPr>
                <w:rFonts w:ascii="宋体" w:hAnsi="宋体" w:cs="宋体"/>
                <w:sz w:val="21"/>
                <w:szCs w:val="21"/>
                <w:highlight w:val="none"/>
              </w:rPr>
            </w:pPr>
            <w:r>
              <w:rPr>
                <w:rFonts w:hint="eastAsia" w:ascii="宋体" w:hAnsi="宋体" w:cs="宋体"/>
                <w:sz w:val="21"/>
                <w:szCs w:val="21"/>
                <w:highlight w:val="none"/>
              </w:rPr>
              <w:t>项目名称</w:t>
            </w:r>
          </w:p>
        </w:tc>
        <w:tc>
          <w:tcPr>
            <w:tcW w:w="7132" w:type="dxa"/>
            <w:vAlign w:val="center"/>
          </w:tcPr>
          <w:p w14:paraId="671902CA">
            <w:pPr>
              <w:spacing w:line="360" w:lineRule="auto"/>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祥符区控制性详细规划编制询价项目</w:t>
            </w:r>
          </w:p>
        </w:tc>
      </w:tr>
      <w:tr w14:paraId="03D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7E2EDB8">
            <w:pPr>
              <w:spacing w:line="360" w:lineRule="auto"/>
              <w:jc w:val="center"/>
              <w:rPr>
                <w:rFonts w:ascii="宋体" w:hAnsi="宋体" w:cs="宋体"/>
                <w:sz w:val="21"/>
                <w:szCs w:val="21"/>
                <w:highlight w:val="none"/>
              </w:rPr>
            </w:pPr>
            <w:r>
              <w:rPr>
                <w:rFonts w:hint="eastAsia" w:ascii="宋体" w:hAnsi="宋体" w:cs="宋体"/>
                <w:sz w:val="21"/>
                <w:szCs w:val="21"/>
                <w:highlight w:val="none"/>
              </w:rPr>
              <w:t>1.1.5</w:t>
            </w:r>
          </w:p>
        </w:tc>
        <w:tc>
          <w:tcPr>
            <w:tcW w:w="1875" w:type="dxa"/>
            <w:vAlign w:val="center"/>
          </w:tcPr>
          <w:p w14:paraId="48AC9D15">
            <w:pPr>
              <w:spacing w:line="360" w:lineRule="auto"/>
              <w:jc w:val="center"/>
              <w:rPr>
                <w:rFonts w:ascii="宋体" w:hAnsi="宋体" w:cs="宋体"/>
                <w:sz w:val="21"/>
                <w:szCs w:val="21"/>
                <w:highlight w:val="none"/>
              </w:rPr>
            </w:pPr>
            <w:r>
              <w:rPr>
                <w:rFonts w:hint="eastAsia" w:ascii="宋体" w:hAnsi="宋体" w:cs="宋体"/>
                <w:sz w:val="21"/>
                <w:szCs w:val="21"/>
                <w:highlight w:val="none"/>
              </w:rPr>
              <w:t>服务地点</w:t>
            </w:r>
          </w:p>
        </w:tc>
        <w:tc>
          <w:tcPr>
            <w:tcW w:w="7132" w:type="dxa"/>
            <w:vAlign w:val="center"/>
          </w:tcPr>
          <w:p w14:paraId="1CBC7F20">
            <w:pPr>
              <w:spacing w:line="360" w:lineRule="auto"/>
              <w:rPr>
                <w:rFonts w:hint="eastAsia" w:ascii="宋体" w:hAnsi="宋体" w:eastAsia="宋体"/>
                <w:sz w:val="21"/>
                <w:szCs w:val="21"/>
                <w:highlight w:val="none"/>
                <w:lang w:eastAsia="zh-CN"/>
              </w:rPr>
            </w:pPr>
            <w:r>
              <w:rPr>
                <w:rFonts w:hint="eastAsia" w:ascii="宋体" w:hAnsi="宋体"/>
                <w:sz w:val="21"/>
                <w:szCs w:val="21"/>
                <w:highlight w:val="none"/>
              </w:rPr>
              <w:t>开封市</w:t>
            </w:r>
            <w:r>
              <w:rPr>
                <w:rFonts w:hint="eastAsia" w:ascii="宋体" w:hAnsi="宋体"/>
                <w:sz w:val="21"/>
                <w:szCs w:val="21"/>
                <w:highlight w:val="none"/>
                <w:lang w:eastAsia="zh-CN"/>
              </w:rPr>
              <w:t>祥符区</w:t>
            </w:r>
          </w:p>
        </w:tc>
      </w:tr>
      <w:tr w14:paraId="753A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F040A69">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rPr>
              <w:t>1.1.6</w:t>
            </w:r>
          </w:p>
        </w:tc>
        <w:tc>
          <w:tcPr>
            <w:tcW w:w="1875" w:type="dxa"/>
            <w:vAlign w:val="center"/>
          </w:tcPr>
          <w:p w14:paraId="1AC0924E">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标</w:t>
            </w:r>
            <w:r>
              <w:rPr>
                <w:rFonts w:hint="eastAsia" w:ascii="宋体" w:hAnsi="宋体" w:cs="宋体"/>
                <w:sz w:val="21"/>
                <w:szCs w:val="21"/>
                <w:highlight w:val="none"/>
                <w:lang w:eastAsia="zh-CN"/>
              </w:rPr>
              <w:t>包名称</w:t>
            </w:r>
          </w:p>
        </w:tc>
        <w:tc>
          <w:tcPr>
            <w:tcW w:w="7132" w:type="dxa"/>
            <w:vAlign w:val="center"/>
          </w:tcPr>
          <w:p w14:paraId="04D2850F">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s="宋体"/>
                <w:sz w:val="21"/>
                <w:szCs w:val="21"/>
                <w:highlight w:val="none"/>
              </w:rPr>
            </w:pPr>
            <w:r>
              <w:rPr>
                <w:rFonts w:hint="eastAsia" w:ascii="宋体" w:hAnsi="宋体"/>
                <w:szCs w:val="21"/>
                <w:highlight w:val="none"/>
              </w:rPr>
              <w:t>一标包</w:t>
            </w:r>
            <w:r>
              <w:rPr>
                <w:rFonts w:hint="eastAsia" w:ascii="宋体" w:hAnsi="宋体"/>
                <w:szCs w:val="21"/>
                <w:highlight w:val="none"/>
                <w:lang w:eastAsia="zh-CN"/>
              </w:rPr>
              <w:t>：</w:t>
            </w:r>
            <w:r>
              <w:rPr>
                <w:rFonts w:hint="eastAsia" w:ascii="宋体" w:hAnsi="宋体"/>
                <w:szCs w:val="21"/>
                <w:highlight w:val="none"/>
              </w:rPr>
              <w:t>已编制单元控规的中心城区开发边界内街坊控制性详细规划</w:t>
            </w:r>
          </w:p>
        </w:tc>
      </w:tr>
      <w:tr w14:paraId="3D8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0BDC372">
            <w:pPr>
              <w:spacing w:line="360" w:lineRule="auto"/>
              <w:jc w:val="center"/>
              <w:rPr>
                <w:rFonts w:ascii="宋体" w:hAnsi="宋体" w:cs="宋体"/>
                <w:sz w:val="21"/>
                <w:szCs w:val="21"/>
                <w:highlight w:val="none"/>
              </w:rPr>
            </w:pPr>
            <w:r>
              <w:rPr>
                <w:rFonts w:hint="eastAsia" w:ascii="宋体" w:hAnsi="宋体" w:cs="宋体"/>
                <w:sz w:val="21"/>
                <w:szCs w:val="21"/>
                <w:highlight w:val="none"/>
              </w:rPr>
              <w:t>1.2.1</w:t>
            </w:r>
          </w:p>
        </w:tc>
        <w:tc>
          <w:tcPr>
            <w:tcW w:w="1875" w:type="dxa"/>
            <w:vAlign w:val="center"/>
          </w:tcPr>
          <w:p w14:paraId="42235A6E">
            <w:pPr>
              <w:spacing w:line="360" w:lineRule="auto"/>
              <w:jc w:val="center"/>
              <w:rPr>
                <w:rFonts w:ascii="宋体" w:hAnsi="宋体" w:cs="宋体"/>
                <w:sz w:val="21"/>
                <w:szCs w:val="21"/>
                <w:highlight w:val="none"/>
              </w:rPr>
            </w:pPr>
            <w:r>
              <w:rPr>
                <w:rFonts w:hint="eastAsia" w:ascii="宋体" w:hAnsi="宋体" w:cs="宋体"/>
                <w:sz w:val="21"/>
                <w:szCs w:val="21"/>
                <w:highlight w:val="none"/>
              </w:rPr>
              <w:t>资金来源</w:t>
            </w:r>
          </w:p>
        </w:tc>
        <w:tc>
          <w:tcPr>
            <w:tcW w:w="7132" w:type="dxa"/>
            <w:vAlign w:val="center"/>
          </w:tcPr>
          <w:p w14:paraId="077488EA">
            <w:pPr>
              <w:spacing w:line="360" w:lineRule="auto"/>
              <w:rPr>
                <w:rFonts w:ascii="宋体" w:hAnsi="宋体" w:cs="宋体"/>
                <w:sz w:val="21"/>
                <w:szCs w:val="21"/>
                <w:highlight w:val="none"/>
              </w:rPr>
            </w:pPr>
            <w:r>
              <w:rPr>
                <w:rFonts w:hint="eastAsia" w:ascii="宋体" w:hAnsi="宋体" w:cs="宋体"/>
                <w:sz w:val="21"/>
                <w:szCs w:val="21"/>
                <w:highlight w:val="none"/>
              </w:rPr>
              <w:t>财政资金，已落实</w:t>
            </w:r>
          </w:p>
        </w:tc>
      </w:tr>
      <w:tr w14:paraId="5A9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47" w:type="dxa"/>
            <w:vAlign w:val="center"/>
          </w:tcPr>
          <w:p w14:paraId="455F2C1F">
            <w:pPr>
              <w:spacing w:line="360" w:lineRule="auto"/>
              <w:jc w:val="center"/>
              <w:rPr>
                <w:rFonts w:ascii="宋体" w:hAnsi="宋体" w:cs="宋体"/>
                <w:sz w:val="21"/>
                <w:szCs w:val="21"/>
                <w:highlight w:val="none"/>
              </w:rPr>
            </w:pPr>
            <w:r>
              <w:rPr>
                <w:rFonts w:hint="eastAsia" w:ascii="宋体" w:hAnsi="宋体" w:cs="宋体"/>
                <w:sz w:val="21"/>
                <w:szCs w:val="21"/>
                <w:highlight w:val="none"/>
              </w:rPr>
              <w:t>1.3.1</w:t>
            </w:r>
          </w:p>
        </w:tc>
        <w:tc>
          <w:tcPr>
            <w:tcW w:w="1875" w:type="dxa"/>
            <w:vAlign w:val="center"/>
          </w:tcPr>
          <w:p w14:paraId="499C8145">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7132" w:type="dxa"/>
            <w:vAlign w:val="center"/>
          </w:tcPr>
          <w:p w14:paraId="1E77AF6E">
            <w:pPr>
              <w:keepNext w:val="0"/>
              <w:keepLines w:val="0"/>
              <w:pageBreakBefore w:val="0"/>
              <w:widowControl w:val="0"/>
              <w:kinsoku/>
              <w:wordWrap/>
              <w:overflowPunct/>
              <w:topLinePunct w:val="0"/>
              <w:autoSpaceDE/>
              <w:autoSpaceDN/>
              <w:bidi w:val="0"/>
              <w:spacing w:line="240" w:lineRule="auto"/>
              <w:jc w:val="left"/>
              <w:textAlignment w:val="auto"/>
              <w:rPr>
                <w:rFonts w:ascii="宋体" w:hAnsi="宋体"/>
                <w:sz w:val="21"/>
                <w:szCs w:val="21"/>
                <w:highlight w:val="none"/>
              </w:rPr>
            </w:pPr>
            <w:r>
              <w:rPr>
                <w:rFonts w:hint="eastAsia" w:ascii="宋体" w:hAnsi="宋体"/>
                <w:szCs w:val="21"/>
                <w:highlight w:val="none"/>
              </w:rPr>
              <w:t>一标包</w:t>
            </w:r>
            <w:r>
              <w:rPr>
                <w:rFonts w:hint="eastAsia" w:ascii="宋体" w:hAnsi="宋体"/>
                <w:szCs w:val="21"/>
                <w:highlight w:val="none"/>
                <w:lang w:eastAsia="zh-CN"/>
              </w:rPr>
              <w:t>：</w:t>
            </w:r>
            <w:r>
              <w:rPr>
                <w:rFonts w:hint="eastAsia" w:ascii="宋体" w:hAnsi="宋体"/>
                <w:szCs w:val="21"/>
                <w:highlight w:val="none"/>
              </w:rPr>
              <w:t>已编制单元控规的中心城区开发边界内街坊控制性详细规划</w:t>
            </w:r>
          </w:p>
        </w:tc>
      </w:tr>
      <w:tr w14:paraId="2F24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BD0AD49">
            <w:pPr>
              <w:spacing w:line="360" w:lineRule="auto"/>
              <w:jc w:val="center"/>
              <w:rPr>
                <w:rFonts w:ascii="宋体" w:hAnsi="宋体" w:cs="宋体"/>
                <w:sz w:val="21"/>
                <w:szCs w:val="21"/>
                <w:highlight w:val="none"/>
              </w:rPr>
            </w:pPr>
            <w:r>
              <w:rPr>
                <w:rFonts w:hint="eastAsia" w:ascii="宋体" w:hAnsi="宋体" w:cs="宋体"/>
                <w:sz w:val="21"/>
                <w:szCs w:val="21"/>
                <w:highlight w:val="none"/>
              </w:rPr>
              <w:t>1.3.2</w:t>
            </w:r>
          </w:p>
        </w:tc>
        <w:tc>
          <w:tcPr>
            <w:tcW w:w="1875" w:type="dxa"/>
            <w:vAlign w:val="center"/>
          </w:tcPr>
          <w:p w14:paraId="1C0C1692">
            <w:pPr>
              <w:spacing w:line="360" w:lineRule="auto"/>
              <w:jc w:val="center"/>
              <w:rPr>
                <w:rFonts w:hint="eastAsia" w:ascii="宋体" w:hAnsi="宋体" w:eastAsia="宋体" w:cs="宋体"/>
                <w:sz w:val="21"/>
                <w:szCs w:val="21"/>
                <w:highlight w:val="none"/>
                <w:lang w:eastAsia="zh-CN"/>
              </w:rPr>
            </w:pPr>
            <w:r>
              <w:rPr>
                <w:rFonts w:hint="eastAsia" w:ascii="宋体" w:hAnsi="宋体"/>
                <w:sz w:val="21"/>
                <w:szCs w:val="21"/>
                <w:highlight w:val="none"/>
                <w:lang w:eastAsia="zh-CN"/>
              </w:rPr>
              <w:t>服务期限</w:t>
            </w:r>
          </w:p>
        </w:tc>
        <w:tc>
          <w:tcPr>
            <w:tcW w:w="7132" w:type="dxa"/>
            <w:vAlign w:val="center"/>
          </w:tcPr>
          <w:p w14:paraId="283FF5F3">
            <w:pPr>
              <w:spacing w:line="360" w:lineRule="auto"/>
              <w:rPr>
                <w:rFonts w:hint="default" w:ascii="宋体" w:hAnsi="宋体" w:eastAsia="宋体"/>
                <w:sz w:val="21"/>
                <w:szCs w:val="21"/>
                <w:highlight w:val="none"/>
                <w:lang w:val="en-US" w:eastAsia="zh-CN"/>
              </w:rPr>
            </w:pPr>
            <w:r>
              <w:rPr>
                <w:rFonts w:hint="eastAsia" w:ascii="宋体" w:hAnsi="宋体" w:cs="Times New Roman"/>
                <w:sz w:val="21"/>
                <w:szCs w:val="21"/>
                <w:highlight w:val="none"/>
                <w:lang w:val="en-US" w:eastAsia="zh-CN"/>
              </w:rPr>
              <w:t>按需编制</w:t>
            </w:r>
          </w:p>
        </w:tc>
      </w:tr>
      <w:tr w14:paraId="7C2B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24A69FF">
            <w:pPr>
              <w:spacing w:line="360" w:lineRule="auto"/>
              <w:jc w:val="center"/>
              <w:rPr>
                <w:rFonts w:ascii="宋体" w:hAnsi="宋体" w:cs="宋体"/>
                <w:sz w:val="21"/>
                <w:szCs w:val="21"/>
                <w:highlight w:val="none"/>
              </w:rPr>
            </w:pPr>
            <w:r>
              <w:rPr>
                <w:rFonts w:hint="eastAsia" w:ascii="宋体" w:hAnsi="宋体" w:cs="宋体"/>
                <w:sz w:val="21"/>
                <w:szCs w:val="21"/>
                <w:highlight w:val="none"/>
              </w:rPr>
              <w:t>1.3.3</w:t>
            </w:r>
          </w:p>
        </w:tc>
        <w:tc>
          <w:tcPr>
            <w:tcW w:w="1875" w:type="dxa"/>
            <w:vAlign w:val="center"/>
          </w:tcPr>
          <w:p w14:paraId="743B7D98">
            <w:pPr>
              <w:spacing w:line="360" w:lineRule="auto"/>
              <w:jc w:val="center"/>
              <w:rPr>
                <w:rFonts w:ascii="宋体" w:hAnsi="宋体" w:cs="宋体"/>
                <w:sz w:val="21"/>
                <w:szCs w:val="21"/>
                <w:highlight w:val="none"/>
              </w:rPr>
            </w:pPr>
            <w:r>
              <w:rPr>
                <w:rFonts w:hint="eastAsia" w:ascii="宋体" w:hAnsi="宋体" w:cs="宋体"/>
                <w:sz w:val="21"/>
                <w:szCs w:val="21"/>
                <w:highlight w:val="none"/>
              </w:rPr>
              <w:t>质量要求</w:t>
            </w:r>
          </w:p>
        </w:tc>
        <w:tc>
          <w:tcPr>
            <w:tcW w:w="7132" w:type="dxa"/>
            <w:vAlign w:val="center"/>
          </w:tcPr>
          <w:p w14:paraId="5AD1C52F">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kern w:val="0"/>
                <w:szCs w:val="21"/>
                <w:highlight w:val="none"/>
                <w:lang w:eastAsia="zh-CN"/>
              </w:rPr>
            </w:pPr>
            <w:r>
              <w:rPr>
                <w:rFonts w:hint="eastAsia" w:ascii="宋体" w:hAnsi="宋体"/>
                <w:kern w:val="0"/>
                <w:szCs w:val="21"/>
                <w:highlight w:val="none"/>
              </w:rPr>
              <w:t>1.</w:t>
            </w:r>
            <w:r>
              <w:rPr>
                <w:rFonts w:hint="eastAsia" w:ascii="宋体" w:hAnsi="宋体"/>
                <w:kern w:val="0"/>
                <w:szCs w:val="21"/>
                <w:highlight w:val="none"/>
                <w:lang w:eastAsia="zh-CN"/>
              </w:rPr>
              <w:t>成果须</w:t>
            </w:r>
            <w:r>
              <w:rPr>
                <w:rFonts w:hint="eastAsia" w:ascii="宋体" w:hAnsi="宋体"/>
                <w:kern w:val="0"/>
                <w:szCs w:val="21"/>
                <w:highlight w:val="none"/>
              </w:rPr>
              <w:t>符合国家法律法规和现行相关技术标准、技术文件</w:t>
            </w:r>
            <w:r>
              <w:rPr>
                <w:rFonts w:hint="eastAsia" w:ascii="宋体" w:hAnsi="宋体"/>
                <w:kern w:val="0"/>
                <w:szCs w:val="21"/>
                <w:highlight w:val="none"/>
                <w:lang w:eastAsia="zh-CN"/>
              </w:rPr>
              <w:t>以及</w:t>
            </w:r>
            <w:r>
              <w:rPr>
                <w:rFonts w:hint="eastAsia" w:ascii="宋体" w:hAnsi="宋体"/>
                <w:kern w:val="0"/>
                <w:szCs w:val="21"/>
                <w:highlight w:val="none"/>
              </w:rPr>
              <w:t>《河南省自然资源厅办公室关于印发《河南省城镇控制性详细规划编制审批规程（试行）》的通知》</w:t>
            </w:r>
            <w:r>
              <w:rPr>
                <w:rFonts w:hint="eastAsia" w:ascii="宋体" w:hAnsi="宋体"/>
                <w:kern w:val="0"/>
                <w:szCs w:val="21"/>
                <w:highlight w:val="none"/>
                <w:lang w:eastAsia="zh-CN"/>
              </w:rPr>
              <w:t>技术</w:t>
            </w:r>
            <w:r>
              <w:rPr>
                <w:rFonts w:hint="eastAsia" w:ascii="宋体" w:hAnsi="宋体"/>
                <w:kern w:val="0"/>
                <w:szCs w:val="21"/>
                <w:highlight w:val="none"/>
              </w:rPr>
              <w:t>要求</w:t>
            </w:r>
            <w:r>
              <w:rPr>
                <w:rFonts w:hint="eastAsia" w:ascii="宋体" w:hAnsi="宋体"/>
                <w:kern w:val="0"/>
                <w:szCs w:val="21"/>
                <w:highlight w:val="none"/>
                <w:lang w:eastAsia="zh-CN"/>
              </w:rPr>
              <w:t>，同时符合开封市相关技术要求；</w:t>
            </w:r>
          </w:p>
          <w:p w14:paraId="237CE6A4">
            <w:pPr>
              <w:spacing w:line="360" w:lineRule="auto"/>
              <w:rPr>
                <w:rFonts w:hint="eastAsia" w:ascii="宋体" w:hAnsi="宋体" w:eastAsia="宋体"/>
                <w:sz w:val="21"/>
                <w:szCs w:val="21"/>
                <w:highlight w:val="none"/>
                <w:lang w:eastAsia="zh-CN"/>
              </w:rPr>
            </w:pPr>
            <w:r>
              <w:rPr>
                <w:rFonts w:hint="eastAsia" w:ascii="宋体" w:hAnsi="宋体"/>
                <w:kern w:val="0"/>
                <w:szCs w:val="21"/>
                <w:highlight w:val="none"/>
                <w:lang w:val="en-US" w:eastAsia="zh-CN"/>
              </w:rPr>
              <w:t>2</w:t>
            </w:r>
            <w:r>
              <w:rPr>
                <w:rFonts w:hint="eastAsia" w:ascii="宋体" w:hAnsi="宋体"/>
                <w:kern w:val="0"/>
                <w:szCs w:val="21"/>
                <w:highlight w:val="none"/>
              </w:rPr>
              <w:t>.规划内容制作数据库</w:t>
            </w:r>
            <w:r>
              <w:rPr>
                <w:rFonts w:hint="eastAsia" w:ascii="宋体" w:hAnsi="宋体"/>
                <w:kern w:val="0"/>
                <w:szCs w:val="21"/>
                <w:highlight w:val="none"/>
                <w:lang w:eastAsia="zh-CN"/>
              </w:rPr>
              <w:t>须规范详实，</w:t>
            </w:r>
            <w:r>
              <w:rPr>
                <w:rFonts w:hint="eastAsia" w:ascii="宋体" w:hAnsi="宋体"/>
                <w:kern w:val="0"/>
                <w:szCs w:val="21"/>
                <w:highlight w:val="none"/>
              </w:rPr>
              <w:t>文、图、数、表一致，符合</w:t>
            </w:r>
            <w:r>
              <w:rPr>
                <w:rFonts w:hint="eastAsia" w:ascii="宋体" w:hAnsi="宋体"/>
                <w:kern w:val="0"/>
                <w:szCs w:val="21"/>
                <w:highlight w:val="none"/>
                <w:lang w:eastAsia="zh-CN"/>
              </w:rPr>
              <w:t>河南省自然资源厅关于城镇详细规划成果数据入库要求等文件</w:t>
            </w:r>
            <w:r>
              <w:rPr>
                <w:rFonts w:hint="eastAsia" w:ascii="宋体" w:hAnsi="宋体"/>
                <w:kern w:val="0"/>
                <w:szCs w:val="21"/>
                <w:highlight w:val="none"/>
              </w:rPr>
              <w:t>要求。</w:t>
            </w:r>
          </w:p>
        </w:tc>
      </w:tr>
      <w:tr w14:paraId="322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1F70828">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1.3.4</w:t>
            </w:r>
          </w:p>
        </w:tc>
        <w:tc>
          <w:tcPr>
            <w:tcW w:w="1875" w:type="dxa"/>
            <w:vAlign w:val="center"/>
          </w:tcPr>
          <w:p w14:paraId="2739A586">
            <w:pPr>
              <w:adjustRightInd w:val="0"/>
              <w:snapToGrid w:val="0"/>
              <w:spacing w:line="240" w:lineRule="auto"/>
              <w:jc w:val="center"/>
              <w:rPr>
                <w:rFonts w:hint="eastAsia" w:ascii="宋体" w:hAnsi="宋体" w:cs="宋体"/>
                <w:sz w:val="21"/>
                <w:szCs w:val="21"/>
                <w:highlight w:val="none"/>
              </w:rPr>
            </w:pPr>
            <w:r>
              <w:rPr>
                <w:rFonts w:hint="eastAsia" w:ascii="宋体" w:hAnsi="宋体" w:eastAsia="宋体" w:cs="宋体"/>
                <w:b w:val="0"/>
                <w:bCs w:val="0"/>
                <w:sz w:val="21"/>
                <w:szCs w:val="21"/>
                <w:highlight w:val="none"/>
                <w:lang w:val="en-US" w:eastAsia="zh-CN"/>
              </w:rPr>
              <w:t>服务要求</w:t>
            </w:r>
          </w:p>
        </w:tc>
        <w:tc>
          <w:tcPr>
            <w:tcW w:w="7132" w:type="dxa"/>
            <w:vAlign w:val="center"/>
          </w:tcPr>
          <w:p w14:paraId="57C687F1">
            <w:pPr>
              <w:pStyle w:val="4"/>
              <w:spacing w:before="0" w:after="0" w:line="240" w:lineRule="auto"/>
              <w:rPr>
                <w:rFonts w:hint="eastAsia" w:ascii="宋体" w:hAnsi="宋体"/>
                <w:kern w:val="0"/>
                <w:szCs w:val="21"/>
                <w:highlight w:val="none"/>
                <w:lang w:val="en-US" w:eastAsia="zh-CN"/>
              </w:rPr>
            </w:pPr>
            <w:r>
              <w:rPr>
                <w:rFonts w:hint="eastAsia" w:ascii="宋体" w:hAnsi="宋体" w:eastAsia="宋体" w:cs="宋体"/>
                <w:b w:val="0"/>
                <w:bCs w:val="0"/>
                <w:sz w:val="21"/>
                <w:szCs w:val="21"/>
                <w:highlight w:val="none"/>
                <w:lang w:val="en-US" w:eastAsia="zh-CN"/>
              </w:rPr>
              <w:t>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tc>
      </w:tr>
      <w:tr w14:paraId="7B1F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5931050">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1.3.5</w:t>
            </w:r>
          </w:p>
        </w:tc>
        <w:tc>
          <w:tcPr>
            <w:tcW w:w="1875" w:type="dxa"/>
            <w:vAlign w:val="center"/>
          </w:tcPr>
          <w:p w14:paraId="296131BC">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p>
        </w:tc>
        <w:tc>
          <w:tcPr>
            <w:tcW w:w="7132" w:type="dxa"/>
            <w:vAlign w:val="center"/>
          </w:tcPr>
          <w:p w14:paraId="5776763F">
            <w:pPr>
              <w:tabs>
                <w:tab w:val="left" w:pos="759"/>
              </w:tabs>
              <w:spacing w:line="360" w:lineRule="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tc>
      </w:tr>
      <w:tr w14:paraId="558E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FAF4FA4">
            <w:pPr>
              <w:spacing w:line="360" w:lineRule="auto"/>
              <w:jc w:val="center"/>
              <w:rPr>
                <w:rFonts w:ascii="宋体" w:hAnsi="宋体" w:cs="宋体"/>
                <w:sz w:val="21"/>
                <w:szCs w:val="21"/>
                <w:highlight w:val="none"/>
              </w:rPr>
            </w:pPr>
            <w:r>
              <w:rPr>
                <w:rFonts w:hint="eastAsia" w:ascii="宋体" w:hAnsi="宋体" w:cs="宋体"/>
                <w:sz w:val="21"/>
                <w:szCs w:val="21"/>
                <w:highlight w:val="none"/>
              </w:rPr>
              <w:t>1.4.1</w:t>
            </w:r>
          </w:p>
        </w:tc>
        <w:tc>
          <w:tcPr>
            <w:tcW w:w="1875" w:type="dxa"/>
            <w:vAlign w:val="center"/>
          </w:tcPr>
          <w:p w14:paraId="7FC74989">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资格要求</w:t>
            </w:r>
          </w:p>
        </w:tc>
        <w:tc>
          <w:tcPr>
            <w:tcW w:w="7132" w:type="dxa"/>
            <w:vAlign w:val="center"/>
          </w:tcPr>
          <w:p w14:paraId="60E34B31">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475B65C4">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372DC02F">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3331793B">
            <w:pPr>
              <w:spacing w:line="360" w:lineRule="auto"/>
              <w:ind w:firstLine="420" w:firstLineChars="200"/>
              <w:rPr>
                <w:rFonts w:ascii="宋体" w:hAnsi="宋体"/>
                <w:sz w:val="21"/>
                <w:szCs w:val="21"/>
                <w:highlight w:val="none"/>
              </w:rPr>
            </w:pPr>
            <w:r>
              <w:rPr>
                <w:rFonts w:hint="eastAsia" w:ascii="宋体" w:hAnsi="宋体"/>
                <w:sz w:val="21"/>
                <w:szCs w:val="21"/>
                <w:highlight w:val="none"/>
              </w:rPr>
              <w:t>3.1、符合《中华人民共和国政府采购法》的二十二条之规定；</w:t>
            </w:r>
          </w:p>
          <w:p w14:paraId="19445273">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212FF234">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06AB605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6973BE26">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2848843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2B697C26">
            <w:pPr>
              <w:tabs>
                <w:tab w:val="left" w:pos="7770"/>
              </w:tabs>
              <w:spacing w:line="360" w:lineRule="auto"/>
              <w:ind w:firstLine="420" w:firstLineChars="2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081BC8D3">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5305BDF7">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Times New Roman"/>
                <w:sz w:val="21"/>
                <w:szCs w:val="21"/>
                <w:highlight w:val="none"/>
                <w:lang w:val="zh-TW"/>
              </w:rPr>
              <w:t>202</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val="zh-TW"/>
              </w:rPr>
              <w:t>年</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val="zh-TW"/>
              </w:rPr>
              <w:t>月以来至少</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val="zh-TW"/>
              </w:rPr>
              <w:t>个月的</w:t>
            </w:r>
            <w:r>
              <w:rPr>
                <w:rFonts w:hint="eastAsia" w:ascii="宋体" w:hAnsi="宋体" w:eastAsia="宋体" w:cs="Times New Roman"/>
                <w:sz w:val="21"/>
                <w:szCs w:val="21"/>
                <w:highlight w:val="none"/>
                <w:lang w:val="en-US" w:eastAsia="zh-CN"/>
              </w:rPr>
              <w:t>社保缴纳证明；</w:t>
            </w:r>
          </w:p>
          <w:p w14:paraId="1089CC59">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4305E59A">
            <w:pPr>
              <w:widowControl/>
              <w:snapToGrid w:val="0"/>
              <w:spacing w:line="420" w:lineRule="exact"/>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7729B7D3">
            <w:pPr>
              <w:pStyle w:val="38"/>
              <w:spacing w:line="360" w:lineRule="auto"/>
              <w:ind w:firstLine="630" w:firstLineChars="300"/>
              <w:rPr>
                <w:rFonts w:hint="eastAsia" w:ascii="宋体" w:hAnsi="宋体" w:cs="宋体"/>
                <w:b/>
                <w:bCs/>
                <w:color w:val="auto"/>
                <w:kern w:val="0"/>
                <w:szCs w:val="21"/>
                <w:highlight w:val="none"/>
                <w:shd w:val="clear" w:color="auto" w:fill="FFFFFF"/>
              </w:rPr>
            </w:pPr>
            <w:r>
              <w:rPr>
                <w:rFonts w:hint="eastAsia" w:ascii="宋体" w:hAnsi="宋体" w:cs="Times New Roman"/>
                <w:kern w:val="0"/>
                <w:sz w:val="21"/>
                <w:szCs w:val="24"/>
                <w:highlight w:val="none"/>
                <w:shd w:val="clear" w:color="auto" w:fill="FFFFFF"/>
                <w:lang w:val="en-US" w:eastAsia="zh-CN" w:bidi="ar-SA"/>
              </w:rPr>
              <w:t>3</w:t>
            </w:r>
            <w:r>
              <w:rPr>
                <w:rFonts w:hint="eastAsia" w:ascii="宋体" w:hAnsi="宋体" w:eastAsia="宋体" w:cs="Times New Roman"/>
                <w:kern w:val="0"/>
                <w:sz w:val="21"/>
                <w:szCs w:val="24"/>
                <w:highlight w:val="none"/>
                <w:shd w:val="clear" w:color="auto" w:fill="FFFFFF"/>
                <w:lang w:val="en-US" w:eastAsia="zh-CN" w:bidi="ar-SA"/>
              </w:rPr>
              <w:t>.6、潜在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2F588898">
            <w:pPr>
              <w:spacing w:line="360" w:lineRule="auto"/>
              <w:ind w:firstLine="422" w:firstLineChars="200"/>
              <w:outlineLvl w:val="1"/>
              <w:rPr>
                <w:rFonts w:ascii="宋体" w:hAnsi="宋体"/>
                <w:sz w:val="21"/>
                <w:szCs w:val="21"/>
                <w:highlight w:val="none"/>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tc>
      </w:tr>
      <w:tr w14:paraId="615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92BF5DA">
            <w:pPr>
              <w:spacing w:line="360" w:lineRule="auto"/>
              <w:jc w:val="center"/>
              <w:rPr>
                <w:rFonts w:ascii="宋体" w:hAnsi="宋体" w:cs="宋体"/>
                <w:sz w:val="21"/>
                <w:szCs w:val="21"/>
                <w:highlight w:val="none"/>
              </w:rPr>
            </w:pPr>
            <w:r>
              <w:rPr>
                <w:rFonts w:hint="eastAsia" w:ascii="宋体" w:hAnsi="宋体" w:cs="宋体"/>
                <w:sz w:val="21"/>
                <w:szCs w:val="21"/>
                <w:highlight w:val="none"/>
              </w:rPr>
              <w:t>1.9.1</w:t>
            </w:r>
          </w:p>
        </w:tc>
        <w:tc>
          <w:tcPr>
            <w:tcW w:w="1875" w:type="dxa"/>
            <w:vAlign w:val="center"/>
          </w:tcPr>
          <w:p w14:paraId="73C014F3">
            <w:pPr>
              <w:spacing w:line="360" w:lineRule="auto"/>
              <w:jc w:val="center"/>
              <w:rPr>
                <w:rFonts w:ascii="宋体" w:hAnsi="宋体" w:cs="宋体"/>
                <w:sz w:val="21"/>
                <w:szCs w:val="21"/>
                <w:highlight w:val="none"/>
              </w:rPr>
            </w:pPr>
            <w:r>
              <w:rPr>
                <w:rFonts w:hint="eastAsia" w:ascii="宋体" w:hAnsi="宋体" w:cs="宋体"/>
                <w:sz w:val="21"/>
                <w:szCs w:val="21"/>
                <w:highlight w:val="none"/>
              </w:rPr>
              <w:t>踏勘现场</w:t>
            </w:r>
          </w:p>
        </w:tc>
        <w:tc>
          <w:tcPr>
            <w:tcW w:w="7132" w:type="dxa"/>
            <w:vAlign w:val="center"/>
          </w:tcPr>
          <w:p w14:paraId="60D8E5AF">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不组织，各</w:t>
            </w:r>
            <w:r>
              <w:rPr>
                <w:rFonts w:hint="eastAsia" w:ascii="宋体" w:hAnsi="宋体" w:cs="宋体"/>
                <w:sz w:val="21"/>
                <w:szCs w:val="21"/>
                <w:highlight w:val="none"/>
                <w:lang w:eastAsia="zh-CN"/>
              </w:rPr>
              <w:t>投标人</w:t>
            </w:r>
            <w:r>
              <w:rPr>
                <w:rFonts w:hint="eastAsia" w:ascii="宋体" w:hAnsi="宋体" w:cs="宋体"/>
                <w:sz w:val="21"/>
                <w:szCs w:val="21"/>
                <w:highlight w:val="none"/>
              </w:rPr>
              <w:t>自行踏勘</w:t>
            </w:r>
          </w:p>
          <w:p w14:paraId="64946ADD">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组织，踏勘时间：　　　踏勘集中地点：</w:t>
            </w:r>
          </w:p>
        </w:tc>
      </w:tr>
      <w:tr w14:paraId="25B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B8C1F8C">
            <w:pPr>
              <w:spacing w:line="360" w:lineRule="auto"/>
              <w:jc w:val="center"/>
              <w:rPr>
                <w:rFonts w:ascii="宋体" w:hAnsi="宋体" w:cs="宋体"/>
                <w:sz w:val="21"/>
                <w:szCs w:val="21"/>
                <w:highlight w:val="none"/>
              </w:rPr>
            </w:pPr>
            <w:r>
              <w:rPr>
                <w:rFonts w:hint="eastAsia" w:ascii="宋体" w:hAnsi="宋体" w:cs="宋体"/>
                <w:sz w:val="21"/>
                <w:szCs w:val="21"/>
                <w:highlight w:val="none"/>
              </w:rPr>
              <w:t>1.10.1</w:t>
            </w:r>
          </w:p>
        </w:tc>
        <w:tc>
          <w:tcPr>
            <w:tcW w:w="1875" w:type="dxa"/>
            <w:vAlign w:val="center"/>
          </w:tcPr>
          <w:p w14:paraId="48AD888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投标预备会</w:t>
            </w:r>
          </w:p>
        </w:tc>
        <w:tc>
          <w:tcPr>
            <w:tcW w:w="7132" w:type="dxa"/>
            <w:vAlign w:val="center"/>
          </w:tcPr>
          <w:p w14:paraId="04249E18">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不召开</w:t>
            </w:r>
          </w:p>
          <w:p w14:paraId="4685A6DA">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召开，召开时间：　　　　　召开地点：</w:t>
            </w:r>
          </w:p>
        </w:tc>
      </w:tr>
      <w:tr w14:paraId="638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4C1184">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1.10.</w:t>
            </w:r>
            <w:r>
              <w:rPr>
                <w:rFonts w:hint="eastAsia" w:ascii="宋体" w:hAnsi="宋体" w:cs="宋体"/>
                <w:sz w:val="21"/>
                <w:szCs w:val="21"/>
                <w:highlight w:val="none"/>
                <w:lang w:val="en-US" w:eastAsia="zh-CN"/>
              </w:rPr>
              <w:t>2</w:t>
            </w:r>
          </w:p>
        </w:tc>
        <w:tc>
          <w:tcPr>
            <w:tcW w:w="1875" w:type="dxa"/>
            <w:vAlign w:val="center"/>
          </w:tcPr>
          <w:p w14:paraId="36F06362">
            <w:pPr>
              <w:spacing w:line="360" w:lineRule="auto"/>
              <w:jc w:val="center"/>
              <w:rPr>
                <w:rFonts w:ascii="宋体" w:hAnsi="宋体" w:cs="宋体"/>
                <w:sz w:val="21"/>
                <w:szCs w:val="21"/>
                <w:highlight w:val="none"/>
              </w:rPr>
            </w:pPr>
            <w:r>
              <w:rPr>
                <w:rFonts w:hint="eastAsia" w:ascii="宋体" w:hAnsi="宋体" w:cs="宋体"/>
                <w:sz w:val="21"/>
                <w:szCs w:val="21"/>
                <w:highlight w:val="none"/>
              </w:rPr>
              <w:t>分包、转包</w:t>
            </w:r>
          </w:p>
        </w:tc>
        <w:tc>
          <w:tcPr>
            <w:tcW w:w="7132" w:type="dxa"/>
            <w:vAlign w:val="center"/>
          </w:tcPr>
          <w:p w14:paraId="31EE2EF2">
            <w:pPr>
              <w:spacing w:line="360" w:lineRule="auto"/>
              <w:rPr>
                <w:rFonts w:ascii="宋体" w:hAnsi="宋体" w:cs="宋体"/>
                <w:sz w:val="21"/>
                <w:szCs w:val="21"/>
                <w:highlight w:val="none"/>
              </w:rPr>
            </w:pPr>
            <w:r>
              <w:rPr>
                <w:rFonts w:hint="eastAsia" w:ascii="宋体" w:hAnsi="宋体" w:cs="宋体"/>
                <w:sz w:val="21"/>
                <w:szCs w:val="21"/>
                <w:highlight w:val="none"/>
              </w:rPr>
              <w:t>不允许</w:t>
            </w:r>
          </w:p>
        </w:tc>
      </w:tr>
      <w:tr w14:paraId="63A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1077588">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1.11</w:t>
            </w:r>
          </w:p>
        </w:tc>
        <w:tc>
          <w:tcPr>
            <w:tcW w:w="1875" w:type="dxa"/>
            <w:vAlign w:val="center"/>
          </w:tcPr>
          <w:p w14:paraId="25967637">
            <w:pPr>
              <w:spacing w:line="400" w:lineRule="exact"/>
              <w:jc w:val="center"/>
              <w:rPr>
                <w:rFonts w:hint="eastAsia" w:ascii="宋体" w:hAnsi="宋体" w:cs="宋体"/>
                <w:sz w:val="21"/>
                <w:szCs w:val="21"/>
                <w:highlight w:val="none"/>
              </w:rPr>
            </w:pPr>
            <w:r>
              <w:rPr>
                <w:rFonts w:hint="eastAsia" w:ascii="宋体" w:hAnsi="宋体"/>
                <w:highlight w:val="none"/>
              </w:rPr>
              <w:t>偏 离</w:t>
            </w:r>
          </w:p>
        </w:tc>
        <w:tc>
          <w:tcPr>
            <w:tcW w:w="7132" w:type="dxa"/>
            <w:vAlign w:val="center"/>
          </w:tcPr>
          <w:p w14:paraId="068855F9">
            <w:pPr>
              <w:spacing w:line="420" w:lineRule="exact"/>
              <w:jc w:val="left"/>
              <w:rPr>
                <w:rFonts w:ascii="宋体"/>
                <w:kern w:val="0"/>
                <w:highlight w:val="none"/>
              </w:rPr>
            </w:pPr>
            <w:r>
              <w:rPr>
                <w:rFonts w:hint="eastAsia" w:ascii="宋体" w:hAnsi="宋体"/>
                <w:kern w:val="0"/>
                <w:highlight w:val="none"/>
              </w:rPr>
              <w:t>不允许下列重大偏离：</w:t>
            </w:r>
          </w:p>
          <w:p w14:paraId="2FA699E0">
            <w:pPr>
              <w:spacing w:line="420" w:lineRule="exact"/>
              <w:jc w:val="left"/>
              <w:rPr>
                <w:rFonts w:ascii="宋体"/>
                <w:kern w:val="0"/>
                <w:highlight w:val="none"/>
              </w:rPr>
            </w:pPr>
            <w:r>
              <w:rPr>
                <w:rFonts w:hint="eastAsia" w:ascii="宋体" w:hAnsi="宋体"/>
                <w:kern w:val="0"/>
                <w:highlight w:val="none"/>
              </w:rPr>
              <w:t>经评标委员会审查后，投标文件有下列情形之一的，视为未能实质性响应招标文件，应认定为无效标（即废标）：</w:t>
            </w:r>
          </w:p>
          <w:p w14:paraId="3BAB1BA7">
            <w:pPr>
              <w:spacing w:line="420" w:lineRule="exact"/>
              <w:jc w:val="left"/>
              <w:rPr>
                <w:rFonts w:ascii="宋体"/>
                <w:kern w:val="0"/>
                <w:highlight w:val="none"/>
              </w:rPr>
            </w:pPr>
            <w:r>
              <w:rPr>
                <w:rFonts w:hint="eastAsia" w:ascii="宋体" w:hAnsi="宋体"/>
                <w:kern w:val="0"/>
                <w:highlight w:val="none"/>
              </w:rPr>
              <w:t>1、投标文件没有按要求加盖</w:t>
            </w:r>
            <w:r>
              <w:rPr>
                <w:rFonts w:hint="eastAsia" w:ascii="宋体" w:hAnsi="宋体"/>
                <w:kern w:val="0"/>
                <w:highlight w:val="none"/>
                <w:lang w:val="en-US" w:eastAsia="zh-CN"/>
              </w:rPr>
              <w:t>投标人</w:t>
            </w:r>
            <w:r>
              <w:rPr>
                <w:rFonts w:hint="eastAsia" w:ascii="宋体" w:hAnsi="宋体"/>
                <w:kern w:val="0"/>
                <w:highlight w:val="none"/>
              </w:rPr>
              <w:t>法定代表人或授权代表人个人电子签章或加盖企业电子签章的；</w:t>
            </w:r>
          </w:p>
          <w:p w14:paraId="336DDBB7">
            <w:pPr>
              <w:spacing w:line="420" w:lineRule="exact"/>
              <w:jc w:val="left"/>
              <w:rPr>
                <w:rFonts w:ascii="宋体"/>
                <w:kern w:val="0"/>
                <w:highlight w:val="none"/>
              </w:rPr>
            </w:pPr>
            <w:r>
              <w:rPr>
                <w:rFonts w:hint="eastAsia" w:ascii="宋体" w:hAnsi="宋体"/>
                <w:kern w:val="0"/>
                <w:highlight w:val="none"/>
              </w:rPr>
              <w:t>2、投标文件载明的</w:t>
            </w:r>
            <w:r>
              <w:rPr>
                <w:rFonts w:hint="eastAsia" w:ascii="宋体" w:hAnsi="宋体"/>
                <w:kern w:val="0"/>
                <w:highlight w:val="none"/>
                <w:lang w:val="en-US" w:eastAsia="zh-CN"/>
              </w:rPr>
              <w:t>服务</w:t>
            </w:r>
            <w:r>
              <w:rPr>
                <w:rFonts w:hint="eastAsia" w:ascii="宋体" w:hAnsi="宋体"/>
                <w:kern w:val="0"/>
                <w:highlight w:val="none"/>
              </w:rPr>
              <w:t>期限超过招标文件规定的期限；</w:t>
            </w:r>
          </w:p>
          <w:p w14:paraId="48EC11DC">
            <w:pPr>
              <w:spacing w:line="420" w:lineRule="exact"/>
              <w:jc w:val="left"/>
              <w:rPr>
                <w:rFonts w:ascii="宋体"/>
                <w:kern w:val="0"/>
                <w:highlight w:val="none"/>
              </w:rPr>
            </w:pPr>
            <w:r>
              <w:rPr>
                <w:rFonts w:hint="eastAsia" w:ascii="宋体" w:hAnsi="宋体"/>
                <w:kern w:val="0"/>
                <w:highlight w:val="none"/>
              </w:rPr>
              <w:t>3、明显不符合技术规格、技术标准要求的，偏离使采购人不能接受的；</w:t>
            </w:r>
          </w:p>
          <w:p w14:paraId="6F017990">
            <w:pPr>
              <w:spacing w:line="420" w:lineRule="exact"/>
              <w:jc w:val="left"/>
              <w:rPr>
                <w:rFonts w:ascii="宋体"/>
                <w:kern w:val="0"/>
                <w:highlight w:val="none"/>
              </w:rPr>
            </w:pPr>
            <w:r>
              <w:rPr>
                <w:rFonts w:hint="eastAsia" w:ascii="宋体" w:hAnsi="宋体"/>
                <w:kern w:val="0"/>
                <w:highlight w:val="none"/>
              </w:rPr>
              <w:t>4、供应商拒绝按评标委员会要求对投标文件进行澄清、说明、补正或澄清、说明、补正不能合理说明情况的；</w:t>
            </w:r>
          </w:p>
          <w:p w14:paraId="4FE333B0">
            <w:pPr>
              <w:spacing w:line="420" w:lineRule="exact"/>
              <w:jc w:val="left"/>
              <w:rPr>
                <w:rFonts w:ascii="宋体"/>
                <w:kern w:val="0"/>
                <w:highlight w:val="none"/>
              </w:rPr>
            </w:pPr>
            <w:r>
              <w:rPr>
                <w:rFonts w:hint="eastAsia" w:ascii="宋体" w:hAnsi="宋体"/>
                <w:kern w:val="0"/>
                <w:highlight w:val="none"/>
              </w:rPr>
              <w:t>5、投标文件附加有采购人不能接受的条件的；</w:t>
            </w:r>
          </w:p>
          <w:p w14:paraId="5754F865">
            <w:pPr>
              <w:spacing w:line="420" w:lineRule="exact"/>
              <w:jc w:val="left"/>
              <w:rPr>
                <w:rFonts w:ascii="宋体"/>
                <w:kern w:val="0"/>
                <w:highlight w:val="none"/>
              </w:rPr>
            </w:pPr>
            <w:r>
              <w:rPr>
                <w:rFonts w:hint="eastAsia" w:ascii="宋体" w:hAnsi="宋体"/>
                <w:kern w:val="0"/>
                <w:highlight w:val="none"/>
              </w:rPr>
              <w:t>6、</w:t>
            </w:r>
            <w:r>
              <w:rPr>
                <w:rFonts w:hint="eastAsia" w:ascii="宋体" w:hAnsi="宋体"/>
                <w:kern w:val="0"/>
                <w:highlight w:val="none"/>
                <w:lang w:val="en-US" w:eastAsia="zh-CN"/>
              </w:rPr>
              <w:t>投标人</w:t>
            </w:r>
            <w:r>
              <w:rPr>
                <w:rFonts w:hint="eastAsia" w:ascii="宋体" w:hAnsi="宋体"/>
                <w:kern w:val="0"/>
                <w:highlight w:val="none"/>
              </w:rPr>
              <w:t>递交两份或多份内容不同的投标文件，或在一份投标文件中报有两个或多个报价，但未声明哪一个有效的；</w:t>
            </w:r>
          </w:p>
          <w:p w14:paraId="74FBF198">
            <w:pPr>
              <w:spacing w:line="420" w:lineRule="exact"/>
              <w:jc w:val="left"/>
              <w:rPr>
                <w:rFonts w:hint="eastAsia" w:ascii="宋体" w:hAnsi="宋体" w:cs="宋体"/>
                <w:sz w:val="21"/>
                <w:szCs w:val="21"/>
                <w:highlight w:val="none"/>
              </w:rPr>
            </w:pPr>
            <w:r>
              <w:rPr>
                <w:rFonts w:hint="eastAsia" w:ascii="宋体" w:hAnsi="宋体"/>
                <w:kern w:val="0"/>
                <w:highlight w:val="none"/>
              </w:rPr>
              <w:t>7、其他违反招投标法以及相关法律、法规和规定的。</w:t>
            </w:r>
          </w:p>
        </w:tc>
      </w:tr>
      <w:tr w14:paraId="6454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B3D2CA">
            <w:pPr>
              <w:spacing w:line="360" w:lineRule="auto"/>
              <w:jc w:val="center"/>
              <w:rPr>
                <w:rFonts w:ascii="宋体" w:hAnsi="宋体" w:cs="宋体"/>
                <w:sz w:val="21"/>
                <w:szCs w:val="21"/>
                <w:highlight w:val="none"/>
              </w:rPr>
            </w:pPr>
            <w:r>
              <w:rPr>
                <w:rFonts w:hint="eastAsia" w:ascii="宋体" w:hAnsi="宋体" w:cs="宋体"/>
                <w:sz w:val="21"/>
                <w:szCs w:val="21"/>
                <w:highlight w:val="none"/>
              </w:rPr>
              <w:t>2.1</w:t>
            </w:r>
          </w:p>
        </w:tc>
        <w:tc>
          <w:tcPr>
            <w:tcW w:w="1875" w:type="dxa"/>
            <w:vAlign w:val="center"/>
          </w:tcPr>
          <w:p w14:paraId="4EB51D76">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构成招标文件的其他材料</w:t>
            </w:r>
          </w:p>
        </w:tc>
        <w:tc>
          <w:tcPr>
            <w:tcW w:w="7132" w:type="dxa"/>
            <w:vAlign w:val="center"/>
          </w:tcPr>
          <w:p w14:paraId="2A24FFCE">
            <w:pPr>
              <w:spacing w:line="360" w:lineRule="auto"/>
              <w:rPr>
                <w:rFonts w:ascii="宋体" w:hAnsi="宋体" w:cs="宋体"/>
                <w:sz w:val="21"/>
                <w:szCs w:val="21"/>
                <w:highlight w:val="none"/>
              </w:rPr>
            </w:pPr>
            <w:r>
              <w:rPr>
                <w:rFonts w:hint="eastAsia" w:ascii="宋体" w:hAnsi="宋体"/>
                <w:sz w:val="21"/>
                <w:szCs w:val="21"/>
                <w:highlight w:val="none"/>
              </w:rPr>
              <w:t>招标文件补充文件、澄清、修改、答疑，在《开封市公共资源交易信息网》等网上发布。当招标文件及其澄清、修改或补充文件对同一内容表述不一致时，以最后发布为准。</w:t>
            </w:r>
          </w:p>
        </w:tc>
      </w:tr>
      <w:tr w14:paraId="746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FB8B96">
            <w:pPr>
              <w:spacing w:line="360" w:lineRule="auto"/>
              <w:jc w:val="center"/>
              <w:rPr>
                <w:rFonts w:ascii="宋体" w:hAnsi="宋体" w:cs="宋体"/>
                <w:sz w:val="21"/>
                <w:szCs w:val="21"/>
                <w:highlight w:val="none"/>
              </w:rPr>
            </w:pPr>
            <w:r>
              <w:rPr>
                <w:rFonts w:hint="eastAsia" w:ascii="宋体" w:hAnsi="宋体" w:cs="宋体"/>
                <w:sz w:val="21"/>
                <w:szCs w:val="21"/>
                <w:highlight w:val="none"/>
              </w:rPr>
              <w:t>2.2.1</w:t>
            </w:r>
          </w:p>
        </w:tc>
        <w:tc>
          <w:tcPr>
            <w:tcW w:w="1875" w:type="dxa"/>
            <w:vAlign w:val="center"/>
          </w:tcPr>
          <w:p w14:paraId="6204FF44">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对招标文件提出异议的时间</w:t>
            </w:r>
          </w:p>
        </w:tc>
        <w:tc>
          <w:tcPr>
            <w:tcW w:w="7132" w:type="dxa"/>
            <w:vAlign w:val="center"/>
          </w:tcPr>
          <w:p w14:paraId="4DE9E0F7">
            <w:pPr>
              <w:spacing w:line="360" w:lineRule="auto"/>
              <w:rPr>
                <w:rFonts w:ascii="宋体" w:hAnsi="宋体" w:cs="宋体"/>
                <w:sz w:val="21"/>
                <w:szCs w:val="21"/>
                <w:highlight w:val="none"/>
              </w:rPr>
            </w:pPr>
            <w:r>
              <w:rPr>
                <w:rFonts w:hint="eastAsia" w:ascii="宋体" w:hAnsi="宋体" w:cs="宋体"/>
                <w:kern w:val="0"/>
                <w:sz w:val="21"/>
                <w:szCs w:val="21"/>
                <w:highlight w:val="none"/>
              </w:rPr>
              <w:t>获得招标文件之日或招标公告期限届满之日起7个工作日内。</w:t>
            </w:r>
          </w:p>
        </w:tc>
      </w:tr>
      <w:tr w14:paraId="6E2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81DE298">
            <w:pPr>
              <w:spacing w:line="360" w:lineRule="auto"/>
              <w:jc w:val="center"/>
              <w:rPr>
                <w:rFonts w:ascii="宋体" w:hAnsi="宋体"/>
                <w:sz w:val="21"/>
                <w:szCs w:val="21"/>
                <w:highlight w:val="none"/>
              </w:rPr>
            </w:pPr>
            <w:r>
              <w:rPr>
                <w:rFonts w:hint="eastAsia" w:ascii="宋体" w:hAnsi="宋体"/>
                <w:sz w:val="21"/>
                <w:szCs w:val="21"/>
                <w:highlight w:val="none"/>
              </w:rPr>
              <w:t>2.2.2</w:t>
            </w:r>
          </w:p>
        </w:tc>
        <w:tc>
          <w:tcPr>
            <w:tcW w:w="1875" w:type="dxa"/>
            <w:vAlign w:val="center"/>
          </w:tcPr>
          <w:p w14:paraId="160634EF">
            <w:pPr>
              <w:spacing w:line="360" w:lineRule="auto"/>
              <w:jc w:val="center"/>
              <w:rPr>
                <w:rFonts w:ascii="宋体" w:hAnsi="宋体"/>
                <w:sz w:val="21"/>
                <w:szCs w:val="21"/>
                <w:highlight w:val="none"/>
              </w:rPr>
            </w:pPr>
            <w:r>
              <w:rPr>
                <w:rFonts w:hint="eastAsia" w:ascii="宋体" w:hAnsi="宋体"/>
                <w:sz w:val="21"/>
                <w:szCs w:val="21"/>
                <w:highlight w:val="none"/>
              </w:rPr>
              <w:t>招标文件澄清和修改发出形式</w:t>
            </w:r>
          </w:p>
        </w:tc>
        <w:tc>
          <w:tcPr>
            <w:tcW w:w="7132" w:type="dxa"/>
            <w:vAlign w:val="center"/>
          </w:tcPr>
          <w:p w14:paraId="0271B616">
            <w:pPr>
              <w:spacing w:line="360" w:lineRule="auto"/>
              <w:rPr>
                <w:rFonts w:ascii="宋体" w:hAnsi="宋体" w:cs="宋体"/>
                <w:kern w:val="0"/>
                <w:sz w:val="21"/>
                <w:szCs w:val="21"/>
                <w:highlight w:val="none"/>
              </w:rPr>
            </w:pPr>
            <w:r>
              <w:rPr>
                <w:rFonts w:hint="eastAsia" w:ascii="宋体" w:hAnsi="宋体" w:cs="宋体"/>
                <w:kern w:val="0"/>
                <w:sz w:val="21"/>
                <w:szCs w:val="21"/>
                <w:highlight w:val="none"/>
              </w:rPr>
              <w:t>在</w:t>
            </w:r>
            <w:r>
              <w:rPr>
                <w:rFonts w:hint="eastAsia" w:ascii="宋体" w:hAnsi="宋体"/>
                <w:sz w:val="21"/>
                <w:szCs w:val="21"/>
                <w:highlight w:val="none"/>
              </w:rPr>
              <w:t>《中国招标投标公共服务平台》</w:t>
            </w:r>
            <w:r>
              <w:rPr>
                <w:rFonts w:hint="eastAsia" w:ascii="宋体" w:hAnsi="宋体" w:cs="宋体"/>
                <w:kern w:val="0"/>
                <w:sz w:val="21"/>
                <w:szCs w:val="21"/>
                <w:highlight w:val="none"/>
              </w:rPr>
              <w:t>《河南省政府采购网》、《开封市公共资源交易信息网》网站公布。</w:t>
            </w:r>
          </w:p>
        </w:tc>
      </w:tr>
      <w:tr w14:paraId="1FA7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3C80CAA">
            <w:pPr>
              <w:spacing w:line="360" w:lineRule="auto"/>
              <w:jc w:val="center"/>
              <w:rPr>
                <w:rFonts w:ascii="宋体" w:hAnsi="宋体" w:cs="宋体"/>
                <w:sz w:val="21"/>
                <w:szCs w:val="21"/>
                <w:highlight w:val="none"/>
              </w:rPr>
            </w:pPr>
            <w:r>
              <w:rPr>
                <w:rFonts w:hint="eastAsia" w:ascii="宋体" w:hAnsi="宋体" w:cs="宋体"/>
                <w:sz w:val="21"/>
                <w:szCs w:val="21"/>
                <w:highlight w:val="none"/>
              </w:rPr>
              <w:t>2.3.2</w:t>
            </w:r>
          </w:p>
        </w:tc>
        <w:tc>
          <w:tcPr>
            <w:tcW w:w="1875" w:type="dxa"/>
            <w:vAlign w:val="center"/>
          </w:tcPr>
          <w:p w14:paraId="138E114F">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确认收到招标文件澄清和修改的时间</w:t>
            </w:r>
          </w:p>
        </w:tc>
        <w:tc>
          <w:tcPr>
            <w:tcW w:w="7132" w:type="dxa"/>
            <w:vAlign w:val="center"/>
          </w:tcPr>
          <w:p w14:paraId="5244E771">
            <w:pPr>
              <w:spacing w:line="360" w:lineRule="auto"/>
              <w:rPr>
                <w:rFonts w:ascii="宋体" w:hAnsi="宋体" w:cs="宋体"/>
                <w:sz w:val="21"/>
                <w:szCs w:val="21"/>
                <w:highlight w:val="none"/>
              </w:rPr>
            </w:pPr>
            <w:r>
              <w:rPr>
                <w:rFonts w:hint="eastAsia" w:ascii="宋体" w:hAnsi="宋体" w:cs="宋体"/>
                <w:color w:val="auto"/>
                <w:kern w:val="0"/>
                <w:highlight w:val="none"/>
              </w:rPr>
              <w:t>自招标文件</w:t>
            </w:r>
            <w:r>
              <w:rPr>
                <w:rFonts w:hint="eastAsia" w:ascii="宋体" w:hAnsi="宋体" w:cs="宋体"/>
                <w:sz w:val="21"/>
                <w:szCs w:val="21"/>
                <w:highlight w:val="none"/>
              </w:rPr>
              <w:t>澄清和修改</w:t>
            </w:r>
            <w:r>
              <w:rPr>
                <w:rFonts w:hint="eastAsia" w:ascii="宋体" w:hAnsi="宋体" w:cs="宋体"/>
                <w:color w:val="auto"/>
                <w:kern w:val="0"/>
                <w:highlight w:val="none"/>
              </w:rPr>
              <w:t>在相关网站发布起，即视为收到</w:t>
            </w:r>
          </w:p>
        </w:tc>
      </w:tr>
      <w:tr w14:paraId="7B27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D4C2C4D">
            <w:pPr>
              <w:spacing w:line="360" w:lineRule="auto"/>
              <w:jc w:val="center"/>
              <w:rPr>
                <w:rFonts w:ascii="宋体" w:hAnsi="宋体" w:cs="宋体"/>
                <w:sz w:val="21"/>
                <w:szCs w:val="21"/>
                <w:highlight w:val="none"/>
              </w:rPr>
            </w:pPr>
            <w:r>
              <w:rPr>
                <w:rFonts w:hint="eastAsia" w:ascii="宋体" w:hAnsi="宋体" w:cs="宋体"/>
                <w:sz w:val="21"/>
                <w:szCs w:val="21"/>
                <w:highlight w:val="none"/>
              </w:rPr>
              <w:t>3.1.1</w:t>
            </w:r>
          </w:p>
        </w:tc>
        <w:tc>
          <w:tcPr>
            <w:tcW w:w="1875" w:type="dxa"/>
            <w:vAlign w:val="center"/>
          </w:tcPr>
          <w:p w14:paraId="527D5020">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构成投标文件的其他材料</w:t>
            </w:r>
          </w:p>
        </w:tc>
        <w:tc>
          <w:tcPr>
            <w:tcW w:w="7132" w:type="dxa"/>
            <w:vAlign w:val="center"/>
          </w:tcPr>
          <w:p w14:paraId="1E068A69">
            <w:pPr>
              <w:spacing w:line="360" w:lineRule="auto"/>
              <w:rPr>
                <w:rFonts w:ascii="宋体" w:hAnsi="宋体" w:cs="宋体"/>
                <w:sz w:val="21"/>
                <w:szCs w:val="21"/>
                <w:highlight w:val="none"/>
              </w:rPr>
            </w:pPr>
            <w:r>
              <w:rPr>
                <w:rFonts w:hint="eastAsia" w:ascii="宋体" w:hAnsi="宋体" w:cs="宋体"/>
                <w:sz w:val="21"/>
                <w:szCs w:val="21"/>
                <w:highlight w:val="none"/>
              </w:rPr>
              <w:t>///</w:t>
            </w:r>
          </w:p>
        </w:tc>
      </w:tr>
      <w:tr w14:paraId="1161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E83CDA2">
            <w:pPr>
              <w:spacing w:line="360" w:lineRule="auto"/>
              <w:jc w:val="center"/>
              <w:rPr>
                <w:rFonts w:ascii="宋体" w:hAnsi="宋体" w:cs="宋体"/>
                <w:sz w:val="21"/>
                <w:szCs w:val="21"/>
                <w:highlight w:val="none"/>
              </w:rPr>
            </w:pPr>
            <w:r>
              <w:rPr>
                <w:rFonts w:hint="eastAsia" w:ascii="宋体" w:hAnsi="宋体" w:cs="宋体"/>
                <w:sz w:val="21"/>
                <w:szCs w:val="21"/>
                <w:highlight w:val="none"/>
              </w:rPr>
              <w:t>3.2.1</w:t>
            </w:r>
          </w:p>
        </w:tc>
        <w:tc>
          <w:tcPr>
            <w:tcW w:w="1875" w:type="dxa"/>
            <w:vAlign w:val="center"/>
          </w:tcPr>
          <w:p w14:paraId="12284678">
            <w:pPr>
              <w:spacing w:line="360" w:lineRule="auto"/>
              <w:jc w:val="center"/>
              <w:rPr>
                <w:rFonts w:ascii="宋体" w:hAnsi="宋体" w:cs="宋体"/>
                <w:sz w:val="21"/>
                <w:szCs w:val="21"/>
                <w:highlight w:val="none"/>
              </w:rPr>
            </w:pPr>
            <w:r>
              <w:rPr>
                <w:rFonts w:hint="eastAsia" w:ascii="宋体" w:hAnsi="宋体" w:cs="宋体"/>
                <w:sz w:val="21"/>
                <w:szCs w:val="21"/>
                <w:highlight w:val="none"/>
              </w:rPr>
              <w:t>报价范围</w:t>
            </w:r>
          </w:p>
        </w:tc>
        <w:tc>
          <w:tcPr>
            <w:tcW w:w="7132" w:type="dxa"/>
            <w:vAlign w:val="center"/>
          </w:tcPr>
          <w:p w14:paraId="6B10817F">
            <w:pPr>
              <w:keepNext w:val="0"/>
              <w:keepLines w:val="0"/>
              <w:widowControl/>
              <w:suppressLineNumbers w:val="0"/>
              <w:spacing w:line="360" w:lineRule="auto"/>
              <w:jc w:val="left"/>
              <w:rPr>
                <w:rFonts w:ascii="宋体" w:hAnsi="宋体" w:cs="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应按招标项目要求，一次性报出不可更改的价格，所报的价格中包含</w:t>
            </w:r>
            <w:r>
              <w:rPr>
                <w:rFonts w:hint="eastAsia" w:ascii="宋体" w:hAnsi="宋体"/>
                <w:kern w:val="0"/>
                <w:sz w:val="21"/>
                <w:szCs w:val="21"/>
                <w:highlight w:val="none"/>
              </w:rPr>
              <w:t>本招标采购对象及服务</w:t>
            </w:r>
            <w:r>
              <w:rPr>
                <w:rFonts w:hint="eastAsia" w:ascii="宋体" w:hAnsi="宋体"/>
                <w:sz w:val="21"/>
                <w:szCs w:val="21"/>
                <w:highlight w:val="none"/>
                <w:lang w:val="en-US" w:eastAsia="zh-CN"/>
              </w:rPr>
              <w:t>与之相关的设计、调研、图纸文本打印、 数据库制作等费用以及相应的伴随服务承诺费用</w:t>
            </w:r>
            <w:r>
              <w:rPr>
                <w:rFonts w:hint="eastAsia" w:ascii="宋体" w:hAnsi="宋体"/>
                <w:sz w:val="21"/>
                <w:szCs w:val="21"/>
                <w:highlight w:val="none"/>
              </w:rPr>
              <w:t>、各项税费、保险费等验收合格前全部费用。</w:t>
            </w:r>
          </w:p>
        </w:tc>
      </w:tr>
      <w:tr w14:paraId="023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47" w:type="dxa"/>
            <w:vAlign w:val="center"/>
          </w:tcPr>
          <w:p w14:paraId="43F33C15">
            <w:pPr>
              <w:spacing w:line="360" w:lineRule="auto"/>
              <w:jc w:val="center"/>
              <w:rPr>
                <w:rFonts w:ascii="宋体" w:hAnsi="宋体" w:cs="宋体"/>
                <w:sz w:val="21"/>
                <w:szCs w:val="21"/>
                <w:highlight w:val="none"/>
              </w:rPr>
            </w:pPr>
            <w:r>
              <w:rPr>
                <w:rFonts w:hint="eastAsia" w:ascii="宋体" w:hAnsi="宋体" w:cs="宋体"/>
                <w:sz w:val="21"/>
                <w:szCs w:val="21"/>
                <w:highlight w:val="none"/>
              </w:rPr>
              <w:t>3.2.3</w:t>
            </w:r>
          </w:p>
        </w:tc>
        <w:tc>
          <w:tcPr>
            <w:tcW w:w="1875" w:type="dxa"/>
            <w:vAlign w:val="center"/>
          </w:tcPr>
          <w:p w14:paraId="3C130204">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最高限价</w:t>
            </w:r>
          </w:p>
          <w:p w14:paraId="059F881E">
            <w:pPr>
              <w:spacing w:line="360" w:lineRule="auto"/>
              <w:ind w:firstLine="210"/>
              <w:rPr>
                <w:b/>
                <w:bCs/>
                <w:sz w:val="21"/>
                <w:szCs w:val="21"/>
                <w:highlight w:val="none"/>
                <w:lang w:eastAsia="zh-CN"/>
              </w:rPr>
            </w:pPr>
          </w:p>
        </w:tc>
        <w:tc>
          <w:tcPr>
            <w:tcW w:w="7132" w:type="dxa"/>
            <w:vAlign w:val="center"/>
          </w:tcPr>
          <w:p w14:paraId="7D9F3D1E">
            <w:pPr>
              <w:spacing w:line="360" w:lineRule="auto"/>
              <w:rPr>
                <w:rFonts w:ascii="宋体" w:hAnsi="宋体"/>
                <w:b/>
                <w:bCs/>
                <w:kern w:val="0"/>
                <w:sz w:val="21"/>
                <w:szCs w:val="21"/>
                <w:highlight w:val="none"/>
              </w:rPr>
            </w:pPr>
            <w:r>
              <w:rPr>
                <w:rFonts w:hint="eastAsia" w:ascii="宋体" w:hAnsi="宋体"/>
                <w:b/>
                <w:bCs/>
                <w:kern w:val="0"/>
                <w:sz w:val="21"/>
                <w:szCs w:val="21"/>
                <w:highlight w:val="none"/>
              </w:rPr>
              <w:t>□不设最高限价。</w:t>
            </w:r>
          </w:p>
          <w:p w14:paraId="179954B6">
            <w:pPr>
              <w:spacing w:line="360" w:lineRule="auto"/>
              <w:rPr>
                <w:rFonts w:hint="eastAsia" w:ascii="宋体" w:hAnsi="宋体"/>
                <w:b/>
                <w:bCs/>
                <w:sz w:val="21"/>
                <w:szCs w:val="21"/>
                <w:highlight w:val="none"/>
                <w:lang w:eastAsia="zh-CN"/>
              </w:rPr>
            </w:pPr>
            <w:r>
              <w:rPr>
                <w:rFonts w:ascii="宋体" w:hAnsi="宋体"/>
                <w:b/>
                <w:bCs/>
                <w:sz w:val="21"/>
                <w:szCs w:val="21"/>
                <w:highlight w:val="none"/>
              </w:rPr>
              <w:sym w:font="Wingdings" w:char="F0FE"/>
            </w:r>
            <w:r>
              <w:rPr>
                <w:rFonts w:hint="eastAsia" w:ascii="宋体" w:hAnsi="宋体"/>
                <w:b/>
                <w:bCs/>
                <w:sz w:val="21"/>
                <w:szCs w:val="21"/>
                <w:highlight w:val="none"/>
              </w:rPr>
              <w:t>设最高限价</w:t>
            </w:r>
            <w:r>
              <w:rPr>
                <w:rFonts w:hint="eastAsia" w:ascii="宋体" w:hAnsi="宋体"/>
                <w:b/>
                <w:bCs/>
                <w:sz w:val="21"/>
                <w:szCs w:val="21"/>
                <w:highlight w:val="none"/>
                <w:lang w:eastAsia="zh-CN"/>
              </w:rPr>
              <w:t>。</w:t>
            </w:r>
          </w:p>
          <w:p w14:paraId="58E6AB55">
            <w:pPr>
              <w:spacing w:line="240" w:lineRule="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一标包：80000元/街坊</w:t>
            </w:r>
          </w:p>
          <w:p w14:paraId="2441861E">
            <w:pPr>
              <w:spacing w:line="360" w:lineRule="auto"/>
              <w:ind w:left="0" w:leftChars="0" w:firstLine="0" w:firstLineChars="0"/>
              <w:rPr>
                <w:b/>
                <w:bCs/>
                <w:sz w:val="21"/>
                <w:szCs w:val="21"/>
                <w:highlight w:val="none"/>
              </w:rPr>
            </w:pPr>
            <w:r>
              <w:rPr>
                <w:rFonts w:hint="eastAsia" w:ascii="宋体" w:hAnsi="宋体"/>
                <w:b/>
                <w:bCs/>
                <w:sz w:val="21"/>
                <w:szCs w:val="21"/>
                <w:highlight w:val="none"/>
              </w:rPr>
              <w:t>投标报价高于最高限价的为无效投标。</w:t>
            </w:r>
          </w:p>
        </w:tc>
      </w:tr>
      <w:tr w14:paraId="3079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51D0FF2">
            <w:pPr>
              <w:spacing w:line="360" w:lineRule="auto"/>
              <w:jc w:val="center"/>
              <w:rPr>
                <w:rFonts w:ascii="宋体" w:hAnsi="宋体" w:cs="宋体"/>
                <w:sz w:val="21"/>
                <w:szCs w:val="21"/>
                <w:highlight w:val="none"/>
              </w:rPr>
            </w:pPr>
            <w:r>
              <w:rPr>
                <w:rFonts w:hint="eastAsia" w:ascii="宋体" w:hAnsi="宋体" w:cs="宋体"/>
                <w:sz w:val="21"/>
                <w:szCs w:val="21"/>
                <w:highlight w:val="none"/>
              </w:rPr>
              <w:t>3.2.4</w:t>
            </w:r>
          </w:p>
        </w:tc>
        <w:tc>
          <w:tcPr>
            <w:tcW w:w="1875" w:type="dxa"/>
            <w:vAlign w:val="center"/>
          </w:tcPr>
          <w:p w14:paraId="74939C42">
            <w:pPr>
              <w:spacing w:line="360" w:lineRule="auto"/>
              <w:jc w:val="center"/>
              <w:rPr>
                <w:rFonts w:ascii="宋体" w:hAnsi="宋体" w:cs="宋体"/>
                <w:sz w:val="21"/>
                <w:szCs w:val="21"/>
                <w:highlight w:val="none"/>
              </w:rPr>
            </w:pPr>
            <w:r>
              <w:rPr>
                <w:rFonts w:hint="eastAsia" w:ascii="宋体" w:hAnsi="宋体"/>
                <w:sz w:val="21"/>
                <w:szCs w:val="21"/>
                <w:highlight w:val="none"/>
              </w:rPr>
              <w:t>报价币种</w:t>
            </w:r>
          </w:p>
        </w:tc>
        <w:tc>
          <w:tcPr>
            <w:tcW w:w="7132" w:type="dxa"/>
            <w:vAlign w:val="center"/>
          </w:tcPr>
          <w:p w14:paraId="53A3C49E">
            <w:pPr>
              <w:spacing w:line="240" w:lineRule="auto"/>
              <w:rPr>
                <w:rFonts w:ascii="宋体" w:hAnsi="宋体" w:cs="宋体"/>
                <w:sz w:val="21"/>
                <w:szCs w:val="21"/>
                <w:highlight w:val="none"/>
              </w:rPr>
            </w:pPr>
            <w:r>
              <w:rPr>
                <w:rFonts w:hint="eastAsia" w:ascii="宋体" w:hAnsi="宋体" w:cs="宋体"/>
                <w:sz w:val="21"/>
                <w:szCs w:val="21"/>
                <w:highlight w:val="none"/>
              </w:rPr>
              <w:t>1、全部报价均应以人民币为计量货币，并以人民币进行结算。</w:t>
            </w:r>
          </w:p>
          <w:p w14:paraId="4617D7ED">
            <w:pPr>
              <w:spacing w:line="240" w:lineRule="auto"/>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投标人</w:t>
            </w:r>
            <w:r>
              <w:rPr>
                <w:rFonts w:hint="eastAsia" w:ascii="宋体" w:hAnsi="宋体" w:cs="宋体"/>
                <w:sz w:val="21"/>
                <w:szCs w:val="21"/>
                <w:highlight w:val="none"/>
              </w:rPr>
              <w:t>的投标报价不得超出最高限价，其价格包含所有费用，勘察费、车旅费等其他费用不再另行结算。</w:t>
            </w:r>
          </w:p>
        </w:tc>
      </w:tr>
      <w:tr w14:paraId="198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E1DC12E">
            <w:pPr>
              <w:spacing w:line="360" w:lineRule="auto"/>
              <w:jc w:val="center"/>
              <w:rPr>
                <w:rFonts w:ascii="宋体" w:hAnsi="宋体" w:cs="宋体"/>
                <w:sz w:val="21"/>
                <w:szCs w:val="21"/>
                <w:highlight w:val="none"/>
              </w:rPr>
            </w:pPr>
            <w:r>
              <w:rPr>
                <w:rFonts w:hint="eastAsia" w:ascii="宋体" w:hAnsi="宋体" w:cs="宋体"/>
                <w:sz w:val="21"/>
                <w:szCs w:val="21"/>
                <w:highlight w:val="none"/>
              </w:rPr>
              <w:t>3.3.1</w:t>
            </w:r>
          </w:p>
        </w:tc>
        <w:tc>
          <w:tcPr>
            <w:tcW w:w="1875" w:type="dxa"/>
            <w:vAlign w:val="center"/>
          </w:tcPr>
          <w:p w14:paraId="222F0255">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投标有效期</w:t>
            </w:r>
          </w:p>
        </w:tc>
        <w:tc>
          <w:tcPr>
            <w:tcW w:w="7132" w:type="dxa"/>
            <w:vAlign w:val="center"/>
          </w:tcPr>
          <w:p w14:paraId="1B3588D0">
            <w:pPr>
              <w:spacing w:line="360" w:lineRule="auto"/>
              <w:rPr>
                <w:rFonts w:ascii="宋体" w:hAnsi="宋体" w:cs="宋体"/>
                <w:sz w:val="21"/>
                <w:szCs w:val="21"/>
                <w:highlight w:val="none"/>
              </w:rPr>
            </w:pPr>
            <w:r>
              <w:rPr>
                <w:rFonts w:hint="eastAsia" w:ascii="宋体" w:hAnsi="宋体" w:cs="宋体"/>
                <w:sz w:val="21"/>
                <w:szCs w:val="21"/>
                <w:highlight w:val="none"/>
              </w:rPr>
              <w:t>自投标截止日起</w:t>
            </w:r>
            <w:r>
              <w:rPr>
                <w:rFonts w:hint="eastAsia" w:ascii="宋体" w:hAnsi="宋体" w:cs="宋体"/>
                <w:sz w:val="21"/>
                <w:szCs w:val="21"/>
                <w:highlight w:val="none"/>
                <w:u w:val="single"/>
              </w:rPr>
              <w:t>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0　</w:t>
            </w:r>
            <w:r>
              <w:rPr>
                <w:rFonts w:hint="eastAsia" w:ascii="宋体" w:hAnsi="宋体" w:cs="宋体"/>
                <w:sz w:val="21"/>
                <w:szCs w:val="21"/>
                <w:highlight w:val="none"/>
              </w:rPr>
              <w:t>日历天</w:t>
            </w:r>
          </w:p>
        </w:tc>
      </w:tr>
      <w:tr w14:paraId="5B5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3F025BE">
            <w:pPr>
              <w:spacing w:line="360" w:lineRule="auto"/>
              <w:jc w:val="center"/>
              <w:rPr>
                <w:rFonts w:ascii="宋体" w:hAnsi="宋体" w:cs="宋体"/>
                <w:sz w:val="21"/>
                <w:szCs w:val="21"/>
                <w:highlight w:val="none"/>
              </w:rPr>
            </w:pPr>
            <w:r>
              <w:rPr>
                <w:rFonts w:hint="eastAsia" w:ascii="宋体" w:hAnsi="宋体" w:cs="宋体"/>
                <w:sz w:val="21"/>
                <w:szCs w:val="21"/>
                <w:highlight w:val="none"/>
              </w:rPr>
              <w:t>3.4.1</w:t>
            </w:r>
          </w:p>
        </w:tc>
        <w:tc>
          <w:tcPr>
            <w:tcW w:w="1875" w:type="dxa"/>
            <w:vAlign w:val="center"/>
          </w:tcPr>
          <w:p w14:paraId="11C39B58">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投标保证金</w:t>
            </w:r>
          </w:p>
        </w:tc>
        <w:tc>
          <w:tcPr>
            <w:tcW w:w="7132" w:type="dxa"/>
            <w:vAlign w:val="center"/>
          </w:tcPr>
          <w:p w14:paraId="468C5FA0">
            <w:pPr>
              <w:spacing w:line="360" w:lineRule="auto"/>
              <w:ind w:left="210" w:hanging="210" w:hangingChars="100"/>
              <w:rPr>
                <w:rFonts w:ascii="宋体" w:hAnsi="宋体" w:cs="宋体"/>
                <w:sz w:val="21"/>
                <w:szCs w:val="21"/>
                <w:highlight w:val="none"/>
              </w:rPr>
            </w:pPr>
            <w:r>
              <w:rPr>
                <w:rFonts w:hint="eastAsia" w:ascii="宋体" w:hAnsi="宋体" w:cs="宋体"/>
                <w:sz w:val="21"/>
                <w:szCs w:val="21"/>
                <w:highlight w:val="none"/>
              </w:rPr>
              <w:t>不收取</w:t>
            </w:r>
          </w:p>
        </w:tc>
      </w:tr>
      <w:tr w14:paraId="7DCE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2DBE731">
            <w:pPr>
              <w:spacing w:line="360" w:lineRule="auto"/>
              <w:jc w:val="center"/>
              <w:rPr>
                <w:rFonts w:ascii="宋体" w:hAnsi="宋体" w:cs="宋体"/>
                <w:sz w:val="21"/>
                <w:szCs w:val="21"/>
                <w:highlight w:val="none"/>
              </w:rPr>
            </w:pPr>
            <w:r>
              <w:rPr>
                <w:rFonts w:hint="eastAsia" w:ascii="宋体" w:hAnsi="宋体" w:cs="宋体"/>
                <w:sz w:val="21"/>
                <w:szCs w:val="21"/>
                <w:highlight w:val="none"/>
              </w:rPr>
              <w:t>3.5.2</w:t>
            </w:r>
          </w:p>
        </w:tc>
        <w:tc>
          <w:tcPr>
            <w:tcW w:w="1875" w:type="dxa"/>
            <w:vAlign w:val="center"/>
          </w:tcPr>
          <w:p w14:paraId="19AF9754">
            <w:pPr>
              <w:spacing w:line="240" w:lineRule="auto"/>
              <w:jc w:val="center"/>
              <w:rPr>
                <w:rFonts w:ascii="宋体" w:hAnsi="宋体"/>
                <w:sz w:val="21"/>
                <w:szCs w:val="21"/>
                <w:highlight w:val="none"/>
              </w:rPr>
            </w:pPr>
            <w:r>
              <w:rPr>
                <w:rFonts w:hint="eastAsia" w:ascii="宋体" w:hAnsi="宋体" w:cs="宋体"/>
                <w:sz w:val="21"/>
                <w:szCs w:val="21"/>
                <w:highlight w:val="none"/>
              </w:rPr>
              <w:t>近年完成的类似项目情况</w:t>
            </w:r>
          </w:p>
        </w:tc>
        <w:tc>
          <w:tcPr>
            <w:tcW w:w="7132" w:type="dxa"/>
            <w:vAlign w:val="center"/>
          </w:tcPr>
          <w:p w14:paraId="2001BEA6">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lang w:eastAsia="zh-CN"/>
              </w:rPr>
              <w:t>具体详见评标办法</w:t>
            </w:r>
          </w:p>
        </w:tc>
      </w:tr>
      <w:tr w14:paraId="718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A03FD1B">
            <w:pPr>
              <w:spacing w:line="360" w:lineRule="auto"/>
              <w:jc w:val="center"/>
              <w:rPr>
                <w:rFonts w:ascii="宋体" w:hAnsi="宋体" w:cs="宋体"/>
                <w:sz w:val="21"/>
                <w:szCs w:val="21"/>
                <w:highlight w:val="none"/>
              </w:rPr>
            </w:pPr>
            <w:r>
              <w:rPr>
                <w:rFonts w:hint="eastAsia" w:ascii="宋体" w:hAnsi="宋体" w:cs="宋体"/>
                <w:sz w:val="21"/>
                <w:szCs w:val="21"/>
                <w:highlight w:val="none"/>
              </w:rPr>
              <w:t>3.5.3</w:t>
            </w:r>
          </w:p>
        </w:tc>
        <w:tc>
          <w:tcPr>
            <w:tcW w:w="1875" w:type="dxa"/>
            <w:vAlign w:val="center"/>
          </w:tcPr>
          <w:p w14:paraId="6C801944">
            <w:pPr>
              <w:spacing w:line="360" w:lineRule="auto"/>
              <w:jc w:val="center"/>
              <w:rPr>
                <w:rFonts w:ascii="宋体" w:hAnsi="宋体"/>
                <w:sz w:val="21"/>
                <w:szCs w:val="21"/>
                <w:highlight w:val="none"/>
              </w:rPr>
            </w:pPr>
            <w:r>
              <w:rPr>
                <w:rFonts w:hint="eastAsia" w:ascii="宋体" w:hAnsi="宋体" w:cs="宋体"/>
                <w:sz w:val="21"/>
                <w:szCs w:val="21"/>
                <w:highlight w:val="none"/>
              </w:rPr>
              <w:t>近年财务状况</w:t>
            </w:r>
          </w:p>
        </w:tc>
        <w:tc>
          <w:tcPr>
            <w:tcW w:w="7132" w:type="dxa"/>
            <w:vAlign w:val="center"/>
          </w:tcPr>
          <w:p w14:paraId="32F2AF41">
            <w:pPr>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2068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9DE1374">
            <w:pPr>
              <w:spacing w:line="360" w:lineRule="auto"/>
              <w:jc w:val="center"/>
              <w:rPr>
                <w:rFonts w:ascii="宋体" w:hAnsi="宋体" w:cs="宋体"/>
                <w:sz w:val="21"/>
                <w:szCs w:val="21"/>
                <w:highlight w:val="none"/>
              </w:rPr>
            </w:pPr>
            <w:r>
              <w:rPr>
                <w:rFonts w:hint="eastAsia" w:ascii="宋体" w:hAnsi="宋体" w:cs="宋体"/>
                <w:sz w:val="21"/>
                <w:szCs w:val="21"/>
                <w:highlight w:val="none"/>
              </w:rPr>
              <w:t>3.6.3</w:t>
            </w:r>
          </w:p>
        </w:tc>
        <w:tc>
          <w:tcPr>
            <w:tcW w:w="1875" w:type="dxa"/>
            <w:vAlign w:val="center"/>
          </w:tcPr>
          <w:p w14:paraId="7CD09791">
            <w:pPr>
              <w:spacing w:line="360" w:lineRule="auto"/>
              <w:jc w:val="left"/>
              <w:rPr>
                <w:rFonts w:ascii="宋体" w:hAnsi="宋体"/>
                <w:sz w:val="21"/>
                <w:szCs w:val="21"/>
                <w:highlight w:val="none"/>
              </w:rPr>
            </w:pPr>
            <w:r>
              <w:rPr>
                <w:rFonts w:hint="eastAsia" w:ascii="宋体" w:hAnsi="宋体"/>
                <w:sz w:val="21"/>
                <w:szCs w:val="21"/>
                <w:highlight w:val="none"/>
              </w:rPr>
              <w:t>签字、盖章要求</w:t>
            </w:r>
          </w:p>
        </w:tc>
        <w:tc>
          <w:tcPr>
            <w:tcW w:w="7132" w:type="dxa"/>
            <w:vAlign w:val="center"/>
          </w:tcPr>
          <w:p w14:paraId="2B6377CB">
            <w:pPr>
              <w:spacing w:line="360" w:lineRule="auto"/>
              <w:jc w:val="left"/>
              <w:rPr>
                <w:rFonts w:ascii="宋体" w:hAnsi="宋体"/>
                <w:sz w:val="21"/>
                <w:szCs w:val="21"/>
                <w:highlight w:val="none"/>
              </w:rPr>
            </w:pPr>
            <w:r>
              <w:rPr>
                <w:rFonts w:hint="eastAsia" w:ascii="宋体" w:hAnsi="宋体"/>
                <w:sz w:val="21"/>
                <w:szCs w:val="21"/>
                <w:highlight w:val="none"/>
              </w:rPr>
              <w:t>投标文件全部采用电子文档，投标文件所附证书证件均为原件扫描件，</w:t>
            </w:r>
            <w:r>
              <w:rPr>
                <w:rFonts w:hint="eastAsia" w:ascii="宋体" w:hAnsi="宋体"/>
                <w:color w:val="000000"/>
                <w:szCs w:val="21"/>
                <w:highlight w:val="none"/>
                <w:lang w:bidi="ar-SA"/>
              </w:rPr>
              <w:t>并按招标文件要求在相应位置加盖电子签章或签名。</w:t>
            </w:r>
          </w:p>
        </w:tc>
      </w:tr>
      <w:tr w14:paraId="646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7D5370F">
            <w:pPr>
              <w:spacing w:line="360" w:lineRule="auto"/>
              <w:jc w:val="center"/>
              <w:rPr>
                <w:rFonts w:ascii="宋体" w:hAnsi="宋体" w:cs="宋体"/>
                <w:sz w:val="21"/>
                <w:szCs w:val="21"/>
                <w:highlight w:val="none"/>
              </w:rPr>
            </w:pPr>
            <w:r>
              <w:rPr>
                <w:rFonts w:hint="eastAsia" w:ascii="宋体" w:hAnsi="宋体" w:cs="宋体"/>
                <w:sz w:val="21"/>
                <w:szCs w:val="21"/>
                <w:highlight w:val="none"/>
              </w:rPr>
              <w:t>3.6.4</w:t>
            </w:r>
          </w:p>
        </w:tc>
        <w:tc>
          <w:tcPr>
            <w:tcW w:w="1875" w:type="dxa"/>
            <w:vAlign w:val="center"/>
          </w:tcPr>
          <w:p w14:paraId="4FB7C7F7">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投标文件份数</w:t>
            </w:r>
          </w:p>
        </w:tc>
        <w:tc>
          <w:tcPr>
            <w:tcW w:w="7132" w:type="dxa"/>
            <w:vAlign w:val="center"/>
          </w:tcPr>
          <w:p w14:paraId="5332A42D">
            <w:pPr>
              <w:spacing w:line="360" w:lineRule="auto"/>
              <w:jc w:val="left"/>
              <w:rPr>
                <w:rFonts w:ascii="宋体" w:hAnsi="宋体"/>
                <w:sz w:val="21"/>
                <w:szCs w:val="21"/>
                <w:highlight w:val="none"/>
              </w:rPr>
            </w:pPr>
            <w:r>
              <w:rPr>
                <w:rFonts w:hint="eastAsia" w:ascii="宋体" w:hAnsi="宋体"/>
                <w:sz w:val="21"/>
                <w:szCs w:val="21"/>
                <w:highlight w:val="none"/>
              </w:rPr>
              <w:t>加密的电子投标文件</w:t>
            </w:r>
            <w:r>
              <w:rPr>
                <w:rFonts w:hint="eastAsia" w:ascii="宋体" w:hAnsi="宋体"/>
                <w:b/>
                <w:sz w:val="21"/>
                <w:szCs w:val="21"/>
                <w:highlight w:val="none"/>
              </w:rPr>
              <w:t>壹</w:t>
            </w:r>
            <w:r>
              <w:rPr>
                <w:rFonts w:hint="eastAsia" w:ascii="宋体" w:hAnsi="宋体"/>
                <w:sz w:val="21"/>
                <w:szCs w:val="21"/>
                <w:highlight w:val="none"/>
              </w:rPr>
              <w:t>份（在开封市公共资源交易网会员系统指定位置上传）；</w:t>
            </w:r>
          </w:p>
        </w:tc>
      </w:tr>
      <w:tr w14:paraId="77AD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C11DEBA">
            <w:pPr>
              <w:spacing w:line="360" w:lineRule="auto"/>
              <w:jc w:val="center"/>
              <w:rPr>
                <w:rFonts w:ascii="宋体" w:hAnsi="宋体" w:cs="宋体"/>
                <w:sz w:val="21"/>
                <w:szCs w:val="21"/>
                <w:highlight w:val="none"/>
              </w:rPr>
            </w:pPr>
            <w:r>
              <w:rPr>
                <w:rFonts w:hint="eastAsia" w:ascii="宋体" w:hAnsi="宋体" w:cs="宋体"/>
                <w:sz w:val="21"/>
                <w:szCs w:val="21"/>
                <w:highlight w:val="none"/>
              </w:rPr>
              <w:t>4.1</w:t>
            </w:r>
          </w:p>
        </w:tc>
        <w:tc>
          <w:tcPr>
            <w:tcW w:w="1875" w:type="dxa"/>
            <w:vAlign w:val="center"/>
          </w:tcPr>
          <w:p w14:paraId="311DF5EE">
            <w:pPr>
              <w:spacing w:line="360" w:lineRule="auto"/>
              <w:jc w:val="center"/>
              <w:rPr>
                <w:rFonts w:ascii="宋体" w:hAnsi="宋体" w:cs="宋体"/>
                <w:sz w:val="21"/>
                <w:szCs w:val="21"/>
                <w:highlight w:val="none"/>
              </w:rPr>
            </w:pPr>
            <w:r>
              <w:rPr>
                <w:rFonts w:hint="eastAsia" w:ascii="宋体" w:hAnsi="宋体" w:cs="宋体"/>
                <w:sz w:val="21"/>
                <w:szCs w:val="21"/>
                <w:highlight w:val="none"/>
              </w:rPr>
              <w:t>递交投标文件地点</w:t>
            </w:r>
          </w:p>
        </w:tc>
        <w:tc>
          <w:tcPr>
            <w:tcW w:w="7132" w:type="dxa"/>
            <w:vAlign w:val="center"/>
          </w:tcPr>
          <w:p w14:paraId="2E510E0E">
            <w:pPr>
              <w:spacing w:line="396"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）电子投标文件的递交</w:t>
            </w:r>
            <w:r>
              <w:rPr>
                <w:rFonts w:hint="eastAsia" w:ascii="宋体" w:hAnsi="宋体"/>
                <w:sz w:val="21"/>
                <w:szCs w:val="21"/>
                <w:highlight w:val="none"/>
                <w:lang w:eastAsia="zh-CN"/>
              </w:rPr>
              <w:t>：</w:t>
            </w:r>
            <w:r>
              <w:rPr>
                <w:rFonts w:hint="eastAsia" w:ascii="宋体" w:hAnsi="宋体"/>
                <w:highlight w:val="none"/>
              </w:rPr>
              <w:t>通过开封市公共资源交易网递交电子投标文件(超时拒收)</w:t>
            </w:r>
          </w:p>
          <w:p w14:paraId="436285B4">
            <w:pPr>
              <w:spacing w:line="360" w:lineRule="auto"/>
              <w:jc w:val="left"/>
              <w:rPr>
                <w:rFonts w:ascii="宋体" w:hAnsi="宋体"/>
                <w:sz w:val="21"/>
                <w:szCs w:val="21"/>
                <w:highlight w:val="none"/>
              </w:rPr>
            </w:pPr>
            <w:r>
              <w:rPr>
                <w:rFonts w:ascii="宋体" w:hAnsi="宋体"/>
                <w:sz w:val="21"/>
                <w:szCs w:val="21"/>
                <w:highlight w:val="none"/>
              </w:rPr>
              <w:t>a</w:t>
            </w:r>
            <w:r>
              <w:rPr>
                <w:rFonts w:hint="eastAsia" w:ascii="宋体" w:hAnsi="宋体"/>
                <w:sz w:val="21"/>
                <w:szCs w:val="21"/>
                <w:highlight w:val="none"/>
              </w:rPr>
              <w:t>、各</w:t>
            </w:r>
            <w:r>
              <w:rPr>
                <w:rFonts w:hint="eastAsia" w:ascii="宋体" w:hAnsi="宋体"/>
                <w:sz w:val="21"/>
                <w:szCs w:val="21"/>
                <w:highlight w:val="none"/>
                <w:lang w:eastAsia="zh-CN"/>
              </w:rPr>
              <w:t>投标人</w:t>
            </w:r>
            <w:r>
              <w:rPr>
                <w:rFonts w:hint="eastAsia" w:ascii="宋体" w:hAnsi="宋体"/>
                <w:sz w:val="21"/>
                <w:szCs w:val="21"/>
                <w:highlight w:val="none"/>
              </w:rPr>
              <w:t>应在投标截止时间前上传加密的电子投标文件到会员系统的指定位置。请</w:t>
            </w:r>
            <w:r>
              <w:rPr>
                <w:rFonts w:hint="eastAsia" w:ascii="宋体" w:hAnsi="宋体"/>
                <w:sz w:val="21"/>
                <w:szCs w:val="21"/>
                <w:highlight w:val="none"/>
                <w:lang w:eastAsia="zh-CN"/>
              </w:rPr>
              <w:t>投标人</w:t>
            </w:r>
            <w:r>
              <w:rPr>
                <w:rFonts w:hint="eastAsia" w:ascii="宋体" w:hAnsi="宋体"/>
                <w:sz w:val="21"/>
                <w:szCs w:val="21"/>
                <w:highlight w:val="none"/>
              </w:rPr>
              <w:t>在上传时认真检查上传投标文件是否完整、正确。</w:t>
            </w:r>
          </w:p>
          <w:p w14:paraId="29538699">
            <w:pPr>
              <w:spacing w:line="360" w:lineRule="auto"/>
              <w:jc w:val="left"/>
              <w:rPr>
                <w:rFonts w:ascii="宋体" w:hAnsi="宋体" w:cs="宋体"/>
                <w:b/>
                <w:sz w:val="21"/>
                <w:szCs w:val="21"/>
                <w:highlight w:val="none"/>
              </w:rPr>
            </w:pPr>
            <w:r>
              <w:rPr>
                <w:rFonts w:ascii="宋体" w:hAnsi="宋体"/>
                <w:sz w:val="21"/>
                <w:szCs w:val="21"/>
                <w:highlight w:val="none"/>
              </w:rPr>
              <w:t>b</w:t>
            </w:r>
            <w:r>
              <w:rPr>
                <w:rFonts w:hint="eastAsia" w:ascii="宋体" w:hAnsi="宋体"/>
                <w:sz w:val="21"/>
                <w:szCs w:val="21"/>
                <w:highlight w:val="none"/>
              </w:rPr>
              <w:t>、</w:t>
            </w:r>
            <w:r>
              <w:rPr>
                <w:rFonts w:hint="eastAsia" w:ascii="宋体" w:hAnsi="宋体"/>
                <w:sz w:val="21"/>
                <w:szCs w:val="21"/>
                <w:highlight w:val="none"/>
                <w:lang w:eastAsia="zh-CN"/>
              </w:rPr>
              <w:t>投标人</w:t>
            </w:r>
            <w:r>
              <w:rPr>
                <w:rFonts w:hint="eastAsia" w:ascii="宋体" w:hAnsi="宋体"/>
                <w:sz w:val="21"/>
                <w:szCs w:val="21"/>
                <w:highlight w:val="none"/>
              </w:rPr>
              <w:t>因交易中心投标系统问题无法上传电子投标文件时，</w:t>
            </w:r>
            <w:r>
              <w:rPr>
                <w:rFonts w:hint="eastAsia" w:ascii="宋体" w:hAnsi="宋体"/>
                <w:b/>
                <w:sz w:val="21"/>
                <w:szCs w:val="21"/>
                <w:highlight w:val="none"/>
              </w:rPr>
              <w:t>请在工作时间与开封市公共资源交易中心交易平台运维电话联系，联系电话：0371-23859291</w:t>
            </w:r>
          </w:p>
        </w:tc>
      </w:tr>
      <w:tr w14:paraId="3A0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7" w:type="dxa"/>
            <w:vAlign w:val="center"/>
          </w:tcPr>
          <w:p w14:paraId="20E7C9D4">
            <w:pPr>
              <w:spacing w:line="360" w:lineRule="auto"/>
              <w:jc w:val="center"/>
              <w:rPr>
                <w:rFonts w:ascii="宋体" w:hAnsi="宋体" w:cs="宋体"/>
                <w:sz w:val="21"/>
                <w:szCs w:val="21"/>
                <w:highlight w:val="none"/>
              </w:rPr>
            </w:pPr>
            <w:r>
              <w:rPr>
                <w:rFonts w:hint="eastAsia" w:ascii="宋体" w:hAnsi="宋体" w:cs="宋体"/>
                <w:sz w:val="21"/>
                <w:szCs w:val="21"/>
                <w:highlight w:val="none"/>
              </w:rPr>
              <w:t>5.1</w:t>
            </w:r>
          </w:p>
        </w:tc>
        <w:tc>
          <w:tcPr>
            <w:tcW w:w="1875" w:type="dxa"/>
            <w:vAlign w:val="center"/>
          </w:tcPr>
          <w:p w14:paraId="75C00DA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投标截止及开标时间、地点</w:t>
            </w:r>
          </w:p>
        </w:tc>
        <w:tc>
          <w:tcPr>
            <w:tcW w:w="7132" w:type="dxa"/>
            <w:vAlign w:val="center"/>
          </w:tcPr>
          <w:p w14:paraId="39EE9E31">
            <w:pPr>
              <w:spacing w:line="360" w:lineRule="auto"/>
              <w:rPr>
                <w:rFonts w:ascii="宋体" w:hAnsi="宋体"/>
                <w:b/>
                <w:sz w:val="21"/>
                <w:szCs w:val="21"/>
                <w:highlight w:val="none"/>
              </w:rPr>
            </w:pPr>
            <w:r>
              <w:rPr>
                <w:rFonts w:hint="eastAsia" w:ascii="宋体" w:hAnsi="宋体"/>
                <w:sz w:val="21"/>
                <w:szCs w:val="21"/>
                <w:highlight w:val="none"/>
              </w:rPr>
              <w:t>投标截止及</w:t>
            </w:r>
            <w:r>
              <w:rPr>
                <w:rFonts w:ascii="宋体" w:hAnsi="宋体"/>
                <w:sz w:val="21"/>
                <w:szCs w:val="21"/>
                <w:highlight w:val="none"/>
              </w:rPr>
              <w:t>开标时间</w:t>
            </w:r>
            <w:r>
              <w:rPr>
                <w:rFonts w:hint="eastAsia" w:ascii="宋体" w:hAnsi="宋体"/>
                <w:color w:val="auto"/>
                <w:sz w:val="21"/>
                <w:szCs w:val="21"/>
                <w:highlight w:val="none"/>
              </w:rPr>
              <w:t>：</w:t>
            </w:r>
            <w:r>
              <w:rPr>
                <w:rFonts w:hint="eastAsia" w:ascii="宋体" w:hAnsi="宋体"/>
                <w:b/>
                <w:bCs/>
                <w:color w:val="auto"/>
                <w:sz w:val="21"/>
                <w:szCs w:val="21"/>
                <w:highlight w:val="none"/>
              </w:rPr>
              <w:t>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 xml:space="preserve"> 7 </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15</w:t>
            </w:r>
            <w:r>
              <w:rPr>
                <w:rFonts w:hint="eastAsia" w:ascii="宋体" w:hAnsi="宋体"/>
                <w:b/>
                <w:bCs/>
                <w:color w:val="auto"/>
                <w:sz w:val="21"/>
                <w:szCs w:val="21"/>
                <w:highlight w:val="none"/>
              </w:rPr>
              <w:t>日09时30分</w:t>
            </w:r>
            <w:r>
              <w:rPr>
                <w:rFonts w:hint="eastAsia" w:ascii="宋体" w:hAnsi="宋体" w:cs="宋体"/>
                <w:b/>
                <w:kern w:val="0"/>
                <w:sz w:val="21"/>
                <w:szCs w:val="21"/>
                <w:highlight w:val="none"/>
              </w:rPr>
              <w:t>（</w:t>
            </w:r>
            <w:r>
              <w:rPr>
                <w:rFonts w:hint="eastAsia" w:ascii="宋体" w:hAnsi="宋体" w:cs="宋体"/>
                <w:b/>
                <w:kern w:val="0"/>
                <w:sz w:val="21"/>
                <w:szCs w:val="21"/>
                <w:highlight w:val="none"/>
              </w:rPr>
              <w:t>北京时间）</w:t>
            </w:r>
          </w:p>
          <w:p w14:paraId="5ADCFE39">
            <w:pPr>
              <w:spacing w:line="360" w:lineRule="auto"/>
              <w:rPr>
                <w:rFonts w:ascii="宋体" w:hAnsi="宋体" w:cs="宋体"/>
                <w:sz w:val="21"/>
                <w:szCs w:val="21"/>
                <w:highlight w:val="none"/>
              </w:rPr>
            </w:pPr>
            <w:r>
              <w:rPr>
                <w:rFonts w:ascii="宋体" w:hAnsi="宋体"/>
                <w:sz w:val="21"/>
                <w:szCs w:val="21"/>
                <w:highlight w:val="none"/>
              </w:rPr>
              <w:t>开标地点</w:t>
            </w:r>
            <w:r>
              <w:rPr>
                <w:rFonts w:hint="eastAsia" w:ascii="宋体" w:hAnsi="宋体"/>
                <w:sz w:val="21"/>
                <w:szCs w:val="21"/>
                <w:highlight w:val="none"/>
              </w:rPr>
              <w:t>：</w:t>
            </w:r>
            <w:r>
              <w:rPr>
                <w:rFonts w:hint="eastAsia"/>
                <w:b/>
                <w:sz w:val="21"/>
                <w:szCs w:val="21"/>
                <w:highlight w:val="none"/>
              </w:rPr>
              <w:t>本项目采用“远程不见面”开标方式</w:t>
            </w:r>
            <w:r>
              <w:rPr>
                <w:rFonts w:hint="eastAsia"/>
                <w:b/>
                <w:sz w:val="21"/>
                <w:szCs w:val="21"/>
                <w:highlight w:val="none"/>
                <w:lang w:eastAsia="zh-CN"/>
              </w:rPr>
              <w:t>，</w:t>
            </w:r>
            <w:r>
              <w:rPr>
                <w:rFonts w:hint="eastAsia"/>
                <w:b/>
                <w:sz w:val="21"/>
                <w:szCs w:val="21"/>
                <w:highlight w:val="none"/>
              </w:rPr>
              <w:t>投标人无需到现场提交原件资料、无需到开封市</w:t>
            </w:r>
            <w:r>
              <w:rPr>
                <w:rFonts w:hint="eastAsia"/>
                <w:b/>
                <w:sz w:val="21"/>
                <w:szCs w:val="21"/>
                <w:highlight w:val="none"/>
                <w:lang w:eastAsia="zh-CN"/>
              </w:rPr>
              <w:t>祥符区</w:t>
            </w:r>
            <w:r>
              <w:rPr>
                <w:rFonts w:hint="eastAsia"/>
                <w:b/>
                <w:sz w:val="21"/>
                <w:szCs w:val="21"/>
                <w:highlight w:val="none"/>
              </w:rPr>
              <w:t>公共资源交易中心现场参加开标会议；投标人应当在开标时间前,登录远程开标大厅,在线准时参加开标活动并进行投标文件解密、答疑澄清等。</w:t>
            </w:r>
          </w:p>
        </w:tc>
      </w:tr>
      <w:tr w14:paraId="657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7" w:type="dxa"/>
            <w:vAlign w:val="center"/>
          </w:tcPr>
          <w:p w14:paraId="2CFBB36F">
            <w:pPr>
              <w:spacing w:line="360" w:lineRule="auto"/>
              <w:jc w:val="center"/>
              <w:rPr>
                <w:rFonts w:ascii="宋体" w:hAnsi="宋体" w:cs="宋体"/>
                <w:sz w:val="21"/>
                <w:szCs w:val="21"/>
                <w:highlight w:val="none"/>
              </w:rPr>
            </w:pPr>
            <w:r>
              <w:rPr>
                <w:rFonts w:hint="eastAsia" w:ascii="宋体" w:hAnsi="宋体" w:cs="宋体"/>
                <w:sz w:val="21"/>
                <w:szCs w:val="21"/>
                <w:highlight w:val="none"/>
              </w:rPr>
              <w:t>5.2</w:t>
            </w:r>
          </w:p>
        </w:tc>
        <w:tc>
          <w:tcPr>
            <w:tcW w:w="1875" w:type="dxa"/>
            <w:vAlign w:val="center"/>
          </w:tcPr>
          <w:p w14:paraId="1D01A050">
            <w:pPr>
              <w:spacing w:line="396" w:lineRule="exact"/>
              <w:jc w:val="center"/>
              <w:rPr>
                <w:rFonts w:ascii="宋体" w:hAnsi="宋体" w:cs="宋体"/>
                <w:sz w:val="21"/>
                <w:szCs w:val="21"/>
                <w:highlight w:val="none"/>
              </w:rPr>
            </w:pPr>
            <w:r>
              <w:rPr>
                <w:rFonts w:hint="eastAsia" w:ascii="宋体" w:hAnsi="宋体"/>
                <w:highlight w:val="none"/>
              </w:rPr>
              <w:t>开标程序</w:t>
            </w:r>
          </w:p>
        </w:tc>
        <w:tc>
          <w:tcPr>
            <w:tcW w:w="7132" w:type="dxa"/>
            <w:vAlign w:val="center"/>
          </w:tcPr>
          <w:p w14:paraId="4751066C">
            <w:pPr>
              <w:spacing w:line="420" w:lineRule="exact"/>
              <w:rPr>
                <w:rFonts w:ascii="宋体" w:hAnsi="宋体"/>
                <w:highlight w:val="none"/>
                <w:shd w:val="clear" w:color="auto" w:fill="FFFFFF"/>
              </w:rPr>
            </w:pPr>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7BDF55E3">
            <w:pPr>
              <w:spacing w:line="420" w:lineRule="exact"/>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6F7DFFE1">
            <w:pPr>
              <w:spacing w:line="400" w:lineRule="exact"/>
              <w:rPr>
                <w:rFonts w:hint="eastAsia" w:eastAsia="宋体"/>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tc>
      </w:tr>
      <w:tr w14:paraId="1B6F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47" w:type="dxa"/>
            <w:vAlign w:val="center"/>
          </w:tcPr>
          <w:p w14:paraId="4E26B717">
            <w:pPr>
              <w:spacing w:line="360" w:lineRule="auto"/>
              <w:jc w:val="center"/>
              <w:rPr>
                <w:rFonts w:ascii="宋体" w:hAnsi="宋体" w:cs="宋体"/>
                <w:sz w:val="21"/>
                <w:szCs w:val="21"/>
                <w:highlight w:val="none"/>
              </w:rPr>
            </w:pPr>
            <w:r>
              <w:rPr>
                <w:rFonts w:hint="eastAsia" w:ascii="宋体" w:hAnsi="宋体" w:cs="宋体"/>
                <w:sz w:val="21"/>
                <w:szCs w:val="21"/>
                <w:highlight w:val="none"/>
              </w:rPr>
              <w:t>6.1.1</w:t>
            </w:r>
          </w:p>
        </w:tc>
        <w:tc>
          <w:tcPr>
            <w:tcW w:w="1875" w:type="dxa"/>
            <w:vAlign w:val="center"/>
          </w:tcPr>
          <w:p w14:paraId="52AB864F">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评标委员会的组建</w:t>
            </w:r>
          </w:p>
        </w:tc>
        <w:tc>
          <w:tcPr>
            <w:tcW w:w="7132" w:type="dxa"/>
            <w:vAlign w:val="center"/>
          </w:tcPr>
          <w:p w14:paraId="395C8C63">
            <w:pPr>
              <w:spacing w:line="360" w:lineRule="exact"/>
              <w:ind w:left="5" w:hanging="5"/>
              <w:rPr>
                <w:rFonts w:ascii="宋体"/>
                <w:highlight w:val="none"/>
              </w:rPr>
            </w:pPr>
            <w:r>
              <w:rPr>
                <w:rFonts w:hint="eastAsia" w:ascii="宋体" w:hAnsi="宋体"/>
                <w:highlight w:val="none"/>
              </w:rPr>
              <w:t>评标委员会构成:5人，</w:t>
            </w:r>
            <w:r>
              <w:rPr>
                <w:rFonts w:hint="eastAsia" w:ascii="宋体" w:hAnsi="宋体"/>
                <w:highlight w:val="none"/>
                <w:u w:val="single"/>
              </w:rPr>
              <w:t>其中</w:t>
            </w:r>
            <w:r>
              <w:rPr>
                <w:rFonts w:hint="eastAsia" w:ascii="宋体" w:hAnsi="宋体"/>
                <w:highlight w:val="none"/>
                <w:u w:val="single"/>
                <w:lang w:eastAsia="zh-CN"/>
              </w:rPr>
              <w:t>经济</w:t>
            </w:r>
            <w:r>
              <w:rPr>
                <w:rFonts w:hint="eastAsia" w:ascii="宋体" w:hAnsi="宋体"/>
                <w:highlight w:val="none"/>
                <w:u w:val="single"/>
                <w:lang w:val="en-US" w:eastAsia="zh-CN"/>
              </w:rPr>
              <w:t>1人</w:t>
            </w:r>
            <w:r>
              <w:rPr>
                <w:rFonts w:hint="eastAsia" w:ascii="宋体" w:hAnsi="宋体"/>
                <w:highlight w:val="none"/>
                <w:u w:val="single"/>
                <w:lang w:eastAsia="zh-CN"/>
              </w:rPr>
              <w:t>、技术</w:t>
            </w:r>
            <w:r>
              <w:rPr>
                <w:rFonts w:hint="eastAsia" w:ascii="宋体" w:hAnsi="宋体"/>
                <w:highlight w:val="none"/>
                <w:u w:val="single"/>
              </w:rPr>
              <w:t>专家</w:t>
            </w:r>
            <w:r>
              <w:rPr>
                <w:rFonts w:hint="eastAsia" w:ascii="宋体" w:hAnsi="宋体"/>
                <w:highlight w:val="none"/>
                <w:u w:val="single"/>
                <w:lang w:val="en-US" w:eastAsia="zh-CN"/>
              </w:rPr>
              <w:t>4</w:t>
            </w:r>
            <w:r>
              <w:rPr>
                <w:rFonts w:hint="eastAsia" w:ascii="宋体" w:hAnsi="宋体"/>
                <w:highlight w:val="none"/>
                <w:u w:val="single"/>
              </w:rPr>
              <w:t>人</w:t>
            </w:r>
            <w:r>
              <w:rPr>
                <w:rFonts w:hint="eastAsia" w:ascii="宋体" w:hAnsi="宋体"/>
                <w:highlight w:val="none"/>
              </w:rPr>
              <w:t>；</w:t>
            </w:r>
          </w:p>
          <w:p w14:paraId="44E3CA92">
            <w:pPr>
              <w:spacing w:line="396" w:lineRule="exact"/>
              <w:rPr>
                <w:rFonts w:ascii="宋体" w:hAnsi="宋体" w:cs="宋体"/>
                <w:b w:val="0"/>
                <w:bCs/>
                <w:sz w:val="21"/>
                <w:szCs w:val="21"/>
                <w:highlight w:val="none"/>
              </w:rPr>
            </w:pPr>
            <w:r>
              <w:rPr>
                <w:rFonts w:hint="eastAsia" w:ascii="宋体" w:hAnsi="宋体"/>
                <w:kern w:val="0"/>
                <w:highlight w:val="none"/>
              </w:rPr>
              <w:t>评标专家确定方式评标专家确定方式：从省级相关专家库中随机抽取。</w:t>
            </w:r>
          </w:p>
        </w:tc>
      </w:tr>
      <w:tr w14:paraId="1272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47" w:type="dxa"/>
            <w:vAlign w:val="center"/>
          </w:tcPr>
          <w:p w14:paraId="5FA337A6">
            <w:pPr>
              <w:spacing w:line="360" w:lineRule="auto"/>
              <w:jc w:val="center"/>
              <w:rPr>
                <w:rFonts w:ascii="宋体" w:hAnsi="宋体" w:cs="宋体"/>
                <w:sz w:val="21"/>
                <w:szCs w:val="21"/>
                <w:highlight w:val="none"/>
              </w:rPr>
            </w:pPr>
            <w:r>
              <w:rPr>
                <w:rFonts w:hint="eastAsia" w:ascii="宋体" w:hAnsi="宋体" w:cs="宋体"/>
                <w:sz w:val="21"/>
                <w:szCs w:val="21"/>
                <w:highlight w:val="none"/>
              </w:rPr>
              <w:t>7.1</w:t>
            </w:r>
          </w:p>
        </w:tc>
        <w:tc>
          <w:tcPr>
            <w:tcW w:w="1875" w:type="dxa"/>
            <w:vAlign w:val="center"/>
          </w:tcPr>
          <w:p w14:paraId="52C7E957">
            <w:pPr>
              <w:spacing w:line="360" w:lineRule="auto"/>
              <w:jc w:val="center"/>
              <w:rPr>
                <w:rFonts w:ascii="宋体" w:hAnsi="宋体"/>
                <w:sz w:val="21"/>
                <w:szCs w:val="21"/>
                <w:highlight w:val="none"/>
              </w:rPr>
            </w:pPr>
            <w:r>
              <w:rPr>
                <w:rFonts w:hint="eastAsia" w:ascii="宋体" w:hAnsi="宋体"/>
                <w:sz w:val="21"/>
                <w:szCs w:val="21"/>
                <w:highlight w:val="none"/>
              </w:rPr>
              <w:t>是否授权评标委员会确定中标人</w:t>
            </w:r>
          </w:p>
        </w:tc>
        <w:tc>
          <w:tcPr>
            <w:tcW w:w="7132" w:type="dxa"/>
            <w:vAlign w:val="center"/>
          </w:tcPr>
          <w:p w14:paraId="62A2460E">
            <w:pPr>
              <w:spacing w:line="360" w:lineRule="auto"/>
              <w:rPr>
                <w:highlight w:val="none"/>
              </w:rPr>
            </w:pPr>
            <w:r>
              <w:rPr>
                <w:highlight w:val="none"/>
              </w:rPr>
              <w:t>□</w:t>
            </w:r>
            <w:r>
              <w:rPr>
                <w:rFonts w:hint="eastAsia"/>
                <w:highlight w:val="none"/>
              </w:rPr>
              <w:t>是</w:t>
            </w:r>
          </w:p>
          <w:p w14:paraId="35470C28">
            <w:pPr>
              <w:spacing w:line="360" w:lineRule="auto"/>
              <w:rPr>
                <w:rFonts w:hint="eastAsia"/>
                <w:highlight w:val="none"/>
              </w:rPr>
            </w:pPr>
            <w:r>
              <w:rPr>
                <w:highlight w:val="none"/>
              </w:rPr>
              <w:sym w:font="Wingdings" w:char="F0FE"/>
            </w:r>
            <w:r>
              <w:rPr>
                <w:rFonts w:hint="eastAsia"/>
                <w:highlight w:val="none"/>
              </w:rPr>
              <w:t>否，推荐的中标候选人数： 3名</w:t>
            </w:r>
          </w:p>
          <w:p w14:paraId="4470FA90">
            <w:pPr>
              <w:pStyle w:val="39"/>
              <w:ind w:left="0" w:leftChars="0" w:firstLine="0" w:firstLineChars="0"/>
              <w:rPr>
                <w:highlight w:val="none"/>
              </w:rPr>
            </w:pPr>
            <w:r>
              <w:rPr>
                <w:rFonts w:hint="default"/>
                <w:color w:val="auto"/>
                <w:sz w:val="21"/>
                <w:szCs w:val="21"/>
                <w:highlight w:val="none"/>
              </w:rPr>
              <w:t>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其他中标候选人被发现存在前款情形的，采购人应重新招标。</w:t>
            </w:r>
          </w:p>
        </w:tc>
      </w:tr>
      <w:tr w14:paraId="35C2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47" w:type="dxa"/>
            <w:vAlign w:val="center"/>
          </w:tcPr>
          <w:p w14:paraId="40DE77E2">
            <w:pPr>
              <w:spacing w:line="360" w:lineRule="auto"/>
              <w:jc w:val="center"/>
              <w:rPr>
                <w:rFonts w:ascii="宋体" w:hAnsi="宋体" w:cs="宋体"/>
                <w:sz w:val="21"/>
                <w:szCs w:val="21"/>
                <w:highlight w:val="none"/>
              </w:rPr>
            </w:pPr>
            <w:r>
              <w:rPr>
                <w:rFonts w:hint="eastAsia" w:ascii="宋体" w:hAnsi="宋体" w:cs="宋体"/>
                <w:sz w:val="21"/>
                <w:szCs w:val="21"/>
                <w:highlight w:val="none"/>
              </w:rPr>
              <w:t>7.2</w:t>
            </w:r>
          </w:p>
        </w:tc>
        <w:tc>
          <w:tcPr>
            <w:tcW w:w="1875" w:type="dxa"/>
            <w:vAlign w:val="center"/>
          </w:tcPr>
          <w:p w14:paraId="1E99F909">
            <w:pPr>
              <w:spacing w:line="360" w:lineRule="auto"/>
              <w:jc w:val="center"/>
              <w:rPr>
                <w:rFonts w:ascii="宋体" w:hAnsi="宋体" w:cs="宋体"/>
                <w:sz w:val="21"/>
                <w:szCs w:val="21"/>
                <w:highlight w:val="none"/>
              </w:rPr>
            </w:pPr>
            <w:r>
              <w:rPr>
                <w:rFonts w:hint="eastAsia" w:ascii="宋体" w:hAnsi="宋体" w:cs="宋体"/>
                <w:sz w:val="21"/>
                <w:szCs w:val="21"/>
                <w:highlight w:val="none"/>
              </w:rPr>
              <w:t>中标人公布媒介</w:t>
            </w:r>
          </w:p>
        </w:tc>
        <w:tc>
          <w:tcPr>
            <w:tcW w:w="7132" w:type="dxa"/>
            <w:vAlign w:val="center"/>
          </w:tcPr>
          <w:p w14:paraId="31FA20D1">
            <w:pPr>
              <w:spacing w:line="360" w:lineRule="auto"/>
              <w:rPr>
                <w:rFonts w:ascii="宋体" w:hAnsi="宋体" w:cs="宋体"/>
                <w:sz w:val="21"/>
                <w:szCs w:val="21"/>
                <w:highlight w:val="none"/>
              </w:rPr>
            </w:pPr>
            <w:r>
              <w:rPr>
                <w:rFonts w:hint="eastAsia" w:ascii="宋体" w:hAnsi="宋体"/>
                <w:sz w:val="21"/>
                <w:szCs w:val="21"/>
                <w:highlight w:val="none"/>
              </w:rPr>
              <w:t>《中国招标投标公共服务平台》、《河南省政府采购网》、《开封市公共资源交易信息网》</w:t>
            </w:r>
          </w:p>
        </w:tc>
      </w:tr>
      <w:tr w14:paraId="573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47" w:type="dxa"/>
            <w:vAlign w:val="center"/>
          </w:tcPr>
          <w:p w14:paraId="70E10919">
            <w:pPr>
              <w:spacing w:line="360" w:lineRule="auto"/>
              <w:jc w:val="center"/>
              <w:rPr>
                <w:rFonts w:ascii="宋体" w:hAnsi="宋体" w:cs="宋体"/>
                <w:sz w:val="21"/>
                <w:szCs w:val="21"/>
                <w:highlight w:val="none"/>
              </w:rPr>
            </w:pPr>
            <w:r>
              <w:rPr>
                <w:rFonts w:hint="eastAsia" w:ascii="宋体" w:hAnsi="宋体" w:cs="宋体"/>
                <w:sz w:val="21"/>
                <w:szCs w:val="21"/>
                <w:highlight w:val="none"/>
              </w:rPr>
              <w:t>7.3</w:t>
            </w:r>
          </w:p>
        </w:tc>
        <w:tc>
          <w:tcPr>
            <w:tcW w:w="1875" w:type="dxa"/>
            <w:vAlign w:val="center"/>
          </w:tcPr>
          <w:p w14:paraId="42771DB0">
            <w:pPr>
              <w:spacing w:line="360" w:lineRule="auto"/>
              <w:jc w:val="center"/>
              <w:rPr>
                <w:rFonts w:ascii="宋体" w:hAnsi="宋体" w:cs="宋体"/>
                <w:sz w:val="21"/>
                <w:szCs w:val="21"/>
                <w:highlight w:val="none"/>
              </w:rPr>
            </w:pPr>
            <w:r>
              <w:rPr>
                <w:rFonts w:hint="eastAsia" w:ascii="宋体" w:hAnsi="宋体" w:cs="宋体"/>
                <w:sz w:val="21"/>
                <w:szCs w:val="21"/>
                <w:highlight w:val="none"/>
              </w:rPr>
              <w:t>中标通知书</w:t>
            </w:r>
          </w:p>
        </w:tc>
        <w:tc>
          <w:tcPr>
            <w:tcW w:w="7132" w:type="dxa"/>
            <w:vAlign w:val="center"/>
          </w:tcPr>
          <w:p w14:paraId="5FF848E8">
            <w:pPr>
              <w:spacing w:line="360" w:lineRule="auto"/>
              <w:rPr>
                <w:rFonts w:ascii="宋体" w:hAnsi="宋体" w:cs="宋体"/>
                <w:sz w:val="21"/>
                <w:szCs w:val="21"/>
                <w:highlight w:val="none"/>
              </w:rPr>
            </w:pPr>
            <w:r>
              <w:rPr>
                <w:rFonts w:hint="eastAsia" w:ascii="宋体" w:hAnsi="宋体"/>
                <w:sz w:val="21"/>
                <w:szCs w:val="21"/>
                <w:highlight w:val="none"/>
              </w:rPr>
              <w:t>中标人确定后，采购代理机构协同招标人和开封市</w:t>
            </w:r>
            <w:r>
              <w:rPr>
                <w:rFonts w:hint="eastAsia" w:ascii="宋体" w:hAnsi="宋体"/>
                <w:sz w:val="21"/>
                <w:szCs w:val="21"/>
                <w:highlight w:val="none"/>
                <w:lang w:eastAsia="zh-CN"/>
              </w:rPr>
              <w:t>祥符区</w:t>
            </w:r>
            <w:r>
              <w:rPr>
                <w:rFonts w:hint="eastAsia" w:ascii="宋体" w:hAnsi="宋体"/>
                <w:sz w:val="21"/>
                <w:szCs w:val="21"/>
                <w:highlight w:val="none"/>
              </w:rPr>
              <w:t>公共资源交易中心向中标人发出《中标通知书》。</w:t>
            </w:r>
          </w:p>
        </w:tc>
      </w:tr>
      <w:tr w14:paraId="7232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F5EF08">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875" w:type="dxa"/>
            <w:vAlign w:val="center"/>
          </w:tcPr>
          <w:p w14:paraId="4F850596">
            <w:pPr>
              <w:spacing w:line="360" w:lineRule="auto"/>
              <w:jc w:val="center"/>
              <w:rPr>
                <w:rFonts w:ascii="宋体" w:hAnsi="宋体" w:cs="宋体"/>
                <w:sz w:val="21"/>
                <w:szCs w:val="21"/>
                <w:highlight w:val="none"/>
              </w:rPr>
            </w:pPr>
            <w:r>
              <w:rPr>
                <w:rFonts w:hint="eastAsia" w:ascii="宋体" w:hAnsi="宋体" w:cs="宋体"/>
                <w:sz w:val="21"/>
                <w:szCs w:val="21"/>
                <w:highlight w:val="none"/>
              </w:rPr>
              <w:t>履约担保</w:t>
            </w:r>
          </w:p>
        </w:tc>
        <w:tc>
          <w:tcPr>
            <w:tcW w:w="7132" w:type="dxa"/>
            <w:vAlign w:val="center"/>
          </w:tcPr>
          <w:p w14:paraId="07F17DC3">
            <w:pPr>
              <w:keepNext w:val="0"/>
              <w:keepLines w:val="0"/>
              <w:suppressLineNumbers w:val="0"/>
              <w:autoSpaceDE w:val="0"/>
              <w:autoSpaceDN w:val="0"/>
              <w:adjustRightInd w:val="0"/>
              <w:spacing w:before="0" w:beforeAutospacing="0" w:after="0" w:afterAutospacing="0" w:line="320" w:lineRule="exact"/>
              <w:ind w:left="0" w:right="-20"/>
              <w:rPr>
                <w:rFonts w:ascii="宋体" w:hAnsi="宋体" w:cs="宋体"/>
                <w:sz w:val="21"/>
                <w:szCs w:val="21"/>
                <w:highlight w:val="none"/>
              </w:rPr>
            </w:pPr>
            <w:r>
              <w:rPr>
                <w:rFonts w:hint="eastAsia" w:ascii="宋体" w:hAnsi="宋体" w:eastAsia="宋体" w:cs="微软雅黑"/>
                <w:kern w:val="0"/>
                <w:position w:val="-3"/>
                <w:highlight w:val="none"/>
              </w:rPr>
              <w:t>是否要求成交人提交履约保证金：</w:t>
            </w:r>
            <w:r>
              <w:rPr>
                <w:rFonts w:hint="eastAsia" w:ascii="宋体" w:hAnsi="宋体" w:cs="微软雅黑"/>
                <w:kern w:val="0"/>
                <w:position w:val="-3"/>
                <w:highlight w:val="none"/>
                <w:lang w:eastAsia="zh-CN"/>
              </w:rPr>
              <w:t>不</w:t>
            </w:r>
            <w:r>
              <w:rPr>
                <w:rFonts w:hint="eastAsia" w:ascii="宋体" w:hAnsi="宋体" w:eastAsia="宋体" w:cs="微软雅黑"/>
                <w:kern w:val="0"/>
                <w:position w:val="-3"/>
                <w:highlight w:val="none"/>
              </w:rPr>
              <w:t>要求</w:t>
            </w:r>
          </w:p>
        </w:tc>
      </w:tr>
      <w:tr w14:paraId="461D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159A167">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875" w:type="dxa"/>
            <w:vAlign w:val="center"/>
          </w:tcPr>
          <w:p w14:paraId="6E956F64">
            <w:pPr>
              <w:spacing w:line="360" w:lineRule="auto"/>
              <w:jc w:val="center"/>
              <w:rPr>
                <w:rFonts w:ascii="宋体" w:hAnsi="宋体" w:cs="宋体"/>
                <w:sz w:val="21"/>
                <w:szCs w:val="21"/>
                <w:highlight w:val="none"/>
              </w:rPr>
            </w:pPr>
            <w:r>
              <w:rPr>
                <w:rFonts w:hint="eastAsia" w:ascii="宋体" w:hAnsi="宋体" w:cs="宋体"/>
                <w:sz w:val="21"/>
                <w:szCs w:val="21"/>
                <w:highlight w:val="none"/>
              </w:rPr>
              <w:t>签订合同</w:t>
            </w:r>
          </w:p>
        </w:tc>
        <w:tc>
          <w:tcPr>
            <w:tcW w:w="7132" w:type="dxa"/>
            <w:vAlign w:val="center"/>
          </w:tcPr>
          <w:p w14:paraId="003C0F30">
            <w:pPr>
              <w:spacing w:line="360" w:lineRule="auto"/>
              <w:rPr>
                <w:rFonts w:ascii="宋体" w:hAnsi="宋体" w:cs="宋体"/>
                <w:sz w:val="21"/>
                <w:szCs w:val="21"/>
                <w:highlight w:val="none"/>
              </w:rPr>
            </w:pPr>
            <w:r>
              <w:rPr>
                <w:rFonts w:hint="eastAsia" w:ascii="宋体" w:hAnsi="宋体"/>
                <w:sz w:val="21"/>
                <w:szCs w:val="21"/>
                <w:highlight w:val="none"/>
              </w:rPr>
              <w:t>中标人按《中标通知书》约定时间（无约定时，应在中标通知书发出时间</w:t>
            </w:r>
            <w:r>
              <w:rPr>
                <w:rFonts w:hint="eastAsia" w:ascii="宋体" w:hAnsi="宋体"/>
                <w:sz w:val="21"/>
                <w:szCs w:val="21"/>
                <w:highlight w:val="none"/>
                <w:lang w:val="en-US" w:eastAsia="zh-CN"/>
              </w:rPr>
              <w:t>7</w:t>
            </w:r>
            <w:r>
              <w:rPr>
                <w:rFonts w:hint="eastAsia" w:ascii="宋体" w:hAnsi="宋体"/>
                <w:sz w:val="21"/>
                <w:szCs w:val="21"/>
                <w:highlight w:val="none"/>
              </w:rPr>
              <w:t>日内），根据招标文件和中标人的投标文件与采购人签订合同。</w:t>
            </w:r>
          </w:p>
        </w:tc>
      </w:tr>
      <w:tr w14:paraId="58BA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729C48">
            <w:pPr>
              <w:spacing w:line="360" w:lineRule="auto"/>
              <w:jc w:val="center"/>
              <w:rPr>
                <w:rFonts w:ascii="宋体" w:hAnsi="宋体" w:cs="宋体"/>
                <w:b/>
                <w:sz w:val="21"/>
                <w:szCs w:val="21"/>
                <w:highlight w:val="none"/>
              </w:rPr>
            </w:pPr>
            <w:r>
              <w:rPr>
                <w:rFonts w:hint="eastAsia" w:ascii="宋体" w:hAnsi="宋体" w:cs="宋体"/>
                <w:b/>
                <w:sz w:val="21"/>
                <w:szCs w:val="21"/>
                <w:highlight w:val="none"/>
              </w:rPr>
              <w:t>10</w:t>
            </w:r>
          </w:p>
        </w:tc>
        <w:tc>
          <w:tcPr>
            <w:tcW w:w="9007" w:type="dxa"/>
            <w:gridSpan w:val="2"/>
            <w:vAlign w:val="center"/>
          </w:tcPr>
          <w:p w14:paraId="0A75726C">
            <w:pPr>
              <w:spacing w:line="360" w:lineRule="auto"/>
              <w:jc w:val="center"/>
              <w:rPr>
                <w:rFonts w:ascii="宋体" w:hAnsi="宋体" w:cs="宋体"/>
                <w:b/>
                <w:sz w:val="21"/>
                <w:szCs w:val="21"/>
                <w:highlight w:val="none"/>
              </w:rPr>
            </w:pPr>
            <w:r>
              <w:rPr>
                <w:rFonts w:hint="eastAsia" w:ascii="宋体" w:hAnsi="宋体" w:cs="宋体"/>
                <w:b/>
                <w:sz w:val="21"/>
                <w:szCs w:val="21"/>
                <w:highlight w:val="none"/>
              </w:rPr>
              <w:t>需要补充的其他内容</w:t>
            </w:r>
          </w:p>
        </w:tc>
      </w:tr>
      <w:tr w14:paraId="5744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CF252C">
            <w:pPr>
              <w:spacing w:line="360" w:lineRule="auto"/>
              <w:jc w:val="center"/>
              <w:rPr>
                <w:rFonts w:ascii="宋体" w:hAnsi="宋体" w:cs="宋体"/>
                <w:sz w:val="21"/>
                <w:szCs w:val="21"/>
                <w:highlight w:val="none"/>
              </w:rPr>
            </w:pPr>
            <w:r>
              <w:rPr>
                <w:rFonts w:hint="eastAsia" w:ascii="宋体" w:hAnsi="宋体" w:cs="宋体"/>
                <w:sz w:val="21"/>
                <w:szCs w:val="21"/>
                <w:highlight w:val="none"/>
              </w:rPr>
              <w:t>10.1</w:t>
            </w:r>
          </w:p>
        </w:tc>
        <w:tc>
          <w:tcPr>
            <w:tcW w:w="1875" w:type="dxa"/>
            <w:vAlign w:val="center"/>
          </w:tcPr>
          <w:p w14:paraId="00C292F1">
            <w:pPr>
              <w:spacing w:line="360" w:lineRule="auto"/>
              <w:jc w:val="center"/>
              <w:rPr>
                <w:rFonts w:ascii="宋体" w:hAnsi="宋体" w:cs="宋体"/>
                <w:sz w:val="21"/>
                <w:szCs w:val="21"/>
                <w:highlight w:val="none"/>
              </w:rPr>
            </w:pPr>
            <w:r>
              <w:rPr>
                <w:rFonts w:hint="eastAsia" w:ascii="宋体" w:hAnsi="宋体"/>
                <w:sz w:val="21"/>
                <w:szCs w:val="21"/>
                <w:highlight w:val="none"/>
              </w:rPr>
              <w:t>监督单位</w:t>
            </w:r>
          </w:p>
        </w:tc>
        <w:tc>
          <w:tcPr>
            <w:tcW w:w="7132" w:type="dxa"/>
            <w:vAlign w:val="center"/>
          </w:tcPr>
          <w:p w14:paraId="1E01CBB0">
            <w:pPr>
              <w:spacing w:line="360" w:lineRule="auto"/>
              <w:ind w:left="0" w:leftChars="0" w:firstLine="0" w:firstLineChars="0"/>
              <w:rPr>
                <w:rFonts w:ascii="宋体" w:hAnsi="宋体"/>
                <w:sz w:val="21"/>
                <w:szCs w:val="21"/>
                <w:highlight w:val="none"/>
              </w:rPr>
            </w:pPr>
            <w:r>
              <w:rPr>
                <w:rFonts w:hint="default"/>
                <w:color w:val="auto"/>
                <w:highlight w:val="none"/>
              </w:rPr>
              <w:t>开封市祥符区财政局政府采购监督管理股</w:t>
            </w:r>
          </w:p>
        </w:tc>
      </w:tr>
      <w:tr w14:paraId="63DB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61D1FB1">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10.2</w:t>
            </w:r>
          </w:p>
        </w:tc>
        <w:tc>
          <w:tcPr>
            <w:tcW w:w="1875" w:type="dxa"/>
            <w:vAlign w:val="center"/>
          </w:tcPr>
          <w:p w14:paraId="5B009D5C">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付款方式</w:t>
            </w:r>
          </w:p>
        </w:tc>
        <w:tc>
          <w:tcPr>
            <w:tcW w:w="7132" w:type="dxa"/>
            <w:vAlign w:val="center"/>
          </w:tcPr>
          <w:p w14:paraId="55745E70">
            <w:pPr>
              <w:spacing w:line="360" w:lineRule="auto"/>
              <w:rPr>
                <w:rFonts w:ascii="宋体" w:hAnsi="宋体" w:cs="宋体"/>
                <w:sz w:val="21"/>
                <w:szCs w:val="21"/>
                <w:highlight w:val="none"/>
              </w:rPr>
            </w:pPr>
            <w:r>
              <w:rPr>
                <w:rFonts w:hint="eastAsia" w:ascii="宋体" w:hAnsi="宋体"/>
                <w:sz w:val="21"/>
                <w:szCs w:val="21"/>
                <w:highlight w:val="none"/>
              </w:rPr>
              <w:t>签订合同付30%,规划成果评审通过付30%，通过审批入库付40%。</w:t>
            </w:r>
          </w:p>
        </w:tc>
      </w:tr>
      <w:tr w14:paraId="217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921C768">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10.3</w:t>
            </w:r>
          </w:p>
        </w:tc>
        <w:tc>
          <w:tcPr>
            <w:tcW w:w="1875" w:type="dxa"/>
            <w:vAlign w:val="center"/>
          </w:tcPr>
          <w:p w14:paraId="71B17C3B">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支付标准</w:t>
            </w:r>
          </w:p>
        </w:tc>
        <w:tc>
          <w:tcPr>
            <w:tcW w:w="7132" w:type="dxa"/>
            <w:vAlign w:val="center"/>
          </w:tcPr>
          <w:p w14:paraId="1FB699CA">
            <w:pPr>
              <w:snapToGrid w:val="0"/>
              <w:spacing w:line="360" w:lineRule="auto"/>
              <w:rPr>
                <w:rFonts w:hAnsi="宋体" w:cs="宋体"/>
                <w:b/>
                <w:kern w:val="0"/>
                <w:sz w:val="21"/>
                <w:szCs w:val="21"/>
                <w:highlight w:val="none"/>
              </w:rPr>
            </w:pPr>
            <w:r>
              <w:rPr>
                <w:rFonts w:hint="eastAsia" w:ascii="宋体" w:hAnsi="宋体"/>
                <w:sz w:val="21"/>
                <w:szCs w:val="21"/>
                <w:highlight w:val="none"/>
              </w:rPr>
              <w:t>以中标方与招标人签定合同规定为准。</w:t>
            </w:r>
          </w:p>
        </w:tc>
      </w:tr>
      <w:tr w14:paraId="496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7" w:type="dxa"/>
            <w:vAlign w:val="center"/>
          </w:tcPr>
          <w:p w14:paraId="13745076">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4</w:t>
            </w:r>
          </w:p>
        </w:tc>
        <w:tc>
          <w:tcPr>
            <w:tcW w:w="1875" w:type="dxa"/>
            <w:vAlign w:val="center"/>
          </w:tcPr>
          <w:p w14:paraId="617DEDFD">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中标服务费</w:t>
            </w:r>
          </w:p>
        </w:tc>
        <w:tc>
          <w:tcPr>
            <w:tcW w:w="7132" w:type="dxa"/>
            <w:vAlign w:val="center"/>
          </w:tcPr>
          <w:p w14:paraId="6A1ED833">
            <w:pPr>
              <w:spacing w:line="360" w:lineRule="auto"/>
              <w:rPr>
                <w:rFonts w:hint="eastAsia" w:ascii="宋体" w:hAnsi="宋体" w:cs="宋体"/>
                <w:highlight w:val="none"/>
              </w:rPr>
            </w:pPr>
            <w:r>
              <w:rPr>
                <w:rFonts w:hint="eastAsia"/>
                <w:highlight w:val="none"/>
              </w:rPr>
              <w:t>参照《河南省招标代理服务收费指导意见》豫招协【2023】002号收费标准执行，以</w:t>
            </w:r>
            <w:r>
              <w:rPr>
                <w:rFonts w:hint="eastAsia"/>
                <w:highlight w:val="none"/>
                <w:lang w:val="en-US" w:eastAsia="zh-CN"/>
              </w:rPr>
              <w:t>预算</w:t>
            </w:r>
            <w:r>
              <w:rPr>
                <w:rFonts w:hint="eastAsia"/>
                <w:highlight w:val="none"/>
              </w:rPr>
              <w:t>金额为基数计算按照差额定率累进法计算进行收取</w:t>
            </w:r>
            <w:r>
              <w:rPr>
                <w:rFonts w:hint="eastAsia" w:ascii="Times New Roman" w:hAnsi="Times New Roman" w:cs="Times New Roman"/>
                <w:highlight w:val="none"/>
                <w:lang w:val="en-US" w:eastAsia="zh-CN"/>
              </w:rPr>
              <w:t>，</w:t>
            </w:r>
            <w:r>
              <w:rPr>
                <w:rFonts w:hint="eastAsia" w:ascii="宋体" w:hAnsi="宋体" w:cs="宋体"/>
                <w:highlight w:val="none"/>
              </w:rPr>
              <w:t>由中标单位一次性付给招标代理机构。</w:t>
            </w:r>
          </w:p>
          <w:p w14:paraId="31E0CE8D">
            <w:pPr>
              <w:spacing w:line="360" w:lineRule="auto"/>
              <w:rPr>
                <w:rFonts w:hint="eastAsia" w:ascii="宋体" w:hAnsi="宋体" w:cs="宋体"/>
                <w:highlight w:val="none"/>
                <w:lang w:eastAsia="zh-CN"/>
              </w:rPr>
            </w:pPr>
            <w:r>
              <w:rPr>
                <w:rFonts w:hint="eastAsia" w:ascii="宋体" w:hAnsi="宋体" w:eastAsia="宋体" w:cs="宋体"/>
                <w:highlight w:val="none"/>
                <w:lang w:eastAsia="zh-CN"/>
              </w:rPr>
              <w:drawing>
                <wp:anchor distT="0" distB="0" distL="114300" distR="114300" simplePos="0" relativeHeight="251659264" behindDoc="0" locked="0" layoutInCell="1" allowOverlap="1">
                  <wp:simplePos x="0" y="0"/>
                  <wp:positionH relativeFrom="column">
                    <wp:posOffset>205740</wp:posOffset>
                  </wp:positionH>
                  <wp:positionV relativeFrom="paragraph">
                    <wp:posOffset>210185</wp:posOffset>
                  </wp:positionV>
                  <wp:extent cx="4097655" cy="1919605"/>
                  <wp:effectExtent l="0" t="0" r="17145" b="4445"/>
                  <wp:wrapSquare wrapText="bothSides"/>
                  <wp:docPr id="4" name="图片 4" descr="ee2683202477f19f042377d97b42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2683202477f19f042377d97b42eab"/>
                          <pic:cNvPicPr>
                            <a:picLocks noChangeAspect="1"/>
                          </pic:cNvPicPr>
                        </pic:nvPicPr>
                        <pic:blipFill>
                          <a:blip r:embed="rId11"/>
                          <a:stretch>
                            <a:fillRect/>
                          </a:stretch>
                        </pic:blipFill>
                        <pic:spPr>
                          <a:xfrm>
                            <a:off x="0" y="0"/>
                            <a:ext cx="4097655" cy="1919605"/>
                          </a:xfrm>
                          <a:prstGeom prst="rect">
                            <a:avLst/>
                          </a:prstGeom>
                        </pic:spPr>
                      </pic:pic>
                    </a:graphicData>
                  </a:graphic>
                </wp:anchor>
              </w:drawing>
            </w:r>
          </w:p>
        </w:tc>
      </w:tr>
      <w:tr w14:paraId="2D37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137A59">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5</w:t>
            </w:r>
          </w:p>
        </w:tc>
        <w:tc>
          <w:tcPr>
            <w:tcW w:w="1875" w:type="dxa"/>
            <w:vAlign w:val="center"/>
          </w:tcPr>
          <w:p w14:paraId="0E9E42DC">
            <w:pPr>
              <w:spacing w:line="360" w:lineRule="auto"/>
              <w:jc w:val="center"/>
              <w:rPr>
                <w:rFonts w:ascii="宋体" w:hAnsi="宋体" w:cs="宋体"/>
                <w:sz w:val="21"/>
                <w:szCs w:val="21"/>
                <w:highlight w:val="none"/>
              </w:rPr>
            </w:pPr>
            <w:r>
              <w:rPr>
                <w:rFonts w:hint="eastAsia" w:ascii="宋体" w:hAnsi="宋体" w:cs="宋体"/>
                <w:sz w:val="21"/>
                <w:szCs w:val="21"/>
                <w:highlight w:val="none"/>
              </w:rPr>
              <w:t>解释权</w:t>
            </w:r>
          </w:p>
        </w:tc>
        <w:tc>
          <w:tcPr>
            <w:tcW w:w="7132" w:type="dxa"/>
            <w:vAlign w:val="center"/>
          </w:tcPr>
          <w:p w14:paraId="2FAF01AE">
            <w:pPr>
              <w:spacing w:line="360" w:lineRule="auto"/>
              <w:rPr>
                <w:rFonts w:ascii="宋体" w:hAnsi="宋体" w:cs="宋体"/>
                <w:sz w:val="21"/>
                <w:szCs w:val="21"/>
                <w:highlight w:val="none"/>
              </w:rPr>
            </w:pPr>
            <w:r>
              <w:rPr>
                <w:rFonts w:hint="eastAsia" w:ascii="宋体" w:hAnsi="宋体"/>
                <w:sz w:val="21"/>
                <w:szCs w:val="21"/>
                <w:highlight w:val="none"/>
              </w:rPr>
              <w:t>构成本招标文件的各个组成部分应互为解释、互为说明，如有不明确或不一致，除招标文件中有特别规定外，在招标投标和评标阶段的优先解释顺序如下：按招标公告、投标人须知、评标办法、服务内容及要求、投标文件格式的先后顺序解释；同一组成部分中就同一事项的规定或约定不一致的，以编排顺序在后者为准；同一组成部分不同版本之间有不一致的，以形成时间在后者为准。按本款前述规定仍不能形成结论的，由招标人或采购代理机构负责解释。</w:t>
            </w:r>
          </w:p>
        </w:tc>
      </w:tr>
      <w:tr w14:paraId="3E7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324FAB">
            <w:pPr>
              <w:spacing w:line="360" w:lineRule="auto"/>
              <w:jc w:val="center"/>
              <w:rPr>
                <w:rFonts w:ascii="宋体" w:hAnsi="宋体" w:cs="宋体"/>
                <w:sz w:val="21"/>
                <w:szCs w:val="21"/>
                <w:highlight w:val="none"/>
              </w:rPr>
            </w:pPr>
            <w:r>
              <w:rPr>
                <w:rFonts w:hint="eastAsia" w:ascii="宋体" w:hAnsi="宋体" w:cs="宋体"/>
                <w:sz w:val="21"/>
                <w:szCs w:val="21"/>
                <w:highlight w:val="none"/>
              </w:rPr>
              <w:t>10.6</w:t>
            </w:r>
          </w:p>
        </w:tc>
        <w:tc>
          <w:tcPr>
            <w:tcW w:w="1875" w:type="dxa"/>
            <w:vAlign w:val="center"/>
          </w:tcPr>
          <w:p w14:paraId="78289848">
            <w:pPr>
              <w:spacing w:line="360" w:lineRule="auto"/>
              <w:jc w:val="center"/>
              <w:rPr>
                <w:rFonts w:ascii="宋体" w:hAnsi="宋体" w:cs="宋体"/>
                <w:sz w:val="21"/>
                <w:szCs w:val="21"/>
                <w:highlight w:val="none"/>
              </w:rPr>
            </w:pPr>
            <w:r>
              <w:rPr>
                <w:rFonts w:hint="eastAsia" w:ascii="宋体" w:hAnsi="宋体"/>
                <w:highlight w:val="none"/>
              </w:rPr>
              <w:t>质疑或异议</w:t>
            </w:r>
          </w:p>
        </w:tc>
        <w:tc>
          <w:tcPr>
            <w:tcW w:w="7132" w:type="dxa"/>
            <w:vAlign w:val="center"/>
          </w:tcPr>
          <w:p w14:paraId="04930876">
            <w:pPr>
              <w:tabs>
                <w:tab w:val="left" w:pos="0"/>
              </w:tabs>
              <w:spacing w:line="360" w:lineRule="auto"/>
              <w:rPr>
                <w:rFonts w:ascii="宋体" w:hAnsi="宋体"/>
                <w:highlight w:val="none"/>
              </w:rPr>
            </w:pPr>
            <w:r>
              <w:rPr>
                <w:rFonts w:hint="eastAsia" w:ascii="宋体" w:hAnsi="宋体"/>
                <w:highlight w:val="none"/>
              </w:rPr>
              <w:t>质疑或异议的递交：</w:t>
            </w:r>
          </w:p>
          <w:p w14:paraId="094F164B">
            <w:pPr>
              <w:spacing w:line="360" w:lineRule="auto"/>
              <w:rPr>
                <w:rFonts w:ascii="宋体" w:hAnsi="宋体"/>
                <w:sz w:val="21"/>
                <w:szCs w:val="21"/>
                <w:highlight w:val="none"/>
              </w:rPr>
            </w:pPr>
            <w:r>
              <w:rPr>
                <w:rFonts w:ascii="宋体" w:hAnsi="宋体"/>
                <w:highlight w:val="none"/>
              </w:rPr>
              <w:t>根据“汴公管办[2020]13 号”文件，供应商向采购人、招标代理机构提出质疑（异议）的方式为线上提起，</w:t>
            </w:r>
            <w:r>
              <w:rPr>
                <w:rFonts w:hint="eastAsia" w:ascii="宋体" w:hAnsi="宋体"/>
                <w:highlight w:val="none"/>
              </w:rPr>
              <w:t>线上质疑（异议）、投诉通过登录开封市公共资源交易系统（网址：</w:t>
            </w:r>
            <w:r>
              <w:rPr>
                <w:rFonts w:hint="eastAsia" w:ascii="宋体" w:hAnsi="宋体"/>
                <w:highlight w:val="none"/>
              </w:rPr>
              <w:fldChar w:fldCharType="begin"/>
            </w:r>
            <w:r>
              <w:rPr>
                <w:rFonts w:hint="eastAsia" w:ascii="宋体" w:hAnsi="宋体"/>
                <w:highlight w:val="none"/>
              </w:rPr>
              <w:instrText xml:space="preserve"> HYPERLINK "http://ggzy.lankao.gov.cn/" </w:instrText>
            </w:r>
            <w:r>
              <w:rPr>
                <w:rFonts w:hint="eastAsia" w:ascii="宋体" w:hAnsi="宋体"/>
                <w:highlight w:val="none"/>
              </w:rPr>
              <w:fldChar w:fldCharType="separate"/>
            </w:r>
            <w:r>
              <w:rPr>
                <w:rFonts w:hint="eastAsia" w:ascii="宋体" w:hAnsi="宋体"/>
                <w:highlight w:val="none"/>
              </w:rPr>
              <w:t>http://kfggzy.kaifeng.gov.cn</w:t>
            </w:r>
            <w:r>
              <w:rPr>
                <w:rFonts w:hint="eastAsia" w:ascii="宋体" w:hAnsi="宋体"/>
                <w:highlight w:val="none"/>
              </w:rPr>
              <w:fldChar w:fldCharType="end"/>
            </w:r>
            <w:r>
              <w:rPr>
                <w:rFonts w:hint="eastAsia" w:ascii="宋体" w:hAnsi="宋体"/>
                <w:highlight w:val="none"/>
              </w:rPr>
              <w:t>）按要求填写质疑（异议）、投诉信息并上传相关材料。</w:t>
            </w:r>
            <w:r>
              <w:rPr>
                <w:rFonts w:ascii="宋体" w:hAnsi="宋体"/>
                <w:highlight w:val="none"/>
              </w:rPr>
              <w:t>招标代理机构或采购人在规定时间内进行回复，各供应商应时刻关注电子交易系统中的项目进度和状态。</w:t>
            </w:r>
          </w:p>
        </w:tc>
      </w:tr>
      <w:tr w14:paraId="792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D0CBA5">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10.7</w:t>
            </w:r>
          </w:p>
        </w:tc>
        <w:tc>
          <w:tcPr>
            <w:tcW w:w="1875" w:type="dxa"/>
            <w:vAlign w:val="center"/>
          </w:tcPr>
          <w:p w14:paraId="457732B9">
            <w:pPr>
              <w:spacing w:line="360" w:lineRule="auto"/>
              <w:jc w:val="center"/>
              <w:rPr>
                <w:rFonts w:hint="eastAsia" w:ascii="宋体" w:hAnsi="Times New Roman" w:eastAsia="宋体" w:cs="宋体"/>
                <w:kern w:val="2"/>
                <w:sz w:val="21"/>
                <w:szCs w:val="21"/>
                <w:highlight w:val="none"/>
                <w:lang w:val="en-US" w:eastAsia="zh-CN" w:bidi="ar-SA"/>
              </w:rPr>
            </w:pPr>
            <w:r>
              <w:rPr>
                <w:rFonts w:hint="eastAsia" w:ascii="Times New Roman" w:hAnsi="Times New Roman" w:cs="宋体"/>
                <w:sz w:val="21"/>
                <w:szCs w:val="21"/>
                <w:highlight w:val="none"/>
              </w:rPr>
              <w:t>同义词语</w:t>
            </w:r>
          </w:p>
        </w:tc>
        <w:tc>
          <w:tcPr>
            <w:tcW w:w="7132" w:type="dxa"/>
            <w:vAlign w:val="center"/>
          </w:tcPr>
          <w:p w14:paraId="06E1D22B">
            <w:pPr>
              <w:spacing w:line="360" w:lineRule="auto"/>
              <w:rPr>
                <w:rFonts w:hint="eastAsia" w:ascii="Calibri" w:hAnsi="Calibri" w:eastAsia="宋体" w:cs="Times New Roman"/>
                <w:kern w:val="2"/>
                <w:sz w:val="21"/>
                <w:szCs w:val="21"/>
                <w:highlight w:val="none"/>
                <w:lang w:val="en-US" w:eastAsia="zh-CN" w:bidi="ar-SA"/>
              </w:rPr>
            </w:pPr>
            <w:r>
              <w:rPr>
                <w:rFonts w:hint="eastAsia" w:ascii="Times New Roman" w:hAnsi="Times New Roman" w:cs="宋体"/>
                <w:sz w:val="21"/>
                <w:szCs w:val="21"/>
                <w:highlight w:val="none"/>
              </w:rPr>
              <w:t>采购文件中出现的措辞理解：“招标人”与“采购人”含意相同；“投标人”与“</w:t>
            </w:r>
            <w:r>
              <w:rPr>
                <w:rFonts w:hint="eastAsia" w:ascii="Times New Roman" w:hAnsi="Times New Roman" w:cs="宋体"/>
                <w:sz w:val="21"/>
                <w:szCs w:val="21"/>
                <w:highlight w:val="none"/>
                <w:lang w:eastAsia="zh-CN"/>
              </w:rPr>
              <w:t>投标人</w:t>
            </w:r>
            <w:r>
              <w:rPr>
                <w:rFonts w:hint="eastAsia" w:ascii="Times New Roman" w:hAnsi="Times New Roman" w:cs="宋体"/>
                <w:sz w:val="21"/>
                <w:szCs w:val="21"/>
                <w:highlight w:val="none"/>
              </w:rPr>
              <w:t>”含意相同；“招标代理机构”与“采购代理机构”或“代理机构”含意相同；“招标文件”与“采购文件”含义相同。</w:t>
            </w:r>
          </w:p>
        </w:tc>
      </w:tr>
      <w:tr w14:paraId="64B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E654FB7">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10.8</w:t>
            </w:r>
          </w:p>
        </w:tc>
        <w:tc>
          <w:tcPr>
            <w:tcW w:w="1875" w:type="dxa"/>
            <w:vAlign w:val="center"/>
          </w:tcPr>
          <w:p w14:paraId="4F150A53">
            <w:pPr>
              <w:pStyle w:val="11"/>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r>
              <w:rPr>
                <w:rFonts w:hint="eastAsia" w:ascii="宋体" w:hAnsi="宋体" w:eastAsia="宋体" w:cs="宋体"/>
                <w:b/>
                <w:bCs/>
                <w:color w:val="auto"/>
                <w:kern w:val="2"/>
                <w:sz w:val="21"/>
                <w:szCs w:val="21"/>
                <w:highlight w:val="none"/>
                <w:lang w:val="en-US" w:eastAsia="zh-CN" w:bidi="ar-SA"/>
              </w:rPr>
              <w:t>适用于本公开招标须知的额外增加的变动</w:t>
            </w:r>
          </w:p>
        </w:tc>
        <w:tc>
          <w:tcPr>
            <w:tcW w:w="7132" w:type="dxa"/>
            <w:vAlign w:val="center"/>
          </w:tcPr>
          <w:p w14:paraId="3BEAE7ED">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1、在评标过程中，凡遇到招标文件中无界定或界定不清、前后不一致，使评委会意见有分歧且又难以协调一致的问题，均由评标委员会予以表决，获半数以上同意的即为通过，否则即为否决。</w:t>
            </w:r>
          </w:p>
          <w:p w14:paraId="04D02F8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2、为落实政府采购政策，采购标的需满足的要求，以及投标人须提供的证明材料；</w:t>
            </w:r>
          </w:p>
          <w:p w14:paraId="0F25246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投标人若为中小企业，须对照《中小企业划型标准规定》（工信部联企业[2011]300号）和财政部关于印发《政府采购促进中小企业发展管理办法》的通知（财库[2020]46号）文件规定，提供《中小企业声明函》，否则不得享受相关中小企业扶持政策。</w:t>
            </w:r>
          </w:p>
          <w:p w14:paraId="41E62BFA">
            <w:pPr>
              <w:keepNext w:val="0"/>
              <w:keepLines w:val="0"/>
              <w:suppressLineNumbers w:val="0"/>
              <w:tabs>
                <w:tab w:val="left" w:pos="720"/>
              </w:tabs>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2.2、监狱企业视同小型、微型企业，需提供省级及以上监狱管理局、戒毒管理局（含新疆生产建设兵团）出具的属于监狱企业的证明文件，否则不予认可。</w:t>
            </w:r>
          </w:p>
          <w:p w14:paraId="4345EBFC">
            <w:pPr>
              <w:pStyle w:val="10"/>
              <w:keepNext w:val="0"/>
              <w:keepLines w:val="0"/>
              <w:suppressLineNumbers w:val="0"/>
              <w:snapToGrid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2.3、残疾人福利性单位视同小型、微型企业。按照关于促进残疾人就业政府采购政策的通知财库〔2017〕141号要求提供《</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"http://www.gov.cn/xinwen/2017-09/02/5222181/files/f1ba446ff1d041aab7b557a51912d058.docx" \t "_blank"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残疾人福利性单位声明函</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》等有效证明材料，并对声明的真实性负责，否则不予认可。</w:t>
            </w:r>
          </w:p>
        </w:tc>
      </w:tr>
      <w:tr w14:paraId="5F5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0FAF002">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10.9</w:t>
            </w:r>
          </w:p>
        </w:tc>
        <w:tc>
          <w:tcPr>
            <w:tcW w:w="1875" w:type="dxa"/>
            <w:vAlign w:val="center"/>
          </w:tcPr>
          <w:p w14:paraId="53C30DBE">
            <w:pPr>
              <w:keepNext w:val="0"/>
              <w:keepLines w:val="0"/>
              <w:suppressLineNumbers w:val="0"/>
              <w:spacing w:before="0" w:beforeAutospacing="0" w:after="0" w:afterAutospacing="0" w:line="400" w:lineRule="exact"/>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支持中小企业及监狱企业发展</w:t>
            </w:r>
          </w:p>
          <w:p w14:paraId="5C7B826F">
            <w:pPr>
              <w:keepNext w:val="0"/>
              <w:keepLines w:val="0"/>
              <w:widowControl/>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4420E2FC">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1、根据《政府采购促进中小企业发展管理办法》（财库[2020]46号）、《关于印发中小企业划型标准规定的通知》工信部联企业〔2011〕300号及《关于政府采购促进小型微型企业发展的实施意见》（豫财购[2013]14号）文件规定，对小型和微型企业产品的价格给予20%的扣除，用扣除后的价格参与评审。投标人须在投标文件中按照相关文件的要求出具中小企业声明函。</w:t>
            </w:r>
          </w:p>
          <w:p w14:paraId="5F9F7F43">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2、监狱企业视同小型、微型企业，需提供省级及以上监狱管理局、戒毒管理局（含新疆生产建设兵团）出具的属于监狱企业的证明文件，否则不予认可。</w:t>
            </w:r>
          </w:p>
          <w:p w14:paraId="0F95FA95">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3、残疾人福利性单位视同小型、微型企业。按照关于促进残疾人就业政府采购政策的通知财库〔2017〕141号要求提供《</w:t>
            </w:r>
            <w:r>
              <w:rPr>
                <w:rFonts w:hint="eastAsia"/>
                <w:highlight w:val="none"/>
                <w:lang w:val="en-US" w:eastAsia="zh-CN"/>
              </w:rPr>
              <w:fldChar w:fldCharType="begin"/>
            </w:r>
            <w:r>
              <w:rPr>
                <w:rFonts w:hint="eastAsia"/>
                <w:highlight w:val="none"/>
                <w:lang w:val="en-US" w:eastAsia="zh-CN"/>
              </w:rPr>
              <w:instrText xml:space="preserve"> HYPERLINK "http://www.gov.cn/xinwen/2017-09/02/5222181/files/f1ba446ff1d041aab7b557a51912d058.docx" \t "_blank" </w:instrText>
            </w:r>
            <w:r>
              <w:rPr>
                <w:rFonts w:hint="eastAsia"/>
                <w:highlight w:val="none"/>
                <w:lang w:val="en-US" w:eastAsia="zh-CN"/>
              </w:rPr>
              <w:fldChar w:fldCharType="separate"/>
            </w:r>
            <w:r>
              <w:rPr>
                <w:rFonts w:hint="eastAsia"/>
                <w:highlight w:val="none"/>
                <w:lang w:val="en-US" w:eastAsia="zh-CN"/>
              </w:rPr>
              <w:t>残疾人福利性单位声明函</w:t>
            </w:r>
            <w:r>
              <w:rPr>
                <w:rFonts w:hint="eastAsia"/>
                <w:highlight w:val="none"/>
                <w:lang w:val="en-US" w:eastAsia="zh-CN"/>
              </w:rPr>
              <w:fldChar w:fldCharType="end"/>
            </w:r>
            <w:r>
              <w:rPr>
                <w:rFonts w:hint="eastAsia"/>
                <w:highlight w:val="none"/>
                <w:lang w:val="en-US" w:eastAsia="zh-CN"/>
              </w:rPr>
              <w:t>》等有效证明材料，并对声明的真实性负责，否则不予认可。</w:t>
            </w:r>
          </w:p>
          <w:p w14:paraId="66F35E8F">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注：评标价不作为成交价和合同签约价，成交价和合同签约价仍以其投标文件中的报价为准。残疾人福利性单位属于小型、微型企业的，不重复享受政策。仅给予一次价格20%的扣除。</w:t>
            </w:r>
          </w:p>
          <w:p w14:paraId="7561A00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highlight w:val="none"/>
                <w:lang w:val="en-US" w:eastAsia="zh-CN"/>
              </w:rPr>
              <w:t>4.同等条件优先采购不发达地区和少数民族地区产品。</w:t>
            </w:r>
          </w:p>
        </w:tc>
      </w:tr>
      <w:tr w14:paraId="6A2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3B37874">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10.10</w:t>
            </w:r>
          </w:p>
        </w:tc>
        <w:tc>
          <w:tcPr>
            <w:tcW w:w="1875" w:type="dxa"/>
            <w:vAlign w:val="center"/>
          </w:tcPr>
          <w:p w14:paraId="36741E9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节能产品说明</w:t>
            </w:r>
          </w:p>
          <w:p w14:paraId="0DF3EF6E">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p>
        </w:tc>
        <w:tc>
          <w:tcPr>
            <w:tcW w:w="7132" w:type="dxa"/>
            <w:vAlign w:val="top"/>
          </w:tcPr>
          <w:p w14:paraId="41011AD4">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1.采购项目若含有《节能产品政府采购清单》内强制采购的产品，投标人须在财政部和国家发展改革委联合下发的节能产品政府采购清单范围内选择适用产品投标，否则视为非实质响应招标文件，做无效标处理；</w:t>
            </w:r>
          </w:p>
          <w:p w14:paraId="6303404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《节能产品政府采购清单》中以“★”标注为政府强制采购的节能产品。其他品目为政府优先采购的节能产品）。</w:t>
            </w:r>
          </w:p>
          <w:p w14:paraId="4813D0CE">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财政部、国家发改委关于印发《节能产品政府采购实施意见》的通知(财库〔2006〕90号)要求，优先采购政府部门公布的节能清单中所列的节能产品，对优先采购节能产品的价格给予3%的扣除，用扣除后的价格参与评审；</w:t>
            </w:r>
          </w:p>
          <w:p w14:paraId="226F9D3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国家发展改革委《关于印发节能产品政府采购品目清单的通知》（财库〔2019〕19号）节能产品政府采购清单该页并予以标注（复印件加盖投标单位公章）和国家确定的认证机构出具的处于有效期之内的节能产品认证证书（复印件加盖投标单位公章），否则不给予价格扣除。</w:t>
            </w:r>
          </w:p>
        </w:tc>
      </w:tr>
      <w:tr w14:paraId="30E6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2731F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10.11</w:t>
            </w:r>
          </w:p>
        </w:tc>
        <w:tc>
          <w:tcPr>
            <w:tcW w:w="1875" w:type="dxa"/>
            <w:vAlign w:val="center"/>
          </w:tcPr>
          <w:p w14:paraId="47511042">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环境标志产品说明</w:t>
            </w:r>
          </w:p>
          <w:p w14:paraId="332F490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271C27F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财政部、国家环保总局关于印发《环境标志产品政府采购实施意见》的通知(财库〔2004〕185号)要求，优先采购政府部门公布的环境标志产品政府采购清单中所列产品，对环境标志产品的价格给予3%的扣除，用扣除后的价格参与评审。</w:t>
            </w:r>
          </w:p>
          <w:p w14:paraId="22D32C4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生态环境部《关于印发环境标志产品政府采购品目清单的通知》（财库〔2019〕18号）环境标志产品政府采购清单该页并予以标注（复印件加盖投标单位公章）和国家确定的认证机构出具的处于有效期之内的环境标志产品认证证书（复印件加盖投标单位公章），否则不给予价格扣除。</w:t>
            </w:r>
          </w:p>
        </w:tc>
      </w:tr>
      <w:tr w14:paraId="41B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C023DC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10.12</w:t>
            </w:r>
          </w:p>
        </w:tc>
        <w:tc>
          <w:tcPr>
            <w:tcW w:w="9007" w:type="dxa"/>
            <w:gridSpan w:val="2"/>
            <w:vAlign w:val="center"/>
          </w:tcPr>
          <w:p w14:paraId="19EF86BB">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清单可从：中华人民共和国财政部网站（http://www.mof.gov.cn）或中国政府采购网（http://www.ccgp.gov.cn/）或国家发展改革委网站（http://hzs.ndrc.gov.cn/）或中国质量认证中心网站（</w:t>
            </w:r>
            <w:r>
              <w:rPr>
                <w:rFonts w:hint="eastAsia"/>
                <w:highlight w:val="none"/>
                <w:lang w:val="en-US" w:eastAsia="zh-CN"/>
              </w:rPr>
              <w:fldChar w:fldCharType="begin"/>
            </w:r>
            <w:r>
              <w:rPr>
                <w:rFonts w:hint="eastAsia"/>
                <w:highlight w:val="none"/>
                <w:lang w:val="en-US" w:eastAsia="zh-CN"/>
              </w:rPr>
              <w:instrText xml:space="preserve"> HYPERLINK "http://www.cqc.com.cn/" </w:instrText>
            </w:r>
            <w:r>
              <w:rPr>
                <w:rFonts w:hint="eastAsia"/>
                <w:highlight w:val="none"/>
                <w:lang w:val="en-US" w:eastAsia="zh-CN"/>
              </w:rPr>
              <w:fldChar w:fldCharType="separate"/>
            </w:r>
            <w:r>
              <w:rPr>
                <w:rFonts w:hint="eastAsia"/>
                <w:highlight w:val="none"/>
                <w:lang w:val="en-US" w:eastAsia="zh-CN"/>
              </w:rPr>
              <w:t>http://www.cqc.com.cn/</w:t>
            </w:r>
            <w:r>
              <w:rPr>
                <w:rFonts w:hint="eastAsia"/>
                <w:highlight w:val="none"/>
                <w:lang w:val="en-US" w:eastAsia="zh-CN"/>
              </w:rPr>
              <w:fldChar w:fldCharType="end"/>
            </w:r>
            <w:r>
              <w:rPr>
                <w:rFonts w:hint="eastAsia"/>
                <w:highlight w:val="none"/>
                <w:lang w:val="en-US" w:eastAsia="zh-CN"/>
              </w:rPr>
              <w:t>）等网站下载。</w:t>
            </w:r>
          </w:p>
          <w:p w14:paraId="30F9C237">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注：对于同时列入环保清单和节能产品政府采购清单的产品，只给予其中一个清单的产品的价格扣除，不重复给予价格扣除。</w:t>
            </w:r>
          </w:p>
          <w:p w14:paraId="1824202B">
            <w:pPr>
              <w:spacing w:line="360" w:lineRule="auto"/>
              <w:rPr>
                <w:rFonts w:hint="eastAsia" w:ascii="Times New Roman" w:hAnsi="Times New Roman" w:cs="宋体"/>
                <w:sz w:val="21"/>
                <w:szCs w:val="21"/>
                <w:highlight w:val="none"/>
              </w:rPr>
            </w:pPr>
            <w:r>
              <w:rPr>
                <w:rFonts w:hint="eastAsia" w:ascii="Times New Roman" w:hAnsi="Times New Roman" w:eastAsia="宋体" w:cs="Times New Roman"/>
                <w:kern w:val="2"/>
                <w:sz w:val="21"/>
                <w:szCs w:val="22"/>
                <w:highlight w:val="none"/>
                <w:lang w:val="en-US" w:eastAsia="zh-CN" w:bidi="ar-SA"/>
              </w:rPr>
              <w:t>按照《关于印发中小企业划型标准规定的通知》工信部联企业〔2011〕300号）文，本次招标行业划分：</w:t>
            </w:r>
            <w:r>
              <w:rPr>
                <w:rFonts w:hint="default" w:ascii="Arial" w:hAnsi="Arial" w:eastAsia="Arial" w:cs="Arial"/>
                <w:i w:val="0"/>
                <w:caps w:val="0"/>
                <w:color w:val="191919"/>
                <w:spacing w:val="0"/>
                <w:sz w:val="24"/>
                <w:szCs w:val="24"/>
                <w:highlight w:val="none"/>
                <w:shd w:val="clear" w:color="auto" w:fill="FFFFFF"/>
              </w:rPr>
              <w:t>其他未列明行业</w:t>
            </w:r>
          </w:p>
        </w:tc>
      </w:tr>
      <w:tr w14:paraId="628A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9C601C6">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10.13</w:t>
            </w:r>
          </w:p>
        </w:tc>
        <w:tc>
          <w:tcPr>
            <w:tcW w:w="9007" w:type="dxa"/>
            <w:gridSpan w:val="2"/>
            <w:vAlign w:val="center"/>
          </w:tcPr>
          <w:p w14:paraId="6FD81F58">
            <w:pPr>
              <w:spacing w:line="360" w:lineRule="auto"/>
              <w:rPr>
                <w:rFonts w:hint="eastAsia" w:ascii="Times New Roman" w:hAnsi="Times New Roman" w:eastAsia="宋体" w:cs="Times New Roman"/>
                <w:kern w:val="2"/>
                <w:sz w:val="21"/>
                <w:szCs w:val="22"/>
                <w:highlight w:val="none"/>
                <w:lang w:val="en-US" w:eastAsia="zh-CN" w:bidi="ar-SA"/>
              </w:rPr>
            </w:pPr>
            <w:r>
              <w:rPr>
                <w:rFonts w:hint="eastAsia" w:hAnsi="宋体"/>
                <w:szCs w:val="21"/>
                <w:highlight w:val="none"/>
              </w:rPr>
              <w:t>根据汴财购【2020】11号《关于提升开封市政府采购营商环境专项行动的通知》文件要求，深入推进政府采购合同融资工作。供应商在中标成交后可持政府采购合同向融资机构申请贷款，让政府采购合同融资政策直达投标企业。</w:t>
            </w:r>
          </w:p>
        </w:tc>
      </w:tr>
      <w:tr w14:paraId="65C1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5A460F8">
            <w:pPr>
              <w:spacing w:line="360" w:lineRule="auto"/>
              <w:jc w:val="center"/>
              <w:rPr>
                <w:rFonts w:ascii="宋体" w:hAnsi="宋体"/>
                <w:b/>
                <w:sz w:val="21"/>
                <w:szCs w:val="21"/>
                <w:highlight w:val="none"/>
              </w:rPr>
            </w:pPr>
            <w:r>
              <w:rPr>
                <w:rFonts w:hint="eastAsia" w:ascii="宋体" w:hAnsi="宋体"/>
                <w:b/>
                <w:sz w:val="21"/>
                <w:szCs w:val="21"/>
                <w:highlight w:val="none"/>
              </w:rPr>
              <w:t>11</w:t>
            </w:r>
          </w:p>
        </w:tc>
        <w:tc>
          <w:tcPr>
            <w:tcW w:w="9007" w:type="dxa"/>
            <w:gridSpan w:val="2"/>
            <w:vAlign w:val="center"/>
          </w:tcPr>
          <w:p w14:paraId="1DC6B64D">
            <w:pPr>
              <w:spacing w:line="360" w:lineRule="auto"/>
              <w:jc w:val="center"/>
              <w:rPr>
                <w:rFonts w:ascii="宋体" w:hAnsi="宋体"/>
                <w:b/>
                <w:sz w:val="21"/>
                <w:szCs w:val="21"/>
                <w:highlight w:val="none"/>
              </w:rPr>
            </w:pPr>
            <w:r>
              <w:rPr>
                <w:rFonts w:hint="eastAsia" w:ascii="宋体" w:hAnsi="宋体"/>
                <w:b/>
                <w:sz w:val="21"/>
                <w:szCs w:val="21"/>
                <w:highlight w:val="none"/>
              </w:rPr>
              <w:t>电子招标投标</w:t>
            </w:r>
          </w:p>
        </w:tc>
      </w:tr>
      <w:tr w14:paraId="44FF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4B26130">
            <w:pPr>
              <w:spacing w:line="360" w:lineRule="auto"/>
              <w:jc w:val="center"/>
              <w:rPr>
                <w:rFonts w:ascii="宋体" w:hAnsi="宋体"/>
                <w:bCs/>
                <w:sz w:val="21"/>
                <w:szCs w:val="21"/>
                <w:highlight w:val="none"/>
              </w:rPr>
            </w:pPr>
            <w:r>
              <w:rPr>
                <w:rFonts w:hint="eastAsia" w:ascii="宋体" w:hAnsi="宋体"/>
                <w:bCs/>
                <w:sz w:val="21"/>
                <w:szCs w:val="21"/>
                <w:highlight w:val="none"/>
              </w:rPr>
              <w:t>11.1</w:t>
            </w:r>
          </w:p>
        </w:tc>
        <w:tc>
          <w:tcPr>
            <w:tcW w:w="1875" w:type="dxa"/>
            <w:vAlign w:val="center"/>
          </w:tcPr>
          <w:p w14:paraId="4B07F87A">
            <w:pPr>
              <w:spacing w:line="360" w:lineRule="auto"/>
              <w:jc w:val="center"/>
              <w:rPr>
                <w:rFonts w:ascii="宋体" w:hAnsi="宋体"/>
                <w:bCs/>
                <w:sz w:val="21"/>
                <w:szCs w:val="21"/>
                <w:highlight w:val="none"/>
              </w:rPr>
            </w:pPr>
            <w:r>
              <w:rPr>
                <w:rFonts w:hint="eastAsia" w:ascii="宋体" w:hAnsi="宋体"/>
                <w:bCs/>
                <w:sz w:val="21"/>
                <w:szCs w:val="21"/>
                <w:highlight w:val="none"/>
              </w:rPr>
              <w:t>本项目采用的招标形式</w:t>
            </w:r>
          </w:p>
        </w:tc>
        <w:tc>
          <w:tcPr>
            <w:tcW w:w="7132" w:type="dxa"/>
            <w:vAlign w:val="center"/>
          </w:tcPr>
          <w:p w14:paraId="0D209C64">
            <w:pPr>
              <w:spacing w:line="360" w:lineRule="auto"/>
              <w:ind w:firstLine="420" w:firstLineChars="200"/>
              <w:rPr>
                <w:rFonts w:ascii="宋体" w:hAnsi="宋体"/>
                <w:sz w:val="21"/>
                <w:szCs w:val="21"/>
                <w:highlight w:val="none"/>
              </w:rPr>
            </w:pPr>
            <w:r>
              <w:rPr>
                <w:rFonts w:hint="eastAsia" w:ascii="宋体" w:hAnsi="宋体"/>
                <w:color w:val="000000"/>
                <w:sz w:val="21"/>
                <w:szCs w:val="21"/>
                <w:highlight w:val="none"/>
              </w:rPr>
              <w:t>本项目采用电子招标投标</w:t>
            </w:r>
          </w:p>
        </w:tc>
      </w:tr>
      <w:tr w14:paraId="1B7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1C5FCFE">
            <w:pPr>
              <w:spacing w:line="360" w:lineRule="auto"/>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11.2</w:t>
            </w:r>
          </w:p>
        </w:tc>
        <w:tc>
          <w:tcPr>
            <w:tcW w:w="1875" w:type="dxa"/>
            <w:vAlign w:val="top"/>
          </w:tcPr>
          <w:p w14:paraId="575669AA">
            <w:pPr>
              <w:spacing w:line="360" w:lineRule="auto"/>
              <w:ind w:firstLine="315" w:firstLineChars="150"/>
              <w:rPr>
                <w:rFonts w:ascii="Arial" w:hAnsi="Arial" w:cs="Arial"/>
                <w:kern w:val="0"/>
                <w:sz w:val="21"/>
                <w:szCs w:val="21"/>
                <w:highlight w:val="none"/>
              </w:rPr>
            </w:pPr>
          </w:p>
          <w:p w14:paraId="0AF3423E">
            <w:pPr>
              <w:spacing w:line="360" w:lineRule="auto"/>
              <w:ind w:firstLine="315" w:firstLineChars="150"/>
              <w:rPr>
                <w:rFonts w:hint="eastAsia" w:ascii="Arial" w:hAnsi="Arial" w:cs="Arial"/>
                <w:kern w:val="0"/>
                <w:sz w:val="21"/>
                <w:szCs w:val="21"/>
                <w:highlight w:val="none"/>
              </w:rPr>
            </w:pPr>
          </w:p>
          <w:p w14:paraId="6673EFA8">
            <w:pPr>
              <w:spacing w:line="360" w:lineRule="auto"/>
              <w:ind w:firstLine="315" w:firstLineChars="150"/>
              <w:rPr>
                <w:rFonts w:hint="eastAsia" w:ascii="Arial" w:hAnsi="Arial" w:cs="Arial"/>
                <w:kern w:val="0"/>
                <w:sz w:val="21"/>
                <w:szCs w:val="21"/>
                <w:highlight w:val="none"/>
              </w:rPr>
            </w:pPr>
          </w:p>
          <w:p w14:paraId="169757BB">
            <w:pPr>
              <w:spacing w:line="360" w:lineRule="auto"/>
              <w:ind w:firstLine="315" w:firstLineChars="150"/>
              <w:rPr>
                <w:rFonts w:hint="eastAsia" w:ascii="Arial" w:hAnsi="Arial" w:cs="Arial"/>
                <w:kern w:val="0"/>
                <w:sz w:val="21"/>
                <w:szCs w:val="21"/>
                <w:highlight w:val="none"/>
              </w:rPr>
            </w:pPr>
          </w:p>
          <w:p w14:paraId="119CF085">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Arial" w:hAnsi="Arial" w:cs="Arial"/>
                <w:kern w:val="0"/>
                <w:sz w:val="21"/>
                <w:szCs w:val="21"/>
                <w:highlight w:val="none"/>
              </w:rPr>
              <w:t>其他需要补充的内容</w:t>
            </w:r>
          </w:p>
        </w:tc>
        <w:tc>
          <w:tcPr>
            <w:tcW w:w="7132" w:type="dxa"/>
            <w:vAlign w:val="top"/>
          </w:tcPr>
          <w:p w14:paraId="6F43E6C1">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1、投标人必须承诺独立制作、修改和上传投标文件，因“硬件特征码一致”所造成的不良后果由投标人自行承担。</w:t>
            </w:r>
          </w:p>
          <w:p w14:paraId="5DF665E5">
            <w:pPr>
              <w:spacing w:line="360" w:lineRule="auto"/>
              <w:rPr>
                <w:rFonts w:hint="eastAsia" w:ascii="宋体" w:hAnsi="宋体"/>
                <w:sz w:val="21"/>
                <w:szCs w:val="21"/>
                <w:highlight w:val="none"/>
              </w:rPr>
            </w:pPr>
            <w:r>
              <w:rPr>
                <w:rFonts w:hint="eastAsia" w:ascii="宋体" w:hAnsi="宋体"/>
                <w:sz w:val="21"/>
                <w:szCs w:val="21"/>
                <w:highlight w:val="none"/>
              </w:rPr>
              <w:t>2、招标文件规定其他内容涉及的“相关原件”不再要求投标人单独递交，投标人需根据招标文件及投标文件格式要求将原件扫描件附在投标文件中即可，其内容清晰可辨，如因此造成的后果由投标人自行承担。</w:t>
            </w:r>
          </w:p>
          <w:p w14:paraId="036BD129">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3、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14:paraId="5A1E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285EBA5">
            <w:pPr>
              <w:spacing w:line="360" w:lineRule="auto"/>
              <w:jc w:val="center"/>
              <w:rPr>
                <w:rFonts w:hint="default" w:ascii="宋体" w:hAnsi="宋体"/>
                <w:bCs/>
                <w:sz w:val="21"/>
                <w:szCs w:val="21"/>
                <w:highlight w:val="none"/>
                <w:lang w:val="en-US" w:eastAsia="zh-CN"/>
              </w:rPr>
            </w:pPr>
            <w:r>
              <w:rPr>
                <w:rFonts w:hint="eastAsia" w:ascii="宋体" w:hAnsi="宋体"/>
                <w:bCs/>
                <w:sz w:val="21"/>
                <w:szCs w:val="21"/>
                <w:highlight w:val="none"/>
                <w:lang w:val="en-US" w:eastAsia="zh-CN"/>
              </w:rPr>
              <w:t>11.3</w:t>
            </w:r>
          </w:p>
        </w:tc>
        <w:tc>
          <w:tcPr>
            <w:tcW w:w="9007" w:type="dxa"/>
            <w:gridSpan w:val="2"/>
            <w:vAlign w:val="top"/>
          </w:tcPr>
          <w:p w14:paraId="747EFA97">
            <w:pPr>
              <w:spacing w:line="360" w:lineRule="auto"/>
              <w:rPr>
                <w:rFonts w:hint="eastAsia" w:ascii="宋体" w:hAnsi="宋体"/>
                <w:sz w:val="21"/>
                <w:szCs w:val="21"/>
                <w:highlight w:val="none"/>
              </w:rPr>
            </w:pPr>
            <w:r>
              <w:rPr>
                <w:rFonts w:hint="eastAsia" w:ascii="宋体" w:hAnsi="宋体" w:cs="宋体"/>
                <w:highlight w:val="none"/>
              </w:rPr>
              <w:t>其他未尽事宜，按国家相关法律法规执行。</w:t>
            </w:r>
          </w:p>
        </w:tc>
      </w:tr>
    </w:tbl>
    <w:p w14:paraId="60682CF1">
      <w:pPr>
        <w:rPr>
          <w:rFonts w:ascii="宋体" w:hAnsi="宋体" w:cs="宋体"/>
          <w:b/>
          <w:bCs/>
          <w:sz w:val="21"/>
          <w:szCs w:val="21"/>
          <w:highlight w:val="none"/>
        </w:rPr>
      </w:pPr>
      <w:bookmarkStart w:id="24" w:name="_Toc246996918"/>
      <w:bookmarkStart w:id="25" w:name="_Toc346523402"/>
      <w:bookmarkStart w:id="26" w:name="_Toc338840481"/>
      <w:bookmarkStart w:id="27" w:name="_Toc179632546"/>
      <w:bookmarkStart w:id="28" w:name="_Toc152042305"/>
      <w:bookmarkStart w:id="29" w:name="_Toc494093429"/>
      <w:bookmarkStart w:id="30" w:name="_Toc14770"/>
      <w:bookmarkStart w:id="31" w:name="_Toc246996175"/>
      <w:bookmarkStart w:id="32" w:name="_Toc152045529"/>
      <w:bookmarkStart w:id="33" w:name="_Toc247085689"/>
      <w:bookmarkStart w:id="34" w:name="_Toc338840187"/>
      <w:bookmarkStart w:id="35" w:name="_Toc338840442"/>
      <w:bookmarkStart w:id="36" w:name="_Toc17934"/>
      <w:bookmarkStart w:id="37" w:name="_Toc144974497"/>
      <w:bookmarkStart w:id="38" w:name="_Toc494102991"/>
      <w:bookmarkStart w:id="39" w:name="_Toc346523465"/>
      <w:r>
        <w:rPr>
          <w:rFonts w:hint="eastAsia"/>
          <w:b/>
          <w:bCs/>
          <w:sz w:val="21"/>
          <w:szCs w:val="21"/>
          <w:highlight w:val="none"/>
        </w:rPr>
        <w:t>1. 总则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D1C8910">
      <w:pPr>
        <w:spacing w:line="360" w:lineRule="auto"/>
        <w:outlineLvl w:val="2"/>
        <w:rPr>
          <w:b/>
          <w:bCs/>
          <w:sz w:val="21"/>
          <w:szCs w:val="21"/>
          <w:highlight w:val="none"/>
        </w:rPr>
      </w:pPr>
      <w:bookmarkStart w:id="40" w:name="_Toc246996176"/>
      <w:bookmarkStart w:id="41" w:name="_Toc179632547"/>
      <w:bookmarkStart w:id="42" w:name="_Toc246996919"/>
      <w:bookmarkStart w:id="43" w:name="_Toc144974498"/>
      <w:bookmarkStart w:id="44" w:name="_Toc152045530"/>
      <w:bookmarkStart w:id="45" w:name="_Toc247085690"/>
      <w:bookmarkStart w:id="46" w:name="_Toc22881"/>
      <w:bookmarkStart w:id="47" w:name="_Toc152042306"/>
      <w:bookmarkStart w:id="48" w:name="_Toc338840188"/>
      <w:r>
        <w:rPr>
          <w:rFonts w:hint="eastAsia"/>
          <w:b/>
          <w:bCs/>
          <w:sz w:val="21"/>
          <w:szCs w:val="21"/>
          <w:highlight w:val="none"/>
        </w:rPr>
        <w:t>1.1 项目概况</w:t>
      </w:r>
      <w:bookmarkEnd w:id="40"/>
      <w:bookmarkEnd w:id="41"/>
      <w:bookmarkEnd w:id="42"/>
      <w:bookmarkEnd w:id="43"/>
      <w:bookmarkEnd w:id="44"/>
      <w:bookmarkEnd w:id="45"/>
      <w:bookmarkEnd w:id="46"/>
      <w:bookmarkEnd w:id="47"/>
      <w:bookmarkEnd w:id="48"/>
    </w:p>
    <w:p w14:paraId="2213534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1.1.1根据《中华人民共和国政府采购法》、《中华人民共和国招标投标法》等有关法律、法规和规章的规定，本招标项目已具备招标条件，现对本项目进行招标。</w:t>
      </w:r>
    </w:p>
    <w:p w14:paraId="356777A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1.1.2 本招标项目</w:t>
      </w:r>
      <w:r>
        <w:rPr>
          <w:rFonts w:hint="eastAsia" w:ascii="宋体" w:hAnsi="宋体" w:cs="宋体"/>
          <w:sz w:val="21"/>
          <w:szCs w:val="21"/>
          <w:highlight w:val="none"/>
          <w:lang w:eastAsia="zh-CN"/>
        </w:rPr>
        <w:t>采购</w:t>
      </w:r>
      <w:r>
        <w:rPr>
          <w:rFonts w:hint="eastAsia" w:ascii="宋体" w:hAnsi="宋体" w:cs="宋体"/>
          <w:sz w:val="21"/>
          <w:szCs w:val="21"/>
          <w:highlight w:val="none"/>
        </w:rPr>
        <w:t>人：见投标人须知前附表。</w:t>
      </w:r>
    </w:p>
    <w:p w14:paraId="429CE42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1.1.3 本招标项目采购代理机构：见投标人须知前附表。</w:t>
      </w:r>
    </w:p>
    <w:p w14:paraId="78BAE98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1.1.4 本招标项目名称：见投标人须知前附表。</w:t>
      </w:r>
    </w:p>
    <w:p w14:paraId="512206B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1.1.5 本招标项目服务地点：见投标人须知前附表。</w:t>
      </w:r>
    </w:p>
    <w:p w14:paraId="6B543833">
      <w:pPr>
        <w:spacing w:line="360" w:lineRule="auto"/>
        <w:outlineLvl w:val="2"/>
        <w:rPr>
          <w:rFonts w:hint="eastAsia" w:cs="Times New Roman"/>
          <w:b/>
          <w:bCs/>
          <w:sz w:val="21"/>
          <w:szCs w:val="21"/>
          <w:highlight w:val="none"/>
        </w:rPr>
      </w:pPr>
      <w:bookmarkStart w:id="49" w:name="_Toc247085691"/>
      <w:bookmarkStart w:id="50" w:name="_Toc144974499"/>
      <w:bookmarkStart w:id="51" w:name="_Toc179632548"/>
      <w:bookmarkStart w:id="52" w:name="_Toc338840189"/>
      <w:bookmarkStart w:id="53" w:name="_Toc23025"/>
      <w:bookmarkStart w:id="54" w:name="_Toc246996920"/>
      <w:bookmarkStart w:id="55" w:name="_Toc246996177"/>
      <w:bookmarkStart w:id="56" w:name="_Toc152042307"/>
      <w:bookmarkStart w:id="57" w:name="_Toc152045531"/>
      <w:r>
        <w:rPr>
          <w:rFonts w:hint="eastAsia" w:cs="Times New Roman"/>
          <w:b/>
          <w:bCs/>
          <w:sz w:val="21"/>
          <w:szCs w:val="21"/>
          <w:highlight w:val="none"/>
        </w:rPr>
        <w:t>1.2 资金来源和落实情况</w:t>
      </w:r>
      <w:bookmarkEnd w:id="49"/>
      <w:bookmarkEnd w:id="50"/>
      <w:bookmarkEnd w:id="51"/>
      <w:bookmarkEnd w:id="52"/>
      <w:bookmarkEnd w:id="53"/>
      <w:bookmarkEnd w:id="54"/>
      <w:bookmarkEnd w:id="55"/>
      <w:bookmarkEnd w:id="56"/>
      <w:bookmarkEnd w:id="57"/>
    </w:p>
    <w:p w14:paraId="43DA651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 本招标项目的资金来源及出资比例：见投标人须知前附表。</w:t>
      </w:r>
    </w:p>
    <w:p w14:paraId="6D3993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1.2.2 本招标项目的资金落实情况：见投标人须知前附表。</w:t>
      </w:r>
    </w:p>
    <w:p w14:paraId="197E737D">
      <w:pPr>
        <w:spacing w:line="360" w:lineRule="auto"/>
        <w:outlineLvl w:val="2"/>
        <w:rPr>
          <w:rFonts w:hint="eastAsia" w:cs="Times New Roman"/>
          <w:b/>
          <w:bCs/>
          <w:sz w:val="21"/>
          <w:szCs w:val="21"/>
          <w:highlight w:val="none"/>
        </w:rPr>
      </w:pPr>
      <w:bookmarkStart w:id="58" w:name="_Toc152045532"/>
      <w:bookmarkStart w:id="59" w:name="_Toc246996921"/>
      <w:bookmarkStart w:id="60" w:name="_Toc179632549"/>
      <w:bookmarkStart w:id="61" w:name="_Toc247085692"/>
      <w:bookmarkStart w:id="62" w:name="_Toc246996178"/>
      <w:bookmarkStart w:id="63" w:name="_Toc144974500"/>
      <w:bookmarkStart w:id="64" w:name="_Toc11284"/>
      <w:bookmarkStart w:id="65" w:name="_Toc152042308"/>
      <w:bookmarkStart w:id="66" w:name="_Toc338840190"/>
      <w:r>
        <w:rPr>
          <w:rFonts w:hint="eastAsia" w:cs="Times New Roman"/>
          <w:b/>
          <w:bCs/>
          <w:sz w:val="21"/>
          <w:szCs w:val="21"/>
          <w:highlight w:val="none"/>
        </w:rPr>
        <w:t xml:space="preserve">1.3 </w:t>
      </w:r>
      <w:r>
        <w:rPr>
          <w:rFonts w:hint="eastAsia" w:cs="Times New Roman"/>
          <w:b/>
          <w:bCs/>
          <w:sz w:val="21"/>
          <w:szCs w:val="21"/>
          <w:highlight w:val="none"/>
          <w:lang w:val="en-US" w:eastAsia="zh-CN"/>
        </w:rPr>
        <w:t>服务</w:t>
      </w:r>
      <w:r>
        <w:rPr>
          <w:rFonts w:hint="eastAsia" w:cs="Times New Roman"/>
          <w:b/>
          <w:bCs/>
          <w:sz w:val="21"/>
          <w:szCs w:val="21"/>
          <w:highlight w:val="none"/>
        </w:rPr>
        <w:t>内容、</w:t>
      </w:r>
      <w:r>
        <w:rPr>
          <w:rFonts w:hint="eastAsia" w:cs="Times New Roman"/>
          <w:b/>
          <w:bCs/>
          <w:sz w:val="21"/>
          <w:szCs w:val="21"/>
          <w:highlight w:val="none"/>
          <w:lang w:eastAsia="zh-CN"/>
        </w:rPr>
        <w:t>服务期限</w:t>
      </w:r>
      <w:r>
        <w:rPr>
          <w:rFonts w:hint="eastAsia" w:cs="Times New Roman"/>
          <w:b/>
          <w:bCs/>
          <w:sz w:val="21"/>
          <w:szCs w:val="21"/>
          <w:highlight w:val="none"/>
        </w:rPr>
        <w:t>、质量要求</w:t>
      </w:r>
      <w:bookmarkEnd w:id="58"/>
      <w:bookmarkEnd w:id="59"/>
      <w:bookmarkEnd w:id="60"/>
      <w:bookmarkEnd w:id="61"/>
      <w:bookmarkEnd w:id="62"/>
      <w:bookmarkEnd w:id="63"/>
      <w:bookmarkEnd w:id="64"/>
      <w:bookmarkEnd w:id="65"/>
      <w:bookmarkEnd w:id="66"/>
    </w:p>
    <w:p w14:paraId="560DEB8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1.3.1 本次</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内容：见投标人须知前附表。</w:t>
      </w:r>
    </w:p>
    <w:p w14:paraId="0E55234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1.3.2 本招标项目的</w:t>
      </w:r>
      <w:r>
        <w:rPr>
          <w:rFonts w:hint="eastAsia" w:ascii="宋体" w:hAnsi="宋体" w:cs="宋体"/>
          <w:sz w:val="21"/>
          <w:szCs w:val="21"/>
          <w:highlight w:val="none"/>
          <w:lang w:eastAsia="zh-CN"/>
        </w:rPr>
        <w:t>服务期限</w:t>
      </w:r>
      <w:r>
        <w:rPr>
          <w:rFonts w:hint="eastAsia" w:ascii="宋体" w:hAnsi="宋体" w:cs="宋体"/>
          <w:sz w:val="21"/>
          <w:szCs w:val="21"/>
          <w:highlight w:val="none"/>
        </w:rPr>
        <w:t>等：见投标人须知前附表。</w:t>
      </w:r>
    </w:p>
    <w:p w14:paraId="493137F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1.3.3 本招标项目的质量要求：见投标人须知前附表。</w:t>
      </w:r>
    </w:p>
    <w:p w14:paraId="2C61311B">
      <w:pPr>
        <w:spacing w:line="360" w:lineRule="auto"/>
        <w:outlineLvl w:val="2"/>
        <w:rPr>
          <w:rFonts w:hint="eastAsia" w:cs="Times New Roman"/>
          <w:b/>
          <w:bCs/>
          <w:sz w:val="21"/>
          <w:szCs w:val="21"/>
          <w:highlight w:val="none"/>
        </w:rPr>
      </w:pPr>
      <w:bookmarkStart w:id="67" w:name="_Toc152045534"/>
      <w:bookmarkStart w:id="68" w:name="_Toc144974502"/>
      <w:bookmarkStart w:id="69" w:name="_Toc246996179"/>
      <w:bookmarkStart w:id="70" w:name="_Toc152042310"/>
      <w:bookmarkStart w:id="71" w:name="_Toc246996922"/>
      <w:bookmarkStart w:id="72" w:name="_Toc179632551"/>
      <w:bookmarkStart w:id="73" w:name="_Toc338840191"/>
      <w:bookmarkStart w:id="74" w:name="_Toc247085693"/>
      <w:bookmarkStart w:id="75" w:name="_Toc28646"/>
      <w:r>
        <w:rPr>
          <w:rFonts w:hint="eastAsia" w:cs="Times New Roman"/>
          <w:b/>
          <w:bCs/>
          <w:sz w:val="21"/>
          <w:szCs w:val="21"/>
          <w:highlight w:val="none"/>
        </w:rPr>
        <w:t>1.4 投标人资格要求</w:t>
      </w:r>
      <w:bookmarkEnd w:id="67"/>
      <w:bookmarkEnd w:id="68"/>
      <w:bookmarkEnd w:id="69"/>
      <w:bookmarkEnd w:id="70"/>
      <w:bookmarkEnd w:id="71"/>
      <w:bookmarkEnd w:id="72"/>
      <w:bookmarkEnd w:id="73"/>
      <w:bookmarkEnd w:id="74"/>
      <w:r>
        <w:rPr>
          <w:rFonts w:hint="eastAsia" w:cs="Times New Roman"/>
          <w:b/>
          <w:bCs/>
          <w:sz w:val="21"/>
          <w:szCs w:val="21"/>
          <w:highlight w:val="none"/>
        </w:rPr>
        <w:t>（所有证件以投标文件中原件扫描件为准）</w:t>
      </w:r>
      <w:bookmarkEnd w:id="75"/>
    </w:p>
    <w:p w14:paraId="402D83CE">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1.4.1 投标人应具备承担本项目的资格条件祥见投标人须知前附表；</w:t>
      </w:r>
    </w:p>
    <w:p w14:paraId="5C7A3441">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1.4.2 投标人不得存在下列情形之一：</w:t>
      </w:r>
    </w:p>
    <w:p w14:paraId="5FB609F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bookmarkStart w:id="76" w:name="_Toc144974503"/>
      <w:bookmarkStart w:id="77" w:name="_Toc179632552"/>
      <w:bookmarkStart w:id="78" w:name="_Toc247085694"/>
      <w:bookmarkStart w:id="79" w:name="_Toc338840192"/>
      <w:bookmarkStart w:id="80" w:name="_Toc152045535"/>
      <w:bookmarkStart w:id="81" w:name="_Toc5295"/>
      <w:bookmarkStart w:id="82" w:name="_Toc246996923"/>
      <w:bookmarkStart w:id="83" w:name="_Toc152042311"/>
      <w:bookmarkStart w:id="84" w:name="_Toc246996180"/>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）与采购人存在利害关系且可能影响招标公正性；</w:t>
      </w:r>
    </w:p>
    <w:p w14:paraId="6B1BC08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为同</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一个单位负责人；</w:t>
      </w:r>
    </w:p>
    <w:p w14:paraId="64D67417">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存在控股、管理关系；</w:t>
      </w:r>
    </w:p>
    <w:p w14:paraId="4E81AFC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）与本招标项目其他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代理同一个制造商同一品牌同一型号的设备投标；</w:t>
      </w:r>
    </w:p>
    <w:p w14:paraId="0D50868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）为本招标项目提供过设计、编制技术规范和其他文件的咨询服务；</w:t>
      </w:r>
    </w:p>
    <w:p w14:paraId="76BC7E4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）为本工程项目的相关监理人，或者与本工程项目的相关监理人存在隶属关系或者其他</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利害关系；</w:t>
      </w:r>
    </w:p>
    <w:p w14:paraId="667000C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）为本招标项目的代建人；</w:t>
      </w:r>
    </w:p>
    <w:p w14:paraId="4BCD08E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）为本招标项目的招标代理机构；</w:t>
      </w:r>
    </w:p>
    <w:p w14:paraId="00BBF4F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）与本招标项目的监理人或代建人或招标代理机构同为一个法定代表人；</w:t>
      </w:r>
    </w:p>
    <w:p w14:paraId="5D994A39">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10</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）与本招标项目的监理人或代建人或招标代理机构存在控股或参股关系；</w:t>
      </w:r>
    </w:p>
    <w:p w14:paraId="5DC6050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11</w:t>
      </w:r>
      <w:r>
        <w:rPr>
          <w:rFonts w:hint="eastAsia" w:ascii="Times New Roman" w:hAnsi="Times New Roman" w:eastAsia="宋体" w:cs="宋体"/>
          <w:color w:val="auto"/>
          <w:kern w:val="2"/>
          <w:sz w:val="21"/>
          <w:szCs w:val="21"/>
          <w:highlight w:val="none"/>
          <w:lang w:val="en-US" w:eastAsia="zh-CN" w:bidi="ar"/>
        </w:rPr>
        <w:t>）被依法暂停或者取消投标资格；</w:t>
      </w:r>
    </w:p>
    <w:p w14:paraId="40081B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12</w:t>
      </w:r>
      <w:r>
        <w:rPr>
          <w:rFonts w:hint="eastAsia" w:ascii="Times New Roman" w:hAnsi="Times New Roman" w:eastAsia="宋体" w:cs="宋体"/>
          <w:color w:val="auto"/>
          <w:kern w:val="2"/>
          <w:sz w:val="21"/>
          <w:szCs w:val="21"/>
          <w:highlight w:val="none"/>
          <w:lang w:val="en-US" w:eastAsia="zh-CN" w:bidi="ar"/>
        </w:rPr>
        <w:t>）被责令停产停业、暂扣或者吊销许可证、暂扣或者吊销执照；</w:t>
      </w:r>
    </w:p>
    <w:p w14:paraId="250526A2">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13</w:t>
      </w:r>
      <w:r>
        <w:rPr>
          <w:rFonts w:hint="eastAsia" w:ascii="Times New Roman" w:hAnsi="Times New Roman" w:eastAsia="宋体" w:cs="宋体"/>
          <w:color w:val="auto"/>
          <w:kern w:val="2"/>
          <w:sz w:val="21"/>
          <w:szCs w:val="21"/>
          <w:highlight w:val="none"/>
          <w:lang w:val="en-US" w:eastAsia="zh-CN" w:bidi="ar"/>
        </w:rPr>
        <w:t>）进入清算程序，或被宣告破产，或其他丧失履约能力的情形；</w:t>
      </w:r>
    </w:p>
    <w:p w14:paraId="750FEE98">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14</w:t>
      </w:r>
      <w:r>
        <w:rPr>
          <w:rFonts w:hint="eastAsia" w:ascii="Times New Roman" w:hAnsi="Times New Roman" w:eastAsia="宋体" w:cs="宋体"/>
          <w:color w:val="auto"/>
          <w:kern w:val="2"/>
          <w:sz w:val="21"/>
          <w:szCs w:val="21"/>
          <w:highlight w:val="none"/>
          <w:lang w:val="en-US" w:eastAsia="zh-CN" w:bidi="ar"/>
        </w:rPr>
        <w:t>）在最近三年内发生重大产品质量问题（以相关行业主管部门的行政处罚决定或司法</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机关出具的有关法律文书为准）；</w:t>
      </w:r>
    </w:p>
    <w:p w14:paraId="27A853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15</w:t>
      </w:r>
      <w:r>
        <w:rPr>
          <w:rFonts w:hint="eastAsia" w:ascii="Times New Roman" w:hAnsi="Times New Roman" w:eastAsia="宋体" w:cs="宋体"/>
          <w:color w:val="auto"/>
          <w:kern w:val="2"/>
          <w:sz w:val="21"/>
          <w:szCs w:val="21"/>
          <w:highlight w:val="none"/>
          <w:lang w:val="en-US" w:eastAsia="zh-CN" w:bidi="ar"/>
        </w:rPr>
        <w:t>）被工商行政管理机关在全国企业信用信息公示系统中列入严重违法失信企业名单；</w:t>
      </w:r>
    </w:p>
    <w:p w14:paraId="3B6FE7F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16</w:t>
      </w:r>
      <w:r>
        <w:rPr>
          <w:rFonts w:hint="eastAsia" w:ascii="Times New Roman" w:hAnsi="Times New Roman" w:eastAsia="宋体" w:cs="宋体"/>
          <w:color w:val="auto"/>
          <w:kern w:val="2"/>
          <w:sz w:val="21"/>
          <w:szCs w:val="21"/>
          <w:highlight w:val="none"/>
          <w:lang w:val="en-US" w:eastAsia="zh-CN" w:bidi="ar"/>
        </w:rPr>
        <w:t>）被最高人民法院在</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信用中国</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网站（</w:t>
      </w:r>
      <w:r>
        <w:rPr>
          <w:rFonts w:hint="default" w:ascii="Times New Roman" w:hAnsi="Times New Roman" w:eastAsia="宋体" w:cs="Times New Roman"/>
          <w:color w:val="auto"/>
          <w:kern w:val="2"/>
          <w:sz w:val="21"/>
          <w:szCs w:val="22"/>
          <w:highlight w:val="none"/>
          <w:lang w:val="en-US" w:eastAsia="zh-CN" w:bidi="ar"/>
        </w:rPr>
        <w:fldChar w:fldCharType="begin"/>
      </w:r>
      <w:r>
        <w:rPr>
          <w:rFonts w:hint="default" w:ascii="Times New Roman" w:hAnsi="Times New Roman" w:eastAsia="宋体" w:cs="Times New Roman"/>
          <w:color w:val="auto"/>
          <w:kern w:val="2"/>
          <w:sz w:val="21"/>
          <w:szCs w:val="22"/>
          <w:highlight w:val="none"/>
          <w:lang w:val="en-US" w:eastAsia="zh-CN" w:bidi="ar"/>
        </w:rPr>
        <w:instrText xml:space="preserve"> HYPERLINK "http://www.creditchina.gov.cn/" </w:instrText>
      </w:r>
      <w:r>
        <w:rPr>
          <w:rFonts w:hint="default" w:ascii="Times New Roman" w:hAnsi="Times New Roman" w:eastAsia="宋体" w:cs="Times New Roman"/>
          <w:color w:val="auto"/>
          <w:kern w:val="2"/>
          <w:sz w:val="21"/>
          <w:szCs w:val="22"/>
          <w:highlight w:val="none"/>
          <w:lang w:val="en-US" w:eastAsia="zh-CN" w:bidi="ar"/>
        </w:rPr>
        <w:fldChar w:fldCharType="separate"/>
      </w:r>
      <w:r>
        <w:rPr>
          <w:rStyle w:val="36"/>
          <w:rFonts w:cs="宋体"/>
          <w:color w:val="auto"/>
          <w:szCs w:val="21"/>
          <w:highlight w:val="none"/>
          <w:lang w:val="en-US"/>
        </w:rPr>
        <w:t>www.creditchina.gov.cn</w:t>
      </w:r>
      <w:r>
        <w:rPr>
          <w:rFonts w:hint="default" w:ascii="Times New Roman" w:hAnsi="Times New Roman" w:eastAsia="宋体" w:cs="Times New Roman"/>
          <w:color w:val="auto"/>
          <w:kern w:val="2"/>
          <w:sz w:val="21"/>
          <w:szCs w:val="22"/>
          <w:highlight w:val="none"/>
          <w:lang w:val="en-US" w:eastAsia="zh-CN" w:bidi="ar"/>
        </w:rPr>
        <w:fldChar w:fldCharType="end"/>
      </w:r>
      <w:r>
        <w:rPr>
          <w:rFonts w:hint="eastAsia" w:ascii="Times New Roman" w:hAnsi="Times New Roman" w:eastAsia="宋体" w:cs="宋体"/>
          <w:color w:val="auto"/>
          <w:kern w:val="2"/>
          <w:sz w:val="21"/>
          <w:szCs w:val="21"/>
          <w:highlight w:val="none"/>
          <w:lang w:val="en-US" w:eastAsia="zh-CN" w:bidi="ar"/>
        </w:rPr>
        <w:t>）或各级信用信息共享平</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台中列入失信被执行人名单；</w:t>
      </w:r>
    </w:p>
    <w:p w14:paraId="29826FF9">
      <w:pPr>
        <w:keepNext w:val="0"/>
        <w:keepLines w:val="0"/>
        <w:widowControl w:val="0"/>
        <w:suppressLineNumbers w:val="0"/>
        <w:spacing w:before="0" w:beforeAutospacing="0" w:after="0" w:afterAutospacing="0"/>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17</w:t>
      </w:r>
      <w:r>
        <w:rPr>
          <w:rFonts w:hint="eastAsia" w:ascii="Times New Roman" w:hAnsi="Times New Roman" w:eastAsia="宋体" w:cs="宋体"/>
          <w:color w:val="auto"/>
          <w:kern w:val="2"/>
          <w:sz w:val="21"/>
          <w:szCs w:val="21"/>
          <w:highlight w:val="none"/>
          <w:lang w:val="en-US" w:eastAsia="zh-CN" w:bidi="ar"/>
        </w:rPr>
        <w:t>）法律法规或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须知前附表规定的其他情形。</w:t>
      </w:r>
    </w:p>
    <w:p w14:paraId="4F9AB387">
      <w:pPr>
        <w:spacing w:line="360" w:lineRule="auto"/>
        <w:outlineLvl w:val="2"/>
        <w:rPr>
          <w:rFonts w:hint="eastAsia" w:cs="Times New Roman"/>
          <w:b/>
          <w:bCs/>
          <w:sz w:val="21"/>
          <w:szCs w:val="21"/>
          <w:highlight w:val="none"/>
        </w:rPr>
      </w:pPr>
      <w:r>
        <w:rPr>
          <w:rFonts w:hint="eastAsia" w:cs="Times New Roman"/>
          <w:b/>
          <w:bCs/>
          <w:sz w:val="21"/>
          <w:szCs w:val="21"/>
          <w:highlight w:val="none"/>
        </w:rPr>
        <w:t>1.5 费用承担</w:t>
      </w:r>
      <w:bookmarkEnd w:id="76"/>
      <w:bookmarkEnd w:id="77"/>
      <w:bookmarkEnd w:id="78"/>
      <w:bookmarkEnd w:id="79"/>
      <w:bookmarkEnd w:id="80"/>
      <w:bookmarkEnd w:id="81"/>
      <w:bookmarkEnd w:id="82"/>
      <w:bookmarkEnd w:id="83"/>
      <w:bookmarkEnd w:id="84"/>
    </w:p>
    <w:p w14:paraId="209E525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投标人准备和参加投标活动发生的费用自理。</w:t>
      </w:r>
    </w:p>
    <w:p w14:paraId="7DC2103C">
      <w:pPr>
        <w:spacing w:line="360" w:lineRule="auto"/>
        <w:outlineLvl w:val="2"/>
        <w:rPr>
          <w:rFonts w:hint="eastAsia" w:cs="Times New Roman"/>
          <w:b/>
          <w:bCs/>
          <w:sz w:val="21"/>
          <w:szCs w:val="21"/>
          <w:highlight w:val="none"/>
        </w:rPr>
      </w:pPr>
      <w:bookmarkStart w:id="85" w:name="_Toc246996181"/>
      <w:bookmarkStart w:id="86" w:name="_Toc14535"/>
      <w:bookmarkStart w:id="87" w:name="_Toc247085695"/>
      <w:bookmarkStart w:id="88" w:name="_Toc179632553"/>
      <w:bookmarkStart w:id="89" w:name="_Toc246996924"/>
      <w:bookmarkStart w:id="90" w:name="_Toc152045536"/>
      <w:bookmarkStart w:id="91" w:name="_Toc144974504"/>
      <w:bookmarkStart w:id="92" w:name="_Toc338840193"/>
      <w:bookmarkStart w:id="93" w:name="_Toc152042312"/>
      <w:r>
        <w:rPr>
          <w:rFonts w:hint="eastAsia" w:cs="Times New Roman"/>
          <w:b/>
          <w:bCs/>
          <w:sz w:val="21"/>
          <w:szCs w:val="21"/>
          <w:highlight w:val="none"/>
        </w:rPr>
        <w:t>1.6 保密</w:t>
      </w:r>
      <w:bookmarkEnd w:id="85"/>
      <w:bookmarkEnd w:id="86"/>
      <w:bookmarkEnd w:id="87"/>
      <w:bookmarkEnd w:id="88"/>
      <w:bookmarkEnd w:id="89"/>
      <w:bookmarkEnd w:id="90"/>
      <w:bookmarkEnd w:id="91"/>
      <w:bookmarkEnd w:id="92"/>
      <w:bookmarkEnd w:id="93"/>
    </w:p>
    <w:p w14:paraId="3CF8E07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参与招标投标活动的各方应对招标文件和投标文件中的商业和技术等秘密保密，违者应对由此造成的后果承担法律责任。 </w:t>
      </w:r>
    </w:p>
    <w:p w14:paraId="1BB686FA">
      <w:pPr>
        <w:spacing w:line="360" w:lineRule="auto"/>
        <w:outlineLvl w:val="2"/>
        <w:rPr>
          <w:rFonts w:hint="eastAsia" w:cs="Times New Roman"/>
          <w:b/>
          <w:bCs/>
          <w:sz w:val="21"/>
          <w:szCs w:val="21"/>
          <w:highlight w:val="none"/>
        </w:rPr>
      </w:pPr>
      <w:bookmarkStart w:id="94" w:name="_Toc144974505"/>
      <w:bookmarkStart w:id="95" w:name="_Toc152045537"/>
      <w:bookmarkStart w:id="96" w:name="_Toc152042313"/>
      <w:bookmarkStart w:id="97" w:name="_Toc179632554"/>
      <w:bookmarkStart w:id="98" w:name="_Toc338840194"/>
      <w:bookmarkStart w:id="99" w:name="_Toc246996925"/>
      <w:bookmarkStart w:id="100" w:name="_Toc11158"/>
      <w:bookmarkStart w:id="101" w:name="_Toc247085696"/>
      <w:bookmarkStart w:id="102" w:name="_Toc246996182"/>
      <w:r>
        <w:rPr>
          <w:rFonts w:hint="eastAsia" w:cs="Times New Roman"/>
          <w:b/>
          <w:bCs/>
          <w:sz w:val="21"/>
          <w:szCs w:val="21"/>
          <w:highlight w:val="none"/>
        </w:rPr>
        <w:t>1.7 语言</w:t>
      </w:r>
      <w:bookmarkEnd w:id="94"/>
      <w:r>
        <w:rPr>
          <w:rFonts w:hint="eastAsia" w:cs="Times New Roman"/>
          <w:b/>
          <w:bCs/>
          <w:sz w:val="21"/>
          <w:szCs w:val="21"/>
          <w:highlight w:val="none"/>
        </w:rPr>
        <w:t>文字</w:t>
      </w:r>
      <w:bookmarkEnd w:id="95"/>
      <w:bookmarkEnd w:id="96"/>
      <w:bookmarkEnd w:id="97"/>
      <w:bookmarkEnd w:id="98"/>
      <w:bookmarkEnd w:id="99"/>
      <w:bookmarkEnd w:id="100"/>
      <w:bookmarkEnd w:id="101"/>
      <w:bookmarkEnd w:id="102"/>
    </w:p>
    <w:p w14:paraId="09B12159">
      <w:pPr>
        <w:spacing w:line="360" w:lineRule="auto"/>
        <w:ind w:firstLine="420" w:firstLineChars="200"/>
        <w:rPr>
          <w:rFonts w:ascii="宋体" w:hAnsi="宋体" w:cs="宋体"/>
          <w:sz w:val="21"/>
          <w:szCs w:val="21"/>
          <w:highlight w:val="none"/>
        </w:rPr>
      </w:pPr>
      <w:bookmarkStart w:id="103" w:name="_Toc179632555"/>
      <w:bookmarkStart w:id="104" w:name="_Toc152045538"/>
      <w:bookmarkStart w:id="105" w:name="_Toc246996926"/>
      <w:bookmarkStart w:id="106" w:name="_Toc144974506"/>
      <w:bookmarkStart w:id="107" w:name="_Toc247085697"/>
      <w:bookmarkStart w:id="108" w:name="_Toc246996183"/>
      <w:bookmarkStart w:id="109" w:name="_Toc152042314"/>
      <w:r>
        <w:rPr>
          <w:rFonts w:hint="eastAsia" w:ascii="宋体" w:hAnsi="宋体" w:cs="宋体"/>
          <w:sz w:val="21"/>
          <w:szCs w:val="21"/>
          <w:highlight w:val="none"/>
        </w:rPr>
        <w:t>招标投标文件使用的语言文字为中文。专用术语使用外文的，应附有中文注释。证书证件应使用中文版本，无中文版本的应附相应的中文注释。</w:t>
      </w:r>
    </w:p>
    <w:p w14:paraId="03675CBC">
      <w:pPr>
        <w:spacing w:line="360" w:lineRule="auto"/>
        <w:outlineLvl w:val="2"/>
        <w:rPr>
          <w:rFonts w:hint="eastAsia" w:cs="Times New Roman"/>
          <w:b/>
          <w:bCs/>
          <w:sz w:val="21"/>
          <w:szCs w:val="21"/>
          <w:highlight w:val="none"/>
        </w:rPr>
      </w:pPr>
      <w:bookmarkStart w:id="110" w:name="_Toc338840195"/>
      <w:bookmarkStart w:id="111" w:name="_Toc12947"/>
      <w:r>
        <w:rPr>
          <w:rFonts w:hint="eastAsia" w:cs="Times New Roman"/>
          <w:b/>
          <w:bCs/>
          <w:sz w:val="21"/>
          <w:szCs w:val="21"/>
          <w:highlight w:val="none"/>
        </w:rPr>
        <w:t>1.8 计量单位</w:t>
      </w:r>
      <w:bookmarkEnd w:id="103"/>
      <w:bookmarkEnd w:id="104"/>
      <w:bookmarkEnd w:id="105"/>
      <w:bookmarkEnd w:id="106"/>
      <w:bookmarkEnd w:id="107"/>
      <w:bookmarkEnd w:id="108"/>
      <w:bookmarkEnd w:id="109"/>
      <w:bookmarkEnd w:id="110"/>
      <w:bookmarkEnd w:id="111"/>
    </w:p>
    <w:p w14:paraId="248CF26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所有计量均采用中华人民共和国法定计量单位。</w:t>
      </w:r>
    </w:p>
    <w:p w14:paraId="767DAC40">
      <w:pPr>
        <w:spacing w:line="360" w:lineRule="auto"/>
        <w:outlineLvl w:val="2"/>
        <w:rPr>
          <w:rFonts w:hint="eastAsia" w:cs="Times New Roman"/>
          <w:b/>
          <w:bCs/>
          <w:sz w:val="21"/>
          <w:szCs w:val="21"/>
          <w:highlight w:val="none"/>
        </w:rPr>
      </w:pPr>
      <w:bookmarkStart w:id="112" w:name="_Toc247592876"/>
      <w:bookmarkStart w:id="113" w:name="_Toc338840196"/>
      <w:bookmarkStart w:id="114" w:name="_Toc152042315"/>
      <w:bookmarkStart w:id="115" w:name="_Toc152045539"/>
      <w:bookmarkStart w:id="116" w:name="_Toc144974507"/>
      <w:bookmarkStart w:id="117" w:name="_Toc247527563"/>
      <w:bookmarkStart w:id="118" w:name="_Toc247513962"/>
      <w:bookmarkStart w:id="119" w:name="_Toc18767"/>
      <w:r>
        <w:rPr>
          <w:rFonts w:hint="eastAsia" w:cs="Times New Roman"/>
          <w:b/>
          <w:bCs/>
          <w:sz w:val="21"/>
          <w:szCs w:val="21"/>
          <w:highlight w:val="none"/>
        </w:rPr>
        <w:t>1.9 踏勘现场</w:t>
      </w:r>
      <w:bookmarkEnd w:id="112"/>
      <w:bookmarkEnd w:id="113"/>
      <w:bookmarkEnd w:id="114"/>
      <w:bookmarkEnd w:id="115"/>
      <w:bookmarkEnd w:id="116"/>
      <w:bookmarkEnd w:id="117"/>
      <w:bookmarkEnd w:id="118"/>
      <w:r>
        <w:rPr>
          <w:rFonts w:hint="eastAsia" w:cs="Times New Roman"/>
          <w:b/>
          <w:bCs/>
          <w:sz w:val="21"/>
          <w:szCs w:val="21"/>
          <w:highlight w:val="none"/>
        </w:rPr>
        <w:t>（不组织）</w:t>
      </w:r>
      <w:bookmarkEnd w:id="119"/>
    </w:p>
    <w:p w14:paraId="4220E8FA">
      <w:pPr>
        <w:spacing w:line="360" w:lineRule="auto"/>
        <w:outlineLvl w:val="2"/>
        <w:rPr>
          <w:rFonts w:hint="eastAsia" w:cs="Times New Roman"/>
          <w:b/>
          <w:bCs/>
          <w:sz w:val="21"/>
          <w:szCs w:val="21"/>
          <w:highlight w:val="none"/>
        </w:rPr>
      </w:pPr>
      <w:bookmarkStart w:id="120" w:name="_Toc338840197"/>
      <w:bookmarkStart w:id="121" w:name="_Toc144974508"/>
      <w:bookmarkStart w:id="122" w:name="_Toc152042316"/>
      <w:bookmarkStart w:id="123" w:name="_Toc152045540"/>
      <w:bookmarkStart w:id="124" w:name="_Toc247592877"/>
      <w:bookmarkStart w:id="125" w:name="_Toc247513963"/>
      <w:bookmarkStart w:id="126" w:name="_Toc247527564"/>
      <w:bookmarkStart w:id="127" w:name="_Toc25650"/>
      <w:r>
        <w:rPr>
          <w:rFonts w:hint="eastAsia" w:cs="Times New Roman"/>
          <w:b/>
          <w:bCs/>
          <w:sz w:val="21"/>
          <w:szCs w:val="21"/>
          <w:highlight w:val="none"/>
        </w:rPr>
        <w:t>1.10 投标预备会</w:t>
      </w:r>
      <w:bookmarkEnd w:id="120"/>
      <w:bookmarkEnd w:id="121"/>
      <w:bookmarkEnd w:id="122"/>
      <w:bookmarkEnd w:id="123"/>
      <w:bookmarkEnd w:id="124"/>
      <w:bookmarkEnd w:id="125"/>
      <w:bookmarkEnd w:id="126"/>
      <w:r>
        <w:rPr>
          <w:rFonts w:hint="eastAsia" w:cs="Times New Roman"/>
          <w:b/>
          <w:bCs/>
          <w:sz w:val="21"/>
          <w:szCs w:val="21"/>
          <w:highlight w:val="none"/>
        </w:rPr>
        <w:t>（不召开）</w:t>
      </w:r>
      <w:bookmarkEnd w:id="127"/>
    </w:p>
    <w:p w14:paraId="7EDF490C">
      <w:pPr>
        <w:spacing w:line="360" w:lineRule="auto"/>
        <w:outlineLvl w:val="2"/>
        <w:rPr>
          <w:rFonts w:hint="eastAsia" w:cs="Times New Roman"/>
          <w:b/>
          <w:bCs/>
          <w:sz w:val="21"/>
          <w:szCs w:val="21"/>
          <w:highlight w:val="none"/>
        </w:rPr>
      </w:pPr>
      <w:bookmarkStart w:id="128" w:name="_Toc4019"/>
      <w:bookmarkStart w:id="129" w:name="_Toc338840198"/>
      <w:r>
        <w:rPr>
          <w:rFonts w:hint="eastAsia" w:cs="Times New Roman"/>
          <w:b/>
          <w:bCs/>
          <w:sz w:val="21"/>
          <w:szCs w:val="21"/>
          <w:highlight w:val="none"/>
        </w:rPr>
        <w:t>1.11 偏离</w:t>
      </w:r>
      <w:bookmarkEnd w:id="128"/>
      <w:bookmarkEnd w:id="129"/>
    </w:p>
    <w:p w14:paraId="727BC3D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投标人须知前附表允许投标文件偏离招标文件某些要求的，偏离应当符合招标文件规定的偏离范围和幅度。</w:t>
      </w:r>
    </w:p>
    <w:p w14:paraId="72087188">
      <w:pPr>
        <w:widowControl/>
        <w:spacing w:line="360" w:lineRule="auto"/>
        <w:jc w:val="left"/>
        <w:outlineLvl w:val="1"/>
        <w:rPr>
          <w:rFonts w:hint="eastAsia" w:cs="Times New Roman"/>
          <w:b/>
          <w:bCs/>
          <w:sz w:val="21"/>
          <w:szCs w:val="21"/>
          <w:highlight w:val="none"/>
        </w:rPr>
      </w:pPr>
      <w:bookmarkStart w:id="130" w:name="_Toc3173"/>
      <w:bookmarkStart w:id="131" w:name="_Toc246996187"/>
      <w:bookmarkStart w:id="132" w:name="_Toc144974510"/>
      <w:bookmarkStart w:id="133" w:name="_Toc338840443"/>
      <w:bookmarkStart w:id="134" w:name="_Toc346523466"/>
      <w:bookmarkStart w:id="135" w:name="_Toc338840482"/>
      <w:bookmarkStart w:id="136" w:name="_Toc246996930"/>
      <w:bookmarkStart w:id="137" w:name="_Toc494093430"/>
      <w:bookmarkStart w:id="138" w:name="_Toc494102992"/>
      <w:bookmarkStart w:id="139" w:name="_Toc179632560"/>
      <w:bookmarkStart w:id="140" w:name="_Toc152042318"/>
      <w:bookmarkStart w:id="141" w:name="_Toc247085701"/>
      <w:bookmarkStart w:id="142" w:name="_Toc338840199"/>
      <w:bookmarkStart w:id="143" w:name="_Toc346523403"/>
      <w:bookmarkStart w:id="144" w:name="_Toc27267"/>
      <w:bookmarkStart w:id="145" w:name="_Toc152045542"/>
      <w:r>
        <w:rPr>
          <w:rFonts w:hint="eastAsia" w:cs="Times New Roman"/>
          <w:b/>
          <w:bCs/>
          <w:sz w:val="21"/>
          <w:szCs w:val="21"/>
          <w:highlight w:val="none"/>
        </w:rPr>
        <w:t>2. 招标文件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D520BA1">
      <w:pPr>
        <w:spacing w:line="360" w:lineRule="auto"/>
        <w:outlineLvl w:val="2"/>
        <w:rPr>
          <w:rFonts w:hint="eastAsia" w:cs="Times New Roman"/>
          <w:b/>
          <w:bCs/>
          <w:sz w:val="21"/>
          <w:szCs w:val="21"/>
          <w:highlight w:val="none"/>
        </w:rPr>
      </w:pPr>
      <w:bookmarkStart w:id="146" w:name="_Toc32162"/>
      <w:bookmarkStart w:id="147" w:name="_Toc144974511"/>
      <w:bookmarkStart w:id="148" w:name="_Toc179632561"/>
      <w:bookmarkStart w:id="149" w:name="_Toc247085702"/>
      <w:bookmarkStart w:id="150" w:name="_Toc152042319"/>
      <w:bookmarkStart w:id="151" w:name="_Toc246996188"/>
      <w:bookmarkStart w:id="152" w:name="_Toc338840200"/>
      <w:bookmarkStart w:id="153" w:name="_Toc246996931"/>
      <w:bookmarkStart w:id="154" w:name="_Toc152045543"/>
      <w:r>
        <w:rPr>
          <w:rFonts w:hint="eastAsia" w:cs="Times New Roman"/>
          <w:b/>
          <w:bCs/>
          <w:sz w:val="21"/>
          <w:szCs w:val="21"/>
          <w:highlight w:val="none"/>
        </w:rPr>
        <w:t>2.1 招标文件的组成</w:t>
      </w:r>
      <w:bookmarkEnd w:id="146"/>
      <w:bookmarkEnd w:id="147"/>
      <w:bookmarkEnd w:id="148"/>
      <w:bookmarkEnd w:id="149"/>
      <w:bookmarkEnd w:id="150"/>
      <w:bookmarkEnd w:id="151"/>
      <w:bookmarkEnd w:id="152"/>
      <w:bookmarkEnd w:id="153"/>
      <w:bookmarkEnd w:id="154"/>
    </w:p>
    <w:p w14:paraId="7432C9F1">
      <w:pPr>
        <w:spacing w:line="240" w:lineRule="auto"/>
        <w:rPr>
          <w:rFonts w:ascii="宋体" w:hAnsi="宋体" w:cs="宋体"/>
          <w:sz w:val="21"/>
          <w:szCs w:val="21"/>
          <w:highlight w:val="none"/>
        </w:rPr>
      </w:pPr>
      <w:r>
        <w:rPr>
          <w:rFonts w:hint="eastAsia" w:ascii="宋体" w:hAnsi="宋体" w:cs="宋体"/>
          <w:sz w:val="21"/>
          <w:szCs w:val="21"/>
          <w:highlight w:val="none"/>
        </w:rPr>
        <w:t>　　2.1.1 本招标文件包括：</w:t>
      </w:r>
    </w:p>
    <w:p w14:paraId="05A1A550">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（1）招标公告；</w:t>
      </w:r>
    </w:p>
    <w:p w14:paraId="3D89437E">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（2）投标人须知；</w:t>
      </w:r>
    </w:p>
    <w:p w14:paraId="34F35188">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（3）评标办法；</w:t>
      </w:r>
    </w:p>
    <w:p w14:paraId="69AF38B2">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（4）政府采购合同（样本）；</w:t>
      </w:r>
    </w:p>
    <w:p w14:paraId="675392B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 xml:space="preserve">（5）服务内容及要求； </w:t>
      </w:r>
    </w:p>
    <w:p w14:paraId="4686C17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（6）投标文件格式；</w:t>
      </w:r>
    </w:p>
    <w:p w14:paraId="45815EE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2.1.2 根据本章第1.10款、第2.2款和第2.3款对招标文件所作的澄清、修改，构成招标文件的组成部分。</w:t>
      </w:r>
    </w:p>
    <w:p w14:paraId="26BDE481">
      <w:pPr>
        <w:spacing w:line="360" w:lineRule="auto"/>
        <w:outlineLvl w:val="2"/>
        <w:rPr>
          <w:rFonts w:hint="eastAsia" w:cs="Times New Roman"/>
          <w:b/>
          <w:bCs/>
          <w:sz w:val="21"/>
          <w:szCs w:val="21"/>
          <w:highlight w:val="none"/>
        </w:rPr>
      </w:pPr>
      <w:bookmarkStart w:id="155" w:name="_Toc144974512"/>
      <w:bookmarkStart w:id="156" w:name="_Toc1314"/>
      <w:bookmarkStart w:id="157" w:name="_Toc247085703"/>
      <w:bookmarkStart w:id="158" w:name="_Toc152042320"/>
      <w:bookmarkStart w:id="159" w:name="_Toc152045544"/>
      <w:bookmarkStart w:id="160" w:name="_Toc246996932"/>
      <w:bookmarkStart w:id="161" w:name="_Toc338840201"/>
      <w:bookmarkStart w:id="162" w:name="_Toc179632562"/>
      <w:bookmarkStart w:id="163" w:name="_Toc246996189"/>
      <w:r>
        <w:rPr>
          <w:rFonts w:hint="eastAsia" w:cs="Times New Roman"/>
          <w:b/>
          <w:bCs/>
          <w:sz w:val="21"/>
          <w:szCs w:val="21"/>
          <w:highlight w:val="none"/>
        </w:rPr>
        <w:t>2.2 招标文件的澄清</w:t>
      </w:r>
      <w:bookmarkEnd w:id="155"/>
      <w:bookmarkEnd w:id="156"/>
      <w:bookmarkEnd w:id="157"/>
      <w:bookmarkEnd w:id="158"/>
      <w:bookmarkEnd w:id="159"/>
      <w:bookmarkEnd w:id="160"/>
      <w:bookmarkEnd w:id="161"/>
      <w:bookmarkEnd w:id="162"/>
      <w:bookmarkEnd w:id="163"/>
    </w:p>
    <w:p w14:paraId="2A27D80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2.2.1 投标人应仔细阅读和检查招标文件的全部内容。如发现缺页或附件不全，应及时向招标人提出，以便补齐。如有疑问，应在投标人须知前附表规定的时间前以</w:t>
      </w:r>
      <w:r>
        <w:rPr>
          <w:rFonts w:hint="eastAsia" w:ascii="新宋体" w:hAnsi="新宋体" w:eastAsia="新宋体"/>
          <w:sz w:val="21"/>
          <w:szCs w:val="21"/>
          <w:highlight w:val="none"/>
        </w:rPr>
        <w:t>数据电文形式通过电子交易平台提出疑问</w:t>
      </w:r>
      <w:r>
        <w:rPr>
          <w:rFonts w:hint="eastAsia" w:ascii="宋体" w:hAnsi="宋体" w:cs="宋体"/>
          <w:sz w:val="21"/>
          <w:szCs w:val="21"/>
          <w:highlight w:val="none"/>
        </w:rPr>
        <w:t>，要求招标人对招标文件予以澄清。</w:t>
      </w:r>
    </w:p>
    <w:p w14:paraId="35A2C9B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2.2.2 招标文件的澄清将以</w:t>
      </w:r>
      <w:r>
        <w:rPr>
          <w:rFonts w:hint="eastAsia" w:ascii="新宋体" w:hAnsi="新宋体" w:eastAsia="新宋体"/>
          <w:sz w:val="21"/>
          <w:szCs w:val="21"/>
          <w:highlight w:val="none"/>
        </w:rPr>
        <w:t>数据电文形式通过电子交易平台</w:t>
      </w:r>
      <w:r>
        <w:rPr>
          <w:rFonts w:hint="eastAsia" w:ascii="宋体" w:hAnsi="宋体" w:cs="宋体"/>
          <w:sz w:val="21"/>
          <w:szCs w:val="21"/>
          <w:highlight w:val="none"/>
        </w:rPr>
        <w:t>发给所有购买招标文件的投标人，但不指明澄清问题的来源。如果澄清发出的时间距投标人须知前附表规定的投标截止时间不足15天，并且澄清内容影响投标文件编制的，将相应延长投标截止时间。</w:t>
      </w:r>
    </w:p>
    <w:p w14:paraId="61939B3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2.2.3 投标人在收到澄清后，应在投标人须知前附表规定的时间内以</w:t>
      </w:r>
      <w:r>
        <w:rPr>
          <w:rFonts w:hint="eastAsia" w:ascii="新宋体" w:hAnsi="新宋体" w:eastAsia="新宋体"/>
          <w:sz w:val="21"/>
          <w:szCs w:val="21"/>
          <w:highlight w:val="none"/>
        </w:rPr>
        <w:t>数据电文形式通过电子交易平台通知</w:t>
      </w:r>
      <w:r>
        <w:rPr>
          <w:rFonts w:hint="eastAsia" w:ascii="宋体" w:hAnsi="宋体"/>
          <w:sz w:val="21"/>
          <w:szCs w:val="21"/>
          <w:highlight w:val="none"/>
        </w:rPr>
        <w:t>招标人</w:t>
      </w:r>
      <w:r>
        <w:rPr>
          <w:rFonts w:hint="eastAsia" w:ascii="宋体" w:hAnsi="宋体" w:cs="宋体"/>
          <w:sz w:val="21"/>
          <w:szCs w:val="21"/>
          <w:highlight w:val="none"/>
        </w:rPr>
        <w:t>，确认已收到该澄清。</w:t>
      </w:r>
    </w:p>
    <w:p w14:paraId="5475B22C">
      <w:pPr>
        <w:spacing w:line="360" w:lineRule="auto"/>
        <w:outlineLvl w:val="2"/>
        <w:rPr>
          <w:rFonts w:hint="eastAsia" w:cs="Times New Roman"/>
          <w:b/>
          <w:bCs/>
          <w:sz w:val="21"/>
          <w:szCs w:val="21"/>
          <w:highlight w:val="none"/>
        </w:rPr>
      </w:pPr>
      <w:bookmarkStart w:id="164" w:name="_Toc246996190"/>
      <w:bookmarkStart w:id="165" w:name="_Toc152042321"/>
      <w:bookmarkStart w:id="166" w:name="_Toc179632563"/>
      <w:bookmarkStart w:id="167" w:name="_Toc247085704"/>
      <w:bookmarkStart w:id="168" w:name="_Toc144974513"/>
      <w:bookmarkStart w:id="169" w:name="_Toc246996933"/>
      <w:bookmarkStart w:id="170" w:name="_Toc26984"/>
      <w:bookmarkStart w:id="171" w:name="_Toc338840202"/>
      <w:bookmarkStart w:id="172" w:name="_Toc152045545"/>
      <w:r>
        <w:rPr>
          <w:rFonts w:hint="eastAsia" w:cs="Times New Roman"/>
          <w:b/>
          <w:bCs/>
          <w:sz w:val="21"/>
          <w:szCs w:val="21"/>
          <w:highlight w:val="none"/>
        </w:rPr>
        <w:t>2.3 招标文件的修改</w:t>
      </w:r>
      <w:bookmarkEnd w:id="164"/>
      <w:bookmarkEnd w:id="165"/>
      <w:bookmarkEnd w:id="166"/>
      <w:bookmarkEnd w:id="167"/>
      <w:bookmarkEnd w:id="168"/>
      <w:bookmarkEnd w:id="169"/>
      <w:bookmarkEnd w:id="170"/>
      <w:bookmarkEnd w:id="171"/>
      <w:bookmarkEnd w:id="172"/>
    </w:p>
    <w:p w14:paraId="6D55510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2.3.1招标人可</w:t>
      </w:r>
      <w:r>
        <w:rPr>
          <w:rFonts w:hint="eastAsia" w:ascii="新宋体" w:hAnsi="新宋体" w:eastAsia="新宋体"/>
          <w:sz w:val="21"/>
          <w:szCs w:val="21"/>
          <w:highlight w:val="none"/>
        </w:rPr>
        <w:t>以数据电文形式通过电子交易平台</w:t>
      </w:r>
      <w:r>
        <w:rPr>
          <w:rFonts w:hint="eastAsia" w:ascii="宋体" w:hAnsi="宋体" w:cs="宋体"/>
          <w:sz w:val="21"/>
          <w:szCs w:val="21"/>
          <w:highlight w:val="none"/>
        </w:rPr>
        <w:t>修改招标文件，并</w:t>
      </w:r>
      <w:r>
        <w:rPr>
          <w:rFonts w:hint="eastAsia" w:ascii="宋体" w:hAnsi="宋体" w:cs="宋体"/>
          <w:sz w:val="21"/>
          <w:szCs w:val="21"/>
          <w:highlight w:val="none"/>
          <w:lang w:eastAsia="zh-CN"/>
        </w:rPr>
        <w:t>通过相关网站发布公告</w:t>
      </w:r>
      <w:r>
        <w:rPr>
          <w:rFonts w:hint="eastAsia" w:ascii="宋体" w:hAnsi="宋体" w:cs="宋体"/>
          <w:sz w:val="21"/>
          <w:szCs w:val="21"/>
          <w:highlight w:val="none"/>
        </w:rPr>
        <w:t>通知所有已购买招标文件的投标人。</w:t>
      </w:r>
      <w:r>
        <w:rPr>
          <w:rFonts w:hint="eastAsia" w:ascii="宋体" w:hAnsi="宋体" w:cs="宋体"/>
          <w:sz w:val="21"/>
          <w:szCs w:val="21"/>
          <w:highlight w:val="none"/>
        </w:rPr>
        <w:t>但如果修改招标文件的时间距投标截止时间不足15天，修改内容影响投标文件编制，并且不能满足投标人在投标截止时间前完成编制投标文件的时间需要影响投标的，将相应延长投标截止时间。</w:t>
      </w:r>
    </w:p>
    <w:p w14:paraId="505DDE2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2.3.2 投标人收到修改内容后，应在投标人须知前附表规定的时间内</w:t>
      </w:r>
      <w:r>
        <w:rPr>
          <w:rFonts w:hint="eastAsia" w:ascii="新宋体" w:hAnsi="新宋体" w:eastAsia="新宋体"/>
          <w:sz w:val="21"/>
          <w:szCs w:val="21"/>
          <w:highlight w:val="none"/>
        </w:rPr>
        <w:t>以</w:t>
      </w:r>
      <w:r>
        <w:rPr>
          <w:rFonts w:hint="eastAsia" w:ascii="宋体" w:hAnsi="宋体" w:cs="宋体"/>
          <w:sz w:val="21"/>
          <w:szCs w:val="21"/>
          <w:highlight w:val="none"/>
        </w:rPr>
        <w:t>数据电文形式通过电子交易平台通知招标人，</w:t>
      </w:r>
      <w:r>
        <w:rPr>
          <w:rFonts w:hint="eastAsia" w:ascii="宋体" w:hAnsi="宋体" w:cs="宋体"/>
          <w:sz w:val="21"/>
          <w:szCs w:val="21"/>
          <w:highlight w:val="none"/>
          <w:lang w:eastAsia="zh-CN"/>
        </w:rPr>
        <w:t>网站发布公告成功时即</w:t>
      </w:r>
      <w:r>
        <w:rPr>
          <w:rFonts w:hint="eastAsia" w:ascii="宋体" w:hAnsi="宋体" w:cs="宋体"/>
          <w:sz w:val="21"/>
          <w:szCs w:val="21"/>
          <w:highlight w:val="none"/>
        </w:rPr>
        <w:t>确认</w:t>
      </w:r>
      <w:r>
        <w:rPr>
          <w:rFonts w:hint="eastAsia" w:ascii="宋体" w:hAnsi="宋体" w:cs="宋体"/>
          <w:sz w:val="21"/>
          <w:szCs w:val="21"/>
          <w:highlight w:val="none"/>
          <w:lang w:eastAsia="zh-CN"/>
        </w:rPr>
        <w:t>各投标人</w:t>
      </w:r>
      <w:r>
        <w:rPr>
          <w:rFonts w:hint="eastAsia" w:ascii="宋体" w:hAnsi="宋体" w:cs="宋体"/>
          <w:sz w:val="21"/>
          <w:szCs w:val="21"/>
          <w:highlight w:val="none"/>
        </w:rPr>
        <w:t>已收到该修改。</w:t>
      </w:r>
    </w:p>
    <w:p w14:paraId="13EEBE62">
      <w:pPr>
        <w:widowControl/>
        <w:spacing w:line="360" w:lineRule="auto"/>
        <w:jc w:val="left"/>
        <w:outlineLvl w:val="1"/>
        <w:rPr>
          <w:rFonts w:hint="eastAsia" w:cs="Times New Roman"/>
          <w:b/>
          <w:bCs/>
          <w:sz w:val="21"/>
          <w:szCs w:val="21"/>
          <w:highlight w:val="none"/>
        </w:rPr>
      </w:pPr>
      <w:bookmarkStart w:id="173" w:name="_Toc179632564"/>
      <w:bookmarkStart w:id="174" w:name="_Toc246996191"/>
      <w:bookmarkStart w:id="175" w:name="_Toc152042322"/>
      <w:bookmarkStart w:id="176" w:name="_Toc247085705"/>
      <w:bookmarkStart w:id="177" w:name="_Toc346523467"/>
      <w:bookmarkStart w:id="178" w:name="_Toc24132"/>
      <w:bookmarkStart w:id="179" w:name="_Toc338840203"/>
      <w:bookmarkStart w:id="180" w:name="_Toc246996934"/>
      <w:bookmarkStart w:id="181" w:name="_Toc494102993"/>
      <w:bookmarkStart w:id="182" w:name="_Toc26353"/>
      <w:bookmarkStart w:id="183" w:name="_Toc152045546"/>
      <w:bookmarkStart w:id="184" w:name="_Toc494093431"/>
      <w:bookmarkStart w:id="185" w:name="_Toc338840444"/>
      <w:bookmarkStart w:id="186" w:name="_Toc144974514"/>
      <w:bookmarkStart w:id="187" w:name="_Toc346523404"/>
      <w:bookmarkStart w:id="188" w:name="_Toc338840483"/>
      <w:r>
        <w:rPr>
          <w:rFonts w:hint="eastAsia" w:cs="Times New Roman"/>
          <w:b/>
          <w:bCs/>
          <w:sz w:val="21"/>
          <w:szCs w:val="21"/>
          <w:highlight w:val="none"/>
        </w:rPr>
        <w:t>3. 投标文件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48676D6">
      <w:pPr>
        <w:spacing w:line="360" w:lineRule="auto"/>
        <w:outlineLvl w:val="2"/>
        <w:rPr>
          <w:rFonts w:hint="eastAsia" w:cs="Times New Roman"/>
          <w:b/>
          <w:bCs/>
          <w:sz w:val="21"/>
          <w:szCs w:val="21"/>
          <w:highlight w:val="none"/>
        </w:rPr>
      </w:pPr>
      <w:bookmarkStart w:id="189" w:name="_Toc246996935"/>
      <w:bookmarkStart w:id="190" w:name="_Toc246996192"/>
      <w:bookmarkStart w:id="191" w:name="_Toc247085706"/>
      <w:bookmarkStart w:id="192" w:name="_Toc152042323"/>
      <w:bookmarkStart w:id="193" w:name="_Toc152045547"/>
      <w:bookmarkStart w:id="194" w:name="_Toc338840204"/>
      <w:bookmarkStart w:id="195" w:name="_Toc144974515"/>
      <w:bookmarkStart w:id="196" w:name="_Toc24372"/>
      <w:bookmarkStart w:id="197" w:name="_Toc179632565"/>
      <w:r>
        <w:rPr>
          <w:rFonts w:hint="eastAsia" w:cs="Times New Roman"/>
          <w:b/>
          <w:bCs/>
          <w:sz w:val="21"/>
          <w:szCs w:val="21"/>
          <w:highlight w:val="none"/>
        </w:rPr>
        <w:t>3.1 投标文件的组成</w:t>
      </w:r>
      <w:bookmarkEnd w:id="189"/>
      <w:bookmarkEnd w:id="190"/>
      <w:bookmarkEnd w:id="191"/>
      <w:bookmarkEnd w:id="192"/>
      <w:bookmarkEnd w:id="193"/>
      <w:bookmarkEnd w:id="194"/>
      <w:bookmarkEnd w:id="195"/>
      <w:bookmarkEnd w:id="196"/>
      <w:bookmarkEnd w:id="197"/>
    </w:p>
    <w:p w14:paraId="58D3AA77">
      <w:pPr>
        <w:spacing w:line="240" w:lineRule="auto"/>
        <w:ind w:firstLine="420" w:firstLineChars="200"/>
        <w:rPr>
          <w:rFonts w:hint="eastAsia" w:ascii="宋体" w:hAnsi="宋体" w:cs="宋体"/>
          <w:sz w:val="21"/>
          <w:szCs w:val="21"/>
          <w:highlight w:val="none"/>
        </w:rPr>
      </w:pPr>
      <w:bookmarkStart w:id="198" w:name="_Toc152042324"/>
      <w:bookmarkStart w:id="199" w:name="_Toc246996936"/>
      <w:bookmarkStart w:id="200" w:name="_Toc144974516"/>
      <w:bookmarkStart w:id="201" w:name="_Toc247085707"/>
      <w:bookmarkStart w:id="202" w:name="_Toc152045548"/>
      <w:bookmarkStart w:id="203" w:name="_Toc246996193"/>
      <w:bookmarkStart w:id="204" w:name="_Toc338840205"/>
      <w:bookmarkStart w:id="205" w:name="_Toc179632566"/>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0C0B97B">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5306A58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06E68C2B">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1225EC52">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3840A8CE">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7C7458AC">
      <w:pPr>
        <w:spacing w:line="24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0E9DDAAA">
      <w:pPr>
        <w:pStyle w:val="38"/>
        <w:spacing w:line="24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48C1840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088ECD3A">
      <w:pPr>
        <w:spacing w:line="360" w:lineRule="auto"/>
        <w:outlineLvl w:val="2"/>
        <w:rPr>
          <w:rFonts w:hint="eastAsia" w:cs="Times New Roman"/>
          <w:b/>
          <w:bCs/>
          <w:sz w:val="21"/>
          <w:szCs w:val="21"/>
          <w:highlight w:val="none"/>
        </w:rPr>
      </w:pPr>
      <w:bookmarkStart w:id="206" w:name="_Toc5121"/>
      <w:r>
        <w:rPr>
          <w:rFonts w:hint="eastAsia" w:cs="Times New Roman"/>
          <w:b/>
          <w:bCs/>
          <w:sz w:val="21"/>
          <w:szCs w:val="21"/>
          <w:highlight w:val="none"/>
        </w:rPr>
        <w:t>3.2 投标总报价</w:t>
      </w:r>
      <w:bookmarkEnd w:id="198"/>
      <w:bookmarkEnd w:id="199"/>
      <w:bookmarkEnd w:id="200"/>
      <w:bookmarkEnd w:id="201"/>
      <w:bookmarkEnd w:id="202"/>
      <w:bookmarkEnd w:id="203"/>
      <w:bookmarkEnd w:id="204"/>
      <w:bookmarkEnd w:id="205"/>
      <w:bookmarkEnd w:id="206"/>
    </w:p>
    <w:p w14:paraId="76C0AF5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3.2.1 报价范围：见投标人须知前附表。</w:t>
      </w:r>
    </w:p>
    <w:p w14:paraId="588009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3.2.2报价应具有唯一性，即只能有一个有效报价（要求只进行分类分项报价的项目除外）。本项目</w:t>
      </w:r>
      <w:r>
        <w:rPr>
          <w:rFonts w:hint="eastAsia" w:ascii="宋体" w:hAnsi="宋体" w:cs="宋体"/>
          <w:kern w:val="0"/>
          <w:sz w:val="21"/>
          <w:szCs w:val="21"/>
          <w:highlight w:val="none"/>
        </w:rPr>
        <w:t>不接受任何有选择性的报价</w:t>
      </w:r>
      <w:bookmarkStart w:id="207" w:name="_Toc179632567"/>
      <w:bookmarkStart w:id="208" w:name="_Toc144974517"/>
      <w:bookmarkStart w:id="209" w:name="_Toc152042325"/>
      <w:bookmarkStart w:id="210" w:name="_Toc152045549"/>
      <w:r>
        <w:rPr>
          <w:rFonts w:hint="eastAsia" w:ascii="宋体" w:hAnsi="宋体" w:cs="宋体"/>
          <w:kern w:val="0"/>
          <w:sz w:val="21"/>
          <w:szCs w:val="21"/>
          <w:highlight w:val="none"/>
        </w:rPr>
        <w:t>。</w:t>
      </w:r>
    </w:p>
    <w:p w14:paraId="417911E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3.2.3 招标人设有项目预算金额的，项目预算金额在投标人须知前附表中载明。</w:t>
      </w:r>
    </w:p>
    <w:p w14:paraId="51AB6DC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3.2.4报价币种：见投标人须知前附表。</w:t>
      </w:r>
    </w:p>
    <w:p w14:paraId="7F94AE99">
      <w:pPr>
        <w:spacing w:line="360" w:lineRule="auto"/>
        <w:outlineLvl w:val="2"/>
        <w:rPr>
          <w:rFonts w:hint="eastAsia" w:cs="Times New Roman"/>
          <w:b/>
          <w:bCs/>
          <w:sz w:val="21"/>
          <w:szCs w:val="21"/>
          <w:highlight w:val="none"/>
        </w:rPr>
      </w:pPr>
      <w:bookmarkStart w:id="211" w:name="_Toc246996937"/>
      <w:bookmarkStart w:id="212" w:name="_Toc246996194"/>
      <w:bookmarkStart w:id="213" w:name="_Toc247085708"/>
      <w:bookmarkStart w:id="214" w:name="_Toc338840206"/>
      <w:bookmarkStart w:id="215" w:name="_Toc3147"/>
      <w:r>
        <w:rPr>
          <w:rFonts w:hint="eastAsia" w:cs="Times New Roman"/>
          <w:b/>
          <w:bCs/>
          <w:sz w:val="21"/>
          <w:szCs w:val="21"/>
          <w:highlight w:val="none"/>
        </w:rPr>
        <w:t>3.3 投标有效期</w:t>
      </w:r>
      <w:bookmarkEnd w:id="207"/>
      <w:bookmarkEnd w:id="208"/>
      <w:bookmarkEnd w:id="209"/>
      <w:bookmarkEnd w:id="210"/>
      <w:bookmarkEnd w:id="211"/>
      <w:bookmarkEnd w:id="212"/>
      <w:bookmarkEnd w:id="213"/>
      <w:bookmarkEnd w:id="214"/>
      <w:bookmarkEnd w:id="215"/>
    </w:p>
    <w:p w14:paraId="0BC1FB3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3.3.1 除投标人须知前附表另有规定外，投标有效期为</w:t>
      </w:r>
      <w:r>
        <w:rPr>
          <w:rFonts w:hint="eastAsia" w:ascii="宋体" w:hAnsi="宋体" w:eastAsia="宋体" w:cs="宋体"/>
          <w:color w:val="auto"/>
          <w:highlight w:val="none"/>
        </w:rPr>
        <w:t>自投标截止日起</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rPr>
        <w:t>90</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日历天</w:t>
      </w:r>
      <w:r>
        <w:rPr>
          <w:rFonts w:hint="eastAsia" w:ascii="宋体" w:hAnsi="宋体" w:cs="宋体"/>
          <w:sz w:val="21"/>
          <w:szCs w:val="21"/>
          <w:highlight w:val="none"/>
        </w:rPr>
        <w:t>。</w:t>
      </w:r>
    </w:p>
    <w:p w14:paraId="4FD0274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3.3.2在投标有效期内，投标人撤销或修改其投标文件的，应承担招标文件和法律规定的责任。</w:t>
      </w:r>
    </w:p>
    <w:p w14:paraId="78715138">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3.3.3出现特殊情况需要延长投标有效期的，</w:t>
      </w:r>
      <w:bookmarkStart w:id="216" w:name="_Toc152045550"/>
      <w:bookmarkEnd w:id="216"/>
      <w:bookmarkStart w:id="217" w:name="_Toc247085709"/>
      <w:bookmarkEnd w:id="217"/>
      <w:bookmarkStart w:id="218" w:name="_Toc246996938"/>
      <w:bookmarkEnd w:id="218"/>
      <w:bookmarkStart w:id="219" w:name="_Toc338840207"/>
      <w:bookmarkEnd w:id="219"/>
      <w:bookmarkStart w:id="220" w:name="_Toc246996195"/>
      <w:bookmarkEnd w:id="220"/>
      <w:bookmarkStart w:id="221" w:name="_Toc144974518"/>
      <w:bookmarkEnd w:id="221"/>
      <w:bookmarkStart w:id="222" w:name="_Toc179632568"/>
      <w:bookmarkEnd w:id="222"/>
      <w:bookmarkStart w:id="223" w:name="_Toc152042326"/>
      <w:bookmarkEnd w:id="223"/>
      <w:r>
        <w:rPr>
          <w:rFonts w:hint="eastAsia" w:ascii="宋体" w:hAnsi="宋体" w:cs="宋体"/>
          <w:sz w:val="21"/>
          <w:szCs w:val="21"/>
          <w:highlight w:val="none"/>
        </w:rPr>
        <w:t>招标人以数据电文形式通过电子交易平台通知所有投标人延长投标有效期。</w:t>
      </w:r>
    </w:p>
    <w:p w14:paraId="33300953">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4" w:name="_Toc20746"/>
      <w:r>
        <w:rPr>
          <w:rFonts w:hint="eastAsia" w:cs="Times New Roman"/>
          <w:b/>
          <w:bCs/>
          <w:sz w:val="21"/>
          <w:szCs w:val="21"/>
          <w:highlight w:val="none"/>
        </w:rPr>
        <w:t>3.4 投标保证金（不收取）</w:t>
      </w:r>
      <w:bookmarkEnd w:id="224"/>
    </w:p>
    <w:p w14:paraId="1E538CFB">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5" w:name="_Toc152045552"/>
      <w:bookmarkStart w:id="226" w:name="_Toc179632570"/>
      <w:bookmarkStart w:id="227" w:name="_Toc144974520"/>
      <w:bookmarkStart w:id="228" w:name="_Toc247085710"/>
      <w:bookmarkStart w:id="229" w:name="_Toc338840208"/>
      <w:bookmarkStart w:id="230" w:name="_Toc152042328"/>
      <w:bookmarkStart w:id="231" w:name="_Toc246996196"/>
      <w:bookmarkStart w:id="232" w:name="_Toc246996939"/>
      <w:bookmarkStart w:id="233" w:name="_Toc25828"/>
      <w:r>
        <w:rPr>
          <w:rFonts w:hint="eastAsia" w:cs="Times New Roman"/>
          <w:b/>
          <w:bCs/>
          <w:sz w:val="21"/>
          <w:szCs w:val="21"/>
          <w:highlight w:val="none"/>
        </w:rPr>
        <w:t>3.5 资格审查资料</w:t>
      </w:r>
      <w:bookmarkEnd w:id="225"/>
      <w:bookmarkEnd w:id="226"/>
      <w:bookmarkEnd w:id="227"/>
      <w:bookmarkEnd w:id="228"/>
      <w:bookmarkEnd w:id="229"/>
      <w:bookmarkEnd w:id="230"/>
      <w:bookmarkEnd w:id="231"/>
      <w:bookmarkEnd w:id="232"/>
      <w:r>
        <w:rPr>
          <w:rFonts w:hint="eastAsia" w:cs="Times New Roman"/>
          <w:b/>
          <w:bCs/>
          <w:sz w:val="21"/>
          <w:szCs w:val="21"/>
          <w:highlight w:val="none"/>
        </w:rPr>
        <w:t>（所有证件以电子投标文件中原件扫描件为准）</w:t>
      </w:r>
      <w:bookmarkEnd w:id="233"/>
    </w:p>
    <w:p w14:paraId="47FDF32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详见</w:t>
      </w:r>
      <w:r>
        <w:rPr>
          <w:rFonts w:hint="eastAsia" w:ascii="宋体" w:hAnsi="宋体" w:cs="宋体"/>
          <w:sz w:val="21"/>
          <w:szCs w:val="21"/>
          <w:highlight w:val="none"/>
        </w:rPr>
        <w:t>投标人须知前附表中的要求。</w:t>
      </w:r>
    </w:p>
    <w:p w14:paraId="7277C497">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34" w:name="_Toc579"/>
      <w:bookmarkStart w:id="235" w:name="_Toc246996197"/>
      <w:bookmarkStart w:id="236" w:name="_Toc247085711"/>
      <w:bookmarkStart w:id="237" w:name="_Toc152042329"/>
      <w:bookmarkStart w:id="238" w:name="_Toc246996940"/>
      <w:bookmarkStart w:id="239" w:name="_Toc144974521"/>
      <w:bookmarkStart w:id="240" w:name="_Toc179632571"/>
      <w:bookmarkStart w:id="241" w:name="_Toc152045553"/>
      <w:r>
        <w:rPr>
          <w:rFonts w:hint="eastAsia"/>
          <w:b/>
          <w:bCs/>
          <w:sz w:val="21"/>
          <w:szCs w:val="21"/>
          <w:highlight w:val="none"/>
        </w:rPr>
        <w:t>3.6 备选投标方案</w:t>
      </w:r>
      <w:bookmarkEnd w:id="234"/>
    </w:p>
    <w:p w14:paraId="621F1D7E">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按投标人须知前附规定不允许投标人递交备选投标方案。</w:t>
      </w:r>
    </w:p>
    <w:bookmarkEnd w:id="235"/>
    <w:bookmarkEnd w:id="236"/>
    <w:bookmarkEnd w:id="237"/>
    <w:bookmarkEnd w:id="238"/>
    <w:bookmarkEnd w:id="239"/>
    <w:bookmarkEnd w:id="240"/>
    <w:bookmarkEnd w:id="241"/>
    <w:p w14:paraId="14A8CA45">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42" w:name="_Toc25037"/>
      <w:bookmarkStart w:id="243" w:name="_Toc338840445"/>
      <w:bookmarkStart w:id="244" w:name="_Toc338840210"/>
      <w:bookmarkStart w:id="245" w:name="_Toc144974523"/>
      <w:bookmarkStart w:id="246" w:name="_Toc338840484"/>
      <w:bookmarkStart w:id="247" w:name="_Toc247085713"/>
      <w:bookmarkStart w:id="248" w:name="_Toc152042331"/>
      <w:bookmarkStart w:id="249" w:name="_Toc346523405"/>
      <w:bookmarkStart w:id="250" w:name="_Toc246996199"/>
      <w:bookmarkStart w:id="251" w:name="_Toc346523468"/>
      <w:bookmarkStart w:id="252" w:name="_Toc152045555"/>
      <w:bookmarkStart w:id="253" w:name="_Toc246996942"/>
      <w:bookmarkStart w:id="254" w:name="_Toc179632573"/>
      <w:bookmarkStart w:id="255" w:name="_Toc494093432"/>
      <w:bookmarkStart w:id="256" w:name="_Toc494102994"/>
      <w:r>
        <w:rPr>
          <w:rFonts w:hint="eastAsia" w:cs="Times New Roman"/>
          <w:b/>
          <w:bCs/>
          <w:sz w:val="21"/>
          <w:szCs w:val="21"/>
          <w:highlight w:val="none"/>
        </w:rPr>
        <w:t>3.7 投标文件的编制</w:t>
      </w:r>
      <w:bookmarkEnd w:id="242"/>
    </w:p>
    <w:p w14:paraId="10582605">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3.7.1 投标文件应按“投标文件格式”进行编写，如有必要，可以增加附页，作为投标文件的组成部分。</w:t>
      </w:r>
    </w:p>
    <w:p w14:paraId="5D803B3F">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3.7.2 投标文件应当对招标文件有</w:t>
      </w:r>
      <w:r>
        <w:rPr>
          <w:rFonts w:hint="eastAsia" w:ascii="宋体" w:hAnsi="宋体" w:cs="宋体"/>
          <w:sz w:val="21"/>
          <w:szCs w:val="21"/>
          <w:highlight w:val="none"/>
          <w:lang w:eastAsia="zh-CN"/>
        </w:rPr>
        <w:t>服务期限</w:t>
      </w:r>
      <w:r>
        <w:rPr>
          <w:rFonts w:hint="eastAsia" w:ascii="宋体" w:hAnsi="宋体" w:cs="宋体"/>
          <w:sz w:val="21"/>
          <w:szCs w:val="21"/>
          <w:highlight w:val="none"/>
        </w:rPr>
        <w:t>、投标有效期、质量要求、服务内容及要求等实质性内容作出响应。</w:t>
      </w:r>
    </w:p>
    <w:p w14:paraId="3665BC6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cs="宋体"/>
          <w:sz w:val="21"/>
          <w:szCs w:val="21"/>
          <w:highlight w:val="none"/>
        </w:rPr>
        <w:t>3.7.3</w:t>
      </w:r>
      <w:r>
        <w:rPr>
          <w:rFonts w:hint="eastAsia" w:ascii="宋体" w:hAnsi="宋体"/>
          <w:sz w:val="21"/>
          <w:szCs w:val="21"/>
          <w:highlight w:val="none"/>
        </w:rPr>
        <w:t>电子投标文件须在投标截止时间前在开封市公共资源交易中心网站会员系统中加密上传。</w:t>
      </w:r>
    </w:p>
    <w:p w14:paraId="210855B2">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57" w:name="_Toc5357"/>
      <w:bookmarkStart w:id="258" w:name="_Toc1109"/>
      <w:r>
        <w:rPr>
          <w:rFonts w:hint="eastAsia" w:cs="Times New Roman"/>
          <w:b/>
          <w:bCs/>
          <w:sz w:val="21"/>
          <w:szCs w:val="21"/>
          <w:highlight w:val="none"/>
        </w:rPr>
        <w:t>4. 投标</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EEB804B">
      <w:pPr>
        <w:pStyle w:val="6"/>
        <w:pageBreakBefore w:val="0"/>
        <w:kinsoku/>
        <w:wordWrap/>
        <w:overflowPunct/>
        <w:topLinePunct w:val="0"/>
        <w:autoSpaceDE/>
        <w:autoSpaceDN/>
        <w:bidi w:val="0"/>
        <w:adjustRightInd/>
        <w:snapToGrid/>
        <w:spacing w:line="400" w:lineRule="exact"/>
        <w:textAlignment w:val="auto"/>
        <w:rPr>
          <w:sz w:val="21"/>
          <w:szCs w:val="21"/>
          <w:highlight w:val="none"/>
        </w:rPr>
      </w:pPr>
      <w:bookmarkStart w:id="259" w:name="_Toc247085714"/>
      <w:bookmarkStart w:id="260" w:name="_Toc338840211"/>
      <w:bookmarkStart w:id="261" w:name="_Toc246996200"/>
      <w:bookmarkStart w:id="262" w:name="_Toc152045556"/>
      <w:bookmarkStart w:id="263" w:name="_Toc152042332"/>
      <w:bookmarkStart w:id="264" w:name="_Toc144974524"/>
      <w:bookmarkStart w:id="265" w:name="_Toc179632574"/>
      <w:bookmarkStart w:id="266" w:name="_Toc246996943"/>
      <w:r>
        <w:rPr>
          <w:rFonts w:hint="eastAsia" w:ascii="Calibri" w:hAnsi="Calibri" w:eastAsia="宋体" w:cs="Times New Roman"/>
          <w:b/>
          <w:bCs/>
          <w:kern w:val="2"/>
          <w:sz w:val="21"/>
          <w:szCs w:val="21"/>
          <w:highlight w:val="none"/>
          <w:lang w:val="en-US" w:eastAsia="zh-CN" w:bidi="ar-SA"/>
        </w:rPr>
        <w:t>4.1 投标文件的密封和标记</w:t>
      </w:r>
      <w:bookmarkEnd w:id="259"/>
      <w:bookmarkEnd w:id="260"/>
      <w:bookmarkEnd w:id="261"/>
      <w:bookmarkEnd w:id="262"/>
      <w:bookmarkEnd w:id="263"/>
      <w:bookmarkEnd w:id="264"/>
      <w:bookmarkEnd w:id="265"/>
      <w:bookmarkEnd w:id="266"/>
      <w:r>
        <w:rPr>
          <w:rFonts w:hint="eastAsia" w:ascii="Calibri" w:hAnsi="Calibri" w:eastAsia="宋体" w:cs="Times New Roman"/>
          <w:b/>
          <w:bCs/>
          <w:kern w:val="2"/>
          <w:sz w:val="21"/>
          <w:szCs w:val="21"/>
          <w:highlight w:val="none"/>
          <w:lang w:val="en-US" w:eastAsia="zh-CN" w:bidi="ar-SA"/>
        </w:rPr>
        <w:t>（不再提供纸质投标文件，需在规定时间</w:t>
      </w:r>
      <w:r>
        <w:rPr>
          <w:rFonts w:hint="eastAsia"/>
          <w:sz w:val="21"/>
          <w:szCs w:val="21"/>
          <w:highlight w:val="none"/>
        </w:rPr>
        <w:t>内加密上传电子投标文件）</w:t>
      </w:r>
    </w:p>
    <w:p w14:paraId="53AAA523">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67" w:name="_Toc246996944"/>
      <w:bookmarkStart w:id="268" w:name="_Toc247085715"/>
      <w:bookmarkStart w:id="269" w:name="_Toc152042333"/>
      <w:bookmarkStart w:id="270" w:name="_Toc246996201"/>
      <w:bookmarkStart w:id="271" w:name="_Toc179632575"/>
      <w:bookmarkStart w:id="272" w:name="_Toc144974525"/>
      <w:bookmarkStart w:id="273" w:name="_Toc152045557"/>
      <w:bookmarkStart w:id="274" w:name="_Toc338840212"/>
      <w:bookmarkStart w:id="275" w:name="_Toc23622"/>
      <w:r>
        <w:rPr>
          <w:rFonts w:hint="eastAsia"/>
          <w:b/>
          <w:bCs/>
          <w:sz w:val="21"/>
          <w:szCs w:val="21"/>
          <w:highlight w:val="none"/>
        </w:rPr>
        <w:t>4.2 投标文件的递交</w:t>
      </w:r>
      <w:bookmarkEnd w:id="267"/>
      <w:bookmarkEnd w:id="268"/>
      <w:bookmarkEnd w:id="269"/>
      <w:bookmarkEnd w:id="270"/>
      <w:bookmarkEnd w:id="271"/>
      <w:bookmarkEnd w:id="272"/>
      <w:bookmarkEnd w:id="273"/>
      <w:bookmarkEnd w:id="274"/>
      <w:r>
        <w:rPr>
          <w:rFonts w:hint="eastAsia"/>
          <w:sz w:val="21"/>
          <w:szCs w:val="21"/>
          <w:highlight w:val="none"/>
        </w:rPr>
        <w:t>-</w:t>
      </w:r>
      <w:r>
        <w:rPr>
          <w:rFonts w:hint="eastAsia" w:ascii="宋体" w:hAnsi="宋体" w:cs="宋体"/>
          <w:sz w:val="21"/>
          <w:szCs w:val="21"/>
          <w:highlight w:val="none"/>
        </w:rPr>
        <w:t>---需在规定时间内加密上传电子投标文件</w:t>
      </w:r>
      <w:bookmarkEnd w:id="275"/>
    </w:p>
    <w:p w14:paraId="24EB0DE5">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76" w:name="_Toc152042334"/>
      <w:bookmarkStart w:id="277" w:name="_Toc152045558"/>
      <w:bookmarkStart w:id="278" w:name="_Toc246996945"/>
      <w:bookmarkStart w:id="279" w:name="_Toc246996202"/>
      <w:bookmarkStart w:id="280" w:name="_Toc247085716"/>
      <w:bookmarkStart w:id="281" w:name="_Toc179632576"/>
      <w:bookmarkStart w:id="282" w:name="_Toc338840213"/>
      <w:bookmarkStart w:id="283" w:name="_Toc144974526"/>
      <w:bookmarkStart w:id="284" w:name="_Toc8767"/>
      <w:r>
        <w:rPr>
          <w:rFonts w:hint="eastAsia"/>
          <w:b/>
          <w:bCs/>
          <w:sz w:val="21"/>
          <w:szCs w:val="21"/>
          <w:highlight w:val="none"/>
        </w:rPr>
        <w:t>4.3 投标文件的修改与撤回</w:t>
      </w:r>
      <w:bookmarkEnd w:id="276"/>
      <w:bookmarkEnd w:id="277"/>
      <w:bookmarkEnd w:id="278"/>
      <w:bookmarkEnd w:id="279"/>
      <w:bookmarkEnd w:id="280"/>
      <w:bookmarkEnd w:id="281"/>
      <w:bookmarkEnd w:id="282"/>
      <w:bookmarkEnd w:id="283"/>
      <w:r>
        <w:rPr>
          <w:rFonts w:hint="eastAsia" w:ascii="宋体" w:hAnsi="宋体" w:cs="宋体"/>
          <w:sz w:val="21"/>
          <w:szCs w:val="21"/>
          <w:highlight w:val="none"/>
        </w:rPr>
        <w:t>（本项目不适用）</w:t>
      </w:r>
      <w:bookmarkEnd w:id="284"/>
    </w:p>
    <w:p w14:paraId="7DB5E876">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85" w:name="_Toc346523406"/>
      <w:bookmarkStart w:id="286" w:name="_Toc4696"/>
      <w:bookmarkStart w:id="287" w:name="_Toc338840446"/>
      <w:bookmarkStart w:id="288" w:name="_Toc246996203"/>
      <w:bookmarkStart w:id="289" w:name="_Toc494102995"/>
      <w:bookmarkStart w:id="290" w:name="_Toc247085717"/>
      <w:bookmarkStart w:id="291" w:name="_Toc338840214"/>
      <w:bookmarkStart w:id="292" w:name="_Toc444"/>
      <w:bookmarkStart w:id="293" w:name="_Toc338840485"/>
      <w:bookmarkStart w:id="294" w:name="_Toc346523469"/>
      <w:bookmarkStart w:id="295" w:name="_Toc152045559"/>
      <w:bookmarkStart w:id="296" w:name="_Toc494093433"/>
      <w:bookmarkStart w:id="297" w:name="_Toc144974527"/>
      <w:bookmarkStart w:id="298" w:name="_Toc246996946"/>
      <w:bookmarkStart w:id="299" w:name="_Toc152042335"/>
      <w:bookmarkStart w:id="300" w:name="_Toc179632577"/>
      <w:r>
        <w:rPr>
          <w:rFonts w:hint="eastAsia" w:cs="Times New Roman"/>
          <w:b/>
          <w:bCs/>
          <w:sz w:val="21"/>
          <w:szCs w:val="21"/>
          <w:highlight w:val="none"/>
        </w:rPr>
        <w:t>5. 开标</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4D5DAFC">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301" w:name="_Toc247085718"/>
      <w:bookmarkStart w:id="302" w:name="_Toc152045560"/>
      <w:bookmarkStart w:id="303" w:name="_Toc246996947"/>
      <w:bookmarkStart w:id="304" w:name="_Toc338840215"/>
      <w:bookmarkStart w:id="305" w:name="_Toc144974528"/>
      <w:bookmarkStart w:id="306" w:name="_Toc32444"/>
      <w:bookmarkStart w:id="307" w:name="_Toc152042336"/>
      <w:bookmarkStart w:id="308" w:name="_Toc246996204"/>
      <w:bookmarkStart w:id="309" w:name="_Toc179632578"/>
      <w:r>
        <w:rPr>
          <w:rFonts w:hint="eastAsia" w:cs="Times New Roman"/>
          <w:b/>
          <w:bCs/>
          <w:sz w:val="21"/>
          <w:szCs w:val="21"/>
          <w:highlight w:val="none"/>
        </w:rPr>
        <w:t>5.1 开标时间和地点</w:t>
      </w:r>
      <w:bookmarkEnd w:id="301"/>
      <w:bookmarkEnd w:id="302"/>
      <w:bookmarkEnd w:id="303"/>
      <w:bookmarkEnd w:id="304"/>
      <w:bookmarkEnd w:id="305"/>
      <w:bookmarkEnd w:id="306"/>
      <w:bookmarkEnd w:id="307"/>
      <w:bookmarkEnd w:id="308"/>
      <w:bookmarkEnd w:id="309"/>
    </w:p>
    <w:p w14:paraId="5407B506">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招标人在投标人须知前附表规定的投标截止及开标时间和地点进行, 本项目采用“远程不见面”开标方式,投标人无需到现场提交原件资料、无需到开封市</w:t>
      </w:r>
      <w:r>
        <w:rPr>
          <w:rFonts w:hint="eastAsia" w:ascii="宋体" w:hAnsi="宋体" w:cs="宋体"/>
          <w:sz w:val="21"/>
          <w:szCs w:val="21"/>
          <w:highlight w:val="none"/>
          <w:lang w:eastAsia="zh-CN"/>
        </w:rPr>
        <w:t>祥符区</w:t>
      </w:r>
      <w:r>
        <w:rPr>
          <w:rFonts w:hint="eastAsia" w:ascii="宋体" w:hAnsi="宋体" w:cs="宋体"/>
          <w:sz w:val="21"/>
          <w:szCs w:val="21"/>
          <w:highlight w:val="none"/>
        </w:rPr>
        <w:t>公共资源交易中心现场参加开标会议；投标人应当在开标时间前,登录远程开标大厅,在线准时参加开标活动并进行投标文件解密、答疑澄清等。</w:t>
      </w:r>
    </w:p>
    <w:p w14:paraId="355CF14D">
      <w:pPr>
        <w:spacing w:line="360" w:lineRule="auto"/>
        <w:outlineLvl w:val="2"/>
        <w:rPr>
          <w:b/>
          <w:bCs/>
          <w:sz w:val="21"/>
          <w:szCs w:val="21"/>
          <w:highlight w:val="none"/>
        </w:rPr>
      </w:pPr>
      <w:bookmarkStart w:id="310" w:name="_Toc246996205"/>
      <w:bookmarkStart w:id="311" w:name="_Toc338840216"/>
      <w:bookmarkStart w:id="312" w:name="_Toc152045561"/>
      <w:bookmarkStart w:id="313" w:name="_Toc152042337"/>
      <w:bookmarkStart w:id="314" w:name="_Toc144974529"/>
      <w:bookmarkStart w:id="315" w:name="_Toc246996948"/>
      <w:bookmarkStart w:id="316" w:name="_Toc179632579"/>
      <w:bookmarkStart w:id="317" w:name="_Toc247085719"/>
      <w:bookmarkStart w:id="318" w:name="_Toc26181"/>
      <w:r>
        <w:rPr>
          <w:rFonts w:hint="eastAsia"/>
          <w:b/>
          <w:bCs/>
          <w:sz w:val="21"/>
          <w:szCs w:val="21"/>
          <w:highlight w:val="none"/>
        </w:rPr>
        <w:t>5.2 开标程序</w:t>
      </w:r>
      <w:bookmarkEnd w:id="310"/>
      <w:bookmarkEnd w:id="311"/>
      <w:bookmarkEnd w:id="312"/>
      <w:bookmarkEnd w:id="313"/>
      <w:bookmarkEnd w:id="314"/>
      <w:bookmarkEnd w:id="315"/>
      <w:bookmarkEnd w:id="316"/>
      <w:bookmarkEnd w:id="317"/>
      <w:bookmarkEnd w:id="318"/>
    </w:p>
    <w:p w14:paraId="761248C5">
      <w:pPr>
        <w:spacing w:line="420" w:lineRule="exact"/>
        <w:ind w:firstLine="420" w:firstLineChars="200"/>
        <w:rPr>
          <w:rFonts w:ascii="宋体" w:hAnsi="宋体"/>
          <w:highlight w:val="none"/>
          <w:shd w:val="clear" w:color="auto" w:fill="FFFFFF"/>
        </w:rPr>
      </w:pPr>
      <w:bookmarkStart w:id="319" w:name="_Toc338840217"/>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42532A60">
      <w:pPr>
        <w:spacing w:line="420" w:lineRule="exact"/>
        <w:ind w:firstLine="420" w:firstLineChars="200"/>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16F7B995">
      <w:pPr>
        <w:spacing w:line="360" w:lineRule="auto"/>
        <w:ind w:firstLine="420" w:firstLineChars="200"/>
        <w:rPr>
          <w:rFonts w:hint="eastAsia"/>
          <w:b/>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p w14:paraId="0579132B">
      <w:pPr>
        <w:spacing w:line="360" w:lineRule="auto"/>
        <w:ind w:firstLine="422" w:firstLineChars="200"/>
        <w:rPr>
          <w:b/>
          <w:sz w:val="21"/>
          <w:szCs w:val="21"/>
          <w:highlight w:val="none"/>
          <w:lang w:eastAsia="zh-CN"/>
        </w:rPr>
      </w:pPr>
      <w:r>
        <w:rPr>
          <w:rFonts w:hint="eastAsia"/>
          <w:b/>
          <w:sz w:val="21"/>
          <w:szCs w:val="21"/>
          <w:highlight w:val="none"/>
          <w:lang w:val="en-US" w:eastAsia="zh-CN"/>
        </w:rPr>
        <w:t>具体</w:t>
      </w:r>
      <w:r>
        <w:rPr>
          <w:rFonts w:hint="eastAsia"/>
          <w:b/>
          <w:sz w:val="21"/>
          <w:szCs w:val="21"/>
          <w:highlight w:val="none"/>
          <w:lang w:eastAsia="zh-CN"/>
        </w:rPr>
        <w:t>操作流程按开封市公共资源交易平台不见面开评系统操作手册。</w:t>
      </w:r>
    </w:p>
    <w:p w14:paraId="0E2408A2">
      <w:pPr>
        <w:spacing w:line="360" w:lineRule="auto"/>
        <w:outlineLvl w:val="2"/>
        <w:rPr>
          <w:rFonts w:hint="eastAsia" w:cs="Times New Roman"/>
          <w:b/>
          <w:bCs/>
          <w:sz w:val="21"/>
          <w:szCs w:val="21"/>
          <w:highlight w:val="none"/>
        </w:rPr>
      </w:pPr>
      <w:bookmarkStart w:id="320" w:name="_Toc16701"/>
      <w:r>
        <w:rPr>
          <w:rFonts w:hint="eastAsia" w:cs="Times New Roman"/>
          <w:b/>
          <w:bCs/>
          <w:sz w:val="21"/>
          <w:szCs w:val="21"/>
          <w:highlight w:val="none"/>
        </w:rPr>
        <w:t>5.3 开标异议</w:t>
      </w:r>
      <w:bookmarkEnd w:id="319"/>
      <w:bookmarkEnd w:id="320"/>
    </w:p>
    <w:p w14:paraId="6C017C26">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投标人</w:t>
      </w:r>
      <w:r>
        <w:rPr>
          <w:rFonts w:hint="eastAsia" w:ascii="宋体" w:hAnsi="宋体"/>
          <w:sz w:val="21"/>
          <w:szCs w:val="21"/>
          <w:highlight w:val="none"/>
        </w:rPr>
        <w:t>在线准时参加开标活动并进行投标文件解密、答疑澄清等</w:t>
      </w:r>
      <w:r>
        <w:rPr>
          <w:rFonts w:hint="eastAsia" w:ascii="宋体" w:hAnsi="宋体" w:cs="宋体"/>
          <w:sz w:val="21"/>
          <w:szCs w:val="21"/>
          <w:highlight w:val="none"/>
        </w:rPr>
        <w:t>。</w:t>
      </w:r>
    </w:p>
    <w:p w14:paraId="1167D08F">
      <w:pPr>
        <w:widowControl/>
        <w:spacing w:line="360" w:lineRule="auto"/>
        <w:jc w:val="left"/>
        <w:outlineLvl w:val="1"/>
        <w:rPr>
          <w:rFonts w:hint="eastAsia" w:cs="Times New Roman"/>
          <w:b/>
          <w:bCs/>
          <w:sz w:val="21"/>
          <w:szCs w:val="21"/>
          <w:highlight w:val="none"/>
        </w:rPr>
      </w:pPr>
      <w:bookmarkStart w:id="321" w:name="_Toc179632580"/>
      <w:bookmarkStart w:id="322" w:name="_Toc246996949"/>
      <w:bookmarkStart w:id="323" w:name="_Toc338840218"/>
      <w:bookmarkStart w:id="324" w:name="_Toc338840486"/>
      <w:bookmarkStart w:id="325" w:name="_Toc152045562"/>
      <w:bookmarkStart w:id="326" w:name="_Toc338840447"/>
      <w:bookmarkStart w:id="327" w:name="_Toc6940"/>
      <w:bookmarkStart w:id="328" w:name="_Toc346523470"/>
      <w:bookmarkStart w:id="329" w:name="_Toc346523407"/>
      <w:bookmarkStart w:id="330" w:name="_Toc144974530"/>
      <w:bookmarkStart w:id="331" w:name="_Toc152042338"/>
      <w:bookmarkStart w:id="332" w:name="_Toc494102996"/>
      <w:bookmarkStart w:id="333" w:name="_Toc247085720"/>
      <w:bookmarkStart w:id="334" w:name="_Toc494093434"/>
      <w:bookmarkStart w:id="335" w:name="_Toc13324"/>
      <w:bookmarkStart w:id="336" w:name="_Toc246996206"/>
      <w:r>
        <w:rPr>
          <w:rFonts w:hint="eastAsia" w:cs="Times New Roman"/>
          <w:b/>
          <w:bCs/>
          <w:sz w:val="21"/>
          <w:szCs w:val="21"/>
          <w:highlight w:val="none"/>
        </w:rPr>
        <w:t>6. 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762EAFC">
      <w:pPr>
        <w:spacing w:line="360" w:lineRule="auto"/>
        <w:outlineLvl w:val="2"/>
        <w:rPr>
          <w:b/>
          <w:bCs/>
          <w:sz w:val="21"/>
          <w:szCs w:val="21"/>
          <w:highlight w:val="none"/>
        </w:rPr>
      </w:pPr>
      <w:bookmarkStart w:id="337" w:name="_Toc338840219"/>
      <w:bookmarkStart w:id="338" w:name="_Toc247085721"/>
      <w:bookmarkStart w:id="339" w:name="_Toc144974531"/>
      <w:bookmarkStart w:id="340" w:name="_Toc152042339"/>
      <w:bookmarkStart w:id="341" w:name="_Toc152045563"/>
      <w:bookmarkStart w:id="342" w:name="_Toc26414"/>
      <w:bookmarkStart w:id="343" w:name="_Toc246996950"/>
      <w:bookmarkStart w:id="344" w:name="_Toc179632581"/>
      <w:bookmarkStart w:id="345" w:name="_Toc246996207"/>
      <w:r>
        <w:rPr>
          <w:rFonts w:hint="eastAsia"/>
          <w:b/>
          <w:bCs/>
          <w:sz w:val="21"/>
          <w:szCs w:val="21"/>
          <w:highlight w:val="none"/>
        </w:rPr>
        <w:t>6.1 评标委员会</w:t>
      </w:r>
      <w:bookmarkEnd w:id="337"/>
      <w:bookmarkEnd w:id="338"/>
      <w:bookmarkEnd w:id="339"/>
      <w:bookmarkEnd w:id="340"/>
      <w:bookmarkEnd w:id="341"/>
      <w:bookmarkEnd w:id="342"/>
      <w:bookmarkEnd w:id="343"/>
      <w:bookmarkEnd w:id="344"/>
      <w:bookmarkEnd w:id="345"/>
    </w:p>
    <w:p w14:paraId="7D427E5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6.1.1 评标由招标人依法组建的评标委员会负责。评标委员会成员人数以及技术、经济等方面专家的确定方式见投标人须知前附表。</w:t>
      </w:r>
    </w:p>
    <w:p w14:paraId="1E271B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6.1.2 评标委员会成员有下列情形之一的，应当回避：</w:t>
      </w:r>
    </w:p>
    <w:p w14:paraId="6942F223">
      <w:pPr>
        <w:spacing w:line="360" w:lineRule="auto"/>
        <w:ind w:firstLine="420" w:firstLineChars="200"/>
        <w:rPr>
          <w:rFonts w:ascii="宋体" w:hAnsi="宋体" w:cs="宋体"/>
          <w:sz w:val="21"/>
          <w:szCs w:val="21"/>
          <w:highlight w:val="none"/>
        </w:rPr>
      </w:pPr>
      <w:bookmarkStart w:id="346" w:name="_Toc152042340"/>
      <w:bookmarkStart w:id="347" w:name="_Toc338840220"/>
      <w:bookmarkStart w:id="348" w:name="_Toc152045564"/>
      <w:bookmarkStart w:id="349" w:name="_Toc144974532"/>
      <w:bookmarkStart w:id="350" w:name="_Toc246996208"/>
      <w:bookmarkStart w:id="351" w:name="_Toc246996951"/>
      <w:bookmarkStart w:id="352" w:name="_Toc247085722"/>
      <w:bookmarkStart w:id="353" w:name="_Toc179632582"/>
      <w:r>
        <w:rPr>
          <w:rFonts w:hint="eastAsia" w:ascii="宋体" w:hAnsi="宋体" w:cs="宋体"/>
          <w:sz w:val="21"/>
          <w:szCs w:val="21"/>
          <w:highlight w:val="none"/>
        </w:rPr>
        <w:t>（1）招标人或投标人的主要负责人的近亲属；</w:t>
      </w:r>
    </w:p>
    <w:p w14:paraId="7B18DB0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（2）项目主管部门或者行政监督部门的人员；</w:t>
      </w:r>
    </w:p>
    <w:p w14:paraId="6B230C8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（3）与投标人有经济利益关系，可能影响对投标公正评审的；</w:t>
      </w:r>
    </w:p>
    <w:p w14:paraId="7309976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（4）曾因在招标、评标以及其他与招标投标有关活动中从事违法行为而受过行政处罚或刑事处罚的。</w:t>
      </w:r>
    </w:p>
    <w:p w14:paraId="0C6F5F8F">
      <w:pPr>
        <w:spacing w:line="360" w:lineRule="auto"/>
        <w:outlineLvl w:val="2"/>
        <w:rPr>
          <w:b/>
          <w:bCs/>
          <w:sz w:val="21"/>
          <w:szCs w:val="21"/>
          <w:highlight w:val="none"/>
        </w:rPr>
      </w:pPr>
      <w:bookmarkStart w:id="354" w:name="_Toc9997"/>
      <w:r>
        <w:rPr>
          <w:rFonts w:hint="eastAsia"/>
          <w:b/>
          <w:bCs/>
          <w:sz w:val="21"/>
          <w:szCs w:val="21"/>
          <w:highlight w:val="none"/>
        </w:rPr>
        <w:t>6.2 评标原则</w:t>
      </w:r>
      <w:bookmarkEnd w:id="346"/>
      <w:bookmarkEnd w:id="347"/>
      <w:bookmarkEnd w:id="348"/>
      <w:bookmarkEnd w:id="349"/>
      <w:bookmarkEnd w:id="350"/>
      <w:bookmarkEnd w:id="351"/>
      <w:bookmarkEnd w:id="352"/>
      <w:bookmarkEnd w:id="353"/>
      <w:bookmarkEnd w:id="354"/>
    </w:p>
    <w:p w14:paraId="4873EB3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评标活动遵循公平、公正、科学和择优的原则。</w:t>
      </w:r>
    </w:p>
    <w:p w14:paraId="15BD4831">
      <w:pPr>
        <w:spacing w:line="360" w:lineRule="auto"/>
        <w:outlineLvl w:val="2"/>
        <w:rPr>
          <w:b/>
          <w:bCs/>
          <w:sz w:val="21"/>
          <w:szCs w:val="21"/>
          <w:highlight w:val="none"/>
        </w:rPr>
      </w:pPr>
      <w:bookmarkStart w:id="355" w:name="_Toc10192"/>
      <w:bookmarkStart w:id="356" w:name="_Toc179632583"/>
      <w:bookmarkStart w:id="357" w:name="_Toc152045565"/>
      <w:bookmarkStart w:id="358" w:name="_Toc246996209"/>
      <w:bookmarkStart w:id="359" w:name="_Toc144974533"/>
      <w:bookmarkStart w:id="360" w:name="_Toc247085723"/>
      <w:bookmarkStart w:id="361" w:name="_Toc152042341"/>
      <w:bookmarkStart w:id="362" w:name="_Toc246996952"/>
      <w:bookmarkStart w:id="363" w:name="_Toc338840221"/>
      <w:r>
        <w:rPr>
          <w:rFonts w:hint="eastAsia"/>
          <w:b/>
          <w:bCs/>
          <w:sz w:val="21"/>
          <w:szCs w:val="21"/>
          <w:highlight w:val="none"/>
        </w:rPr>
        <w:t>6.3 评标</w:t>
      </w:r>
      <w:bookmarkEnd w:id="355"/>
      <w:bookmarkEnd w:id="356"/>
      <w:bookmarkEnd w:id="357"/>
      <w:bookmarkEnd w:id="358"/>
      <w:bookmarkEnd w:id="359"/>
      <w:bookmarkEnd w:id="360"/>
      <w:bookmarkEnd w:id="361"/>
      <w:bookmarkEnd w:id="362"/>
      <w:bookmarkEnd w:id="363"/>
    </w:p>
    <w:p w14:paraId="35BCBBE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评标委员会按照第三章“评标办法”规定的方法、评审因素、标准和程序对投标文件进行评审。第三章“评标办法”没有规定的方法、评审因素和标准，不作为评标依据。</w:t>
      </w:r>
    </w:p>
    <w:p w14:paraId="7FA9AA5D">
      <w:pPr>
        <w:spacing w:line="360" w:lineRule="auto"/>
        <w:outlineLvl w:val="2"/>
        <w:rPr>
          <w:b/>
          <w:bCs/>
          <w:sz w:val="21"/>
          <w:szCs w:val="21"/>
          <w:highlight w:val="none"/>
        </w:rPr>
      </w:pPr>
      <w:bookmarkStart w:id="364" w:name="_Toc16342"/>
      <w:r>
        <w:rPr>
          <w:rFonts w:hint="eastAsia"/>
          <w:b/>
          <w:bCs/>
          <w:sz w:val="21"/>
          <w:szCs w:val="21"/>
          <w:highlight w:val="none"/>
        </w:rPr>
        <w:t>6.4评审程序</w:t>
      </w:r>
      <w:bookmarkEnd w:id="364"/>
    </w:p>
    <w:p w14:paraId="493926B2">
      <w:pPr>
        <w:spacing w:line="360" w:lineRule="auto"/>
        <w:ind w:firstLine="420" w:firstLineChars="200"/>
        <w:rPr>
          <w:rFonts w:hint="eastAsia" w:ascii="宋体" w:hAnsi="宋体" w:eastAsia="宋体" w:cs="楷体"/>
          <w:sz w:val="21"/>
          <w:szCs w:val="21"/>
          <w:highlight w:val="none"/>
          <w:lang w:eastAsia="zh-CN"/>
        </w:rPr>
      </w:pPr>
      <w:r>
        <w:rPr>
          <w:rFonts w:hint="eastAsia" w:ascii="宋体" w:hAnsi="宋体" w:cs="宋体"/>
          <w:sz w:val="21"/>
          <w:szCs w:val="21"/>
          <w:highlight w:val="none"/>
        </w:rPr>
        <w:t>分初步评审、详细评审和推荐中标候选人三个阶段详见第三章评标办法</w:t>
      </w:r>
      <w:r>
        <w:rPr>
          <w:rFonts w:hint="eastAsia" w:ascii="宋体" w:hAnsi="宋体" w:cs="宋体"/>
          <w:sz w:val="21"/>
          <w:szCs w:val="21"/>
          <w:highlight w:val="none"/>
          <w:lang w:eastAsia="zh-CN"/>
        </w:rPr>
        <w:t>。</w:t>
      </w:r>
    </w:p>
    <w:p w14:paraId="3C8B61FE">
      <w:pPr>
        <w:widowControl/>
        <w:spacing w:line="360" w:lineRule="auto"/>
        <w:jc w:val="left"/>
        <w:outlineLvl w:val="1"/>
        <w:rPr>
          <w:rFonts w:hint="eastAsia" w:cs="Times New Roman"/>
          <w:b/>
          <w:bCs/>
          <w:sz w:val="21"/>
          <w:szCs w:val="21"/>
          <w:highlight w:val="none"/>
        </w:rPr>
      </w:pPr>
      <w:bookmarkStart w:id="365" w:name="_Toc246996210"/>
      <w:bookmarkStart w:id="366" w:name="_Toc152042342"/>
      <w:bookmarkStart w:id="367" w:name="_Toc338840487"/>
      <w:bookmarkStart w:id="368" w:name="_Toc494102997"/>
      <w:bookmarkStart w:id="369" w:name="_Toc338840448"/>
      <w:bookmarkStart w:id="370" w:name="_Toc494093435"/>
      <w:bookmarkStart w:id="371" w:name="_Toc338840222"/>
      <w:bookmarkStart w:id="372" w:name="_Toc152045566"/>
      <w:bookmarkStart w:id="373" w:name="_Toc247085724"/>
      <w:bookmarkStart w:id="374" w:name="_Toc3606"/>
      <w:bookmarkStart w:id="375" w:name="_Toc144974534"/>
      <w:bookmarkStart w:id="376" w:name="_Toc346523471"/>
      <w:bookmarkStart w:id="377" w:name="_Toc22148"/>
      <w:bookmarkStart w:id="378" w:name="_Toc346523408"/>
      <w:bookmarkStart w:id="379" w:name="_Toc246996953"/>
      <w:bookmarkStart w:id="380" w:name="_Toc179632584"/>
      <w:r>
        <w:rPr>
          <w:rFonts w:hint="eastAsia" w:cs="Times New Roman"/>
          <w:b/>
          <w:bCs/>
          <w:sz w:val="21"/>
          <w:szCs w:val="21"/>
          <w:highlight w:val="none"/>
        </w:rPr>
        <w:t>7. 合同授予</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C8A13B3">
      <w:pPr>
        <w:spacing w:line="360" w:lineRule="auto"/>
        <w:outlineLvl w:val="2"/>
        <w:rPr>
          <w:b/>
          <w:bCs/>
          <w:sz w:val="21"/>
          <w:szCs w:val="21"/>
          <w:highlight w:val="none"/>
        </w:rPr>
      </w:pPr>
      <w:bookmarkStart w:id="381" w:name="_Toc246996954"/>
      <w:bookmarkStart w:id="382" w:name="_Toc179632585"/>
      <w:bookmarkStart w:id="383" w:name="_Toc246996211"/>
      <w:bookmarkStart w:id="384" w:name="_Toc338840223"/>
      <w:bookmarkStart w:id="385" w:name="_Toc152045567"/>
      <w:bookmarkStart w:id="386" w:name="_Toc152042343"/>
      <w:bookmarkStart w:id="387" w:name="_Toc247085725"/>
      <w:bookmarkStart w:id="388" w:name="_Toc144974535"/>
      <w:bookmarkStart w:id="389" w:name="_Toc11560"/>
      <w:r>
        <w:rPr>
          <w:rFonts w:hint="eastAsia"/>
          <w:b/>
          <w:bCs/>
          <w:sz w:val="21"/>
          <w:szCs w:val="21"/>
          <w:highlight w:val="none"/>
        </w:rPr>
        <w:t>7.1 定标方式</w:t>
      </w:r>
      <w:bookmarkEnd w:id="381"/>
      <w:bookmarkEnd w:id="382"/>
      <w:bookmarkEnd w:id="383"/>
      <w:bookmarkEnd w:id="384"/>
      <w:bookmarkEnd w:id="385"/>
      <w:bookmarkEnd w:id="386"/>
      <w:bookmarkEnd w:id="387"/>
      <w:bookmarkEnd w:id="388"/>
      <w:bookmarkEnd w:id="389"/>
    </w:p>
    <w:p w14:paraId="2613FD9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除投标人须知前附表规定评标委员会直接确定中标人外，招标人依据评标委员会推荐的中标候选人名单，按排序确定中标人，评标委员会推荐中标候选人的人数见投标人须知前附表。</w:t>
      </w:r>
    </w:p>
    <w:p w14:paraId="0EC74317">
      <w:pPr>
        <w:spacing w:line="360" w:lineRule="auto"/>
        <w:outlineLvl w:val="2"/>
        <w:rPr>
          <w:rFonts w:hint="eastAsia" w:cs="Times New Roman"/>
          <w:b/>
          <w:bCs/>
          <w:sz w:val="21"/>
          <w:szCs w:val="21"/>
          <w:highlight w:val="none"/>
        </w:rPr>
      </w:pPr>
      <w:bookmarkStart w:id="390" w:name="_Toc338840224"/>
      <w:bookmarkStart w:id="391" w:name="_Toc29798"/>
      <w:r>
        <w:rPr>
          <w:rFonts w:hint="eastAsia" w:cs="Times New Roman"/>
          <w:b/>
          <w:bCs/>
          <w:sz w:val="21"/>
          <w:szCs w:val="21"/>
          <w:highlight w:val="none"/>
        </w:rPr>
        <w:t>7.2 中标人公布</w:t>
      </w:r>
      <w:bookmarkEnd w:id="390"/>
      <w:bookmarkEnd w:id="391"/>
    </w:p>
    <w:p w14:paraId="256D3A2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招标人在投标人须知前附表规定的媒介公布中标人。</w:t>
      </w:r>
    </w:p>
    <w:p w14:paraId="0C263271">
      <w:pPr>
        <w:spacing w:line="360" w:lineRule="auto"/>
        <w:outlineLvl w:val="2"/>
        <w:rPr>
          <w:b/>
          <w:bCs/>
          <w:sz w:val="21"/>
          <w:szCs w:val="21"/>
          <w:highlight w:val="none"/>
        </w:rPr>
      </w:pPr>
      <w:bookmarkStart w:id="392" w:name="_Toc144974536"/>
      <w:bookmarkStart w:id="393" w:name="_Toc179632586"/>
      <w:bookmarkStart w:id="394" w:name="_Toc247085726"/>
      <w:bookmarkStart w:id="395" w:name="_Toc152042344"/>
      <w:bookmarkStart w:id="396" w:name="_Toc246996212"/>
      <w:bookmarkStart w:id="397" w:name="_Toc246996955"/>
      <w:bookmarkStart w:id="398" w:name="_Toc152045568"/>
      <w:bookmarkStart w:id="399" w:name="_Toc11169"/>
      <w:bookmarkStart w:id="400" w:name="_Toc338840225"/>
      <w:r>
        <w:rPr>
          <w:rFonts w:hint="eastAsia"/>
          <w:b/>
          <w:bCs/>
          <w:sz w:val="21"/>
          <w:szCs w:val="21"/>
          <w:highlight w:val="none"/>
        </w:rPr>
        <w:t>7.3 中标通知</w:t>
      </w:r>
      <w:bookmarkEnd w:id="392"/>
      <w:bookmarkEnd w:id="393"/>
      <w:bookmarkEnd w:id="394"/>
      <w:bookmarkEnd w:id="395"/>
      <w:bookmarkEnd w:id="396"/>
      <w:bookmarkEnd w:id="397"/>
      <w:bookmarkEnd w:id="398"/>
      <w:bookmarkEnd w:id="399"/>
      <w:bookmarkEnd w:id="400"/>
    </w:p>
    <w:p w14:paraId="469F9BF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在投标有效期内，招标人确定中标人后，以书面形式向中标人发出中标通知书，同时将中标结果通知未中标的投标人。详见投标人须知前附表。</w:t>
      </w:r>
    </w:p>
    <w:p w14:paraId="6737851C">
      <w:pPr>
        <w:spacing w:line="360" w:lineRule="auto"/>
        <w:outlineLvl w:val="2"/>
        <w:rPr>
          <w:rFonts w:hint="eastAsia" w:eastAsia="宋体"/>
          <w:b/>
          <w:bCs/>
          <w:sz w:val="21"/>
          <w:szCs w:val="21"/>
          <w:highlight w:val="none"/>
          <w:lang w:eastAsia="zh-CN"/>
        </w:rPr>
      </w:pPr>
      <w:bookmarkStart w:id="401" w:name="_Toc152045569"/>
      <w:bookmarkStart w:id="402" w:name="_Toc144974537"/>
      <w:bookmarkStart w:id="403" w:name="_Toc152042345"/>
      <w:bookmarkStart w:id="404" w:name="_Toc21439"/>
      <w:bookmarkStart w:id="405" w:name="_Toc338840226"/>
      <w:bookmarkStart w:id="406" w:name="_Toc246996956"/>
      <w:bookmarkStart w:id="407" w:name="_Toc246996213"/>
      <w:bookmarkStart w:id="408" w:name="_Toc247085727"/>
      <w:bookmarkStart w:id="409" w:name="_Toc179632587"/>
      <w:r>
        <w:rPr>
          <w:rFonts w:hint="eastAsia"/>
          <w:b/>
          <w:bCs/>
          <w:sz w:val="21"/>
          <w:szCs w:val="21"/>
          <w:highlight w:val="none"/>
        </w:rPr>
        <w:t>7.4 履约担保</w:t>
      </w:r>
      <w:bookmarkEnd w:id="401"/>
      <w:bookmarkEnd w:id="402"/>
      <w:bookmarkEnd w:id="403"/>
      <w:bookmarkEnd w:id="404"/>
      <w:bookmarkEnd w:id="405"/>
      <w:bookmarkEnd w:id="406"/>
      <w:bookmarkEnd w:id="407"/>
      <w:bookmarkEnd w:id="408"/>
      <w:bookmarkEnd w:id="409"/>
      <w:r>
        <w:rPr>
          <w:rFonts w:hint="eastAsia"/>
          <w:b/>
          <w:bCs/>
          <w:sz w:val="21"/>
          <w:szCs w:val="21"/>
          <w:highlight w:val="none"/>
          <w:lang w:eastAsia="zh-CN"/>
        </w:rPr>
        <w:t>（不要求）</w:t>
      </w:r>
    </w:p>
    <w:p w14:paraId="4390E295">
      <w:pPr>
        <w:spacing w:line="360" w:lineRule="auto"/>
        <w:outlineLvl w:val="2"/>
        <w:rPr>
          <w:b/>
          <w:bCs/>
          <w:sz w:val="21"/>
          <w:szCs w:val="21"/>
          <w:highlight w:val="none"/>
        </w:rPr>
      </w:pPr>
      <w:bookmarkStart w:id="410" w:name="_Toc152045570"/>
      <w:bookmarkStart w:id="411" w:name="_Toc338840227"/>
      <w:bookmarkStart w:id="412" w:name="_Toc179632588"/>
      <w:bookmarkStart w:id="413" w:name="_Toc246996957"/>
      <w:bookmarkStart w:id="414" w:name="_Toc152042346"/>
      <w:bookmarkStart w:id="415" w:name="_Toc246996214"/>
      <w:bookmarkStart w:id="416" w:name="_Toc21478"/>
      <w:bookmarkStart w:id="417" w:name="_Toc144974538"/>
      <w:bookmarkStart w:id="418" w:name="_Toc247085728"/>
      <w:r>
        <w:rPr>
          <w:rFonts w:hint="eastAsia"/>
          <w:b/>
          <w:bCs/>
          <w:sz w:val="21"/>
          <w:szCs w:val="21"/>
          <w:highlight w:val="none"/>
        </w:rPr>
        <w:t>7.5 签订合同</w:t>
      </w:r>
      <w:bookmarkEnd w:id="410"/>
      <w:bookmarkEnd w:id="411"/>
      <w:bookmarkEnd w:id="412"/>
      <w:bookmarkEnd w:id="413"/>
      <w:bookmarkEnd w:id="414"/>
      <w:bookmarkEnd w:id="415"/>
      <w:bookmarkEnd w:id="416"/>
      <w:bookmarkEnd w:id="417"/>
      <w:bookmarkEnd w:id="418"/>
    </w:p>
    <w:p w14:paraId="459AB78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7.5.1招标人和中标人应当自中标通知书发出之日起</w:t>
      </w:r>
      <w:r>
        <w:rPr>
          <w:rFonts w:hint="eastAsia" w:ascii="宋体" w:hAnsi="宋体" w:cs="宋体"/>
          <w:sz w:val="21"/>
          <w:szCs w:val="21"/>
          <w:highlight w:val="none"/>
          <w:lang w:val="en-US" w:eastAsia="zh-CN"/>
        </w:rPr>
        <w:t>7</w:t>
      </w:r>
      <w:r>
        <w:rPr>
          <w:rFonts w:hint="eastAsia" w:ascii="宋体" w:hAnsi="宋体" w:cs="宋体"/>
          <w:sz w:val="21"/>
          <w:szCs w:val="21"/>
          <w:highlight w:val="none"/>
        </w:rPr>
        <w:t>天内（投标人须知前附表另有规定者从其规定），根据招标文件和中标人的投标文件订立书面合同。中标人无正当理由拒签合同的，招标人取消其中标资格，给招标人造成的损失的，中标人还应予以赔偿。</w:t>
      </w:r>
    </w:p>
    <w:p w14:paraId="104CC64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7.5.2 发出中标通知书后，招标人无正当理由拒签合同的，给中标人造成损失的，还应当赔偿损失。</w:t>
      </w:r>
    </w:p>
    <w:p w14:paraId="0D470F46">
      <w:pPr>
        <w:widowControl/>
        <w:spacing w:line="360" w:lineRule="auto"/>
        <w:jc w:val="left"/>
        <w:outlineLvl w:val="1"/>
        <w:rPr>
          <w:rFonts w:hint="eastAsia" w:cs="Times New Roman"/>
          <w:b/>
          <w:bCs/>
          <w:sz w:val="21"/>
          <w:szCs w:val="21"/>
          <w:highlight w:val="none"/>
        </w:rPr>
      </w:pPr>
      <w:bookmarkStart w:id="419" w:name="_Toc494102998"/>
      <w:bookmarkStart w:id="420" w:name="_Toc346523472"/>
      <w:bookmarkStart w:id="421" w:name="_Toc338840449"/>
      <w:bookmarkStart w:id="422" w:name="_Toc494093436"/>
      <w:bookmarkStart w:id="423" w:name="_Toc1053"/>
      <w:bookmarkStart w:id="424" w:name="_Toc346523409"/>
      <w:bookmarkStart w:id="425" w:name="_Toc338840228"/>
      <w:bookmarkStart w:id="426" w:name="_Toc338840488"/>
      <w:bookmarkStart w:id="427" w:name="_Toc23619"/>
      <w:r>
        <w:rPr>
          <w:rFonts w:hint="eastAsia" w:cs="Times New Roman"/>
          <w:b/>
          <w:bCs/>
          <w:sz w:val="21"/>
          <w:szCs w:val="21"/>
          <w:highlight w:val="none"/>
        </w:rPr>
        <w:t>8. 纪律和监督</w:t>
      </w:r>
      <w:bookmarkEnd w:id="419"/>
      <w:bookmarkEnd w:id="420"/>
      <w:bookmarkEnd w:id="421"/>
      <w:bookmarkEnd w:id="422"/>
      <w:bookmarkEnd w:id="423"/>
      <w:bookmarkEnd w:id="424"/>
      <w:bookmarkEnd w:id="425"/>
      <w:bookmarkEnd w:id="426"/>
      <w:bookmarkEnd w:id="427"/>
    </w:p>
    <w:p w14:paraId="25FDED82">
      <w:pPr>
        <w:spacing w:line="360" w:lineRule="auto"/>
        <w:outlineLvl w:val="2"/>
        <w:rPr>
          <w:b/>
          <w:bCs/>
          <w:sz w:val="21"/>
          <w:szCs w:val="21"/>
          <w:highlight w:val="none"/>
        </w:rPr>
      </w:pPr>
      <w:bookmarkStart w:id="428" w:name="_Toc152042351"/>
      <w:bookmarkStart w:id="429" w:name="_Toc246996962"/>
      <w:bookmarkStart w:id="430" w:name="_Toc144974543"/>
      <w:bookmarkStart w:id="431" w:name="_Toc21217"/>
      <w:bookmarkStart w:id="432" w:name="_Toc179632593"/>
      <w:bookmarkStart w:id="433" w:name="_Toc246996219"/>
      <w:bookmarkStart w:id="434" w:name="_Toc247085733"/>
      <w:bookmarkStart w:id="435" w:name="_Toc338840229"/>
      <w:bookmarkStart w:id="436" w:name="_Toc152045575"/>
      <w:bookmarkStart w:id="437" w:name="_Toc296590983"/>
      <w:r>
        <w:rPr>
          <w:rFonts w:hint="eastAsia"/>
          <w:b/>
          <w:bCs/>
          <w:sz w:val="21"/>
          <w:szCs w:val="21"/>
          <w:highlight w:val="none"/>
        </w:rPr>
        <w:t>8.1 对招标人的纪律要求</w:t>
      </w:r>
      <w:bookmarkEnd w:id="428"/>
      <w:bookmarkEnd w:id="429"/>
      <w:bookmarkEnd w:id="430"/>
      <w:bookmarkEnd w:id="431"/>
      <w:bookmarkEnd w:id="432"/>
      <w:bookmarkEnd w:id="433"/>
      <w:bookmarkEnd w:id="434"/>
      <w:bookmarkEnd w:id="435"/>
      <w:bookmarkEnd w:id="436"/>
      <w:bookmarkEnd w:id="437"/>
    </w:p>
    <w:p w14:paraId="380963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招标人不得泄漏招标投标活动中应当保密的情况和资料，不得与投标人串通损害国家利益、社会公共利益或者他人合法权益。</w:t>
      </w:r>
    </w:p>
    <w:p w14:paraId="0B9F7B86">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38" w:name="_Toc144974544"/>
      <w:bookmarkStart w:id="439" w:name="_Toc179632594"/>
      <w:bookmarkStart w:id="440" w:name="_Toc246996963"/>
      <w:bookmarkStart w:id="441" w:name="_Toc13328"/>
      <w:bookmarkStart w:id="442" w:name="_Toc152045576"/>
      <w:bookmarkStart w:id="443" w:name="_Toc247085734"/>
      <w:bookmarkStart w:id="444" w:name="_Toc246996220"/>
      <w:bookmarkStart w:id="445" w:name="_Toc152042352"/>
      <w:bookmarkStart w:id="446" w:name="_Toc338840230"/>
      <w:r>
        <w:rPr>
          <w:rFonts w:hint="eastAsia"/>
          <w:b/>
          <w:bCs/>
          <w:sz w:val="21"/>
          <w:szCs w:val="21"/>
          <w:highlight w:val="none"/>
        </w:rPr>
        <w:t>8.2 对投标人的纪律要求</w:t>
      </w:r>
      <w:bookmarkEnd w:id="438"/>
      <w:bookmarkEnd w:id="439"/>
      <w:bookmarkEnd w:id="440"/>
      <w:bookmarkEnd w:id="441"/>
      <w:bookmarkEnd w:id="442"/>
      <w:bookmarkEnd w:id="443"/>
      <w:bookmarkEnd w:id="444"/>
      <w:bookmarkEnd w:id="445"/>
      <w:bookmarkEnd w:id="446"/>
    </w:p>
    <w:p w14:paraId="4F0493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F6C3DC">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47" w:name="_Toc9475"/>
      <w:bookmarkStart w:id="448" w:name="_Toc152042353"/>
      <w:bookmarkStart w:id="449" w:name="_Toc338840231"/>
      <w:bookmarkStart w:id="450" w:name="_Toc246996221"/>
      <w:bookmarkStart w:id="451" w:name="_Toc247085735"/>
      <w:bookmarkStart w:id="452" w:name="_Toc144974545"/>
      <w:bookmarkStart w:id="453" w:name="_Toc152045577"/>
      <w:bookmarkStart w:id="454" w:name="_Toc179632595"/>
      <w:bookmarkStart w:id="455" w:name="_Toc246996964"/>
      <w:r>
        <w:rPr>
          <w:rFonts w:hint="eastAsia"/>
          <w:b/>
          <w:bCs/>
          <w:sz w:val="21"/>
          <w:szCs w:val="21"/>
          <w:highlight w:val="none"/>
        </w:rPr>
        <w:t>8.3 对评标委员会成员的纪律要求</w:t>
      </w:r>
      <w:bookmarkEnd w:id="447"/>
      <w:bookmarkEnd w:id="448"/>
      <w:bookmarkEnd w:id="449"/>
      <w:bookmarkEnd w:id="450"/>
      <w:bookmarkEnd w:id="451"/>
      <w:bookmarkEnd w:id="452"/>
      <w:bookmarkEnd w:id="453"/>
      <w:bookmarkEnd w:id="454"/>
      <w:bookmarkEnd w:id="455"/>
    </w:p>
    <w:p w14:paraId="0122424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14:paraId="0A7F23A9">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56" w:name="_Toc179632596"/>
      <w:bookmarkStart w:id="457" w:name="_Toc24024"/>
      <w:bookmarkStart w:id="458" w:name="_Toc152042354"/>
      <w:bookmarkStart w:id="459" w:name="_Toc246996965"/>
      <w:bookmarkStart w:id="460" w:name="_Toc246996222"/>
      <w:bookmarkStart w:id="461" w:name="_Toc152045578"/>
      <w:bookmarkStart w:id="462" w:name="_Toc338840232"/>
      <w:bookmarkStart w:id="463" w:name="_Toc247085736"/>
      <w:bookmarkStart w:id="464" w:name="_Toc144974546"/>
      <w:r>
        <w:rPr>
          <w:rFonts w:hint="eastAsia"/>
          <w:b/>
          <w:bCs/>
          <w:sz w:val="21"/>
          <w:szCs w:val="21"/>
          <w:highlight w:val="none"/>
        </w:rPr>
        <w:t>8.4 对有关招投标工作人员的纪律要求</w:t>
      </w:r>
      <w:bookmarkEnd w:id="456"/>
      <w:bookmarkEnd w:id="457"/>
      <w:bookmarkEnd w:id="458"/>
      <w:bookmarkEnd w:id="459"/>
      <w:bookmarkEnd w:id="460"/>
      <w:bookmarkEnd w:id="461"/>
      <w:bookmarkEnd w:id="462"/>
      <w:bookmarkEnd w:id="463"/>
    </w:p>
    <w:p w14:paraId="5AD8C4B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bookmarkStart w:id="465" w:name="_Toc152042355"/>
      <w:r>
        <w:rPr>
          <w:rFonts w:hint="eastAsia" w:ascii="宋体" w:hAnsi="宋体" w:cs="宋体"/>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65"/>
    </w:p>
    <w:p w14:paraId="2281C8E5">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66" w:name="_Toc338840233"/>
      <w:bookmarkStart w:id="467" w:name="_Toc29885"/>
      <w:bookmarkStart w:id="468" w:name="_Toc152042356"/>
      <w:bookmarkStart w:id="469" w:name="_Toc152045579"/>
      <w:bookmarkStart w:id="470" w:name="_Toc247085737"/>
      <w:bookmarkStart w:id="471" w:name="_Toc246996223"/>
      <w:bookmarkStart w:id="472" w:name="_Toc246996966"/>
      <w:bookmarkStart w:id="473" w:name="_Toc179632597"/>
      <w:r>
        <w:rPr>
          <w:rFonts w:hint="eastAsia"/>
          <w:b/>
          <w:bCs/>
          <w:sz w:val="21"/>
          <w:szCs w:val="21"/>
          <w:highlight w:val="none"/>
        </w:rPr>
        <w:t>8.5 质疑</w:t>
      </w:r>
      <w:bookmarkEnd w:id="466"/>
      <w:r>
        <w:rPr>
          <w:rFonts w:hint="eastAsia"/>
          <w:b/>
          <w:bCs/>
          <w:sz w:val="21"/>
          <w:szCs w:val="21"/>
          <w:highlight w:val="none"/>
        </w:rPr>
        <w:t>、</w:t>
      </w:r>
      <w:bookmarkStart w:id="474" w:name="_Toc338840234"/>
      <w:r>
        <w:rPr>
          <w:rFonts w:hint="eastAsia"/>
          <w:b/>
          <w:bCs/>
          <w:sz w:val="21"/>
          <w:szCs w:val="21"/>
          <w:highlight w:val="none"/>
        </w:rPr>
        <w:t>投诉</w:t>
      </w:r>
      <w:bookmarkEnd w:id="467"/>
      <w:bookmarkEnd w:id="474"/>
    </w:p>
    <w:p w14:paraId="140BAD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8.5.1投标人招标文件有异议的，应当在投标截止时间10日前提出。对招标、评标过程和中标结果使自己的权益受到损害的，可以在知道或者应知其权益受到损害之日起七个工作日内提出</w:t>
      </w:r>
    </w:p>
    <w:bookmarkEnd w:id="464"/>
    <w:bookmarkEnd w:id="468"/>
    <w:bookmarkEnd w:id="469"/>
    <w:bookmarkEnd w:id="470"/>
    <w:bookmarkEnd w:id="471"/>
    <w:bookmarkEnd w:id="472"/>
    <w:bookmarkEnd w:id="473"/>
    <w:p w14:paraId="6EB083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8.5.2质疑投标人对招标人、采购代理机构的答复不满意或者招标人、采购代理机构未在规定的时间内作出答复的，可以在答复期满后十五个工作日内向同级政府采购监督管理部门投诉。</w:t>
      </w:r>
    </w:p>
    <w:p w14:paraId="73DF32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8.5.3根据开封市公共资源交易管理委员会办公室文件（汴公管办【2020】13号）的规定：</w:t>
      </w:r>
    </w:p>
    <w:p w14:paraId="0833603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投标人(投标人)向招标人、招标代理机构提出质疑(异议)的方式为线上提起，并在规定时间内对投标人(投标人)的质疑函(异议书)进行回复，各投标人应时刻关注电子交易系统中的项目进度和状态。</w:t>
      </w:r>
      <w:bookmarkStart w:id="475" w:name="_Toc419645322"/>
    </w:p>
    <w:bookmarkEnd w:id="475"/>
    <w:p w14:paraId="67A9C9AE">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rFonts w:hint="eastAsia"/>
          <w:b/>
          <w:bCs/>
          <w:sz w:val="21"/>
          <w:szCs w:val="21"/>
          <w:highlight w:val="none"/>
        </w:rPr>
      </w:pPr>
      <w:bookmarkStart w:id="476" w:name="_Toc5235"/>
      <w:bookmarkStart w:id="477" w:name="_Toc394654717"/>
      <w:bookmarkStart w:id="478" w:name="_Toc26178"/>
      <w:bookmarkStart w:id="479" w:name="_Toc419645323"/>
      <w:bookmarkStart w:id="480" w:name="_Toc32132"/>
      <w:bookmarkStart w:id="481" w:name="_Toc144974547"/>
      <w:bookmarkStart w:id="482" w:name="_Toc346523473"/>
      <w:bookmarkStart w:id="483" w:name="_Toc338840450"/>
      <w:bookmarkStart w:id="484" w:name="_Toc152042357"/>
      <w:bookmarkStart w:id="485" w:name="_Toc179632598"/>
      <w:bookmarkStart w:id="486" w:name="_Toc338840235"/>
      <w:bookmarkStart w:id="487" w:name="_Toc152045580"/>
      <w:bookmarkStart w:id="488" w:name="_Toc246996224"/>
      <w:bookmarkStart w:id="489" w:name="_Toc247085738"/>
      <w:bookmarkStart w:id="490" w:name="_Toc346523410"/>
      <w:bookmarkStart w:id="491" w:name="_Toc338840489"/>
      <w:bookmarkStart w:id="492" w:name="_Toc246996967"/>
      <w:r>
        <w:rPr>
          <w:rFonts w:hint="eastAsia"/>
          <w:b/>
          <w:bCs/>
          <w:sz w:val="21"/>
          <w:szCs w:val="21"/>
          <w:highlight w:val="none"/>
          <w:lang w:val="en-US" w:eastAsia="zh-CN"/>
        </w:rPr>
        <w:t>9</w:t>
      </w:r>
      <w:r>
        <w:rPr>
          <w:rFonts w:hint="eastAsia"/>
          <w:b/>
          <w:bCs/>
          <w:sz w:val="21"/>
          <w:szCs w:val="21"/>
          <w:highlight w:val="none"/>
        </w:rPr>
        <w:t xml:space="preserve">  投标文件的澄清和补正</w:t>
      </w:r>
      <w:bookmarkEnd w:id="476"/>
      <w:bookmarkEnd w:id="477"/>
      <w:bookmarkEnd w:id="478"/>
    </w:p>
    <w:p w14:paraId="0A74910B">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.1 在评标过程中，评标委员会可以以数据电文形式通过电子交易平台通知投标人所提交投标文件中不明确的内容进行澄清或说明，或者对细微偏差进行补正。评标委员会不接受投标人主动提出的澄清、说明或补正。</w:t>
      </w:r>
    </w:p>
    <w:p w14:paraId="551E22F5">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.2 澄清、说明和补正不得改变投标文件的实质性内容（算术性错误修正的除外）。投标人的澄清、说明和补正属于投标文件的组成部分。</w:t>
      </w:r>
    </w:p>
    <w:p w14:paraId="59749402">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hint="eastAsia"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.3 评标委员会对投标人提交的澄清、说明或补正有疑问的，可以要求投标人进一步澄清、说明或补正，直至满足评标委员会的要求。</w:t>
      </w:r>
    </w:p>
    <w:bookmarkEnd w:id="479"/>
    <w:bookmarkEnd w:id="480"/>
    <w:p w14:paraId="13616930">
      <w:pPr>
        <w:keepNext w:val="0"/>
        <w:keepLines w:val="0"/>
        <w:widowControl w:val="0"/>
        <w:suppressLineNumbers w:val="0"/>
        <w:spacing w:before="0" w:beforeAutospacing="0" w:after="0" w:afterAutospacing="0" w:line="500" w:lineRule="exact"/>
        <w:ind w:left="0" w:right="0"/>
        <w:jc w:val="both"/>
        <w:rPr>
          <w:b/>
          <w:bCs w:val="0"/>
          <w:color w:val="auto"/>
          <w:kern w:val="0"/>
          <w:highlight w:val="none"/>
          <w:lang w:val="en-US"/>
        </w:rPr>
      </w:pPr>
      <w:bookmarkStart w:id="493" w:name="_Toc14385"/>
      <w:bookmarkStart w:id="494" w:name="_Toc8806"/>
      <w:r>
        <w:rPr>
          <w:rFonts w:hint="default" w:ascii="Times New Roman" w:hAnsi="Times New Roman" w:eastAsia="宋体" w:cs="Times New Roman"/>
          <w:b/>
          <w:bCs w:val="0"/>
          <w:color w:val="auto"/>
          <w:kern w:val="0"/>
          <w:sz w:val="21"/>
          <w:szCs w:val="21"/>
          <w:highlight w:val="none"/>
          <w:lang w:val="en-US" w:eastAsia="zh-CN" w:bidi="ar"/>
        </w:rPr>
        <w:t>10.</w:t>
      </w:r>
      <w:r>
        <w:rPr>
          <w:rFonts w:hint="eastAsia" w:ascii="Times New Roman" w:hAnsi="Times New Roman" w:eastAsia="宋体" w:cs="宋体"/>
          <w:b/>
          <w:bCs w:val="0"/>
          <w:color w:val="auto"/>
          <w:kern w:val="0"/>
          <w:sz w:val="21"/>
          <w:szCs w:val="21"/>
          <w:highlight w:val="none"/>
          <w:lang w:val="en-US" w:eastAsia="zh-CN" w:bidi="ar"/>
        </w:rPr>
        <w:t>关于中小企业、监狱企业、残疾人福利性单位参加投标的规定</w:t>
      </w:r>
    </w:p>
    <w:p w14:paraId="3C3A2380">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 xml:space="preserve">10.1 </w:t>
      </w:r>
      <w:r>
        <w:rPr>
          <w:rFonts w:hint="eastAsia" w:ascii="Times New Roman" w:hAnsi="Times New Roman" w:eastAsia="宋体" w:cs="宋体"/>
          <w:b/>
          <w:bCs w:val="0"/>
          <w:color w:val="auto"/>
          <w:kern w:val="0"/>
          <w:sz w:val="21"/>
          <w:szCs w:val="21"/>
          <w:highlight w:val="none"/>
          <w:lang w:val="en-US" w:eastAsia="zh-CN" w:bidi="ar"/>
        </w:rPr>
        <w:t>关于投标的规定</w:t>
      </w:r>
    </w:p>
    <w:p w14:paraId="1C49792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10.1.1中小企业。符合工信部联企业[2011]300号文件中小企业划型标准规定，以中小企业身份参加投标时，应提供规定格式的《中小企业声明函》（格式见附件）</w:t>
      </w:r>
      <w:bookmarkStart w:id="495" w:name="_Toc419645324"/>
    </w:p>
    <w:p w14:paraId="7A201BC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10.1.2监狱企业。监狱企业参加政府采购活动时，应当提供由省级以上监狱管理局、戒毒管理局（含新疆生产建设兵团）出具的属于监狱企业的证明文件，才可享受相关政策。</w:t>
      </w:r>
      <w:r>
        <w:rPr>
          <w:rFonts w:hint="eastAsia" w:ascii="宋体" w:hAnsi="宋体" w:eastAsia="宋体" w:cs="宋体"/>
          <w:color w:val="auto"/>
          <w:kern w:val="2"/>
          <w:sz w:val="21"/>
          <w:szCs w:val="21"/>
          <w:highlight w:val="none"/>
          <w:lang w:val="en-US" w:eastAsia="zh-CN" w:bidi="ar"/>
        </w:rPr>
        <w:br w:type="textWrapping"/>
      </w:r>
      <w:r>
        <w:rPr>
          <w:rFonts w:hint="eastAsia" w:ascii="宋体" w:hAnsi="宋体" w:eastAsia="宋体" w:cs="宋体"/>
          <w:color w:val="auto"/>
          <w:kern w:val="2"/>
          <w:sz w:val="21"/>
          <w:szCs w:val="21"/>
          <w:highlight w:val="none"/>
          <w:lang w:val="en-US" w:eastAsia="zh-CN" w:bidi="ar"/>
        </w:rPr>
        <w:t>　　在政府采购活动中监狱企业视同小型、微型企业并适用其相关规定，提供本企业制造的货物、承担的工程或服务，享受预留份额、评审中价格扣除等政府采购促进中小企业发展的政府采购政策。</w:t>
      </w:r>
    </w:p>
    <w:p w14:paraId="15EB5A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10.1.3残疾人福利性单位。</w:t>
      </w:r>
    </w:p>
    <w:p w14:paraId="708806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10.1.3.1享受政府采购支持政策的残疾人福利性单位应当同时满足以下条件：</w:t>
      </w:r>
    </w:p>
    <w:p w14:paraId="5F3DDD8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（一）安置的残疾人占本单位在职职工人数的比例不低于25%（含25%），并且安置的残疾人人数不少于10人（含10人）；</w:t>
      </w:r>
    </w:p>
    <w:p w14:paraId="04626DB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（二）依法与安置的每位残疾人签订了一年以上（含一年）的劳动合同或服务协议；</w:t>
      </w:r>
    </w:p>
    <w:p w14:paraId="1D4E9B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（三）为安置的每位残疾人按月足额缴纳了基本养老保险、基本医疗保险、失业保险、工伤保险和生育保险等社会保险费；</w:t>
      </w:r>
    </w:p>
    <w:p w14:paraId="03EAB0C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（四）通过银行等金融机构向安置的每位残疾人，按月支付了不低于单位所在区县适用的经省级人民政府批准的月最低工资标准的工资；</w:t>
      </w:r>
    </w:p>
    <w:p w14:paraId="284B65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（五）提供本单位制造的货物、承担的工程或者服务（以下简称产品），或者提供其他残疾人福利性单位制造的货物（不包括使用非残疾人福利性单位注册商标的货物）。</w:t>
      </w:r>
    </w:p>
    <w:p w14:paraId="1BC4C9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79FC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10.1.3.2、符合条件的残疾人福利性单位在参加政府采购活动时，应当提供本通知规定的《残疾人福利性单位声明函》（见附件），并对声明的真实性负责。</w:t>
      </w:r>
    </w:p>
    <w:p w14:paraId="2E5766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中标、成交供应商为残疾人福利性单位的，采购人或者其委托的采购代理机构随中标、成交结果同时公告其《残疾人福利性单位声明函》（格式见附件），接受社会监督。</w:t>
      </w:r>
    </w:p>
    <w:p w14:paraId="68AA2C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供应商提供的《残疾人福利性单位声明函》与事实不符的，依照《政府采购法》第七十七条第一款和询价文件规定追究法律责任。</w:t>
      </w:r>
    </w:p>
    <w:p w14:paraId="1052C3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10.1.3.3、在政府采购活动中残疾人福利性单位视同小型、微型企业并适用其相关规定，提供本企业制造的货物、承担的工程或服务，享受预留份额、评审中价格扣除等促进中小企业发展的政府采购政策。</w:t>
      </w:r>
    </w:p>
    <w:p w14:paraId="45FC25F5">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10.2</w:t>
      </w:r>
      <w:r>
        <w:rPr>
          <w:rFonts w:hint="eastAsia" w:ascii="Times New Roman" w:hAnsi="Times New Roman" w:eastAsia="宋体" w:cs="宋体"/>
          <w:b/>
          <w:bCs w:val="0"/>
          <w:color w:val="auto"/>
          <w:kern w:val="0"/>
          <w:sz w:val="21"/>
          <w:szCs w:val="21"/>
          <w:highlight w:val="none"/>
          <w:lang w:val="en-US" w:eastAsia="zh-CN" w:bidi="ar"/>
        </w:rPr>
        <w:t>价格扣除的范围</w:t>
      </w:r>
    </w:p>
    <w:p w14:paraId="581920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10.2.1供应商以小型微型企业身份参与投标，如果投标产品中有一部分是本企业生产，或有一部分是其他小型、微型企业生产且有该企业《中小企业声明函》，则仅对该部分属于小型</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微型企业产品的价格予以扣除，其他投标产品价格不在扣除范围。</w:t>
      </w:r>
    </w:p>
    <w:p w14:paraId="6F5B14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10.2.2供应商以监狱企业、残疾人福利性单位身份参与投标，如果投标产品为本企业生产，在评标时对投标报价给予价格扣除；如果投标产品中有一部分是本企业生产，其他投标产品是另外监狱企业、残疾人福利性单位生产，享受价格扣除，否则不享受。</w:t>
      </w:r>
    </w:p>
    <w:p w14:paraId="64D652DA">
      <w:pPr>
        <w:keepNext w:val="0"/>
        <w:keepLines w:val="0"/>
        <w:widowControl w:val="0"/>
        <w:suppressLineNumbers w:val="0"/>
        <w:spacing w:before="120" w:beforeAutospacing="0" w:after="0" w:afterAutospacing="0" w:line="360" w:lineRule="auto"/>
        <w:ind w:left="0" w:right="0" w:firstLine="422" w:firstLineChars="200"/>
        <w:jc w:val="both"/>
        <w:rPr>
          <w:rFonts w:hint="eastAsia" w:ascii="宋体" w:hAnsi="宋体" w:eastAsia="宋体" w:cs="宋体"/>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10.3</w:t>
      </w:r>
      <w:r>
        <w:rPr>
          <w:rFonts w:hint="eastAsia" w:ascii="Times New Roman" w:hAnsi="Times New Roman" w:eastAsia="宋体" w:cs="宋体"/>
          <w:b/>
          <w:bCs w:val="0"/>
          <w:color w:val="auto"/>
          <w:kern w:val="0"/>
          <w:sz w:val="21"/>
          <w:szCs w:val="21"/>
          <w:highlight w:val="none"/>
          <w:lang w:val="en-US" w:eastAsia="zh-CN" w:bidi="ar"/>
        </w:rPr>
        <w:t>关于小型、微型企业价格扣除政策的规定</w:t>
      </w:r>
      <w:bookmarkEnd w:id="495"/>
    </w:p>
    <w:p w14:paraId="2761F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10.3.1小型、微型企业价格扣除政策</w:t>
      </w:r>
    </w:p>
    <w:p w14:paraId="7C80F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供应商属于小型、微型企业，且提供本企业生产的货物或服务，应提供《中小企业声明函》（供应商属于小型微型企业，而提供其他小型、微型企业制造的货物，需另提供该制造企业的上述资料一套）。</w:t>
      </w:r>
    </w:p>
    <w:p w14:paraId="6996D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属于小型、微型企业的，对其企业产品的价格给予</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0%的扣除，用扣除后的价格参与评审。供应商对其提供的资料真实性自行负责，如有虚假，列入财政部“政府采购严重违法失信行为信息记录”，中标者其中标资格将被取消。</w:t>
      </w:r>
    </w:p>
    <w:p w14:paraId="5F3D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10.3.2享受价格扣除政策的小型、微型企业必须同时满足以下两个条件：</w:t>
      </w:r>
    </w:p>
    <w:p w14:paraId="1BB76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1）符合小型、微型企业划分标准（按照“关于印发中小企业划型标准规定的通知”（工信部联企业【2011】300号）的规定划分）；</w:t>
      </w:r>
    </w:p>
    <w:p w14:paraId="0002B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2）提供本企业生产的产品或者提供其他小型、微型企业生产的产品。</w:t>
      </w:r>
    </w:p>
    <w:p w14:paraId="20218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9.3.3享受小型、微型企业价格扣除政策的供应商应同时符合以下条件：</w:t>
      </w:r>
    </w:p>
    <w:p w14:paraId="06030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1）供应商为中国法人；</w:t>
      </w:r>
    </w:p>
    <w:p w14:paraId="2C15D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2）投标产品制造商为中国法人；</w:t>
      </w:r>
    </w:p>
    <w:p w14:paraId="0BC15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3）投标产品原产地为中国；</w:t>
      </w:r>
    </w:p>
    <w:p w14:paraId="10F4E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4）投标货币为人民币。</w:t>
      </w:r>
    </w:p>
    <w:p w14:paraId="1FEBF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outlineLvl w:val="9"/>
        <w:rPr>
          <w:rFonts w:hint="eastAsia" w:ascii="宋体" w:hAnsi="宋体" w:eastAsia="宋体" w:cs="宋体"/>
          <w:b/>
          <w:bCs w:val="0"/>
          <w:color w:val="auto"/>
          <w:kern w:val="0"/>
          <w:highlight w:val="none"/>
          <w:lang w:val="en-US"/>
        </w:rPr>
      </w:pPr>
      <w:r>
        <w:rPr>
          <w:rFonts w:hint="eastAsia" w:ascii="宋体" w:hAnsi="宋体" w:eastAsia="宋体" w:cs="宋体"/>
          <w:b/>
          <w:bCs w:val="0"/>
          <w:color w:val="auto"/>
          <w:kern w:val="0"/>
          <w:sz w:val="21"/>
          <w:szCs w:val="21"/>
          <w:highlight w:val="none"/>
          <w:lang w:val="en-US" w:eastAsia="zh-CN" w:bidi="ar"/>
        </w:rPr>
        <w:t>10.4部分中小企业划型标准规定</w:t>
      </w:r>
    </w:p>
    <w:p w14:paraId="67052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10.4.1其他未列明行业。从业人员300人以下的为中小微型企业。其中，从业人员100人及以上的为中型企业；从业人员10人及以上的为小型企业；从业人员10人以下的为微型企业。</w:t>
      </w:r>
    </w:p>
    <w:p w14:paraId="6C35A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10.4.</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其他专业详见：关于印发中小企业划型标准规定的通知（工信部联企业〔2011〕300号）</w:t>
      </w:r>
    </w:p>
    <w:p w14:paraId="6C7EACBC">
      <w:pPr>
        <w:spacing w:line="240" w:lineRule="auto"/>
        <w:ind w:firstLine="210" w:firstLineChars="100"/>
        <w:rPr>
          <w:color w:val="auto"/>
          <w:highlight w:val="none"/>
        </w:rPr>
      </w:pPr>
      <w:r>
        <w:rPr>
          <w:rFonts w:hint="eastAsia" w:ascii="宋体" w:hAnsi="宋体"/>
          <w:color w:val="auto"/>
          <w:highlight w:val="none"/>
        </w:rPr>
        <w:t>价格调整要素及价格折扣幅度列表：</w:t>
      </w:r>
    </w:p>
    <w:tbl>
      <w:tblPr>
        <w:tblStyle w:val="2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833"/>
      </w:tblGrid>
      <w:tr w14:paraId="265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4" w:type="dxa"/>
            <w:tcBorders>
              <w:top w:val="single" w:color="auto" w:sz="4" w:space="0"/>
              <w:left w:val="single" w:color="auto" w:sz="4" w:space="0"/>
              <w:bottom w:val="single" w:color="auto" w:sz="4" w:space="0"/>
              <w:right w:val="single" w:color="auto" w:sz="4" w:space="0"/>
            </w:tcBorders>
            <w:noWrap/>
            <w:vAlign w:val="top"/>
          </w:tcPr>
          <w:p w14:paraId="0DD84A5B">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评标价格要素</w:t>
            </w:r>
          </w:p>
        </w:tc>
        <w:tc>
          <w:tcPr>
            <w:tcW w:w="3833" w:type="dxa"/>
            <w:tcBorders>
              <w:top w:val="single" w:color="auto" w:sz="4" w:space="0"/>
              <w:left w:val="nil"/>
              <w:bottom w:val="single" w:color="auto" w:sz="4" w:space="0"/>
              <w:right w:val="single" w:color="auto" w:sz="4" w:space="0"/>
            </w:tcBorders>
            <w:noWrap/>
            <w:vAlign w:val="top"/>
          </w:tcPr>
          <w:p w14:paraId="20C4DE1D">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价格折扣幅度</w:t>
            </w:r>
          </w:p>
        </w:tc>
      </w:tr>
      <w:tr w14:paraId="2D4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944" w:type="dxa"/>
            <w:tcBorders>
              <w:top w:val="single" w:color="auto" w:sz="4" w:space="0"/>
              <w:left w:val="single" w:color="auto" w:sz="4" w:space="0"/>
              <w:bottom w:val="single" w:color="auto" w:sz="4" w:space="0"/>
              <w:right w:val="single" w:color="auto" w:sz="4" w:space="0"/>
            </w:tcBorders>
            <w:noWrap/>
            <w:vAlign w:val="center"/>
          </w:tcPr>
          <w:p w14:paraId="50B3022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小微企业、监狱企业、残疾人福利性单位</w:t>
            </w:r>
          </w:p>
        </w:tc>
        <w:tc>
          <w:tcPr>
            <w:tcW w:w="3833" w:type="dxa"/>
            <w:tcBorders>
              <w:top w:val="single" w:color="auto" w:sz="4" w:space="0"/>
              <w:left w:val="nil"/>
              <w:bottom w:val="single" w:color="auto" w:sz="4" w:space="0"/>
              <w:right w:val="single" w:color="auto" w:sz="4" w:space="0"/>
            </w:tcBorders>
            <w:noWrap/>
            <w:vAlign w:val="center"/>
          </w:tcPr>
          <w:p w14:paraId="1EBEA30F">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lang w:val="en-US" w:eastAsia="zh-CN"/>
              </w:rPr>
              <w:t>20</w:t>
            </w:r>
            <w:r>
              <w:rPr>
                <w:rFonts w:hint="default"/>
                <w:color w:val="auto"/>
                <w:highlight w:val="none"/>
              </w:rPr>
              <w:t>%</w:t>
            </w:r>
          </w:p>
        </w:tc>
      </w:tr>
    </w:tbl>
    <w:p w14:paraId="276B21C7">
      <w:pPr>
        <w:widowControl/>
        <w:spacing w:line="360" w:lineRule="auto"/>
        <w:jc w:val="left"/>
        <w:outlineLvl w:val="1"/>
        <w:rPr>
          <w:rFonts w:hint="eastAsia" w:cs="Times New Roman"/>
          <w:b/>
          <w:bCs/>
          <w:sz w:val="21"/>
          <w:szCs w:val="21"/>
          <w:highlight w:val="none"/>
        </w:rPr>
      </w:pPr>
      <w:r>
        <w:rPr>
          <w:rFonts w:hint="eastAsia" w:cs="Times New Roman"/>
          <w:b/>
          <w:bCs/>
          <w:sz w:val="21"/>
          <w:szCs w:val="21"/>
          <w:highlight w:val="none"/>
        </w:rPr>
        <w:t>1</w:t>
      </w:r>
      <w:r>
        <w:rPr>
          <w:rFonts w:hint="eastAsia" w:cs="Times New Roman"/>
          <w:b/>
          <w:bCs/>
          <w:sz w:val="21"/>
          <w:szCs w:val="21"/>
          <w:highlight w:val="none"/>
          <w:lang w:val="en-US" w:eastAsia="zh-CN"/>
        </w:rPr>
        <w:t>1</w:t>
      </w:r>
      <w:r>
        <w:rPr>
          <w:rFonts w:hint="eastAsia" w:cs="Times New Roman"/>
          <w:b/>
          <w:bCs/>
          <w:sz w:val="21"/>
          <w:szCs w:val="21"/>
          <w:highlight w:val="none"/>
        </w:rPr>
        <w:t>．需要补充的其他内容</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59E17E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需要补充的其他内容：见投标人须知前附表。</w:t>
      </w:r>
    </w:p>
    <w:p w14:paraId="70906B3B">
      <w:pPr>
        <w:widowControl/>
        <w:spacing w:line="360" w:lineRule="auto"/>
        <w:jc w:val="left"/>
        <w:outlineLvl w:val="1"/>
        <w:rPr>
          <w:rFonts w:hint="eastAsia" w:cs="Times New Roman"/>
          <w:b/>
          <w:bCs/>
          <w:sz w:val="21"/>
          <w:szCs w:val="21"/>
          <w:highlight w:val="none"/>
        </w:rPr>
      </w:pPr>
      <w:bookmarkStart w:id="496" w:name="_Toc4157"/>
      <w:bookmarkStart w:id="497" w:name="_Toc346523411"/>
      <w:bookmarkStart w:id="498" w:name="_Toc338840490"/>
      <w:bookmarkStart w:id="499" w:name="_Toc31202"/>
      <w:bookmarkStart w:id="500" w:name="_Toc338840236"/>
      <w:bookmarkStart w:id="501" w:name="_Toc494093437"/>
      <w:bookmarkStart w:id="502" w:name="_Toc338840451"/>
      <w:bookmarkStart w:id="503" w:name="_Toc346523474"/>
      <w:bookmarkStart w:id="504" w:name="_Toc494102999"/>
      <w:r>
        <w:rPr>
          <w:rFonts w:hint="eastAsia" w:cs="Times New Roman"/>
          <w:b/>
          <w:bCs/>
          <w:sz w:val="21"/>
          <w:szCs w:val="21"/>
          <w:highlight w:val="none"/>
        </w:rPr>
        <w:t>1</w:t>
      </w:r>
      <w:r>
        <w:rPr>
          <w:rFonts w:hint="eastAsia" w:cs="Times New Roman"/>
          <w:b/>
          <w:bCs/>
          <w:sz w:val="21"/>
          <w:szCs w:val="21"/>
          <w:highlight w:val="none"/>
          <w:lang w:val="en-US" w:eastAsia="zh-CN"/>
        </w:rPr>
        <w:t>2</w:t>
      </w:r>
      <w:r>
        <w:rPr>
          <w:rFonts w:hint="eastAsia" w:cs="Times New Roman"/>
          <w:b/>
          <w:bCs/>
          <w:sz w:val="21"/>
          <w:szCs w:val="21"/>
          <w:highlight w:val="none"/>
        </w:rPr>
        <w:t>．电子招标投标</w:t>
      </w:r>
      <w:bookmarkEnd w:id="496"/>
      <w:bookmarkEnd w:id="497"/>
      <w:bookmarkEnd w:id="498"/>
      <w:bookmarkEnd w:id="499"/>
      <w:bookmarkEnd w:id="500"/>
      <w:bookmarkEnd w:id="501"/>
      <w:bookmarkEnd w:id="502"/>
      <w:bookmarkEnd w:id="503"/>
      <w:bookmarkEnd w:id="504"/>
    </w:p>
    <w:p w14:paraId="0F35B531">
      <w:pPr>
        <w:spacing w:line="360" w:lineRule="auto"/>
        <w:ind w:right="-117" w:rightChars="0" w:firstLine="420" w:firstLineChars="200"/>
        <w:jc w:val="left"/>
        <w:rPr>
          <w:rFonts w:ascii="宋体" w:hAnsi="宋体" w:cs="宋体"/>
          <w:highlight w:val="none"/>
        </w:rPr>
      </w:pPr>
      <w:r>
        <w:rPr>
          <w:rFonts w:hint="eastAsia" w:ascii="宋体" w:hAnsi="宋体" w:cs="宋体"/>
          <w:sz w:val="21"/>
          <w:szCs w:val="21"/>
          <w:highlight w:val="none"/>
        </w:rPr>
        <w:t>采用电子招标投标，对投标文件的编制、递交、开标、评标等的具体要求，见投标人须知前附表。</w:t>
      </w:r>
      <w:r>
        <w:rPr>
          <w:rFonts w:hint="eastAsia" w:ascii="宋体" w:hAnsi="宋体" w:cs="宋体"/>
          <w:szCs w:val="21"/>
          <w:highlight w:val="none"/>
        </w:rPr>
        <w:br w:type="page"/>
      </w:r>
      <w:bookmarkStart w:id="505" w:name="_Toc21462"/>
      <w:bookmarkStart w:id="506" w:name="_Toc338840237"/>
      <w:bookmarkStart w:id="507" w:name="_Toc179632616"/>
      <w:bookmarkStart w:id="508" w:name="_Toc494103000"/>
      <w:bookmarkStart w:id="509" w:name="_Toc247085756"/>
      <w:bookmarkStart w:id="510" w:name="_Toc246996984"/>
      <w:bookmarkStart w:id="511" w:name="_Toc338840452"/>
      <w:bookmarkStart w:id="512" w:name="_Toc346523475"/>
      <w:bookmarkStart w:id="513" w:name="_Toc25012"/>
      <w:bookmarkStart w:id="514" w:name="_Toc24945"/>
      <w:bookmarkStart w:id="515" w:name="_Toc18752"/>
      <w:bookmarkStart w:id="516" w:name="_Toc338840491"/>
      <w:bookmarkStart w:id="517" w:name="_Toc144974565"/>
      <w:bookmarkStart w:id="518" w:name="_Toc152042375"/>
      <w:bookmarkStart w:id="519" w:name="_Toc246996241"/>
      <w:bookmarkStart w:id="520" w:name="_Toc152045598"/>
      <w:bookmarkStart w:id="521" w:name="_Toc494093438"/>
      <w:bookmarkStart w:id="522" w:name="_Toc19955"/>
      <w:bookmarkStart w:id="523" w:name="_Toc346523412"/>
      <w:bookmarkStart w:id="524" w:name="_Toc12488"/>
      <w:r>
        <w:rPr>
          <w:rFonts w:hint="eastAsia" w:ascii="宋体" w:hAnsi="宋体" w:cs="宋体"/>
          <w:szCs w:val="21"/>
          <w:highlight w:val="none"/>
          <w:lang w:val="en-US" w:eastAsia="zh-CN"/>
        </w:rPr>
        <w:t xml:space="preserve">                       </w:t>
      </w:r>
      <w:r>
        <w:rPr>
          <w:rStyle w:val="84"/>
          <w:rFonts w:hint="eastAsia" w:ascii="宋体" w:hAnsi="宋体" w:cs="宋体"/>
          <w:b/>
          <w:bCs/>
          <w:highlight w:val="none"/>
        </w:rPr>
        <w:t>第三章 评标办法</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Start w:id="525" w:name="_Toc247085757"/>
      <w:bookmarkStart w:id="526" w:name="_Toc246996242"/>
      <w:bookmarkStart w:id="527" w:name="_Toc246996985"/>
      <w:bookmarkStart w:id="528" w:name="_Toc152045599"/>
      <w:bookmarkStart w:id="529" w:name="_Toc144974566"/>
      <w:bookmarkStart w:id="530" w:name="_Toc152042376"/>
      <w:bookmarkStart w:id="531" w:name="_Toc179632617"/>
    </w:p>
    <w:bookmarkEnd w:id="525"/>
    <w:bookmarkEnd w:id="526"/>
    <w:bookmarkEnd w:id="527"/>
    <w:bookmarkEnd w:id="528"/>
    <w:bookmarkEnd w:id="529"/>
    <w:bookmarkEnd w:id="530"/>
    <w:bookmarkEnd w:id="531"/>
    <w:p w14:paraId="0DF98FFF">
      <w:pPr>
        <w:pStyle w:val="4"/>
        <w:tabs>
          <w:tab w:val="left" w:pos="840"/>
        </w:tabs>
        <w:spacing w:before="0" w:after="0" w:line="240" w:lineRule="auto"/>
        <w:jc w:val="center"/>
        <w:rPr>
          <w:rFonts w:ascii="宋体" w:hAnsi="宋体" w:cs="宋体"/>
          <w:sz w:val="36"/>
          <w:szCs w:val="36"/>
          <w:highlight w:val="none"/>
        </w:rPr>
      </w:pPr>
      <w:bookmarkStart w:id="532" w:name="_Toc8388"/>
      <w:bookmarkStart w:id="533" w:name="_Toc338840460"/>
      <w:bookmarkStart w:id="534" w:name="_Toc24183"/>
      <w:bookmarkStart w:id="535" w:name="_Toc3571"/>
      <w:bookmarkStart w:id="536" w:name="_Toc494093445"/>
      <w:bookmarkStart w:id="537" w:name="_Toc338840499"/>
      <w:bookmarkStart w:id="538" w:name="_Toc32134"/>
      <w:bookmarkStart w:id="539" w:name="_Toc346523483"/>
      <w:bookmarkStart w:id="540" w:name="_Toc494103007"/>
      <w:bookmarkStart w:id="541" w:name="_Toc338840251"/>
      <w:bookmarkStart w:id="542" w:name="_Toc346523420"/>
      <w:r>
        <w:rPr>
          <w:rFonts w:hint="eastAsia"/>
          <w:highlight w:val="none"/>
        </w:rPr>
        <w:t>评标办法前附表</w:t>
      </w:r>
      <w:bookmarkEnd w:id="532"/>
    </w:p>
    <w:tbl>
      <w:tblPr>
        <w:tblStyle w:val="2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25"/>
        <w:gridCol w:w="2025"/>
        <w:gridCol w:w="5784"/>
      </w:tblGrid>
      <w:tr w14:paraId="2E30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35610605">
            <w:pPr>
              <w:spacing w:line="360" w:lineRule="auto"/>
              <w:jc w:val="center"/>
              <w:rPr>
                <w:b/>
                <w:sz w:val="24"/>
                <w:szCs w:val="24"/>
                <w:highlight w:val="none"/>
              </w:rPr>
            </w:pPr>
            <w:r>
              <w:rPr>
                <w:rFonts w:hint="eastAsia"/>
                <w:b/>
                <w:sz w:val="24"/>
                <w:szCs w:val="24"/>
                <w:highlight w:val="none"/>
              </w:rPr>
              <w:t>条款号</w:t>
            </w:r>
          </w:p>
        </w:tc>
        <w:tc>
          <w:tcPr>
            <w:tcW w:w="2025" w:type="dxa"/>
            <w:tcBorders>
              <w:top w:val="single" w:color="auto" w:sz="4" w:space="0"/>
              <w:left w:val="single" w:color="auto" w:sz="4" w:space="0"/>
              <w:bottom w:val="single" w:color="auto" w:sz="4" w:space="0"/>
              <w:right w:val="single" w:color="auto" w:sz="4" w:space="0"/>
            </w:tcBorders>
            <w:vAlign w:val="center"/>
          </w:tcPr>
          <w:p w14:paraId="1F50B52D">
            <w:pPr>
              <w:spacing w:line="360" w:lineRule="auto"/>
              <w:jc w:val="center"/>
              <w:rPr>
                <w:b/>
                <w:sz w:val="24"/>
                <w:szCs w:val="24"/>
                <w:highlight w:val="none"/>
              </w:rPr>
            </w:pPr>
            <w:r>
              <w:rPr>
                <w:rFonts w:hint="eastAsia"/>
                <w:b/>
                <w:sz w:val="24"/>
                <w:szCs w:val="24"/>
                <w:highlight w:val="none"/>
              </w:rPr>
              <w:t>评审因素</w:t>
            </w:r>
          </w:p>
        </w:tc>
        <w:tc>
          <w:tcPr>
            <w:tcW w:w="5784" w:type="dxa"/>
            <w:tcBorders>
              <w:top w:val="single" w:color="auto" w:sz="4" w:space="0"/>
              <w:left w:val="single" w:color="auto" w:sz="4" w:space="0"/>
              <w:bottom w:val="single" w:color="auto" w:sz="4" w:space="0"/>
              <w:right w:val="single" w:color="auto" w:sz="4" w:space="0"/>
            </w:tcBorders>
            <w:vAlign w:val="center"/>
          </w:tcPr>
          <w:p w14:paraId="45C3A102">
            <w:pPr>
              <w:spacing w:line="360" w:lineRule="auto"/>
              <w:jc w:val="center"/>
              <w:rPr>
                <w:b/>
                <w:sz w:val="24"/>
                <w:szCs w:val="24"/>
                <w:highlight w:val="none"/>
              </w:rPr>
            </w:pPr>
            <w:r>
              <w:rPr>
                <w:rFonts w:hint="eastAsia"/>
                <w:b/>
                <w:sz w:val="24"/>
                <w:szCs w:val="24"/>
                <w:highlight w:val="none"/>
              </w:rPr>
              <w:t>评审标准</w:t>
            </w:r>
          </w:p>
        </w:tc>
      </w:tr>
      <w:tr w14:paraId="1E1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8" w:type="dxa"/>
            <w:vMerge w:val="restart"/>
            <w:tcBorders>
              <w:left w:val="single" w:color="auto" w:sz="4" w:space="0"/>
              <w:right w:val="single" w:color="auto" w:sz="4" w:space="0"/>
            </w:tcBorders>
            <w:vAlign w:val="center"/>
          </w:tcPr>
          <w:p w14:paraId="17A2ED0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2.1.1</w:t>
            </w:r>
          </w:p>
        </w:tc>
        <w:tc>
          <w:tcPr>
            <w:tcW w:w="1125" w:type="dxa"/>
            <w:vMerge w:val="restart"/>
            <w:tcBorders>
              <w:top w:val="single" w:color="auto" w:sz="4" w:space="0"/>
              <w:left w:val="single" w:color="auto" w:sz="4" w:space="0"/>
              <w:right w:val="single" w:color="auto" w:sz="4" w:space="0"/>
            </w:tcBorders>
            <w:vAlign w:val="center"/>
          </w:tcPr>
          <w:p w14:paraId="218C0F08">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资格</w:t>
            </w:r>
          </w:p>
          <w:p w14:paraId="1F102739">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评审标准</w:t>
            </w:r>
          </w:p>
          <w:p w14:paraId="533305D7">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（不审查原件）</w:t>
            </w:r>
          </w:p>
        </w:tc>
        <w:tc>
          <w:tcPr>
            <w:tcW w:w="2025" w:type="dxa"/>
            <w:tcBorders>
              <w:top w:val="single" w:color="auto" w:sz="4" w:space="0"/>
              <w:left w:val="single" w:color="auto" w:sz="4" w:space="0"/>
              <w:right w:val="single" w:color="auto" w:sz="4" w:space="0"/>
            </w:tcBorders>
            <w:vAlign w:val="center"/>
          </w:tcPr>
          <w:p w14:paraId="1CCC2D38">
            <w:pPr>
              <w:spacing w:line="240" w:lineRule="auto"/>
              <w:jc w:val="center"/>
              <w:rPr>
                <w:sz w:val="21"/>
                <w:szCs w:val="21"/>
                <w:highlight w:val="none"/>
              </w:rPr>
            </w:pPr>
            <w:r>
              <w:rPr>
                <w:rFonts w:hint="eastAsia" w:ascii="Times New Roman" w:hAnsi="宋体" w:eastAsia="宋体" w:cs="宋体"/>
                <w:color w:val="auto"/>
                <w:highlight w:val="none"/>
              </w:rPr>
              <w:t>具有独立承担民事责任的能力</w:t>
            </w:r>
          </w:p>
        </w:tc>
        <w:tc>
          <w:tcPr>
            <w:tcW w:w="5784" w:type="dxa"/>
            <w:tcBorders>
              <w:top w:val="single" w:color="auto" w:sz="4" w:space="0"/>
              <w:left w:val="single" w:color="auto" w:sz="4" w:space="0"/>
              <w:right w:val="single" w:color="auto" w:sz="4" w:space="0"/>
            </w:tcBorders>
            <w:vAlign w:val="center"/>
          </w:tcPr>
          <w:p w14:paraId="76972626">
            <w:pPr>
              <w:spacing w:line="240" w:lineRule="auto"/>
              <w:jc w:val="left"/>
              <w:rPr>
                <w:rFonts w:hint="eastAsia" w:eastAsia="宋体"/>
                <w:sz w:val="21"/>
                <w:szCs w:val="21"/>
                <w:highlight w:val="none"/>
                <w:lang w:eastAsia="zh-CN"/>
              </w:rPr>
            </w:pPr>
            <w:r>
              <w:rPr>
                <w:rFonts w:hint="eastAsia" w:ascii="宋体" w:hAnsi="宋体" w:eastAsia="宋体" w:cs="宋体"/>
                <w:highlight w:val="none"/>
                <w:shd w:val="clear" w:color="auto" w:fill="FFFFFF"/>
                <w:lang w:val="zh-TW"/>
              </w:rPr>
              <w:t>提供法人或者其他组织的营业执照等证明文件，自然人的身份证明</w:t>
            </w:r>
            <w:r>
              <w:rPr>
                <w:rFonts w:hint="eastAsia" w:ascii="宋体" w:hAnsi="宋体" w:eastAsia="宋体" w:cs="宋体"/>
                <w:highlight w:val="none"/>
                <w:shd w:val="clear" w:color="auto" w:fill="FFFFFF"/>
                <w:lang w:val="zh-TW" w:eastAsia="zh-CN"/>
              </w:rPr>
              <w:t>。</w:t>
            </w:r>
          </w:p>
        </w:tc>
      </w:tr>
      <w:tr w14:paraId="44E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037530C9">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F21C5BB">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D0934">
            <w:pPr>
              <w:spacing w:line="240" w:lineRule="auto"/>
              <w:jc w:val="center"/>
              <w:rPr>
                <w:sz w:val="21"/>
                <w:szCs w:val="21"/>
                <w:highlight w:val="none"/>
              </w:rPr>
            </w:pPr>
            <w:r>
              <w:rPr>
                <w:rFonts w:hint="eastAsia" w:ascii="宋体" w:hAnsi="宋体"/>
                <w:sz w:val="21"/>
                <w:szCs w:val="21"/>
                <w:highlight w:val="none"/>
              </w:rPr>
              <w:t>具有良好的商业信誉和健全的财务会计制度</w:t>
            </w:r>
          </w:p>
        </w:tc>
        <w:tc>
          <w:tcPr>
            <w:tcW w:w="5784" w:type="dxa"/>
            <w:tcBorders>
              <w:top w:val="single" w:color="auto" w:sz="4" w:space="0"/>
              <w:left w:val="single" w:color="auto" w:sz="4" w:space="0"/>
              <w:bottom w:val="single" w:color="auto" w:sz="4" w:space="0"/>
              <w:right w:val="single" w:color="auto" w:sz="4" w:space="0"/>
            </w:tcBorders>
            <w:vAlign w:val="center"/>
          </w:tcPr>
          <w:p w14:paraId="5AB4B8EE">
            <w:pPr>
              <w:spacing w:line="240" w:lineRule="auto"/>
              <w:jc w:val="left"/>
              <w:rPr>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0746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8" w:type="dxa"/>
            <w:vMerge w:val="continue"/>
            <w:tcBorders>
              <w:left w:val="single" w:color="auto" w:sz="4" w:space="0"/>
              <w:right w:val="single" w:color="auto" w:sz="4" w:space="0"/>
            </w:tcBorders>
            <w:vAlign w:val="center"/>
          </w:tcPr>
          <w:p w14:paraId="10C89142">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3C963269">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8539D98">
            <w:pPr>
              <w:spacing w:line="240" w:lineRule="auto"/>
              <w:jc w:val="center"/>
              <w:rPr>
                <w:sz w:val="21"/>
                <w:szCs w:val="21"/>
                <w:highlight w:val="none"/>
              </w:rPr>
            </w:pPr>
            <w:r>
              <w:rPr>
                <w:rFonts w:hint="eastAsia" w:ascii="宋体" w:hAnsi="宋体"/>
                <w:sz w:val="21"/>
                <w:szCs w:val="21"/>
                <w:highlight w:val="none"/>
              </w:rPr>
              <w:t>具有履行合同所必需的设备和专业技术能力</w:t>
            </w:r>
          </w:p>
        </w:tc>
        <w:tc>
          <w:tcPr>
            <w:tcW w:w="5784" w:type="dxa"/>
            <w:tcBorders>
              <w:top w:val="single" w:color="auto" w:sz="4" w:space="0"/>
              <w:left w:val="single" w:color="auto" w:sz="4" w:space="0"/>
              <w:bottom w:val="single" w:color="auto" w:sz="4" w:space="0"/>
              <w:right w:val="single" w:color="auto" w:sz="4" w:space="0"/>
            </w:tcBorders>
            <w:vAlign w:val="center"/>
          </w:tcPr>
          <w:p w14:paraId="7006066C">
            <w:pPr>
              <w:spacing w:line="240" w:lineRule="auto"/>
              <w:jc w:val="left"/>
              <w:rPr>
                <w:sz w:val="21"/>
                <w:szCs w:val="21"/>
                <w:highlight w:val="none"/>
              </w:rPr>
            </w:pPr>
            <w:r>
              <w:rPr>
                <w:rFonts w:hint="eastAsia" w:ascii="宋体" w:hAnsi="宋体" w:eastAsia="宋体" w:cs="宋体"/>
                <w:highlight w:val="none"/>
                <w:shd w:val="clear" w:color="auto" w:fill="FFFFFF"/>
                <w:lang w:val="zh-TW"/>
              </w:rPr>
              <w:t>提供书面声明</w:t>
            </w:r>
            <w:r>
              <w:rPr>
                <w:rFonts w:hint="eastAsia" w:ascii="宋体" w:hAnsi="宋体" w:eastAsia="宋体" w:cs="宋体"/>
                <w:highlight w:val="none"/>
                <w:shd w:val="clear" w:color="auto" w:fill="FFFFFF"/>
                <w:lang w:val="en-US" w:eastAsia="zh-CN"/>
              </w:rPr>
              <w:t>或其他证明材料。</w:t>
            </w:r>
          </w:p>
        </w:tc>
      </w:tr>
      <w:tr w14:paraId="12F5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5781F4DE">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5A08DD84">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2C30EC9">
            <w:pPr>
              <w:spacing w:line="240" w:lineRule="auto"/>
              <w:jc w:val="center"/>
              <w:rPr>
                <w:sz w:val="21"/>
                <w:szCs w:val="21"/>
                <w:highlight w:val="none"/>
              </w:rPr>
            </w:pPr>
            <w:r>
              <w:rPr>
                <w:rFonts w:hint="eastAsia"/>
                <w:sz w:val="21"/>
                <w:szCs w:val="21"/>
                <w:highlight w:val="none"/>
              </w:rPr>
              <w:t>缴纳税收和社会保障资金的良好记录</w:t>
            </w:r>
          </w:p>
        </w:tc>
        <w:tc>
          <w:tcPr>
            <w:tcW w:w="5784" w:type="dxa"/>
            <w:tcBorders>
              <w:top w:val="single" w:color="auto" w:sz="4" w:space="0"/>
              <w:left w:val="single" w:color="auto" w:sz="4" w:space="0"/>
              <w:bottom w:val="single" w:color="auto" w:sz="4" w:space="0"/>
              <w:right w:val="single" w:color="auto" w:sz="4" w:space="0"/>
            </w:tcBorders>
            <w:vAlign w:val="center"/>
          </w:tcPr>
          <w:p w14:paraId="0303CFF3">
            <w:pPr>
              <w:tabs>
                <w:tab w:val="left" w:pos="7770"/>
              </w:tabs>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p>
        </w:tc>
      </w:tr>
      <w:tr w14:paraId="7318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08" w:type="dxa"/>
            <w:vMerge w:val="continue"/>
            <w:tcBorders>
              <w:left w:val="single" w:color="auto" w:sz="4" w:space="0"/>
              <w:right w:val="single" w:color="auto" w:sz="4" w:space="0"/>
            </w:tcBorders>
            <w:vAlign w:val="center"/>
          </w:tcPr>
          <w:p w14:paraId="3E3C7895">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E4E0B6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3CA04FC">
            <w:pPr>
              <w:spacing w:line="240" w:lineRule="auto"/>
              <w:jc w:val="center"/>
              <w:rPr>
                <w:sz w:val="21"/>
                <w:szCs w:val="21"/>
                <w:highlight w:val="none"/>
              </w:rPr>
            </w:pPr>
            <w:r>
              <w:rPr>
                <w:rFonts w:hint="eastAsia" w:ascii="宋体" w:hAnsi="宋体"/>
                <w:sz w:val="21"/>
                <w:szCs w:val="21"/>
                <w:highlight w:val="none"/>
              </w:rPr>
              <w:t>参加本政府采购活动前三年内，在经营活动中没有重大违法记录</w:t>
            </w:r>
            <w:r>
              <w:rPr>
                <w:rFonts w:hint="eastAsia"/>
                <w:sz w:val="21"/>
                <w:szCs w:val="21"/>
                <w:highlight w:val="none"/>
              </w:rPr>
              <w:t>承诺书</w:t>
            </w:r>
          </w:p>
        </w:tc>
        <w:tc>
          <w:tcPr>
            <w:tcW w:w="5784" w:type="dxa"/>
            <w:tcBorders>
              <w:top w:val="single" w:color="auto" w:sz="4" w:space="0"/>
              <w:left w:val="single" w:color="auto" w:sz="4" w:space="0"/>
              <w:bottom w:val="single" w:color="auto" w:sz="4" w:space="0"/>
              <w:right w:val="single" w:color="auto" w:sz="4" w:space="0"/>
            </w:tcBorders>
            <w:vAlign w:val="center"/>
          </w:tcPr>
          <w:p w14:paraId="6C7E8AC3">
            <w:pPr>
              <w:spacing w:line="240" w:lineRule="auto"/>
              <w:jc w:val="left"/>
              <w:rPr>
                <w:sz w:val="21"/>
                <w:szCs w:val="21"/>
                <w:highlight w:val="none"/>
              </w:rPr>
            </w:pPr>
            <w:r>
              <w:rPr>
                <w:rFonts w:hint="eastAsia" w:ascii="宋体" w:hAnsi="宋体" w:eastAsia="宋体" w:cs="宋体"/>
                <w:highlight w:val="none"/>
                <w:shd w:val="clear" w:color="auto" w:fill="FFFFFF"/>
                <w:lang w:val="zh-TW"/>
              </w:rPr>
              <w:t>提供声明函</w:t>
            </w:r>
          </w:p>
        </w:tc>
      </w:tr>
      <w:tr w14:paraId="3D6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0B10E735">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1F0420D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63FF1C7">
            <w:pPr>
              <w:spacing w:line="240" w:lineRule="auto"/>
              <w:jc w:val="center"/>
              <w:rPr>
                <w:rFonts w:hint="eastAsia" w:eastAsia="宋体"/>
                <w:sz w:val="21"/>
                <w:szCs w:val="21"/>
                <w:highlight w:val="none"/>
                <w:lang w:eastAsia="zh-CN"/>
              </w:rPr>
            </w:pPr>
            <w:r>
              <w:rPr>
                <w:rFonts w:hint="eastAsia"/>
                <w:sz w:val="21"/>
                <w:szCs w:val="21"/>
                <w:highlight w:val="none"/>
              </w:rPr>
              <w:t>资质</w:t>
            </w:r>
            <w:r>
              <w:rPr>
                <w:rFonts w:hint="eastAsia"/>
                <w:sz w:val="21"/>
                <w:szCs w:val="21"/>
                <w:highlight w:val="none"/>
                <w:lang w:eastAsia="zh-CN"/>
              </w:rPr>
              <w:t>要求</w:t>
            </w:r>
          </w:p>
        </w:tc>
        <w:tc>
          <w:tcPr>
            <w:tcW w:w="5784" w:type="dxa"/>
            <w:tcBorders>
              <w:top w:val="single" w:color="auto" w:sz="4" w:space="0"/>
              <w:left w:val="single" w:color="auto" w:sz="4" w:space="0"/>
              <w:bottom w:val="single" w:color="auto" w:sz="4" w:space="0"/>
              <w:right w:val="single" w:color="auto" w:sz="4" w:space="0"/>
            </w:tcBorders>
            <w:vAlign w:val="center"/>
          </w:tcPr>
          <w:p w14:paraId="5BB968C2">
            <w:pPr>
              <w:spacing w:line="240" w:lineRule="auto"/>
              <w:jc w:val="center"/>
              <w:rPr>
                <w:sz w:val="21"/>
                <w:szCs w:val="21"/>
                <w:highlight w:val="none"/>
              </w:rPr>
            </w:pPr>
            <w:r>
              <w:rPr>
                <w:rFonts w:hint="eastAsia" w:ascii="宋体" w:hAnsi="宋体"/>
                <w:sz w:val="21"/>
                <w:szCs w:val="21"/>
                <w:highlight w:val="none"/>
                <w:lang w:val="en-US" w:eastAsia="zh-CN"/>
              </w:rPr>
              <w:t>符合第二章“投标人须知前附表”1.4.1 规定</w:t>
            </w:r>
          </w:p>
        </w:tc>
      </w:tr>
      <w:tr w14:paraId="7D8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8" w:type="dxa"/>
            <w:vMerge w:val="continue"/>
            <w:tcBorders>
              <w:left w:val="single" w:color="auto" w:sz="4" w:space="0"/>
              <w:right w:val="single" w:color="auto" w:sz="4" w:space="0"/>
            </w:tcBorders>
            <w:vAlign w:val="center"/>
          </w:tcPr>
          <w:p w14:paraId="718E4F58">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40C6D7C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43A95">
            <w:pPr>
              <w:spacing w:line="240" w:lineRule="auto"/>
              <w:jc w:val="center"/>
              <w:rPr>
                <w:sz w:val="21"/>
                <w:szCs w:val="21"/>
                <w:highlight w:val="none"/>
              </w:rPr>
            </w:pPr>
            <w:r>
              <w:rPr>
                <w:rFonts w:hint="eastAsia" w:ascii="宋体" w:hAnsi="宋体"/>
                <w:sz w:val="21"/>
                <w:szCs w:val="21"/>
                <w:highlight w:val="none"/>
              </w:rPr>
              <w:t>项目负责人</w:t>
            </w:r>
          </w:p>
        </w:tc>
        <w:tc>
          <w:tcPr>
            <w:tcW w:w="5784" w:type="dxa"/>
            <w:tcBorders>
              <w:top w:val="single" w:color="auto" w:sz="4" w:space="0"/>
              <w:left w:val="single" w:color="auto" w:sz="4" w:space="0"/>
              <w:bottom w:val="single" w:color="auto" w:sz="4" w:space="0"/>
              <w:right w:val="single" w:color="auto" w:sz="4" w:space="0"/>
            </w:tcBorders>
            <w:vAlign w:val="center"/>
          </w:tcPr>
          <w:p w14:paraId="15BD134C">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591B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Merge w:val="continue"/>
            <w:tcBorders>
              <w:left w:val="single" w:color="auto" w:sz="4" w:space="0"/>
              <w:right w:val="single" w:color="auto" w:sz="4" w:space="0"/>
            </w:tcBorders>
            <w:vAlign w:val="center"/>
          </w:tcPr>
          <w:p w14:paraId="797997CF">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2788860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24EF678">
            <w:pPr>
              <w:spacing w:line="240" w:lineRule="auto"/>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信用查询</w:t>
            </w:r>
          </w:p>
        </w:tc>
        <w:tc>
          <w:tcPr>
            <w:tcW w:w="5784" w:type="dxa"/>
            <w:tcBorders>
              <w:top w:val="single" w:color="auto" w:sz="4" w:space="0"/>
              <w:left w:val="single" w:color="auto" w:sz="4" w:space="0"/>
              <w:bottom w:val="single" w:color="auto" w:sz="4" w:space="0"/>
              <w:right w:val="single" w:color="auto" w:sz="4" w:space="0"/>
            </w:tcBorders>
            <w:vAlign w:val="center"/>
          </w:tcPr>
          <w:p w14:paraId="56E58A1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4A0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8" w:type="dxa"/>
            <w:vMerge w:val="continue"/>
            <w:tcBorders>
              <w:left w:val="single" w:color="auto" w:sz="4" w:space="0"/>
              <w:right w:val="single" w:color="auto" w:sz="4" w:space="0"/>
            </w:tcBorders>
            <w:vAlign w:val="center"/>
          </w:tcPr>
          <w:p w14:paraId="278D8EB0">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3B3DE905">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14723AE">
            <w:pPr>
              <w:spacing w:line="240" w:lineRule="auto"/>
              <w:jc w:val="center"/>
              <w:rPr>
                <w:rFonts w:hint="eastAsia" w:ascii="宋体" w:hAnsi="宋体"/>
                <w:sz w:val="21"/>
                <w:szCs w:val="21"/>
                <w:highlight w:val="none"/>
              </w:rPr>
            </w:pPr>
            <w:r>
              <w:rPr>
                <w:rFonts w:hint="eastAsia" w:ascii="宋体" w:hAnsi="宋体"/>
                <w:sz w:val="21"/>
                <w:szCs w:val="21"/>
                <w:highlight w:val="none"/>
                <w:lang w:val="en-US" w:eastAsia="zh-CN"/>
              </w:rPr>
              <w:t>其他要求</w:t>
            </w:r>
          </w:p>
        </w:tc>
        <w:tc>
          <w:tcPr>
            <w:tcW w:w="5784" w:type="dxa"/>
            <w:tcBorders>
              <w:top w:val="single" w:color="auto" w:sz="4" w:space="0"/>
              <w:left w:val="single" w:color="auto" w:sz="4" w:space="0"/>
              <w:bottom w:val="single" w:color="auto" w:sz="4" w:space="0"/>
              <w:right w:val="single" w:color="auto" w:sz="4" w:space="0"/>
            </w:tcBorders>
            <w:vAlign w:val="center"/>
          </w:tcPr>
          <w:p w14:paraId="34C5CD9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7D9B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8" w:type="dxa"/>
            <w:vMerge w:val="restart"/>
            <w:tcBorders>
              <w:left w:val="single" w:color="auto" w:sz="4" w:space="0"/>
              <w:right w:val="single" w:color="auto" w:sz="4" w:space="0"/>
            </w:tcBorders>
            <w:vAlign w:val="center"/>
          </w:tcPr>
          <w:p w14:paraId="540F1F7F">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2.1.2</w:t>
            </w:r>
          </w:p>
        </w:tc>
        <w:tc>
          <w:tcPr>
            <w:tcW w:w="1125" w:type="dxa"/>
            <w:vMerge w:val="restart"/>
            <w:tcBorders>
              <w:top w:val="single" w:color="auto" w:sz="4" w:space="0"/>
              <w:left w:val="single" w:color="auto" w:sz="4" w:space="0"/>
              <w:right w:val="single" w:color="auto" w:sz="4" w:space="0"/>
            </w:tcBorders>
            <w:vAlign w:val="center"/>
          </w:tcPr>
          <w:p w14:paraId="272AF9B4">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符合性评审标准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24B97056">
            <w:pPr>
              <w:spacing w:line="240" w:lineRule="auto"/>
              <w:jc w:val="center"/>
              <w:rPr>
                <w:sz w:val="21"/>
                <w:szCs w:val="21"/>
                <w:highlight w:val="none"/>
              </w:rPr>
            </w:pPr>
            <w:r>
              <w:rPr>
                <w:rFonts w:hint="eastAsia"/>
                <w:sz w:val="21"/>
                <w:szCs w:val="21"/>
                <w:highlight w:val="none"/>
              </w:rPr>
              <w:t>投标人名称</w:t>
            </w:r>
          </w:p>
        </w:tc>
        <w:tc>
          <w:tcPr>
            <w:tcW w:w="5784" w:type="dxa"/>
            <w:tcBorders>
              <w:top w:val="single" w:color="auto" w:sz="4" w:space="0"/>
              <w:left w:val="single" w:color="auto" w:sz="4" w:space="0"/>
              <w:bottom w:val="single" w:color="auto" w:sz="4" w:space="0"/>
              <w:right w:val="single" w:color="auto" w:sz="4" w:space="0"/>
            </w:tcBorders>
            <w:vAlign w:val="center"/>
          </w:tcPr>
          <w:p w14:paraId="6DFA4526">
            <w:pPr>
              <w:spacing w:line="240" w:lineRule="auto"/>
              <w:jc w:val="center"/>
              <w:rPr>
                <w:sz w:val="21"/>
                <w:szCs w:val="21"/>
                <w:highlight w:val="none"/>
              </w:rPr>
            </w:pPr>
            <w:r>
              <w:rPr>
                <w:rFonts w:hint="eastAsia"/>
                <w:sz w:val="21"/>
                <w:szCs w:val="21"/>
                <w:highlight w:val="none"/>
              </w:rPr>
              <w:t>与</w:t>
            </w:r>
            <w:r>
              <w:rPr>
                <w:rFonts w:hint="eastAsia" w:ascii="宋体" w:hAnsi="宋体"/>
                <w:sz w:val="21"/>
                <w:szCs w:val="21"/>
                <w:highlight w:val="none"/>
              </w:rPr>
              <w:t>营业执照等证明文件</w:t>
            </w:r>
            <w:r>
              <w:rPr>
                <w:rFonts w:hint="eastAsia"/>
                <w:sz w:val="21"/>
                <w:szCs w:val="21"/>
                <w:highlight w:val="none"/>
              </w:rPr>
              <w:t>一致</w:t>
            </w:r>
          </w:p>
        </w:tc>
      </w:tr>
      <w:tr w14:paraId="6A5A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61683095">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2DF3F6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972C506">
            <w:pPr>
              <w:spacing w:line="240" w:lineRule="auto"/>
              <w:jc w:val="center"/>
              <w:rPr>
                <w:sz w:val="21"/>
                <w:szCs w:val="21"/>
                <w:highlight w:val="none"/>
              </w:rPr>
            </w:pPr>
            <w:r>
              <w:rPr>
                <w:rFonts w:hint="eastAsia"/>
                <w:sz w:val="21"/>
                <w:szCs w:val="21"/>
                <w:highlight w:val="none"/>
              </w:rPr>
              <w:t>签字盖章的要求</w:t>
            </w:r>
          </w:p>
        </w:tc>
        <w:tc>
          <w:tcPr>
            <w:tcW w:w="5784" w:type="dxa"/>
            <w:tcBorders>
              <w:top w:val="single" w:color="auto" w:sz="4" w:space="0"/>
              <w:left w:val="single" w:color="auto" w:sz="4" w:space="0"/>
              <w:bottom w:val="single" w:color="auto" w:sz="4" w:space="0"/>
              <w:right w:val="single" w:color="auto" w:sz="4" w:space="0"/>
            </w:tcBorders>
            <w:vAlign w:val="center"/>
          </w:tcPr>
          <w:p w14:paraId="27C32695">
            <w:pPr>
              <w:spacing w:line="240" w:lineRule="auto"/>
              <w:jc w:val="center"/>
              <w:rPr>
                <w:sz w:val="21"/>
                <w:szCs w:val="21"/>
                <w:highlight w:val="none"/>
              </w:rPr>
            </w:pPr>
            <w:r>
              <w:rPr>
                <w:rFonts w:hint="eastAsia" w:ascii="宋体" w:hAnsi="宋体"/>
                <w:highlight w:val="none"/>
              </w:rPr>
              <w:t>符合招标文件的要求</w:t>
            </w:r>
          </w:p>
        </w:tc>
      </w:tr>
      <w:tr w14:paraId="56D4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8" w:type="dxa"/>
            <w:vMerge w:val="continue"/>
            <w:tcBorders>
              <w:left w:val="single" w:color="auto" w:sz="4" w:space="0"/>
              <w:right w:val="single" w:color="auto" w:sz="4" w:space="0"/>
            </w:tcBorders>
            <w:vAlign w:val="center"/>
          </w:tcPr>
          <w:p w14:paraId="5CB761F6">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1354D3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CB155A">
            <w:pPr>
              <w:spacing w:line="240" w:lineRule="auto"/>
              <w:jc w:val="center"/>
              <w:rPr>
                <w:sz w:val="21"/>
                <w:szCs w:val="21"/>
                <w:highlight w:val="none"/>
              </w:rPr>
            </w:pPr>
            <w:r>
              <w:rPr>
                <w:rFonts w:hint="eastAsia"/>
                <w:sz w:val="21"/>
                <w:szCs w:val="21"/>
                <w:highlight w:val="none"/>
              </w:rPr>
              <w:t>投标文件格式</w:t>
            </w:r>
          </w:p>
        </w:tc>
        <w:tc>
          <w:tcPr>
            <w:tcW w:w="5784" w:type="dxa"/>
            <w:tcBorders>
              <w:top w:val="single" w:color="auto" w:sz="4" w:space="0"/>
              <w:left w:val="single" w:color="auto" w:sz="4" w:space="0"/>
              <w:bottom w:val="single" w:color="auto" w:sz="4" w:space="0"/>
              <w:right w:val="single" w:color="auto" w:sz="4" w:space="0"/>
            </w:tcBorders>
            <w:vAlign w:val="center"/>
          </w:tcPr>
          <w:p w14:paraId="0D8D95C4">
            <w:pPr>
              <w:spacing w:line="240" w:lineRule="auto"/>
              <w:jc w:val="center"/>
              <w:rPr>
                <w:sz w:val="21"/>
                <w:szCs w:val="21"/>
                <w:highlight w:val="none"/>
              </w:rPr>
            </w:pPr>
            <w:r>
              <w:rPr>
                <w:rFonts w:hint="eastAsia" w:ascii="宋体" w:hAnsi="宋体"/>
                <w:highlight w:val="none"/>
              </w:rPr>
              <w:t>符合招标文件的要求</w:t>
            </w:r>
          </w:p>
        </w:tc>
      </w:tr>
      <w:tr w14:paraId="65C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Merge w:val="continue"/>
            <w:tcBorders>
              <w:left w:val="single" w:color="auto" w:sz="4" w:space="0"/>
              <w:right w:val="single" w:color="auto" w:sz="4" w:space="0"/>
            </w:tcBorders>
            <w:vAlign w:val="center"/>
          </w:tcPr>
          <w:p w14:paraId="299E0E24">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DA911C7">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D46AAC2">
            <w:pPr>
              <w:spacing w:line="240" w:lineRule="auto"/>
              <w:jc w:val="center"/>
              <w:rPr>
                <w:sz w:val="21"/>
                <w:szCs w:val="21"/>
                <w:highlight w:val="none"/>
              </w:rPr>
            </w:pPr>
            <w:r>
              <w:rPr>
                <w:rFonts w:hint="eastAsia"/>
                <w:sz w:val="21"/>
                <w:szCs w:val="21"/>
                <w:highlight w:val="none"/>
              </w:rPr>
              <w:t>报价唯一</w:t>
            </w:r>
          </w:p>
        </w:tc>
        <w:tc>
          <w:tcPr>
            <w:tcW w:w="5784" w:type="dxa"/>
            <w:tcBorders>
              <w:top w:val="single" w:color="auto" w:sz="4" w:space="0"/>
              <w:left w:val="single" w:color="auto" w:sz="4" w:space="0"/>
              <w:bottom w:val="single" w:color="auto" w:sz="4" w:space="0"/>
              <w:right w:val="single" w:color="auto" w:sz="4" w:space="0"/>
            </w:tcBorders>
            <w:vAlign w:val="center"/>
          </w:tcPr>
          <w:p w14:paraId="6DA03B03">
            <w:pPr>
              <w:spacing w:line="240" w:lineRule="auto"/>
              <w:jc w:val="center"/>
              <w:rPr>
                <w:sz w:val="21"/>
                <w:szCs w:val="21"/>
                <w:highlight w:val="none"/>
              </w:rPr>
            </w:pPr>
            <w:r>
              <w:rPr>
                <w:rFonts w:hint="eastAsia"/>
                <w:sz w:val="21"/>
                <w:szCs w:val="21"/>
                <w:highlight w:val="none"/>
              </w:rPr>
              <w:t>只能有一个有效报价</w:t>
            </w:r>
          </w:p>
        </w:tc>
      </w:tr>
      <w:tr w14:paraId="47A5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8" w:type="dxa"/>
            <w:vMerge w:val="restart"/>
            <w:tcBorders>
              <w:left w:val="single" w:color="auto" w:sz="4" w:space="0"/>
              <w:right w:val="single" w:color="auto" w:sz="4" w:space="0"/>
            </w:tcBorders>
            <w:vAlign w:val="center"/>
          </w:tcPr>
          <w:p w14:paraId="4DDC4FBC">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eastAsia="宋体" w:cs="宋体"/>
                <w:color w:val="auto"/>
                <w:highlight w:val="none"/>
                <w:lang w:val="en-US"/>
              </w:rPr>
              <w:t>2.1.3</w:t>
            </w:r>
          </w:p>
        </w:tc>
        <w:tc>
          <w:tcPr>
            <w:tcW w:w="1125" w:type="dxa"/>
            <w:vMerge w:val="restart"/>
            <w:tcBorders>
              <w:left w:val="single" w:color="auto" w:sz="4" w:space="0"/>
              <w:right w:val="single" w:color="auto" w:sz="4" w:space="0"/>
            </w:tcBorders>
            <w:vAlign w:val="center"/>
          </w:tcPr>
          <w:p w14:paraId="7D00B6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
              </w:rPr>
            </w:pPr>
          </w:p>
          <w:p w14:paraId="5518D6A5">
            <w:pPr>
              <w:keepNext w:val="0"/>
              <w:keepLines w:val="0"/>
              <w:widowControl w:val="0"/>
              <w:suppressLineNumbers w:val="0"/>
              <w:spacing w:before="0" w:beforeAutospacing="0" w:after="0" w:afterAutospacing="0" w:line="360" w:lineRule="auto"/>
              <w:ind w:left="0" w:right="0"/>
              <w:jc w:val="center"/>
              <w:rPr>
                <w:sz w:val="21"/>
                <w:szCs w:val="21"/>
                <w:highlight w:val="none"/>
              </w:rPr>
            </w:pPr>
            <w:r>
              <w:rPr>
                <w:rFonts w:hint="eastAsia" w:ascii="宋体" w:hAnsi="宋体" w:eastAsia="宋体" w:cs="宋体"/>
                <w:color w:val="auto"/>
                <w:kern w:val="2"/>
                <w:sz w:val="21"/>
                <w:szCs w:val="21"/>
                <w:highlight w:val="none"/>
                <w:lang w:val="en-US" w:eastAsia="zh-CN" w:bidi="ar"/>
              </w:rPr>
              <w:t>详细评审标准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0A7A7660">
            <w:pPr>
              <w:spacing w:line="240" w:lineRule="auto"/>
              <w:jc w:val="center"/>
              <w:rPr>
                <w:sz w:val="21"/>
                <w:szCs w:val="21"/>
                <w:highlight w:val="none"/>
              </w:rPr>
            </w:pPr>
            <w:r>
              <w:rPr>
                <w:rFonts w:hint="eastAsia"/>
                <w:sz w:val="21"/>
                <w:szCs w:val="21"/>
                <w:highlight w:val="none"/>
                <w:lang w:eastAsia="zh-CN"/>
              </w:rPr>
              <w:t>服务</w:t>
            </w:r>
            <w:r>
              <w:rPr>
                <w:rFonts w:hint="eastAsia"/>
                <w:sz w:val="21"/>
                <w:szCs w:val="21"/>
                <w:highlight w:val="none"/>
              </w:rPr>
              <w:t>内容</w:t>
            </w:r>
          </w:p>
        </w:tc>
        <w:tc>
          <w:tcPr>
            <w:tcW w:w="5784" w:type="dxa"/>
            <w:tcBorders>
              <w:top w:val="single" w:color="auto" w:sz="4" w:space="0"/>
              <w:left w:val="single" w:color="auto" w:sz="4" w:space="0"/>
              <w:bottom w:val="single" w:color="auto" w:sz="4" w:space="0"/>
              <w:right w:val="single" w:color="auto" w:sz="4" w:space="0"/>
            </w:tcBorders>
          </w:tcPr>
          <w:p w14:paraId="2818CBDE">
            <w:pPr>
              <w:spacing w:line="240" w:lineRule="auto"/>
              <w:jc w:val="center"/>
              <w:rPr>
                <w:sz w:val="21"/>
                <w:szCs w:val="21"/>
                <w:highlight w:val="none"/>
              </w:rPr>
            </w:pPr>
            <w:r>
              <w:rPr>
                <w:rFonts w:hint="eastAsia"/>
                <w:sz w:val="21"/>
                <w:szCs w:val="21"/>
                <w:highlight w:val="none"/>
              </w:rPr>
              <w:t>符合投标人须知前附表的规定</w:t>
            </w:r>
          </w:p>
        </w:tc>
      </w:tr>
      <w:tr w14:paraId="43D8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0EE61FA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B9DD890">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916E7AB">
            <w:pPr>
              <w:spacing w:line="240" w:lineRule="auto"/>
              <w:jc w:val="center"/>
              <w:rPr>
                <w:sz w:val="21"/>
                <w:szCs w:val="21"/>
                <w:highlight w:val="none"/>
              </w:rPr>
            </w:pPr>
            <w:r>
              <w:rPr>
                <w:rFonts w:hint="eastAsia"/>
                <w:sz w:val="21"/>
                <w:szCs w:val="21"/>
                <w:highlight w:val="none"/>
              </w:rPr>
              <w:t>投标有效期</w:t>
            </w:r>
          </w:p>
        </w:tc>
        <w:tc>
          <w:tcPr>
            <w:tcW w:w="5784" w:type="dxa"/>
            <w:tcBorders>
              <w:top w:val="single" w:color="auto" w:sz="4" w:space="0"/>
              <w:left w:val="single" w:color="auto" w:sz="4" w:space="0"/>
              <w:bottom w:val="single" w:color="auto" w:sz="4" w:space="0"/>
              <w:right w:val="single" w:color="auto" w:sz="4" w:space="0"/>
            </w:tcBorders>
          </w:tcPr>
          <w:p w14:paraId="04996688">
            <w:pPr>
              <w:spacing w:line="240" w:lineRule="auto"/>
              <w:jc w:val="center"/>
              <w:rPr>
                <w:sz w:val="21"/>
                <w:szCs w:val="21"/>
                <w:highlight w:val="none"/>
              </w:rPr>
            </w:pPr>
            <w:r>
              <w:rPr>
                <w:rFonts w:hint="eastAsia"/>
                <w:sz w:val="21"/>
                <w:szCs w:val="21"/>
                <w:highlight w:val="none"/>
              </w:rPr>
              <w:t>符合投标人须知前附表的规定</w:t>
            </w:r>
          </w:p>
        </w:tc>
      </w:tr>
      <w:tr w14:paraId="6F2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19228DB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75B7823E">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6309213">
            <w:pPr>
              <w:spacing w:line="240" w:lineRule="auto"/>
              <w:jc w:val="center"/>
              <w:rPr>
                <w:rFonts w:hint="eastAsia"/>
                <w:sz w:val="21"/>
                <w:szCs w:val="21"/>
                <w:highlight w:val="none"/>
              </w:rPr>
            </w:pPr>
            <w:r>
              <w:rPr>
                <w:rFonts w:hint="eastAsia"/>
                <w:sz w:val="21"/>
                <w:szCs w:val="21"/>
                <w:highlight w:val="none"/>
                <w:lang w:val="en-US" w:eastAsia="zh-CN"/>
              </w:rPr>
              <w:t>投标范围</w:t>
            </w:r>
          </w:p>
        </w:tc>
        <w:tc>
          <w:tcPr>
            <w:tcW w:w="5784" w:type="dxa"/>
            <w:tcBorders>
              <w:top w:val="single" w:color="auto" w:sz="4" w:space="0"/>
              <w:left w:val="single" w:color="auto" w:sz="4" w:space="0"/>
              <w:bottom w:val="single" w:color="auto" w:sz="4" w:space="0"/>
              <w:right w:val="single" w:color="auto" w:sz="4" w:space="0"/>
            </w:tcBorders>
            <w:vAlign w:val="top"/>
          </w:tcPr>
          <w:p w14:paraId="51AEF48C">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139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8" w:type="dxa"/>
            <w:vMerge w:val="continue"/>
            <w:tcBorders>
              <w:left w:val="single" w:color="auto" w:sz="4" w:space="0"/>
              <w:right w:val="single" w:color="auto" w:sz="4" w:space="0"/>
            </w:tcBorders>
            <w:vAlign w:val="center"/>
          </w:tcPr>
          <w:p w14:paraId="44F1ABAA">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2C06E1FA">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3B7E0AD">
            <w:pPr>
              <w:spacing w:line="240" w:lineRule="auto"/>
              <w:jc w:val="center"/>
              <w:rPr>
                <w:sz w:val="21"/>
                <w:szCs w:val="21"/>
                <w:highlight w:val="none"/>
              </w:rPr>
            </w:pPr>
            <w:r>
              <w:rPr>
                <w:rFonts w:hint="eastAsia"/>
                <w:sz w:val="21"/>
                <w:szCs w:val="21"/>
                <w:highlight w:val="none"/>
              </w:rPr>
              <w:t>投标报价</w:t>
            </w:r>
          </w:p>
        </w:tc>
        <w:tc>
          <w:tcPr>
            <w:tcW w:w="5784" w:type="dxa"/>
            <w:tcBorders>
              <w:top w:val="single" w:color="auto" w:sz="4" w:space="0"/>
              <w:left w:val="single" w:color="auto" w:sz="4" w:space="0"/>
              <w:bottom w:val="single" w:color="auto" w:sz="4" w:space="0"/>
              <w:right w:val="single" w:color="auto" w:sz="4" w:space="0"/>
            </w:tcBorders>
            <w:vAlign w:val="center"/>
          </w:tcPr>
          <w:p w14:paraId="12EB4C1D">
            <w:pPr>
              <w:jc w:val="center"/>
              <w:rPr>
                <w:rFonts w:ascii="宋体" w:hAnsi="宋体"/>
                <w:spacing w:val="-4"/>
                <w:highlight w:val="none"/>
              </w:rPr>
            </w:pPr>
            <w:r>
              <w:rPr>
                <w:rFonts w:hint="eastAsia" w:ascii="宋体" w:hAnsi="宋体"/>
                <w:spacing w:val="-4"/>
                <w:highlight w:val="none"/>
              </w:rPr>
              <w:t>1、只能有一个有效报价；</w:t>
            </w:r>
          </w:p>
          <w:p w14:paraId="4EF66766">
            <w:pPr>
              <w:spacing w:line="240" w:lineRule="auto"/>
              <w:jc w:val="center"/>
              <w:rPr>
                <w:sz w:val="21"/>
                <w:szCs w:val="21"/>
                <w:highlight w:val="none"/>
              </w:rPr>
            </w:pPr>
            <w:r>
              <w:rPr>
                <w:rFonts w:hint="eastAsia" w:ascii="宋体" w:hAnsi="宋体"/>
                <w:spacing w:val="-4"/>
                <w:highlight w:val="none"/>
              </w:rPr>
              <w:t>2、设有最高投标限价者不得高于该限价。</w:t>
            </w:r>
          </w:p>
        </w:tc>
      </w:tr>
      <w:tr w14:paraId="701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72EFC871">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6FBA05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293832">
            <w:pPr>
              <w:spacing w:line="240" w:lineRule="auto"/>
              <w:jc w:val="center"/>
              <w:rPr>
                <w:rFonts w:hint="eastAsia" w:ascii="宋体" w:hAnsi="宋体" w:eastAsia="宋体"/>
                <w:sz w:val="21"/>
                <w:szCs w:val="21"/>
                <w:highlight w:val="none"/>
                <w:lang w:eastAsia="zh-CN"/>
              </w:rPr>
            </w:pPr>
            <w:r>
              <w:rPr>
                <w:rFonts w:hint="eastAsia"/>
                <w:sz w:val="21"/>
                <w:szCs w:val="21"/>
                <w:highlight w:val="none"/>
                <w:lang w:eastAsia="zh-CN"/>
              </w:rPr>
              <w:t>服务期限</w:t>
            </w:r>
          </w:p>
        </w:tc>
        <w:tc>
          <w:tcPr>
            <w:tcW w:w="5784" w:type="dxa"/>
            <w:tcBorders>
              <w:top w:val="single" w:color="auto" w:sz="4" w:space="0"/>
              <w:left w:val="single" w:color="auto" w:sz="4" w:space="0"/>
              <w:bottom w:val="single" w:color="auto" w:sz="4" w:space="0"/>
              <w:right w:val="single" w:color="auto" w:sz="4" w:space="0"/>
            </w:tcBorders>
            <w:vAlign w:val="center"/>
          </w:tcPr>
          <w:p w14:paraId="270E4992">
            <w:pPr>
              <w:spacing w:line="240" w:lineRule="auto"/>
              <w:jc w:val="center"/>
              <w:rPr>
                <w:sz w:val="21"/>
                <w:szCs w:val="21"/>
                <w:highlight w:val="none"/>
              </w:rPr>
            </w:pPr>
            <w:r>
              <w:rPr>
                <w:rFonts w:hint="eastAsia"/>
                <w:sz w:val="21"/>
                <w:szCs w:val="21"/>
                <w:highlight w:val="none"/>
              </w:rPr>
              <w:t>符合投标人须知前附表的规定</w:t>
            </w:r>
          </w:p>
        </w:tc>
      </w:tr>
      <w:tr w14:paraId="0D54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58A045D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C2EF7B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7DEEA76">
            <w:pPr>
              <w:spacing w:line="240" w:lineRule="auto"/>
              <w:jc w:val="center"/>
              <w:rPr>
                <w:rFonts w:hint="eastAsia"/>
                <w:sz w:val="21"/>
                <w:szCs w:val="21"/>
                <w:highlight w:val="none"/>
                <w:lang w:eastAsia="zh-CN"/>
              </w:rPr>
            </w:pPr>
            <w:r>
              <w:rPr>
                <w:rFonts w:hint="eastAsia"/>
                <w:sz w:val="21"/>
                <w:szCs w:val="21"/>
                <w:highlight w:val="none"/>
                <w:lang w:val="en-US" w:eastAsia="zh-CN"/>
              </w:rPr>
              <w:t>服务要求</w:t>
            </w:r>
          </w:p>
        </w:tc>
        <w:tc>
          <w:tcPr>
            <w:tcW w:w="5784" w:type="dxa"/>
            <w:tcBorders>
              <w:top w:val="single" w:color="auto" w:sz="4" w:space="0"/>
              <w:left w:val="single" w:color="auto" w:sz="4" w:space="0"/>
              <w:bottom w:val="single" w:color="auto" w:sz="4" w:space="0"/>
              <w:right w:val="single" w:color="auto" w:sz="4" w:space="0"/>
            </w:tcBorders>
            <w:vAlign w:val="center"/>
          </w:tcPr>
          <w:p w14:paraId="7DCB8D5F">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B7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8" w:type="dxa"/>
            <w:vMerge w:val="continue"/>
            <w:tcBorders>
              <w:left w:val="single" w:color="auto" w:sz="4" w:space="0"/>
              <w:right w:val="single" w:color="auto" w:sz="4" w:space="0"/>
            </w:tcBorders>
            <w:vAlign w:val="center"/>
          </w:tcPr>
          <w:p w14:paraId="345FBEA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D3F2B11">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1F5F5FB">
            <w:pPr>
              <w:spacing w:line="240" w:lineRule="auto"/>
              <w:jc w:val="center"/>
              <w:rPr>
                <w:sz w:val="21"/>
                <w:szCs w:val="21"/>
                <w:highlight w:val="none"/>
              </w:rPr>
            </w:pPr>
            <w:r>
              <w:rPr>
                <w:rFonts w:hint="eastAsia" w:ascii="宋体" w:hAnsi="宋体"/>
                <w:bCs/>
                <w:sz w:val="21"/>
                <w:szCs w:val="21"/>
                <w:highlight w:val="none"/>
              </w:rPr>
              <w:t>质量要求</w:t>
            </w:r>
          </w:p>
        </w:tc>
        <w:tc>
          <w:tcPr>
            <w:tcW w:w="5784" w:type="dxa"/>
            <w:tcBorders>
              <w:top w:val="single" w:color="auto" w:sz="4" w:space="0"/>
              <w:left w:val="single" w:color="auto" w:sz="4" w:space="0"/>
              <w:bottom w:val="single" w:color="auto" w:sz="4" w:space="0"/>
              <w:right w:val="single" w:color="auto" w:sz="4" w:space="0"/>
            </w:tcBorders>
            <w:vAlign w:val="center"/>
          </w:tcPr>
          <w:p w14:paraId="023E17C2">
            <w:pPr>
              <w:spacing w:line="240" w:lineRule="auto"/>
              <w:jc w:val="center"/>
              <w:rPr>
                <w:sz w:val="21"/>
                <w:szCs w:val="21"/>
                <w:highlight w:val="none"/>
              </w:rPr>
            </w:pPr>
            <w:r>
              <w:rPr>
                <w:rFonts w:hint="eastAsia"/>
                <w:sz w:val="21"/>
                <w:szCs w:val="21"/>
                <w:highlight w:val="none"/>
              </w:rPr>
              <w:t>符合投标人须知前附表的规定</w:t>
            </w:r>
          </w:p>
        </w:tc>
      </w:tr>
      <w:tr w14:paraId="63D0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8" w:type="dxa"/>
            <w:tcBorders>
              <w:left w:val="single" w:color="auto" w:sz="4" w:space="0"/>
              <w:right w:val="single" w:color="auto" w:sz="4" w:space="0"/>
            </w:tcBorders>
            <w:vAlign w:val="center"/>
          </w:tcPr>
          <w:p w14:paraId="3514790D">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条款号</w:t>
            </w:r>
          </w:p>
        </w:tc>
        <w:tc>
          <w:tcPr>
            <w:tcW w:w="1125" w:type="dxa"/>
            <w:tcBorders>
              <w:left w:val="single" w:color="auto" w:sz="4" w:space="0"/>
              <w:right w:val="single" w:color="auto" w:sz="4" w:space="0"/>
            </w:tcBorders>
            <w:vAlign w:val="center"/>
          </w:tcPr>
          <w:p w14:paraId="4CA69E7B">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条款内容</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E7DF9E7">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编列内容</w:t>
            </w:r>
          </w:p>
        </w:tc>
      </w:tr>
      <w:tr w14:paraId="64CC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33" w:type="dxa"/>
            <w:gridSpan w:val="2"/>
            <w:tcBorders>
              <w:left w:val="single" w:color="auto" w:sz="4" w:space="0"/>
              <w:right w:val="single" w:color="auto" w:sz="4" w:space="0"/>
            </w:tcBorders>
            <w:vAlign w:val="center"/>
          </w:tcPr>
          <w:p w14:paraId="4B3C516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2.2分值构成</w:t>
            </w:r>
          </w:p>
          <w:p w14:paraId="3B6CB13F">
            <w:pPr>
              <w:keepNext w:val="0"/>
              <w:keepLines w:val="0"/>
              <w:widowControl w:val="0"/>
              <w:suppressLineNumbers w:val="0"/>
              <w:spacing w:before="0" w:beforeAutospacing="0" w:after="0" w:afterAutospacing="0" w:line="240" w:lineRule="auto"/>
              <w:ind w:left="0" w:leftChars="0" w:right="0" w:rightChars="0"/>
              <w:jc w:val="center"/>
              <w:rPr>
                <w:sz w:val="21"/>
                <w:szCs w:val="21"/>
                <w:highlight w:val="non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总分</w:t>
            </w:r>
            <w:r>
              <w:rPr>
                <w:rFonts w:hint="eastAsia" w:ascii="宋体" w:hAnsi="宋体" w:eastAsia="宋体" w:cs="宋体"/>
                <w:color w:val="auto"/>
                <w:highlight w:val="none"/>
                <w:lang w:val="en-US"/>
              </w:rPr>
              <w:t>100</w:t>
            </w:r>
            <w:r>
              <w:rPr>
                <w:rFonts w:hint="eastAsia" w:ascii="宋体" w:hAnsi="宋体" w:eastAsia="宋体" w:cs="宋体"/>
                <w:color w:val="auto"/>
                <w:highlight w:val="none"/>
              </w:rPr>
              <w:t>分</w:t>
            </w:r>
            <w:r>
              <w:rPr>
                <w:rFonts w:hint="eastAsia" w:ascii="宋体" w:hAnsi="宋体" w:eastAsia="宋体" w:cs="宋体"/>
                <w:color w:val="auto"/>
                <w:highlight w:val="none"/>
                <w:lang w:val="en-US"/>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1DF8860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投标报价：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15</w:t>
            </w:r>
            <w:r>
              <w:rPr>
                <w:rFonts w:hint="eastAsia" w:ascii="宋体" w:hAnsi="宋体" w:eastAsia="宋体" w:cs="宋体"/>
                <w:color w:val="auto"/>
                <w:kern w:val="2"/>
                <w:sz w:val="21"/>
                <w:szCs w:val="21"/>
                <w:highlight w:val="none"/>
                <w:lang w:val="en-US" w:eastAsia="zh-CN" w:bidi="ar"/>
              </w:rPr>
              <w:t>分</w:t>
            </w:r>
          </w:p>
          <w:p w14:paraId="61E1C52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综合部分：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35</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分</w:t>
            </w:r>
          </w:p>
          <w:p w14:paraId="17E34235">
            <w:pPr>
              <w:keepNext w:val="0"/>
              <w:keepLines w:val="0"/>
              <w:widowControl w:val="0"/>
              <w:suppressLineNumbers w:val="0"/>
              <w:spacing w:before="0" w:beforeAutospacing="0" w:after="0" w:afterAutospacing="0" w:line="240" w:lineRule="auto"/>
              <w:ind w:left="0" w:leftChars="0" w:right="0" w:rightChars="0"/>
              <w:jc w:val="left"/>
              <w:rPr>
                <w:rFonts w:hint="eastAsia"/>
                <w:sz w:val="21"/>
                <w:szCs w:val="21"/>
                <w:highlight w:val="none"/>
              </w:rPr>
            </w:pPr>
            <w:r>
              <w:rPr>
                <w:rFonts w:hint="eastAsia" w:ascii="宋体" w:hAnsi="宋体" w:eastAsia="宋体" w:cs="宋体"/>
                <w:color w:val="auto"/>
                <w:highlight w:val="none"/>
              </w:rPr>
              <w:t>技术部分：</w:t>
            </w:r>
            <w:r>
              <w:rPr>
                <w:rFonts w:hint="eastAsia" w:ascii="宋体" w:hAnsi="宋体" w:eastAsia="宋体" w:cs="宋体"/>
                <w:color w:val="auto"/>
                <w:highlight w:val="none"/>
                <w:u w:val="single"/>
                <w:lang w:val="en-US"/>
              </w:rPr>
              <w:t xml:space="preserve"> </w:t>
            </w:r>
            <w:r>
              <w:rPr>
                <w:rFonts w:hint="eastAsia" w:ascii="宋体" w:hAnsi="宋体" w:cs="宋体"/>
                <w:color w:val="auto"/>
                <w:highlight w:val="none"/>
                <w:u w:val="single"/>
                <w:lang w:val="en-US" w:eastAsia="zh-CN"/>
              </w:rPr>
              <w:t>50</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分</w:t>
            </w:r>
          </w:p>
        </w:tc>
      </w:tr>
      <w:tr w14:paraId="4049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08" w:type="dxa"/>
            <w:tcBorders>
              <w:left w:val="single" w:color="auto" w:sz="4" w:space="0"/>
              <w:right w:val="single" w:color="auto" w:sz="4" w:space="0"/>
            </w:tcBorders>
            <w:vAlign w:val="center"/>
          </w:tcPr>
          <w:p w14:paraId="41888F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（一）</w:t>
            </w:r>
          </w:p>
          <w:p w14:paraId="6091C8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投标</w:t>
            </w:r>
          </w:p>
          <w:p w14:paraId="38609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报价</w:t>
            </w:r>
          </w:p>
          <w:p w14:paraId="7F928E4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1125" w:type="dxa"/>
            <w:tcBorders>
              <w:left w:val="single" w:color="auto" w:sz="4" w:space="0"/>
              <w:right w:val="single" w:color="auto" w:sz="4" w:space="0"/>
            </w:tcBorders>
            <w:vAlign w:val="center"/>
          </w:tcPr>
          <w:p w14:paraId="0F35D53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报价</w:t>
            </w:r>
          </w:p>
          <w:p w14:paraId="4059BF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计分</w:t>
            </w:r>
          </w:p>
          <w:p w14:paraId="0E1C457A">
            <w:pPr>
              <w:pStyle w:val="26"/>
              <w:keepNext w:val="0"/>
              <w:keepLines w:val="0"/>
              <w:widowControl w:val="0"/>
              <w:suppressLineNumbers w:val="0"/>
              <w:autoSpaceDE w:val="0"/>
              <w:autoSpaceDN w:val="0"/>
              <w:adjustRightInd w:val="0"/>
              <w:spacing w:before="0" w:beforeAutospacing="0" w:after="0" w:afterAutospacing="0"/>
              <w:ind w:left="0" w:leftChars="0" w:right="0" w:rightChars="0"/>
              <w:jc w:val="center"/>
              <w:rPr>
                <w:sz w:val="21"/>
                <w:szCs w:val="21"/>
                <w:highlight w:val="none"/>
              </w:rPr>
            </w:pPr>
            <w:r>
              <w:rPr>
                <w:rFonts w:hint="default" w:hAnsi="宋体"/>
                <w:color w:val="auto"/>
                <w:kern w:val="2"/>
                <w:sz w:val="21"/>
                <w:szCs w:val="22"/>
                <w:highlight w:val="none"/>
              </w:rPr>
              <w:t>（</w:t>
            </w:r>
            <w:r>
              <w:rPr>
                <w:rFonts w:hint="eastAsia"/>
                <w:color w:val="auto"/>
                <w:kern w:val="2"/>
                <w:sz w:val="21"/>
                <w:szCs w:val="22"/>
                <w:highlight w:val="none"/>
                <w:lang w:val="en-US" w:eastAsia="zh-CN"/>
              </w:rPr>
              <w:t>15</w:t>
            </w:r>
            <w:r>
              <w:rPr>
                <w:rFonts w:hint="default" w:hAnsi="宋体"/>
                <w:color w:val="auto"/>
                <w:kern w:val="2"/>
                <w:sz w:val="21"/>
                <w:szCs w:val="22"/>
                <w:highlight w:val="none"/>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4434D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1、评标基准值的确定：</w:t>
            </w:r>
          </w:p>
          <w:p w14:paraId="3442A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报价评分采用低价优先法，但不确保最低价中标，即满足招标文件要求且投标价格最低的投标报价为评标基准价，其价格分为满分。</w:t>
            </w:r>
          </w:p>
          <w:p w14:paraId="6A707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其他</w:t>
            </w:r>
            <w:r>
              <w:rPr>
                <w:rFonts w:hint="eastAsia"/>
                <w:highlight w:val="none"/>
                <w:lang w:eastAsia="zh-CN"/>
              </w:rPr>
              <w:t>投标人</w:t>
            </w:r>
            <w:r>
              <w:rPr>
                <w:rFonts w:hint="eastAsia"/>
                <w:highlight w:val="none"/>
              </w:rPr>
              <w:t>的价格分统一按照下列公示计算：</w:t>
            </w:r>
          </w:p>
          <w:p w14:paraId="6EA56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lang w:val="en-US"/>
              </w:rPr>
            </w:pPr>
            <w:r>
              <w:rPr>
                <w:rFonts w:hint="eastAsia"/>
                <w:highlight w:val="none"/>
              </w:rPr>
              <w:t>投标报价得分=（评标基准价/投标报价）×</w:t>
            </w:r>
            <w:r>
              <w:rPr>
                <w:rFonts w:hint="eastAsia"/>
                <w:highlight w:val="none"/>
                <w:lang w:val="en-US" w:eastAsia="zh-CN"/>
              </w:rPr>
              <w:t>15</w:t>
            </w:r>
          </w:p>
          <w:p w14:paraId="7F72D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2、报价得分数值精度为小数点后二位（四舍五入）。</w:t>
            </w:r>
          </w:p>
          <w:p w14:paraId="695A735F">
            <w:pPr>
              <w:keepNext w:val="0"/>
              <w:keepLines w:val="0"/>
              <w:pageBreakBefore w:val="0"/>
              <w:widowControl w:val="0"/>
              <w:numPr>
                <w:ilvl w:val="0"/>
                <w:numId w:val="0"/>
              </w:numPr>
              <w:kinsoku/>
              <w:wordWrap/>
              <w:overflowPunct/>
              <w:topLinePunct w:val="0"/>
              <w:bidi w:val="0"/>
              <w:snapToGrid/>
              <w:spacing w:line="240" w:lineRule="auto"/>
              <w:textAlignment w:val="auto"/>
              <w:outlineLvl w:val="9"/>
              <w:rPr>
                <w:rFonts w:hint="eastAsia" w:eastAsia="宋体"/>
                <w:highlight w:val="none"/>
                <w:lang w:val="en-US" w:eastAsia="zh-CN"/>
              </w:rPr>
            </w:pPr>
            <w:r>
              <w:rPr>
                <w:rFonts w:hint="eastAsia"/>
                <w:highlight w:val="none"/>
                <w:lang w:val="en-US" w:eastAsia="zh-CN"/>
              </w:rPr>
              <w:t>3、投标人</w:t>
            </w:r>
            <w:r>
              <w:rPr>
                <w:rFonts w:hint="eastAsia"/>
                <w:highlight w:val="none"/>
              </w:rPr>
              <w:t>符合小微企业、监狱企业、残疾人福利性单位政策扶持规定的，按本节规定进</w:t>
            </w:r>
            <w:r>
              <w:rPr>
                <w:rFonts w:hint="eastAsia"/>
                <w:highlight w:val="none"/>
                <w:lang w:eastAsia="zh-CN"/>
              </w:rPr>
              <w:t>行</w:t>
            </w:r>
            <w:r>
              <w:rPr>
                <w:rFonts w:hint="eastAsia"/>
                <w:highlight w:val="none"/>
                <w:lang w:val="en-US" w:eastAsia="zh-CN"/>
              </w:rPr>
              <w:t>20</w:t>
            </w:r>
            <w:r>
              <w:rPr>
                <w:rFonts w:hint="eastAsia"/>
                <w:highlight w:val="none"/>
              </w:rPr>
              <w:t>%的价格扣除，用扣除后的价格参与</w:t>
            </w:r>
            <w:r>
              <w:rPr>
                <w:rFonts w:hint="eastAsia"/>
                <w:highlight w:val="none"/>
                <w:lang w:eastAsia="zh-CN"/>
              </w:rPr>
              <w:t>投标</w:t>
            </w:r>
            <w:r>
              <w:rPr>
                <w:rFonts w:hint="eastAsia"/>
                <w:highlight w:val="none"/>
              </w:rPr>
              <w:t>报价评审。</w:t>
            </w:r>
          </w:p>
          <w:p w14:paraId="51ED379D">
            <w:pPr>
              <w:keepNext w:val="0"/>
              <w:keepLines w:val="0"/>
              <w:widowControl w:val="0"/>
              <w:suppressLineNumbers w:val="0"/>
              <w:spacing w:before="0" w:beforeAutospacing="0" w:after="0" w:afterAutospacing="0" w:line="240" w:lineRule="auto"/>
              <w:ind w:left="0" w:leftChars="0" w:right="0" w:rightChars="0"/>
              <w:jc w:val="both"/>
              <w:rPr>
                <w:rFonts w:hint="eastAsia"/>
                <w:sz w:val="21"/>
                <w:szCs w:val="21"/>
                <w:highlight w:val="none"/>
              </w:rPr>
            </w:pPr>
            <w:r>
              <w:rPr>
                <w:rFonts w:hint="eastAsia"/>
                <w:highlight w:val="none"/>
              </w:rPr>
              <w:t>注：如评标委员会一致认为投标报价明显低于成本价，评标委员会有权通知</w:t>
            </w:r>
            <w:r>
              <w:rPr>
                <w:rFonts w:hint="eastAsia"/>
                <w:highlight w:val="none"/>
                <w:lang w:eastAsia="zh-CN"/>
              </w:rPr>
              <w:t>投标人</w:t>
            </w:r>
            <w:r>
              <w:rPr>
                <w:rFonts w:hint="eastAsia"/>
                <w:highlight w:val="none"/>
              </w:rPr>
              <w:t>进行解释。如</w:t>
            </w:r>
            <w:r>
              <w:rPr>
                <w:rFonts w:hint="eastAsia"/>
                <w:highlight w:val="none"/>
                <w:lang w:eastAsia="zh-CN"/>
              </w:rPr>
              <w:t>投标人</w:t>
            </w:r>
            <w:r>
              <w:rPr>
                <w:rFonts w:hint="eastAsia"/>
                <w:highlight w:val="none"/>
              </w:rPr>
              <w:t>未能在规定期限内作出解释，或所作解释不合理，经评标委员会取得一致意见后，其投标按无效处理。</w:t>
            </w:r>
          </w:p>
        </w:tc>
      </w:tr>
      <w:tr w14:paraId="2FC4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8" w:type="dxa"/>
            <w:vMerge w:val="restart"/>
            <w:tcBorders>
              <w:left w:val="single" w:color="auto" w:sz="4" w:space="0"/>
              <w:right w:val="single" w:color="auto" w:sz="4" w:space="0"/>
            </w:tcBorders>
            <w:vAlign w:val="center"/>
          </w:tcPr>
          <w:p w14:paraId="2A3C6A74">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（二）</w:t>
            </w:r>
          </w:p>
          <w:p w14:paraId="25C4977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综合</w:t>
            </w:r>
          </w:p>
          <w:p w14:paraId="0CE7693E">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部分</w:t>
            </w:r>
          </w:p>
          <w:p w14:paraId="2996EE2D">
            <w:pPr>
              <w:widowControl/>
              <w:spacing w:line="360" w:lineRule="auto"/>
              <w:jc w:val="center"/>
              <w:rPr>
                <w:sz w:val="21"/>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1125" w:type="dxa"/>
            <w:tcBorders>
              <w:left w:val="single" w:color="auto" w:sz="4" w:space="0"/>
              <w:right w:val="single" w:color="auto" w:sz="4" w:space="0"/>
            </w:tcBorders>
            <w:vAlign w:val="center"/>
          </w:tcPr>
          <w:p w14:paraId="376E9933">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ascii="宋体" w:hAnsi="宋体" w:eastAsia="宋体" w:cs="宋体"/>
                <w:kern w:val="1"/>
                <w:szCs w:val="21"/>
                <w:highlight w:val="none"/>
                <w:lang w:val="zh-CN" w:eastAsia="zh-CN"/>
              </w:rPr>
            </w:pPr>
            <w:r>
              <w:rPr>
                <w:rFonts w:hint="eastAsia" w:ascii="宋体" w:hAnsi="宋体" w:eastAsia="宋体" w:cs="宋体"/>
                <w:kern w:val="1"/>
                <w:szCs w:val="21"/>
                <w:highlight w:val="none"/>
                <w:lang w:val="zh-CN" w:eastAsia="zh-CN"/>
              </w:rPr>
              <w:t>业绩</w:t>
            </w:r>
          </w:p>
          <w:p w14:paraId="3A260CE6">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eastAsia="宋体"/>
                <w:sz w:val="2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r>
              <w:rPr>
                <w:rFonts w:hint="eastAsia" w:ascii="宋体" w:hAnsi="宋体" w:eastAsia="宋体" w:cs="宋体"/>
                <w:kern w:val="1"/>
                <w:szCs w:val="21"/>
                <w:highlight w:val="none"/>
                <w:lang w:eastAsia="zh-CN"/>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9772392">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left"/>
              <w:rPr>
                <w:rFonts w:hint="eastAsia"/>
                <w:sz w:val="21"/>
                <w:szCs w:val="21"/>
                <w:highlight w:val="none"/>
              </w:rPr>
            </w:pPr>
            <w:r>
              <w:rPr>
                <w:rFonts w:hint="eastAsia" w:ascii="宋体" w:hAnsi="宋体" w:cs="宋体"/>
                <w:kern w:val="1"/>
                <w:szCs w:val="21"/>
                <w:highlight w:val="none"/>
              </w:rPr>
              <w:t>20</w:t>
            </w:r>
            <w:r>
              <w:rPr>
                <w:rFonts w:hint="eastAsia" w:ascii="宋体" w:hAnsi="宋体" w:cs="宋体"/>
                <w:kern w:val="1"/>
                <w:szCs w:val="21"/>
                <w:highlight w:val="none"/>
                <w:lang w:val="en-US" w:eastAsia="zh-CN"/>
              </w:rPr>
              <w:t>21</w:t>
            </w:r>
            <w:r>
              <w:rPr>
                <w:rFonts w:hint="eastAsia" w:ascii="宋体" w:hAnsi="宋体" w:cs="宋体"/>
                <w:kern w:val="1"/>
                <w:szCs w:val="21"/>
                <w:highlight w:val="none"/>
              </w:rPr>
              <w:t>年1月</w:t>
            </w:r>
            <w:r>
              <w:rPr>
                <w:rFonts w:hint="eastAsia" w:ascii="宋体" w:hAnsi="宋体" w:cs="宋体"/>
                <w:kern w:val="1"/>
                <w:szCs w:val="21"/>
                <w:highlight w:val="none"/>
                <w:lang w:val="en-US" w:eastAsia="zh-CN"/>
              </w:rPr>
              <w:t>1日</w:t>
            </w:r>
            <w:r>
              <w:rPr>
                <w:rFonts w:hint="eastAsia" w:ascii="宋体" w:hAnsi="宋体" w:cs="宋体"/>
                <w:kern w:val="1"/>
                <w:szCs w:val="21"/>
                <w:highlight w:val="none"/>
              </w:rPr>
              <w:t>以来签订类</w:t>
            </w:r>
            <w:r>
              <w:rPr>
                <w:rFonts w:hint="eastAsia" w:ascii="宋体" w:hAnsi="宋体" w:cs="宋体"/>
                <w:kern w:val="1"/>
                <w:szCs w:val="21"/>
                <w:highlight w:val="none"/>
                <w:lang w:val="en-US" w:eastAsia="zh-CN"/>
              </w:rPr>
              <w:t>似规划</w:t>
            </w:r>
            <w:r>
              <w:rPr>
                <w:rFonts w:hint="eastAsia" w:ascii="宋体" w:hAnsi="宋体" w:cs="宋体"/>
                <w:kern w:val="1"/>
                <w:szCs w:val="21"/>
                <w:highlight w:val="none"/>
                <w:lang w:eastAsia="zh-CN"/>
              </w:rPr>
              <w:t>项目</w:t>
            </w:r>
            <w:r>
              <w:rPr>
                <w:rFonts w:hint="eastAsia" w:ascii="宋体" w:hAnsi="宋体" w:cs="宋体"/>
                <w:kern w:val="1"/>
                <w:szCs w:val="21"/>
                <w:highlight w:val="none"/>
              </w:rPr>
              <w:t>业绩的，</w:t>
            </w:r>
            <w:r>
              <w:rPr>
                <w:rFonts w:hint="eastAsia" w:ascii="宋体" w:hAnsi="宋体" w:cs="宋体"/>
                <w:kern w:val="1"/>
                <w:szCs w:val="21"/>
                <w:highlight w:val="none"/>
                <w:lang w:val="en-US" w:eastAsia="zh-CN"/>
              </w:rPr>
              <w:t>县（区）级每有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乡（镇）级每有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村级每有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项得0.5分，最多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此项</w:t>
            </w:r>
            <w:r>
              <w:rPr>
                <w:rFonts w:hint="eastAsia" w:ascii="宋体" w:hAnsi="宋体" w:cs="宋体"/>
                <w:kern w:val="1"/>
                <w:szCs w:val="21"/>
                <w:highlight w:val="none"/>
              </w:rPr>
              <w:t>最</w:t>
            </w:r>
            <w:r>
              <w:rPr>
                <w:rFonts w:hint="eastAsia" w:ascii="宋体" w:hAnsi="宋体" w:cs="宋体"/>
                <w:kern w:val="1"/>
                <w:szCs w:val="21"/>
                <w:highlight w:val="none"/>
                <w:lang w:val="en-US" w:eastAsia="zh-CN"/>
              </w:rPr>
              <w:t>高</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r>
              <w:rPr>
                <w:rFonts w:hint="eastAsia" w:ascii="宋体" w:hAnsi="宋体" w:cs="宋体"/>
                <w:kern w:val="1"/>
                <w:szCs w:val="21"/>
                <w:highlight w:val="none"/>
                <w:lang w:eastAsia="zh-CN"/>
              </w:rPr>
              <w:t>投标人</w:t>
            </w:r>
            <w:r>
              <w:rPr>
                <w:rFonts w:hint="eastAsia" w:ascii="宋体" w:hAnsi="宋体" w:cs="宋体"/>
                <w:kern w:val="1"/>
                <w:szCs w:val="21"/>
                <w:highlight w:val="none"/>
              </w:rPr>
              <w:t>必须在</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文件中附合同</w:t>
            </w:r>
            <w:r>
              <w:rPr>
                <w:rFonts w:hint="eastAsia" w:ascii="宋体" w:hAnsi="宋体" w:cs="宋体"/>
                <w:kern w:val="1"/>
                <w:szCs w:val="21"/>
                <w:highlight w:val="none"/>
                <w:lang w:val="en-US" w:eastAsia="zh-CN"/>
              </w:rPr>
              <w:t>和中标通知书</w:t>
            </w:r>
            <w:r>
              <w:rPr>
                <w:rFonts w:hint="eastAsia" w:ascii="宋体" w:hAnsi="宋体" w:cs="宋体"/>
                <w:kern w:val="1"/>
                <w:szCs w:val="21"/>
                <w:highlight w:val="none"/>
              </w:rPr>
              <w:t>扫描件，评标时以电子</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文件里面扫描件为准，否则不得分。</w:t>
            </w:r>
          </w:p>
        </w:tc>
      </w:tr>
      <w:tr w14:paraId="39E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7321823D">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6162BD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公司实力</w:t>
            </w:r>
          </w:p>
          <w:p w14:paraId="72126D5C">
            <w:pPr>
              <w:keepNext w:val="0"/>
              <w:keepLines w:val="0"/>
              <w:widowControl w:val="0"/>
              <w:suppressLineNumbers w:val="0"/>
              <w:spacing w:before="0" w:beforeAutospacing="0" w:after="0" w:afterAutospacing="0"/>
              <w:ind w:left="0" w:right="0"/>
              <w:jc w:val="center"/>
              <w:rPr>
                <w:sz w:val="21"/>
                <w:szCs w:val="21"/>
                <w:highlight w:val="none"/>
              </w:rPr>
            </w:pPr>
            <w:r>
              <w:rPr>
                <w:rFonts w:hint="eastAsia" w:ascii="宋体" w:hAnsi="宋体" w:eastAsia="宋体" w:cs="宋体"/>
                <w:color w:val="auto"/>
                <w:kern w:val="2"/>
                <w:sz w:val="21"/>
                <w:szCs w:val="22"/>
                <w:highlight w:val="none"/>
                <w:lang w:val="en-US" w:eastAsia="zh-CN" w:bidi="ar"/>
              </w:rPr>
              <w:t>（2</w:t>
            </w:r>
            <w:r>
              <w:rPr>
                <w:rFonts w:hint="eastAsia" w:ascii="宋体" w:hAnsi="宋体" w:cs="宋体"/>
                <w:color w:val="auto"/>
                <w:kern w:val="2"/>
                <w:sz w:val="21"/>
                <w:szCs w:val="22"/>
                <w:highlight w:val="none"/>
                <w:lang w:val="en-US" w:eastAsia="zh-CN" w:bidi="ar"/>
              </w:rPr>
              <w:t>4</w:t>
            </w:r>
            <w:r>
              <w:rPr>
                <w:rFonts w:hint="eastAsia" w:ascii="宋体" w:hAnsi="宋体" w:eastAsia="宋体" w:cs="宋体"/>
                <w:color w:val="auto"/>
                <w:kern w:val="2"/>
                <w:sz w:val="21"/>
                <w:szCs w:val="22"/>
                <w:highlight w:val="none"/>
                <w:lang w:val="en-US" w:eastAsia="zh-CN" w:bidi="ar"/>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61F9DB3">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 xml:space="preserve">1、项目团队除项目负责人外的其他技术人员，每拟派一名城乡规划类或者土地规划类高级工程师的得 2分，最高得 6分； </w:t>
            </w:r>
          </w:p>
          <w:p w14:paraId="0B2787FC">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2、每拟派一名土地规划类或者城乡规划类工程师（或者注册规划师）的得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 xml:space="preserve"> 分，最高得</w:t>
            </w:r>
            <w:r>
              <w:rPr>
                <w:rFonts w:hint="eastAsia" w:ascii="宋体" w:hAnsi="宋体" w:cs="宋体"/>
                <w:kern w:val="1"/>
                <w:szCs w:val="21"/>
                <w:highlight w:val="none"/>
                <w:lang w:val="en-US" w:eastAsia="zh-CN"/>
              </w:rPr>
              <w:t>8</w:t>
            </w:r>
            <w:r>
              <w:rPr>
                <w:rFonts w:hint="eastAsia" w:ascii="宋体" w:hAnsi="宋体" w:cs="宋体"/>
                <w:kern w:val="1"/>
                <w:szCs w:val="21"/>
                <w:highlight w:val="none"/>
              </w:rPr>
              <w:t>分；</w:t>
            </w:r>
          </w:p>
          <w:p w14:paraId="14A67C92">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3、除上述人员以外，项目团队中可选择性配备其他专业技术人员。根据项目团队专业配备齐全程度打分，其中：项目团队专业配套齐全（高级职称人员3名以上，项目组人员8人以上），得</w:t>
            </w:r>
            <w:r>
              <w:rPr>
                <w:rFonts w:hint="eastAsia" w:ascii="宋体" w:hAnsi="宋体" w:cs="宋体"/>
                <w:kern w:val="1"/>
                <w:szCs w:val="21"/>
                <w:highlight w:val="none"/>
                <w:lang w:val="en-US" w:eastAsia="zh-CN"/>
              </w:rPr>
              <w:t>7</w:t>
            </w:r>
            <w:r>
              <w:rPr>
                <w:rFonts w:hint="eastAsia" w:ascii="宋体" w:hAnsi="宋体" w:cs="宋体"/>
                <w:kern w:val="1"/>
                <w:szCs w:val="21"/>
                <w:highlight w:val="none"/>
              </w:rPr>
              <w:t>分；项目团队专业配套基本合理的（高级职称人员2名以上，项目组人员4人以上），得4分；项目团队专业配套不健全的（项目组人员低于4人的：3人得3分；2人得2分；1人得1分；没有不得分），得0～3分。</w:t>
            </w:r>
          </w:p>
          <w:p w14:paraId="53C4CB06">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right="21" w:rightChars="10"/>
              <w:jc w:val="left"/>
              <w:textAlignment w:val="auto"/>
              <w:rPr>
                <w:rFonts w:hint="eastAsia"/>
                <w:color w:val="auto"/>
                <w:highlight w:val="none"/>
              </w:rPr>
            </w:pPr>
            <w:r>
              <w:rPr>
                <w:rFonts w:hint="eastAsia" w:eastAsia="宋体" w:cs="Times New Roman"/>
                <w:highlight w:val="none"/>
                <w:lang w:val="en-US" w:eastAsia="zh-CN"/>
              </w:rPr>
              <w:t>4、</w:t>
            </w:r>
            <w:r>
              <w:rPr>
                <w:rFonts w:hint="eastAsia"/>
                <w:color w:val="auto"/>
                <w:highlight w:val="none"/>
              </w:rPr>
              <w:t>投标人具有 AAA 信用等级证书的得3分，AA级的得2分，A级的1分。</w:t>
            </w:r>
          </w:p>
          <w:p w14:paraId="37D8ED9F">
            <w:pPr>
              <w:keepNext w:val="0"/>
              <w:keepLines w:val="0"/>
              <w:pageBreakBefore w:val="0"/>
              <w:widowControl w:val="0"/>
              <w:suppressLineNumbers w:val="0"/>
              <w:kinsoku/>
              <w:wordWrap/>
              <w:overflowPunct/>
              <w:topLinePunct w:val="0"/>
              <w:autoSpaceDE/>
              <w:autoSpaceDN/>
              <w:bidi w:val="0"/>
              <w:adjustRightInd w:val="0"/>
              <w:snapToGrid w:val="0"/>
              <w:spacing w:before="24" w:beforeLines="10" w:beforeAutospacing="0" w:after="24" w:afterLines="10" w:afterAutospacing="0" w:line="340" w:lineRule="exact"/>
              <w:ind w:right="21" w:rightChars="10"/>
              <w:jc w:val="left"/>
              <w:textAlignment w:val="auto"/>
              <w:rPr>
                <w:rFonts w:hint="eastAsia"/>
                <w:highlight w:val="none"/>
                <w:lang w:val="en-US" w:eastAsia="zh-CN"/>
              </w:rPr>
            </w:pPr>
            <w:r>
              <w:rPr>
                <w:rFonts w:hint="eastAsia"/>
                <w:highlight w:val="none"/>
                <w:lang w:val="en-US" w:eastAsia="zh-CN"/>
              </w:rPr>
              <w:t>注：以上人员可重复</w:t>
            </w:r>
            <w:r>
              <w:rPr>
                <w:rFonts w:hint="eastAsia" w:eastAsia="宋体" w:cs="Times New Roman"/>
                <w:highlight w:val="none"/>
                <w:lang w:val="en-US" w:eastAsia="zh-CN"/>
              </w:rPr>
              <w:t>（投标文件中附相关证书、劳动合同扫描件及</w:t>
            </w:r>
            <w:r>
              <w:rPr>
                <w:rFonts w:hint="eastAsia" w:ascii="宋体" w:hAnsi="宋体" w:eastAsia="宋体" w:cs="Times New Roman"/>
                <w:sz w:val="21"/>
                <w:szCs w:val="21"/>
                <w:highlight w:val="none"/>
                <w:lang w:val="en-US" w:eastAsia="zh-CN"/>
              </w:rPr>
              <w:t>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社保缴纳证明，若为退休人员返聘人员需提供退休证明及劳务合同</w:t>
            </w:r>
            <w:r>
              <w:rPr>
                <w:rFonts w:hint="eastAsia" w:eastAsia="宋体" w:cs="Times New Roman"/>
                <w:highlight w:val="none"/>
                <w:lang w:val="en-US" w:eastAsia="zh-CN"/>
              </w:rPr>
              <w:t>，评标时以电子投标文件里面扫描件为准，否则不得分。）</w:t>
            </w:r>
          </w:p>
        </w:tc>
      </w:tr>
      <w:tr w14:paraId="1DB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30859C48">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4DED6F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服务承诺</w:t>
            </w:r>
          </w:p>
          <w:p w14:paraId="311CCC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（5 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C1B8031">
            <w:pPr>
              <w:keepNext w:val="0"/>
              <w:keepLines w:val="0"/>
              <w:widowControl/>
              <w:suppressLineNumbers w:val="0"/>
              <w:spacing w:line="36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投标人针对本项目的后期服务配合计划至少包括服务方案、人员安排、响应时间、服务方式、服务内容等完备、可行性强的，得5分；</w:t>
            </w:r>
          </w:p>
          <w:p w14:paraId="540B9C95">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②投标人针对本项目的后期服务配合计划至少包括服务方案、人员安排、响应时间、服务方式、服务内容等</w:t>
            </w:r>
            <w:r>
              <w:rPr>
                <w:rFonts w:hint="eastAsia"/>
                <w:b w:val="0"/>
                <w:bCs w:val="0"/>
                <w:highlight w:val="none"/>
              </w:rPr>
              <w:t>合理、基本可行</w:t>
            </w:r>
            <w:r>
              <w:rPr>
                <w:rFonts w:hint="eastAsia" w:ascii="宋体" w:hAnsi="宋体" w:eastAsia="宋体" w:cs="宋体"/>
                <w:kern w:val="1"/>
                <w:szCs w:val="21"/>
                <w:highlight w:val="none"/>
                <w:lang w:val="en-US" w:eastAsia="zh-CN"/>
              </w:rPr>
              <w:t>的，得3分；</w:t>
            </w:r>
          </w:p>
          <w:p w14:paraId="2F309879">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101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Merge w:val="restart"/>
            <w:tcBorders>
              <w:left w:val="single" w:color="auto" w:sz="4" w:space="0"/>
              <w:right w:val="single" w:color="auto" w:sz="4" w:space="0"/>
            </w:tcBorders>
            <w:vAlign w:val="center"/>
          </w:tcPr>
          <w:p w14:paraId="72E7A1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p>
          <w:p w14:paraId="43704E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70F101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0BE8E8C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281FB4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128C9C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（三）</w:t>
            </w:r>
          </w:p>
          <w:p w14:paraId="5890416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技术</w:t>
            </w:r>
          </w:p>
          <w:p w14:paraId="12F6BF69">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部分</w:t>
            </w:r>
          </w:p>
          <w:p w14:paraId="261A1F2B">
            <w:pPr>
              <w:widowControl/>
              <w:spacing w:line="360" w:lineRule="auto"/>
              <w:jc w:val="center"/>
              <w:rPr>
                <w:sz w:val="21"/>
                <w:szCs w:val="21"/>
                <w:highlight w:val="none"/>
              </w:rPr>
            </w:pPr>
            <w:r>
              <w:rPr>
                <w:rFonts w:hint="eastAsia" w:ascii="宋体" w:hAnsi="宋体" w:cs="宋体"/>
                <w:color w:val="auto"/>
                <w:highlight w:val="none"/>
                <w:lang w:val="en-US" w:eastAsia="zh-CN"/>
              </w:rPr>
              <w:t>50</w:t>
            </w:r>
            <w:r>
              <w:rPr>
                <w:rFonts w:hint="eastAsia" w:ascii="宋体" w:hAnsi="宋体" w:eastAsia="宋体" w:cs="宋体"/>
                <w:color w:val="auto"/>
                <w:highlight w:val="none"/>
              </w:rPr>
              <w:t>分</w:t>
            </w:r>
          </w:p>
        </w:tc>
        <w:tc>
          <w:tcPr>
            <w:tcW w:w="1125" w:type="dxa"/>
            <w:vMerge w:val="restart"/>
            <w:tcBorders>
              <w:left w:val="single" w:color="auto" w:sz="4" w:space="0"/>
              <w:right w:val="single" w:color="auto" w:sz="4" w:space="0"/>
            </w:tcBorders>
            <w:vAlign w:val="center"/>
          </w:tcPr>
          <w:p w14:paraId="335157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60321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D691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0836EF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F9ECF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90F8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技术方案（</w:t>
            </w:r>
            <w:r>
              <w:rPr>
                <w:rFonts w:hint="eastAsia" w:ascii="宋体" w:hAnsi="宋体" w:cs="宋体"/>
                <w:color w:val="auto"/>
                <w:kern w:val="2"/>
                <w:sz w:val="21"/>
                <w:szCs w:val="22"/>
                <w:highlight w:val="none"/>
                <w:lang w:val="en-US" w:eastAsia="zh-CN" w:bidi="ar"/>
              </w:rPr>
              <w:t>50</w:t>
            </w:r>
            <w:r>
              <w:rPr>
                <w:rFonts w:hint="eastAsia" w:ascii="宋体" w:hAnsi="宋体" w:eastAsia="宋体" w:cs="宋体"/>
                <w:color w:val="auto"/>
                <w:kern w:val="2"/>
                <w:sz w:val="21"/>
                <w:szCs w:val="22"/>
                <w:highlight w:val="none"/>
                <w:lang w:val="en-US" w:eastAsia="zh-CN" w:bidi="ar"/>
              </w:rPr>
              <w:t>分）</w:t>
            </w:r>
          </w:p>
        </w:tc>
        <w:tc>
          <w:tcPr>
            <w:tcW w:w="2025" w:type="dxa"/>
            <w:tcBorders>
              <w:top w:val="single" w:color="auto" w:sz="4" w:space="0"/>
              <w:left w:val="single" w:color="auto" w:sz="4" w:space="0"/>
              <w:bottom w:val="single" w:color="auto" w:sz="4" w:space="0"/>
              <w:right w:val="single" w:color="auto" w:sz="4" w:space="0"/>
            </w:tcBorders>
            <w:vAlign w:val="center"/>
          </w:tcPr>
          <w:p w14:paraId="144F559A">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规划背景及和对规划政策、规划导则的理解</w:t>
            </w:r>
          </w:p>
          <w:p w14:paraId="5B9FBA4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729AC77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①</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内容全面、详尽、方案</w:t>
            </w:r>
            <w:r>
              <w:rPr>
                <w:rFonts w:hint="eastAsia" w:ascii="Times New Roman" w:hAnsi="Times New Roman"/>
                <w:szCs w:val="21"/>
                <w:highlight w:val="none"/>
              </w:rPr>
              <w:t>科学合理、</w:t>
            </w:r>
            <w:r>
              <w:rPr>
                <w:rFonts w:hint="eastAsia" w:ascii="宋体" w:hAnsi="宋体"/>
                <w:szCs w:val="21"/>
                <w:highlight w:val="none"/>
              </w:rPr>
              <w:t>针对性强</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p>
          <w:p w14:paraId="5F906D32">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②</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内容全面、方案</w:t>
            </w:r>
            <w:r>
              <w:rPr>
                <w:rFonts w:hint="eastAsia" w:ascii="Times New Roman" w:hAnsi="Times New Roman"/>
                <w:szCs w:val="21"/>
                <w:highlight w:val="none"/>
              </w:rPr>
              <w:t>合理、有</w:t>
            </w:r>
            <w:r>
              <w:rPr>
                <w:rFonts w:hint="eastAsia" w:ascii="宋体" w:hAnsi="宋体"/>
                <w:szCs w:val="21"/>
                <w:highlight w:val="none"/>
              </w:rPr>
              <w:t>针对性</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3</w:t>
            </w:r>
            <w:r>
              <w:rPr>
                <w:rFonts w:hint="eastAsia" w:ascii="宋体" w:hAnsi="宋体" w:cs="宋体"/>
                <w:kern w:val="1"/>
                <w:szCs w:val="21"/>
                <w:highlight w:val="none"/>
              </w:rPr>
              <w:t>分；</w:t>
            </w:r>
          </w:p>
          <w:p w14:paraId="639995FB">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ascii="宋体" w:hAnsi="宋体" w:eastAsia="宋体" w:cs="宋体"/>
                <w:kern w:val="1"/>
                <w:szCs w:val="21"/>
                <w:highlight w:val="none"/>
                <w:lang w:val="en-US" w:eastAsia="zh-CN"/>
              </w:rPr>
            </w:pPr>
            <w:r>
              <w:rPr>
                <w:rFonts w:cs="Calibri"/>
                <w:kern w:val="1"/>
                <w:szCs w:val="21"/>
                <w:highlight w:val="none"/>
              </w:rPr>
              <w:t>③</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内容简单、方案</w:t>
            </w:r>
            <w:r>
              <w:rPr>
                <w:rFonts w:hint="eastAsia"/>
                <w:szCs w:val="21"/>
                <w:highlight w:val="none"/>
              </w:rPr>
              <w:t>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1</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rPr>
              <w:t xml:space="preserve"> </w:t>
            </w:r>
          </w:p>
        </w:tc>
      </w:tr>
      <w:tr w14:paraId="68B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6C7E9B27">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AF2D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63CF625E">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项目的现状分析</w:t>
            </w:r>
          </w:p>
          <w:p w14:paraId="7A2A533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46D45E45">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①针对本项目的现状分析到位，存在问题认知清晰，内容完整、完全满足本项目工作要求的，得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68898E3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②对本项目的现状分析内容较完整，符合项目要求的，得</w:t>
            </w:r>
            <w:r>
              <w:rPr>
                <w:rFonts w:hint="eastAsia" w:cs="Calibri"/>
                <w:kern w:val="1"/>
                <w:szCs w:val="21"/>
                <w:highlight w:val="none"/>
                <w:lang w:val="en-US" w:eastAsia="zh-CN"/>
              </w:rPr>
              <w:t>3</w:t>
            </w:r>
            <w:r>
              <w:rPr>
                <w:rFonts w:hint="eastAsia" w:cs="Calibri"/>
                <w:kern w:val="1"/>
                <w:szCs w:val="21"/>
                <w:highlight w:val="none"/>
              </w:rPr>
              <w:t>分；</w:t>
            </w:r>
          </w:p>
          <w:p w14:paraId="503CBA1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default" w:ascii="Calibri" w:hAnsi="Calibri" w:eastAsia="宋体" w:cs="Calibri"/>
                <w:kern w:val="1"/>
                <w:szCs w:val="21"/>
                <w:highlight w:val="none"/>
                <w:lang w:val="en-US" w:eastAsia="zh-CN"/>
              </w:rPr>
            </w:pPr>
            <w:r>
              <w:rPr>
                <w:rFonts w:hint="eastAsia" w:cs="Calibri"/>
                <w:kern w:val="1"/>
                <w:szCs w:val="21"/>
                <w:highlight w:val="none"/>
              </w:rPr>
              <w:t>③对本项目的现状分析内容简单，</w:t>
            </w:r>
            <w:r>
              <w:rPr>
                <w:rFonts w:hint="eastAsia" w:ascii="宋体" w:hAnsi="宋体" w:eastAsia="宋体" w:cs="宋体"/>
                <w:kern w:val="1"/>
                <w:szCs w:val="21"/>
                <w:highlight w:val="none"/>
                <w:lang w:val="en-US" w:eastAsia="zh-CN"/>
              </w:rPr>
              <w:t>要求</w:t>
            </w:r>
            <w:r>
              <w:rPr>
                <w:rFonts w:hint="eastAsia" w:ascii="宋体" w:hAnsi="宋体"/>
                <w:highlight w:val="none"/>
                <w:lang w:val="en-US" w:eastAsia="zh-CN"/>
              </w:rPr>
              <w:t>需要进一步完善</w:t>
            </w:r>
            <w:r>
              <w:rPr>
                <w:rFonts w:hint="eastAsia" w:cs="Calibri"/>
                <w:kern w:val="1"/>
                <w:szCs w:val="21"/>
                <w:highlight w:val="none"/>
              </w:rPr>
              <w:t>的，得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r>
              <w:rPr>
                <w:rFonts w:hint="eastAsia" w:cs="Calibri"/>
                <w:kern w:val="1"/>
                <w:szCs w:val="21"/>
                <w:highlight w:val="none"/>
              </w:rPr>
              <w:t xml:space="preserve"> </w:t>
            </w:r>
          </w:p>
        </w:tc>
      </w:tr>
      <w:tr w14:paraId="1AD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7ACE346D">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644055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9274461">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技术路线分析</w:t>
            </w:r>
          </w:p>
          <w:p w14:paraId="3C27CD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1506D80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①投标人针对的项目技术路线分析内容完整，分析程度详尽、针对性强、完全满足本项目工作要求的，得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790E1424">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②投标人针对项目的技术路线分析内容完整， 目标清晰，满足项目要求的，得</w:t>
            </w:r>
            <w:r>
              <w:rPr>
                <w:rFonts w:hint="eastAsia" w:cs="Calibri"/>
                <w:kern w:val="1"/>
                <w:szCs w:val="21"/>
                <w:highlight w:val="none"/>
                <w:lang w:val="en-US" w:eastAsia="zh-CN"/>
              </w:rPr>
              <w:t>3</w:t>
            </w:r>
            <w:r>
              <w:rPr>
                <w:rFonts w:hint="eastAsia" w:cs="Calibri"/>
                <w:kern w:val="1"/>
                <w:szCs w:val="21"/>
                <w:highlight w:val="none"/>
              </w:rPr>
              <w:t>分；</w:t>
            </w:r>
          </w:p>
          <w:p w14:paraId="5C558151">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eastAsia="宋体" w:cs="Calibri"/>
                <w:kern w:val="1"/>
                <w:szCs w:val="21"/>
                <w:highlight w:val="none"/>
                <w:lang w:eastAsia="zh-CN"/>
              </w:rPr>
            </w:pPr>
            <w:r>
              <w:rPr>
                <w:rFonts w:hint="eastAsia" w:cs="Calibri"/>
                <w:kern w:val="1"/>
                <w:szCs w:val="21"/>
                <w:highlight w:val="none"/>
              </w:rPr>
              <w:t>③投标人针对项目的技术路线分析内容简单，</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p>
        </w:tc>
      </w:tr>
      <w:tr w14:paraId="1A7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08" w:type="dxa"/>
            <w:vMerge w:val="continue"/>
            <w:tcBorders>
              <w:left w:val="single" w:color="auto" w:sz="4" w:space="0"/>
              <w:right w:val="single" w:color="auto" w:sz="4" w:space="0"/>
            </w:tcBorders>
            <w:vAlign w:val="center"/>
          </w:tcPr>
          <w:p w14:paraId="6B9F4882">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41FDAE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099E59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规划初步提纲</w:t>
            </w:r>
          </w:p>
          <w:p w14:paraId="683DCF98">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2F8D2F0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①投标人针对本项目的规划初步提纲内容全面、详尽、资源价值分析透彻，方案科学合理、针对性强的，得</w:t>
            </w:r>
            <w:r>
              <w:rPr>
                <w:rFonts w:hint="eastAsia" w:cs="Calibri"/>
                <w:kern w:val="1"/>
                <w:szCs w:val="21"/>
                <w:highlight w:val="none"/>
                <w:lang w:val="en-US" w:eastAsia="zh-CN"/>
              </w:rPr>
              <w:t>6</w:t>
            </w:r>
            <w:r>
              <w:rPr>
                <w:rFonts w:hint="eastAsia" w:cs="Calibri"/>
                <w:kern w:val="1"/>
                <w:szCs w:val="21"/>
                <w:highlight w:val="none"/>
              </w:rPr>
              <w:t>分；</w:t>
            </w:r>
          </w:p>
          <w:p w14:paraId="0093D19D">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②投标人针对本项目的规划初步提纲内容全面、方案合理、有针对性的，得</w:t>
            </w:r>
            <w:r>
              <w:rPr>
                <w:rFonts w:hint="eastAsia" w:cs="Calibri"/>
                <w:kern w:val="1"/>
                <w:szCs w:val="21"/>
                <w:highlight w:val="none"/>
                <w:lang w:val="en-US" w:eastAsia="zh-CN"/>
              </w:rPr>
              <w:t>3</w:t>
            </w:r>
            <w:r>
              <w:rPr>
                <w:rFonts w:hint="eastAsia" w:cs="Calibri"/>
                <w:kern w:val="1"/>
                <w:szCs w:val="21"/>
                <w:highlight w:val="none"/>
              </w:rPr>
              <w:t>分；</w:t>
            </w:r>
          </w:p>
          <w:p w14:paraId="21A653A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cs="Calibri"/>
                <w:kern w:val="1"/>
                <w:szCs w:val="21"/>
                <w:highlight w:val="none"/>
              </w:rPr>
            </w:pPr>
            <w:r>
              <w:rPr>
                <w:rFonts w:hint="eastAsia" w:cs="Calibri"/>
                <w:kern w:val="1"/>
                <w:szCs w:val="21"/>
                <w:highlight w:val="none"/>
              </w:rPr>
              <w:t>③投标人针对本项目的规划初步提纲内容简单、方案实施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val="en-US" w:eastAsia="zh-CN"/>
              </w:rPr>
              <w:t>。</w:t>
            </w:r>
            <w:r>
              <w:rPr>
                <w:rFonts w:hint="eastAsia" w:cs="Calibri"/>
                <w:kern w:val="1"/>
                <w:szCs w:val="21"/>
                <w:highlight w:val="none"/>
              </w:rPr>
              <w:t xml:space="preserve"> </w:t>
            </w:r>
          </w:p>
        </w:tc>
      </w:tr>
      <w:tr w14:paraId="70F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8" w:type="dxa"/>
            <w:vMerge w:val="continue"/>
            <w:tcBorders>
              <w:left w:val="single" w:color="auto" w:sz="4" w:space="0"/>
              <w:right w:val="single" w:color="auto" w:sz="4" w:space="0"/>
            </w:tcBorders>
            <w:vAlign w:val="center"/>
          </w:tcPr>
          <w:p w14:paraId="17ABFBC3">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6E3B3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1F1E0EF">
            <w:pPr>
              <w:keepNext w:val="0"/>
              <w:keepLines w:val="0"/>
              <w:widowControl w:val="0"/>
              <w:suppressLineNumbers w:val="0"/>
              <w:spacing w:before="0" w:beforeAutospacing="0" w:after="0" w:afterAutospacing="0" w:line="240" w:lineRule="auto"/>
              <w:ind w:left="0" w:right="0"/>
              <w:jc w:val="center"/>
              <w:rPr>
                <w:rFonts w:hint="eastAsia"/>
                <w:highlight w:val="none"/>
                <w:lang w:val="en-US" w:eastAsia="zh-CN"/>
              </w:rPr>
            </w:pPr>
            <w:r>
              <w:rPr>
                <w:rFonts w:hint="eastAsia"/>
                <w:highlight w:val="none"/>
                <w:lang w:val="en-US" w:eastAsia="zh-CN"/>
              </w:rPr>
              <w:t>规划编制进度安排及保障措施</w:t>
            </w:r>
          </w:p>
          <w:p w14:paraId="081A4C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（6分）</w:t>
            </w:r>
          </w:p>
        </w:tc>
        <w:tc>
          <w:tcPr>
            <w:tcW w:w="5784" w:type="dxa"/>
            <w:tcBorders>
              <w:top w:val="single" w:color="auto" w:sz="4" w:space="0"/>
              <w:left w:val="single" w:color="auto" w:sz="4" w:space="0"/>
              <w:bottom w:val="single" w:color="auto" w:sz="4" w:space="0"/>
              <w:right w:val="single" w:color="auto" w:sz="4" w:space="0"/>
            </w:tcBorders>
            <w:vAlign w:val="center"/>
          </w:tcPr>
          <w:p w14:paraId="4D553DA8">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目标明确，整体布置合理，保证措施合理、内容完整、完全满足本项目工作要求的，得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p>
          <w:p w14:paraId="19E43A40">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内容完整， 进度目标清晰， 符合项目要求的，得3分；</w:t>
            </w:r>
          </w:p>
          <w:p w14:paraId="19F0F8D6">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内容不够完善，有进度目标，</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w:t>
            </w:r>
            <w:r>
              <w:rPr>
                <w:rFonts w:hint="eastAsia" w:ascii="宋体" w:hAnsi="宋体" w:eastAsia="宋体" w:cs="宋体"/>
                <w:kern w:val="1"/>
                <w:szCs w:val="21"/>
                <w:highlight w:val="none"/>
                <w:lang w:val="en-US" w:eastAsia="zh-CN"/>
              </w:rPr>
              <w:t>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3A05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8" w:type="dxa"/>
            <w:vMerge w:val="continue"/>
            <w:tcBorders>
              <w:left w:val="single" w:color="auto" w:sz="4" w:space="0"/>
              <w:right w:val="single" w:color="auto" w:sz="4" w:space="0"/>
            </w:tcBorders>
            <w:vAlign w:val="center"/>
          </w:tcPr>
          <w:p w14:paraId="5A9518C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A64F2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364601C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质量管理方案及保证措施</w:t>
            </w:r>
          </w:p>
          <w:p w14:paraId="59B5521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786B8E9">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保证目标明确</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方案及措施突出</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符合项目要求的，得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 xml:space="preserve">分； </w:t>
            </w:r>
          </w:p>
          <w:p w14:paraId="6297AA7A">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方案及措施内容完善、合理、符合项目要求的，得3分；</w:t>
            </w:r>
          </w:p>
          <w:p w14:paraId="38605BD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方案及措施内容完整、基本符合项目要求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2A38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08" w:type="dxa"/>
            <w:vMerge w:val="continue"/>
            <w:tcBorders>
              <w:left w:val="single" w:color="auto" w:sz="4" w:space="0"/>
              <w:right w:val="single" w:color="auto" w:sz="4" w:space="0"/>
            </w:tcBorders>
            <w:vAlign w:val="center"/>
          </w:tcPr>
          <w:p w14:paraId="24A9C56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0FDE68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66DB8F4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劳务配合工作的重点、难点内容分析</w:t>
            </w:r>
          </w:p>
          <w:p w14:paraId="33BE46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53F284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内容详细、完善、科学、突出</w:t>
            </w:r>
            <w:r>
              <w:rPr>
                <w:rFonts w:hint="eastAsia" w:ascii="宋体" w:hAnsi="宋体" w:eastAsia="宋体" w:cs="宋体"/>
                <w:kern w:val="1"/>
                <w:szCs w:val="21"/>
                <w:highlight w:val="none"/>
                <w:lang w:val="en-US" w:eastAsia="zh-CN"/>
              </w:rPr>
              <w:t>的，得5分；</w:t>
            </w:r>
          </w:p>
          <w:p w14:paraId="33D5234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分析内容完善、科学、合理</w:t>
            </w:r>
            <w:r>
              <w:rPr>
                <w:rFonts w:hint="eastAsia" w:ascii="宋体" w:hAnsi="宋体" w:eastAsia="宋体" w:cs="宋体"/>
                <w:kern w:val="1"/>
                <w:szCs w:val="21"/>
                <w:highlight w:val="none"/>
                <w:lang w:val="en-US" w:eastAsia="zh-CN"/>
              </w:rPr>
              <w:t>的，得3分；</w:t>
            </w:r>
            <w:r>
              <w:rPr>
                <w:rFonts w:hint="eastAsia"/>
                <w:highlight w:val="none"/>
                <w:lang w:val="en-US" w:eastAsia="zh-CN"/>
              </w:rPr>
              <w:t xml:space="preserve"> </w:t>
            </w:r>
          </w:p>
          <w:p w14:paraId="47F596A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4234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8" w:type="dxa"/>
            <w:vMerge w:val="continue"/>
            <w:tcBorders>
              <w:left w:val="single" w:color="auto" w:sz="4" w:space="0"/>
              <w:right w:val="single" w:color="auto" w:sz="4" w:space="0"/>
            </w:tcBorders>
            <w:vAlign w:val="center"/>
          </w:tcPr>
          <w:p w14:paraId="4F5D4F88">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9DCF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5AB3B64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突发事件应急处理预案</w:t>
            </w: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B92A696">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突发事件应急处理预案内容完备健全以及针对性、</w:t>
            </w:r>
            <w:r>
              <w:rPr>
                <w:rFonts w:hint="eastAsia"/>
                <w:highlight w:val="none"/>
              </w:rPr>
              <w:t>合理化建议实用性强</w:t>
            </w:r>
            <w:r>
              <w:rPr>
                <w:rFonts w:hint="eastAsia"/>
                <w:highlight w:val="none"/>
                <w:lang w:eastAsia="zh-CN"/>
              </w:rPr>
              <w:t>、</w:t>
            </w:r>
            <w:r>
              <w:rPr>
                <w:rFonts w:hint="eastAsia" w:ascii="宋体" w:hAnsi="宋体" w:eastAsia="宋体" w:cs="宋体"/>
                <w:kern w:val="1"/>
                <w:szCs w:val="21"/>
                <w:highlight w:val="none"/>
                <w:lang w:val="en-US" w:eastAsia="zh-CN"/>
              </w:rPr>
              <w:t>操作性强</w:t>
            </w:r>
            <w:r>
              <w:rPr>
                <w:rFonts w:hint="eastAsia" w:ascii="Calibri" w:hAnsi="Calibri" w:eastAsia="宋体" w:cs="Calibri"/>
                <w:kern w:val="1"/>
                <w:szCs w:val="21"/>
                <w:highlight w:val="none"/>
                <w:lang w:val="en-US" w:eastAsia="zh-CN"/>
              </w:rPr>
              <w:t>的，得5分；</w:t>
            </w:r>
          </w:p>
          <w:p w14:paraId="17D1DA2B">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w:t>
            </w:r>
            <w:r>
              <w:rPr>
                <w:rFonts w:hint="eastAsia"/>
                <w:highlight w:val="none"/>
                <w:lang w:val="en-US" w:eastAsia="zh-CN"/>
              </w:rPr>
              <w:t>简单</w:t>
            </w:r>
            <w:r>
              <w:rPr>
                <w:rFonts w:hint="eastAsia"/>
                <w:highlight w:val="none"/>
                <w:lang w:eastAsia="zh-CN"/>
              </w:rPr>
              <w:t>、</w:t>
            </w:r>
            <w:r>
              <w:rPr>
                <w:rFonts w:hint="eastAsia"/>
                <w:highlight w:val="none"/>
              </w:rPr>
              <w:t>合理化建议实施性</w:t>
            </w:r>
            <w:r>
              <w:rPr>
                <w:rFonts w:hint="eastAsia"/>
                <w:highlight w:val="none"/>
                <w:lang w:val="en-US" w:eastAsia="zh-CN"/>
              </w:rPr>
              <w:t>弱</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648784F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突发事件应急处理预案内容不健全、</w:t>
            </w:r>
            <w:r>
              <w:rPr>
                <w:rFonts w:hint="eastAsia"/>
                <w:highlight w:val="none"/>
                <w:lang w:val="en-US" w:eastAsia="zh-CN"/>
              </w:rPr>
              <w:t>合理化</w:t>
            </w:r>
            <w:r>
              <w:rPr>
                <w:rFonts w:hint="eastAsia"/>
                <w:highlight w:val="none"/>
              </w:rPr>
              <w:t>建议</w:t>
            </w:r>
            <w:r>
              <w:rPr>
                <w:rFonts w:hint="eastAsia"/>
                <w:highlight w:val="none"/>
                <w:lang w:val="en-US" w:eastAsia="zh-CN"/>
              </w:rPr>
              <w:t>过于缺乏</w:t>
            </w:r>
            <w:r>
              <w:rPr>
                <w:rFonts w:hint="eastAsia"/>
                <w:highlight w:val="none"/>
              </w:rPr>
              <w:t>实用性</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0E2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08" w:type="dxa"/>
            <w:vMerge w:val="continue"/>
            <w:tcBorders>
              <w:left w:val="single" w:color="auto" w:sz="4" w:space="0"/>
              <w:right w:val="single" w:color="auto" w:sz="4" w:space="0"/>
            </w:tcBorders>
            <w:vAlign w:val="center"/>
          </w:tcPr>
          <w:p w14:paraId="543C26CB">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E2E2C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0580753F">
            <w:pPr>
              <w:pStyle w:val="27"/>
              <w:keepNext w:val="0"/>
              <w:keepLines w:val="0"/>
              <w:pageBreakBefore w:val="0"/>
              <w:widowControl w:val="0"/>
              <w:kinsoku/>
              <w:wordWrap/>
              <w:overflowPunct/>
              <w:topLinePunct w:val="0"/>
              <w:autoSpaceDE/>
              <w:autoSpaceDN/>
              <w:bidi w:val="0"/>
              <w:spacing w:line="240" w:lineRule="auto"/>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数据库建设方案</w:t>
            </w:r>
          </w:p>
          <w:p w14:paraId="4084EB9C">
            <w:pPr>
              <w:spacing w:line="240" w:lineRule="auto"/>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61A57C1">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cs="宋体"/>
                <w:color w:val="auto"/>
                <w:kern w:val="0"/>
                <w:szCs w:val="21"/>
                <w:highlight w:val="none"/>
              </w:rPr>
              <w:t>投标人提供的</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科学合理、</w:t>
            </w:r>
            <w:r>
              <w:rPr>
                <w:rFonts w:hint="eastAsia" w:ascii="宋体" w:hAnsi="宋体" w:cs="宋体"/>
                <w:color w:val="auto"/>
                <w:kern w:val="0"/>
                <w:szCs w:val="21"/>
                <w:highlight w:val="none"/>
                <w:lang w:eastAsia="zh-CN"/>
              </w:rPr>
              <w:t>内容清晰、</w:t>
            </w:r>
            <w:r>
              <w:rPr>
                <w:rFonts w:hint="eastAsia" w:ascii="宋体" w:hAnsi="宋体" w:cs="宋体"/>
                <w:color w:val="auto"/>
                <w:kern w:val="0"/>
                <w:szCs w:val="21"/>
                <w:highlight w:val="none"/>
              </w:rPr>
              <w:t>健全完备</w:t>
            </w:r>
            <w:r>
              <w:rPr>
                <w:rFonts w:hint="eastAsia" w:ascii="Calibri" w:hAnsi="Calibri" w:eastAsia="宋体" w:cs="Calibri"/>
                <w:kern w:val="1"/>
                <w:szCs w:val="21"/>
                <w:highlight w:val="none"/>
                <w:lang w:val="en-US" w:eastAsia="zh-CN"/>
              </w:rPr>
              <w:t>的，得5分；</w:t>
            </w:r>
          </w:p>
          <w:p w14:paraId="555E958A">
            <w:pPr>
              <w:spacing w:line="240" w:lineRule="auto"/>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ascii="宋体" w:hAnsi="宋体" w:cs="宋体"/>
                <w:color w:val="auto"/>
                <w:kern w:val="0"/>
                <w:szCs w:val="21"/>
                <w:highlight w:val="none"/>
              </w:rPr>
              <w:t>投标人提供的档案资料管理制度</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内容全面</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7C6ED4CB">
            <w:pPr>
              <w:spacing w:line="24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cs="宋体"/>
                <w:color w:val="auto"/>
                <w:kern w:val="0"/>
                <w:szCs w:val="21"/>
                <w:highlight w:val="none"/>
              </w:rPr>
              <w:t>投标人提供</w:t>
            </w:r>
            <w:r>
              <w:rPr>
                <w:rFonts w:hint="eastAsia" w:ascii="宋体" w:hAnsi="宋体" w:cs="宋体"/>
                <w:color w:val="auto"/>
                <w:kern w:val="0"/>
                <w:szCs w:val="21"/>
                <w:highlight w:val="none"/>
                <w:lang w:eastAsia="zh-CN"/>
              </w:rPr>
              <w:t>的数据库建设方案</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Calibri" w:hAnsi="Calibri" w:eastAsia="宋体" w:cs="Calibri"/>
                <w:kern w:val="1"/>
                <w:szCs w:val="21"/>
                <w:highlight w:val="none"/>
                <w:lang w:val="en-US" w:eastAsia="zh-CN"/>
              </w:rPr>
              <w:t>，得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57F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08" w:type="dxa"/>
            <w:vMerge w:val="continue"/>
            <w:tcBorders>
              <w:left w:val="single" w:color="auto" w:sz="4" w:space="0"/>
              <w:right w:val="single" w:color="auto" w:sz="4" w:space="0"/>
            </w:tcBorders>
            <w:vAlign w:val="center"/>
          </w:tcPr>
          <w:p w14:paraId="400014B7">
            <w:pPr>
              <w:widowControl/>
              <w:spacing w:line="360" w:lineRule="auto"/>
              <w:jc w:val="center"/>
              <w:rPr>
                <w:rFonts w:hint="eastAsia" w:ascii="宋体" w:hAnsi="宋体" w:eastAsia="宋体" w:cs="宋体"/>
                <w:color w:val="auto"/>
                <w:highlight w:val="none"/>
                <w:lang w:val="en-US" w:eastAsia="zh-CN"/>
              </w:rPr>
            </w:pPr>
          </w:p>
        </w:tc>
        <w:tc>
          <w:tcPr>
            <w:tcW w:w="8934" w:type="dxa"/>
            <w:gridSpan w:val="3"/>
            <w:tcBorders>
              <w:left w:val="single" w:color="auto" w:sz="4" w:space="0"/>
              <w:right w:val="single" w:color="auto" w:sz="4" w:space="0"/>
            </w:tcBorders>
            <w:vAlign w:val="center"/>
          </w:tcPr>
          <w:p w14:paraId="0CF1E362">
            <w:pPr>
              <w:spacing w:line="420" w:lineRule="exact"/>
              <w:jc w:val="left"/>
              <w:rPr>
                <w:rFonts w:hint="default" w:ascii="Calibri" w:hAnsi="Calibri" w:eastAsia="宋体" w:cs="Calibri"/>
                <w:kern w:val="1"/>
                <w:szCs w:val="21"/>
                <w:highlight w:val="none"/>
                <w:lang w:val="en-US" w:eastAsia="zh-CN"/>
              </w:rPr>
            </w:pPr>
            <w:r>
              <w:rPr>
                <w:rFonts w:hint="eastAsia" w:ascii="宋体" w:hAnsi="宋体" w:cs="宋体"/>
                <w:szCs w:val="21"/>
                <w:highlight w:val="none"/>
                <w:shd w:val="clear" w:color="auto" w:fill="FFFFFF"/>
                <w:lang w:val="zh-CN"/>
              </w:rPr>
              <w:t>以上</w:t>
            </w:r>
            <w:r>
              <w:rPr>
                <w:rFonts w:hint="eastAsia" w:ascii="宋体" w:hAnsi="宋体" w:cs="宋体"/>
                <w:szCs w:val="21"/>
                <w:highlight w:val="none"/>
                <w:shd w:val="clear" w:color="auto" w:fill="FFFFFF"/>
                <w:lang w:eastAsia="zh-CN"/>
              </w:rPr>
              <w:t>技术方案</w:t>
            </w:r>
            <w:r>
              <w:rPr>
                <w:rFonts w:hint="eastAsia" w:ascii="宋体" w:hAnsi="宋体" w:cs="宋体"/>
                <w:szCs w:val="21"/>
                <w:highlight w:val="none"/>
                <w:shd w:val="clear" w:color="auto" w:fill="FFFFFF"/>
                <w:lang w:val="zh-CN"/>
              </w:rPr>
              <w:t>由评委根据各投标人响应程度在给定分值范围内打分，如有缺项，此项按0分计。</w:t>
            </w:r>
          </w:p>
        </w:tc>
      </w:tr>
    </w:tbl>
    <w:p w14:paraId="761389DE">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1"/>
          <w:szCs w:val="21"/>
          <w:highlight w:val="none"/>
          <w:lang w:val="en-US" w:eastAsia="zh-CN" w:bidi="ar"/>
        </w:rPr>
      </w:pPr>
    </w:p>
    <w:p w14:paraId="20A0988F">
      <w:pPr>
        <w:widowControl/>
        <w:spacing w:line="360" w:lineRule="auto"/>
        <w:jc w:val="left"/>
        <w:outlineLvl w:val="1"/>
        <w:rPr>
          <w:rFonts w:hint="eastAsia" w:cs="Times New Roman"/>
          <w:b/>
          <w:bCs/>
          <w:sz w:val="28"/>
          <w:szCs w:val="28"/>
          <w:highlight w:val="none"/>
        </w:rPr>
      </w:pPr>
      <w:bookmarkStart w:id="543" w:name="_Toc30241"/>
      <w:bookmarkStart w:id="544" w:name="_Toc15539"/>
      <w:r>
        <w:rPr>
          <w:rFonts w:hint="eastAsia" w:cs="Times New Roman"/>
          <w:b/>
          <w:bCs/>
          <w:sz w:val="28"/>
          <w:szCs w:val="28"/>
          <w:highlight w:val="none"/>
        </w:rPr>
        <w:t>1. 评标方法</w:t>
      </w:r>
      <w:bookmarkEnd w:id="543"/>
      <w:bookmarkEnd w:id="544"/>
    </w:p>
    <w:p w14:paraId="577A17FE">
      <w:pPr>
        <w:widowControl/>
        <w:spacing w:line="360" w:lineRule="auto"/>
        <w:ind w:firstLine="420" w:firstLineChars="200"/>
        <w:jc w:val="left"/>
        <w:outlineLvl w:val="1"/>
        <w:rPr>
          <w:rFonts w:hint="eastAsia" w:cs="Times New Roman"/>
          <w:b w:val="0"/>
          <w:bCs w:val="0"/>
          <w:sz w:val="21"/>
          <w:szCs w:val="21"/>
          <w:highlight w:val="none"/>
          <w:lang w:val="en-US"/>
        </w:rPr>
      </w:pPr>
      <w:bookmarkStart w:id="545" w:name="_Toc4960"/>
      <w:bookmarkStart w:id="546" w:name="_Toc21026"/>
      <w:bookmarkStart w:id="547" w:name="_Toc31009"/>
      <w:r>
        <w:rPr>
          <w:rFonts w:hint="eastAsia" w:cs="Times New Roman"/>
          <w:b w:val="0"/>
          <w:bCs w:val="0"/>
          <w:sz w:val="21"/>
          <w:szCs w:val="21"/>
          <w:highlight w:val="none"/>
          <w:lang w:eastAsia="zh-CN"/>
        </w:rPr>
        <w:t>本次评标均采用综合评分法。评标委员会对满足采购文件实质性要求的投标文件，按照本章第</w:t>
      </w:r>
      <w:r>
        <w:rPr>
          <w:rFonts w:hint="eastAsia" w:cs="Times New Roman"/>
          <w:b w:val="0"/>
          <w:bCs w:val="0"/>
          <w:sz w:val="21"/>
          <w:szCs w:val="21"/>
          <w:highlight w:val="none"/>
          <w:lang w:val="en-US"/>
        </w:rPr>
        <w:t>2.2</w:t>
      </w:r>
      <w:r>
        <w:rPr>
          <w:rFonts w:hint="eastAsia" w:cs="Times New Roman"/>
          <w:b w:val="0"/>
          <w:bCs w:val="0"/>
          <w:sz w:val="21"/>
          <w:szCs w:val="21"/>
          <w:highlight w:val="none"/>
          <w:lang w:eastAsia="zh-CN"/>
        </w:rPr>
        <w:t>款</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一</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、（二）、（三）规定的评分标准进行打分，并按得分由高到低顺序推荐中标候选人。综合评分相等时，以投标报价低的优先；投标报价也相等的，由采购人或其授权的评标委员会自行确定。</w:t>
      </w:r>
    </w:p>
    <w:p w14:paraId="0E9FA75D">
      <w:pPr>
        <w:widowControl/>
        <w:spacing w:line="360" w:lineRule="auto"/>
        <w:jc w:val="left"/>
        <w:outlineLvl w:val="1"/>
        <w:rPr>
          <w:rFonts w:hint="eastAsia" w:cs="Times New Roman"/>
          <w:b/>
          <w:bCs/>
          <w:sz w:val="24"/>
          <w:szCs w:val="24"/>
          <w:highlight w:val="none"/>
        </w:rPr>
      </w:pPr>
      <w:r>
        <w:rPr>
          <w:rFonts w:hint="eastAsia" w:cs="Times New Roman"/>
          <w:b/>
          <w:bCs/>
          <w:sz w:val="24"/>
          <w:szCs w:val="24"/>
          <w:highlight w:val="none"/>
        </w:rPr>
        <w:t>2. 评审标准</w:t>
      </w:r>
      <w:bookmarkEnd w:id="545"/>
      <w:bookmarkEnd w:id="546"/>
      <w:bookmarkEnd w:id="547"/>
    </w:p>
    <w:p w14:paraId="7FA76A92">
      <w:pPr>
        <w:pStyle w:val="5"/>
        <w:keepNext w:val="0"/>
        <w:keepLines/>
        <w:widowControl/>
        <w:suppressLineNumbers w:val="0"/>
        <w:spacing w:line="240" w:lineRule="auto"/>
        <w:rPr>
          <w:rFonts w:hint="eastAsia" w:ascii="宋体" w:hAnsi="Times New Roman" w:eastAsia="宋体" w:cs="宋体"/>
          <w:color w:val="auto"/>
          <w:sz w:val="21"/>
          <w:szCs w:val="21"/>
          <w:highlight w:val="none"/>
          <w:lang w:val="en-US"/>
        </w:rPr>
      </w:pPr>
      <w:bookmarkStart w:id="548" w:name="_Toc14281"/>
      <w:bookmarkStart w:id="549" w:name="_Toc1892"/>
      <w:bookmarkStart w:id="550" w:name="_Toc22133"/>
      <w:bookmarkStart w:id="551" w:name="_Toc5546"/>
      <w:bookmarkStart w:id="552" w:name="_Toc31376"/>
      <w:bookmarkStart w:id="553" w:name="_Toc16026"/>
      <w:r>
        <w:rPr>
          <w:rFonts w:hint="eastAsia" w:ascii="宋体" w:hAnsi="宋体" w:eastAsia="宋体" w:cs="宋体"/>
          <w:color w:val="auto"/>
          <w:sz w:val="21"/>
          <w:szCs w:val="21"/>
          <w:highlight w:val="none"/>
          <w:lang w:val="en-US"/>
        </w:rPr>
        <w:t xml:space="preserve">2.1 </w:t>
      </w:r>
      <w:r>
        <w:rPr>
          <w:rFonts w:hint="eastAsia" w:ascii="宋体" w:hAnsi="宋体" w:eastAsia="宋体" w:cs="宋体"/>
          <w:color w:val="auto"/>
          <w:sz w:val="21"/>
          <w:szCs w:val="21"/>
          <w:highlight w:val="none"/>
          <w:lang w:eastAsia="zh-CN"/>
        </w:rPr>
        <w:t>初步评审标准</w:t>
      </w:r>
      <w:bookmarkEnd w:id="548"/>
      <w:bookmarkEnd w:id="549"/>
      <w:bookmarkEnd w:id="550"/>
    </w:p>
    <w:p w14:paraId="1D84F5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2.1.1资格审查：见评标办法前附表。</w:t>
      </w:r>
    </w:p>
    <w:p w14:paraId="51125BB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2.1.2符合性审查:见评标办法前附表。</w:t>
      </w:r>
    </w:p>
    <w:p w14:paraId="3840B2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2.1.3详细审查：见评标办法前附表。</w:t>
      </w:r>
    </w:p>
    <w:p w14:paraId="444A406B">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54" w:name="_Toc144974570"/>
      <w:bookmarkStart w:id="555" w:name="_Toc152042380"/>
      <w:bookmarkStart w:id="556" w:name="_Toc152045603"/>
      <w:bookmarkStart w:id="557" w:name="_Toc345060966"/>
      <w:bookmarkStart w:id="558" w:name="_Toc324429902"/>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lang w:eastAsia="zh-CN"/>
        </w:rPr>
        <w:t>分值构成与评分标准</w:t>
      </w:r>
      <w:bookmarkEnd w:id="554"/>
      <w:bookmarkEnd w:id="555"/>
      <w:bookmarkEnd w:id="556"/>
      <w:bookmarkEnd w:id="557"/>
      <w:bookmarkEnd w:id="558"/>
    </w:p>
    <w:p w14:paraId="26A4D2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559" w:name="_Toc319578757"/>
      <w:bookmarkStart w:id="560" w:name="_Toc322696428"/>
      <w:bookmarkStart w:id="561" w:name="_Toc324429903"/>
      <w:bookmarkStart w:id="562" w:name="_Toc321385761"/>
      <w:bookmarkStart w:id="563" w:name="_Toc345060967"/>
      <w:bookmarkStart w:id="564" w:name="_Toc323898027"/>
      <w:r>
        <w:rPr>
          <w:rFonts w:hint="eastAsia" w:ascii="宋体" w:hAnsi="宋体" w:eastAsia="宋体" w:cs="宋体"/>
          <w:color w:val="auto"/>
          <w:kern w:val="2"/>
          <w:sz w:val="21"/>
          <w:szCs w:val="21"/>
          <w:highlight w:val="none"/>
          <w:lang w:val="en-US" w:eastAsia="zh-CN" w:bidi="ar"/>
        </w:rPr>
        <w:t>2.2.1分值构成：</w:t>
      </w:r>
      <w:bookmarkEnd w:id="559"/>
      <w:bookmarkEnd w:id="560"/>
      <w:bookmarkEnd w:id="561"/>
      <w:bookmarkEnd w:id="562"/>
      <w:bookmarkEnd w:id="563"/>
      <w:bookmarkEnd w:id="564"/>
    </w:p>
    <w:p w14:paraId="5FE186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（1）报价标：见评标办法前附表；</w:t>
      </w:r>
    </w:p>
    <w:p w14:paraId="490450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（2）综合标：见评标办法前附表。</w:t>
      </w:r>
    </w:p>
    <w:p w14:paraId="7D6FED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（3）技术标：见评标办法前附表。</w:t>
      </w:r>
    </w:p>
    <w:p w14:paraId="5FFE9A71">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65" w:name="_Toc319578758"/>
      <w:bookmarkStart w:id="566" w:name="_Toc323898028"/>
      <w:bookmarkStart w:id="567" w:name="_Toc345060968"/>
      <w:bookmarkStart w:id="568" w:name="_Toc324429904"/>
      <w:bookmarkStart w:id="569" w:name="_Toc322696429"/>
      <w:bookmarkStart w:id="570" w:name="_Toc321385762"/>
      <w:r>
        <w:rPr>
          <w:rFonts w:hint="eastAsia" w:ascii="宋体" w:hAnsi="宋体" w:eastAsia="宋体" w:cs="宋体"/>
          <w:color w:val="auto"/>
          <w:sz w:val="21"/>
          <w:szCs w:val="21"/>
          <w:highlight w:val="none"/>
          <w:lang w:val="en-US"/>
        </w:rPr>
        <w:t xml:space="preserve">2.2.2 </w:t>
      </w:r>
      <w:r>
        <w:rPr>
          <w:rFonts w:hint="eastAsia" w:ascii="宋体" w:hAnsi="宋体" w:eastAsia="宋体" w:cs="宋体"/>
          <w:color w:val="auto"/>
          <w:sz w:val="21"/>
          <w:szCs w:val="21"/>
          <w:highlight w:val="none"/>
          <w:lang w:eastAsia="zh-CN"/>
        </w:rPr>
        <w:t>评标基准价计算</w:t>
      </w:r>
      <w:bookmarkEnd w:id="565"/>
      <w:bookmarkEnd w:id="566"/>
      <w:bookmarkEnd w:id="567"/>
      <w:bookmarkEnd w:id="568"/>
      <w:bookmarkEnd w:id="569"/>
      <w:bookmarkEnd w:id="570"/>
    </w:p>
    <w:p w14:paraId="77EE7F7F">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评标基准价计算方法：见评标办法前附表。</w:t>
      </w:r>
    </w:p>
    <w:p w14:paraId="6F195172">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r>
        <w:rPr>
          <w:b/>
          <w:bCs w:val="0"/>
          <w:color w:val="auto"/>
          <w:sz w:val="20"/>
          <w:szCs w:val="21"/>
          <w:highlight w:val="none"/>
          <w:lang w:val="en-US"/>
        </w:rPr>
        <w:t>2.2.3</w:t>
      </w:r>
      <w:r>
        <w:rPr>
          <w:b/>
          <w:bCs w:val="0"/>
          <w:color w:val="auto"/>
          <w:sz w:val="20"/>
          <w:szCs w:val="21"/>
          <w:highlight w:val="none"/>
          <w:lang w:eastAsia="zh-CN"/>
        </w:rPr>
        <w:t>投标报价的偏差率计算</w:t>
      </w:r>
    </w:p>
    <w:p w14:paraId="3E2279D4">
      <w:pPr>
        <w:keepNext w:val="0"/>
        <w:keepLines w:val="0"/>
        <w:widowControl w:val="0"/>
        <w:suppressLineNumbers w:val="0"/>
        <w:spacing w:before="0" w:beforeAutospacing="0" w:after="0" w:afterAutospacing="0" w:line="520" w:lineRule="exact"/>
        <w:ind w:left="0" w:right="0" w:firstLine="400" w:firstLineChars="200"/>
        <w:jc w:val="both"/>
        <w:rPr>
          <w:color w:val="auto"/>
          <w:highlight w:val="none"/>
        </w:rPr>
      </w:pPr>
      <w:r>
        <w:rPr>
          <w:rFonts w:hint="eastAsia" w:ascii="宋体" w:hAnsi="Times New Roman" w:eastAsia="宋体" w:cs="宋体"/>
          <w:color w:val="auto"/>
          <w:kern w:val="0"/>
          <w:sz w:val="20"/>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投标报价的偏差率计算公式：见评标办法前附表。</w:t>
      </w:r>
    </w:p>
    <w:p w14:paraId="7224C7B4">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bookmarkStart w:id="571" w:name="_Toc323898029"/>
      <w:bookmarkStart w:id="572" w:name="_Toc319578759"/>
      <w:bookmarkStart w:id="573" w:name="_Toc324429905"/>
      <w:bookmarkStart w:id="574" w:name="_Toc345060969"/>
      <w:bookmarkStart w:id="575" w:name="_Toc322696430"/>
      <w:bookmarkStart w:id="576" w:name="_Toc321385763"/>
      <w:r>
        <w:rPr>
          <w:b/>
          <w:bCs w:val="0"/>
          <w:color w:val="auto"/>
          <w:sz w:val="20"/>
          <w:szCs w:val="21"/>
          <w:highlight w:val="none"/>
          <w:lang w:val="en-US"/>
        </w:rPr>
        <w:t xml:space="preserve">2.2.4 </w:t>
      </w:r>
      <w:r>
        <w:rPr>
          <w:b/>
          <w:bCs w:val="0"/>
          <w:color w:val="auto"/>
          <w:sz w:val="20"/>
          <w:szCs w:val="21"/>
          <w:highlight w:val="none"/>
          <w:lang w:eastAsia="zh-CN"/>
        </w:rPr>
        <w:t>评分标准</w:t>
      </w:r>
      <w:bookmarkEnd w:id="571"/>
      <w:bookmarkEnd w:id="572"/>
      <w:bookmarkEnd w:id="573"/>
      <w:bookmarkEnd w:id="574"/>
      <w:bookmarkEnd w:id="575"/>
      <w:bookmarkEnd w:id="576"/>
    </w:p>
    <w:p w14:paraId="666B52FE">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（1）报价标评分标准：见评标办法前附表；</w:t>
      </w:r>
    </w:p>
    <w:p w14:paraId="05F97FCA">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（2）综合标评分标准：见评标办法前附表。</w:t>
      </w:r>
    </w:p>
    <w:p w14:paraId="3F158E20">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（3）技术标评分标准：见评标办法前附表。</w:t>
      </w:r>
    </w:p>
    <w:p w14:paraId="7EA83507">
      <w:pPr>
        <w:pStyle w:val="26"/>
        <w:keepNext w:val="0"/>
        <w:keepLines w:val="0"/>
        <w:widowControl w:val="0"/>
        <w:suppressLineNumbers w:val="0"/>
        <w:spacing w:before="0" w:beforeAutospacing="0" w:after="0" w:afterAutospacing="0" w:line="500" w:lineRule="exact"/>
        <w:ind w:left="0" w:right="0"/>
        <w:jc w:val="both"/>
        <w:rPr>
          <w:b/>
          <w:bCs w:val="0"/>
          <w:color w:val="auto"/>
          <w:kern w:val="2"/>
          <w:sz w:val="21"/>
          <w:szCs w:val="21"/>
          <w:highlight w:val="none"/>
          <w:lang w:val="en-US"/>
        </w:rPr>
      </w:pPr>
      <w:r>
        <w:rPr>
          <w:b/>
          <w:bCs w:val="0"/>
          <w:color w:val="auto"/>
          <w:kern w:val="2"/>
          <w:sz w:val="21"/>
          <w:szCs w:val="21"/>
          <w:highlight w:val="none"/>
          <w:lang w:val="en-US"/>
        </w:rPr>
        <w:t xml:space="preserve">3. </w:t>
      </w:r>
      <w:r>
        <w:rPr>
          <w:b/>
          <w:bCs w:val="0"/>
          <w:color w:val="auto"/>
          <w:kern w:val="2"/>
          <w:sz w:val="21"/>
          <w:szCs w:val="21"/>
          <w:highlight w:val="none"/>
          <w:lang w:eastAsia="zh-CN"/>
        </w:rPr>
        <w:t>评标程序</w:t>
      </w:r>
    </w:p>
    <w:p w14:paraId="6B7EC04A">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bookmarkStart w:id="577" w:name="_Toc2478"/>
      <w:bookmarkStart w:id="578" w:name="_Toc4774"/>
      <w:bookmarkStart w:id="579" w:name="_Toc27192"/>
      <w:r>
        <w:rPr>
          <w:rFonts w:hint="eastAsia" w:ascii="宋体" w:hAnsi="宋体" w:eastAsia="宋体" w:cs="宋体"/>
          <w:color w:val="auto"/>
          <w:sz w:val="21"/>
          <w:szCs w:val="21"/>
          <w:highlight w:val="none"/>
          <w:lang w:val="en-US"/>
        </w:rPr>
        <w:t xml:space="preserve">3.1 </w:t>
      </w:r>
      <w:r>
        <w:rPr>
          <w:rFonts w:hint="eastAsia" w:ascii="宋体" w:hAnsi="宋体" w:eastAsia="宋体" w:cs="宋体"/>
          <w:color w:val="auto"/>
          <w:sz w:val="21"/>
          <w:szCs w:val="21"/>
          <w:highlight w:val="none"/>
          <w:lang w:eastAsia="zh-CN"/>
        </w:rPr>
        <w:t>初步评审</w:t>
      </w:r>
      <w:bookmarkEnd w:id="577"/>
      <w:bookmarkEnd w:id="578"/>
      <w:bookmarkEnd w:id="579"/>
    </w:p>
    <w:p w14:paraId="39933B28">
      <w:pPr>
        <w:spacing w:line="520" w:lineRule="exact"/>
        <w:ind w:firstLine="420" w:firstLineChars="200"/>
        <w:rPr>
          <w:rFonts w:ascii="宋体"/>
          <w:color w:val="auto"/>
          <w:highlight w:val="none"/>
        </w:rPr>
      </w:pPr>
      <w:bookmarkStart w:id="580" w:name="_Toc4807"/>
      <w:bookmarkStart w:id="581" w:name="_Toc11749"/>
      <w:bookmarkStart w:id="582" w:name="_Toc6951"/>
      <w:r>
        <w:rPr>
          <w:rFonts w:hint="eastAsia" w:ascii="宋体" w:hAnsi="宋体"/>
          <w:color w:val="auto"/>
          <w:highlight w:val="none"/>
        </w:rPr>
        <w:t>3.1.1评标委员会依据本章第2.1款规定的标准对投标文件进行初步评审。有一项不符合资格审查和符合性审查、详细审查要求的，评标委员会应当否决其投标。</w:t>
      </w:r>
    </w:p>
    <w:p w14:paraId="7A2E6F99">
      <w:pPr>
        <w:spacing w:line="520" w:lineRule="exact"/>
        <w:ind w:firstLine="420" w:firstLineChars="200"/>
        <w:rPr>
          <w:rFonts w:ascii="宋体"/>
          <w:color w:val="auto"/>
          <w:highlight w:val="none"/>
        </w:rPr>
      </w:pPr>
      <w:r>
        <w:rPr>
          <w:rFonts w:hint="eastAsia" w:ascii="宋体" w:hAnsi="宋体"/>
          <w:color w:val="auto"/>
          <w:highlight w:val="none"/>
        </w:rPr>
        <w:t xml:space="preserve">3.1.2 </w:t>
      </w:r>
      <w:r>
        <w:rPr>
          <w:rFonts w:hint="eastAsia" w:ascii="宋体" w:hAnsi="宋体"/>
          <w:color w:val="auto"/>
          <w:highlight w:val="none"/>
          <w:lang w:eastAsia="zh-CN"/>
        </w:rPr>
        <w:t>投标人</w:t>
      </w:r>
      <w:r>
        <w:rPr>
          <w:rFonts w:hint="eastAsia" w:ascii="宋体" w:hAnsi="宋体"/>
          <w:color w:val="auto"/>
          <w:highlight w:val="none"/>
        </w:rPr>
        <w:t>有以下情形之一的，评标委员会应当否决其投标：</w:t>
      </w:r>
    </w:p>
    <w:p w14:paraId="5803681E">
      <w:pPr>
        <w:spacing w:line="520" w:lineRule="exact"/>
        <w:ind w:firstLine="718" w:firstLineChars="342"/>
        <w:rPr>
          <w:rFonts w:ascii="宋体"/>
          <w:color w:val="auto"/>
          <w:highlight w:val="none"/>
        </w:rPr>
      </w:pPr>
      <w:r>
        <w:rPr>
          <w:rFonts w:hint="eastAsia" w:ascii="宋体" w:hAnsi="宋体"/>
          <w:color w:val="auto"/>
          <w:highlight w:val="none"/>
        </w:rPr>
        <w:t>（1）不符合第二部分“</w:t>
      </w:r>
      <w:r>
        <w:rPr>
          <w:rFonts w:hint="eastAsia" w:ascii="宋体" w:hAnsi="宋体"/>
          <w:color w:val="auto"/>
          <w:highlight w:val="none"/>
          <w:lang w:eastAsia="zh-CN"/>
        </w:rPr>
        <w:t>投标人</w:t>
      </w:r>
      <w:r>
        <w:rPr>
          <w:rFonts w:hint="eastAsia" w:ascii="宋体" w:hAnsi="宋体"/>
          <w:color w:val="auto"/>
          <w:highlight w:val="none"/>
        </w:rPr>
        <w:t>须知”第1.4.1项规定的任何一种情形的；</w:t>
      </w:r>
    </w:p>
    <w:p w14:paraId="648654C9">
      <w:pPr>
        <w:spacing w:line="520" w:lineRule="exact"/>
        <w:ind w:firstLine="718" w:firstLineChars="342"/>
        <w:rPr>
          <w:rFonts w:ascii="宋体"/>
          <w:color w:val="auto"/>
          <w:highlight w:val="none"/>
        </w:rPr>
      </w:pPr>
      <w:r>
        <w:rPr>
          <w:rFonts w:hint="eastAsia" w:ascii="宋体" w:hAnsi="宋体"/>
          <w:color w:val="auto"/>
          <w:highlight w:val="none"/>
        </w:rPr>
        <w:t>（2）串通投标或弄虚作假或有其他违法行为的；</w:t>
      </w:r>
    </w:p>
    <w:p w14:paraId="5FFB8A01">
      <w:pPr>
        <w:spacing w:line="520" w:lineRule="exact"/>
        <w:ind w:firstLine="718" w:firstLineChars="342"/>
        <w:rPr>
          <w:rFonts w:ascii="宋体"/>
          <w:color w:val="auto"/>
          <w:highlight w:val="none"/>
        </w:rPr>
      </w:pPr>
      <w:r>
        <w:rPr>
          <w:rFonts w:hint="eastAsia" w:ascii="宋体" w:hAnsi="宋体"/>
          <w:color w:val="auto"/>
          <w:highlight w:val="none"/>
        </w:rPr>
        <w:t>（3）不按评标委员会要求澄清、说明或补正的。</w:t>
      </w:r>
    </w:p>
    <w:p w14:paraId="11007C28">
      <w:pPr>
        <w:autoSpaceDE w:val="0"/>
        <w:autoSpaceDN w:val="0"/>
        <w:spacing w:line="360" w:lineRule="auto"/>
        <w:ind w:firstLine="420" w:firstLineChars="200"/>
        <w:rPr>
          <w:rFonts w:hint="eastAsia" w:ascii="宋体" w:hAnsi="宋体"/>
          <w:color w:val="auto"/>
          <w:highlight w:val="none"/>
        </w:rPr>
      </w:pPr>
      <w:r>
        <w:rPr>
          <w:rFonts w:hint="eastAsia" w:ascii="宋体" w:hAnsi="宋体"/>
          <w:color w:val="auto"/>
          <w:highlight w:val="none"/>
        </w:rPr>
        <w:t>3.1.3</w:t>
      </w:r>
      <w:r>
        <w:rPr>
          <w:rFonts w:hint="eastAsia" w:ascii="宋体" w:hAnsi="宋体"/>
          <w:color w:val="auto"/>
          <w:highlight w:val="none"/>
          <w:lang w:val="en-US" w:eastAsia="zh-CN"/>
        </w:rPr>
        <w:t xml:space="preserve"> </w:t>
      </w:r>
      <w:r>
        <w:rPr>
          <w:rFonts w:hint="eastAsia" w:ascii="宋体" w:hAnsi="宋体"/>
          <w:color w:val="auto"/>
          <w:highlight w:val="none"/>
        </w:rPr>
        <w:t>投标报价有算术错误的，评标委员会按以下原则对投标报价进行修正，修正的价格经</w:t>
      </w:r>
      <w:r>
        <w:rPr>
          <w:rFonts w:hint="eastAsia" w:ascii="宋体" w:hAnsi="宋体"/>
          <w:color w:val="auto"/>
          <w:highlight w:val="none"/>
          <w:lang w:eastAsia="zh-CN"/>
        </w:rPr>
        <w:t>投标人</w:t>
      </w:r>
      <w:r>
        <w:rPr>
          <w:rFonts w:hint="eastAsia" w:ascii="宋体" w:hAnsi="宋体"/>
          <w:color w:val="auto"/>
          <w:highlight w:val="none"/>
        </w:rPr>
        <w:t>书面确认后具有约束力。</w:t>
      </w:r>
      <w:r>
        <w:rPr>
          <w:rFonts w:hint="eastAsia" w:ascii="宋体" w:hAnsi="宋体"/>
          <w:color w:val="auto"/>
          <w:highlight w:val="none"/>
          <w:lang w:eastAsia="zh-CN"/>
        </w:rPr>
        <w:t>投标人</w:t>
      </w:r>
      <w:r>
        <w:rPr>
          <w:rFonts w:hint="eastAsia" w:ascii="宋体" w:hAnsi="宋体"/>
          <w:color w:val="auto"/>
          <w:highlight w:val="none"/>
        </w:rPr>
        <w:t>不接受修正价格的，评标委员会应当否决其投标。</w:t>
      </w:r>
    </w:p>
    <w:p w14:paraId="3D45F90E">
      <w:pPr>
        <w:numPr>
          <w:ilvl w:val="0"/>
          <w:numId w:val="3"/>
        </w:numPr>
        <w:autoSpaceDE w:val="0"/>
        <w:autoSpaceDN w:val="0"/>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投标文件中开标一览表（报价表）内容与投标文件中相应内容不一致的，以开标一览表（报价表）为准；</w:t>
      </w:r>
    </w:p>
    <w:p w14:paraId="4FD612E2">
      <w:pPr>
        <w:numPr>
          <w:ilvl w:val="0"/>
          <w:numId w:val="3"/>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大写金额和小写金额不一致的，以大写金额为准；</w:t>
      </w:r>
    </w:p>
    <w:p w14:paraId="3595C8BA">
      <w:pPr>
        <w:numPr>
          <w:ilvl w:val="0"/>
          <w:numId w:val="3"/>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单价金额小数点或者百分比有明显错位的，以开标一览表的总价为准，并修改单价；</w:t>
      </w:r>
    </w:p>
    <w:p w14:paraId="30D0633B">
      <w:pPr>
        <w:numPr>
          <w:ilvl w:val="0"/>
          <w:numId w:val="0"/>
        </w:numPr>
        <w:autoSpaceDE w:val="0"/>
        <w:autoSpaceDN w:val="0"/>
        <w:spacing w:line="360" w:lineRule="auto"/>
        <w:ind w:left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（四）总价金额与按单价汇总金额不一致的，以单价金额计算结果为准。</w:t>
      </w:r>
    </w:p>
    <w:p w14:paraId="22199A13">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3.2 </w:t>
      </w:r>
      <w:r>
        <w:rPr>
          <w:rFonts w:hint="eastAsia" w:ascii="宋体" w:hAnsi="宋体" w:eastAsia="宋体" w:cs="宋体"/>
          <w:color w:val="auto"/>
          <w:sz w:val="21"/>
          <w:szCs w:val="21"/>
          <w:highlight w:val="none"/>
          <w:lang w:eastAsia="zh-CN"/>
        </w:rPr>
        <w:t>详细评审</w:t>
      </w:r>
      <w:bookmarkEnd w:id="580"/>
      <w:bookmarkEnd w:id="581"/>
      <w:bookmarkEnd w:id="582"/>
    </w:p>
    <w:p w14:paraId="4077591F">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3.2.1 </w:t>
      </w:r>
      <w:r>
        <w:rPr>
          <w:rFonts w:hint="eastAsia" w:ascii="Times New Roman" w:hAnsi="Times New Roman" w:eastAsia="宋体" w:cs="宋体"/>
          <w:color w:val="auto"/>
          <w:kern w:val="2"/>
          <w:sz w:val="21"/>
          <w:szCs w:val="21"/>
          <w:highlight w:val="none"/>
          <w:lang w:val="en-US" w:eastAsia="zh-CN" w:bidi="ar"/>
        </w:rPr>
        <w:t>评标委员会按本章第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款规定的量化因素和分值进行打分，并计算出综合评估得分。</w:t>
      </w:r>
    </w:p>
    <w:p w14:paraId="01698C2D">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（一）目规定的评审因素和分值对报价标计算出得分</w:t>
      </w:r>
      <w:r>
        <w:rPr>
          <w:rFonts w:hint="default" w:ascii="Times New Roman" w:hAnsi="Times New Roman" w:eastAsia="宋体" w:cs="Times New Roman"/>
          <w:color w:val="auto"/>
          <w:kern w:val="2"/>
          <w:sz w:val="21"/>
          <w:szCs w:val="21"/>
          <w:highlight w:val="none"/>
          <w:lang w:val="en-US" w:eastAsia="zh-CN" w:bidi="ar"/>
        </w:rPr>
        <w:t>A</w:t>
      </w:r>
      <w:r>
        <w:rPr>
          <w:rFonts w:hint="eastAsia" w:ascii="Times New Roman" w:hAnsi="Times New Roman" w:eastAsia="宋体" w:cs="宋体"/>
          <w:color w:val="auto"/>
          <w:kern w:val="2"/>
          <w:sz w:val="21"/>
          <w:szCs w:val="21"/>
          <w:highlight w:val="none"/>
          <w:lang w:val="en-US" w:eastAsia="zh-CN" w:bidi="ar"/>
        </w:rPr>
        <w:t>；</w:t>
      </w:r>
    </w:p>
    <w:p w14:paraId="711A3C6F">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（二）目规定的评审因素和分值对技术标计算出得分</w:t>
      </w:r>
      <w:r>
        <w:rPr>
          <w:rFonts w:hint="default" w:ascii="Times New Roman" w:hAnsi="Times New Roman" w:eastAsia="宋体" w:cs="Times New Roman"/>
          <w:color w:val="auto"/>
          <w:kern w:val="2"/>
          <w:sz w:val="21"/>
          <w:szCs w:val="21"/>
          <w:highlight w:val="none"/>
          <w:lang w:val="en-US" w:eastAsia="zh-CN" w:bidi="ar"/>
        </w:rPr>
        <w:t>B</w:t>
      </w:r>
      <w:r>
        <w:rPr>
          <w:rFonts w:hint="eastAsia" w:ascii="Times New Roman" w:hAnsi="Times New Roman" w:eastAsia="宋体" w:cs="宋体"/>
          <w:color w:val="auto"/>
          <w:kern w:val="2"/>
          <w:sz w:val="21"/>
          <w:szCs w:val="21"/>
          <w:highlight w:val="none"/>
          <w:lang w:val="en-US" w:eastAsia="zh-CN" w:bidi="ar"/>
        </w:rPr>
        <w:t>；</w:t>
      </w:r>
    </w:p>
    <w:p w14:paraId="19F7A304">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（三）目规定的评审因素和分值对综合标计算出得分</w:t>
      </w:r>
      <w:r>
        <w:rPr>
          <w:rFonts w:hint="default" w:ascii="Times New Roman" w:hAnsi="Times New Roman" w:eastAsia="宋体" w:cs="Times New Roman"/>
          <w:color w:val="auto"/>
          <w:kern w:val="2"/>
          <w:sz w:val="21"/>
          <w:szCs w:val="21"/>
          <w:highlight w:val="none"/>
          <w:lang w:val="en-US" w:eastAsia="zh-CN" w:bidi="ar"/>
        </w:rPr>
        <w:t>C</w:t>
      </w:r>
      <w:r>
        <w:rPr>
          <w:rFonts w:hint="eastAsia" w:ascii="Times New Roman" w:hAnsi="Times New Roman" w:eastAsia="宋体" w:cs="宋体"/>
          <w:color w:val="auto"/>
          <w:kern w:val="2"/>
          <w:sz w:val="21"/>
          <w:szCs w:val="21"/>
          <w:highlight w:val="none"/>
          <w:lang w:val="en-US" w:eastAsia="zh-CN" w:bidi="ar"/>
        </w:rPr>
        <w:t>。</w:t>
      </w:r>
    </w:p>
    <w:p w14:paraId="7DDB9681">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3.2.2 </w:t>
      </w:r>
      <w:r>
        <w:rPr>
          <w:rFonts w:hint="eastAsia" w:ascii="Times New Roman" w:hAnsi="Times New Roman" w:eastAsia="宋体" w:cs="宋体"/>
          <w:color w:val="auto"/>
          <w:kern w:val="2"/>
          <w:sz w:val="21"/>
          <w:szCs w:val="21"/>
          <w:highlight w:val="none"/>
          <w:lang w:val="en-US" w:eastAsia="zh-CN" w:bidi="ar"/>
        </w:rPr>
        <w:t>评分分值计算保留小数点后两位，小数点后第三位“四舍五入”。</w:t>
      </w:r>
    </w:p>
    <w:p w14:paraId="6D869C90">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3.2.3 </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得分</w:t>
      </w:r>
      <w:r>
        <w:rPr>
          <w:rFonts w:hint="default" w:ascii="Times New Roman" w:hAnsi="Times New Roman" w:eastAsia="宋体" w:cs="Times New Roman"/>
          <w:color w:val="auto"/>
          <w:kern w:val="2"/>
          <w:sz w:val="21"/>
          <w:szCs w:val="21"/>
          <w:highlight w:val="none"/>
          <w:lang w:val="en-US" w:eastAsia="zh-CN" w:bidi="ar"/>
        </w:rPr>
        <w:t>=A+B+C</w:t>
      </w:r>
      <w:r>
        <w:rPr>
          <w:rFonts w:hint="eastAsia" w:ascii="Times New Roman" w:hAnsi="Times New Roman" w:eastAsia="宋体" w:cs="宋体"/>
          <w:color w:val="auto"/>
          <w:kern w:val="2"/>
          <w:sz w:val="21"/>
          <w:szCs w:val="21"/>
          <w:highlight w:val="none"/>
          <w:lang w:val="en-US" w:eastAsia="zh-CN" w:bidi="ar"/>
        </w:rPr>
        <w:t>。</w:t>
      </w:r>
    </w:p>
    <w:p w14:paraId="11BAF945">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3.2.4</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的最终得分以全部评委打分的算术平均值为准，作为该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w:t>
      </w:r>
    </w:p>
    <w:p w14:paraId="1A8DBCB7">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3.2.5</w:t>
      </w:r>
      <w:r>
        <w:rPr>
          <w:rFonts w:hint="eastAsia" w:ascii="Times New Roman" w:hAnsi="Times New Roman" w:eastAsia="宋体" w:cs="宋体"/>
          <w:color w:val="auto"/>
          <w:kern w:val="2"/>
          <w:sz w:val="21"/>
          <w:szCs w:val="21"/>
          <w:highlight w:val="none"/>
          <w:lang w:val="en-US" w:eastAsia="zh-CN" w:bidi="ar"/>
        </w:rPr>
        <w:t>评标委员会发现</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的报价明显低于其他投标报价，或者在设有最高投标限价时明显低于最高投标限价，使得其投标报价可能低于其个别成本的，应当要求该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作出书面说明并提供相应的证明材料。</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不能合理说明或者不能提供相应证明材料的，由评标委员会认定该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以低于成本报价竞标，其投标作废标处理。</w:t>
      </w:r>
    </w:p>
    <w:p w14:paraId="69A1C227">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83" w:name="_Toc144974575"/>
      <w:bookmarkStart w:id="584" w:name="_Toc152042385"/>
      <w:bookmarkStart w:id="585" w:name="_Toc152045607"/>
      <w:bookmarkStart w:id="586" w:name="_Toc246996250"/>
      <w:bookmarkStart w:id="587" w:name="_Toc179632625"/>
      <w:bookmarkStart w:id="588" w:name="_Toc246996993"/>
      <w:bookmarkStart w:id="589" w:name="_Toc31768"/>
      <w:bookmarkStart w:id="590" w:name="_Toc247085765"/>
      <w:bookmarkStart w:id="591" w:name="_Toc25021"/>
      <w:bookmarkStart w:id="592" w:name="_Toc338840246"/>
      <w:bookmarkStart w:id="593" w:name="_Toc13959"/>
      <w:bookmarkStart w:id="594" w:name="_Toc10106"/>
      <w:r>
        <w:rPr>
          <w:rFonts w:hint="eastAsia" w:ascii="宋体" w:hAnsi="宋体" w:eastAsia="宋体" w:cs="宋体"/>
          <w:color w:val="auto"/>
          <w:sz w:val="21"/>
          <w:szCs w:val="21"/>
          <w:highlight w:val="none"/>
          <w:lang w:val="en-US"/>
        </w:rPr>
        <w:t xml:space="preserve">3.3 </w:t>
      </w:r>
      <w:r>
        <w:rPr>
          <w:rFonts w:hint="eastAsia" w:ascii="宋体" w:hAnsi="宋体" w:eastAsia="宋体" w:cs="宋体"/>
          <w:color w:val="auto"/>
          <w:sz w:val="21"/>
          <w:szCs w:val="21"/>
          <w:highlight w:val="none"/>
          <w:lang w:eastAsia="zh-CN"/>
        </w:rPr>
        <w:t>投标文件的澄清</w:t>
      </w:r>
      <w:bookmarkEnd w:id="583"/>
      <w:r>
        <w:rPr>
          <w:rFonts w:hint="eastAsia" w:ascii="宋体" w:hAnsi="宋体" w:eastAsia="宋体" w:cs="宋体"/>
          <w:color w:val="auto"/>
          <w:sz w:val="21"/>
          <w:szCs w:val="21"/>
          <w:highlight w:val="none"/>
          <w:lang w:eastAsia="zh-CN"/>
        </w:rPr>
        <w:t>和补正</w:t>
      </w:r>
      <w:bookmarkEnd w:id="584"/>
      <w:bookmarkEnd w:id="585"/>
      <w:bookmarkEnd w:id="586"/>
      <w:bookmarkEnd w:id="587"/>
      <w:bookmarkEnd w:id="588"/>
      <w:bookmarkEnd w:id="589"/>
      <w:bookmarkEnd w:id="590"/>
      <w:bookmarkEnd w:id="591"/>
      <w:bookmarkEnd w:id="592"/>
      <w:bookmarkEnd w:id="593"/>
      <w:bookmarkEnd w:id="594"/>
    </w:p>
    <w:p w14:paraId="54EBDC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3.3.1在评标过程中，评标委员会可以电子形式要求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对所提交投标文件中不明确的内容进行书面澄清或说明，或者对细微偏差进行补正。评标委员会不接受</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主动提出的澄清、说明或补正。评标委员会拒绝</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通过修正或撤消不符合要求的偏差，使之成为具有响应性的投标。</w:t>
      </w:r>
    </w:p>
    <w:p w14:paraId="180166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3.3.2 澄清、说明和补正不得改变投标文件的实质性内容。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的书面澄清、说明和补正属于投标文件的组成部分。</w:t>
      </w:r>
    </w:p>
    <w:p w14:paraId="22C3FF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3.3.3 评标委员会对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提交的澄清、说明或补正有疑问的，可以要求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进一步澄清、说明或补正，直至满足评标委员会的要求。</w:t>
      </w:r>
    </w:p>
    <w:p w14:paraId="328F97CD">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95" w:name="_Toc27282"/>
      <w:bookmarkStart w:id="596" w:name="_Toc20620"/>
      <w:bookmarkStart w:id="597" w:name="_Toc23081"/>
      <w:r>
        <w:rPr>
          <w:rFonts w:hint="eastAsia" w:ascii="宋体" w:hAnsi="宋体" w:eastAsia="宋体" w:cs="宋体"/>
          <w:color w:val="auto"/>
          <w:sz w:val="21"/>
          <w:szCs w:val="21"/>
          <w:highlight w:val="none"/>
          <w:lang w:val="en-US"/>
        </w:rPr>
        <w:t xml:space="preserve">3.4 </w:t>
      </w:r>
      <w:r>
        <w:rPr>
          <w:rFonts w:hint="eastAsia" w:ascii="宋体" w:hAnsi="宋体" w:eastAsia="宋体" w:cs="宋体"/>
          <w:color w:val="auto"/>
          <w:sz w:val="21"/>
          <w:szCs w:val="21"/>
          <w:highlight w:val="none"/>
          <w:lang w:eastAsia="zh-CN"/>
        </w:rPr>
        <w:t>评标结果</w:t>
      </w:r>
      <w:bookmarkEnd w:id="595"/>
      <w:bookmarkEnd w:id="596"/>
      <w:bookmarkEnd w:id="597"/>
    </w:p>
    <w:p w14:paraId="4566A6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采购人可授权评标委员会直接确定中标人，也可由评标委员会按照报价排列名次推荐中标候选人3人。依法必须进行招标的项目，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5795A5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cs="宋体"/>
          <w:highlight w:val="none"/>
        </w:rPr>
      </w:pPr>
      <w:r>
        <w:rPr>
          <w:rFonts w:hint="eastAsia" w:ascii="宋体" w:hAnsi="宋体" w:eastAsia="宋体" w:cs="宋体"/>
          <w:color w:val="auto"/>
          <w:kern w:val="2"/>
          <w:sz w:val="21"/>
          <w:szCs w:val="21"/>
          <w:highlight w:val="none"/>
          <w:lang w:val="en-US" w:eastAsia="zh-CN" w:bidi="ar"/>
        </w:rPr>
        <w:t>评标委员会完成评标后，应当向采购人提交书面评标报告。</w:t>
      </w:r>
    </w:p>
    <w:bookmarkEnd w:id="533"/>
    <w:bookmarkEnd w:id="534"/>
    <w:bookmarkEnd w:id="535"/>
    <w:bookmarkEnd w:id="536"/>
    <w:bookmarkEnd w:id="537"/>
    <w:bookmarkEnd w:id="538"/>
    <w:bookmarkEnd w:id="539"/>
    <w:bookmarkEnd w:id="540"/>
    <w:bookmarkEnd w:id="541"/>
    <w:bookmarkEnd w:id="542"/>
    <w:bookmarkEnd w:id="551"/>
    <w:bookmarkEnd w:id="552"/>
    <w:bookmarkEnd w:id="553"/>
    <w:p w14:paraId="5128FFD0">
      <w:pPr>
        <w:rPr>
          <w:rFonts w:hint="eastAsia"/>
          <w:highlight w:val="none"/>
        </w:rPr>
      </w:pPr>
      <w:bookmarkStart w:id="598" w:name="_Toc14280"/>
      <w:bookmarkStart w:id="599" w:name="_Toc227657520"/>
      <w:bookmarkStart w:id="600" w:name="_Toc246996995"/>
      <w:bookmarkStart w:id="601" w:name="_Toc1820"/>
      <w:bookmarkStart w:id="602" w:name="_Toc494093444"/>
      <w:bookmarkStart w:id="603" w:name="_Toc338840459"/>
      <w:bookmarkStart w:id="604" w:name="_Toc246996252"/>
      <w:bookmarkStart w:id="605" w:name="_Toc346523482"/>
      <w:bookmarkStart w:id="606" w:name="_Toc214433920"/>
      <w:bookmarkStart w:id="607" w:name="_Toc228591542"/>
      <w:bookmarkStart w:id="608" w:name="_Toc228337131"/>
      <w:bookmarkStart w:id="609" w:name="_Toc228881194"/>
      <w:bookmarkStart w:id="610" w:name="_Toc321472083"/>
      <w:bookmarkStart w:id="611" w:name="_Toc179632627"/>
      <w:bookmarkStart w:id="612" w:name="_Toc338840498"/>
      <w:bookmarkStart w:id="613" w:name="_Toc346523419"/>
      <w:bookmarkStart w:id="614" w:name="_Toc338840250"/>
      <w:bookmarkStart w:id="615" w:name="_Toc494103006"/>
      <w:bookmarkStart w:id="616" w:name="_Toc247085767"/>
      <w:bookmarkStart w:id="617" w:name="_Toc228589196"/>
      <w:bookmarkStart w:id="618" w:name="_Toc227492277"/>
      <w:bookmarkStart w:id="619" w:name="_Toc14344"/>
      <w:bookmarkStart w:id="620" w:name="_Toc321472343"/>
      <w:bookmarkStart w:id="621" w:name="_Toc228591690"/>
    </w:p>
    <w:p w14:paraId="2B00F7B1">
      <w:pPr>
        <w:pStyle w:val="2"/>
        <w:numPr>
          <w:ilvl w:val="0"/>
          <w:numId w:val="4"/>
        </w:numPr>
        <w:spacing w:before="0" w:after="0" w:line="240" w:lineRule="auto"/>
        <w:ind w:left="0" w:firstLine="0"/>
        <w:jc w:val="center"/>
        <w:rPr>
          <w:rFonts w:hint="eastAsia" w:ascii="宋体" w:hAnsi="宋体" w:cs="宋体"/>
          <w:bCs w:val="0"/>
          <w:highlight w:val="none"/>
        </w:rPr>
      </w:pPr>
      <w:r>
        <w:rPr>
          <w:rFonts w:hint="eastAsia" w:ascii="宋体" w:hAnsi="宋体" w:cs="宋体"/>
          <w:bCs w:val="0"/>
          <w:highlight w:val="none"/>
        </w:rPr>
        <w:t xml:space="preserve"> 政府采购合同</w:t>
      </w:r>
    </w:p>
    <w:p w14:paraId="75168D5B">
      <w:pPr>
        <w:pStyle w:val="2"/>
        <w:numPr>
          <w:ilvl w:val="0"/>
          <w:numId w:val="0"/>
        </w:numPr>
        <w:spacing w:before="0" w:after="0" w:line="240" w:lineRule="auto"/>
        <w:ind w:leftChars="0"/>
        <w:jc w:val="center"/>
        <w:outlineLvl w:val="0"/>
        <w:rPr>
          <w:rFonts w:ascii="宋体" w:hAnsi="宋体" w:cs="宋体"/>
          <w:bCs w:val="0"/>
          <w:sz w:val="32"/>
          <w:szCs w:val="32"/>
          <w:highlight w:val="none"/>
        </w:rPr>
      </w:pPr>
      <w:r>
        <w:rPr>
          <w:rFonts w:hint="eastAsia" w:ascii="宋体" w:hAnsi="宋体" w:cs="宋体"/>
          <w:bCs w:val="0"/>
          <w:sz w:val="32"/>
          <w:szCs w:val="32"/>
          <w:highlight w:val="none"/>
        </w:rPr>
        <w:t>(</w:t>
      </w:r>
      <w:r>
        <w:rPr>
          <w:rFonts w:hint="eastAsia" w:ascii="宋体" w:hAnsi="宋体" w:cs="宋体"/>
          <w:bCs w:val="0"/>
          <w:sz w:val="32"/>
          <w:szCs w:val="32"/>
          <w:highlight w:val="none"/>
          <w:lang w:val="en-US" w:eastAsia="zh-CN"/>
        </w:rPr>
        <w:t>参考格式</w:t>
      </w:r>
      <w:r>
        <w:rPr>
          <w:rFonts w:hint="eastAsia" w:ascii="宋体" w:hAnsi="宋体" w:cs="宋体"/>
          <w:bCs w:val="0"/>
          <w:sz w:val="32"/>
          <w:szCs w:val="32"/>
          <w:highlight w:val="none"/>
        </w:rPr>
        <w:t>)</w:t>
      </w:r>
    </w:p>
    <w:p w14:paraId="1A5BA615">
      <w:pPr>
        <w:spacing w:line="360" w:lineRule="auto"/>
        <w:jc w:val="both"/>
        <w:rPr>
          <w:rFonts w:asciiTheme="minorEastAsia" w:hAnsiTheme="minorEastAsia" w:eastAsiaTheme="minorEastAsia"/>
          <w:highlight w:val="none"/>
        </w:rPr>
      </w:pPr>
    </w:p>
    <w:p w14:paraId="170FF562">
      <w:pPr>
        <w:spacing w:beforeLines="50" w:afterLines="50" w:line="360" w:lineRule="auto"/>
        <w:ind w:firstLine="1760" w:firstLineChars="400"/>
        <w:jc w:val="left"/>
        <w:outlineLvl w:val="1"/>
        <w:rPr>
          <w:rFonts w:hint="eastAsia" w:cs="Times New Roman" w:asciiTheme="minorEastAsia" w:hAnsiTheme="minorEastAsia" w:eastAsiaTheme="minorEastAsia"/>
          <w:sz w:val="44"/>
          <w:szCs w:val="44"/>
          <w:highlight w:val="none"/>
          <w:lang w:eastAsia="zh-CN"/>
        </w:rPr>
      </w:pPr>
      <w:bookmarkStart w:id="622" w:name="_Toc27336"/>
    </w:p>
    <w:p w14:paraId="7BC368F6">
      <w:pPr>
        <w:spacing w:beforeLines="50" w:afterLines="50" w:line="360" w:lineRule="auto"/>
        <w:ind w:firstLine="2520" w:firstLineChars="700"/>
        <w:jc w:val="left"/>
        <w:outlineLvl w:val="1"/>
        <w:rPr>
          <w:rFonts w:hint="default" w:cs="Times New Roman" w:asciiTheme="minorEastAsia" w:hAnsiTheme="minorEastAsia" w:eastAsiaTheme="minorEastAsia"/>
          <w:sz w:val="36"/>
          <w:szCs w:val="36"/>
          <w:highlight w:val="none"/>
          <w:lang w:val="en-US" w:eastAsia="zh-CN"/>
        </w:rPr>
      </w:pPr>
      <w:r>
        <w:rPr>
          <w:rFonts w:hint="eastAsia" w:cs="Times New Roman" w:asciiTheme="minorEastAsia" w:hAnsiTheme="minorEastAsia" w:eastAsiaTheme="minorEastAsia"/>
          <w:sz w:val="36"/>
          <w:szCs w:val="36"/>
          <w:highlight w:val="none"/>
          <w:lang w:eastAsia="zh-CN"/>
        </w:rPr>
        <w:t>项目名称：</w:t>
      </w:r>
      <w:bookmarkEnd w:id="622"/>
      <w:r>
        <w:rPr>
          <w:rFonts w:hint="eastAsia" w:cs="Times New Roman" w:asciiTheme="minorEastAsia" w:hAnsiTheme="minorEastAsia" w:eastAsiaTheme="minorEastAsia"/>
          <w:sz w:val="36"/>
          <w:szCs w:val="36"/>
          <w:highlight w:val="none"/>
          <w:u w:val="single"/>
          <w:lang w:val="en-US" w:eastAsia="zh-CN"/>
        </w:rPr>
        <w:t xml:space="preserve">         </w:t>
      </w:r>
      <w:r>
        <w:rPr>
          <w:rFonts w:hint="eastAsia" w:cs="Times New Roman" w:asciiTheme="minorEastAsia" w:hAnsiTheme="minorEastAsia" w:eastAsiaTheme="minorEastAsia"/>
          <w:sz w:val="36"/>
          <w:szCs w:val="36"/>
          <w:highlight w:val="none"/>
          <w:lang w:val="en-US" w:eastAsia="zh-CN"/>
        </w:rPr>
        <w:t xml:space="preserve">  </w:t>
      </w:r>
    </w:p>
    <w:p w14:paraId="450B60FB">
      <w:pPr>
        <w:spacing w:line="360" w:lineRule="auto"/>
        <w:jc w:val="center"/>
        <w:rPr>
          <w:rFonts w:asciiTheme="minorEastAsia" w:hAnsiTheme="minorEastAsia" w:eastAsiaTheme="minorEastAsia"/>
          <w:sz w:val="40"/>
          <w:szCs w:val="21"/>
          <w:highlight w:val="none"/>
        </w:rPr>
      </w:pPr>
    </w:p>
    <w:p w14:paraId="282C7AB6">
      <w:pPr>
        <w:spacing w:line="360" w:lineRule="auto"/>
        <w:jc w:val="center"/>
        <w:rPr>
          <w:rFonts w:asciiTheme="minorEastAsia" w:hAnsiTheme="minorEastAsia" w:eastAsiaTheme="minorEastAsia"/>
          <w:sz w:val="40"/>
          <w:szCs w:val="21"/>
          <w:highlight w:val="none"/>
        </w:rPr>
      </w:pPr>
    </w:p>
    <w:p w14:paraId="3A5C9760">
      <w:pPr>
        <w:spacing w:line="360" w:lineRule="auto"/>
        <w:ind w:firstLine="210"/>
        <w:rPr>
          <w:sz w:val="18"/>
          <w:szCs w:val="21"/>
          <w:highlight w:val="none"/>
          <w:lang w:eastAsia="zh-CN"/>
        </w:rPr>
      </w:pPr>
    </w:p>
    <w:p w14:paraId="373264CA">
      <w:pPr>
        <w:spacing w:line="360" w:lineRule="auto"/>
        <w:rPr>
          <w:sz w:val="18"/>
          <w:szCs w:val="21"/>
          <w:highlight w:val="none"/>
        </w:rPr>
      </w:pPr>
    </w:p>
    <w:p w14:paraId="5B3D7791">
      <w:pPr>
        <w:spacing w:line="360" w:lineRule="auto"/>
        <w:rPr>
          <w:sz w:val="18"/>
          <w:szCs w:val="21"/>
          <w:highlight w:val="none"/>
        </w:rPr>
      </w:pPr>
    </w:p>
    <w:p w14:paraId="50A46B2E">
      <w:pPr>
        <w:spacing w:line="360" w:lineRule="auto"/>
        <w:rPr>
          <w:sz w:val="18"/>
          <w:szCs w:val="21"/>
          <w:highlight w:val="none"/>
        </w:rPr>
      </w:pPr>
    </w:p>
    <w:p w14:paraId="5D69001A">
      <w:pPr>
        <w:spacing w:line="360" w:lineRule="auto"/>
        <w:rPr>
          <w:sz w:val="18"/>
          <w:szCs w:val="21"/>
          <w:highlight w:val="none"/>
        </w:rPr>
      </w:pPr>
    </w:p>
    <w:p w14:paraId="6B38CA32">
      <w:pPr>
        <w:spacing w:beforeLines="50" w:afterLines="50" w:line="360" w:lineRule="auto"/>
        <w:jc w:val="left"/>
        <w:rPr>
          <w:rFonts w:asciiTheme="minorEastAsia" w:hAnsiTheme="minorEastAsia" w:eastAsiaTheme="minorEastAsia"/>
          <w:sz w:val="36"/>
          <w:szCs w:val="36"/>
          <w:highlight w:val="none"/>
        </w:rPr>
      </w:pPr>
    </w:p>
    <w:p w14:paraId="1836687C">
      <w:pPr>
        <w:spacing w:beforeLines="50" w:afterLines="50" w:line="360" w:lineRule="auto"/>
        <w:ind w:firstLine="360" w:firstLineChars="100"/>
        <w:jc w:val="left"/>
        <w:rPr>
          <w:rFonts w:asciiTheme="minorEastAsia" w:hAnsiTheme="minorEastAsia" w:eastAsiaTheme="minorEastAsia"/>
          <w:sz w:val="36"/>
          <w:szCs w:val="36"/>
          <w:highlight w:val="none"/>
        </w:rPr>
      </w:pPr>
    </w:p>
    <w:p w14:paraId="4B3D97D5">
      <w:pPr>
        <w:spacing w:beforeLines="50" w:afterLines="50" w:line="360" w:lineRule="auto"/>
        <w:ind w:firstLine="360" w:firstLineChars="100"/>
        <w:jc w:val="left"/>
        <w:rPr>
          <w:rFonts w:asciiTheme="minorEastAsia" w:hAnsiTheme="minorEastAsia" w:eastAsiaTheme="minorEastAsia"/>
          <w:sz w:val="36"/>
          <w:szCs w:val="36"/>
          <w:highlight w:val="none"/>
        </w:rPr>
      </w:pPr>
      <w:r>
        <w:rPr>
          <w:rFonts w:asciiTheme="minorEastAsia" w:hAnsiTheme="minorEastAsia" w:eastAsiaTheme="minorEastAsia"/>
          <w:sz w:val="36"/>
          <w:szCs w:val="36"/>
          <w:highlight w:val="none"/>
        </w:rPr>
        <w:t>甲    方：</w:t>
      </w:r>
    </w:p>
    <w:p w14:paraId="41CDD716">
      <w:pPr>
        <w:spacing w:beforeLines="50" w:afterLines="50" w:line="360" w:lineRule="auto"/>
        <w:ind w:firstLine="360" w:firstLineChars="100"/>
        <w:jc w:val="left"/>
        <w:rPr>
          <w:rFonts w:asciiTheme="minorEastAsia" w:hAnsiTheme="minorEastAsia" w:eastAsiaTheme="minorEastAsia"/>
          <w:sz w:val="36"/>
          <w:szCs w:val="36"/>
          <w:highlight w:val="none"/>
          <w:u w:val="single"/>
        </w:rPr>
      </w:pPr>
      <w:r>
        <w:rPr>
          <w:rFonts w:asciiTheme="minorEastAsia" w:hAnsiTheme="minorEastAsia" w:eastAsiaTheme="minorEastAsia"/>
          <w:sz w:val="36"/>
          <w:szCs w:val="36"/>
          <w:highlight w:val="none"/>
        </w:rPr>
        <w:t>乙    方：</w:t>
      </w:r>
    </w:p>
    <w:p w14:paraId="1591D62A">
      <w:pPr>
        <w:spacing w:beforeLines="50" w:afterLines="50" w:line="360" w:lineRule="auto"/>
        <w:ind w:firstLine="360" w:firstLineChars="100"/>
        <w:jc w:val="left"/>
        <w:outlineLvl w:val="1"/>
        <w:rPr>
          <w:rFonts w:asciiTheme="minorEastAsia" w:hAnsiTheme="minorEastAsia" w:eastAsiaTheme="minorEastAsia"/>
          <w:sz w:val="36"/>
          <w:szCs w:val="36"/>
          <w:highlight w:val="none"/>
        </w:rPr>
      </w:pPr>
      <w:bookmarkStart w:id="623" w:name="_Toc20933"/>
      <w:r>
        <w:rPr>
          <w:rFonts w:asciiTheme="minorEastAsia" w:hAnsiTheme="minorEastAsia" w:eastAsiaTheme="minorEastAsia"/>
          <w:sz w:val="36"/>
          <w:szCs w:val="36"/>
          <w:highlight w:val="none"/>
        </w:rPr>
        <w:t>签订日期：年</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月</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日</w:t>
      </w:r>
      <w:bookmarkEnd w:id="623"/>
    </w:p>
    <w:p w14:paraId="78A8D38F">
      <w:pPr>
        <w:spacing w:beforeLines="50" w:afterLines="50" w:line="360" w:lineRule="auto"/>
        <w:rPr>
          <w:rFonts w:asciiTheme="minorEastAsia" w:hAnsiTheme="minorEastAsia" w:eastAsiaTheme="minorEastAsia"/>
          <w:highlight w:val="none"/>
        </w:rPr>
        <w:sectPr>
          <w:footerReference r:id="rId5" w:type="default"/>
          <w:pgSz w:w="11906" w:h="16838"/>
          <w:pgMar w:top="1440" w:right="1418" w:bottom="1440" w:left="998" w:header="851" w:footer="992" w:gutter="567"/>
          <w:pgNumType w:fmt="decimal" w:start="1"/>
          <w:cols w:space="720" w:num="1"/>
          <w:docGrid w:type="lines" w:linePitch="312" w:charSpace="0"/>
        </w:sectPr>
      </w:pP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0DB46538">
      <w:pPr>
        <w:spacing w:line="360" w:lineRule="auto"/>
        <w:ind w:firstLine="420" w:firstLineChars="200"/>
        <w:rPr>
          <w:rFonts w:hint="eastAsia" w:ascii="宋体" w:hAnsi="宋体" w:cs="宋体"/>
          <w:color w:val="auto"/>
          <w:sz w:val="21"/>
          <w:szCs w:val="21"/>
          <w:highlight w:val="none"/>
          <w:u w:val="single"/>
        </w:rPr>
      </w:pPr>
      <w:bookmarkStart w:id="624" w:name="_Toc1185"/>
      <w:bookmarkStart w:id="625" w:name="_Toc12935"/>
      <w:r>
        <w:rPr>
          <w:rFonts w:hint="eastAsia" w:ascii="宋体" w:hAnsi="宋体" w:cs="宋体"/>
          <w:color w:val="auto"/>
          <w:sz w:val="21"/>
          <w:szCs w:val="21"/>
          <w:highlight w:val="none"/>
        </w:rPr>
        <w:t>委托方（甲方）：</w:t>
      </w:r>
      <w:r>
        <w:rPr>
          <w:rFonts w:hint="eastAsia" w:ascii="宋体" w:hAnsi="宋体" w:cs="宋体"/>
          <w:color w:val="auto"/>
          <w:sz w:val="21"/>
          <w:szCs w:val="21"/>
          <w:highlight w:val="none"/>
          <w:u w:val="single"/>
        </w:rPr>
        <w:t xml:space="preserve">                    </w:t>
      </w:r>
    </w:p>
    <w:p w14:paraId="751A9061">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受托方（乙方）：</w:t>
      </w:r>
      <w:r>
        <w:rPr>
          <w:rFonts w:hint="eastAsia" w:ascii="宋体" w:hAnsi="宋体" w:cs="宋体"/>
          <w:color w:val="auto"/>
          <w:sz w:val="21"/>
          <w:szCs w:val="21"/>
          <w:highlight w:val="none"/>
          <w:u w:val="single"/>
        </w:rPr>
        <w:t xml:space="preserve">                       </w:t>
      </w:r>
    </w:p>
    <w:p w14:paraId="4D664D8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甲方委托乙方承担</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（项目名称）。根据国家</w:t>
      </w:r>
      <w:r>
        <w:rPr>
          <w:color w:val="auto"/>
          <w:sz w:val="21"/>
          <w:szCs w:val="21"/>
          <w:highlight w:val="none"/>
          <w:lang w:eastAsia="zh-CN"/>
        </w:rPr>
        <w:t>《中华人民共和国政府采购法》、</w:t>
      </w:r>
      <w:r>
        <w:rPr>
          <w:rFonts w:hint="eastAsia" w:ascii="宋体" w:hAnsi="宋体" w:cs="宋体"/>
          <w:color w:val="auto"/>
          <w:sz w:val="21"/>
          <w:szCs w:val="21"/>
          <w:highlight w:val="none"/>
        </w:rPr>
        <w:t>《中华人民共和国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》等有关精神规定，经双方协商一致，签订本合同，以共同执行。</w:t>
      </w:r>
    </w:p>
    <w:p w14:paraId="62577018">
      <w:pPr>
        <w:spacing w:line="360" w:lineRule="auto"/>
        <w:ind w:firstLine="422" w:firstLineChars="200"/>
        <w:outlineLvl w:val="1"/>
        <w:rPr>
          <w:rFonts w:hint="eastAsia" w:ascii="宋体" w:hAnsi="宋体" w:cs="宋体"/>
          <w:b/>
          <w:bCs/>
          <w:color w:val="auto"/>
          <w:sz w:val="21"/>
          <w:szCs w:val="21"/>
          <w:highlight w:val="none"/>
        </w:rPr>
      </w:pPr>
      <w:bookmarkStart w:id="626" w:name="_Toc30075"/>
      <w:r>
        <w:rPr>
          <w:rFonts w:hint="eastAsia" w:ascii="宋体" w:hAnsi="宋体" w:cs="宋体"/>
          <w:b/>
          <w:bCs/>
          <w:color w:val="auto"/>
          <w:sz w:val="21"/>
          <w:szCs w:val="21"/>
          <w:highlight w:val="none"/>
        </w:rPr>
        <w:t>第一条：项目名称和地点</w:t>
      </w:r>
      <w:bookmarkEnd w:id="626"/>
    </w:p>
    <w:p w14:paraId="55C1E91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p w14:paraId="585454AF">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服务地点：          </w:t>
      </w:r>
      <w:r>
        <w:rPr>
          <w:rFonts w:hint="eastAsia" w:ascii="宋体" w:hAnsi="宋体" w:cs="宋体"/>
          <w:color w:val="auto"/>
          <w:sz w:val="21"/>
          <w:szCs w:val="21"/>
          <w:highlight w:val="none"/>
          <w:u w:val="single"/>
        </w:rPr>
        <w:t xml:space="preserve">          </w:t>
      </w:r>
    </w:p>
    <w:p w14:paraId="0A9F075F">
      <w:pPr>
        <w:spacing w:line="360" w:lineRule="auto"/>
        <w:ind w:firstLine="422" w:firstLineChars="200"/>
        <w:outlineLvl w:val="1"/>
        <w:rPr>
          <w:rFonts w:hint="eastAsia" w:ascii="宋体" w:hAnsi="宋体" w:cs="宋体"/>
          <w:b/>
          <w:bCs/>
          <w:color w:val="auto"/>
          <w:sz w:val="21"/>
          <w:szCs w:val="21"/>
          <w:highlight w:val="none"/>
        </w:rPr>
      </w:pPr>
      <w:bookmarkStart w:id="627" w:name="_Toc25092"/>
      <w:r>
        <w:rPr>
          <w:rFonts w:hint="eastAsia" w:ascii="宋体" w:hAnsi="宋体" w:cs="宋体"/>
          <w:b/>
          <w:bCs/>
          <w:color w:val="auto"/>
          <w:sz w:val="21"/>
          <w:szCs w:val="21"/>
          <w:highlight w:val="none"/>
        </w:rPr>
        <w:t>第二条：服务内容及进度安排</w:t>
      </w:r>
      <w:bookmarkEnd w:id="627"/>
    </w:p>
    <w:p w14:paraId="470FDCA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1.服务内容：乙方以甲方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要求，为甲方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项目成果文件。</w:t>
      </w:r>
    </w:p>
    <w:p w14:paraId="1881532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2．验收标准：乙方所编制的成果文件必须符合国家、省、市有关法律、法规及标准的要求，同时还必须满足国家对此类项目技术服务的有关标准和要求。</w:t>
      </w:r>
    </w:p>
    <w:p w14:paraId="59D9726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3．技术服务进度：</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2B5282">
      <w:pPr>
        <w:spacing w:line="360" w:lineRule="auto"/>
        <w:ind w:firstLine="422" w:firstLineChars="200"/>
        <w:outlineLvl w:val="1"/>
        <w:rPr>
          <w:rFonts w:hint="eastAsia" w:ascii="宋体" w:hAnsi="宋体" w:cs="宋体"/>
          <w:b/>
          <w:bCs/>
          <w:color w:val="auto"/>
          <w:sz w:val="21"/>
          <w:szCs w:val="21"/>
          <w:highlight w:val="none"/>
        </w:rPr>
      </w:pPr>
      <w:bookmarkStart w:id="628" w:name="_Toc12378"/>
      <w:r>
        <w:rPr>
          <w:rFonts w:hint="eastAsia" w:ascii="宋体" w:hAnsi="宋体" w:cs="宋体"/>
          <w:b/>
          <w:bCs/>
          <w:color w:val="auto"/>
          <w:sz w:val="21"/>
          <w:szCs w:val="21"/>
          <w:highlight w:val="none"/>
        </w:rPr>
        <w:t>第三条：费用及支付</w:t>
      </w:r>
      <w:bookmarkEnd w:id="628"/>
    </w:p>
    <w:p w14:paraId="4098241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1、技术服务费总额为：￥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元整）。</w:t>
      </w:r>
    </w:p>
    <w:p w14:paraId="67135DE7">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2、具体支付方式、时间：</w:t>
      </w:r>
      <w:r>
        <w:rPr>
          <w:rFonts w:hint="eastAsia" w:ascii="宋体" w:hAnsi="宋体" w:cs="宋体"/>
          <w:color w:val="auto"/>
          <w:sz w:val="21"/>
          <w:szCs w:val="21"/>
          <w:highlight w:val="none"/>
          <w:u w:val="single"/>
        </w:rPr>
        <w:t xml:space="preserve">                                      </w:t>
      </w:r>
    </w:p>
    <w:p w14:paraId="32C30667">
      <w:pPr>
        <w:spacing w:line="360" w:lineRule="auto"/>
        <w:ind w:firstLine="422" w:firstLineChars="200"/>
        <w:outlineLvl w:val="1"/>
        <w:rPr>
          <w:rFonts w:hint="eastAsia" w:ascii="宋体" w:hAnsi="宋体" w:cs="宋体"/>
          <w:b/>
          <w:bCs/>
          <w:color w:val="auto"/>
          <w:sz w:val="21"/>
          <w:szCs w:val="21"/>
          <w:highlight w:val="none"/>
        </w:rPr>
      </w:pPr>
      <w:bookmarkStart w:id="629" w:name="_Toc30898"/>
      <w:r>
        <w:rPr>
          <w:rFonts w:hint="eastAsia" w:ascii="宋体" w:hAnsi="宋体" w:cs="宋体"/>
          <w:b/>
          <w:bCs/>
          <w:color w:val="auto"/>
          <w:sz w:val="21"/>
          <w:szCs w:val="21"/>
          <w:highlight w:val="none"/>
        </w:rPr>
        <w:t>第四条：权利和义务</w:t>
      </w:r>
      <w:bookmarkEnd w:id="629"/>
    </w:p>
    <w:p w14:paraId="642C71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1．甲方权利</w:t>
      </w:r>
    </w:p>
    <w:p w14:paraId="6DF612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⑴有权要求乙方按照本合同约定提交项目服务成果；</w:t>
      </w:r>
    </w:p>
    <w:p w14:paraId="51BDEC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⑵有权随时对乙方的服务进行监督检查；</w:t>
      </w:r>
    </w:p>
    <w:p w14:paraId="1D1D0AE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⑶有权要求乙方对其服务过程中存在的问题进行整改；</w:t>
      </w:r>
    </w:p>
    <w:p w14:paraId="47B4A53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2．甲方义务</w:t>
      </w:r>
    </w:p>
    <w:p w14:paraId="5832AAE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⑴甲方按乙方所需资料清单在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日内提供技术资料，并对其可靠性和准确性负责。因甲方不能及时向乙方提供项目所需资料，则</w:t>
      </w:r>
      <w:r>
        <w:rPr>
          <w:rFonts w:hint="eastAsia" w:ascii="宋体" w:hAnsi="宋体" w:cs="宋体"/>
          <w:color w:val="auto"/>
          <w:sz w:val="21"/>
          <w:szCs w:val="21"/>
          <w:highlight w:val="none"/>
          <w:lang w:eastAsia="zh-CN"/>
        </w:rPr>
        <w:t>服务期限</w:t>
      </w:r>
      <w:r>
        <w:rPr>
          <w:rFonts w:hint="eastAsia" w:ascii="宋体" w:hAnsi="宋体" w:cs="宋体"/>
          <w:color w:val="auto"/>
          <w:sz w:val="21"/>
          <w:szCs w:val="21"/>
          <w:highlight w:val="none"/>
        </w:rPr>
        <w:t>进度顺延。</w:t>
      </w:r>
    </w:p>
    <w:p w14:paraId="71819CF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⑵提供工作条件</w:t>
      </w:r>
    </w:p>
    <w:p w14:paraId="5C8065D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①甲方应为乙方现场踏勘提供方便条件；</w:t>
      </w:r>
    </w:p>
    <w:p w14:paraId="38F3AAF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②因甲方不能及时为乙方提供工作条件，则服务期限进度顺延。</w:t>
      </w:r>
    </w:p>
    <w:p w14:paraId="5DEA5D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⑶甲方应按约定及时向乙方提供所需经费；因甲方不能及时向乙方提供所需经费，则服务期限进度顺延。</w:t>
      </w:r>
    </w:p>
    <w:p w14:paraId="1B5271F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3．乙方权利</w:t>
      </w:r>
    </w:p>
    <w:p w14:paraId="3B4F832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①接受甲方提供的技术资料、数据等；</w:t>
      </w:r>
    </w:p>
    <w:p w14:paraId="62B314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②交付符合本合同要求的工作成果并获得报酬；</w:t>
      </w:r>
    </w:p>
    <w:p w14:paraId="6DEC4FA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4．乙方义务</w:t>
      </w:r>
    </w:p>
    <w:p w14:paraId="7B48794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按照合同约定的进度向甲方提交成果技术文件。</w:t>
      </w:r>
    </w:p>
    <w:p w14:paraId="37E49211">
      <w:pPr>
        <w:spacing w:line="360" w:lineRule="auto"/>
        <w:ind w:firstLine="422" w:firstLineChars="200"/>
        <w:outlineLvl w:val="1"/>
        <w:rPr>
          <w:rFonts w:hint="eastAsia" w:ascii="宋体" w:hAnsi="宋体" w:cs="宋体"/>
          <w:b/>
          <w:bCs/>
          <w:color w:val="auto"/>
          <w:sz w:val="21"/>
          <w:szCs w:val="21"/>
          <w:highlight w:val="none"/>
        </w:rPr>
      </w:pPr>
      <w:bookmarkStart w:id="630" w:name="_Toc30733"/>
      <w:r>
        <w:rPr>
          <w:rFonts w:hint="eastAsia" w:ascii="宋体" w:hAnsi="宋体" w:cs="宋体"/>
          <w:b/>
          <w:bCs/>
          <w:color w:val="auto"/>
          <w:sz w:val="21"/>
          <w:szCs w:val="21"/>
          <w:highlight w:val="none"/>
        </w:rPr>
        <w:t>第五条：违约责任</w:t>
      </w:r>
      <w:bookmarkEnd w:id="630"/>
    </w:p>
    <w:p w14:paraId="5A17110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1．甲方迟延合同约定时间提供资料，或所提资料不准确，影响工作进度和质量时，双方应协商解决。</w:t>
      </w:r>
    </w:p>
    <w:p w14:paraId="494FBCA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2．乙方提交的成果技术文件不能满足合同约定要求时，乙方应负责修改、完善直至达到合同约定要求。</w:t>
      </w:r>
    </w:p>
    <w:p w14:paraId="31D07DE5">
      <w:pPr>
        <w:spacing w:line="360" w:lineRule="auto"/>
        <w:ind w:firstLine="420" w:firstLineChars="200"/>
        <w:outlineLvl w:val="1"/>
        <w:rPr>
          <w:rFonts w:hint="eastAsia" w:ascii="宋体" w:hAnsi="宋体" w:cs="宋体"/>
          <w:color w:val="auto"/>
          <w:sz w:val="21"/>
          <w:szCs w:val="21"/>
          <w:highlight w:val="none"/>
        </w:rPr>
      </w:pPr>
      <w:bookmarkStart w:id="631" w:name="_Toc22918"/>
      <w:r>
        <w:rPr>
          <w:rFonts w:hint="eastAsia" w:ascii="宋体" w:hAnsi="宋体" w:cs="宋体"/>
          <w:color w:val="auto"/>
          <w:sz w:val="21"/>
          <w:szCs w:val="21"/>
          <w:highlight w:val="none"/>
        </w:rPr>
        <w:t>第六条：其他约定</w:t>
      </w:r>
      <w:bookmarkEnd w:id="631"/>
    </w:p>
    <w:p w14:paraId="59EB0DE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1．如果甲方变更委托项目、规模、条件，或因提交的资料较大修改、错误等，造成乙方返工，双方另行协商补充协议，甲方应按乙方所增加工作量向乙方支付返工费用。</w:t>
      </w:r>
    </w:p>
    <w:p w14:paraId="76EB20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如果甲方故意隐瞒委托项目的规模、条件、内容等或提供任何虚假及不完整信息造成成果文件内容与实际建设内容不吻合，导致因成果技术文件结论与真实情况不符而未能通过主管部门审查，使乙方造成损失的，一切法律及经济责任由甲方承担。</w:t>
      </w:r>
    </w:p>
    <w:p w14:paraId="6DB2B33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3.保密 </w:t>
      </w:r>
    </w:p>
    <w:p w14:paraId="251380C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3.1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14:paraId="6BFA131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3.2未经乙方事先书面同意，甲方不得将由乙方为本合同提供的条文、规格、计划、图纸、模型、样品或资料等提供给与本合同无关的任何第三方，不得将其用于履行本合同之外的其它用途。即使向与履行本合同有关的人员提供，也应注意保密并限于履行合同所必需的范围。 </w:t>
      </w:r>
    </w:p>
    <w:p w14:paraId="18FC049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．本合同壹式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份，甲方执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份，乙方执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份，任何一方不得擅自涂改、变更或解除合同，双方履行完合同约定条款后，本合同即行终止。</w:t>
      </w:r>
    </w:p>
    <w:p w14:paraId="7A0D3B4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                                        乙方：</w:t>
      </w:r>
    </w:p>
    <w:p w14:paraId="13CCE21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法定代表人或委托代理人：                      法定代表人或委托代理人：</w:t>
      </w:r>
    </w:p>
    <w:p w14:paraId="5ED03B8E">
      <w:pPr>
        <w:spacing w:line="360" w:lineRule="auto"/>
        <w:ind w:firstLine="420" w:firstLineChars="200"/>
        <w:rPr>
          <w:rFonts w:hint="eastAsia" w:ascii="宋体" w:hAnsi="宋体"/>
          <w:b/>
          <w:color w:val="auto"/>
          <w:sz w:val="21"/>
          <w:szCs w:val="21"/>
          <w:highlight w:val="none"/>
        </w:rPr>
      </w:pPr>
      <w:r>
        <w:rPr>
          <w:rFonts w:hint="eastAsia" w:ascii="宋体" w:hAnsi="宋体" w:cs="宋体"/>
          <w:color w:val="auto"/>
          <w:sz w:val="21"/>
          <w:szCs w:val="21"/>
          <w:highlight w:val="none"/>
        </w:rPr>
        <w:t>年   月    日                                  年   月   日</w:t>
      </w:r>
    </w:p>
    <w:p w14:paraId="411D01D8">
      <w:pPr>
        <w:spacing w:line="360" w:lineRule="auto"/>
        <w:rPr>
          <w:rFonts w:hint="eastAsia"/>
          <w:b/>
          <w:bCs/>
          <w:color w:val="auto"/>
          <w:sz w:val="21"/>
          <w:szCs w:val="21"/>
          <w:highlight w:val="none"/>
        </w:rPr>
      </w:pPr>
      <w:r>
        <w:rPr>
          <w:rFonts w:hint="eastAsia"/>
          <w:b/>
          <w:bCs/>
          <w:color w:val="auto"/>
          <w:sz w:val="21"/>
          <w:szCs w:val="21"/>
          <w:highlight w:val="none"/>
        </w:rPr>
        <w:t>注：以上合同范本仅供参考，最终条款以采购人与成交人自行协商。</w:t>
      </w:r>
    </w:p>
    <w:p w14:paraId="739C909C">
      <w:pPr>
        <w:pStyle w:val="2"/>
        <w:numPr>
          <w:ilvl w:val="0"/>
          <w:numId w:val="5"/>
        </w:numPr>
        <w:spacing w:line="360" w:lineRule="auto"/>
        <w:ind w:left="2"/>
        <w:rPr>
          <w:rFonts w:ascii="宋体" w:hAnsi="宋体" w:cs="宋体"/>
          <w:bCs w:val="0"/>
          <w:highlight w:val="none"/>
        </w:rPr>
      </w:pPr>
      <w:r>
        <w:rPr>
          <w:rFonts w:hint="eastAsia"/>
          <w:b/>
          <w:bCs/>
          <w:color w:val="auto"/>
          <w:sz w:val="21"/>
          <w:szCs w:val="21"/>
          <w:highlight w:val="none"/>
        </w:rPr>
        <w:br w:type="page"/>
      </w:r>
      <w:r>
        <w:rPr>
          <w:rFonts w:hint="eastAsia"/>
          <w:b/>
          <w:bCs/>
          <w:color w:val="auto"/>
          <w:highlight w:val="none"/>
          <w:lang w:val="en-US" w:eastAsia="zh-CN"/>
        </w:rPr>
        <w:t xml:space="preserve"> </w:t>
      </w:r>
      <w:bookmarkStart w:id="632" w:name="_Toc307"/>
      <w:bookmarkStart w:id="633" w:name="_Toc46"/>
      <w:bookmarkStart w:id="634" w:name="_Toc12718"/>
      <w:r>
        <w:rPr>
          <w:rFonts w:hint="eastAsia" w:cs="Times New Roman"/>
          <w:highlight w:val="none"/>
        </w:rPr>
        <w:t>服务内容及要求</w:t>
      </w:r>
      <w:bookmarkEnd w:id="624"/>
      <w:bookmarkEnd w:id="625"/>
      <w:bookmarkEnd w:id="632"/>
      <w:bookmarkEnd w:id="633"/>
      <w:bookmarkEnd w:id="634"/>
      <w:bookmarkStart w:id="635" w:name="_Toc338840461"/>
      <w:bookmarkStart w:id="636" w:name="_Toc152042571"/>
      <w:bookmarkStart w:id="637" w:name="_Toc247085866"/>
      <w:bookmarkStart w:id="638" w:name="_Toc346523484"/>
      <w:bookmarkStart w:id="639" w:name="_Toc152045782"/>
      <w:bookmarkStart w:id="640" w:name="_Toc246996350"/>
      <w:bookmarkStart w:id="641" w:name="_Toc179632800"/>
      <w:bookmarkStart w:id="642" w:name="_Toc765"/>
      <w:bookmarkStart w:id="643" w:name="_Toc246997093"/>
      <w:bookmarkStart w:id="644" w:name="_Toc494093446"/>
      <w:bookmarkStart w:id="645" w:name="_Toc29418"/>
      <w:bookmarkStart w:id="646" w:name="_Toc346523421"/>
      <w:bookmarkStart w:id="647" w:name="_Toc144974851"/>
      <w:bookmarkStart w:id="648" w:name="_Toc19781"/>
      <w:bookmarkStart w:id="649" w:name="_Toc338840500"/>
      <w:bookmarkStart w:id="650" w:name="_Toc494103008"/>
      <w:bookmarkStart w:id="651" w:name="_Toc338840252"/>
      <w:bookmarkStart w:id="652" w:name="_Toc247096438"/>
    </w:p>
    <w:p w14:paraId="4CDBEF0E">
      <w:pPr>
        <w:spacing w:line="360" w:lineRule="auto"/>
        <w:rPr>
          <w:rFonts w:hint="eastAsia"/>
          <w:sz w:val="21"/>
          <w:szCs w:val="21"/>
          <w:highlight w:val="none"/>
          <w:lang w:val="en-US" w:eastAsia="zh-CN"/>
        </w:rPr>
      </w:pPr>
      <w:bookmarkStart w:id="653" w:name="_Toc27633"/>
      <w:bookmarkStart w:id="654" w:name="_Toc4850"/>
      <w:bookmarkStart w:id="655" w:name="_Toc23600"/>
      <w:r>
        <w:rPr>
          <w:rFonts w:hint="eastAsia"/>
          <w:b/>
          <w:bCs/>
          <w:sz w:val="21"/>
          <w:szCs w:val="21"/>
          <w:highlight w:val="none"/>
          <w:lang w:val="en-US" w:eastAsia="zh-CN"/>
        </w:rPr>
        <w:t>一、质量要求：</w:t>
      </w:r>
      <w:r>
        <w:rPr>
          <w:rFonts w:hint="eastAsia"/>
          <w:sz w:val="21"/>
          <w:szCs w:val="21"/>
          <w:highlight w:val="none"/>
          <w:lang w:val="en-US" w:eastAsia="zh-CN"/>
        </w:rPr>
        <w:t>1、成果须符合国家法律法规和现行相关技术标准、技术文件以及《河南省自然资源厅办公室关于印发《河南省城镇控制性详细规划编制审批规程（试行）》的通知》技术要求，同时符合开封市相关技术要求；</w:t>
      </w:r>
    </w:p>
    <w:p w14:paraId="55DD4C96">
      <w:pPr>
        <w:spacing w:line="360" w:lineRule="auto"/>
        <w:ind w:firstLine="1260" w:firstLineChars="600"/>
        <w:rPr>
          <w:rFonts w:hint="eastAsia"/>
          <w:sz w:val="21"/>
          <w:szCs w:val="21"/>
          <w:highlight w:val="none"/>
          <w:lang w:val="en-US" w:eastAsia="zh-CN"/>
        </w:rPr>
      </w:pPr>
      <w:r>
        <w:rPr>
          <w:rFonts w:hint="eastAsia"/>
          <w:sz w:val="21"/>
          <w:szCs w:val="21"/>
          <w:highlight w:val="none"/>
          <w:lang w:val="en-US" w:eastAsia="zh-CN"/>
        </w:rPr>
        <w:t>2、规划内容制作数据库须规范详实，文、图、数、表一致，符合河南省自然资源厅关于城镇详细规划成果数据入库要求等文件要求。</w:t>
      </w:r>
    </w:p>
    <w:p w14:paraId="513CDC4A">
      <w:pPr>
        <w:spacing w:line="360" w:lineRule="auto"/>
        <w:rPr>
          <w:rFonts w:hint="default"/>
          <w:sz w:val="21"/>
          <w:szCs w:val="21"/>
          <w:highlight w:val="none"/>
          <w:lang w:val="en-US" w:eastAsia="zh-CN"/>
        </w:rPr>
      </w:pPr>
      <w:r>
        <w:rPr>
          <w:rFonts w:hint="default"/>
          <w:b/>
          <w:bCs/>
          <w:sz w:val="21"/>
          <w:szCs w:val="21"/>
          <w:highlight w:val="none"/>
          <w:lang w:val="en-US" w:eastAsia="zh-CN"/>
        </w:rPr>
        <w:t>二、服务要求</w:t>
      </w:r>
      <w:r>
        <w:rPr>
          <w:rFonts w:hint="eastAsia"/>
          <w:b/>
          <w:bCs/>
          <w:sz w:val="21"/>
          <w:szCs w:val="21"/>
          <w:highlight w:val="none"/>
          <w:lang w:val="en-US" w:eastAsia="zh-CN"/>
        </w:rPr>
        <w:t>：</w:t>
      </w:r>
      <w:r>
        <w:rPr>
          <w:rFonts w:hint="default"/>
          <w:sz w:val="21"/>
          <w:szCs w:val="21"/>
          <w:highlight w:val="none"/>
          <w:lang w:val="en-US" w:eastAsia="zh-CN"/>
        </w:rPr>
        <w:t>规划编制单位应自行负责基数资料收集</w:t>
      </w:r>
      <w:r>
        <w:rPr>
          <w:rFonts w:hint="eastAsia"/>
          <w:sz w:val="21"/>
          <w:szCs w:val="21"/>
          <w:highlight w:val="none"/>
          <w:lang w:val="en-US" w:eastAsia="zh-CN"/>
        </w:rPr>
        <w:t>、现状地形图测绘及</w:t>
      </w:r>
      <w:r>
        <w:rPr>
          <w:rFonts w:hint="default"/>
          <w:sz w:val="21"/>
          <w:szCs w:val="21"/>
          <w:highlight w:val="none"/>
          <w:lang w:val="en-US" w:eastAsia="zh-CN"/>
        </w:rPr>
        <w:t>现状调研踏勘，应及时出席河南省自然资源厅、开封市自然资源和规划局及祥符区委区政府关于街坊控制性详细规划编制相关会议，并做好技术对接与汇报工作。</w:t>
      </w:r>
    </w:p>
    <w:p w14:paraId="4DDC1EAC">
      <w:pPr>
        <w:spacing w:line="360" w:lineRule="auto"/>
        <w:rPr>
          <w:rFonts w:hint="default"/>
          <w:sz w:val="21"/>
          <w:szCs w:val="21"/>
          <w:highlight w:val="none"/>
          <w:lang w:val="en-US" w:eastAsia="zh-CN"/>
        </w:rPr>
      </w:pPr>
      <w:r>
        <w:rPr>
          <w:rFonts w:hint="default"/>
          <w:b/>
          <w:bCs/>
          <w:sz w:val="21"/>
          <w:szCs w:val="21"/>
          <w:highlight w:val="none"/>
          <w:lang w:val="en-US" w:eastAsia="zh-CN"/>
        </w:rPr>
        <w:t>三、技术标准</w:t>
      </w:r>
      <w:r>
        <w:rPr>
          <w:rFonts w:hint="eastAsia"/>
          <w:b/>
          <w:bCs/>
          <w:sz w:val="21"/>
          <w:szCs w:val="21"/>
          <w:highlight w:val="none"/>
          <w:lang w:val="en-US" w:eastAsia="zh-CN"/>
        </w:rPr>
        <w:t>：</w:t>
      </w:r>
      <w:r>
        <w:rPr>
          <w:rFonts w:hint="default"/>
          <w:sz w:val="21"/>
          <w:szCs w:val="21"/>
          <w:highlight w:val="none"/>
          <w:lang w:val="en-US" w:eastAsia="zh-CN"/>
        </w:rPr>
        <w:t>以最新国土变更调查成果为基础数据，原则上采用《国土空间调查规划用途管制用地用海分类规程（试行）》确定的用地分类。底图统一采用 2000 国家大地坐标系和 1985 国家高程基准作为空间定位基础，应采用不低于 1:2000 地形图。</w:t>
      </w:r>
    </w:p>
    <w:p w14:paraId="663A4AF0">
      <w:pPr>
        <w:spacing w:line="360" w:lineRule="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四：</w:t>
      </w:r>
      <w:r>
        <w:rPr>
          <w:rFonts w:hint="eastAsia" w:cs="Times New Roman"/>
          <w:b/>
          <w:bCs/>
          <w:sz w:val="21"/>
          <w:szCs w:val="21"/>
          <w:highlight w:val="none"/>
          <w:lang w:val="en-US" w:eastAsia="zh-CN"/>
        </w:rPr>
        <w:t>其中</w:t>
      </w:r>
      <w:r>
        <w:rPr>
          <w:rFonts w:hint="eastAsia" w:ascii="Times New Roman" w:hAnsi="Times New Roman" w:eastAsia="宋体" w:cs="Times New Roman"/>
          <w:b/>
          <w:bCs/>
          <w:sz w:val="21"/>
          <w:szCs w:val="21"/>
          <w:highlight w:val="none"/>
          <w:lang w:val="en-US" w:eastAsia="zh-CN"/>
        </w:rPr>
        <w:t>：一标包</w:t>
      </w:r>
      <w:r>
        <w:rPr>
          <w:rFonts w:hint="eastAsia"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 xml:space="preserve"> 二标包</w:t>
      </w:r>
      <w:r>
        <w:rPr>
          <w:rFonts w:hint="eastAsia"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超出10公顷部分按3000元/公顷</w:t>
      </w:r>
      <w:r>
        <w:rPr>
          <w:rFonts w:hint="eastAsia" w:cs="Times New Roman"/>
          <w:b/>
          <w:bCs/>
          <w:sz w:val="21"/>
          <w:szCs w:val="21"/>
          <w:highlight w:val="none"/>
          <w:lang w:val="en-US" w:eastAsia="zh-CN"/>
        </w:rPr>
        <w:t>。</w:t>
      </w:r>
    </w:p>
    <w:p w14:paraId="311230EE">
      <w:pPr>
        <w:spacing w:line="360" w:lineRule="auto"/>
        <w:rPr>
          <w:rFonts w:hint="default" w:cs="Times New Roman"/>
          <w:b/>
          <w:bCs/>
          <w:sz w:val="21"/>
          <w:szCs w:val="21"/>
          <w:highlight w:val="none"/>
          <w:lang w:val="en-US" w:eastAsia="zh-CN"/>
        </w:rPr>
      </w:pPr>
      <w:r>
        <w:rPr>
          <w:rFonts w:hint="eastAsia" w:cs="Times New Roman"/>
          <w:b/>
          <w:bCs/>
          <w:sz w:val="21"/>
          <w:szCs w:val="21"/>
          <w:highlight w:val="none"/>
          <w:lang w:val="en-US" w:eastAsia="zh-CN"/>
        </w:rPr>
        <w:t>五、</w:t>
      </w:r>
      <w:r>
        <w:rPr>
          <w:rFonts w:hint="eastAsia" w:ascii="Times New Roman" w:hAnsi="Times New Roman" w:eastAsia="宋体" w:cs="Times New Roman"/>
          <w:b/>
          <w:bCs/>
          <w:sz w:val="21"/>
          <w:szCs w:val="21"/>
          <w:highlight w:val="none"/>
          <w:lang w:val="en-US" w:eastAsia="zh-CN"/>
        </w:rPr>
        <w:t>一标包</w:t>
      </w:r>
      <w:r>
        <w:rPr>
          <w:rFonts w:hint="eastAsia" w:ascii="Times New Roman" w:hAnsi="Times New Roman" w:cs="Times New Roman"/>
          <w:b/>
          <w:bCs/>
          <w:sz w:val="21"/>
          <w:szCs w:val="21"/>
          <w:highlight w:val="none"/>
          <w:lang w:val="en-US" w:eastAsia="zh-CN"/>
        </w:rPr>
        <w:t>：已编制单元控规的中心城区开发边界内街坊控制性详细规划约20个街坊，具体以实际编制数量进行结算。</w:t>
      </w:r>
    </w:p>
    <w:p w14:paraId="4A188193">
      <w:pPr>
        <w:spacing w:line="360" w:lineRule="auto"/>
        <w:rPr>
          <w:rFonts w:hint="default"/>
          <w:sz w:val="21"/>
          <w:szCs w:val="21"/>
          <w:highlight w:val="none"/>
          <w:lang w:val="en-US" w:eastAsia="zh-CN"/>
        </w:rPr>
      </w:pPr>
      <w:r>
        <w:rPr>
          <w:rFonts w:hint="eastAsia" w:cs="Times New Roman"/>
          <w:b/>
          <w:bCs/>
          <w:sz w:val="21"/>
          <w:szCs w:val="21"/>
          <w:highlight w:val="none"/>
          <w:lang w:val="en-US" w:eastAsia="zh-CN"/>
        </w:rPr>
        <w:t>六、</w:t>
      </w:r>
      <w:r>
        <w:rPr>
          <w:rFonts w:hint="eastAsia" w:ascii="Times New Roman" w:hAnsi="Times New Roman" w:eastAsia="宋体" w:cs="Times New Roman"/>
          <w:b/>
          <w:bCs/>
          <w:sz w:val="21"/>
          <w:szCs w:val="21"/>
          <w:highlight w:val="none"/>
          <w:lang w:val="en-US" w:eastAsia="zh-CN"/>
        </w:rPr>
        <w:t>服务地点：</w:t>
      </w:r>
      <w:r>
        <w:rPr>
          <w:rFonts w:hint="eastAsia" w:ascii="宋体" w:hAnsi="宋体" w:eastAsia="宋体" w:cs="宋体"/>
          <w:b w:val="0"/>
          <w:bCs w:val="0"/>
          <w:sz w:val="21"/>
          <w:szCs w:val="21"/>
          <w:highlight w:val="none"/>
        </w:rPr>
        <w:t>开封市祥符区</w:t>
      </w:r>
    </w:p>
    <w:p w14:paraId="01C96346">
      <w:pPr>
        <w:widowControl/>
        <w:numPr>
          <w:ilvl w:val="0"/>
          <w:numId w:val="0"/>
        </w:numPr>
        <w:spacing w:line="420" w:lineRule="exact"/>
        <w:jc w:val="left"/>
        <w:outlineLvl w:val="1"/>
        <w:rPr>
          <w:rFonts w:hint="default" w:eastAsia="宋体"/>
          <w:b/>
          <w:bCs/>
          <w:sz w:val="22"/>
          <w:szCs w:val="22"/>
          <w:highlight w:val="none"/>
          <w:lang w:val="en-US" w:eastAsia="zh-CN"/>
        </w:rPr>
      </w:pPr>
      <w:bookmarkStart w:id="656" w:name="_Toc6781"/>
      <w:bookmarkEnd w:id="656"/>
      <w:r>
        <w:rPr>
          <w:rFonts w:hint="eastAsia"/>
          <w:b/>
          <w:bCs/>
          <w:sz w:val="22"/>
          <w:szCs w:val="22"/>
          <w:highlight w:val="none"/>
          <w:lang w:val="en-US" w:eastAsia="zh-CN"/>
        </w:rPr>
        <w:t>一标包：</w:t>
      </w:r>
    </w:p>
    <w:tbl>
      <w:tblPr>
        <w:tblStyle w:val="29"/>
        <w:tblW w:w="96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6915"/>
        <w:gridCol w:w="960"/>
      </w:tblGrid>
      <w:tr w14:paraId="5686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0" w:type="dxa"/>
            <w:gridSpan w:val="3"/>
            <w:noWrap w:val="0"/>
            <w:vAlign w:val="top"/>
          </w:tcPr>
          <w:p w14:paraId="25D61602">
            <w:pPr>
              <w:widowControl/>
              <w:spacing w:line="420" w:lineRule="exact"/>
              <w:jc w:val="center"/>
              <w:outlineLvl w:val="1"/>
              <w:rPr>
                <w:rFonts w:hint="eastAsia"/>
                <w:b/>
                <w:bCs/>
                <w:sz w:val="22"/>
                <w:szCs w:val="22"/>
                <w:highlight w:val="none"/>
                <w:lang w:val="en-US" w:eastAsia="zh-CN"/>
              </w:rPr>
            </w:pPr>
            <w:r>
              <w:rPr>
                <w:rFonts w:hint="eastAsia"/>
                <w:b/>
                <w:bCs/>
                <w:sz w:val="22"/>
                <w:szCs w:val="22"/>
                <w:highlight w:val="none"/>
              </w:rPr>
              <w:t>已编制单元控规的中心城区开发边界内街坊</w:t>
            </w:r>
            <w:r>
              <w:rPr>
                <w:rFonts w:hint="eastAsia"/>
                <w:b/>
                <w:bCs/>
                <w:sz w:val="22"/>
                <w:szCs w:val="22"/>
                <w:highlight w:val="none"/>
                <w:lang w:val="en-US" w:eastAsia="zh-CN"/>
              </w:rPr>
              <w:t>控规</w:t>
            </w:r>
          </w:p>
          <w:p w14:paraId="579E0E3A">
            <w:pPr>
              <w:widowControl/>
              <w:spacing w:line="420" w:lineRule="exact"/>
              <w:jc w:val="center"/>
              <w:outlineLvl w:val="1"/>
              <w:rPr>
                <w:rFonts w:hint="eastAsia"/>
                <w:b w:val="0"/>
                <w:bCs w:val="0"/>
                <w:sz w:val="22"/>
                <w:szCs w:val="22"/>
                <w:highlight w:val="none"/>
              </w:rPr>
            </w:pPr>
            <w:r>
              <w:rPr>
                <w:rFonts w:hint="eastAsia"/>
                <w:b/>
                <w:bCs/>
                <w:sz w:val="22"/>
                <w:szCs w:val="22"/>
                <w:highlight w:val="none"/>
                <w:lang w:val="en-US" w:eastAsia="zh-CN"/>
              </w:rPr>
              <w:t>主要内容和深度要求</w:t>
            </w:r>
          </w:p>
        </w:tc>
      </w:tr>
      <w:tr w14:paraId="0B0B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4F0C3A5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一、街坊用地布局</w:t>
            </w:r>
          </w:p>
        </w:tc>
        <w:tc>
          <w:tcPr>
            <w:tcW w:w="6915" w:type="dxa"/>
            <w:noWrap w:val="0"/>
            <w:vAlign w:val="top"/>
          </w:tcPr>
          <w:p w14:paraId="2EE73636">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结合现状建设、土地权属、地块特点、城市更新等因素，综合运用城市设计、交通分析、经济分析等方法进行深化研究，结合土地收储及开发时序，细化用地布局，确定规划范围内各地块的用地界线、用地性质，明确用地混合使用及兼容性要求。</w:t>
            </w:r>
          </w:p>
        </w:tc>
        <w:tc>
          <w:tcPr>
            <w:tcW w:w="960" w:type="dxa"/>
            <w:vMerge w:val="restart"/>
            <w:noWrap w:val="0"/>
            <w:vAlign w:val="top"/>
          </w:tcPr>
          <w:p w14:paraId="3C98A9F0">
            <w:pPr>
              <w:widowControl/>
              <w:spacing w:line="420" w:lineRule="exact"/>
              <w:jc w:val="left"/>
              <w:outlineLvl w:val="1"/>
              <w:rPr>
                <w:rFonts w:hint="eastAsia"/>
                <w:b w:val="0"/>
                <w:bCs w:val="0"/>
                <w:sz w:val="22"/>
                <w:szCs w:val="22"/>
                <w:highlight w:val="none"/>
              </w:rPr>
            </w:pPr>
          </w:p>
          <w:p w14:paraId="6372400A">
            <w:pPr>
              <w:widowControl/>
              <w:spacing w:line="420" w:lineRule="exact"/>
              <w:jc w:val="left"/>
              <w:outlineLvl w:val="1"/>
              <w:rPr>
                <w:rFonts w:hint="eastAsia"/>
                <w:b w:val="0"/>
                <w:bCs w:val="0"/>
                <w:sz w:val="22"/>
                <w:szCs w:val="22"/>
                <w:highlight w:val="none"/>
              </w:rPr>
            </w:pPr>
          </w:p>
          <w:p w14:paraId="7465963C">
            <w:pPr>
              <w:widowControl/>
              <w:spacing w:line="420" w:lineRule="exact"/>
              <w:jc w:val="left"/>
              <w:outlineLvl w:val="1"/>
              <w:rPr>
                <w:rFonts w:hint="eastAsia"/>
                <w:b w:val="0"/>
                <w:bCs w:val="0"/>
                <w:sz w:val="22"/>
                <w:szCs w:val="22"/>
                <w:highlight w:val="none"/>
              </w:rPr>
            </w:pPr>
          </w:p>
          <w:p w14:paraId="04F67135">
            <w:pPr>
              <w:widowControl/>
              <w:spacing w:line="420" w:lineRule="exact"/>
              <w:jc w:val="left"/>
              <w:outlineLvl w:val="1"/>
              <w:rPr>
                <w:rFonts w:hint="eastAsia"/>
                <w:b w:val="0"/>
                <w:bCs w:val="0"/>
                <w:sz w:val="22"/>
                <w:szCs w:val="22"/>
                <w:highlight w:val="none"/>
              </w:rPr>
            </w:pPr>
          </w:p>
          <w:p w14:paraId="3F66AB85">
            <w:pPr>
              <w:widowControl/>
              <w:spacing w:line="420" w:lineRule="exact"/>
              <w:jc w:val="left"/>
              <w:outlineLvl w:val="1"/>
              <w:rPr>
                <w:rFonts w:hint="eastAsia"/>
                <w:b w:val="0"/>
                <w:bCs w:val="0"/>
                <w:sz w:val="22"/>
                <w:szCs w:val="22"/>
                <w:highlight w:val="none"/>
              </w:rPr>
            </w:pPr>
          </w:p>
          <w:p w14:paraId="0DDF0C37">
            <w:pPr>
              <w:widowControl/>
              <w:spacing w:line="420" w:lineRule="exact"/>
              <w:jc w:val="left"/>
              <w:outlineLvl w:val="1"/>
              <w:rPr>
                <w:rFonts w:hint="eastAsia"/>
                <w:b w:val="0"/>
                <w:bCs w:val="0"/>
                <w:sz w:val="22"/>
                <w:szCs w:val="22"/>
                <w:highlight w:val="none"/>
              </w:rPr>
            </w:pPr>
          </w:p>
          <w:p w14:paraId="5B96BB76">
            <w:pPr>
              <w:widowControl/>
              <w:spacing w:line="420" w:lineRule="exact"/>
              <w:jc w:val="left"/>
              <w:outlineLvl w:val="1"/>
              <w:rPr>
                <w:rFonts w:hint="eastAsia"/>
                <w:b w:val="0"/>
                <w:bCs w:val="0"/>
                <w:sz w:val="22"/>
                <w:szCs w:val="22"/>
                <w:highlight w:val="none"/>
              </w:rPr>
            </w:pPr>
          </w:p>
          <w:p w14:paraId="7D4314D3">
            <w:pPr>
              <w:widowControl/>
              <w:spacing w:line="420" w:lineRule="exact"/>
              <w:jc w:val="left"/>
              <w:outlineLvl w:val="1"/>
              <w:rPr>
                <w:rFonts w:hint="eastAsia"/>
                <w:b w:val="0"/>
                <w:bCs w:val="0"/>
                <w:sz w:val="22"/>
                <w:szCs w:val="22"/>
                <w:highlight w:val="none"/>
              </w:rPr>
            </w:pPr>
          </w:p>
          <w:p w14:paraId="71B76542">
            <w:pPr>
              <w:widowControl/>
              <w:spacing w:line="420" w:lineRule="exact"/>
              <w:jc w:val="left"/>
              <w:outlineLvl w:val="1"/>
              <w:rPr>
                <w:rFonts w:hint="eastAsia"/>
                <w:b w:val="0"/>
                <w:bCs w:val="0"/>
                <w:sz w:val="22"/>
                <w:szCs w:val="22"/>
                <w:highlight w:val="none"/>
              </w:rPr>
            </w:pPr>
          </w:p>
          <w:p w14:paraId="029BB027">
            <w:pPr>
              <w:widowControl/>
              <w:spacing w:line="420" w:lineRule="exact"/>
              <w:jc w:val="left"/>
              <w:outlineLvl w:val="1"/>
              <w:rPr>
                <w:rFonts w:hint="eastAsia"/>
                <w:b w:val="0"/>
                <w:bCs w:val="0"/>
                <w:sz w:val="22"/>
                <w:szCs w:val="22"/>
                <w:highlight w:val="none"/>
              </w:rPr>
            </w:pPr>
          </w:p>
          <w:p w14:paraId="0E7A9A92">
            <w:pPr>
              <w:widowControl/>
              <w:spacing w:line="420" w:lineRule="exact"/>
              <w:jc w:val="left"/>
              <w:outlineLvl w:val="1"/>
              <w:rPr>
                <w:rFonts w:hint="eastAsia"/>
                <w:b w:val="0"/>
                <w:bCs w:val="0"/>
                <w:sz w:val="22"/>
                <w:szCs w:val="22"/>
                <w:highlight w:val="none"/>
              </w:rPr>
            </w:pPr>
          </w:p>
          <w:p w14:paraId="524BA1A1">
            <w:pPr>
              <w:widowControl/>
              <w:spacing w:line="420" w:lineRule="exact"/>
              <w:jc w:val="left"/>
              <w:outlineLvl w:val="1"/>
              <w:rPr>
                <w:rFonts w:hint="eastAsia"/>
                <w:b w:val="0"/>
                <w:bCs w:val="0"/>
                <w:sz w:val="22"/>
                <w:szCs w:val="22"/>
                <w:highlight w:val="none"/>
              </w:rPr>
            </w:pPr>
          </w:p>
          <w:p w14:paraId="7842698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街坊图则</w:t>
            </w:r>
          </w:p>
          <w:p w14:paraId="6D5BDB66">
            <w:pPr>
              <w:widowControl/>
              <w:spacing w:line="420" w:lineRule="exact"/>
              <w:jc w:val="left"/>
              <w:outlineLvl w:val="1"/>
              <w:rPr>
                <w:rFonts w:hint="eastAsia"/>
                <w:b w:val="0"/>
                <w:bCs w:val="0"/>
                <w:sz w:val="22"/>
                <w:szCs w:val="22"/>
                <w:highlight w:val="none"/>
              </w:rPr>
            </w:pPr>
          </w:p>
        </w:tc>
      </w:tr>
      <w:tr w14:paraId="6322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1880757A">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二、街坊公共服务设施及市政公用设施</w:t>
            </w:r>
          </w:p>
        </w:tc>
        <w:tc>
          <w:tcPr>
            <w:tcW w:w="6915" w:type="dxa"/>
            <w:noWrap w:val="0"/>
            <w:vAlign w:val="top"/>
          </w:tcPr>
          <w:p w14:paraId="3C373F7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单元控制性详细规划“六线”控制内容，结合十五分钟生活圈要求，在满足合理服务半径基础上，细化公共管理与公共服务设施、市政公用设施的位置及边界；明确社区服务、体育、文化、医疗、教育、养老等配建设施规模及建设要求；优化市政管网布局，明确管线走向、位置和管径，进行管线综合，确保设施不漏项、数量规模不减少、服务半径有保证。</w:t>
            </w:r>
          </w:p>
        </w:tc>
        <w:tc>
          <w:tcPr>
            <w:tcW w:w="960" w:type="dxa"/>
            <w:vMerge w:val="continue"/>
            <w:noWrap w:val="0"/>
            <w:vAlign w:val="top"/>
          </w:tcPr>
          <w:p w14:paraId="1E076428">
            <w:pPr>
              <w:widowControl/>
              <w:spacing w:line="420" w:lineRule="exact"/>
              <w:jc w:val="left"/>
              <w:outlineLvl w:val="1"/>
              <w:rPr>
                <w:rFonts w:hint="eastAsia"/>
                <w:b w:val="0"/>
                <w:bCs w:val="0"/>
                <w:sz w:val="22"/>
                <w:szCs w:val="22"/>
                <w:highlight w:val="none"/>
              </w:rPr>
            </w:pPr>
          </w:p>
        </w:tc>
      </w:tr>
      <w:tr w14:paraId="2318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39431CF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三、街坊道路交通与竖向控制</w:t>
            </w:r>
          </w:p>
          <w:p w14:paraId="7F32F4B8">
            <w:pPr>
              <w:widowControl/>
              <w:spacing w:line="420" w:lineRule="exact"/>
              <w:jc w:val="left"/>
              <w:outlineLvl w:val="1"/>
              <w:rPr>
                <w:rFonts w:hint="eastAsia"/>
                <w:b w:val="0"/>
                <w:bCs w:val="0"/>
                <w:sz w:val="22"/>
                <w:szCs w:val="22"/>
                <w:highlight w:val="none"/>
              </w:rPr>
            </w:pPr>
          </w:p>
        </w:tc>
        <w:tc>
          <w:tcPr>
            <w:tcW w:w="6915" w:type="dxa"/>
            <w:noWrap w:val="0"/>
            <w:vAlign w:val="top"/>
          </w:tcPr>
          <w:p w14:paraId="66556E1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根据单元控制性详细规划确定的交通设施功能、规模、布局等要求，深化并明确各类设施的位置、边界。细化各级道路的红线、断面、交叉口形式及渠化措施、控制点坐标和标高；确定地块机动车出入口方位、禁止机动车开口段、停车泊位配建等要求。</w:t>
            </w:r>
          </w:p>
        </w:tc>
        <w:tc>
          <w:tcPr>
            <w:tcW w:w="960" w:type="dxa"/>
            <w:vMerge w:val="continue"/>
            <w:noWrap w:val="0"/>
            <w:vAlign w:val="top"/>
          </w:tcPr>
          <w:p w14:paraId="485DDCC1">
            <w:pPr>
              <w:widowControl/>
              <w:spacing w:line="420" w:lineRule="exact"/>
              <w:jc w:val="left"/>
              <w:outlineLvl w:val="1"/>
              <w:rPr>
                <w:rFonts w:hint="eastAsia"/>
                <w:b w:val="0"/>
                <w:bCs w:val="0"/>
                <w:sz w:val="22"/>
                <w:szCs w:val="22"/>
                <w:highlight w:val="none"/>
              </w:rPr>
            </w:pPr>
          </w:p>
        </w:tc>
      </w:tr>
      <w:tr w14:paraId="6807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123109B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四、街坊地块控制指标</w:t>
            </w:r>
          </w:p>
        </w:tc>
        <w:tc>
          <w:tcPr>
            <w:tcW w:w="6915" w:type="dxa"/>
            <w:noWrap w:val="0"/>
            <w:vAlign w:val="top"/>
          </w:tcPr>
          <w:p w14:paraId="7C60187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确定各地块容积率、建筑高度、建筑密度、绿地率等指标，明确各地块建筑面积、居住人口。</w:t>
            </w:r>
          </w:p>
        </w:tc>
        <w:tc>
          <w:tcPr>
            <w:tcW w:w="960" w:type="dxa"/>
            <w:vMerge w:val="continue"/>
            <w:noWrap w:val="0"/>
            <w:vAlign w:val="top"/>
          </w:tcPr>
          <w:p w14:paraId="669EF7D5">
            <w:pPr>
              <w:widowControl/>
              <w:spacing w:line="420" w:lineRule="exact"/>
              <w:jc w:val="left"/>
              <w:outlineLvl w:val="1"/>
              <w:rPr>
                <w:rFonts w:hint="eastAsia"/>
                <w:b w:val="0"/>
                <w:bCs w:val="0"/>
                <w:sz w:val="22"/>
                <w:szCs w:val="22"/>
                <w:highlight w:val="none"/>
              </w:rPr>
            </w:pPr>
          </w:p>
        </w:tc>
      </w:tr>
      <w:tr w14:paraId="7492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2D9207A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五、街坊地下空间开发</w:t>
            </w:r>
          </w:p>
          <w:p w14:paraId="2FCA4BAC">
            <w:pPr>
              <w:widowControl/>
              <w:spacing w:line="420" w:lineRule="exact"/>
              <w:jc w:val="left"/>
              <w:outlineLvl w:val="1"/>
              <w:rPr>
                <w:rFonts w:hint="eastAsia"/>
                <w:b w:val="0"/>
                <w:bCs w:val="0"/>
                <w:sz w:val="22"/>
                <w:szCs w:val="22"/>
                <w:highlight w:val="none"/>
              </w:rPr>
            </w:pPr>
          </w:p>
        </w:tc>
        <w:tc>
          <w:tcPr>
            <w:tcW w:w="6915" w:type="dxa"/>
            <w:noWrap w:val="0"/>
            <w:vAlign w:val="top"/>
          </w:tcPr>
          <w:p w14:paraId="6C36E8F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依据单元控制性详细规划，明确地下空间开发利用边界、主要功能、配套设施、开发深度、开发层数、开发面积和建筑退让，提出人防配建要求。细化地下空间互联互通等开发控制要求。明确涉及道路、绿地等公共空间的地下空间开发控制要求。</w:t>
            </w:r>
          </w:p>
        </w:tc>
        <w:tc>
          <w:tcPr>
            <w:tcW w:w="960" w:type="dxa"/>
            <w:vMerge w:val="continue"/>
            <w:noWrap w:val="0"/>
            <w:vAlign w:val="top"/>
          </w:tcPr>
          <w:p w14:paraId="1132ED72">
            <w:pPr>
              <w:widowControl/>
              <w:spacing w:line="420" w:lineRule="exact"/>
              <w:jc w:val="left"/>
              <w:outlineLvl w:val="1"/>
              <w:rPr>
                <w:rFonts w:hint="eastAsia"/>
                <w:b w:val="0"/>
                <w:bCs w:val="0"/>
                <w:sz w:val="22"/>
                <w:szCs w:val="22"/>
                <w:highlight w:val="none"/>
              </w:rPr>
            </w:pPr>
          </w:p>
        </w:tc>
      </w:tr>
      <w:tr w14:paraId="2E2B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1A6DA4D4">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六、街坊海绵城市</w:t>
            </w:r>
          </w:p>
          <w:p w14:paraId="18BDD627">
            <w:pPr>
              <w:widowControl/>
              <w:spacing w:line="420" w:lineRule="exact"/>
              <w:jc w:val="left"/>
              <w:outlineLvl w:val="1"/>
              <w:rPr>
                <w:rFonts w:hint="eastAsia"/>
                <w:b w:val="0"/>
                <w:bCs w:val="0"/>
                <w:sz w:val="22"/>
                <w:szCs w:val="22"/>
                <w:highlight w:val="none"/>
              </w:rPr>
            </w:pPr>
          </w:p>
        </w:tc>
        <w:tc>
          <w:tcPr>
            <w:tcW w:w="6915" w:type="dxa"/>
            <w:noWrap w:val="0"/>
            <w:vAlign w:val="top"/>
          </w:tcPr>
          <w:p w14:paraId="51EA251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落实单元控制性详细规划海绵城市管控要求，提出海绵城市建设指引，确定径流总量控制率、下沉式绿地率等控制指标。</w:t>
            </w:r>
          </w:p>
        </w:tc>
        <w:tc>
          <w:tcPr>
            <w:tcW w:w="960" w:type="dxa"/>
            <w:vMerge w:val="continue"/>
            <w:noWrap w:val="0"/>
            <w:vAlign w:val="top"/>
          </w:tcPr>
          <w:p w14:paraId="7EDAE4E7">
            <w:pPr>
              <w:widowControl/>
              <w:spacing w:line="420" w:lineRule="exact"/>
              <w:jc w:val="left"/>
              <w:outlineLvl w:val="1"/>
              <w:rPr>
                <w:rFonts w:hint="eastAsia"/>
                <w:b w:val="0"/>
                <w:bCs w:val="0"/>
                <w:sz w:val="22"/>
                <w:szCs w:val="22"/>
                <w:highlight w:val="none"/>
              </w:rPr>
            </w:pPr>
          </w:p>
        </w:tc>
      </w:tr>
      <w:tr w14:paraId="764E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5003D07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七、街坊土地使用与建筑管理规定</w:t>
            </w:r>
          </w:p>
        </w:tc>
        <w:tc>
          <w:tcPr>
            <w:tcW w:w="6915" w:type="dxa"/>
            <w:noWrap w:val="0"/>
            <w:vAlign w:val="top"/>
          </w:tcPr>
          <w:p w14:paraId="76CF238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明确土地使用与建筑管理规定，包括建筑间距、日照标准和建筑退让红线、蓝线、绿线、地块界线等要求。</w:t>
            </w:r>
          </w:p>
        </w:tc>
        <w:tc>
          <w:tcPr>
            <w:tcW w:w="960" w:type="dxa"/>
            <w:vMerge w:val="continue"/>
            <w:noWrap w:val="0"/>
            <w:vAlign w:val="top"/>
          </w:tcPr>
          <w:p w14:paraId="3B8A6D08">
            <w:pPr>
              <w:widowControl/>
              <w:spacing w:line="420" w:lineRule="exact"/>
              <w:jc w:val="left"/>
              <w:outlineLvl w:val="1"/>
              <w:rPr>
                <w:rFonts w:hint="eastAsia"/>
                <w:b w:val="0"/>
                <w:bCs w:val="0"/>
                <w:sz w:val="22"/>
                <w:szCs w:val="22"/>
                <w:highlight w:val="none"/>
              </w:rPr>
            </w:pPr>
          </w:p>
        </w:tc>
      </w:tr>
      <w:tr w14:paraId="20A6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7B402EF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八、街坊城市设计</w:t>
            </w:r>
          </w:p>
        </w:tc>
        <w:tc>
          <w:tcPr>
            <w:tcW w:w="6915" w:type="dxa"/>
            <w:noWrap w:val="0"/>
            <w:vAlign w:val="top"/>
          </w:tcPr>
          <w:p w14:paraId="2C627AD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落实城市设计和单元控制性详细规划明确的管控要求，提出各地块的建筑体量、形态、风格、色彩、开放空间、交通组织、</w:t>
            </w:r>
          </w:p>
          <w:p w14:paraId="1675645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第五立面、天际线等建设要求。</w:t>
            </w:r>
          </w:p>
        </w:tc>
        <w:tc>
          <w:tcPr>
            <w:tcW w:w="960" w:type="dxa"/>
            <w:vMerge w:val="continue"/>
            <w:noWrap w:val="0"/>
            <w:vAlign w:val="top"/>
          </w:tcPr>
          <w:p w14:paraId="63694768">
            <w:pPr>
              <w:widowControl/>
              <w:spacing w:line="420" w:lineRule="exact"/>
              <w:jc w:val="left"/>
              <w:outlineLvl w:val="1"/>
              <w:rPr>
                <w:rFonts w:hint="eastAsia"/>
                <w:b w:val="0"/>
                <w:bCs w:val="0"/>
                <w:sz w:val="22"/>
                <w:szCs w:val="22"/>
                <w:highlight w:val="none"/>
              </w:rPr>
            </w:pPr>
          </w:p>
        </w:tc>
      </w:tr>
      <w:tr w14:paraId="678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top"/>
          </w:tcPr>
          <w:p w14:paraId="0A0E182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九、数据库</w:t>
            </w:r>
          </w:p>
        </w:tc>
        <w:tc>
          <w:tcPr>
            <w:tcW w:w="6915" w:type="dxa"/>
            <w:noWrap w:val="0"/>
            <w:vAlign w:val="top"/>
          </w:tcPr>
          <w:p w14:paraId="6700816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应在控制性详细规划编制过程中按相关标准，同步建立规划成果数据库，并叠加到国土空间基础信息平台。</w:t>
            </w:r>
          </w:p>
        </w:tc>
        <w:tc>
          <w:tcPr>
            <w:tcW w:w="960" w:type="dxa"/>
            <w:noWrap w:val="0"/>
            <w:vAlign w:val="top"/>
          </w:tcPr>
          <w:p w14:paraId="71555367">
            <w:pPr>
              <w:widowControl/>
              <w:spacing w:line="420" w:lineRule="exact"/>
              <w:jc w:val="left"/>
              <w:outlineLvl w:val="1"/>
              <w:rPr>
                <w:rFonts w:hint="eastAsia"/>
                <w:b w:val="0"/>
                <w:bCs w:val="0"/>
                <w:sz w:val="22"/>
                <w:szCs w:val="22"/>
                <w:highlight w:val="none"/>
              </w:rPr>
            </w:pPr>
          </w:p>
        </w:tc>
      </w:tr>
    </w:tbl>
    <w:p w14:paraId="0684D4A2">
      <w:pPr>
        <w:spacing w:line="360" w:lineRule="exact"/>
        <w:jc w:val="center"/>
        <w:outlineLvl w:val="0"/>
        <w:rPr>
          <w:rFonts w:hint="eastAsia" w:ascii="黑体" w:hAnsi="宋体" w:eastAsia="黑体"/>
          <w:b/>
          <w:bCs/>
          <w:color w:val="000000"/>
          <w:sz w:val="32"/>
          <w:szCs w:val="32"/>
          <w:highlight w:val="none"/>
        </w:rPr>
      </w:pPr>
    </w:p>
    <w:p w14:paraId="5DCA22E0">
      <w:pPr>
        <w:tabs>
          <w:tab w:val="left" w:pos="759"/>
        </w:tabs>
        <w:spacing w:line="360" w:lineRule="auto"/>
        <w:rPr>
          <w:rFonts w:hint="eastAsia" w:ascii="宋体" w:hAnsi="宋体" w:eastAsia="宋体" w:cs="Times New Roman"/>
          <w:b w:val="0"/>
          <w:bCs w:val="0"/>
          <w:kern w:val="2"/>
          <w:sz w:val="21"/>
          <w:szCs w:val="21"/>
          <w:highlight w:val="none"/>
          <w:lang w:val="en-US" w:eastAsia="zh-CN" w:bidi="ar-SA"/>
        </w:rPr>
      </w:pPr>
    </w:p>
    <w:p w14:paraId="717066DC">
      <w:pPr>
        <w:tabs>
          <w:tab w:val="left" w:pos="759"/>
        </w:tabs>
        <w:spacing w:line="360" w:lineRule="auto"/>
        <w:rPr>
          <w:rFonts w:hint="eastAsia" w:ascii="宋体" w:hAnsi="宋体" w:eastAsia="宋体" w:cs="Times New Roman"/>
          <w:b w:val="0"/>
          <w:bCs w:val="0"/>
          <w:kern w:val="2"/>
          <w:sz w:val="21"/>
          <w:szCs w:val="21"/>
          <w:highlight w:val="none"/>
          <w:lang w:val="en-US" w:eastAsia="zh-CN" w:bidi="ar-SA"/>
        </w:rPr>
      </w:pP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55E9B5E0">
      <w:pPr>
        <w:pStyle w:val="2"/>
        <w:spacing w:line="360" w:lineRule="auto"/>
        <w:ind w:left="0" w:firstLine="0"/>
        <w:rPr>
          <w:highlight w:val="none"/>
        </w:rPr>
      </w:pPr>
    </w:p>
    <w:p w14:paraId="6659D86E">
      <w:pPr>
        <w:spacing w:line="360" w:lineRule="auto"/>
        <w:outlineLvl w:val="9"/>
        <w:rPr>
          <w:rFonts w:ascii="宋体" w:hAnsi="宋体" w:cs="宋体"/>
          <w:b/>
          <w:bCs/>
          <w:sz w:val="32"/>
          <w:szCs w:val="32"/>
          <w:highlight w:val="none"/>
        </w:rPr>
      </w:pPr>
    </w:p>
    <w:p w14:paraId="5055CF16">
      <w:pPr>
        <w:spacing w:line="360" w:lineRule="auto"/>
        <w:outlineLvl w:val="9"/>
        <w:rPr>
          <w:rFonts w:ascii="宋体" w:hAnsi="宋体" w:cs="宋体"/>
          <w:b/>
          <w:bCs/>
          <w:sz w:val="32"/>
          <w:szCs w:val="32"/>
          <w:highlight w:val="none"/>
        </w:rPr>
      </w:pPr>
    </w:p>
    <w:p w14:paraId="41FFE393">
      <w:pPr>
        <w:pStyle w:val="4"/>
        <w:jc w:val="both"/>
        <w:rPr>
          <w:rFonts w:hint="eastAsia"/>
          <w:sz w:val="48"/>
          <w:szCs w:val="48"/>
          <w:highlight w:val="none"/>
        </w:rPr>
      </w:pPr>
    </w:p>
    <w:p w14:paraId="015F7051">
      <w:pPr>
        <w:pStyle w:val="4"/>
        <w:jc w:val="center"/>
        <w:rPr>
          <w:sz w:val="48"/>
          <w:szCs w:val="48"/>
          <w:highlight w:val="none"/>
        </w:rPr>
      </w:pPr>
      <w:r>
        <w:rPr>
          <w:rFonts w:hint="eastAsia"/>
          <w:sz w:val="48"/>
          <w:szCs w:val="48"/>
          <w:highlight w:val="none"/>
        </w:rPr>
        <w:t>第六章</w:t>
      </w:r>
      <w:r>
        <w:rPr>
          <w:rFonts w:hint="eastAsia"/>
          <w:sz w:val="48"/>
          <w:szCs w:val="48"/>
          <w:highlight w:val="none"/>
          <w:lang w:val="en-US" w:eastAsia="zh-CN"/>
        </w:rPr>
        <w:t xml:space="preserve"> </w:t>
      </w:r>
      <w:r>
        <w:rPr>
          <w:rFonts w:hint="eastAsia"/>
          <w:sz w:val="48"/>
          <w:szCs w:val="48"/>
          <w:highlight w:val="none"/>
        </w:rPr>
        <w:t>投标文件格式</w:t>
      </w:r>
    </w:p>
    <w:p w14:paraId="0246DC4F">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461BC64B">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30061CCA">
      <w:pPr>
        <w:spacing w:line="360" w:lineRule="auto"/>
        <w:ind w:firstLine="840" w:firstLineChars="300"/>
        <w:outlineLvl w:val="9"/>
        <w:rPr>
          <w:rFonts w:hint="eastAsia" w:ascii="宋体" w:hAnsi="宋体" w:eastAsia="宋体" w:cs="宋体"/>
          <w:b/>
          <w:bCs w:val="0"/>
          <w:color w:val="auto"/>
          <w:kern w:val="2"/>
          <w:sz w:val="44"/>
          <w:szCs w:val="21"/>
          <w:highlight w:val="none"/>
          <w:lang w:val="en-US" w:eastAsia="zh-CN" w:bidi="ar"/>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b/>
          <w:bCs w:val="0"/>
          <w:color w:val="auto"/>
          <w:kern w:val="2"/>
          <w:sz w:val="44"/>
          <w:szCs w:val="21"/>
          <w:highlight w:val="none"/>
          <w:lang w:val="en-US" w:eastAsia="zh-CN" w:bidi="ar"/>
        </w:rPr>
        <w:t>（项目名称）</w:t>
      </w:r>
    </w:p>
    <w:p w14:paraId="1EFAD733">
      <w:pPr>
        <w:pStyle w:val="4"/>
        <w:jc w:val="center"/>
        <w:rPr>
          <w:highlight w:val="none"/>
        </w:rPr>
      </w:pPr>
      <w:r>
        <w:rPr>
          <w:rFonts w:hint="eastAsia" w:ascii="宋体" w:hAnsi="宋体"/>
          <w:b/>
          <w:bCs/>
          <w:sz w:val="40"/>
          <w:szCs w:val="40"/>
          <w:highlight w:val="none"/>
          <w:shd w:val="clear" w:color="auto" w:fill="FFFFFF"/>
          <w:lang w:eastAsia="zh-CN"/>
        </w:rPr>
        <w:t>（</w:t>
      </w:r>
      <w:r>
        <w:rPr>
          <w:rFonts w:hint="eastAsia" w:ascii="宋体" w:hAnsi="宋体"/>
          <w:b/>
          <w:bCs/>
          <w:sz w:val="40"/>
          <w:szCs w:val="40"/>
          <w:highlight w:val="none"/>
          <w:u w:val="single"/>
          <w:shd w:val="clear" w:color="auto" w:fill="FFFFFF"/>
          <w:lang w:val="en-US" w:eastAsia="zh-CN"/>
        </w:rPr>
        <w:t xml:space="preserve">    </w:t>
      </w:r>
      <w:r>
        <w:rPr>
          <w:rFonts w:hint="eastAsia" w:ascii="宋体" w:hAnsi="宋体"/>
          <w:b/>
          <w:bCs/>
          <w:sz w:val="40"/>
          <w:szCs w:val="40"/>
          <w:highlight w:val="none"/>
          <w:shd w:val="clear" w:color="auto" w:fill="FFFFFF"/>
          <w:lang w:eastAsia="zh-CN"/>
        </w:rPr>
        <w:t>标包）</w:t>
      </w:r>
    </w:p>
    <w:p w14:paraId="4E648B28">
      <w:pPr>
        <w:spacing w:line="360" w:lineRule="auto"/>
        <w:outlineLvl w:val="9"/>
        <w:rPr>
          <w:rFonts w:ascii="宋体" w:hAnsi="宋体" w:cs="宋体"/>
          <w:b/>
          <w:bCs/>
          <w:sz w:val="72"/>
          <w:szCs w:val="72"/>
          <w:highlight w:val="none"/>
        </w:rPr>
      </w:pPr>
    </w:p>
    <w:p w14:paraId="59CC5B99">
      <w:pPr>
        <w:spacing w:line="360" w:lineRule="auto"/>
        <w:jc w:val="center"/>
        <w:outlineLvl w:val="0"/>
        <w:rPr>
          <w:rFonts w:ascii="宋体" w:hAnsi="宋体" w:cs="宋体"/>
          <w:b/>
          <w:bCs/>
          <w:sz w:val="72"/>
          <w:szCs w:val="72"/>
          <w:highlight w:val="none"/>
        </w:rPr>
      </w:pPr>
      <w:bookmarkStart w:id="657" w:name="_Toc30558"/>
      <w:bookmarkStart w:id="658" w:name="_Toc12334"/>
      <w:bookmarkStart w:id="659" w:name="_Toc21564"/>
      <w:r>
        <w:rPr>
          <w:rFonts w:hint="eastAsia" w:ascii="宋体" w:hAnsi="宋体" w:cs="宋体"/>
          <w:b/>
          <w:bCs/>
          <w:sz w:val="72"/>
          <w:szCs w:val="72"/>
          <w:highlight w:val="none"/>
        </w:rPr>
        <w:t>投 标 文 件</w:t>
      </w:r>
      <w:bookmarkEnd w:id="657"/>
      <w:bookmarkEnd w:id="658"/>
      <w:bookmarkEnd w:id="659"/>
    </w:p>
    <w:p w14:paraId="4246EED6">
      <w:pPr>
        <w:spacing w:line="360" w:lineRule="auto"/>
        <w:jc w:val="left"/>
        <w:outlineLvl w:val="9"/>
        <w:rPr>
          <w:rFonts w:ascii="宋体" w:hAnsi="宋体" w:cs="宋体"/>
          <w:b/>
          <w:bCs/>
          <w:sz w:val="72"/>
          <w:szCs w:val="72"/>
          <w:highlight w:val="none"/>
        </w:rPr>
      </w:pPr>
    </w:p>
    <w:p w14:paraId="539D6EE6">
      <w:pPr>
        <w:spacing w:line="360" w:lineRule="auto"/>
        <w:jc w:val="left"/>
        <w:outlineLvl w:val="9"/>
        <w:rPr>
          <w:rFonts w:ascii="宋体" w:hAnsi="宋体" w:cs="宋体"/>
          <w:b/>
          <w:bCs/>
          <w:sz w:val="72"/>
          <w:szCs w:val="72"/>
          <w:highlight w:val="none"/>
        </w:rPr>
      </w:pPr>
    </w:p>
    <w:p w14:paraId="3E3316EB">
      <w:pPr>
        <w:spacing w:line="360" w:lineRule="auto"/>
        <w:jc w:val="left"/>
        <w:outlineLvl w:val="9"/>
        <w:rPr>
          <w:rFonts w:ascii="宋体" w:hAnsi="宋体" w:cs="宋体"/>
          <w:b/>
          <w:bCs/>
          <w:sz w:val="72"/>
          <w:szCs w:val="72"/>
          <w:highlight w:val="none"/>
        </w:rPr>
      </w:pPr>
    </w:p>
    <w:p w14:paraId="7A9CD8BA">
      <w:pPr>
        <w:spacing w:line="360" w:lineRule="auto"/>
        <w:jc w:val="left"/>
        <w:outlineLvl w:val="9"/>
        <w:rPr>
          <w:rFonts w:ascii="宋体" w:hAnsi="宋体" w:cs="宋体"/>
          <w:b/>
          <w:bCs/>
          <w:sz w:val="72"/>
          <w:szCs w:val="72"/>
          <w:highlight w:val="none"/>
        </w:rPr>
      </w:pPr>
    </w:p>
    <w:p w14:paraId="6B31D659">
      <w:pPr>
        <w:spacing w:line="360" w:lineRule="auto"/>
        <w:outlineLvl w:val="9"/>
        <w:rPr>
          <w:rFonts w:ascii="宋体" w:hAnsi="宋体" w:cs="宋体"/>
          <w:b/>
          <w:sz w:val="32"/>
          <w:szCs w:val="32"/>
          <w:highlight w:val="none"/>
        </w:rPr>
      </w:pPr>
      <w:bookmarkStart w:id="660" w:name="_Toc282"/>
      <w:bookmarkStart w:id="661" w:name="_Toc8510"/>
    </w:p>
    <w:bookmarkEnd w:id="660"/>
    <w:bookmarkEnd w:id="661"/>
    <w:p w14:paraId="201787FC">
      <w:pPr>
        <w:keepNext w:val="0"/>
        <w:keepLines w:val="0"/>
        <w:widowControl w:val="0"/>
        <w:suppressLineNumbers w:val="0"/>
        <w:spacing w:before="0" w:beforeAutospacing="0" w:after="0" w:afterAutospacing="0" w:line="360" w:lineRule="auto"/>
        <w:ind w:left="0" w:right="0" w:firstLine="1400" w:firstLineChars="500"/>
        <w:jc w:val="both"/>
        <w:rPr>
          <w:rFonts w:hint="eastAsia" w:ascii="宋体" w:hAnsi="Times New Roman" w:eastAsia="宋体" w:cs="宋体"/>
          <w:color w:val="auto"/>
          <w:sz w:val="28"/>
          <w:szCs w:val="28"/>
          <w:highlight w:val="none"/>
          <w:u w:val="single"/>
          <w:lang w:val="en-US"/>
        </w:rPr>
      </w:pPr>
      <w:bookmarkStart w:id="662" w:name="_Toc22055"/>
      <w:bookmarkStart w:id="663" w:name="_Toc13315"/>
      <w:bookmarkStart w:id="664" w:name="_Toc3190"/>
      <w:r>
        <w:rPr>
          <w:rFonts w:hint="eastAsia" w:ascii="宋体" w:hAnsi="宋体" w:eastAsia="宋体" w:cs="宋体"/>
          <w:color w:val="auto"/>
          <w:kern w:val="2"/>
          <w:sz w:val="28"/>
          <w:szCs w:val="28"/>
          <w:highlight w:val="none"/>
          <w:lang w:val="en-US" w:eastAsia="zh-CN" w:bidi="ar"/>
        </w:rPr>
        <w:t xml:space="preserve">投  标  人： </w:t>
      </w:r>
      <w:bookmarkEnd w:id="662"/>
      <w:bookmarkEnd w:id="663"/>
      <w:bookmarkEnd w:id="664"/>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（企业电子签章）</w:t>
      </w:r>
    </w:p>
    <w:p w14:paraId="00AC604B">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w:t>
      </w:r>
      <w:r>
        <w:rPr>
          <w:rFonts w:hint="eastAsia" w:ascii="Times New Roman" w:hAnsi="宋体" w:eastAsia="宋体" w:cs="黑体"/>
          <w:color w:val="auto"/>
          <w:kern w:val="2"/>
          <w:sz w:val="28"/>
          <w:szCs w:val="28"/>
          <w:highlight w:val="none"/>
          <w:lang w:val="en-US" w:eastAsia="zh-CN" w:bidi="ar"/>
        </w:rPr>
        <w:t>个人电子签章</w:t>
      </w:r>
      <w:r>
        <w:rPr>
          <w:rFonts w:hint="eastAsia" w:ascii="宋体" w:hAnsi="宋体" w:eastAsia="宋体" w:cs="宋体"/>
          <w:color w:val="auto"/>
          <w:kern w:val="2"/>
          <w:sz w:val="28"/>
          <w:szCs w:val="28"/>
          <w:highlight w:val="none"/>
          <w:lang w:val="en-US" w:eastAsia="zh-CN" w:bidi="ar"/>
        </w:rPr>
        <w:t>）</w:t>
      </w:r>
    </w:p>
    <w:p w14:paraId="377BFD24">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  年   月    日</w:t>
      </w:r>
    </w:p>
    <w:p w14:paraId="709B6E5A">
      <w:pPr>
        <w:spacing w:line="360" w:lineRule="auto"/>
        <w:ind w:left="1978"/>
        <w:jc w:val="left"/>
        <w:outlineLvl w:val="0"/>
        <w:rPr>
          <w:rFonts w:ascii="宋体" w:hAnsi="宋体" w:cs="宋体"/>
          <w:highlight w:val="none"/>
        </w:rPr>
      </w:pPr>
    </w:p>
    <w:p w14:paraId="578A12F9">
      <w:pPr>
        <w:spacing w:line="360" w:lineRule="auto"/>
        <w:jc w:val="center"/>
        <w:rPr>
          <w:rFonts w:hint="eastAsia" w:ascii="宋体" w:hAnsi="宋体" w:cs="楷体"/>
          <w:b/>
          <w:sz w:val="32"/>
          <w:szCs w:val="32"/>
          <w:highlight w:val="none"/>
        </w:rPr>
      </w:pPr>
    </w:p>
    <w:p w14:paraId="61FD1480">
      <w:pPr>
        <w:spacing w:line="360" w:lineRule="auto"/>
        <w:jc w:val="center"/>
        <w:rPr>
          <w:rFonts w:ascii="宋体" w:hAnsi="宋体" w:cs="楷体"/>
          <w:sz w:val="28"/>
          <w:szCs w:val="28"/>
          <w:highlight w:val="none"/>
        </w:rPr>
      </w:pPr>
      <w:r>
        <w:rPr>
          <w:rFonts w:hint="eastAsia" w:ascii="宋体" w:hAnsi="宋体" w:cs="楷体"/>
          <w:b/>
          <w:sz w:val="32"/>
          <w:szCs w:val="32"/>
          <w:highlight w:val="none"/>
        </w:rPr>
        <w:t>目     录</w:t>
      </w:r>
    </w:p>
    <w:p w14:paraId="524A2ECE">
      <w:pPr>
        <w:spacing w:line="360" w:lineRule="auto"/>
        <w:ind w:firstLine="420" w:firstLineChars="200"/>
        <w:rPr>
          <w:rFonts w:hint="eastAsia" w:ascii="宋体" w:hAnsi="宋体" w:cs="宋体"/>
          <w:sz w:val="21"/>
          <w:szCs w:val="21"/>
          <w:highlight w:val="none"/>
        </w:rPr>
      </w:pPr>
      <w:bookmarkStart w:id="665" w:name="_Toc257210932"/>
      <w:bookmarkEnd w:id="665"/>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D16B8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6661C71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3926C2D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535831F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234D32EF">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4BFB16B6">
      <w:pPr>
        <w:spacing w:line="36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7779E594">
      <w:pPr>
        <w:pStyle w:val="38"/>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2F0409CF">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62468352">
      <w:pPr>
        <w:spacing w:line="360" w:lineRule="auto"/>
        <w:outlineLvl w:val="9"/>
        <w:rPr>
          <w:rFonts w:ascii="宋体" w:hAnsi="宋体" w:cs="楷体"/>
          <w:kern w:val="0"/>
          <w:sz w:val="28"/>
          <w:szCs w:val="28"/>
          <w:highlight w:val="none"/>
        </w:rPr>
      </w:pPr>
    </w:p>
    <w:p w14:paraId="0053CA6F">
      <w:pPr>
        <w:widowControl/>
        <w:spacing w:line="360" w:lineRule="auto"/>
        <w:jc w:val="left"/>
        <w:outlineLvl w:val="9"/>
        <w:rPr>
          <w:rFonts w:ascii="宋体" w:hAnsi="宋体" w:cs="宋体"/>
          <w:b/>
          <w:bCs/>
          <w:sz w:val="32"/>
          <w:szCs w:val="32"/>
          <w:highlight w:val="none"/>
        </w:rPr>
      </w:pPr>
      <w:bookmarkStart w:id="666" w:name="_Toc497493202"/>
    </w:p>
    <w:p w14:paraId="20B0E93D">
      <w:pPr>
        <w:widowControl/>
        <w:spacing w:line="360" w:lineRule="auto"/>
        <w:jc w:val="left"/>
        <w:outlineLvl w:val="9"/>
        <w:rPr>
          <w:rFonts w:ascii="宋体" w:hAnsi="宋体" w:cs="宋体"/>
          <w:highlight w:val="none"/>
        </w:rPr>
      </w:pPr>
    </w:p>
    <w:p w14:paraId="55C0ECA7">
      <w:pPr>
        <w:widowControl/>
        <w:spacing w:line="360" w:lineRule="auto"/>
        <w:jc w:val="left"/>
        <w:outlineLvl w:val="9"/>
        <w:rPr>
          <w:rFonts w:ascii="宋体" w:hAnsi="宋体" w:cs="宋体"/>
          <w:highlight w:val="none"/>
        </w:rPr>
      </w:pPr>
    </w:p>
    <w:p w14:paraId="7A3BA00B">
      <w:pPr>
        <w:widowControl/>
        <w:spacing w:line="360" w:lineRule="auto"/>
        <w:jc w:val="left"/>
        <w:outlineLvl w:val="9"/>
        <w:rPr>
          <w:rFonts w:ascii="宋体" w:hAnsi="宋体" w:cs="宋体"/>
          <w:highlight w:val="none"/>
        </w:rPr>
      </w:pPr>
    </w:p>
    <w:p w14:paraId="40FC9029">
      <w:pPr>
        <w:widowControl/>
        <w:spacing w:line="360" w:lineRule="auto"/>
        <w:jc w:val="left"/>
        <w:outlineLvl w:val="9"/>
        <w:rPr>
          <w:rFonts w:ascii="宋体" w:hAnsi="宋体" w:cs="宋体"/>
          <w:highlight w:val="none"/>
        </w:rPr>
      </w:pPr>
    </w:p>
    <w:p w14:paraId="6CF08D2F">
      <w:pPr>
        <w:widowControl/>
        <w:spacing w:line="360" w:lineRule="auto"/>
        <w:jc w:val="left"/>
        <w:outlineLvl w:val="9"/>
        <w:rPr>
          <w:rFonts w:ascii="宋体" w:hAnsi="宋体" w:cs="宋体"/>
          <w:highlight w:val="none"/>
        </w:rPr>
      </w:pPr>
    </w:p>
    <w:p w14:paraId="17839859">
      <w:pPr>
        <w:spacing w:line="360" w:lineRule="auto"/>
        <w:jc w:val="center"/>
        <w:outlineLvl w:val="9"/>
        <w:rPr>
          <w:rFonts w:ascii="宋体" w:hAnsi="宋体" w:cs="宋体"/>
          <w:highlight w:val="none"/>
        </w:rPr>
      </w:pPr>
    </w:p>
    <w:p w14:paraId="323A83A1">
      <w:pPr>
        <w:pStyle w:val="4"/>
        <w:spacing w:line="360" w:lineRule="auto"/>
        <w:jc w:val="center"/>
        <w:outlineLvl w:val="0"/>
        <w:rPr>
          <w:rFonts w:ascii="宋体" w:hAnsi="宋体" w:cs="宋体"/>
          <w:highlight w:val="none"/>
        </w:rPr>
      </w:pPr>
      <w:r>
        <w:rPr>
          <w:rFonts w:hint="eastAsia" w:ascii="宋体" w:hAnsi="宋体" w:cs="宋体"/>
          <w:highlight w:val="none"/>
        </w:rPr>
        <w:br w:type="page"/>
      </w:r>
      <w:bookmarkStart w:id="667" w:name="_Toc6926"/>
      <w:bookmarkStart w:id="668" w:name="_Toc19720"/>
      <w:bookmarkStart w:id="669" w:name="_Toc6671"/>
      <w:r>
        <w:rPr>
          <w:rFonts w:hint="eastAsia" w:ascii="宋体" w:hAnsi="宋体" w:cs="宋体"/>
          <w:highlight w:val="none"/>
        </w:rPr>
        <w:t>一、投标函</w:t>
      </w:r>
      <w:bookmarkEnd w:id="666"/>
      <w:bookmarkEnd w:id="667"/>
      <w:bookmarkEnd w:id="668"/>
      <w:bookmarkEnd w:id="669"/>
    </w:p>
    <w:p w14:paraId="742E72DF">
      <w:pPr>
        <w:spacing w:line="360" w:lineRule="auto"/>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（招标人）</w:t>
      </w:r>
    </w:p>
    <w:p w14:paraId="39F2EB71">
      <w:pPr>
        <w:keepNext w:val="0"/>
        <w:keepLines w:val="0"/>
        <w:widowControl w:val="0"/>
        <w:suppressLineNumbers w:val="0"/>
        <w:spacing w:before="0" w:beforeAutospacing="0" w:after="0" w:afterAutospacing="0" w:line="460" w:lineRule="exact"/>
        <w:ind w:left="0" w:right="0" w:firstLine="420" w:firstLineChars="200"/>
        <w:jc w:val="both"/>
        <w:rPr>
          <w:rFonts w:cs="宋体"/>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我们收到了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none"/>
          <w:lang w:val="en-US" w:eastAsia="zh-CN" w:bidi="ar"/>
        </w:rPr>
        <w:t>（项目名称）</w:t>
      </w:r>
      <w:r>
        <w:rPr>
          <w:rFonts w:hint="eastAsia" w:ascii="宋体" w:hAnsi="宋体" w:cs="Courier New"/>
          <w:szCs w:val="21"/>
          <w:highlight w:val="none"/>
          <w:lang w:eastAsia="zh-CN"/>
        </w:rPr>
        <w:t>（</w:t>
      </w:r>
      <w:r>
        <w:rPr>
          <w:rFonts w:hint="eastAsia" w:ascii="宋体" w:hAnsi="宋体" w:cs="Courier New"/>
          <w:szCs w:val="21"/>
          <w:highlight w:val="none"/>
          <w:u w:val="single"/>
          <w:lang w:val="en-US" w:eastAsia="zh-CN"/>
        </w:rPr>
        <w:t xml:space="preserve">    </w:t>
      </w:r>
      <w:r>
        <w:rPr>
          <w:rFonts w:hint="eastAsia" w:ascii="宋体" w:hAnsi="宋体" w:cs="Courier New"/>
          <w:szCs w:val="21"/>
          <w:highlight w:val="none"/>
          <w:lang w:eastAsia="zh-CN"/>
        </w:rPr>
        <w:t>标包）</w:t>
      </w:r>
      <w:r>
        <w:rPr>
          <w:rFonts w:hint="eastAsia" w:cs="宋体"/>
          <w:color w:val="auto"/>
          <w:kern w:val="2"/>
          <w:sz w:val="21"/>
          <w:szCs w:val="21"/>
          <w:highlight w:val="none"/>
          <w:lang w:val="en-US" w:eastAsia="zh-CN" w:bidi="ar"/>
        </w:rPr>
        <w:t>招标</w:t>
      </w:r>
      <w:r>
        <w:rPr>
          <w:rFonts w:hint="eastAsia" w:ascii="Times New Roman" w:hAnsi="Times New Roman" w:eastAsia="宋体" w:cs="宋体"/>
          <w:color w:val="auto"/>
          <w:kern w:val="2"/>
          <w:sz w:val="21"/>
          <w:szCs w:val="21"/>
          <w:highlight w:val="none"/>
          <w:lang w:val="en-US" w:eastAsia="zh-CN" w:bidi="ar"/>
        </w:rPr>
        <w:t>文件，经详细研究，我们决定参加该项目的投标活动并按要求提交投标文件。我们郑重声明以下诸点并负法律责任</w:t>
      </w:r>
      <w:r>
        <w:rPr>
          <w:rFonts w:hint="default" w:ascii="Times New Roman" w:hAnsi="Times New Roman" w:eastAsia="宋体" w:cs="Times New Roman"/>
          <w:color w:val="auto"/>
          <w:kern w:val="2"/>
          <w:sz w:val="21"/>
          <w:szCs w:val="21"/>
          <w:highlight w:val="none"/>
          <w:lang w:val="en-US" w:eastAsia="zh-CN" w:bidi="ar"/>
        </w:rPr>
        <w:t>:</w:t>
      </w:r>
    </w:p>
    <w:p w14:paraId="54E9F031">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 愿按照采购文件中规定的条款和要求，提供完成采购文件规定的全部工作，投标报价为大写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szCs w:val="21"/>
          <w:highlight w:val="none"/>
          <w:lang w:val="en-US" w:eastAsia="zh-CN"/>
        </w:rPr>
        <w:t>/街坊</w:t>
      </w:r>
      <w:r>
        <w:rPr>
          <w:rFonts w:hint="eastAsia" w:ascii="宋体" w:hAnsi="宋体" w:eastAsia="宋体" w:cs="宋体"/>
          <w:color w:val="auto"/>
          <w:kern w:val="2"/>
          <w:sz w:val="21"/>
          <w:szCs w:val="21"/>
          <w:highlight w:val="none"/>
          <w:lang w:val="en-US" w:eastAsia="zh-CN" w:bidi="ar"/>
        </w:rPr>
        <w:t>，小写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元/街坊，</w:t>
      </w:r>
      <w:r>
        <w:rPr>
          <w:rFonts w:hint="eastAsia" w:ascii="宋体" w:hAnsi="宋体" w:cs="宋体"/>
          <w:color w:val="auto"/>
          <w:kern w:val="2"/>
          <w:sz w:val="21"/>
          <w:szCs w:val="21"/>
          <w:highlight w:val="none"/>
          <w:lang w:val="en-US" w:eastAsia="zh-CN" w:bidi="ar"/>
        </w:rPr>
        <w:t>服务期限</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none"/>
          <w:lang w:val="en-US" w:eastAsia="zh-CN" w:bidi="ar"/>
        </w:rPr>
        <w:t xml:space="preserve">，质量要求： </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0807FD7">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 如果我们的投标文件被接受，我们将履行采购文件中规定的各项要求。</w:t>
      </w:r>
    </w:p>
    <w:p w14:paraId="04D5F5A0">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 我们同意本次招标投标有效期</w:t>
      </w:r>
      <w:r>
        <w:rPr>
          <w:rFonts w:hint="eastAsia" w:ascii="宋体" w:hAnsi="宋体" w:cs="宋体"/>
          <w:color w:val="auto"/>
          <w:kern w:val="2"/>
          <w:sz w:val="21"/>
          <w:szCs w:val="21"/>
          <w:highlight w:val="none"/>
          <w:lang w:val="en-US" w:eastAsia="zh-CN" w:bidi="ar"/>
        </w:rPr>
        <w:t>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内不撤销、不修改投标文件内容。</w:t>
      </w:r>
    </w:p>
    <w:p w14:paraId="50DA4301">
      <w:pPr>
        <w:keepNext w:val="0"/>
        <w:keepLines w:val="0"/>
        <w:widowControl w:val="0"/>
        <w:suppressLineNumbers w:val="0"/>
        <w:spacing w:before="0" w:beforeAutospacing="0" w:after="0" w:afterAutospacing="0" w:line="46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(4) 我们愿提供采购文件中要求的所有文件资料。</w:t>
      </w:r>
    </w:p>
    <w:p w14:paraId="2AECAD7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(5) 我们已经详细审核了全部采购文件，如有需要澄清的问题，我们同意按采购文件规定的时间向采购人提出。逾期不提，我公司同意放弃对这方面有不明及误解的权利。</w:t>
      </w:r>
    </w:p>
    <w:p w14:paraId="0D4DEAF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(6) 我们承诺，与采购人聘请的为此项目提供咨询服务及任何附属机构均无关联，非采购人的附属机构。</w:t>
      </w:r>
    </w:p>
    <w:p w14:paraId="7442E5D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highlight w:val="none"/>
          <w:lang w:val="zh-CN" w:eastAsia="zh-CN"/>
        </w:rPr>
      </w:pP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我方承诺将按规定将招标代理费支付给招标代理机构。</w:t>
      </w:r>
    </w:p>
    <w:p w14:paraId="1D3F1B97">
      <w:pPr>
        <w:keepNext w:val="0"/>
        <w:keepLines w:val="0"/>
        <w:widowControl w:val="0"/>
        <w:suppressLineNumbers w:val="0"/>
        <w:spacing w:before="0" w:beforeAutospacing="0" w:after="0" w:afterAutospacing="0" w:line="500" w:lineRule="exact"/>
        <w:ind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 我公司同意提供按照采购人可能要求的与其投标有关的一切数据或资料，完全理解采购人不一定接受最低价的投标或收到的任何投标。</w:t>
      </w:r>
    </w:p>
    <w:p w14:paraId="02857174">
      <w:pPr>
        <w:keepNext w:val="0"/>
        <w:keepLines w:val="0"/>
        <w:widowControl w:val="0"/>
        <w:suppressLineNumbers w:val="0"/>
        <w:spacing w:before="0" w:beforeAutospacing="0" w:after="0" w:afterAutospacing="0" w:line="50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 我们愿按《中华人民共和国民法典》履行自己的全部责任。</w:t>
      </w:r>
    </w:p>
    <w:p w14:paraId="7F042547">
      <w:pPr>
        <w:keepNext w:val="0"/>
        <w:keepLines w:val="0"/>
        <w:widowControl w:val="0"/>
        <w:suppressLineNumbers w:val="0"/>
        <w:spacing w:before="0" w:beforeAutospacing="0" w:after="0" w:afterAutospacing="0" w:line="500" w:lineRule="exact"/>
        <w:ind w:left="0" w:right="0" w:firstLine="315" w:firstLineChars="150"/>
        <w:jc w:val="both"/>
        <w:rPr>
          <w:color w:val="auto"/>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（其他补充说明）。</w:t>
      </w:r>
    </w:p>
    <w:p w14:paraId="53E14506">
      <w:pPr>
        <w:keepNext w:val="0"/>
        <w:keepLines w:val="0"/>
        <w:widowControl w:val="0"/>
        <w:suppressLineNumbers w:val="0"/>
        <w:spacing w:before="0" w:beforeAutospacing="0" w:after="0" w:afterAutospacing="0" w:line="400" w:lineRule="exact"/>
        <w:ind w:left="0" w:right="0" w:firstLine="3255" w:firstLineChars="1550"/>
        <w:jc w:val="both"/>
        <w:rPr>
          <w:rFonts w:hint="eastAsia" w:ascii="宋体" w:hAnsi="Times New Roman" w:eastAsia="宋体" w:cs="宋体"/>
          <w:color w:val="auto"/>
          <w:szCs w:val="21"/>
          <w:highlight w:val="none"/>
          <w:lang w:val="en-US"/>
        </w:rPr>
      </w:pPr>
    </w:p>
    <w:p w14:paraId="1E260CB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地址：</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4388F42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电话：</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EC57781">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highlight w:val="none"/>
          <w:lang w:val="en-US"/>
        </w:rPr>
      </w:pPr>
      <w:r>
        <w:rPr>
          <w:rFonts w:hint="eastAsia" w:ascii="宋体" w:hAnsi="Times New Roman" w:eastAsia="宋体" w:cs="宋体"/>
          <w:color w:val="auto"/>
          <w:kern w:val="2"/>
          <w:sz w:val="21"/>
          <w:szCs w:val="21"/>
          <w:highlight w:val="none"/>
          <w:lang w:val="en-US" w:eastAsia="zh-CN" w:bidi="ar"/>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4FFDB1A1">
      <w:pPr>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0"/>
          <w:sz w:val="21"/>
          <w:szCs w:val="21"/>
          <w:highlight w:val="none"/>
          <w:lang w:val="en-US" w:eastAsia="zh-CN" w:bidi="ar"/>
        </w:rPr>
      </w:pPr>
      <w:r>
        <w:rPr>
          <w:rFonts w:hint="eastAsia" w:ascii="宋体"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Times New Roman" w:eastAsia="宋体" w:cs="宋体"/>
          <w:color w:val="auto"/>
          <w:kern w:val="2"/>
          <w:sz w:val="21"/>
          <w:szCs w:val="21"/>
          <w:highlight w:val="none"/>
          <w:lang w:val="en-US" w:eastAsia="zh-CN" w:bidi="ar"/>
        </w:rPr>
        <w:t>个人电子签章</w:t>
      </w:r>
      <w:r>
        <w:rPr>
          <w:rFonts w:hint="eastAsia" w:ascii="宋体" w:hAnsi="宋体" w:eastAsia="宋体" w:cs="宋体"/>
          <w:color w:val="auto"/>
          <w:kern w:val="0"/>
          <w:sz w:val="21"/>
          <w:szCs w:val="21"/>
          <w:highlight w:val="none"/>
          <w:lang w:val="en-US" w:eastAsia="zh-CN" w:bidi="ar"/>
        </w:rPr>
        <w:t>）</w:t>
      </w:r>
    </w:p>
    <w:p w14:paraId="2167B43C">
      <w:pPr>
        <w:pStyle w:val="39"/>
        <w:ind w:left="0" w:leftChars="0" w:firstLine="0" w:firstLineChars="0"/>
        <w:rPr>
          <w:rFonts w:hint="eastAsia"/>
          <w:highlight w:val="none"/>
          <w:lang w:val="en-US"/>
        </w:rPr>
      </w:pPr>
      <w:r>
        <w:rPr>
          <w:rFonts w:hint="eastAsia" w:ascii="宋体" w:hAnsi="宋体" w:eastAsia="宋体" w:cs="宋体"/>
          <w:color w:val="auto"/>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B567F3C">
      <w:pPr>
        <w:wordWrap w:val="0"/>
        <w:spacing w:line="360" w:lineRule="auto"/>
        <w:ind w:firstLine="3084"/>
        <w:jc w:val="right"/>
        <w:rPr>
          <w:rFonts w:ascii="宋体" w:hAnsi="宋体" w:cs="楷体"/>
          <w:sz w:val="21"/>
          <w:szCs w:val="21"/>
          <w:highlight w:val="none"/>
        </w:rPr>
      </w:pPr>
    </w:p>
    <w:p w14:paraId="62B7F1C1">
      <w:pPr>
        <w:spacing w:line="360" w:lineRule="auto"/>
        <w:jc w:val="center"/>
        <w:outlineLvl w:val="1"/>
        <w:rPr>
          <w:sz w:val="28"/>
          <w:szCs w:val="28"/>
          <w:highlight w:val="none"/>
        </w:rPr>
      </w:pPr>
      <w:r>
        <w:rPr>
          <w:rFonts w:hint="eastAsia" w:ascii="宋体" w:hAnsi="宋体"/>
          <w:sz w:val="24"/>
          <w:highlight w:val="none"/>
        </w:rPr>
        <w:br w:type="page"/>
      </w:r>
      <w:bookmarkStart w:id="670" w:name="_Toc1435"/>
      <w:r>
        <w:rPr>
          <w:rFonts w:hint="eastAsia" w:ascii="宋体" w:hAnsi="宋体" w:eastAsia="宋体" w:cs="宋体"/>
          <w:b/>
          <w:bCs/>
          <w:kern w:val="0"/>
          <w:sz w:val="32"/>
          <w:szCs w:val="32"/>
          <w:highlight w:val="none"/>
          <w:lang w:val="en-US" w:eastAsia="zh-CN" w:bidi="ar-SA"/>
        </w:rPr>
        <w:t>二、开标一览表</w:t>
      </w:r>
      <w:bookmarkEnd w:id="670"/>
    </w:p>
    <w:p w14:paraId="30D3D743">
      <w:pPr>
        <w:spacing w:line="360" w:lineRule="auto"/>
        <w:jc w:val="center"/>
        <w:rPr>
          <w:sz w:val="28"/>
          <w:szCs w:val="28"/>
          <w:highlight w:val="none"/>
        </w:rPr>
      </w:pPr>
    </w:p>
    <w:tbl>
      <w:tblPr>
        <w:tblStyle w:val="29"/>
        <w:tblW w:w="8536" w:type="dxa"/>
        <w:jc w:val="center"/>
        <w:tblLayout w:type="fixed"/>
        <w:tblCellMar>
          <w:top w:w="0" w:type="dxa"/>
          <w:left w:w="0" w:type="dxa"/>
          <w:bottom w:w="0" w:type="dxa"/>
          <w:right w:w="0" w:type="dxa"/>
        </w:tblCellMar>
      </w:tblPr>
      <w:tblGrid>
        <w:gridCol w:w="2783"/>
        <w:gridCol w:w="5753"/>
      </w:tblGrid>
      <w:tr w14:paraId="1C5C93E5">
        <w:tblPrEx>
          <w:tblCellMar>
            <w:top w:w="0" w:type="dxa"/>
            <w:left w:w="0" w:type="dxa"/>
            <w:bottom w:w="0" w:type="dxa"/>
            <w:right w:w="0" w:type="dxa"/>
          </w:tblCellMar>
        </w:tblPrEx>
        <w:trPr>
          <w:trHeight w:val="831"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2F6EA61">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投标人名称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0FA46082">
            <w:pPr>
              <w:spacing w:line="360" w:lineRule="auto"/>
              <w:jc w:val="center"/>
              <w:rPr>
                <w:rFonts w:ascii="宋体" w:hAnsi="宋体" w:cs="宋体"/>
                <w:sz w:val="21"/>
                <w:szCs w:val="21"/>
                <w:highlight w:val="none"/>
              </w:rPr>
            </w:pPr>
          </w:p>
        </w:tc>
      </w:tr>
      <w:tr w14:paraId="3590AAE2">
        <w:tblPrEx>
          <w:tblCellMar>
            <w:top w:w="0" w:type="dxa"/>
            <w:left w:w="0" w:type="dxa"/>
            <w:bottom w:w="0" w:type="dxa"/>
            <w:right w:w="0" w:type="dxa"/>
          </w:tblCellMar>
        </w:tblPrEx>
        <w:trPr>
          <w:trHeight w:val="51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E34ED0A">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6183BE08">
            <w:pPr>
              <w:spacing w:line="360" w:lineRule="auto"/>
              <w:jc w:val="center"/>
              <w:rPr>
                <w:rFonts w:ascii="宋体" w:hAnsi="宋体" w:cs="宋体"/>
                <w:sz w:val="21"/>
                <w:szCs w:val="21"/>
                <w:highlight w:val="none"/>
              </w:rPr>
            </w:pPr>
          </w:p>
        </w:tc>
      </w:tr>
      <w:tr w14:paraId="05FA2391">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95A591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项目编号</w:t>
            </w:r>
          </w:p>
        </w:tc>
        <w:tc>
          <w:tcPr>
            <w:tcW w:w="5753" w:type="dxa"/>
            <w:tcBorders>
              <w:top w:val="single" w:color="000000" w:sz="4" w:space="0"/>
              <w:left w:val="single" w:color="000000" w:sz="4" w:space="0"/>
              <w:bottom w:val="single" w:color="000000" w:sz="4" w:space="0"/>
              <w:right w:val="single" w:color="000000" w:sz="4" w:space="0"/>
            </w:tcBorders>
            <w:vAlign w:val="center"/>
          </w:tcPr>
          <w:p w14:paraId="7D468411">
            <w:pPr>
              <w:spacing w:line="360" w:lineRule="auto"/>
              <w:jc w:val="center"/>
              <w:rPr>
                <w:rFonts w:ascii="宋体" w:hAnsi="宋体" w:cs="宋体"/>
                <w:sz w:val="21"/>
                <w:szCs w:val="21"/>
                <w:highlight w:val="none"/>
              </w:rPr>
            </w:pPr>
          </w:p>
        </w:tc>
      </w:tr>
      <w:tr w14:paraId="7F7886E6">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5C3E0A3">
            <w:pPr>
              <w:spacing w:line="360" w:lineRule="auto"/>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标包名称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1B64D34F">
            <w:pPr>
              <w:spacing w:line="360" w:lineRule="auto"/>
              <w:jc w:val="center"/>
              <w:rPr>
                <w:rFonts w:ascii="宋体" w:hAnsi="宋体" w:cs="宋体"/>
                <w:sz w:val="21"/>
                <w:szCs w:val="21"/>
                <w:highlight w:val="none"/>
              </w:rPr>
            </w:pPr>
          </w:p>
        </w:tc>
      </w:tr>
      <w:tr w14:paraId="2222150A">
        <w:tblPrEx>
          <w:tblCellMar>
            <w:top w:w="0" w:type="dxa"/>
            <w:left w:w="0" w:type="dxa"/>
            <w:bottom w:w="0" w:type="dxa"/>
            <w:right w:w="0" w:type="dxa"/>
          </w:tblCellMar>
        </w:tblPrEx>
        <w:trPr>
          <w:trHeight w:val="5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3DBC938">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5753" w:type="dxa"/>
            <w:tcBorders>
              <w:top w:val="single" w:color="000000" w:sz="4" w:space="0"/>
              <w:left w:val="single" w:color="000000" w:sz="4" w:space="0"/>
              <w:bottom w:val="single" w:color="000000" w:sz="4" w:space="0"/>
              <w:right w:val="single" w:color="000000" w:sz="4" w:space="0"/>
            </w:tcBorders>
            <w:vAlign w:val="center"/>
          </w:tcPr>
          <w:p w14:paraId="16CD4944">
            <w:pPr>
              <w:spacing w:line="360" w:lineRule="auto"/>
              <w:jc w:val="center"/>
              <w:rPr>
                <w:rFonts w:ascii="宋体" w:hAnsi="宋体" w:cs="宋体"/>
                <w:sz w:val="21"/>
                <w:szCs w:val="21"/>
                <w:highlight w:val="none"/>
              </w:rPr>
            </w:pPr>
          </w:p>
        </w:tc>
      </w:tr>
      <w:tr w14:paraId="7CE522C1">
        <w:tblPrEx>
          <w:tblCellMar>
            <w:top w:w="0" w:type="dxa"/>
            <w:left w:w="0" w:type="dxa"/>
            <w:bottom w:w="0" w:type="dxa"/>
            <w:right w:w="0" w:type="dxa"/>
          </w:tblCellMar>
        </w:tblPrEx>
        <w:trPr>
          <w:trHeight w:val="8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4DB1762">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投标报价</w:t>
            </w:r>
          </w:p>
        </w:tc>
        <w:tc>
          <w:tcPr>
            <w:tcW w:w="5753" w:type="dxa"/>
            <w:tcBorders>
              <w:top w:val="single" w:color="000000" w:sz="4" w:space="0"/>
              <w:left w:val="single" w:color="000000" w:sz="4" w:space="0"/>
              <w:bottom w:val="single" w:color="000000" w:sz="4" w:space="0"/>
              <w:right w:val="single" w:color="000000" w:sz="4" w:space="0"/>
            </w:tcBorders>
          </w:tcPr>
          <w:p w14:paraId="3A739FCB">
            <w:pPr>
              <w:spacing w:line="360" w:lineRule="auto"/>
              <w:ind w:right="480"/>
              <w:jc w:val="left"/>
              <w:rPr>
                <w:rFonts w:hint="eastAsia" w:ascii="宋体" w:hAnsi="宋体" w:cs="宋体"/>
                <w:sz w:val="21"/>
                <w:szCs w:val="21"/>
                <w:highlight w:val="none"/>
                <w:u w:val="single"/>
                <w:lang w:val="en-US" w:eastAsia="zh-CN"/>
              </w:rPr>
            </w:pPr>
            <w:r>
              <w:rPr>
                <w:rFonts w:hint="eastAsia" w:ascii="宋体" w:hAnsi="宋体" w:cs="宋体"/>
                <w:sz w:val="21"/>
                <w:szCs w:val="21"/>
                <w:highlight w:val="none"/>
              </w:rPr>
              <w:t>（大写）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/街坊</w:t>
            </w:r>
          </w:p>
          <w:p w14:paraId="4A5D99A2">
            <w:pPr>
              <w:spacing w:line="360" w:lineRule="auto"/>
              <w:ind w:right="480"/>
              <w:jc w:val="left"/>
              <w:rPr>
                <w:rFonts w:ascii="宋体" w:hAnsi="宋体" w:cs="宋体"/>
                <w:sz w:val="21"/>
                <w:szCs w:val="21"/>
                <w:highlight w:val="none"/>
              </w:rPr>
            </w:pPr>
            <w:r>
              <w:rPr>
                <w:rFonts w:hint="eastAsia" w:ascii="宋体" w:hAnsi="宋体" w:cs="宋体"/>
                <w:sz w:val="21"/>
                <w:szCs w:val="21"/>
                <w:highlight w:val="none"/>
              </w:rPr>
              <w:t>（小写）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元/街坊</w:t>
            </w:r>
          </w:p>
        </w:tc>
      </w:tr>
      <w:tr w14:paraId="52B8E8E5">
        <w:tblPrEx>
          <w:tblCellMar>
            <w:top w:w="0" w:type="dxa"/>
            <w:left w:w="0" w:type="dxa"/>
            <w:bottom w:w="0" w:type="dxa"/>
            <w:right w:w="0" w:type="dxa"/>
          </w:tblCellMar>
        </w:tblPrEx>
        <w:trPr>
          <w:trHeight w:val="134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EB735BA">
            <w:pPr>
              <w:tabs>
                <w:tab w:val="left" w:pos="7220"/>
              </w:tabs>
              <w:autoSpaceDE w:val="0"/>
              <w:autoSpaceDN w:val="0"/>
              <w:adjustRightInd w:val="0"/>
              <w:spacing w:line="271" w:lineRule="exact"/>
              <w:ind w:right="-20" w:rightChars="0" w:firstLine="117" w:firstLineChars="49"/>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项目</w:t>
            </w:r>
            <w:r>
              <w:rPr>
                <w:rFonts w:hint="eastAsia" w:cs="Times New Roman"/>
                <w:b w:val="0"/>
                <w:bCs/>
                <w:w w:val="100"/>
                <w:kern w:val="2"/>
                <w:sz w:val="24"/>
                <w:szCs w:val="22"/>
                <w:highlight w:val="none"/>
                <w:lang w:val="en-US" w:eastAsia="zh-CN" w:bidi="ar-SA"/>
              </w:rPr>
              <w:t>负责人</w:t>
            </w:r>
          </w:p>
        </w:tc>
        <w:tc>
          <w:tcPr>
            <w:tcW w:w="5753" w:type="dxa"/>
            <w:tcBorders>
              <w:top w:val="single" w:color="000000" w:sz="4" w:space="0"/>
              <w:left w:val="single" w:color="000000" w:sz="4" w:space="0"/>
              <w:bottom w:val="single" w:color="000000" w:sz="4" w:space="0"/>
              <w:right w:val="single" w:color="000000" w:sz="4" w:space="0"/>
            </w:tcBorders>
            <w:vAlign w:val="center"/>
          </w:tcPr>
          <w:p w14:paraId="570D2334">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姓名：</w:t>
            </w:r>
          </w:p>
          <w:p w14:paraId="5DD9A5A5">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级 别：</w:t>
            </w:r>
          </w:p>
          <w:p w14:paraId="5A7AD836">
            <w:pPr>
              <w:pStyle w:val="50"/>
              <w:spacing w:line="360" w:lineRule="auto"/>
              <w:ind w:firstLine="0" w:firstLineChars="0"/>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证书编号：</w:t>
            </w:r>
          </w:p>
        </w:tc>
      </w:tr>
      <w:tr w14:paraId="22AEAE37">
        <w:tblPrEx>
          <w:tblCellMar>
            <w:top w:w="0" w:type="dxa"/>
            <w:left w:w="0" w:type="dxa"/>
            <w:bottom w:w="0" w:type="dxa"/>
            <w:right w:w="0" w:type="dxa"/>
          </w:tblCellMar>
        </w:tblPrEx>
        <w:trPr>
          <w:trHeight w:val="69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4430DBDE">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服务期限</w:t>
            </w:r>
          </w:p>
        </w:tc>
        <w:tc>
          <w:tcPr>
            <w:tcW w:w="5753" w:type="dxa"/>
            <w:tcBorders>
              <w:top w:val="single" w:color="000000" w:sz="4" w:space="0"/>
              <w:left w:val="single" w:color="000000" w:sz="4" w:space="0"/>
              <w:bottom w:val="single" w:color="000000" w:sz="4" w:space="0"/>
              <w:right w:val="single" w:color="000000" w:sz="4" w:space="0"/>
            </w:tcBorders>
            <w:vAlign w:val="center"/>
          </w:tcPr>
          <w:p w14:paraId="33CDF000">
            <w:pPr>
              <w:spacing w:line="360" w:lineRule="auto"/>
              <w:jc w:val="center"/>
              <w:rPr>
                <w:rFonts w:ascii="宋体" w:hAnsi="宋体" w:cs="宋体"/>
                <w:sz w:val="21"/>
                <w:szCs w:val="21"/>
                <w:highlight w:val="none"/>
              </w:rPr>
            </w:pPr>
          </w:p>
        </w:tc>
      </w:tr>
      <w:tr w14:paraId="1BC6FAEE">
        <w:tblPrEx>
          <w:tblCellMar>
            <w:top w:w="0" w:type="dxa"/>
            <w:left w:w="0" w:type="dxa"/>
            <w:bottom w:w="0" w:type="dxa"/>
            <w:right w:w="0" w:type="dxa"/>
          </w:tblCellMar>
        </w:tblPrEx>
        <w:trPr>
          <w:trHeight w:val="66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FBFB17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投标范围</w:t>
            </w:r>
          </w:p>
        </w:tc>
        <w:tc>
          <w:tcPr>
            <w:tcW w:w="5753" w:type="dxa"/>
            <w:tcBorders>
              <w:top w:val="single" w:color="000000" w:sz="4" w:space="0"/>
              <w:left w:val="single" w:color="000000" w:sz="4" w:space="0"/>
              <w:bottom w:val="single" w:color="000000" w:sz="4" w:space="0"/>
              <w:right w:val="single" w:color="000000" w:sz="4" w:space="0"/>
            </w:tcBorders>
            <w:vAlign w:val="center"/>
          </w:tcPr>
          <w:p w14:paraId="213C1EF1">
            <w:pPr>
              <w:spacing w:line="360" w:lineRule="auto"/>
              <w:jc w:val="center"/>
              <w:rPr>
                <w:rFonts w:ascii="宋体" w:hAnsi="宋体" w:cs="宋体"/>
                <w:sz w:val="21"/>
                <w:szCs w:val="21"/>
                <w:highlight w:val="none"/>
              </w:rPr>
            </w:pPr>
          </w:p>
        </w:tc>
      </w:tr>
      <w:tr w14:paraId="266D5326">
        <w:tblPrEx>
          <w:tblCellMar>
            <w:top w:w="0" w:type="dxa"/>
            <w:left w:w="0" w:type="dxa"/>
            <w:bottom w:w="0" w:type="dxa"/>
            <w:right w:w="0" w:type="dxa"/>
          </w:tblCellMar>
        </w:tblPrEx>
        <w:trPr>
          <w:trHeight w:val="619"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CA89DD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服务要求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783E2244">
            <w:pPr>
              <w:spacing w:line="360" w:lineRule="auto"/>
              <w:jc w:val="center"/>
              <w:rPr>
                <w:rFonts w:ascii="宋体" w:hAnsi="宋体" w:cs="宋体"/>
                <w:sz w:val="21"/>
                <w:szCs w:val="21"/>
                <w:highlight w:val="none"/>
              </w:rPr>
            </w:pPr>
          </w:p>
        </w:tc>
      </w:tr>
      <w:tr w14:paraId="708B5416">
        <w:tblPrEx>
          <w:tblCellMar>
            <w:top w:w="0" w:type="dxa"/>
            <w:left w:w="0" w:type="dxa"/>
            <w:bottom w:w="0" w:type="dxa"/>
            <w:right w:w="0" w:type="dxa"/>
          </w:tblCellMar>
        </w:tblPrEx>
        <w:trPr>
          <w:trHeight w:val="75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FA2EB30">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质量</w:t>
            </w:r>
            <w:r>
              <w:rPr>
                <w:rFonts w:hint="eastAsia" w:ascii="宋体" w:hAnsi="宋体" w:cs="宋体"/>
                <w:sz w:val="21"/>
                <w:szCs w:val="21"/>
                <w:highlight w:val="none"/>
                <w:lang w:eastAsia="zh-CN"/>
              </w:rPr>
              <w:t>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0FCA326B">
            <w:pPr>
              <w:spacing w:line="360" w:lineRule="auto"/>
              <w:jc w:val="center"/>
              <w:rPr>
                <w:rFonts w:ascii="宋体" w:hAnsi="宋体" w:cs="宋体"/>
                <w:sz w:val="21"/>
                <w:szCs w:val="21"/>
                <w:highlight w:val="none"/>
              </w:rPr>
            </w:pPr>
          </w:p>
        </w:tc>
      </w:tr>
      <w:tr w14:paraId="767A59D2">
        <w:tblPrEx>
          <w:tblCellMar>
            <w:top w:w="0" w:type="dxa"/>
            <w:left w:w="0" w:type="dxa"/>
            <w:bottom w:w="0" w:type="dxa"/>
            <w:right w:w="0" w:type="dxa"/>
          </w:tblCellMar>
        </w:tblPrEx>
        <w:trPr>
          <w:trHeight w:val="97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785DA6CC">
            <w:pPr>
              <w:spacing w:line="360" w:lineRule="auto"/>
              <w:jc w:val="center"/>
              <w:rPr>
                <w:rFonts w:ascii="宋体" w:hAnsi="宋体" w:cs="宋体"/>
                <w:sz w:val="21"/>
                <w:szCs w:val="21"/>
                <w:highlight w:val="none"/>
              </w:rPr>
            </w:pPr>
            <w:r>
              <w:rPr>
                <w:rFonts w:hint="eastAsia" w:ascii="宋体" w:hAnsi="宋体" w:cs="宋体"/>
                <w:sz w:val="21"/>
                <w:szCs w:val="21"/>
                <w:highlight w:val="none"/>
              </w:rPr>
              <w:t>其它说明</w:t>
            </w:r>
          </w:p>
        </w:tc>
        <w:tc>
          <w:tcPr>
            <w:tcW w:w="5753" w:type="dxa"/>
            <w:tcBorders>
              <w:top w:val="single" w:color="000000" w:sz="4" w:space="0"/>
              <w:left w:val="single" w:color="000000" w:sz="4" w:space="0"/>
              <w:bottom w:val="single" w:color="000000" w:sz="4" w:space="0"/>
              <w:right w:val="single" w:color="000000" w:sz="4" w:space="0"/>
            </w:tcBorders>
            <w:vAlign w:val="center"/>
          </w:tcPr>
          <w:p w14:paraId="66776BE5">
            <w:pPr>
              <w:spacing w:line="360" w:lineRule="auto"/>
              <w:jc w:val="center"/>
              <w:rPr>
                <w:rFonts w:ascii="宋体" w:hAnsi="宋体" w:cs="宋体"/>
                <w:sz w:val="21"/>
                <w:szCs w:val="21"/>
                <w:highlight w:val="none"/>
              </w:rPr>
            </w:pPr>
          </w:p>
        </w:tc>
      </w:tr>
    </w:tbl>
    <w:p w14:paraId="59987F26">
      <w:pPr>
        <w:spacing w:line="360" w:lineRule="auto"/>
        <w:rPr>
          <w:rFonts w:ascii="宋体" w:hAnsi="宋体" w:cs="宋体"/>
          <w:sz w:val="21"/>
          <w:szCs w:val="21"/>
          <w:highlight w:val="none"/>
        </w:rPr>
      </w:pPr>
    </w:p>
    <w:p w14:paraId="71E5014A">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宋体" w:cs="宋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34FD1E89">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5BBE2548">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4E7CD759">
      <w:pPr>
        <w:wordWrap w:val="0"/>
        <w:spacing w:line="360" w:lineRule="auto"/>
        <w:ind w:firstLine="3084"/>
        <w:jc w:val="right"/>
        <w:rPr>
          <w:rFonts w:ascii="宋体" w:hAnsi="宋体" w:cs="楷体"/>
          <w:sz w:val="21"/>
          <w:szCs w:val="21"/>
          <w:highlight w:val="none"/>
        </w:rPr>
      </w:pPr>
    </w:p>
    <w:p w14:paraId="35D77452">
      <w:pPr>
        <w:spacing w:line="360" w:lineRule="auto"/>
        <w:rPr>
          <w:rFonts w:ascii="宋体" w:hAnsi="宋体" w:cs="楷体"/>
          <w:sz w:val="21"/>
          <w:szCs w:val="21"/>
          <w:highlight w:val="none"/>
        </w:rPr>
      </w:pPr>
    </w:p>
    <w:p w14:paraId="03742E00">
      <w:pPr>
        <w:pStyle w:val="4"/>
        <w:spacing w:line="360" w:lineRule="auto"/>
        <w:jc w:val="center"/>
        <w:outlineLvl w:val="0"/>
        <w:rPr>
          <w:rFonts w:ascii="宋体" w:hAnsi="宋体" w:cs="宋体"/>
          <w:highlight w:val="none"/>
        </w:rPr>
      </w:pPr>
      <w:bookmarkStart w:id="671" w:name="_Toc257210933"/>
      <w:bookmarkEnd w:id="671"/>
      <w:bookmarkStart w:id="672" w:name="_Toc14471"/>
      <w:bookmarkStart w:id="673" w:name="_Toc497493203"/>
      <w:bookmarkStart w:id="674" w:name="_Toc10356"/>
      <w:bookmarkStart w:id="675" w:name="_Toc22124"/>
      <w:r>
        <w:rPr>
          <w:rFonts w:hint="eastAsia" w:ascii="宋体" w:hAnsi="宋体" w:cs="宋体"/>
          <w:highlight w:val="none"/>
          <w:lang w:eastAsia="zh-CN"/>
        </w:rPr>
        <w:t>三</w:t>
      </w:r>
      <w:r>
        <w:rPr>
          <w:rFonts w:hint="eastAsia" w:ascii="宋体" w:hAnsi="宋体" w:cs="宋体"/>
          <w:highlight w:val="none"/>
        </w:rPr>
        <w:t>、法定代表人身份证明</w:t>
      </w:r>
      <w:bookmarkEnd w:id="672"/>
      <w:bookmarkEnd w:id="673"/>
      <w:bookmarkEnd w:id="674"/>
      <w:bookmarkEnd w:id="675"/>
    </w:p>
    <w:p w14:paraId="7AF1F6DA">
      <w:pPr>
        <w:spacing w:line="360" w:lineRule="auto"/>
        <w:rPr>
          <w:rFonts w:ascii="宋体" w:hAnsi="宋体" w:cs="楷体"/>
          <w:sz w:val="28"/>
          <w:szCs w:val="28"/>
          <w:highlight w:val="none"/>
        </w:rPr>
      </w:pPr>
    </w:p>
    <w:p w14:paraId="48EE92D4">
      <w:pPr>
        <w:spacing w:line="360" w:lineRule="auto"/>
        <w:jc w:val="left"/>
        <w:rPr>
          <w:rFonts w:hint="eastAsia" w:ascii="宋体" w:hAnsi="宋体" w:eastAsia="宋体" w:cs="楷体"/>
          <w:sz w:val="21"/>
          <w:szCs w:val="21"/>
          <w:highlight w:val="none"/>
          <w:u w:val="single"/>
          <w:lang w:val="en-US" w:eastAsia="zh-CN"/>
        </w:rPr>
      </w:pPr>
      <w:r>
        <w:rPr>
          <w:rFonts w:hint="eastAsia" w:ascii="宋体" w:hAnsi="宋体" w:cs="楷体"/>
          <w:sz w:val="21"/>
          <w:szCs w:val="21"/>
          <w:highlight w:val="none"/>
        </w:rPr>
        <w:t>投标人名称：</w:t>
      </w:r>
      <w:r>
        <w:rPr>
          <w:rFonts w:hint="eastAsia" w:ascii="宋体" w:hAnsi="宋体" w:cs="楷体"/>
          <w:sz w:val="21"/>
          <w:szCs w:val="21"/>
          <w:highlight w:val="none"/>
          <w:u w:val="single"/>
          <w:lang w:val="en-US" w:eastAsia="zh-CN"/>
        </w:rPr>
        <w:t xml:space="preserve">                             </w:t>
      </w:r>
    </w:p>
    <w:p w14:paraId="76C7EEAC">
      <w:pPr>
        <w:spacing w:line="360" w:lineRule="auto"/>
        <w:jc w:val="left"/>
        <w:rPr>
          <w:rFonts w:hint="eastAsia" w:ascii="宋体" w:hAnsi="宋体" w:eastAsia="宋体" w:cs="楷体"/>
          <w:sz w:val="21"/>
          <w:szCs w:val="21"/>
          <w:highlight w:val="none"/>
          <w:lang w:val="en-US" w:eastAsia="zh-CN"/>
        </w:rPr>
      </w:pPr>
      <w:r>
        <w:rPr>
          <w:rFonts w:hint="eastAsia" w:ascii="宋体" w:hAnsi="宋体" w:cs="楷体"/>
          <w:sz w:val="21"/>
          <w:szCs w:val="21"/>
          <w:highlight w:val="none"/>
        </w:rPr>
        <w:t>单位性质：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lang w:val="en-US" w:eastAsia="zh-CN"/>
        </w:rPr>
        <w:t xml:space="preserve">  </w:t>
      </w:r>
    </w:p>
    <w:p w14:paraId="1E6AE290">
      <w:pPr>
        <w:spacing w:line="360" w:lineRule="auto"/>
        <w:jc w:val="left"/>
        <w:rPr>
          <w:rFonts w:ascii="宋体" w:hAnsi="宋体" w:cs="楷体"/>
          <w:sz w:val="21"/>
          <w:szCs w:val="21"/>
          <w:highlight w:val="none"/>
        </w:rPr>
      </w:pPr>
      <w:r>
        <w:rPr>
          <w:rFonts w:hint="eastAsia" w:ascii="宋体" w:hAnsi="宋体" w:cs="楷体"/>
          <w:sz w:val="21"/>
          <w:szCs w:val="21"/>
          <w:highlight w:val="none"/>
        </w:rPr>
        <w:t>地    址：</w:t>
      </w:r>
      <w:r>
        <w:rPr>
          <w:rFonts w:hint="eastAsia" w:ascii="宋体" w:hAnsi="宋体" w:cs="楷体"/>
          <w:sz w:val="21"/>
          <w:szCs w:val="21"/>
          <w:highlight w:val="none"/>
          <w:u w:val="single"/>
          <w:lang w:val="en-US" w:eastAsia="zh-CN"/>
        </w:rPr>
        <w:t xml:space="preserve">                               </w:t>
      </w:r>
    </w:p>
    <w:p w14:paraId="3DCDA3F9">
      <w:pPr>
        <w:spacing w:line="360" w:lineRule="auto"/>
        <w:jc w:val="left"/>
        <w:rPr>
          <w:rFonts w:ascii="宋体" w:hAnsi="宋体" w:cs="楷体"/>
          <w:sz w:val="21"/>
          <w:szCs w:val="21"/>
          <w:highlight w:val="none"/>
        </w:rPr>
      </w:pPr>
      <w:r>
        <w:rPr>
          <w:rFonts w:hint="eastAsia" w:ascii="宋体" w:hAnsi="宋体" w:cs="楷体"/>
          <w:sz w:val="21"/>
          <w:szCs w:val="21"/>
          <w:highlight w:val="none"/>
        </w:rPr>
        <w:t>成立时间：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月</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日</w:t>
      </w:r>
    </w:p>
    <w:p w14:paraId="4F849E3C">
      <w:pPr>
        <w:spacing w:line="360" w:lineRule="auto"/>
        <w:jc w:val="left"/>
        <w:rPr>
          <w:rFonts w:ascii="宋体" w:hAnsi="宋体" w:cs="楷体"/>
          <w:sz w:val="21"/>
          <w:szCs w:val="21"/>
          <w:highlight w:val="none"/>
        </w:rPr>
      </w:pPr>
      <w:r>
        <w:rPr>
          <w:rFonts w:hint="eastAsia" w:ascii="宋体" w:hAnsi="宋体" w:cs="楷体"/>
          <w:sz w:val="21"/>
          <w:szCs w:val="21"/>
          <w:highlight w:val="none"/>
        </w:rPr>
        <w:t>经营期限：</w:t>
      </w:r>
      <w:r>
        <w:rPr>
          <w:rFonts w:hint="eastAsia" w:ascii="宋体" w:hAnsi="宋体" w:cs="楷体"/>
          <w:sz w:val="21"/>
          <w:szCs w:val="21"/>
          <w:highlight w:val="none"/>
          <w:u w:val="single"/>
          <w:lang w:val="en-US" w:eastAsia="zh-CN"/>
        </w:rPr>
        <w:t xml:space="preserve">                               </w:t>
      </w:r>
    </w:p>
    <w:p w14:paraId="07BAADB6">
      <w:pPr>
        <w:spacing w:line="360" w:lineRule="auto"/>
        <w:jc w:val="left"/>
        <w:rPr>
          <w:rFonts w:ascii="宋体" w:hAnsi="宋体" w:cs="楷体"/>
          <w:sz w:val="21"/>
          <w:szCs w:val="21"/>
          <w:highlight w:val="none"/>
        </w:rPr>
      </w:pP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性别：</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年龄：</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职务：</w:t>
      </w:r>
      <w:r>
        <w:rPr>
          <w:rFonts w:hint="eastAsia" w:ascii="宋体" w:hAnsi="宋体" w:cs="楷体"/>
          <w:sz w:val="21"/>
          <w:szCs w:val="21"/>
          <w:highlight w:val="none"/>
          <w:u w:val="single"/>
          <w:lang w:val="en-US" w:eastAsia="zh-CN"/>
        </w:rPr>
        <w:t xml:space="preserve">          </w:t>
      </w:r>
    </w:p>
    <w:p w14:paraId="0A6D4BAB">
      <w:pPr>
        <w:spacing w:line="360" w:lineRule="auto"/>
        <w:jc w:val="left"/>
        <w:rPr>
          <w:rFonts w:ascii="宋体" w:hAnsi="宋体" w:cs="楷体"/>
          <w:sz w:val="21"/>
          <w:szCs w:val="21"/>
          <w:highlight w:val="none"/>
        </w:rPr>
      </w:pPr>
      <w:r>
        <w:rPr>
          <w:rFonts w:hint="eastAsia" w:ascii="宋体" w:hAnsi="宋体" w:cs="楷体"/>
          <w:sz w:val="21"/>
          <w:szCs w:val="21"/>
          <w:highlight w:val="none"/>
        </w:rPr>
        <w:t>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w:t>
      </w:r>
    </w:p>
    <w:p w14:paraId="4E511433">
      <w:pPr>
        <w:spacing w:line="360" w:lineRule="auto"/>
        <w:ind w:firstLine="480"/>
        <w:jc w:val="left"/>
        <w:rPr>
          <w:rFonts w:ascii="宋体" w:hAnsi="宋体" w:cs="楷体"/>
          <w:sz w:val="21"/>
          <w:szCs w:val="21"/>
          <w:highlight w:val="none"/>
        </w:rPr>
      </w:pPr>
    </w:p>
    <w:p w14:paraId="29A0C0F2">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特此证明。</w:t>
      </w:r>
    </w:p>
    <w:p w14:paraId="1AC61EB5">
      <w:pPr>
        <w:spacing w:line="360" w:lineRule="auto"/>
        <w:ind w:firstLine="3084"/>
        <w:jc w:val="right"/>
        <w:rPr>
          <w:rFonts w:ascii="宋体" w:hAnsi="宋体" w:cs="楷体"/>
          <w:sz w:val="21"/>
          <w:szCs w:val="21"/>
          <w:highlight w:val="none"/>
        </w:rPr>
      </w:pPr>
    </w:p>
    <w:p w14:paraId="7D5033B4">
      <w:pPr>
        <w:spacing w:line="360" w:lineRule="auto"/>
        <w:ind w:firstLine="3084"/>
        <w:jc w:val="right"/>
        <w:rPr>
          <w:rFonts w:ascii="宋体" w:hAnsi="宋体" w:cs="楷体"/>
          <w:sz w:val="21"/>
          <w:szCs w:val="21"/>
          <w:highlight w:val="none"/>
        </w:rPr>
      </w:pPr>
    </w:p>
    <w:p w14:paraId="5B7F2E4E">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bookmarkStart w:id="676" w:name="_Toc497836819"/>
      <w:bookmarkStart w:id="677" w:name="_Toc497837110"/>
      <w:bookmarkStart w:id="678" w:name="_Toc48641068"/>
      <w:bookmarkStart w:id="679" w:name="_Toc497493204"/>
      <w:bookmarkStart w:id="680" w:name="_Toc48201406"/>
      <w:bookmarkStart w:id="681" w:name="_Toc500756706"/>
      <w:bookmarkStart w:id="682" w:name="_Toc13587375"/>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ACFFCAB">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0027BC7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5DD5D165">
      <w:pPr>
        <w:wordWrap w:val="0"/>
        <w:spacing w:line="360" w:lineRule="auto"/>
        <w:ind w:firstLine="3084"/>
        <w:jc w:val="right"/>
        <w:rPr>
          <w:rFonts w:ascii="宋体" w:hAnsi="宋体" w:cs="楷体"/>
          <w:sz w:val="21"/>
          <w:szCs w:val="21"/>
          <w:highlight w:val="none"/>
        </w:rPr>
      </w:pPr>
    </w:p>
    <w:p w14:paraId="52EC832B">
      <w:pPr>
        <w:spacing w:line="360" w:lineRule="auto"/>
        <w:jc w:val="center"/>
        <w:outlineLvl w:val="9"/>
        <w:rPr>
          <w:rFonts w:hint="eastAsia" w:ascii="宋体" w:hAnsi="宋体" w:cs="楷体"/>
          <w:b w:val="0"/>
          <w:bCs w:val="0"/>
          <w:sz w:val="21"/>
          <w:szCs w:val="21"/>
          <w:highlight w:val="none"/>
        </w:rPr>
      </w:pPr>
      <w:bookmarkStart w:id="683" w:name="_Toc50534822"/>
      <w:bookmarkStart w:id="684" w:name="_Toc50369546"/>
      <w:r>
        <w:rPr>
          <w:rFonts w:hint="eastAsia" w:ascii="宋体" w:hAnsi="宋体" w:cs="楷体"/>
          <w:b w:val="0"/>
          <w:bCs w:val="0"/>
          <w:sz w:val="21"/>
          <w:szCs w:val="21"/>
          <w:highlight w:val="none"/>
        </w:rPr>
        <w:t>注：附法定代表人身份证原件扫描件。</w:t>
      </w:r>
    </w:p>
    <w:p w14:paraId="40816977">
      <w:pPr>
        <w:pStyle w:val="4"/>
        <w:spacing w:line="360" w:lineRule="auto"/>
        <w:jc w:val="center"/>
        <w:outlineLvl w:val="0"/>
        <w:rPr>
          <w:rFonts w:cs="宋体"/>
          <w:highlight w:val="none"/>
        </w:rPr>
      </w:pPr>
      <w:r>
        <w:rPr>
          <w:rFonts w:hint="eastAsia"/>
          <w:highlight w:val="none"/>
        </w:rPr>
        <w:br w:type="page"/>
      </w:r>
      <w:bookmarkStart w:id="685" w:name="_Toc257210934"/>
      <w:bookmarkEnd w:id="685"/>
      <w:bookmarkStart w:id="686" w:name="_Toc246157414"/>
      <w:bookmarkEnd w:id="686"/>
      <w:bookmarkStart w:id="687" w:name="_Toc13474300"/>
      <w:bookmarkStart w:id="688" w:name="_Toc498010851"/>
      <w:bookmarkStart w:id="689" w:name="_Toc36128442"/>
      <w:bookmarkStart w:id="690" w:name="_Toc529193222"/>
      <w:bookmarkStart w:id="691" w:name="_Toc28934"/>
      <w:bookmarkStart w:id="692" w:name="_Toc36131900"/>
      <w:bookmarkStart w:id="693" w:name="_Toc497493205"/>
      <w:bookmarkStart w:id="694" w:name="_Toc29011"/>
      <w:bookmarkStart w:id="695" w:name="_Toc23929262"/>
      <w:bookmarkStart w:id="696" w:name="_Toc23256"/>
      <w:r>
        <w:rPr>
          <w:rFonts w:hint="eastAsia" w:ascii="宋体" w:hAnsi="宋体" w:cs="宋体"/>
          <w:highlight w:val="none"/>
          <w:lang w:eastAsia="zh-CN"/>
        </w:rPr>
        <w:t>四</w:t>
      </w:r>
      <w:r>
        <w:rPr>
          <w:rFonts w:hint="eastAsia" w:ascii="宋体" w:hAnsi="宋体" w:cs="宋体"/>
          <w:highlight w:val="none"/>
        </w:rPr>
        <w:t>、法人授权委托书</w:t>
      </w:r>
      <w:bookmarkEnd w:id="676"/>
      <w:bookmarkEnd w:id="677"/>
      <w:bookmarkEnd w:id="678"/>
      <w:bookmarkEnd w:id="679"/>
      <w:bookmarkEnd w:id="680"/>
      <w:bookmarkEnd w:id="681"/>
      <w:bookmarkEnd w:id="682"/>
      <w:bookmarkEnd w:id="683"/>
      <w:bookmarkEnd w:id="684"/>
      <w:bookmarkEnd w:id="687"/>
      <w:bookmarkEnd w:id="688"/>
      <w:bookmarkEnd w:id="689"/>
      <w:bookmarkEnd w:id="690"/>
      <w:bookmarkEnd w:id="691"/>
      <w:bookmarkEnd w:id="692"/>
      <w:bookmarkEnd w:id="693"/>
      <w:bookmarkEnd w:id="694"/>
      <w:bookmarkEnd w:id="695"/>
      <w:bookmarkEnd w:id="696"/>
    </w:p>
    <w:p w14:paraId="0717BC2E">
      <w:pPr>
        <w:spacing w:line="360" w:lineRule="auto"/>
        <w:rPr>
          <w:rFonts w:ascii="宋体" w:hAnsi="宋体" w:cs="楷体"/>
          <w:sz w:val="24"/>
          <w:highlight w:val="none"/>
        </w:rPr>
      </w:pPr>
    </w:p>
    <w:p w14:paraId="65C24B73">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本人</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（投标人名称）的法定代表人，现委托</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（身份证号）为我方代理人。代理人根据授权，以我方名义签署、澄清、说明、补正、递交、撤回、修改</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（项目名称）投标文件、签订合同和处理有关事宜，其法律后果由我方承担。</w:t>
      </w:r>
    </w:p>
    <w:p w14:paraId="58F09B8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委托期限：</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w:t>
      </w:r>
    </w:p>
    <w:p w14:paraId="3846179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代理人无转委托权。</w:t>
      </w: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0339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8969" w:type="dxa"/>
            <w:vAlign w:val="center"/>
          </w:tcPr>
          <w:p w14:paraId="2EE93263">
            <w:pPr>
              <w:jc w:val="center"/>
              <w:rPr>
                <w:rFonts w:ascii="宋体"/>
                <w:highlight w:val="none"/>
                <w:shd w:val="clear" w:color="auto" w:fill="FFFFFF"/>
              </w:rPr>
            </w:pPr>
            <w:r>
              <w:rPr>
                <w:rFonts w:hint="eastAsia" w:ascii="宋体"/>
                <w:highlight w:val="none"/>
                <w:shd w:val="clear" w:color="auto" w:fill="FFFFFF"/>
              </w:rPr>
              <w:t>法定代表人身份证</w:t>
            </w:r>
            <w:r>
              <w:rPr>
                <w:rFonts w:hint="eastAsia" w:ascii="宋体" w:hAnsi="宋体" w:cs="楷体"/>
                <w:b w:val="0"/>
                <w:bCs w:val="0"/>
                <w:sz w:val="21"/>
                <w:szCs w:val="21"/>
                <w:highlight w:val="none"/>
              </w:rPr>
              <w:t>原件扫描件</w:t>
            </w:r>
          </w:p>
        </w:tc>
      </w:tr>
    </w:tbl>
    <w:p w14:paraId="0CDF101D">
      <w:pPr>
        <w:jc w:val="center"/>
        <w:rPr>
          <w:rFonts w:ascii="宋体"/>
          <w:highlight w:val="none"/>
          <w:shd w:val="clear" w:color="auto" w:fill="FFFFFF"/>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3A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983" w:type="dxa"/>
            <w:vAlign w:val="center"/>
          </w:tcPr>
          <w:p w14:paraId="60211B24">
            <w:pPr>
              <w:jc w:val="center"/>
              <w:rPr>
                <w:highlight w:val="none"/>
                <w:shd w:val="clear" w:color="auto" w:fill="FFFFFF"/>
              </w:rPr>
            </w:pPr>
            <w:bookmarkStart w:id="697" w:name="_Toc364329026"/>
            <w:r>
              <w:rPr>
                <w:rFonts w:hint="eastAsia" w:ascii="宋体" w:hAnsi="宋体" w:cs="宋体"/>
                <w:highlight w:val="none"/>
                <w:shd w:val="clear" w:color="auto" w:fill="FFFFFF"/>
              </w:rPr>
              <w:t>委托代理人</w:t>
            </w:r>
            <w:r>
              <w:rPr>
                <w:rFonts w:hint="eastAsia"/>
                <w:highlight w:val="none"/>
                <w:shd w:val="clear" w:color="auto" w:fill="FFFFFF"/>
              </w:rPr>
              <w:t>身份证</w:t>
            </w:r>
            <w:bookmarkEnd w:id="697"/>
            <w:r>
              <w:rPr>
                <w:rFonts w:hint="eastAsia" w:ascii="宋体" w:hAnsi="宋体" w:cs="楷体"/>
                <w:b w:val="0"/>
                <w:bCs w:val="0"/>
                <w:sz w:val="21"/>
                <w:szCs w:val="21"/>
                <w:highlight w:val="none"/>
              </w:rPr>
              <w:t>原件扫描件</w:t>
            </w:r>
          </w:p>
        </w:tc>
      </w:tr>
    </w:tbl>
    <w:p w14:paraId="29B96DFE">
      <w:pPr>
        <w:spacing w:line="360" w:lineRule="auto"/>
        <w:ind w:firstLine="480"/>
        <w:jc w:val="left"/>
        <w:rPr>
          <w:rFonts w:ascii="宋体" w:hAnsi="宋体" w:cs="楷体"/>
          <w:sz w:val="21"/>
          <w:szCs w:val="21"/>
          <w:highlight w:val="none"/>
        </w:rPr>
      </w:pPr>
    </w:p>
    <w:p w14:paraId="3152920A">
      <w:pPr>
        <w:spacing w:line="360" w:lineRule="auto"/>
        <w:ind w:firstLine="480"/>
        <w:jc w:val="left"/>
        <w:rPr>
          <w:rFonts w:ascii="宋体" w:hAnsi="宋体" w:cs="楷体"/>
          <w:sz w:val="21"/>
          <w:szCs w:val="21"/>
          <w:highlight w:val="none"/>
        </w:rPr>
      </w:pPr>
    </w:p>
    <w:p w14:paraId="4CE52166">
      <w:pPr>
        <w:spacing w:line="400" w:lineRule="exact"/>
        <w:rPr>
          <w:rFonts w:ascii="宋体"/>
          <w:sz w:val="21"/>
          <w:szCs w:val="21"/>
          <w:highlight w:val="none"/>
          <w:u w:val="single"/>
          <w:shd w:val="clear" w:color="auto" w:fill="FFFFFF" w:themeFill="background1"/>
        </w:rPr>
      </w:pPr>
      <w:r>
        <w:rPr>
          <w:rFonts w:hint="eastAsia" w:ascii="宋体" w:hAnsi="宋体" w:cs="楷体"/>
          <w:sz w:val="21"/>
          <w:szCs w:val="21"/>
          <w:highlight w:val="none"/>
        </w:rPr>
        <w:t>投标人：</w:t>
      </w:r>
      <w:bookmarkStart w:id="698" w:name="_Toc500756708"/>
      <w:bookmarkStart w:id="699" w:name="_Toc497836821"/>
      <w:bookmarkStart w:id="700" w:name="_Toc497493206"/>
      <w:bookmarkStart w:id="701" w:name="_Toc497837112"/>
      <w:bookmarkStart w:id="702" w:name="_Toc13587377"/>
      <w:bookmarkStart w:id="703" w:name="_Toc36131901"/>
      <w:bookmarkStart w:id="704" w:name="_Toc48201408"/>
      <w:bookmarkStart w:id="705" w:name="_Toc48641070"/>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（企业电子签章）</w:t>
      </w:r>
    </w:p>
    <w:p w14:paraId="42A3ADE3">
      <w:pPr>
        <w:spacing w:line="400" w:lineRule="exact"/>
        <w:rPr>
          <w:rFonts w:ascii="宋体"/>
          <w:sz w:val="21"/>
          <w:szCs w:val="21"/>
          <w:highlight w:val="none"/>
          <w:shd w:val="clear" w:color="auto" w:fill="FFFFFF" w:themeFill="background1"/>
        </w:rPr>
      </w:pPr>
      <w:r>
        <w:rPr>
          <w:rFonts w:hint="eastAsia" w:ascii="宋体"/>
          <w:sz w:val="21"/>
          <w:szCs w:val="21"/>
          <w:highlight w:val="none"/>
          <w:shd w:val="clear" w:color="auto" w:fill="FFFFFF" w:themeFill="background1"/>
        </w:rPr>
        <w:t>法定代表人：</w:t>
      </w:r>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（个人电子签章）</w:t>
      </w:r>
    </w:p>
    <w:p w14:paraId="56102DE0">
      <w:pPr>
        <w:rPr>
          <w:rFonts w:hint="eastAsia" w:ascii="宋体"/>
          <w:sz w:val="21"/>
          <w:szCs w:val="21"/>
          <w:highlight w:val="none"/>
          <w:u w:val="single"/>
          <w:shd w:val="clear" w:color="auto" w:fill="FFFFFF" w:themeFill="background1"/>
        </w:rPr>
      </w:pPr>
      <w:r>
        <w:rPr>
          <w:rFonts w:hint="eastAsia" w:ascii="宋体"/>
          <w:sz w:val="21"/>
          <w:szCs w:val="21"/>
          <w:highlight w:val="none"/>
          <w:shd w:val="clear" w:color="auto" w:fill="FFFFFF" w:themeFill="background1"/>
        </w:rPr>
        <w:t>地址：</w:t>
      </w:r>
      <w:r>
        <w:rPr>
          <w:rFonts w:hint="eastAsia" w:ascii="宋体"/>
          <w:sz w:val="21"/>
          <w:szCs w:val="21"/>
          <w:highlight w:val="none"/>
          <w:u w:val="single"/>
          <w:shd w:val="clear" w:color="auto" w:fill="FFFFFF" w:themeFill="background1"/>
        </w:rPr>
        <w:t xml:space="preserve">                           </w:t>
      </w:r>
    </w:p>
    <w:p w14:paraId="5C33FA75">
      <w:pPr>
        <w:pStyle w:val="149"/>
        <w:ind w:left="0" w:leftChars="0" w:firstLine="0" w:firstLineChars="0"/>
        <w:rPr>
          <w:rFonts w:hint="eastAsia" w:ascii="宋体" w:hAnsi="宋体" w:cs="楷体"/>
          <w:sz w:val="24"/>
          <w:highlight w:val="none"/>
        </w:rPr>
      </w:pPr>
      <w:r>
        <w:rPr>
          <w:rFonts w:hint="eastAsia" w:ascii="宋体"/>
          <w:sz w:val="21"/>
          <w:szCs w:val="21"/>
          <w:highlight w:val="none"/>
          <w:u w:val="none"/>
          <w:shd w:val="clear" w:color="auto" w:fill="FFFFFF" w:themeFill="background1"/>
          <w:lang w:eastAsia="zh-CN"/>
        </w:rPr>
        <w:t>日期：</w:t>
      </w:r>
      <w:r>
        <w:rPr>
          <w:rFonts w:hint="eastAsia" w:ascii="宋体"/>
          <w:sz w:val="21"/>
          <w:szCs w:val="21"/>
          <w:highlight w:val="none"/>
          <w:u w:val="none"/>
          <w:shd w:val="clear" w:color="auto" w:fill="FFFFFF" w:themeFill="background1"/>
          <w:lang w:val="en-US" w:eastAsia="zh-CN"/>
        </w:rPr>
        <w:t xml:space="preserve"> </w:t>
      </w:r>
      <w:r>
        <w:rPr>
          <w:rFonts w:hint="eastAsia" w:ascii="宋体"/>
          <w:sz w:val="21"/>
          <w:szCs w:val="21"/>
          <w:highlight w:val="none"/>
          <w:u w:val="single"/>
          <w:shd w:val="clear" w:color="auto" w:fill="FFFFFF" w:themeFill="background1"/>
          <w:lang w:val="en-US" w:eastAsia="zh-CN"/>
        </w:rPr>
        <w:t xml:space="preserve">                         </w:t>
      </w:r>
      <w:bookmarkStart w:id="706" w:name="_Toc50534824"/>
      <w:bookmarkStart w:id="707" w:name="_Toc50369548"/>
    </w:p>
    <w:p w14:paraId="1AD9FC63">
      <w:pPr>
        <w:rPr>
          <w:rFonts w:hint="eastAsia" w:ascii="宋体" w:hAnsi="宋体" w:cs="楷体"/>
          <w:sz w:val="24"/>
          <w:highlight w:val="none"/>
        </w:rPr>
      </w:pPr>
    </w:p>
    <w:p w14:paraId="43673CB7">
      <w:pPr>
        <w:rPr>
          <w:rFonts w:hint="eastAsia" w:ascii="宋体" w:hAnsi="宋体" w:cs="楷体"/>
          <w:sz w:val="24"/>
          <w:highlight w:val="none"/>
        </w:rPr>
      </w:pPr>
    </w:p>
    <w:p w14:paraId="48C1695F">
      <w:pPr>
        <w:jc w:val="left"/>
        <w:rPr>
          <w:rFonts w:hint="eastAsia" w:ascii="宋体" w:hAnsi="宋体" w:cs="楷体"/>
          <w:sz w:val="24"/>
          <w:highlight w:val="none"/>
        </w:rPr>
      </w:pPr>
    </w:p>
    <w:p w14:paraId="0FB6D7CD">
      <w:pPr>
        <w:jc w:val="center"/>
        <w:rPr>
          <w:rFonts w:hint="eastAsia" w:ascii="宋体" w:hAnsi="宋体" w:eastAsia="宋体" w:cs="宋体"/>
          <w:b/>
          <w:bCs/>
          <w:sz w:val="28"/>
          <w:szCs w:val="36"/>
          <w:highlight w:val="none"/>
          <w:lang w:eastAsia="zh-CN"/>
        </w:rPr>
      </w:pPr>
      <w:bookmarkStart w:id="708" w:name="_Toc257210935"/>
      <w:bookmarkEnd w:id="708"/>
      <w:bookmarkStart w:id="709" w:name="_Toc23929264"/>
      <w:bookmarkStart w:id="710" w:name="_Toc529193224"/>
      <w:bookmarkStart w:id="711" w:name="_Toc13474302"/>
      <w:bookmarkStart w:id="712" w:name="_Toc497493207"/>
      <w:bookmarkStart w:id="713" w:name="_Toc4255"/>
      <w:bookmarkStart w:id="714" w:name="_Toc7344"/>
      <w:bookmarkStart w:id="715" w:name="_Toc20508"/>
      <w:r>
        <w:rPr>
          <w:rFonts w:hint="eastAsia" w:ascii="宋体" w:hAnsi="宋体" w:eastAsia="宋体" w:cs="宋体"/>
          <w:b/>
          <w:bCs/>
          <w:sz w:val="28"/>
          <w:szCs w:val="36"/>
          <w:highlight w:val="none"/>
          <w:lang w:eastAsia="zh-CN"/>
        </w:rPr>
        <w:t>五</w:t>
      </w:r>
      <w:r>
        <w:rPr>
          <w:rFonts w:hint="eastAsia" w:ascii="宋体" w:hAnsi="宋体" w:eastAsia="宋体" w:cs="宋体"/>
          <w:b/>
          <w:bCs/>
          <w:sz w:val="28"/>
          <w:szCs w:val="36"/>
          <w:highlight w:val="none"/>
        </w:rPr>
        <w:t>、</w:t>
      </w:r>
      <w:bookmarkEnd w:id="698"/>
      <w:bookmarkEnd w:id="699"/>
      <w:bookmarkEnd w:id="700"/>
      <w:bookmarkEnd w:id="701"/>
      <w:bookmarkEnd w:id="702"/>
      <w:bookmarkEnd w:id="703"/>
      <w:bookmarkEnd w:id="709"/>
      <w:bookmarkEnd w:id="710"/>
      <w:bookmarkEnd w:id="711"/>
      <w:bookmarkEnd w:id="712"/>
      <w:r>
        <w:rPr>
          <w:rFonts w:hint="eastAsia" w:ascii="宋体" w:hAnsi="宋体" w:eastAsia="宋体" w:cs="宋体"/>
          <w:b/>
          <w:bCs/>
          <w:sz w:val="28"/>
          <w:szCs w:val="36"/>
          <w:highlight w:val="none"/>
        </w:rPr>
        <w:t>技</w:t>
      </w:r>
      <w:r>
        <w:rPr>
          <w:rFonts w:hint="eastAsia" w:ascii="宋体" w:hAnsi="宋体" w:cs="宋体"/>
          <w:b/>
          <w:bCs/>
          <w:sz w:val="28"/>
          <w:szCs w:val="36"/>
          <w:highlight w:val="none"/>
        </w:rPr>
        <w:t>术</w:t>
      </w:r>
      <w:bookmarkEnd w:id="704"/>
      <w:bookmarkEnd w:id="705"/>
      <w:bookmarkEnd w:id="706"/>
      <w:bookmarkEnd w:id="707"/>
      <w:bookmarkEnd w:id="713"/>
      <w:bookmarkEnd w:id="714"/>
      <w:bookmarkEnd w:id="715"/>
      <w:r>
        <w:rPr>
          <w:rFonts w:hint="eastAsia" w:ascii="宋体" w:hAnsi="宋体" w:cs="宋体"/>
          <w:b/>
          <w:bCs/>
          <w:sz w:val="28"/>
          <w:szCs w:val="36"/>
          <w:highlight w:val="none"/>
          <w:lang w:eastAsia="zh-CN"/>
        </w:rPr>
        <w:t>方案</w:t>
      </w:r>
    </w:p>
    <w:p w14:paraId="21E971C9">
      <w:pPr>
        <w:spacing w:line="360" w:lineRule="auto"/>
        <w:jc w:val="center"/>
        <w:outlineLvl w:val="9"/>
        <w:rPr>
          <w:rFonts w:hint="eastAsia" w:asciiTheme="minorEastAsia" w:hAnsiTheme="minorEastAsia" w:eastAsiaTheme="minorEastAsia" w:cstheme="minorEastAsia"/>
          <w:sz w:val="21"/>
          <w:szCs w:val="21"/>
          <w:highlight w:val="none"/>
          <w:lang w:eastAsia="zh-CN"/>
        </w:rPr>
      </w:pPr>
      <w:bookmarkStart w:id="716" w:name="_Toc48641072"/>
      <w:bookmarkStart w:id="717" w:name="_Toc48201410"/>
      <w:bookmarkStart w:id="718" w:name="_Toc15577"/>
      <w:bookmarkStart w:id="719" w:name="_Toc50534826"/>
      <w:bookmarkStart w:id="720" w:name="_Toc50369550"/>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1"/>
          <w:szCs w:val="21"/>
          <w:highlight w:val="none"/>
          <w:lang w:eastAsia="zh-CN"/>
        </w:rPr>
        <w:t>格式自拟）</w:t>
      </w:r>
    </w:p>
    <w:p w14:paraId="128D4889">
      <w:pPr>
        <w:spacing w:line="360" w:lineRule="auto"/>
        <w:jc w:val="center"/>
        <w:outlineLvl w:val="9"/>
        <w:rPr>
          <w:sz w:val="24"/>
          <w:highlight w:val="none"/>
        </w:rPr>
      </w:pPr>
      <w:r>
        <w:rPr>
          <w:rFonts w:hint="eastAsia" w:asciiTheme="minorEastAsia" w:hAnsiTheme="minorEastAsia" w:eastAsiaTheme="minorEastAsia" w:cstheme="minorEastAsia"/>
          <w:sz w:val="21"/>
          <w:szCs w:val="21"/>
          <w:highlight w:val="none"/>
        </w:rPr>
        <w:t>按评</w:t>
      </w:r>
      <w:r>
        <w:rPr>
          <w:rFonts w:hint="eastAsia" w:asciiTheme="minorEastAsia" w:hAnsiTheme="minorEastAsia" w:eastAsiaTheme="minorEastAsia" w:cstheme="minorEastAsia"/>
          <w:sz w:val="21"/>
          <w:szCs w:val="21"/>
          <w:highlight w:val="none"/>
          <w:lang w:eastAsia="zh-CN"/>
        </w:rPr>
        <w:t>标</w:t>
      </w:r>
      <w:r>
        <w:rPr>
          <w:rFonts w:hint="eastAsia" w:asciiTheme="minorEastAsia" w:hAnsiTheme="minorEastAsia" w:eastAsiaTheme="minorEastAsia" w:cstheme="minorEastAsia"/>
          <w:sz w:val="21"/>
          <w:szCs w:val="21"/>
          <w:highlight w:val="none"/>
        </w:rPr>
        <w:t>办法中技术服务部分的相关要求逐项提供</w:t>
      </w:r>
      <w:bookmarkEnd w:id="716"/>
      <w:bookmarkEnd w:id="717"/>
      <w:bookmarkEnd w:id="718"/>
      <w:bookmarkEnd w:id="719"/>
      <w:bookmarkEnd w:id="720"/>
    </w:p>
    <w:p w14:paraId="252F4178">
      <w:pPr>
        <w:spacing w:line="360" w:lineRule="auto"/>
        <w:rPr>
          <w:rFonts w:ascii="宋体" w:hAnsi="宋体" w:cs="楷体"/>
          <w:sz w:val="28"/>
          <w:szCs w:val="28"/>
          <w:highlight w:val="none"/>
        </w:rPr>
      </w:pPr>
    </w:p>
    <w:p w14:paraId="665AD9F0">
      <w:pPr>
        <w:spacing w:line="360" w:lineRule="auto"/>
        <w:rPr>
          <w:rFonts w:ascii="宋体" w:hAnsi="宋体" w:cs="楷体"/>
          <w:sz w:val="28"/>
          <w:szCs w:val="28"/>
          <w:highlight w:val="none"/>
        </w:rPr>
      </w:pPr>
    </w:p>
    <w:p w14:paraId="1D4883CE">
      <w:pPr>
        <w:spacing w:line="360" w:lineRule="auto"/>
        <w:rPr>
          <w:rFonts w:ascii="宋体" w:hAnsi="宋体" w:cs="楷体"/>
          <w:sz w:val="28"/>
          <w:szCs w:val="28"/>
          <w:highlight w:val="none"/>
        </w:rPr>
      </w:pPr>
    </w:p>
    <w:p w14:paraId="0FF8564A">
      <w:pPr>
        <w:spacing w:line="360" w:lineRule="auto"/>
        <w:rPr>
          <w:rFonts w:ascii="宋体" w:hAnsi="宋体" w:cs="楷体"/>
          <w:sz w:val="28"/>
          <w:szCs w:val="28"/>
          <w:highlight w:val="none"/>
        </w:rPr>
      </w:pPr>
    </w:p>
    <w:p w14:paraId="71475901">
      <w:pPr>
        <w:spacing w:line="360" w:lineRule="auto"/>
        <w:rPr>
          <w:rFonts w:ascii="宋体" w:hAnsi="宋体" w:cs="楷体"/>
          <w:sz w:val="28"/>
          <w:szCs w:val="28"/>
          <w:highlight w:val="none"/>
        </w:rPr>
      </w:pPr>
    </w:p>
    <w:p w14:paraId="169C5ADA">
      <w:pPr>
        <w:spacing w:line="360" w:lineRule="auto"/>
        <w:rPr>
          <w:rFonts w:ascii="宋体" w:hAnsi="宋体" w:cs="楷体"/>
          <w:sz w:val="28"/>
          <w:szCs w:val="28"/>
          <w:highlight w:val="none"/>
        </w:rPr>
      </w:pPr>
    </w:p>
    <w:p w14:paraId="46F51B65">
      <w:pPr>
        <w:spacing w:line="360" w:lineRule="auto"/>
        <w:rPr>
          <w:rFonts w:ascii="宋体" w:hAnsi="宋体" w:cs="楷体"/>
          <w:sz w:val="28"/>
          <w:szCs w:val="28"/>
          <w:highlight w:val="none"/>
        </w:rPr>
      </w:pPr>
    </w:p>
    <w:p w14:paraId="3BBF1B5F">
      <w:pPr>
        <w:spacing w:line="360" w:lineRule="auto"/>
        <w:rPr>
          <w:rFonts w:ascii="宋体" w:hAnsi="宋体" w:cs="楷体"/>
          <w:sz w:val="28"/>
          <w:szCs w:val="28"/>
          <w:highlight w:val="none"/>
        </w:rPr>
      </w:pPr>
    </w:p>
    <w:p w14:paraId="60FE6517">
      <w:pPr>
        <w:spacing w:line="360" w:lineRule="auto"/>
        <w:rPr>
          <w:rFonts w:ascii="宋体" w:hAnsi="宋体" w:cs="楷体"/>
          <w:sz w:val="28"/>
          <w:szCs w:val="28"/>
          <w:highlight w:val="none"/>
        </w:rPr>
      </w:pPr>
    </w:p>
    <w:p w14:paraId="18538BBC">
      <w:pPr>
        <w:spacing w:line="360" w:lineRule="auto"/>
        <w:rPr>
          <w:rFonts w:ascii="宋体" w:hAnsi="宋体" w:cs="楷体"/>
          <w:sz w:val="28"/>
          <w:szCs w:val="28"/>
          <w:highlight w:val="none"/>
        </w:rPr>
      </w:pPr>
    </w:p>
    <w:p w14:paraId="358623F4">
      <w:pPr>
        <w:spacing w:line="360" w:lineRule="auto"/>
        <w:rPr>
          <w:rFonts w:ascii="宋体" w:hAnsi="宋体" w:cs="楷体"/>
          <w:sz w:val="28"/>
          <w:szCs w:val="28"/>
          <w:highlight w:val="none"/>
        </w:rPr>
      </w:pPr>
    </w:p>
    <w:p w14:paraId="103E3347">
      <w:pPr>
        <w:spacing w:line="360" w:lineRule="auto"/>
        <w:rPr>
          <w:rFonts w:ascii="宋体" w:hAnsi="宋体" w:cs="楷体"/>
          <w:sz w:val="28"/>
          <w:szCs w:val="28"/>
          <w:highlight w:val="none"/>
        </w:rPr>
      </w:pPr>
    </w:p>
    <w:p w14:paraId="40EF4E56">
      <w:pPr>
        <w:spacing w:line="360" w:lineRule="auto"/>
        <w:rPr>
          <w:rFonts w:ascii="宋体" w:hAnsi="宋体" w:cs="楷体"/>
          <w:sz w:val="28"/>
          <w:szCs w:val="28"/>
          <w:highlight w:val="none"/>
        </w:rPr>
      </w:pPr>
    </w:p>
    <w:p w14:paraId="7C862F75">
      <w:pPr>
        <w:spacing w:line="360" w:lineRule="auto"/>
        <w:rPr>
          <w:rFonts w:ascii="宋体" w:hAnsi="宋体" w:cs="楷体"/>
          <w:sz w:val="28"/>
          <w:szCs w:val="28"/>
          <w:highlight w:val="none"/>
        </w:rPr>
      </w:pPr>
    </w:p>
    <w:p w14:paraId="66DF1BB4">
      <w:pPr>
        <w:spacing w:line="360" w:lineRule="auto"/>
        <w:rPr>
          <w:rFonts w:ascii="宋体" w:hAnsi="宋体" w:cs="楷体"/>
          <w:sz w:val="28"/>
          <w:szCs w:val="28"/>
          <w:highlight w:val="none"/>
        </w:rPr>
      </w:pPr>
    </w:p>
    <w:p w14:paraId="42675C13">
      <w:pPr>
        <w:spacing w:line="360" w:lineRule="auto"/>
        <w:rPr>
          <w:rFonts w:ascii="宋体" w:hAnsi="宋体" w:cs="楷体"/>
          <w:sz w:val="28"/>
          <w:szCs w:val="28"/>
          <w:highlight w:val="none"/>
        </w:rPr>
      </w:pPr>
    </w:p>
    <w:p w14:paraId="282022A0">
      <w:pPr>
        <w:spacing w:line="360" w:lineRule="auto"/>
        <w:outlineLvl w:val="9"/>
        <w:rPr>
          <w:rFonts w:ascii="宋体" w:hAnsi="宋体" w:cs="楷体"/>
          <w:sz w:val="28"/>
          <w:szCs w:val="28"/>
          <w:highlight w:val="none"/>
        </w:rPr>
      </w:pPr>
    </w:p>
    <w:p w14:paraId="44FCE342">
      <w:pPr>
        <w:spacing w:line="360" w:lineRule="auto"/>
        <w:outlineLvl w:val="9"/>
        <w:rPr>
          <w:rFonts w:ascii="宋体" w:hAnsi="宋体" w:cs="楷体"/>
          <w:b/>
          <w:sz w:val="28"/>
          <w:szCs w:val="28"/>
          <w:highlight w:val="none"/>
        </w:rPr>
      </w:pPr>
      <w:bookmarkStart w:id="721" w:name="_Toc257210937"/>
      <w:bookmarkEnd w:id="721"/>
    </w:p>
    <w:p w14:paraId="0E1CB28B">
      <w:pPr>
        <w:pStyle w:val="4"/>
        <w:numPr>
          <w:ilvl w:val="0"/>
          <w:numId w:val="0"/>
        </w:numPr>
        <w:spacing w:line="360" w:lineRule="auto"/>
        <w:jc w:val="center"/>
        <w:outlineLvl w:val="0"/>
        <w:rPr>
          <w:rFonts w:hint="eastAsia" w:ascii="宋体" w:hAnsi="宋体" w:cs="宋体"/>
          <w:highlight w:val="none"/>
        </w:rPr>
      </w:pPr>
      <w:bookmarkStart w:id="722" w:name="_Toc30627"/>
      <w:bookmarkStart w:id="723" w:name="_Toc3166"/>
      <w:bookmarkStart w:id="724" w:name="_Toc31240"/>
      <w:r>
        <w:rPr>
          <w:rFonts w:hint="eastAsia" w:ascii="宋体" w:hAnsi="宋体" w:cs="宋体"/>
          <w:highlight w:val="none"/>
          <w:lang w:eastAsia="zh-CN"/>
        </w:rPr>
        <w:t>六、</w:t>
      </w:r>
      <w:r>
        <w:rPr>
          <w:rFonts w:hint="eastAsia" w:ascii="宋体" w:hAnsi="宋体" w:cs="宋体"/>
          <w:highlight w:val="none"/>
        </w:rPr>
        <w:t>商务部分</w:t>
      </w:r>
      <w:bookmarkEnd w:id="722"/>
      <w:bookmarkEnd w:id="723"/>
      <w:bookmarkEnd w:id="724"/>
    </w:p>
    <w:p w14:paraId="54353555">
      <w:pPr>
        <w:spacing w:line="360" w:lineRule="auto"/>
        <w:jc w:val="center"/>
        <w:outlineLvl w:val="9"/>
        <w:rPr>
          <w:rFonts w:hint="eastAsia" w:ascii="宋体" w:hAnsi="宋体" w:eastAsia="宋体" w:cs="宋体"/>
          <w:sz w:val="21"/>
          <w:szCs w:val="21"/>
          <w:highlight w:val="none"/>
          <w:lang w:eastAsia="zh-CN"/>
        </w:rPr>
      </w:pPr>
      <w:bookmarkStart w:id="725" w:name="_Toc74147281"/>
      <w:bookmarkStart w:id="726" w:name="_Toc25872"/>
      <w:r>
        <w:rPr>
          <w:rFonts w:hint="eastAsia" w:ascii="宋体" w:hAnsi="宋体" w:cs="宋体"/>
          <w:sz w:val="21"/>
          <w:szCs w:val="21"/>
          <w:highlight w:val="none"/>
          <w:lang w:eastAsia="zh-CN"/>
        </w:rPr>
        <w:t>（格式自拟）</w:t>
      </w:r>
    </w:p>
    <w:p w14:paraId="7F8F3583">
      <w:pPr>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按评</w:t>
      </w:r>
      <w:r>
        <w:rPr>
          <w:rFonts w:hint="eastAsia" w:ascii="宋体" w:hAnsi="宋体" w:cs="宋体"/>
          <w:sz w:val="21"/>
          <w:szCs w:val="21"/>
          <w:highlight w:val="none"/>
          <w:lang w:eastAsia="zh-CN"/>
        </w:rPr>
        <w:t>标</w:t>
      </w:r>
      <w:r>
        <w:rPr>
          <w:rFonts w:hint="eastAsia" w:ascii="宋体" w:hAnsi="宋体" w:cs="宋体"/>
          <w:sz w:val="21"/>
          <w:szCs w:val="21"/>
          <w:highlight w:val="none"/>
        </w:rPr>
        <w:t>办法中</w:t>
      </w:r>
      <w:r>
        <w:rPr>
          <w:rFonts w:hint="eastAsia" w:ascii="宋体" w:hAnsi="宋体" w:cs="宋体"/>
          <w:sz w:val="21"/>
          <w:szCs w:val="21"/>
          <w:highlight w:val="none"/>
          <w:lang w:eastAsia="zh-CN"/>
        </w:rPr>
        <w:t>综合部分</w:t>
      </w:r>
      <w:r>
        <w:rPr>
          <w:rFonts w:hint="eastAsia" w:ascii="宋体" w:hAnsi="宋体" w:cs="宋体"/>
          <w:sz w:val="21"/>
          <w:szCs w:val="21"/>
          <w:highlight w:val="none"/>
        </w:rPr>
        <w:t>的相关要求逐项提供</w:t>
      </w:r>
      <w:bookmarkEnd w:id="725"/>
      <w:bookmarkEnd w:id="726"/>
    </w:p>
    <w:p w14:paraId="25C6DA67">
      <w:pPr>
        <w:pStyle w:val="50"/>
        <w:widowControl/>
        <w:spacing w:line="360" w:lineRule="auto"/>
        <w:ind w:firstLine="0"/>
        <w:jc w:val="left"/>
        <w:outlineLvl w:val="1"/>
        <w:rPr>
          <w:rFonts w:hint="eastAsia" w:ascii="宋体" w:hAnsi="宋体" w:cs="宋体"/>
          <w:kern w:val="2"/>
          <w:sz w:val="24"/>
          <w:szCs w:val="24"/>
          <w:highlight w:val="none"/>
          <w:lang w:val="en-US" w:eastAsia="zh-CN"/>
        </w:rPr>
      </w:pPr>
      <w:bookmarkStart w:id="727" w:name="_Toc24998"/>
    </w:p>
    <w:bookmarkEnd w:id="727"/>
    <w:p w14:paraId="77A18E15">
      <w:pPr>
        <w:spacing w:line="360" w:lineRule="auto"/>
        <w:jc w:val="center"/>
        <w:outlineLvl w:val="9"/>
        <w:rPr>
          <w:highlight w:val="none"/>
        </w:rPr>
      </w:pPr>
    </w:p>
    <w:p w14:paraId="63F0A21C">
      <w:pPr>
        <w:spacing w:line="360" w:lineRule="auto"/>
        <w:jc w:val="center"/>
        <w:outlineLvl w:val="9"/>
        <w:rPr>
          <w:rFonts w:ascii="宋体" w:hAnsi="宋体" w:cs="楷体"/>
          <w:b/>
          <w:sz w:val="28"/>
          <w:szCs w:val="28"/>
          <w:highlight w:val="none"/>
        </w:rPr>
      </w:pPr>
    </w:p>
    <w:p w14:paraId="0C698A8C">
      <w:pPr>
        <w:spacing w:line="360" w:lineRule="auto"/>
        <w:jc w:val="center"/>
        <w:outlineLvl w:val="9"/>
        <w:rPr>
          <w:rFonts w:ascii="宋体" w:hAnsi="宋体" w:cs="楷体"/>
          <w:b/>
          <w:sz w:val="28"/>
          <w:szCs w:val="28"/>
          <w:highlight w:val="none"/>
        </w:rPr>
      </w:pPr>
    </w:p>
    <w:p w14:paraId="70ECCCF3">
      <w:pPr>
        <w:spacing w:line="360" w:lineRule="auto"/>
        <w:jc w:val="center"/>
        <w:outlineLvl w:val="9"/>
        <w:rPr>
          <w:rFonts w:ascii="宋体" w:hAnsi="宋体" w:cs="楷体"/>
          <w:b/>
          <w:sz w:val="28"/>
          <w:szCs w:val="28"/>
          <w:highlight w:val="none"/>
        </w:rPr>
      </w:pPr>
    </w:p>
    <w:p w14:paraId="41E4453F">
      <w:pPr>
        <w:spacing w:line="360" w:lineRule="auto"/>
        <w:jc w:val="center"/>
        <w:outlineLvl w:val="0"/>
        <w:rPr>
          <w:rFonts w:ascii="宋体" w:hAnsi="宋体" w:cs="宋体"/>
          <w:color w:val="auto"/>
          <w:highlight w:val="none"/>
        </w:rPr>
      </w:pPr>
      <w:r>
        <w:rPr>
          <w:rFonts w:hint="eastAsia" w:ascii="宋体" w:hAnsi="宋体" w:cs="宋体"/>
          <w:highlight w:val="none"/>
        </w:rPr>
        <w:br w:type="page"/>
      </w:r>
      <w:bookmarkStart w:id="728" w:name="_Toc22646"/>
      <w:bookmarkStart w:id="729" w:name="_Toc22649"/>
      <w:r>
        <w:rPr>
          <w:rFonts w:hint="eastAsia" w:ascii="宋体" w:hAnsi="宋体" w:cs="Times New Roman"/>
          <w:b/>
          <w:bCs/>
          <w:color w:val="auto"/>
          <w:kern w:val="0"/>
          <w:sz w:val="32"/>
          <w:szCs w:val="32"/>
          <w:highlight w:val="none"/>
          <w:lang w:val="en-US" w:eastAsia="zh-CN" w:bidi="ar-SA"/>
        </w:rPr>
        <w:t>七</w:t>
      </w:r>
      <w:r>
        <w:rPr>
          <w:rFonts w:hint="eastAsia" w:ascii="宋体" w:hAnsi="宋体" w:eastAsia="宋体" w:cs="Times New Roman"/>
          <w:b/>
          <w:bCs/>
          <w:color w:val="auto"/>
          <w:kern w:val="0"/>
          <w:sz w:val="32"/>
          <w:szCs w:val="32"/>
          <w:highlight w:val="none"/>
          <w:lang w:val="en-US" w:eastAsia="zh-CN" w:bidi="ar-SA"/>
        </w:rPr>
        <w:t>、资格审查资料</w:t>
      </w:r>
      <w:bookmarkEnd w:id="728"/>
      <w:bookmarkEnd w:id="729"/>
    </w:p>
    <w:p w14:paraId="59BC1568">
      <w:pPr>
        <w:pStyle w:val="4"/>
        <w:keepNext w:val="0"/>
        <w:keepLines/>
        <w:widowControl/>
        <w:suppressLineNumbers w:val="0"/>
        <w:spacing w:line="480" w:lineRule="auto"/>
        <w:jc w:val="left"/>
        <w:rPr>
          <w:color w:val="auto"/>
          <w:sz w:val="24"/>
          <w:szCs w:val="24"/>
          <w:highlight w:val="none"/>
          <w:lang w:val="en-US"/>
        </w:rPr>
      </w:pPr>
      <w:bookmarkStart w:id="730" w:name="_Toc11575"/>
      <w:bookmarkStart w:id="731" w:name="_Toc12432665"/>
      <w:r>
        <w:rPr>
          <w:rFonts w:hint="eastAsia" w:ascii="宋体" w:hAnsi="宋体" w:eastAsia="宋体" w:cs="宋体"/>
          <w:color w:val="auto"/>
          <w:sz w:val="24"/>
          <w:szCs w:val="24"/>
          <w:highlight w:val="none"/>
          <w:lang w:eastAsia="zh-CN"/>
        </w:rPr>
        <w:t>投标人基本情况表</w:t>
      </w:r>
      <w:bookmarkEnd w:id="730"/>
    </w:p>
    <w:tbl>
      <w:tblPr>
        <w:tblStyle w:val="29"/>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929"/>
      </w:tblGrid>
      <w:tr w14:paraId="2F1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5BDE0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7C0D4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2C7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3AD64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val="0"/>
            <w:vAlign w:val="center"/>
          </w:tcPr>
          <w:p w14:paraId="631316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BBB6F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邮政编码</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3E9558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1C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209A60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D5118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613D46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1A832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12858A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549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D4DF199">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23ED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775597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F0963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网址</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7F6E00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9F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65983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组织结构</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9FF93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29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93B0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B571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7BC91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3E1DB6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70AF24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AF086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AE304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44F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1680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89FD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CBA59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06CCC2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4CC72E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B7562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88181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7C40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2E3D6C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07F01F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4169" w:type="dxa"/>
            <w:gridSpan w:val="6"/>
            <w:tcBorders>
              <w:top w:val="single" w:color="auto" w:sz="4" w:space="0"/>
              <w:left w:val="single" w:color="auto" w:sz="4" w:space="0"/>
              <w:bottom w:val="single" w:color="auto" w:sz="4" w:space="0"/>
              <w:right w:val="single" w:color="auto" w:sz="4" w:space="0"/>
            </w:tcBorders>
            <w:noWrap w:val="0"/>
            <w:vAlign w:val="center"/>
          </w:tcPr>
          <w:p w14:paraId="19567C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员工总人数：</w:t>
            </w:r>
          </w:p>
        </w:tc>
      </w:tr>
      <w:tr w14:paraId="0C9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1BAFA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1A5AE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14:paraId="26435D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01777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高级职称人员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6E25C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46C5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E2C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485EA3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2B1E734D">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49FB2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中级职称人员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063264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AA0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09E5F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11365D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4C87CD6E">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B4F22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初级职称人员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36ECE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16C8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7A7C4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38049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1B330747">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E3A6F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技工</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6A377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125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AAB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经营范围备注</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1BC77E07">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rPr>
            </w:pPr>
          </w:p>
        </w:tc>
      </w:tr>
    </w:tbl>
    <w:p w14:paraId="286EDA4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color w:val="auto"/>
          <w:sz w:val="21"/>
          <w:szCs w:val="21"/>
          <w:highlight w:val="none"/>
        </w:rPr>
      </w:pPr>
      <w:r>
        <w:rPr>
          <w:rFonts w:hint="eastAsia" w:ascii="宋体" w:hAnsi="宋体" w:eastAsia="宋体" w:cs="宋体"/>
          <w:color w:val="auto"/>
          <w:kern w:val="2"/>
          <w:sz w:val="24"/>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附企业营业执照副本，税务登记证副本、</w:t>
      </w:r>
      <w:r>
        <w:rPr>
          <w:rFonts w:hint="eastAsia" w:ascii="宋体" w:hAnsi="宋体" w:eastAsia="宋体" w:cs="宋体"/>
          <w:color w:val="auto"/>
          <w:kern w:val="10"/>
          <w:sz w:val="21"/>
          <w:szCs w:val="21"/>
          <w:highlight w:val="none"/>
          <w:lang w:val="zh-CN" w:eastAsia="zh-CN" w:bidi="ar"/>
        </w:rPr>
        <w:t>组织机构代码证副本（或三证合一营业执照）等有关资格证明文件扫描件）</w:t>
      </w:r>
    </w:p>
    <w:p w14:paraId="662E7576">
      <w:pPr>
        <w:spacing w:line="360" w:lineRule="auto"/>
        <w:jc w:val="both"/>
        <w:rPr>
          <w:rFonts w:hint="eastAsia" w:ascii="宋体" w:hAnsi="宋体"/>
          <w:color w:val="auto"/>
          <w:sz w:val="24"/>
          <w:szCs w:val="24"/>
          <w:highlight w:val="none"/>
        </w:rPr>
      </w:pPr>
      <w:r>
        <w:rPr>
          <w:rFonts w:hint="eastAsia" w:ascii="宋体" w:hAnsi="宋体"/>
          <w:color w:val="auto"/>
          <w:sz w:val="21"/>
          <w:szCs w:val="21"/>
          <w:highlight w:val="none"/>
          <w:lang w:val="en-US" w:eastAsia="zh-CN"/>
        </w:rPr>
        <w:t>注：按招标文件第二章“投标人须知前附表”1.4.1 规定</w:t>
      </w:r>
      <w:r>
        <w:rPr>
          <w:rFonts w:hint="eastAsia" w:ascii="宋体" w:hAnsi="宋体" w:cs="宋体"/>
          <w:color w:val="auto"/>
          <w:sz w:val="21"/>
          <w:szCs w:val="21"/>
          <w:highlight w:val="none"/>
        </w:rPr>
        <w:t>逐项</w:t>
      </w:r>
      <w:r>
        <w:rPr>
          <w:rFonts w:hint="eastAsia" w:ascii="宋体" w:hAnsi="宋体"/>
          <w:color w:val="auto"/>
          <w:sz w:val="21"/>
          <w:szCs w:val="21"/>
          <w:highlight w:val="none"/>
          <w:lang w:val="en-US" w:eastAsia="zh-CN"/>
        </w:rPr>
        <w:t>提供。</w:t>
      </w:r>
    </w:p>
    <w:p w14:paraId="22EE4FCE">
      <w:pPr>
        <w:rPr>
          <w:rFonts w:hint="eastAsia" w:ascii="宋体" w:hAnsi="宋体" w:cs="宋体"/>
          <w:b/>
          <w:bCs/>
          <w:color w:val="auto"/>
          <w:kern w:val="44"/>
          <w:sz w:val="32"/>
          <w:szCs w:val="32"/>
          <w:highlight w:val="none"/>
          <w:lang w:val="en-US" w:eastAsia="zh-CN" w:bidi="ar-SA"/>
        </w:rPr>
      </w:pPr>
      <w:bookmarkStart w:id="732" w:name="_Toc5644"/>
      <w:bookmarkStart w:id="733" w:name="_Toc7161"/>
      <w:r>
        <w:rPr>
          <w:rFonts w:hint="eastAsia" w:ascii="宋体" w:hAnsi="宋体" w:cs="宋体"/>
          <w:b/>
          <w:bCs/>
          <w:color w:val="auto"/>
          <w:kern w:val="44"/>
          <w:sz w:val="32"/>
          <w:szCs w:val="32"/>
          <w:highlight w:val="none"/>
          <w:lang w:val="en-US" w:eastAsia="zh-CN" w:bidi="ar-SA"/>
        </w:rPr>
        <w:br w:type="page"/>
      </w:r>
    </w:p>
    <w:p w14:paraId="18BA48AA">
      <w:pPr>
        <w:pStyle w:val="4"/>
        <w:spacing w:line="360" w:lineRule="auto"/>
        <w:jc w:val="center"/>
        <w:outlineLvl w:val="0"/>
        <w:rPr>
          <w:rFonts w:ascii="宋体" w:hAnsi="宋体" w:cs="宋体"/>
          <w:highlight w:val="none"/>
        </w:rPr>
      </w:pPr>
      <w:bookmarkStart w:id="734" w:name="_Toc2355"/>
      <w:r>
        <w:rPr>
          <w:rFonts w:hint="eastAsia" w:ascii="宋体" w:hAnsi="宋体" w:cs="宋体"/>
          <w:b/>
          <w:bCs/>
          <w:color w:val="auto"/>
          <w:kern w:val="44"/>
          <w:sz w:val="32"/>
          <w:szCs w:val="32"/>
          <w:highlight w:val="none"/>
          <w:lang w:val="en-US" w:eastAsia="zh-CN" w:bidi="ar-SA"/>
        </w:rPr>
        <w:t>八、</w:t>
      </w:r>
      <w:bookmarkEnd w:id="731"/>
      <w:bookmarkEnd w:id="732"/>
      <w:bookmarkEnd w:id="733"/>
      <w:bookmarkEnd w:id="734"/>
      <w:bookmarkStart w:id="735" w:name="_Toc497493212"/>
      <w:bookmarkStart w:id="736" w:name="_Toc9180"/>
      <w:bookmarkStart w:id="737" w:name="_Toc12503"/>
      <w:bookmarkStart w:id="738" w:name="_Toc2945"/>
      <w:r>
        <w:rPr>
          <w:rFonts w:hint="eastAsia" w:ascii="宋体" w:hAnsi="宋体" w:cs="宋体"/>
          <w:highlight w:val="none"/>
        </w:rPr>
        <w:t>反商业贿赂承诺书</w:t>
      </w:r>
      <w:bookmarkEnd w:id="735"/>
      <w:bookmarkEnd w:id="736"/>
      <w:bookmarkEnd w:id="737"/>
      <w:bookmarkEnd w:id="738"/>
    </w:p>
    <w:p w14:paraId="367BAEC8">
      <w:pPr>
        <w:widowControl/>
        <w:spacing w:line="360" w:lineRule="auto"/>
        <w:jc w:val="left"/>
        <w:rPr>
          <w:rFonts w:ascii="宋体" w:hAnsi="宋体" w:cs="楷体"/>
          <w:sz w:val="21"/>
          <w:szCs w:val="21"/>
          <w:highlight w:val="none"/>
        </w:rPr>
      </w:pPr>
      <w:r>
        <w:rPr>
          <w:rFonts w:hint="eastAsia" w:ascii="宋体" w:hAnsi="宋体" w:cs="楷体"/>
          <w:sz w:val="21"/>
          <w:szCs w:val="21"/>
          <w:highlight w:val="none"/>
        </w:rPr>
        <w:t>我公司承诺：</w:t>
      </w:r>
    </w:p>
    <w:p w14:paraId="5AA96152">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（项目名称）招投标活动中，我公司保证做到：</w:t>
      </w:r>
    </w:p>
    <w:p w14:paraId="7CEE4480">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一、公平竞争参加本次招标活动。</w:t>
      </w:r>
    </w:p>
    <w:p w14:paraId="70F02634">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3130F8A">
      <w:pPr>
        <w:widowControl/>
        <w:spacing w:line="480" w:lineRule="auto"/>
        <w:ind w:firstLine="840"/>
        <w:jc w:val="left"/>
        <w:rPr>
          <w:rFonts w:ascii="宋体" w:hAnsi="宋体" w:cs="楷体"/>
          <w:sz w:val="21"/>
          <w:szCs w:val="21"/>
          <w:highlight w:val="none"/>
        </w:rPr>
      </w:pPr>
      <w:r>
        <w:rPr>
          <w:rFonts w:hint="eastAsia" w:ascii="宋体" w:hAnsi="宋体" w:cs="楷体"/>
          <w:sz w:val="21"/>
          <w:szCs w:val="21"/>
          <w:highlight w:val="none"/>
        </w:rPr>
        <w:t>三、若出现上述行为，我公司及参与投标的工作人员愿意接受按照国家法律法规等有关规定给予的处罚。</w:t>
      </w:r>
    </w:p>
    <w:p w14:paraId="3D366E23">
      <w:pPr>
        <w:widowControl/>
        <w:spacing w:line="360" w:lineRule="auto"/>
        <w:ind w:firstLine="840"/>
        <w:jc w:val="left"/>
        <w:rPr>
          <w:rFonts w:ascii="宋体" w:hAnsi="宋体" w:cs="楷体"/>
          <w:sz w:val="21"/>
          <w:szCs w:val="21"/>
          <w:highlight w:val="none"/>
        </w:rPr>
      </w:pPr>
    </w:p>
    <w:p w14:paraId="3B407745">
      <w:pPr>
        <w:widowControl/>
        <w:spacing w:line="360" w:lineRule="auto"/>
        <w:ind w:firstLine="840"/>
        <w:jc w:val="left"/>
        <w:rPr>
          <w:rFonts w:ascii="宋体" w:hAnsi="宋体" w:cs="楷体"/>
          <w:sz w:val="21"/>
          <w:szCs w:val="21"/>
          <w:highlight w:val="none"/>
        </w:rPr>
      </w:pPr>
    </w:p>
    <w:p w14:paraId="6FD263DD">
      <w:pPr>
        <w:widowControl/>
        <w:spacing w:line="360" w:lineRule="auto"/>
        <w:ind w:firstLine="840"/>
        <w:jc w:val="left"/>
        <w:rPr>
          <w:rFonts w:ascii="宋体" w:hAnsi="宋体" w:cs="楷体"/>
          <w:sz w:val="21"/>
          <w:szCs w:val="21"/>
          <w:highlight w:val="none"/>
        </w:rPr>
      </w:pPr>
    </w:p>
    <w:p w14:paraId="5A6A85CD">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9343882">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637B7AA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12B7300A">
      <w:pPr>
        <w:wordWrap w:val="0"/>
        <w:spacing w:line="360" w:lineRule="auto"/>
        <w:ind w:firstLine="3084"/>
        <w:jc w:val="right"/>
        <w:rPr>
          <w:rFonts w:ascii="宋体" w:hAnsi="宋体" w:cs="楷体"/>
          <w:sz w:val="24"/>
          <w:highlight w:val="none"/>
        </w:rPr>
      </w:pPr>
    </w:p>
    <w:p w14:paraId="3FBA1560">
      <w:pPr>
        <w:wordWrap w:val="0"/>
        <w:spacing w:line="360" w:lineRule="auto"/>
        <w:ind w:firstLine="3084"/>
        <w:jc w:val="right"/>
        <w:rPr>
          <w:rFonts w:ascii="宋体" w:hAnsi="宋体" w:cs="楷体"/>
          <w:sz w:val="24"/>
          <w:highlight w:val="none"/>
        </w:rPr>
      </w:pPr>
    </w:p>
    <w:p w14:paraId="260F24DC">
      <w:pPr>
        <w:widowControl/>
        <w:spacing w:line="360" w:lineRule="auto"/>
        <w:jc w:val="left"/>
        <w:rPr>
          <w:rFonts w:ascii="宋体" w:hAnsi="宋体" w:cs="楷体"/>
          <w:sz w:val="24"/>
          <w:highlight w:val="none"/>
        </w:rPr>
      </w:pPr>
    </w:p>
    <w:p w14:paraId="6B826302">
      <w:pPr>
        <w:widowControl/>
        <w:spacing w:line="360" w:lineRule="auto"/>
        <w:jc w:val="left"/>
        <w:rPr>
          <w:rFonts w:ascii="宋体" w:hAnsi="宋体" w:cs="宋体"/>
          <w:b/>
          <w:bCs/>
          <w:sz w:val="32"/>
          <w:szCs w:val="32"/>
          <w:highlight w:val="none"/>
        </w:rPr>
      </w:pPr>
      <w:bookmarkStart w:id="739" w:name="_Toc497493213"/>
    </w:p>
    <w:bookmarkEnd w:id="739"/>
    <w:p w14:paraId="73320EFB">
      <w:pPr>
        <w:spacing w:line="360" w:lineRule="auto"/>
        <w:rPr>
          <w:highlight w:val="none"/>
        </w:rPr>
      </w:pPr>
    </w:p>
    <w:p w14:paraId="1017768D">
      <w:pPr>
        <w:pStyle w:val="4"/>
        <w:spacing w:line="360" w:lineRule="auto"/>
        <w:jc w:val="center"/>
        <w:outlineLvl w:val="0"/>
        <w:rPr>
          <w:rFonts w:ascii="宋体" w:hAnsi="宋体" w:cs="宋体"/>
          <w:highlight w:val="none"/>
        </w:rPr>
      </w:pPr>
      <w:bookmarkStart w:id="740" w:name="_Toc497493214"/>
      <w:r>
        <w:rPr>
          <w:rFonts w:ascii="宋体" w:hAnsi="宋体" w:cs="宋体"/>
          <w:highlight w:val="none"/>
        </w:rPr>
        <w:br w:type="page"/>
      </w:r>
      <w:bookmarkStart w:id="741" w:name="_Toc31714"/>
      <w:bookmarkStart w:id="742" w:name="_Toc24992"/>
      <w:bookmarkStart w:id="743" w:name="_Toc11584"/>
      <w:r>
        <w:rPr>
          <w:rFonts w:hint="eastAsia" w:ascii="宋体" w:hAnsi="宋体" w:cs="宋体"/>
          <w:highlight w:val="none"/>
          <w:lang w:eastAsia="zh-CN"/>
        </w:rPr>
        <w:t>九</w:t>
      </w:r>
      <w:r>
        <w:rPr>
          <w:rFonts w:hint="eastAsia" w:ascii="宋体" w:hAnsi="宋体" w:cs="宋体"/>
          <w:highlight w:val="none"/>
        </w:rPr>
        <w:t>、其他材料</w:t>
      </w:r>
      <w:bookmarkEnd w:id="740"/>
      <w:bookmarkEnd w:id="741"/>
      <w:bookmarkEnd w:id="742"/>
      <w:bookmarkEnd w:id="743"/>
    </w:p>
    <w:p w14:paraId="4D0A8C4F">
      <w:pPr>
        <w:spacing w:line="360" w:lineRule="auto"/>
        <w:rPr>
          <w:sz w:val="24"/>
          <w:szCs w:val="24"/>
          <w:highlight w:val="none"/>
        </w:rPr>
      </w:pPr>
    </w:p>
    <w:p w14:paraId="473F367E">
      <w:pPr>
        <w:spacing w:line="360" w:lineRule="auto"/>
        <w:rPr>
          <w:sz w:val="24"/>
          <w:szCs w:val="24"/>
          <w:highlight w:val="none"/>
          <w:lang w:eastAsia="zh-CN"/>
        </w:rPr>
      </w:pPr>
    </w:p>
    <w:p w14:paraId="254C212A">
      <w:pPr>
        <w:keepNext w:val="0"/>
        <w:keepLines w:val="0"/>
        <w:widowControl w:val="0"/>
        <w:suppressLineNumbers w:val="0"/>
        <w:spacing w:before="156" w:beforeLines="50" w:beforeAutospacing="0" w:after="156" w:afterLines="50" w:afterAutospacing="0" w:line="480" w:lineRule="auto"/>
        <w:ind w:left="0" w:right="0"/>
        <w:jc w:val="both"/>
        <w:rPr>
          <w:b/>
          <w:bCs w:val="0"/>
          <w:color w:val="auto"/>
          <w:highlight w:val="none"/>
          <w:lang w:val="en-US"/>
        </w:rPr>
      </w:pPr>
      <w:r>
        <w:rPr>
          <w:rFonts w:hint="eastAsia" w:ascii="宋体" w:hAnsi="宋体" w:cs="楷体"/>
          <w:sz w:val="24"/>
          <w:szCs w:val="24"/>
          <w:highlight w:val="none"/>
        </w:rPr>
        <w:t xml:space="preserve">  </w:t>
      </w:r>
      <w:r>
        <w:rPr>
          <w:b/>
          <w:bCs w:val="0"/>
          <w:color w:val="auto"/>
          <w:kern w:val="2"/>
          <w:sz w:val="28"/>
          <w:szCs w:val="28"/>
          <w:highlight w:val="none"/>
          <w:lang w:val="en-US"/>
        </w:rPr>
        <w:t>1</w:t>
      </w:r>
      <w:r>
        <w:rPr>
          <w:b/>
          <w:bCs w:val="0"/>
          <w:color w:val="auto"/>
          <w:kern w:val="2"/>
          <w:sz w:val="28"/>
          <w:szCs w:val="28"/>
          <w:highlight w:val="none"/>
          <w:lang w:eastAsia="zh-CN"/>
        </w:rPr>
        <w:t>、我公司承诺独立制作、修改和上传投标文件，并承担因“硬件特征码一致”所造成的不良后果。</w:t>
      </w:r>
    </w:p>
    <w:p w14:paraId="68226177">
      <w:pPr>
        <w:pStyle w:val="26"/>
        <w:keepNext/>
        <w:keepLines/>
        <w:widowControl w:val="0"/>
        <w:suppressLineNumbers w:val="0"/>
        <w:adjustRightInd w:val="0"/>
        <w:spacing w:line="400" w:lineRule="exact"/>
        <w:jc w:val="both"/>
        <w:outlineLvl w:val="1"/>
        <w:rPr>
          <w:b/>
          <w:bCs w:val="0"/>
          <w:color w:val="auto"/>
          <w:highlight w:val="none"/>
          <w:lang w:val="en-US"/>
        </w:rPr>
      </w:pPr>
    </w:p>
    <w:p w14:paraId="50225B6C">
      <w:pPr>
        <w:pStyle w:val="26"/>
        <w:keepNext/>
        <w:keepLines/>
        <w:widowControl w:val="0"/>
        <w:suppressLineNumbers w:val="0"/>
        <w:adjustRightInd w:val="0"/>
        <w:spacing w:line="400" w:lineRule="exact"/>
        <w:jc w:val="center"/>
        <w:outlineLvl w:val="1"/>
        <w:rPr>
          <w:b/>
          <w:bCs w:val="0"/>
          <w:color w:val="auto"/>
          <w:highlight w:val="none"/>
          <w:lang w:val="en-US"/>
        </w:rPr>
      </w:pPr>
    </w:p>
    <w:p w14:paraId="43A47FF9">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120734CD">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59397EF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13341675">
      <w:pPr>
        <w:keepNext w:val="0"/>
        <w:keepLines w:val="0"/>
        <w:widowControl w:val="0"/>
        <w:suppressLineNumbers w:val="0"/>
        <w:tabs>
          <w:tab w:val="left" w:pos="6801"/>
        </w:tabs>
        <w:spacing w:before="156" w:beforeLines="50" w:beforeAutospacing="0" w:after="156" w:afterLines="50" w:afterAutospacing="0" w:line="480" w:lineRule="auto"/>
        <w:ind w:left="0" w:right="0"/>
        <w:jc w:val="right"/>
        <w:rPr>
          <w:b/>
          <w:sz w:val="24"/>
          <w:szCs w:val="22"/>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32EB4A4C">
      <w:pPr>
        <w:spacing w:line="360" w:lineRule="auto"/>
        <w:rPr>
          <w:b/>
          <w:sz w:val="24"/>
          <w:szCs w:val="22"/>
          <w:highlight w:val="none"/>
        </w:rPr>
      </w:pPr>
    </w:p>
    <w:p w14:paraId="67B83753">
      <w:pPr>
        <w:spacing w:line="360" w:lineRule="auto"/>
        <w:ind w:firstLine="240"/>
        <w:jc w:val="left"/>
        <w:outlineLvl w:val="1"/>
        <w:rPr>
          <w:rFonts w:hint="eastAsia"/>
          <w:b/>
          <w:bCs/>
          <w:sz w:val="28"/>
          <w:szCs w:val="28"/>
          <w:highlight w:val="none"/>
          <w:lang w:eastAsia="zh-CN"/>
        </w:rPr>
      </w:pPr>
      <w:bookmarkStart w:id="744" w:name="_Toc24167"/>
    </w:p>
    <w:p w14:paraId="323E5F25">
      <w:pPr>
        <w:spacing w:line="360" w:lineRule="auto"/>
        <w:ind w:firstLine="240"/>
        <w:jc w:val="left"/>
        <w:outlineLvl w:val="1"/>
        <w:rPr>
          <w:rFonts w:hint="eastAsia"/>
          <w:b/>
          <w:bCs/>
          <w:sz w:val="28"/>
          <w:szCs w:val="28"/>
          <w:highlight w:val="none"/>
          <w:lang w:eastAsia="zh-CN"/>
        </w:rPr>
      </w:pPr>
    </w:p>
    <w:p w14:paraId="30C5022B">
      <w:pPr>
        <w:spacing w:line="360" w:lineRule="auto"/>
        <w:ind w:firstLine="240"/>
        <w:jc w:val="left"/>
        <w:outlineLvl w:val="1"/>
        <w:rPr>
          <w:rFonts w:hint="eastAsia"/>
          <w:b/>
          <w:bCs/>
          <w:sz w:val="28"/>
          <w:szCs w:val="28"/>
          <w:highlight w:val="none"/>
          <w:lang w:eastAsia="zh-CN"/>
        </w:rPr>
      </w:pPr>
    </w:p>
    <w:p w14:paraId="2E48B134">
      <w:pPr>
        <w:spacing w:line="360" w:lineRule="auto"/>
        <w:ind w:firstLine="240"/>
        <w:jc w:val="left"/>
        <w:outlineLvl w:val="1"/>
        <w:rPr>
          <w:rFonts w:hint="eastAsia"/>
          <w:b/>
          <w:bCs/>
          <w:sz w:val="28"/>
          <w:szCs w:val="28"/>
          <w:highlight w:val="none"/>
          <w:lang w:eastAsia="zh-CN"/>
        </w:rPr>
      </w:pPr>
    </w:p>
    <w:p w14:paraId="4C3CA1E0">
      <w:pPr>
        <w:spacing w:line="360" w:lineRule="auto"/>
        <w:ind w:firstLine="240"/>
        <w:jc w:val="left"/>
        <w:outlineLvl w:val="1"/>
        <w:rPr>
          <w:rFonts w:hint="eastAsia"/>
          <w:b/>
          <w:bCs/>
          <w:sz w:val="28"/>
          <w:szCs w:val="28"/>
          <w:highlight w:val="none"/>
          <w:lang w:eastAsia="zh-CN"/>
        </w:rPr>
      </w:pPr>
    </w:p>
    <w:p w14:paraId="6A6A344D">
      <w:pPr>
        <w:spacing w:line="360" w:lineRule="auto"/>
        <w:ind w:firstLine="240"/>
        <w:jc w:val="left"/>
        <w:outlineLvl w:val="1"/>
        <w:rPr>
          <w:rFonts w:hint="eastAsia"/>
          <w:b/>
          <w:bCs/>
          <w:sz w:val="28"/>
          <w:szCs w:val="28"/>
          <w:highlight w:val="none"/>
          <w:lang w:eastAsia="zh-CN"/>
        </w:rPr>
      </w:pPr>
    </w:p>
    <w:p w14:paraId="7B1DA3B3">
      <w:pPr>
        <w:spacing w:line="360" w:lineRule="auto"/>
        <w:ind w:firstLine="240"/>
        <w:jc w:val="left"/>
        <w:outlineLvl w:val="1"/>
        <w:rPr>
          <w:rFonts w:hint="eastAsia"/>
          <w:b/>
          <w:bCs/>
          <w:sz w:val="28"/>
          <w:szCs w:val="28"/>
          <w:highlight w:val="none"/>
          <w:lang w:eastAsia="zh-CN"/>
        </w:rPr>
      </w:pPr>
    </w:p>
    <w:p w14:paraId="46D434D1">
      <w:pPr>
        <w:spacing w:line="360" w:lineRule="auto"/>
        <w:ind w:firstLine="240"/>
        <w:jc w:val="left"/>
        <w:outlineLvl w:val="1"/>
        <w:rPr>
          <w:rFonts w:hint="eastAsia"/>
          <w:b/>
          <w:bCs/>
          <w:sz w:val="28"/>
          <w:szCs w:val="28"/>
          <w:highlight w:val="none"/>
          <w:lang w:eastAsia="zh-CN"/>
        </w:rPr>
      </w:pPr>
    </w:p>
    <w:p w14:paraId="6C8AA37D">
      <w:pPr>
        <w:spacing w:line="360" w:lineRule="auto"/>
        <w:ind w:firstLine="240"/>
        <w:jc w:val="left"/>
        <w:outlineLvl w:val="1"/>
        <w:rPr>
          <w:rFonts w:hint="eastAsia"/>
          <w:b/>
          <w:bCs/>
          <w:sz w:val="28"/>
          <w:szCs w:val="28"/>
          <w:highlight w:val="none"/>
          <w:lang w:eastAsia="zh-CN"/>
        </w:rPr>
      </w:pPr>
    </w:p>
    <w:p w14:paraId="6A17677E">
      <w:pPr>
        <w:spacing w:line="360" w:lineRule="auto"/>
        <w:ind w:firstLine="240"/>
        <w:jc w:val="left"/>
        <w:outlineLvl w:val="1"/>
        <w:rPr>
          <w:rFonts w:hint="eastAsia"/>
          <w:b/>
          <w:bCs/>
          <w:sz w:val="28"/>
          <w:szCs w:val="28"/>
          <w:highlight w:val="none"/>
          <w:lang w:eastAsia="zh-CN"/>
        </w:rPr>
      </w:pPr>
    </w:p>
    <w:p w14:paraId="5DEB1DAB">
      <w:pPr>
        <w:spacing w:line="360" w:lineRule="auto"/>
        <w:ind w:firstLine="240"/>
        <w:jc w:val="left"/>
        <w:outlineLvl w:val="1"/>
        <w:rPr>
          <w:b/>
          <w:bCs/>
          <w:sz w:val="28"/>
          <w:szCs w:val="28"/>
          <w:highlight w:val="none"/>
          <w:lang w:eastAsia="zh-CN"/>
        </w:rPr>
      </w:pPr>
      <w:r>
        <w:rPr>
          <w:rFonts w:hint="eastAsia"/>
          <w:b/>
          <w:bCs/>
          <w:sz w:val="28"/>
          <w:szCs w:val="28"/>
          <w:highlight w:val="none"/>
          <w:lang w:eastAsia="zh-CN"/>
        </w:rPr>
        <w:t>2、投标承诺书</w:t>
      </w:r>
      <w:bookmarkEnd w:id="744"/>
    </w:p>
    <w:p w14:paraId="0855135D">
      <w:pPr>
        <w:spacing w:line="360" w:lineRule="auto"/>
        <w:ind w:firstLine="240"/>
        <w:rPr>
          <w:sz w:val="24"/>
          <w:szCs w:val="24"/>
          <w:highlight w:val="none"/>
          <w:lang w:eastAsia="zh-CN"/>
        </w:rPr>
      </w:pPr>
    </w:p>
    <w:p w14:paraId="260A1505">
      <w:pPr>
        <w:spacing w:line="360" w:lineRule="auto"/>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w:t>
      </w:r>
      <w:r>
        <w:rPr>
          <w:rFonts w:hint="eastAsia" w:ascii="宋体" w:hAnsi="宋体"/>
          <w:sz w:val="24"/>
          <w:szCs w:val="24"/>
          <w:highlight w:val="none"/>
        </w:rPr>
        <w:t>招标人）：</w:t>
      </w:r>
    </w:p>
    <w:p w14:paraId="000ED55C">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我公司作为本次招标项目的投标人，根据招标文件要求，现郑重承诺如下：</w:t>
      </w:r>
    </w:p>
    <w:p w14:paraId="7253CB6E">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一、我公司具备本项目规定的条件</w:t>
      </w:r>
    </w:p>
    <w:p w14:paraId="162C0AE4">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完全接受和满足本项目招标文件中规定的实质性要求，如对招标文件有异议，已经在投标截止时间届满前依法进行维权，不存在对招标文件有异议的同时又参加投标以求侥幸中标或者为实现其他非法目的的行为。</w:t>
      </w:r>
    </w:p>
    <w:p w14:paraId="65C16624">
      <w:pPr>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cs="宋体"/>
          <w:sz w:val="24"/>
          <w:szCs w:val="24"/>
          <w:highlight w:val="none"/>
        </w:rPr>
        <w:t>在投标活动中无重大违法违规行为,</w:t>
      </w:r>
      <w:r>
        <w:rPr>
          <w:rFonts w:hint="eastAsia" w:ascii="宋体" w:hAnsi="宋体" w:cs="宋体"/>
          <w:sz w:val="24"/>
          <w:szCs w:val="24"/>
          <w:highlight w:val="none"/>
        </w:rPr>
        <w:t>在近三年经营活动中没有重大违法记录</w:t>
      </w:r>
      <w:r>
        <w:rPr>
          <w:rFonts w:ascii="宋体" w:hAnsi="宋体"/>
          <w:sz w:val="24"/>
          <w:szCs w:val="24"/>
          <w:highlight w:val="none"/>
        </w:rPr>
        <w:t>,未被</w:t>
      </w:r>
      <w:r>
        <w:rPr>
          <w:rFonts w:hint="eastAsia" w:ascii="宋体" w:hAnsi="宋体"/>
          <w:sz w:val="24"/>
          <w:szCs w:val="24"/>
          <w:highlight w:val="none"/>
        </w:rPr>
        <w:t>财政</w:t>
      </w:r>
      <w:r>
        <w:rPr>
          <w:rFonts w:ascii="宋体" w:hAnsi="宋体"/>
          <w:sz w:val="24"/>
          <w:szCs w:val="24"/>
          <w:highlight w:val="none"/>
        </w:rPr>
        <w:t>部门或建设行政主管部门取消其项目所在地的投标资格或禁止进入该区域市场</w:t>
      </w:r>
      <w:r>
        <w:rPr>
          <w:rFonts w:hint="eastAsia" w:ascii="宋体" w:hAnsi="宋体"/>
          <w:sz w:val="24"/>
          <w:szCs w:val="24"/>
          <w:highlight w:val="none"/>
        </w:rPr>
        <w:t>；</w:t>
      </w:r>
    </w:p>
    <w:p w14:paraId="34C3B57A">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四、参加本次招标采购活动，不存在与单位负责人为同一人或者存在控股、管理关系的其他投标人参与同一合同项下的同一招标项目投标。</w:t>
      </w:r>
    </w:p>
    <w:p w14:paraId="188C7A06">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五、参加本次招标采购活动，不存在和其他投标人在同一合同项下的招标采购项目中，同时委托同一个自然人、同一家庭的人员、同一单位的人员作为代理人的行为。</w:t>
      </w:r>
    </w:p>
    <w:p w14:paraId="5EDF3F9B">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我公司</w:t>
      </w:r>
      <w:r>
        <w:rPr>
          <w:rFonts w:hint="eastAsia" w:ascii="宋体" w:hAnsi="宋体" w:cs="宋体"/>
          <w:sz w:val="24"/>
          <w:szCs w:val="24"/>
          <w:highlight w:val="none"/>
        </w:rPr>
        <w:t>是</w:t>
      </w:r>
      <w:r>
        <w:rPr>
          <w:rFonts w:ascii="宋体" w:hAnsi="宋体" w:cs="宋体"/>
          <w:sz w:val="24"/>
          <w:szCs w:val="24"/>
          <w:highlight w:val="none"/>
        </w:rPr>
        <w:t>在中国境内依法注册的企业法人,且合法存续,没有处于被吊销营业执照、责令停业或者被撤销等不良状态</w:t>
      </w:r>
      <w:r>
        <w:rPr>
          <w:rFonts w:hint="eastAsia" w:ascii="宋体" w:hAnsi="宋体" w:cs="宋体"/>
          <w:sz w:val="24"/>
          <w:szCs w:val="24"/>
          <w:highlight w:val="none"/>
        </w:rPr>
        <w:t>；</w:t>
      </w:r>
      <w:r>
        <w:rPr>
          <w:rFonts w:hint="eastAsia" w:ascii="宋体" w:hAnsi="宋体"/>
          <w:sz w:val="24"/>
          <w:szCs w:val="24"/>
          <w:highlight w:val="none"/>
        </w:rPr>
        <w:t>我公司</w:t>
      </w:r>
      <w:r>
        <w:rPr>
          <w:rFonts w:hint="eastAsia" w:ascii="宋体" w:hAnsi="宋体" w:cs="宋体"/>
          <w:sz w:val="24"/>
          <w:szCs w:val="24"/>
          <w:highlight w:val="none"/>
        </w:rPr>
        <w:t>非本项目本级政府所属融资平台公司及其他控股国有企业。</w:t>
      </w:r>
    </w:p>
    <w:p w14:paraId="07810BB0">
      <w:pPr>
        <w:spacing w:line="360" w:lineRule="auto"/>
        <w:ind w:firstLine="480" w:firstLineChars="200"/>
        <w:rPr>
          <w:rFonts w:ascii="宋体" w:hAnsi="宋体"/>
          <w:sz w:val="24"/>
          <w:szCs w:val="24"/>
          <w:highlight w:val="none"/>
        </w:rPr>
      </w:pPr>
      <w:r>
        <w:rPr>
          <w:rFonts w:hint="eastAsia" w:ascii="宋体" w:hAnsi="宋体"/>
          <w:sz w:val="24"/>
          <w:szCs w:val="24"/>
          <w:highlight w:val="none"/>
        </w:rPr>
        <w:t>七、参加本次招标采购活动要求在近三年内我公司和公司法定代表人没有行贿犯罪行为。</w:t>
      </w:r>
    </w:p>
    <w:p w14:paraId="450FDD76">
      <w:pPr>
        <w:spacing w:line="360" w:lineRule="auto"/>
        <w:ind w:firstLine="480" w:firstLineChars="200"/>
        <w:rPr>
          <w:rFonts w:ascii="宋体" w:hAnsi="宋体"/>
          <w:sz w:val="24"/>
          <w:szCs w:val="24"/>
          <w:highlight w:val="none"/>
        </w:rPr>
      </w:pPr>
      <w:r>
        <w:rPr>
          <w:rFonts w:hint="eastAsia" w:ascii="宋体" w:hAnsi="宋体"/>
          <w:sz w:val="24"/>
          <w:szCs w:val="24"/>
          <w:highlight w:val="none"/>
        </w:rPr>
        <w:t>八、我公司承诺具有履行合同所必需的设备、人员和专业技术能力；具有满足项目需求的投资、融资能力。</w:t>
      </w:r>
    </w:p>
    <w:p w14:paraId="612C4D4E">
      <w:pPr>
        <w:spacing w:line="360" w:lineRule="auto"/>
        <w:ind w:firstLine="480" w:firstLineChars="200"/>
        <w:rPr>
          <w:rFonts w:ascii="宋体" w:hAnsi="宋体"/>
          <w:sz w:val="24"/>
          <w:szCs w:val="24"/>
          <w:highlight w:val="none"/>
        </w:rPr>
      </w:pPr>
      <w:r>
        <w:rPr>
          <w:rFonts w:hint="eastAsia" w:ascii="宋体" w:hAnsi="宋体"/>
          <w:sz w:val="24"/>
          <w:szCs w:val="24"/>
          <w:highlight w:val="none"/>
        </w:rPr>
        <w:t>九、投标文件中提供的能够给予我公司带来优惠、好处的任何材料资料和技术、服务、商务等响应承诺情况都是真实的、有效的、合法的。</w:t>
      </w:r>
    </w:p>
    <w:p w14:paraId="1DFB85A6">
      <w:pPr>
        <w:spacing w:line="360" w:lineRule="auto"/>
        <w:ind w:firstLine="480" w:firstLineChars="200"/>
        <w:rPr>
          <w:rFonts w:ascii="宋体" w:hAnsi="宋体"/>
          <w:sz w:val="24"/>
          <w:szCs w:val="24"/>
          <w:highlight w:val="none"/>
        </w:rPr>
      </w:pPr>
      <w:r>
        <w:rPr>
          <w:rFonts w:hint="eastAsia" w:ascii="宋体" w:hAnsi="宋体"/>
          <w:sz w:val="24"/>
          <w:szCs w:val="24"/>
          <w:highlight w:val="none"/>
        </w:rPr>
        <w:t>十、存在以下行为之一的愿意接受相关部门的处理：</w:t>
      </w:r>
    </w:p>
    <w:p w14:paraId="284AE1FC">
      <w:pPr>
        <w:spacing w:line="360" w:lineRule="auto"/>
        <w:ind w:firstLine="480" w:firstLineChars="200"/>
        <w:rPr>
          <w:rFonts w:ascii="宋体" w:hAnsi="宋体"/>
          <w:sz w:val="24"/>
          <w:szCs w:val="24"/>
          <w:highlight w:val="none"/>
        </w:rPr>
      </w:pPr>
      <w:r>
        <w:rPr>
          <w:rFonts w:hint="eastAsia" w:ascii="宋体" w:hAnsi="宋体"/>
          <w:sz w:val="24"/>
          <w:szCs w:val="24"/>
          <w:highlight w:val="none"/>
        </w:rPr>
        <w:t> （一）投标有效期内撤销投标文件的；</w:t>
      </w:r>
    </w:p>
    <w:p w14:paraId="09F95E3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（二）在招标人确定中标人以前放弃中标候选资格的；</w:t>
      </w:r>
    </w:p>
    <w:p w14:paraId="0B988F99">
      <w:pPr>
        <w:spacing w:line="360" w:lineRule="auto"/>
        <w:ind w:firstLine="480" w:firstLineChars="200"/>
        <w:rPr>
          <w:rFonts w:ascii="宋体" w:hAnsi="宋体"/>
          <w:sz w:val="24"/>
          <w:szCs w:val="24"/>
          <w:highlight w:val="none"/>
        </w:rPr>
      </w:pPr>
      <w:r>
        <w:rPr>
          <w:rFonts w:hint="eastAsia" w:ascii="宋体" w:hAnsi="宋体"/>
          <w:sz w:val="24"/>
          <w:szCs w:val="24"/>
          <w:highlight w:val="none"/>
        </w:rPr>
        <w:t> （三）由于中标人的原因未能按照招标文件的规定与招标人签订合同；</w:t>
      </w:r>
    </w:p>
    <w:p w14:paraId="646D561D">
      <w:pPr>
        <w:spacing w:line="360" w:lineRule="auto"/>
        <w:ind w:firstLine="480" w:firstLineChars="200"/>
        <w:rPr>
          <w:rFonts w:ascii="宋体" w:hAnsi="宋体"/>
          <w:sz w:val="24"/>
          <w:szCs w:val="24"/>
          <w:highlight w:val="none"/>
        </w:rPr>
      </w:pPr>
      <w:r>
        <w:rPr>
          <w:rFonts w:hint="eastAsia" w:ascii="宋体" w:hAnsi="宋体"/>
          <w:sz w:val="24"/>
          <w:szCs w:val="24"/>
          <w:highlight w:val="none"/>
        </w:rPr>
        <w:t> （四）在投标文件中提供虚假材料谋取中标；</w:t>
      </w:r>
    </w:p>
    <w:p w14:paraId="3FF4019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（五）与招标人、其他投标人或者代理机构恶意串通的；</w:t>
      </w:r>
    </w:p>
    <w:p w14:paraId="256F30C7">
      <w:pPr>
        <w:spacing w:line="360" w:lineRule="auto"/>
        <w:ind w:firstLine="480" w:firstLineChars="200"/>
        <w:rPr>
          <w:rFonts w:ascii="宋体" w:hAnsi="宋体"/>
          <w:sz w:val="24"/>
          <w:szCs w:val="24"/>
          <w:highlight w:val="none"/>
        </w:rPr>
      </w:pPr>
      <w:r>
        <w:rPr>
          <w:rFonts w:hint="eastAsia" w:ascii="宋体" w:hAnsi="宋体"/>
          <w:sz w:val="24"/>
          <w:szCs w:val="24"/>
          <w:highlight w:val="none"/>
        </w:rPr>
        <w:t> （六）投标有效期内，投标人在招标采购活动中有违法、违规、违纪行为。</w:t>
      </w:r>
    </w:p>
    <w:p w14:paraId="199FB5E2">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D9EB329">
      <w:pPr>
        <w:spacing w:line="360" w:lineRule="auto"/>
        <w:ind w:firstLine="480" w:firstLineChars="200"/>
        <w:rPr>
          <w:sz w:val="24"/>
          <w:szCs w:val="24"/>
          <w:highlight w:val="none"/>
          <w:lang w:eastAsia="zh-CN"/>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2661FB86">
      <w:pPr>
        <w:spacing w:line="360" w:lineRule="auto"/>
        <w:ind w:firstLine="240"/>
        <w:rPr>
          <w:sz w:val="24"/>
          <w:szCs w:val="24"/>
          <w:highlight w:val="none"/>
          <w:lang w:eastAsia="zh-CN"/>
        </w:rPr>
      </w:pPr>
    </w:p>
    <w:p w14:paraId="1BB2FD14">
      <w:pPr>
        <w:spacing w:line="360" w:lineRule="auto"/>
        <w:ind w:firstLine="240"/>
        <w:rPr>
          <w:sz w:val="24"/>
          <w:szCs w:val="24"/>
          <w:highlight w:val="none"/>
          <w:lang w:eastAsia="zh-CN"/>
        </w:rPr>
      </w:pPr>
    </w:p>
    <w:p w14:paraId="654A992E">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sz w:val="24"/>
          <w:szCs w:val="24"/>
          <w:highlight w:val="none"/>
          <w:lang w:eastAsia="zh-CN"/>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298383A8">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BD41C6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5238EFE9">
      <w:pPr>
        <w:wordWrap w:val="0"/>
        <w:spacing w:line="360" w:lineRule="auto"/>
        <w:ind w:firstLine="3084"/>
        <w:jc w:val="right"/>
        <w:rPr>
          <w:rFonts w:ascii="宋体" w:hAnsi="宋体" w:cs="楷体"/>
          <w:sz w:val="24"/>
          <w:szCs w:val="24"/>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19AA5750">
      <w:pPr>
        <w:spacing w:line="360" w:lineRule="auto"/>
        <w:rPr>
          <w:b/>
          <w:sz w:val="24"/>
          <w:szCs w:val="24"/>
          <w:highlight w:val="none"/>
        </w:rPr>
      </w:pPr>
    </w:p>
    <w:p w14:paraId="51E3D262">
      <w:pPr>
        <w:keepNext w:val="0"/>
        <w:keepLines w:val="0"/>
        <w:widowControl w:val="0"/>
        <w:suppressLineNumbers w:val="0"/>
        <w:tabs>
          <w:tab w:val="left" w:pos="6801"/>
        </w:tabs>
        <w:spacing w:before="156" w:beforeLines="50" w:beforeAutospacing="0" w:after="156" w:afterLines="50" w:afterAutospacing="0" w:line="480" w:lineRule="auto"/>
        <w:ind w:left="0" w:right="0"/>
        <w:jc w:val="both"/>
        <w:rPr>
          <w:b/>
          <w:bCs w:val="0"/>
          <w:color w:val="auto"/>
          <w:sz w:val="28"/>
          <w:szCs w:val="32"/>
          <w:highlight w:val="none"/>
          <w:lang w:val="en-US"/>
        </w:rPr>
      </w:pPr>
      <w:r>
        <w:rPr>
          <w:rFonts w:hint="eastAsia" w:ascii="Times New Roman" w:hAnsi="Times New Roman" w:eastAsia="宋体" w:cs="Times New Roman"/>
          <w:b/>
          <w:bCs w:val="0"/>
          <w:color w:val="auto"/>
          <w:kern w:val="2"/>
          <w:sz w:val="28"/>
          <w:szCs w:val="32"/>
          <w:highlight w:val="none"/>
          <w:lang w:val="en-US" w:eastAsia="zh-CN" w:bidi="ar"/>
        </w:rPr>
        <w:t>3</w:t>
      </w:r>
      <w:r>
        <w:rPr>
          <w:rFonts w:hint="eastAsia" w:ascii="Times New Roman" w:hAnsi="Times New Roman" w:eastAsia="宋体" w:cs="宋体"/>
          <w:b/>
          <w:bCs w:val="0"/>
          <w:color w:val="auto"/>
          <w:kern w:val="2"/>
          <w:sz w:val="28"/>
          <w:szCs w:val="32"/>
          <w:highlight w:val="none"/>
          <w:lang w:val="en-US" w:eastAsia="zh-CN" w:bidi="ar"/>
        </w:rPr>
        <w:t>、</w:t>
      </w:r>
      <w:r>
        <w:rPr>
          <w:rFonts w:hint="default" w:ascii="Times New Roman" w:hAnsi="Times New Roman" w:eastAsia="宋体" w:cs="Times New Roman"/>
          <w:b/>
          <w:bCs w:val="0"/>
          <w:color w:val="auto"/>
          <w:kern w:val="2"/>
          <w:sz w:val="28"/>
          <w:szCs w:val="32"/>
          <w:highlight w:val="none"/>
          <w:lang w:val="en-US" w:eastAsia="zh-CN" w:bidi="ar"/>
        </w:rPr>
        <w:t xml:space="preserve">                              </w:t>
      </w:r>
      <w:r>
        <w:rPr>
          <w:rFonts w:hint="eastAsia" w:ascii="Times New Roman" w:hAnsi="Times New Roman" w:eastAsia="宋体" w:cs="宋体"/>
          <w:b/>
          <w:bCs w:val="0"/>
          <w:color w:val="auto"/>
          <w:kern w:val="2"/>
          <w:sz w:val="28"/>
          <w:szCs w:val="32"/>
          <w:highlight w:val="none"/>
          <w:lang w:val="en-US" w:eastAsia="zh-CN" w:bidi="ar"/>
        </w:rPr>
        <w:t>声明函</w:t>
      </w:r>
    </w:p>
    <w:p w14:paraId="69335A49">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BDF827B">
      <w:pPr>
        <w:keepNext w:val="0"/>
        <w:keepLines w:val="0"/>
        <w:widowControl w:val="0"/>
        <w:suppressLineNumbers w:val="0"/>
        <w:tabs>
          <w:tab w:val="left" w:pos="1214"/>
        </w:tabs>
        <w:spacing w:before="156" w:beforeLines="50" w:beforeAutospacing="0" w:after="156" w:afterLines="50" w:afterAutospacing="0" w:line="480" w:lineRule="auto"/>
        <w:ind w:left="0" w:right="0"/>
        <w:jc w:val="both"/>
        <w:rPr>
          <w:color w:val="auto"/>
          <w:highlight w:val="none"/>
        </w:rPr>
      </w:pPr>
      <w:r>
        <w:rPr>
          <w:rFonts w:hint="default" w:ascii="Times New Roman" w:hAnsi="Times New Roman" w:eastAsia="宋体" w:cs="Times New Roman"/>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（项目名称），我公司具有独立承担民事责任的能力,具有履行合同所必需的设备和专业技术能力及</w:t>
      </w:r>
      <w:r>
        <w:rPr>
          <w:rFonts w:hint="eastAsia" w:ascii="宋体" w:hAnsi="宋体" w:eastAsia="宋体" w:cs="宋体"/>
          <w:color w:val="auto"/>
          <w:kern w:val="2"/>
          <w:sz w:val="21"/>
          <w:szCs w:val="21"/>
          <w:highlight w:val="none"/>
          <w:lang w:val="zh-TW" w:eastAsia="zh-CN" w:bidi="ar"/>
        </w:rPr>
        <w:t>法律、行政法规规定的其他条件</w:t>
      </w:r>
      <w:r>
        <w:rPr>
          <w:rFonts w:hint="eastAsia" w:ascii="宋体" w:hAnsi="宋体" w:eastAsia="宋体" w:cs="宋体"/>
          <w:color w:val="auto"/>
          <w:kern w:val="2"/>
          <w:sz w:val="21"/>
          <w:szCs w:val="21"/>
          <w:highlight w:val="none"/>
          <w:lang w:val="en-US" w:eastAsia="zh-CN" w:bidi="ar"/>
        </w:rPr>
        <w:t xml:space="preserve"> 。</w:t>
      </w:r>
    </w:p>
    <w:p w14:paraId="1BB536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ab/>
      </w:r>
    </w:p>
    <w:p w14:paraId="22C106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p>
    <w:p w14:paraId="1A4A5F5C">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6C884472">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64BD133">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09C083EE">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E6B951E">
      <w:pPr>
        <w:pStyle w:val="26"/>
        <w:keepNext w:val="0"/>
        <w:keepLines w:val="0"/>
        <w:widowControl w:val="0"/>
        <w:suppressLineNumbers w:val="0"/>
        <w:tabs>
          <w:tab w:val="left" w:pos="6621"/>
        </w:tabs>
        <w:autoSpaceDE w:val="0"/>
        <w:autoSpaceDN w:val="0"/>
        <w:adjustRightInd w:val="0"/>
        <w:spacing w:before="0" w:beforeAutospacing="0" w:after="0" w:afterAutospacing="0"/>
        <w:ind w:left="0" w:right="0"/>
        <w:jc w:val="center"/>
        <w:rPr>
          <w:color w:val="auto"/>
          <w:highlight w:val="none"/>
          <w:u w:val="single"/>
          <w:lang w:val="en-US"/>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lang w:val="en-US" w:eastAsia="zh-CN"/>
        </w:rPr>
        <w:t xml:space="preserve">        </w:t>
      </w:r>
    </w:p>
    <w:p w14:paraId="75D34071">
      <w:pPr>
        <w:pStyle w:val="4"/>
        <w:ind w:left="0" w:leftChars="0" w:firstLine="0" w:firstLineChars="0"/>
        <w:rPr>
          <w:rFonts w:hint="eastAsia" w:hAnsi="宋体"/>
          <w:color w:val="auto"/>
          <w:sz w:val="28"/>
          <w:szCs w:val="28"/>
          <w:highlight w:val="none"/>
          <w:lang w:val="en-US" w:eastAsia="zh-CN"/>
        </w:rPr>
      </w:pPr>
    </w:p>
    <w:p w14:paraId="05FDF869">
      <w:pPr>
        <w:pStyle w:val="4"/>
        <w:ind w:left="0" w:leftChars="0" w:firstLine="0" w:firstLineChars="0"/>
        <w:rPr>
          <w:color w:val="auto"/>
          <w:sz w:val="28"/>
          <w:szCs w:val="28"/>
          <w:highlight w:val="none"/>
          <w:shd w:val="clear" w:color="auto" w:fill="FFFFFF"/>
        </w:rPr>
      </w:pPr>
      <w:r>
        <w:rPr>
          <w:rFonts w:hint="eastAsia" w:hAnsi="宋体"/>
          <w:color w:val="auto"/>
          <w:sz w:val="28"/>
          <w:szCs w:val="28"/>
          <w:highlight w:val="none"/>
          <w:lang w:val="en-US" w:eastAsia="zh-CN"/>
        </w:rPr>
        <w:t>4</w:t>
      </w:r>
      <w:r>
        <w:rPr>
          <w:rFonts w:hint="eastAsia" w:hAnsi="宋体"/>
          <w:color w:val="auto"/>
          <w:sz w:val="28"/>
          <w:szCs w:val="28"/>
          <w:highlight w:val="none"/>
        </w:rPr>
        <w:t>、</w:t>
      </w:r>
      <w:r>
        <w:rPr>
          <w:rFonts w:hint="eastAsia" w:ascii="黑体" w:hAnsi="黑体"/>
          <w:color w:val="auto"/>
          <w:sz w:val="28"/>
          <w:szCs w:val="28"/>
          <w:highlight w:val="none"/>
          <w:shd w:val="clear" w:color="auto" w:fill="FFFFFF"/>
        </w:rPr>
        <w:t>参加政府采购活动前三年内，在经营活动中没有重大违法记录声明</w:t>
      </w:r>
    </w:p>
    <w:p w14:paraId="738B4C34">
      <w:pPr>
        <w:pStyle w:val="4"/>
        <w:jc w:val="left"/>
        <w:rPr>
          <w:rFonts w:ascii="宋体"/>
          <w:b w:val="0"/>
          <w:bCs w:val="0"/>
          <w:color w:val="auto"/>
          <w:sz w:val="24"/>
          <w:szCs w:val="24"/>
          <w:highlight w:val="none"/>
          <w:u w:val="single"/>
          <w:shd w:val="clear" w:color="auto" w:fill="FFFFFF"/>
        </w:rPr>
      </w:pPr>
      <w:r>
        <w:rPr>
          <w:rFonts w:hint="eastAsia" w:ascii="宋体" w:hAnsi="宋体"/>
          <w:b w:val="0"/>
          <w:bCs w:val="0"/>
          <w:color w:val="auto"/>
          <w:sz w:val="24"/>
          <w:szCs w:val="24"/>
          <w:highlight w:val="none"/>
          <w:u w:val="single"/>
          <w:shd w:val="clear" w:color="auto" w:fill="FFFFFF"/>
        </w:rPr>
        <w:t>（</w:t>
      </w:r>
      <w:r>
        <w:rPr>
          <w:rFonts w:hint="eastAsia" w:ascii="宋体" w:hAnsi="宋体"/>
          <w:b w:val="0"/>
          <w:bCs w:val="0"/>
          <w:color w:val="auto"/>
          <w:sz w:val="24"/>
          <w:szCs w:val="24"/>
          <w:highlight w:val="none"/>
          <w:u w:val="single"/>
          <w:shd w:val="clear" w:color="auto" w:fill="FFFFFF"/>
          <w:lang w:eastAsia="zh-CN"/>
        </w:rPr>
        <w:t>招标</w:t>
      </w:r>
      <w:r>
        <w:rPr>
          <w:rFonts w:hint="eastAsia" w:ascii="宋体" w:hAnsi="宋体"/>
          <w:b w:val="0"/>
          <w:bCs w:val="0"/>
          <w:color w:val="auto"/>
          <w:sz w:val="24"/>
          <w:szCs w:val="24"/>
          <w:highlight w:val="none"/>
          <w:u w:val="single"/>
          <w:shd w:val="clear" w:color="auto" w:fill="FFFFFF"/>
        </w:rPr>
        <w:t>人）</w:t>
      </w:r>
      <w:r>
        <w:rPr>
          <w:rFonts w:hint="eastAsia" w:ascii="宋体" w:hAnsi="宋体"/>
          <w:b w:val="0"/>
          <w:bCs w:val="0"/>
          <w:color w:val="auto"/>
          <w:sz w:val="24"/>
          <w:szCs w:val="24"/>
          <w:highlight w:val="none"/>
          <w:u w:val="single"/>
          <w:shd w:val="clear" w:color="auto" w:fill="FFFFFF"/>
          <w:lang w:val="en-US" w:eastAsia="zh-CN"/>
        </w:rPr>
        <w:t xml:space="preserve">           </w:t>
      </w:r>
      <w:r>
        <w:rPr>
          <w:rFonts w:hint="eastAsia" w:ascii="宋体" w:hAnsi="宋体"/>
          <w:b w:val="0"/>
          <w:bCs w:val="0"/>
          <w:color w:val="auto"/>
          <w:sz w:val="24"/>
          <w:szCs w:val="24"/>
          <w:highlight w:val="none"/>
          <w:u w:val="single"/>
          <w:shd w:val="clear" w:color="auto" w:fill="FFFFFF"/>
        </w:rPr>
        <w:t xml:space="preserve"> ：</w:t>
      </w:r>
    </w:p>
    <w:p w14:paraId="1A95BCE6">
      <w:pPr>
        <w:pStyle w:val="11"/>
        <w:spacing w:line="360" w:lineRule="auto"/>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 xml:space="preserve"> </w:t>
      </w:r>
    </w:p>
    <w:p w14:paraId="62AF71BD">
      <w:pPr>
        <w:autoSpaceDE w:val="0"/>
        <w:autoSpaceDN w:val="0"/>
        <w:spacing w:line="360" w:lineRule="auto"/>
        <w:ind w:firstLine="464" w:firstLineChars="221"/>
        <w:rPr>
          <w:rFonts w:ascii="宋体"/>
          <w:color w:val="auto"/>
          <w:highlight w:val="none"/>
          <w:shd w:val="clear" w:color="auto" w:fill="FFFFFF"/>
        </w:rPr>
      </w:pPr>
      <w:r>
        <w:rPr>
          <w:rFonts w:hint="eastAsia" w:ascii="宋体" w:hAnsi="宋体"/>
          <w:color w:val="auto"/>
          <w:highlight w:val="none"/>
          <w:shd w:val="clear" w:color="auto" w:fill="FFFFFF"/>
        </w:rPr>
        <w:t>我公司在此声明</w:t>
      </w:r>
      <w:r>
        <w:rPr>
          <w:rFonts w:hint="eastAsia" w:ascii="宋体" w:hAnsi="宋体"/>
          <w:b/>
          <w:bCs/>
          <w:color w:val="auto"/>
          <w:highlight w:val="none"/>
          <w:shd w:val="clear" w:color="auto" w:fill="FFFFFF"/>
        </w:rPr>
        <w:t>：</w:t>
      </w:r>
      <w:r>
        <w:rPr>
          <w:rFonts w:hint="eastAsia" w:ascii="黑体" w:hAnsi="黑体"/>
          <w:color w:val="auto"/>
          <w:highlight w:val="none"/>
          <w:shd w:val="clear" w:color="auto" w:fill="FFFFFF"/>
        </w:rPr>
        <w:t>参加政府采购活动前三年内，在经营活动中没有重大违法记录</w:t>
      </w:r>
      <w:r>
        <w:rPr>
          <w:rFonts w:hint="eastAsia" w:ascii="宋体" w:hAnsi="宋体"/>
          <w:color w:val="auto"/>
          <w:highlight w:val="none"/>
          <w:shd w:val="clear" w:color="auto" w:fill="FFFFFF"/>
        </w:rPr>
        <w:t>。如有不实，自愿放弃投标资格并愿意承担因我方就此弄虚作假所引起的一切法律后果。</w:t>
      </w:r>
    </w:p>
    <w:p w14:paraId="145AD299">
      <w:pPr>
        <w:autoSpaceDE w:val="0"/>
        <w:autoSpaceDN w:val="0"/>
        <w:spacing w:line="360" w:lineRule="auto"/>
        <w:ind w:firstLine="480"/>
        <w:rPr>
          <w:rFonts w:ascii="宋体"/>
          <w:color w:val="auto"/>
          <w:sz w:val="24"/>
          <w:szCs w:val="24"/>
          <w:highlight w:val="none"/>
          <w:shd w:val="clear" w:color="auto" w:fill="FFFFFF"/>
        </w:rPr>
      </w:pPr>
      <w:r>
        <w:rPr>
          <w:rFonts w:hint="eastAsia" w:ascii="宋体"/>
          <w:color w:val="auto"/>
          <w:sz w:val="24"/>
          <w:szCs w:val="24"/>
          <w:highlight w:val="none"/>
          <w:shd w:val="clear" w:color="auto" w:fill="FFFFFF"/>
        </w:rPr>
        <w:t xml:space="preserve"> </w:t>
      </w:r>
    </w:p>
    <w:p w14:paraId="232F5989">
      <w:pPr>
        <w:pStyle w:val="11"/>
        <w:spacing w:line="360" w:lineRule="auto"/>
        <w:rPr>
          <w:rFonts w:ascii="宋体"/>
          <w:color w:val="auto"/>
          <w:sz w:val="24"/>
          <w:szCs w:val="24"/>
          <w:highlight w:val="none"/>
          <w:shd w:val="clear" w:color="auto" w:fill="FFFFFF"/>
        </w:rPr>
      </w:pPr>
    </w:p>
    <w:p w14:paraId="35A520E0">
      <w:pPr>
        <w:spacing w:line="360" w:lineRule="auto"/>
        <w:jc w:val="center"/>
        <w:rPr>
          <w:color w:val="auto"/>
          <w:highlight w:val="none"/>
          <w:shd w:val="clear" w:color="auto" w:fill="FFFFFF"/>
        </w:rPr>
      </w:pPr>
      <w:r>
        <w:rPr>
          <w:rFonts w:hint="eastAsia" w:ascii="宋体" w:hAnsi="宋体"/>
          <w:color w:val="auto"/>
          <w:highlight w:val="none"/>
          <w:shd w:val="clear" w:color="auto" w:fill="FFFFFF"/>
        </w:rPr>
        <w:t xml:space="preserve">                        </w:t>
      </w:r>
      <w:r>
        <w:rPr>
          <w:rFonts w:hint="eastAsia" w:ascii="宋体" w:hAnsi="宋体"/>
          <w:color w:val="auto"/>
          <w:highlight w:val="none"/>
          <w:shd w:val="clear" w:color="auto" w:fill="FFFFFF"/>
          <w:lang w:eastAsia="zh-CN"/>
        </w:rPr>
        <w:t>投标人</w:t>
      </w:r>
      <w:r>
        <w:rPr>
          <w:rFonts w:hint="eastAsia" w:ascii="宋体" w:hAnsi="宋体"/>
          <w:color w:val="auto"/>
          <w:highlight w:val="none"/>
          <w:shd w:val="clear" w:color="auto" w:fill="FFFFFF"/>
        </w:rPr>
        <w:t>：</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 xml:space="preserve"> （企业电子签章）</w:t>
      </w:r>
    </w:p>
    <w:p w14:paraId="38B40947">
      <w:pPr>
        <w:spacing w:line="360" w:lineRule="auto"/>
        <w:jc w:val="left"/>
        <w:rPr>
          <w:rFonts w:ascii="宋体"/>
          <w:color w:val="auto"/>
          <w:highlight w:val="none"/>
          <w:shd w:val="clear" w:color="auto" w:fill="FFFFFF"/>
        </w:rPr>
      </w:pPr>
      <w:r>
        <w:rPr>
          <w:rFonts w:hint="eastAsia" w:ascii="宋体" w:hAnsi="宋体"/>
          <w:color w:val="auto"/>
          <w:highlight w:val="none"/>
          <w:shd w:val="clear" w:color="auto" w:fill="FFFFFF"/>
        </w:rPr>
        <w:t xml:space="preserve">                                法定代表人： </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（个人电子签章）</w:t>
      </w:r>
    </w:p>
    <w:p w14:paraId="6FB24AC1">
      <w:pPr>
        <w:spacing w:line="360" w:lineRule="auto"/>
        <w:ind w:firstLine="3360" w:firstLineChars="1600"/>
        <w:jc w:val="both"/>
        <w:rPr>
          <w:rFonts w:ascii="宋体"/>
          <w:color w:val="auto"/>
          <w:highlight w:val="none"/>
          <w:shd w:val="clear" w:color="auto" w:fill="FFFFFF"/>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rPr>
        <w:t xml:space="preserve"> </w:t>
      </w:r>
    </w:p>
    <w:p w14:paraId="0FB3E265">
      <w:pPr>
        <w:spacing w:line="360" w:lineRule="auto"/>
        <w:jc w:val="both"/>
        <w:outlineLvl w:val="1"/>
        <w:rPr>
          <w:rFonts w:hint="eastAsia"/>
          <w:color w:val="auto"/>
          <w:highlight w:val="none"/>
          <w:shd w:val="clear" w:color="auto" w:fill="FFFFFF"/>
        </w:rPr>
      </w:pPr>
      <w:r>
        <w:rPr>
          <w:rFonts w:hint="eastAsia" w:ascii="宋体" w:hAnsi="宋体"/>
          <w:color w:val="auto"/>
          <w:highlight w:val="none"/>
          <w:shd w:val="clear" w:color="auto" w:fill="FFFFFF"/>
        </w:rPr>
        <w:t xml:space="preserve">                                         </w:t>
      </w:r>
      <w:bookmarkStart w:id="745" w:name="_Toc14145"/>
    </w:p>
    <w:bookmarkEnd w:id="745"/>
    <w:p w14:paraId="56D8A1DB">
      <w:pPr>
        <w:numPr>
          <w:ilvl w:val="0"/>
          <w:numId w:val="0"/>
        </w:numPr>
        <w:spacing w:line="360" w:lineRule="auto"/>
        <w:ind w:leftChars="0"/>
        <w:jc w:val="both"/>
        <w:outlineLvl w:val="1"/>
        <w:rPr>
          <w:rFonts w:hint="eastAsia"/>
          <w:b/>
          <w:bCs/>
          <w:sz w:val="28"/>
          <w:szCs w:val="24"/>
          <w:highlight w:val="none"/>
          <w:lang w:val="en-US" w:eastAsia="zh-CN"/>
        </w:rPr>
      </w:pPr>
      <w:bookmarkStart w:id="746" w:name="_Toc29587"/>
      <w:bookmarkStart w:id="747" w:name="_Toc22841"/>
      <w:bookmarkStart w:id="748" w:name="_Toc6295"/>
      <w:bookmarkStart w:id="749" w:name="_Toc12687"/>
    </w:p>
    <w:p w14:paraId="48BC07CB">
      <w:pPr>
        <w:numPr>
          <w:ilvl w:val="0"/>
          <w:numId w:val="0"/>
        </w:numPr>
        <w:spacing w:line="360" w:lineRule="auto"/>
        <w:ind w:leftChars="0"/>
        <w:jc w:val="both"/>
        <w:outlineLvl w:val="1"/>
        <w:rPr>
          <w:rFonts w:hint="eastAsia"/>
          <w:b/>
          <w:bCs/>
          <w:sz w:val="28"/>
          <w:szCs w:val="24"/>
          <w:highlight w:val="none"/>
          <w:lang w:val="en-US" w:eastAsia="zh-CN"/>
        </w:rPr>
      </w:pPr>
    </w:p>
    <w:p w14:paraId="1E016843">
      <w:pPr>
        <w:numPr>
          <w:ilvl w:val="0"/>
          <w:numId w:val="0"/>
        </w:numPr>
        <w:spacing w:line="360" w:lineRule="auto"/>
        <w:ind w:leftChars="0"/>
        <w:jc w:val="both"/>
        <w:outlineLvl w:val="1"/>
        <w:rPr>
          <w:rFonts w:hint="eastAsia" w:ascii="宋体" w:hAnsi="宋体"/>
          <w:b/>
          <w:kern w:val="44"/>
          <w:sz w:val="32"/>
          <w:szCs w:val="32"/>
          <w:highlight w:val="none"/>
        </w:rPr>
      </w:pPr>
      <w:r>
        <w:rPr>
          <w:rFonts w:hint="eastAsia"/>
          <w:b/>
          <w:bCs/>
          <w:sz w:val="28"/>
          <w:szCs w:val="24"/>
          <w:highlight w:val="none"/>
          <w:lang w:val="en-US" w:eastAsia="zh-CN"/>
        </w:rPr>
        <w:t>5</w:t>
      </w:r>
      <w:r>
        <w:rPr>
          <w:rFonts w:hint="eastAsia" w:ascii="Calibri" w:hAnsi="Calibri" w:eastAsia="宋体" w:cs="Times New Roman"/>
          <w:b/>
          <w:bCs/>
          <w:kern w:val="2"/>
          <w:sz w:val="28"/>
          <w:szCs w:val="24"/>
          <w:highlight w:val="none"/>
          <w:lang w:val="en-US" w:eastAsia="zh-CN" w:bidi="ar-SA"/>
        </w:rPr>
        <w:t>、</w:t>
      </w:r>
      <w:r>
        <w:rPr>
          <w:rFonts w:hint="eastAsia"/>
          <w:b/>
          <w:bCs/>
          <w:sz w:val="28"/>
          <w:szCs w:val="24"/>
          <w:highlight w:val="none"/>
          <w:lang w:eastAsia="zh-CN"/>
        </w:rPr>
        <w:t>投标人</w:t>
      </w:r>
      <w:r>
        <w:rPr>
          <w:rFonts w:hint="eastAsia"/>
          <w:b/>
          <w:bCs/>
          <w:sz w:val="28"/>
          <w:szCs w:val="24"/>
          <w:highlight w:val="none"/>
        </w:rPr>
        <w:t>认为其它有必要说明的材料</w:t>
      </w:r>
    </w:p>
    <w:p w14:paraId="37506323">
      <w:pPr>
        <w:spacing w:line="440" w:lineRule="exact"/>
        <w:jc w:val="center"/>
        <w:rPr>
          <w:rFonts w:hint="eastAsia" w:ascii="宋体" w:hAnsi="宋体"/>
          <w:b/>
          <w:kern w:val="44"/>
          <w:sz w:val="32"/>
          <w:szCs w:val="32"/>
          <w:highlight w:val="none"/>
        </w:rPr>
      </w:pPr>
    </w:p>
    <w:p w14:paraId="5D500AB2">
      <w:pPr>
        <w:spacing w:line="440" w:lineRule="exact"/>
        <w:jc w:val="center"/>
        <w:rPr>
          <w:rFonts w:hint="eastAsia" w:ascii="宋体" w:hAnsi="宋体"/>
          <w:b/>
          <w:kern w:val="44"/>
          <w:sz w:val="32"/>
          <w:szCs w:val="32"/>
          <w:highlight w:val="none"/>
        </w:rPr>
      </w:pPr>
    </w:p>
    <w:p w14:paraId="45F10DE5">
      <w:pPr>
        <w:spacing w:line="440" w:lineRule="exact"/>
        <w:jc w:val="center"/>
        <w:rPr>
          <w:rFonts w:hint="eastAsia" w:ascii="宋体" w:hAnsi="宋体"/>
          <w:b/>
          <w:kern w:val="44"/>
          <w:sz w:val="32"/>
          <w:szCs w:val="32"/>
          <w:highlight w:val="none"/>
        </w:rPr>
      </w:pPr>
    </w:p>
    <w:p w14:paraId="5C1743CF">
      <w:pPr>
        <w:spacing w:line="440" w:lineRule="exact"/>
        <w:jc w:val="center"/>
        <w:rPr>
          <w:rFonts w:hint="eastAsia" w:ascii="宋体" w:hAnsi="宋体"/>
          <w:b/>
          <w:kern w:val="44"/>
          <w:sz w:val="32"/>
          <w:szCs w:val="32"/>
          <w:highlight w:val="none"/>
        </w:rPr>
      </w:pPr>
    </w:p>
    <w:p w14:paraId="2BD4F8B5">
      <w:pPr>
        <w:spacing w:line="440" w:lineRule="exact"/>
        <w:jc w:val="center"/>
        <w:rPr>
          <w:rFonts w:hint="eastAsia" w:ascii="宋体" w:hAnsi="宋体"/>
          <w:b/>
          <w:kern w:val="44"/>
          <w:sz w:val="32"/>
          <w:szCs w:val="32"/>
          <w:highlight w:val="none"/>
        </w:rPr>
      </w:pPr>
    </w:p>
    <w:p w14:paraId="04C2AF2C">
      <w:pPr>
        <w:spacing w:line="440" w:lineRule="exact"/>
        <w:jc w:val="center"/>
        <w:rPr>
          <w:rFonts w:hint="eastAsia" w:ascii="宋体" w:hAnsi="宋体"/>
          <w:b/>
          <w:kern w:val="44"/>
          <w:sz w:val="32"/>
          <w:szCs w:val="32"/>
          <w:highlight w:val="none"/>
        </w:rPr>
      </w:pPr>
    </w:p>
    <w:p w14:paraId="6FC3E1A8">
      <w:pPr>
        <w:spacing w:line="440" w:lineRule="exact"/>
        <w:jc w:val="center"/>
        <w:rPr>
          <w:rFonts w:hint="eastAsia" w:ascii="宋体" w:hAnsi="宋体"/>
          <w:b/>
          <w:kern w:val="44"/>
          <w:sz w:val="32"/>
          <w:szCs w:val="32"/>
          <w:highlight w:val="none"/>
        </w:rPr>
      </w:pPr>
    </w:p>
    <w:p w14:paraId="4A8189E5">
      <w:pPr>
        <w:spacing w:line="440" w:lineRule="exact"/>
        <w:jc w:val="center"/>
        <w:rPr>
          <w:rFonts w:hint="eastAsia" w:ascii="宋体" w:hAnsi="宋体"/>
          <w:b/>
          <w:kern w:val="44"/>
          <w:sz w:val="32"/>
          <w:szCs w:val="32"/>
          <w:highlight w:val="none"/>
        </w:rPr>
      </w:pPr>
    </w:p>
    <w:p w14:paraId="26E80F96">
      <w:pPr>
        <w:spacing w:line="440" w:lineRule="exact"/>
        <w:jc w:val="center"/>
        <w:rPr>
          <w:rFonts w:hint="eastAsia" w:ascii="宋体" w:hAnsi="宋体"/>
          <w:b/>
          <w:kern w:val="44"/>
          <w:sz w:val="32"/>
          <w:szCs w:val="32"/>
          <w:highlight w:val="none"/>
        </w:rPr>
      </w:pPr>
    </w:p>
    <w:p w14:paraId="45A2EF35">
      <w:pPr>
        <w:spacing w:line="440" w:lineRule="exact"/>
        <w:jc w:val="center"/>
        <w:rPr>
          <w:rFonts w:hint="eastAsia" w:ascii="宋体" w:hAnsi="宋体"/>
          <w:b/>
          <w:kern w:val="44"/>
          <w:sz w:val="32"/>
          <w:szCs w:val="32"/>
          <w:highlight w:val="none"/>
        </w:rPr>
      </w:pPr>
    </w:p>
    <w:p w14:paraId="2F7589DC">
      <w:pPr>
        <w:spacing w:line="440" w:lineRule="exact"/>
        <w:jc w:val="center"/>
        <w:rPr>
          <w:rFonts w:hint="eastAsia" w:ascii="宋体" w:hAnsi="宋体"/>
          <w:b/>
          <w:kern w:val="44"/>
          <w:sz w:val="32"/>
          <w:szCs w:val="32"/>
          <w:highlight w:val="none"/>
        </w:rPr>
      </w:pPr>
    </w:p>
    <w:p w14:paraId="2E4E5224">
      <w:pPr>
        <w:spacing w:line="440" w:lineRule="exact"/>
        <w:jc w:val="center"/>
        <w:rPr>
          <w:rFonts w:ascii="宋体"/>
          <w:b/>
          <w:bCs/>
          <w:sz w:val="32"/>
          <w:szCs w:val="32"/>
          <w:highlight w:val="none"/>
        </w:rPr>
      </w:pPr>
      <w:r>
        <w:rPr>
          <w:rFonts w:hint="eastAsia" w:ascii="宋体" w:hAnsi="宋体"/>
          <w:b/>
          <w:kern w:val="44"/>
          <w:sz w:val="32"/>
          <w:szCs w:val="32"/>
          <w:highlight w:val="none"/>
        </w:rPr>
        <w:t>附件1</w:t>
      </w:r>
      <w:bookmarkEnd w:id="746"/>
      <w:bookmarkEnd w:id="747"/>
      <w:bookmarkEnd w:id="748"/>
      <w:bookmarkEnd w:id="749"/>
      <w:r>
        <w:rPr>
          <w:rFonts w:hint="eastAsia" w:ascii="宋体" w:hAnsi="宋体" w:cs="宋体"/>
          <w:b/>
          <w:bCs/>
          <w:sz w:val="32"/>
          <w:szCs w:val="32"/>
          <w:highlight w:val="none"/>
        </w:rPr>
        <w:t>中小企业声明函</w:t>
      </w:r>
    </w:p>
    <w:p w14:paraId="109A98EE">
      <w:pPr>
        <w:spacing w:line="440" w:lineRule="exact"/>
        <w:ind w:firstLine="2833" w:firstLineChars="1176"/>
        <w:rPr>
          <w:rFonts w:ascii="宋体"/>
          <w:b/>
          <w:bCs/>
          <w:sz w:val="24"/>
          <w:szCs w:val="24"/>
          <w:highlight w:val="none"/>
        </w:rPr>
      </w:pPr>
    </w:p>
    <w:p w14:paraId="5CA8EBE3">
      <w:pPr>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本公司（联合体）郑重声明，根据《政府采购促进中小企业发展管理办法》（财库﹝2020﹞46 号）的规定，本公司 （联合体）参加</w:t>
      </w:r>
      <w:r>
        <w:rPr>
          <w:rFonts w:hint="eastAsia" w:ascii="宋体" w:hAnsi="宋体" w:cs="宋体"/>
          <w:sz w:val="28"/>
          <w:szCs w:val="28"/>
          <w:highlight w:val="none"/>
          <w:u w:val="single"/>
        </w:rPr>
        <w:t>（单位名称）</w:t>
      </w:r>
      <w:r>
        <w:rPr>
          <w:rFonts w:hint="eastAsia" w:ascii="宋体" w:hAnsi="宋体" w:cs="宋体"/>
          <w:sz w:val="28"/>
          <w:szCs w:val="28"/>
          <w:highlight w:val="none"/>
        </w:rPr>
        <w:t>的</w:t>
      </w:r>
      <w:r>
        <w:rPr>
          <w:rFonts w:hint="eastAsia" w:ascii="宋体" w:hAnsi="宋体" w:cs="宋体"/>
          <w:sz w:val="28"/>
          <w:szCs w:val="28"/>
          <w:highlight w:val="none"/>
          <w:u w:val="single"/>
        </w:rPr>
        <w:t>（项目名称）</w:t>
      </w:r>
      <w:r>
        <w:rPr>
          <w:rFonts w:hint="eastAsia" w:ascii="宋体" w:hAnsi="宋体" w:cs="宋体"/>
          <w:sz w:val="28"/>
          <w:szCs w:val="28"/>
          <w:highlight w:val="none"/>
        </w:rPr>
        <w:t>采购活动，服务全部由符合政策要求的中小企业承接。相关企业（含联合体中的中小企业、签订分包意向协议的中小企业）的具体情况如下：</w:t>
      </w:r>
    </w:p>
    <w:p w14:paraId="1C15E724">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0452305F">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50F8CC3D">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w:t>
      </w:r>
    </w:p>
    <w:p w14:paraId="2BD9521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以上企业，不属于大企业的分支机构，不存在控股股东为大企业的情形，也不存在与大企业的负责人为同一人的情形。</w:t>
      </w:r>
    </w:p>
    <w:p w14:paraId="0EB0930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本企业对上述声明内容的真实性负责。如有虚假，将依法承担相应责任。</w:t>
      </w:r>
    </w:p>
    <w:p w14:paraId="5F678FC2">
      <w:pPr>
        <w:pStyle w:val="12"/>
        <w:spacing w:after="0" w:line="440" w:lineRule="exact"/>
        <w:ind w:left="0" w:leftChars="0"/>
        <w:rPr>
          <w:rFonts w:hint="eastAsia" w:ascii="宋体" w:hAnsi="宋体" w:cs="宋体"/>
          <w:sz w:val="28"/>
          <w:szCs w:val="28"/>
          <w:highlight w:val="none"/>
        </w:rPr>
      </w:pPr>
    </w:p>
    <w:p w14:paraId="0837F740">
      <w:pPr>
        <w:pStyle w:val="12"/>
        <w:spacing w:after="0" w:line="440" w:lineRule="exact"/>
        <w:ind w:left="0" w:leftChars="0"/>
        <w:rPr>
          <w:rFonts w:hint="eastAsia" w:ascii="宋体" w:hAnsi="宋体" w:cs="宋体"/>
          <w:sz w:val="28"/>
          <w:szCs w:val="28"/>
          <w:highlight w:val="none"/>
        </w:rPr>
      </w:pPr>
    </w:p>
    <w:p w14:paraId="27E2E5AF">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企业名称：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（企业电子签章）</w:t>
      </w:r>
    </w:p>
    <w:p w14:paraId="0E007BE5">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p>
    <w:p w14:paraId="5EA385F0">
      <w:pPr>
        <w:spacing w:line="440" w:lineRule="exact"/>
        <w:ind w:firstLine="703" w:firstLineChars="250"/>
        <w:rPr>
          <w:rFonts w:hint="eastAsia" w:ascii="宋体" w:hAnsi="宋体" w:cs="宋体"/>
          <w:b/>
          <w:bCs/>
          <w:sz w:val="28"/>
          <w:szCs w:val="28"/>
          <w:highlight w:val="none"/>
        </w:rPr>
      </w:pPr>
    </w:p>
    <w:p w14:paraId="0B6D54BA">
      <w:pPr>
        <w:spacing w:line="440" w:lineRule="exact"/>
        <w:ind w:firstLine="703" w:firstLineChars="250"/>
        <w:rPr>
          <w:rFonts w:hint="eastAsia" w:ascii="宋体" w:hAnsi="宋体" w:cs="宋体"/>
          <w:b/>
          <w:bCs/>
          <w:sz w:val="28"/>
          <w:szCs w:val="28"/>
          <w:highlight w:val="none"/>
        </w:rPr>
      </w:pPr>
      <w:r>
        <w:rPr>
          <w:rFonts w:hint="eastAsia" w:ascii="宋体" w:hAnsi="宋体" w:cs="宋体"/>
          <w:b/>
          <w:bCs/>
          <w:sz w:val="28"/>
          <w:szCs w:val="28"/>
          <w:highlight w:val="none"/>
        </w:rPr>
        <w:t>注 ：1、从业人员 、 营业收入 、 资产总额填报上一年度数据 ，无上一年度数据的新成立企业可不填报。</w:t>
      </w:r>
    </w:p>
    <w:p w14:paraId="15064754">
      <w:pPr>
        <w:spacing w:line="440" w:lineRule="exact"/>
        <w:ind w:firstLine="1405" w:firstLineChars="500"/>
        <w:rPr>
          <w:rFonts w:hint="eastAsia" w:ascii="宋体" w:hAnsi="宋体" w:cs="宋体"/>
          <w:b/>
          <w:bCs/>
          <w:sz w:val="28"/>
          <w:szCs w:val="28"/>
          <w:highlight w:val="none"/>
        </w:rPr>
      </w:pPr>
      <w:r>
        <w:rPr>
          <w:rFonts w:hint="eastAsia" w:ascii="宋体" w:hAnsi="宋体" w:cs="宋体"/>
          <w:b/>
          <w:bCs/>
          <w:sz w:val="28"/>
          <w:szCs w:val="28"/>
          <w:highlight w:val="none"/>
        </w:rPr>
        <w:t>2、非中小企业的，可不提供此函。</w:t>
      </w:r>
    </w:p>
    <w:p w14:paraId="678DF627">
      <w:pPr>
        <w:spacing w:line="400" w:lineRule="exact"/>
        <w:rPr>
          <w:rFonts w:hint="eastAsia" w:ascii="宋体" w:hAnsi="宋体" w:cs="宋体"/>
          <w:b/>
          <w:bCs/>
          <w:sz w:val="30"/>
          <w:szCs w:val="30"/>
          <w:highlight w:val="none"/>
        </w:rPr>
      </w:pPr>
    </w:p>
    <w:p w14:paraId="63C7D870">
      <w:pPr>
        <w:spacing w:line="400" w:lineRule="exact"/>
        <w:rPr>
          <w:rFonts w:hint="eastAsia" w:ascii="宋体" w:hAnsi="宋体" w:cs="宋体"/>
          <w:b/>
          <w:bCs/>
          <w:sz w:val="30"/>
          <w:szCs w:val="30"/>
          <w:highlight w:val="none"/>
        </w:rPr>
      </w:pPr>
    </w:p>
    <w:p w14:paraId="452D351B">
      <w:pPr>
        <w:spacing w:line="400" w:lineRule="exact"/>
        <w:rPr>
          <w:rFonts w:hint="eastAsia" w:ascii="宋体" w:hAnsi="宋体" w:cs="宋体"/>
          <w:b/>
          <w:bCs/>
          <w:sz w:val="30"/>
          <w:szCs w:val="30"/>
          <w:highlight w:val="none"/>
        </w:rPr>
      </w:pPr>
    </w:p>
    <w:p w14:paraId="6A2AE466">
      <w:pPr>
        <w:spacing w:line="400" w:lineRule="exact"/>
        <w:rPr>
          <w:rFonts w:hint="eastAsia" w:ascii="宋体" w:hAnsi="宋体" w:cs="宋体"/>
          <w:b/>
          <w:bCs/>
          <w:sz w:val="30"/>
          <w:szCs w:val="30"/>
          <w:highlight w:val="none"/>
        </w:rPr>
      </w:pPr>
    </w:p>
    <w:p w14:paraId="2CE58C45">
      <w:pPr>
        <w:spacing w:line="400" w:lineRule="exact"/>
        <w:rPr>
          <w:rFonts w:hint="eastAsia" w:ascii="宋体" w:hAnsi="宋体" w:cs="宋体"/>
          <w:b/>
          <w:bCs/>
          <w:sz w:val="30"/>
          <w:szCs w:val="30"/>
          <w:highlight w:val="none"/>
        </w:rPr>
      </w:pPr>
    </w:p>
    <w:p w14:paraId="0181A6AB">
      <w:pPr>
        <w:spacing w:line="400" w:lineRule="exact"/>
        <w:rPr>
          <w:rFonts w:hint="eastAsia" w:ascii="宋体" w:hAnsi="宋体" w:cs="宋体"/>
          <w:b/>
          <w:bCs/>
          <w:sz w:val="30"/>
          <w:szCs w:val="30"/>
          <w:highlight w:val="none"/>
        </w:rPr>
      </w:pPr>
    </w:p>
    <w:p w14:paraId="7516DBD1">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2</w:t>
      </w:r>
      <w:r>
        <w:rPr>
          <w:rFonts w:ascii="宋体" w:hAnsi="宋体" w:cs="宋体"/>
          <w:b/>
          <w:bCs/>
          <w:sz w:val="30"/>
          <w:szCs w:val="30"/>
          <w:highlight w:val="none"/>
        </w:rPr>
        <w:t>:</w:t>
      </w:r>
    </w:p>
    <w:p w14:paraId="7019F70F">
      <w:pPr>
        <w:spacing w:line="400" w:lineRule="exact"/>
        <w:jc w:val="center"/>
        <w:rPr>
          <w:rFonts w:ascii="宋体"/>
          <w:b/>
          <w:bCs/>
          <w:spacing w:val="6"/>
          <w:sz w:val="32"/>
          <w:szCs w:val="32"/>
          <w:highlight w:val="none"/>
        </w:rPr>
      </w:pPr>
      <w:bookmarkStart w:id="750" w:name="OLE_LINK14"/>
      <w:bookmarkStart w:id="751" w:name="OLE_LINK13"/>
      <w:r>
        <w:rPr>
          <w:rFonts w:hint="eastAsia" w:ascii="宋体" w:hAnsi="宋体" w:cs="宋体"/>
          <w:b/>
          <w:bCs/>
          <w:spacing w:val="6"/>
          <w:sz w:val="32"/>
          <w:szCs w:val="32"/>
          <w:highlight w:val="none"/>
        </w:rPr>
        <w:t>残疾人福利性单位声明函</w:t>
      </w:r>
    </w:p>
    <w:bookmarkEnd w:id="750"/>
    <w:bookmarkEnd w:id="751"/>
    <w:p w14:paraId="4EBBB84E">
      <w:pPr>
        <w:spacing w:line="400" w:lineRule="exact"/>
        <w:rPr>
          <w:rFonts w:ascii="宋体"/>
          <w:b/>
          <w:bCs/>
          <w:spacing w:val="6"/>
          <w:sz w:val="32"/>
          <w:szCs w:val="32"/>
          <w:highlight w:val="none"/>
        </w:rPr>
      </w:pPr>
    </w:p>
    <w:p w14:paraId="58459A93">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本单位郑重声明，根据《财政部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民政部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中国残疾人联合会关于促进残疾人就业政府采购政策的通知》（财库</w:t>
      </w:r>
      <w:r>
        <w:rPr>
          <w:rFonts w:hint="eastAsia" w:ascii="宋体" w:hAnsi="宋体" w:cs="宋体"/>
          <w:sz w:val="28"/>
          <w:szCs w:val="28"/>
          <w:highlight w:val="none"/>
        </w:rPr>
        <w:t>〔</w:t>
      </w:r>
      <w:r>
        <w:rPr>
          <w:rFonts w:ascii="宋体" w:hAnsi="宋体" w:cs="宋体"/>
          <w:sz w:val="28"/>
          <w:szCs w:val="28"/>
          <w:highlight w:val="none"/>
        </w:rPr>
        <w:t>2017</w:t>
      </w:r>
      <w:r>
        <w:rPr>
          <w:rFonts w:hint="eastAsia" w:ascii="宋体" w:hAnsi="宋体" w:cs="宋体"/>
          <w:sz w:val="28"/>
          <w:szCs w:val="28"/>
          <w:highlight w:val="none"/>
        </w:rPr>
        <w:t>〕</w:t>
      </w:r>
      <w:r>
        <w:rPr>
          <w:rFonts w:ascii="宋体" w:hAnsi="宋体" w:cs="宋体"/>
          <w:sz w:val="28"/>
          <w:szCs w:val="28"/>
          <w:highlight w:val="none"/>
        </w:rPr>
        <w:t xml:space="preserve"> 141</w:t>
      </w:r>
      <w:r>
        <w:rPr>
          <w:rFonts w:hint="eastAsia" w:ascii="宋体" w:hAnsi="宋体" w:cs="宋体"/>
          <w:spacing w:val="6"/>
          <w:sz w:val="28"/>
          <w:szCs w:val="28"/>
          <w:highlight w:val="none"/>
        </w:rPr>
        <w:t>号）的规定，本单位为符合条件的残疾人福利性单位，且本单位参加</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（采购单位名称）</w:t>
      </w:r>
      <w:r>
        <w:rPr>
          <w:rFonts w:ascii="宋体" w:hAnsi="宋体" w:cs="宋体"/>
          <w:spacing w:val="6"/>
          <w:sz w:val="28"/>
          <w:szCs w:val="28"/>
          <w:highlight w:val="none"/>
        </w:rPr>
        <w:t>_</w:t>
      </w:r>
      <w:r>
        <w:rPr>
          <w:rFonts w:hint="eastAsia" w:ascii="宋体" w:hAnsi="宋体" w:cs="宋体"/>
          <w:spacing w:val="6"/>
          <w:sz w:val="28"/>
          <w:szCs w:val="28"/>
          <w:highlight w:val="none"/>
        </w:rPr>
        <w:t>单位的</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（采购项目名称）</w:t>
      </w:r>
      <w:r>
        <w:rPr>
          <w:rFonts w:ascii="宋体" w:hAnsi="宋体" w:cs="宋体"/>
          <w:spacing w:val="6"/>
          <w:sz w:val="28"/>
          <w:szCs w:val="28"/>
          <w:highlight w:val="none"/>
          <w:u w:val="none"/>
        </w:rPr>
        <w:t>_</w:t>
      </w:r>
      <w:r>
        <w:rPr>
          <w:rFonts w:hint="eastAsia" w:ascii="宋体" w:hAnsi="宋体" w:cs="宋体"/>
          <w:spacing w:val="6"/>
          <w:sz w:val="28"/>
          <w:szCs w:val="28"/>
          <w:highlight w:val="none"/>
        </w:rPr>
        <w:t>项目采购活动提供本单位制造的货物（由本单位承担工程</w:t>
      </w:r>
      <w:r>
        <w:rPr>
          <w:rFonts w:ascii="宋体" w:hAnsi="宋体" w:cs="宋体"/>
          <w:spacing w:val="6"/>
          <w:sz w:val="28"/>
          <w:szCs w:val="28"/>
          <w:highlight w:val="none"/>
        </w:rPr>
        <w:t>/</w:t>
      </w:r>
      <w:r>
        <w:rPr>
          <w:rFonts w:hint="eastAsia" w:ascii="宋体" w:hAnsi="宋体" w:cs="宋体"/>
          <w:spacing w:val="6"/>
          <w:sz w:val="28"/>
          <w:szCs w:val="28"/>
          <w:highlight w:val="none"/>
        </w:rPr>
        <w:t>提供服务），或者提供其他残疾人福利性单位制造的货物（不包括使用非残疾人福利性单位注册商标的货物）。</w:t>
      </w:r>
    </w:p>
    <w:p w14:paraId="72D1D13C">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本单位对上述声明的真实性负责。如有虚假，将依法承担相应责任。</w:t>
      </w:r>
    </w:p>
    <w:p w14:paraId="0D5D5A1A">
      <w:pPr>
        <w:spacing w:line="480" w:lineRule="exact"/>
        <w:ind w:firstLine="584" w:firstLineChars="200"/>
        <w:rPr>
          <w:rFonts w:ascii="宋体"/>
          <w:spacing w:val="6"/>
          <w:sz w:val="28"/>
          <w:szCs w:val="28"/>
          <w:highlight w:val="none"/>
        </w:rPr>
      </w:pPr>
    </w:p>
    <w:p w14:paraId="41216B4C">
      <w:pPr>
        <w:spacing w:line="480" w:lineRule="exact"/>
        <w:ind w:firstLine="584" w:firstLineChars="200"/>
        <w:rPr>
          <w:rFonts w:ascii="宋体"/>
          <w:spacing w:val="6"/>
          <w:sz w:val="28"/>
          <w:szCs w:val="28"/>
          <w:highlight w:val="none"/>
        </w:rPr>
      </w:pPr>
    </w:p>
    <w:p w14:paraId="43953647">
      <w:pPr>
        <w:pStyle w:val="12"/>
        <w:spacing w:after="0" w:line="480" w:lineRule="exact"/>
        <w:ind w:left="0" w:leftChars="0"/>
        <w:rPr>
          <w:sz w:val="28"/>
          <w:szCs w:val="28"/>
          <w:highlight w:val="none"/>
        </w:rPr>
      </w:pPr>
    </w:p>
    <w:p w14:paraId="1E21B9F8">
      <w:pPr>
        <w:tabs>
          <w:tab w:val="left" w:pos="4860"/>
        </w:tabs>
        <w:spacing w:line="480" w:lineRule="exact"/>
        <w:ind w:firstLine="584" w:firstLineChars="200"/>
        <w:jc w:val="center"/>
        <w:rPr>
          <w:rFonts w:ascii="宋体"/>
          <w:spacing w:val="6"/>
          <w:sz w:val="28"/>
          <w:szCs w:val="28"/>
          <w:highlight w:val="none"/>
          <w:u w:val="single"/>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（企业电子签章）</w:t>
      </w:r>
    </w:p>
    <w:p w14:paraId="0DFE696C">
      <w:pPr>
        <w:tabs>
          <w:tab w:val="left" w:pos="4860"/>
        </w:tabs>
        <w:spacing w:line="480" w:lineRule="exact"/>
        <w:ind w:firstLine="584" w:firstLineChars="200"/>
        <w:jc w:val="center"/>
        <w:rPr>
          <w:rFonts w:ascii="宋体" w:hAnsi="宋体" w:cs="宋体"/>
          <w:spacing w:val="6"/>
          <w:sz w:val="28"/>
          <w:szCs w:val="28"/>
          <w:highlight w:val="none"/>
        </w:rPr>
      </w:pPr>
      <w:r>
        <w:rPr>
          <w:rFonts w:ascii="宋体" w:hAnsi="宋体" w:cs="宋体"/>
          <w:spacing w:val="6"/>
          <w:sz w:val="28"/>
          <w:szCs w:val="28"/>
          <w:highlight w:val="none"/>
        </w:rPr>
        <w:t xml:space="preserve">                   </w:t>
      </w:r>
    </w:p>
    <w:p w14:paraId="16DE61C5">
      <w:pPr>
        <w:tabs>
          <w:tab w:val="left" w:pos="4860"/>
        </w:tabs>
        <w:spacing w:line="480" w:lineRule="exact"/>
        <w:ind w:firstLine="584" w:firstLineChars="200"/>
        <w:jc w:val="center"/>
        <w:rPr>
          <w:rFonts w:ascii="宋体"/>
          <w:spacing w:val="6"/>
          <w:sz w:val="28"/>
          <w:szCs w:val="28"/>
          <w:highlight w:val="none"/>
        </w:rPr>
      </w:pPr>
      <w:r>
        <w:rPr>
          <w:rFonts w:hint="eastAsia" w:ascii="宋体" w:hAnsi="宋体" w:cs="宋体"/>
          <w:spacing w:val="6"/>
          <w:sz w:val="28"/>
          <w:szCs w:val="28"/>
          <w:highlight w:val="none"/>
          <w:lang w:val="en-US" w:eastAsia="zh-CN"/>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1C6895EE">
      <w:pPr>
        <w:spacing w:line="480" w:lineRule="exact"/>
        <w:jc w:val="left"/>
        <w:rPr>
          <w:rFonts w:hint="eastAsia" w:ascii="宋体" w:hAnsi="宋体" w:cs="宋体"/>
          <w:b/>
          <w:bCs/>
          <w:sz w:val="28"/>
          <w:szCs w:val="28"/>
          <w:highlight w:val="none"/>
        </w:rPr>
      </w:pPr>
    </w:p>
    <w:p w14:paraId="023390FE">
      <w:pPr>
        <w:spacing w:line="480" w:lineRule="exact"/>
        <w:jc w:val="left"/>
        <w:rPr>
          <w:rFonts w:hint="eastAsia" w:ascii="宋体" w:hAnsi="宋体" w:cs="宋体"/>
          <w:b/>
          <w:bCs/>
          <w:sz w:val="28"/>
          <w:szCs w:val="28"/>
          <w:highlight w:val="none"/>
        </w:rPr>
      </w:pPr>
    </w:p>
    <w:p w14:paraId="04E7E5D2">
      <w:pPr>
        <w:spacing w:line="480" w:lineRule="exact"/>
        <w:jc w:val="left"/>
        <w:rPr>
          <w:rFonts w:hint="eastAsia" w:ascii="宋体" w:hAnsi="宋体" w:cs="宋体"/>
          <w:b/>
          <w:bCs/>
          <w:sz w:val="28"/>
          <w:szCs w:val="28"/>
          <w:highlight w:val="none"/>
        </w:rPr>
      </w:pPr>
    </w:p>
    <w:p w14:paraId="55721DD4">
      <w:pPr>
        <w:spacing w:line="480" w:lineRule="exact"/>
        <w:jc w:val="left"/>
        <w:rPr>
          <w:rFonts w:hint="eastAsia" w:ascii="宋体" w:hAnsi="宋体" w:cs="宋体"/>
          <w:b/>
          <w:bCs/>
          <w:sz w:val="28"/>
          <w:szCs w:val="28"/>
          <w:highlight w:val="none"/>
        </w:rPr>
      </w:pPr>
    </w:p>
    <w:p w14:paraId="1F3678AC">
      <w:pPr>
        <w:spacing w:line="480" w:lineRule="exact"/>
        <w:jc w:val="left"/>
        <w:rPr>
          <w:rFonts w:hint="eastAsia" w:ascii="宋体" w:hAnsi="宋体" w:cs="宋体"/>
          <w:b/>
          <w:bCs/>
          <w:sz w:val="28"/>
          <w:szCs w:val="28"/>
          <w:highlight w:val="none"/>
        </w:rPr>
      </w:pPr>
    </w:p>
    <w:p w14:paraId="3A161929">
      <w:pPr>
        <w:spacing w:line="480" w:lineRule="exact"/>
        <w:jc w:val="left"/>
        <w:rPr>
          <w:rFonts w:ascii="宋体"/>
          <w:b/>
          <w:bCs/>
          <w:sz w:val="28"/>
          <w:szCs w:val="28"/>
          <w:highlight w:val="none"/>
        </w:rPr>
      </w:pPr>
      <w:r>
        <w:rPr>
          <w:rFonts w:hint="eastAsia" w:ascii="宋体" w:hAnsi="宋体" w:cs="宋体"/>
          <w:b/>
          <w:bCs/>
          <w:sz w:val="28"/>
          <w:szCs w:val="28"/>
          <w:highlight w:val="none"/>
        </w:rPr>
        <w:t>备注：</w:t>
      </w:r>
    </w:p>
    <w:p w14:paraId="438A4971">
      <w:pPr>
        <w:spacing w:line="480" w:lineRule="exact"/>
        <w:ind w:firstLine="562" w:firstLineChars="200"/>
        <w:jc w:val="left"/>
        <w:rPr>
          <w:rFonts w:ascii="宋体" w:hAnsi="宋体" w:cs="宋体"/>
          <w:b/>
          <w:bCs/>
          <w:sz w:val="28"/>
          <w:szCs w:val="28"/>
          <w:highlight w:val="none"/>
        </w:rPr>
      </w:pPr>
    </w:p>
    <w:p w14:paraId="56B72DFE">
      <w:pPr>
        <w:spacing w:line="480" w:lineRule="exact"/>
        <w:ind w:firstLine="562" w:firstLineChars="200"/>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、该声明函是针对残疾人福利性单位的，非福利性单位投标时不用提供该声明函。</w:t>
      </w:r>
    </w:p>
    <w:p w14:paraId="72311B19">
      <w:pPr>
        <w:pStyle w:val="12"/>
        <w:rPr>
          <w:highlight w:val="none"/>
        </w:rPr>
      </w:pPr>
    </w:p>
    <w:p w14:paraId="2B6B8821">
      <w:pPr>
        <w:pStyle w:val="12"/>
        <w:rPr>
          <w:highlight w:val="none"/>
        </w:rPr>
      </w:pPr>
    </w:p>
    <w:p w14:paraId="30A86E13">
      <w:pPr>
        <w:pStyle w:val="12"/>
        <w:rPr>
          <w:highlight w:val="none"/>
        </w:rPr>
      </w:pPr>
    </w:p>
    <w:p w14:paraId="1429EFC5">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3</w:t>
      </w:r>
      <w:r>
        <w:rPr>
          <w:rFonts w:ascii="宋体" w:hAnsi="宋体" w:cs="宋体"/>
          <w:b/>
          <w:bCs/>
          <w:sz w:val="30"/>
          <w:szCs w:val="30"/>
          <w:highlight w:val="none"/>
        </w:rPr>
        <w:t>:</w:t>
      </w:r>
    </w:p>
    <w:p w14:paraId="7A00547C">
      <w:pPr>
        <w:pStyle w:val="11"/>
        <w:spacing w:line="400" w:lineRule="exact"/>
        <w:rPr>
          <w:rFonts w:hint="eastAsia"/>
          <w:b/>
          <w:bCs/>
          <w:color w:val="auto"/>
          <w:sz w:val="32"/>
          <w:szCs w:val="32"/>
          <w:highlight w:val="none"/>
        </w:rPr>
      </w:pPr>
    </w:p>
    <w:p w14:paraId="4D7EB4C8">
      <w:pPr>
        <w:pStyle w:val="11"/>
        <w:spacing w:line="400" w:lineRule="exact"/>
        <w:rPr>
          <w:rFonts w:hint="eastAsia"/>
          <w:b/>
          <w:bCs/>
          <w:color w:val="auto"/>
          <w:sz w:val="32"/>
          <w:szCs w:val="32"/>
          <w:highlight w:val="none"/>
        </w:rPr>
      </w:pPr>
    </w:p>
    <w:p w14:paraId="7724F8C7">
      <w:pPr>
        <w:pStyle w:val="11"/>
        <w:spacing w:line="400" w:lineRule="exact"/>
        <w:rPr>
          <w:rFonts w:hint="eastAsia"/>
          <w:b/>
          <w:bCs/>
          <w:color w:val="auto"/>
          <w:sz w:val="32"/>
          <w:szCs w:val="32"/>
          <w:highlight w:val="none"/>
        </w:rPr>
      </w:pPr>
    </w:p>
    <w:p w14:paraId="02FB216E">
      <w:pPr>
        <w:pStyle w:val="11"/>
        <w:spacing w:line="400" w:lineRule="exact"/>
        <w:jc w:val="center"/>
        <w:rPr>
          <w:rFonts w:hint="eastAsia"/>
          <w:b/>
          <w:bCs/>
          <w:color w:val="auto"/>
          <w:sz w:val="32"/>
          <w:szCs w:val="32"/>
          <w:highlight w:val="none"/>
        </w:rPr>
      </w:pPr>
      <w:r>
        <w:rPr>
          <w:rFonts w:hint="eastAsia"/>
          <w:b/>
          <w:bCs/>
          <w:color w:val="auto"/>
          <w:sz w:val="32"/>
          <w:szCs w:val="32"/>
          <w:highlight w:val="none"/>
        </w:rPr>
        <w:t>监狱企业的证明文件</w:t>
      </w:r>
    </w:p>
    <w:p w14:paraId="145BFE39">
      <w:pPr>
        <w:pStyle w:val="11"/>
        <w:spacing w:line="400" w:lineRule="exact"/>
        <w:jc w:val="center"/>
        <w:rPr>
          <w:rFonts w:hint="eastAsia"/>
          <w:b/>
          <w:bCs/>
          <w:color w:val="auto"/>
          <w:sz w:val="32"/>
          <w:szCs w:val="32"/>
          <w:highlight w:val="none"/>
        </w:rPr>
      </w:pPr>
    </w:p>
    <w:p w14:paraId="3B717C4D">
      <w:pPr>
        <w:pStyle w:val="11"/>
        <w:spacing w:line="400" w:lineRule="exact"/>
        <w:jc w:val="center"/>
        <w:rPr>
          <w:rFonts w:cs="Times New Roman"/>
          <w:color w:val="auto"/>
          <w:highlight w:val="none"/>
        </w:rPr>
      </w:pPr>
      <w:r>
        <w:rPr>
          <w:rFonts w:hint="eastAsia"/>
          <w:color w:val="auto"/>
          <w:highlight w:val="none"/>
        </w:rPr>
        <w:t>（格式自拟）</w:t>
      </w:r>
    </w:p>
    <w:p w14:paraId="36A63BF8">
      <w:pPr>
        <w:pStyle w:val="11"/>
        <w:spacing w:line="400" w:lineRule="exact"/>
        <w:jc w:val="center"/>
        <w:rPr>
          <w:rFonts w:cs="Times New Roman"/>
          <w:color w:val="auto"/>
          <w:highlight w:val="none"/>
        </w:rPr>
      </w:pPr>
    </w:p>
    <w:p w14:paraId="30268C54">
      <w:pPr>
        <w:pStyle w:val="11"/>
        <w:spacing w:line="400" w:lineRule="exact"/>
        <w:jc w:val="center"/>
        <w:rPr>
          <w:rFonts w:cs="Times New Roman"/>
          <w:color w:val="auto"/>
          <w:highlight w:val="none"/>
        </w:rPr>
      </w:pPr>
    </w:p>
    <w:p w14:paraId="36C660D2">
      <w:pPr>
        <w:pStyle w:val="11"/>
        <w:spacing w:line="400" w:lineRule="exact"/>
        <w:jc w:val="center"/>
        <w:rPr>
          <w:rFonts w:cs="Times New Roman"/>
          <w:color w:val="auto"/>
          <w:highlight w:val="none"/>
        </w:rPr>
      </w:pPr>
    </w:p>
    <w:p w14:paraId="2A1DA0EE">
      <w:pPr>
        <w:pStyle w:val="11"/>
        <w:spacing w:line="400" w:lineRule="exact"/>
        <w:jc w:val="center"/>
        <w:rPr>
          <w:rFonts w:cs="Times New Roman"/>
          <w:color w:val="auto"/>
          <w:highlight w:val="none"/>
        </w:rPr>
      </w:pPr>
    </w:p>
    <w:p w14:paraId="41CFD3CA">
      <w:pPr>
        <w:pStyle w:val="11"/>
        <w:spacing w:line="400" w:lineRule="exact"/>
        <w:jc w:val="center"/>
        <w:rPr>
          <w:rFonts w:cs="Times New Roman"/>
          <w:color w:val="auto"/>
          <w:highlight w:val="none"/>
        </w:rPr>
      </w:pPr>
    </w:p>
    <w:p w14:paraId="135AE15F">
      <w:pPr>
        <w:pStyle w:val="11"/>
        <w:spacing w:line="400" w:lineRule="exact"/>
        <w:jc w:val="center"/>
        <w:rPr>
          <w:rFonts w:cs="Times New Roman"/>
          <w:color w:val="auto"/>
          <w:highlight w:val="none"/>
        </w:rPr>
      </w:pPr>
    </w:p>
    <w:p w14:paraId="4F633F80">
      <w:pPr>
        <w:tabs>
          <w:tab w:val="left" w:pos="4860"/>
        </w:tabs>
        <w:spacing w:line="480" w:lineRule="exact"/>
        <w:ind w:firstLine="504" w:firstLineChars="200"/>
        <w:jc w:val="center"/>
        <w:rPr>
          <w:rFonts w:ascii="宋体"/>
          <w:spacing w:val="6"/>
          <w:sz w:val="28"/>
          <w:szCs w:val="28"/>
          <w:highlight w:val="none"/>
          <w:u w:val="none"/>
        </w:rPr>
      </w:pPr>
      <w:r>
        <w:rPr>
          <w:rFonts w:hint="eastAsia" w:ascii="宋体" w:hAnsi="宋体" w:cs="宋体"/>
          <w:spacing w:val="6"/>
          <w:sz w:val="24"/>
          <w:szCs w:val="24"/>
          <w:highlight w:val="none"/>
        </w:rPr>
        <w:t xml:space="preserve">                            </w:t>
      </w:r>
      <w:r>
        <w:rPr>
          <w:rFonts w:hint="eastAsia" w:ascii="宋体" w:hAnsi="宋体" w:cs="宋体"/>
          <w:spacing w:val="6"/>
          <w:sz w:val="28"/>
          <w:szCs w:val="28"/>
          <w:highlight w:val="none"/>
        </w:rPr>
        <w:t xml:space="preserve">   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w:t>
      </w:r>
      <w:r>
        <w:rPr>
          <w:rFonts w:hint="eastAsia" w:ascii="宋体" w:hAnsi="宋体" w:cs="宋体"/>
          <w:spacing w:val="6"/>
          <w:sz w:val="28"/>
          <w:szCs w:val="28"/>
          <w:highlight w:val="none"/>
          <w:u w:val="none"/>
          <w:lang w:eastAsia="zh-CN"/>
        </w:rPr>
        <w:t>企业电子签章</w:t>
      </w:r>
      <w:r>
        <w:rPr>
          <w:rFonts w:hint="eastAsia" w:ascii="宋体" w:hAnsi="宋体" w:cs="宋体"/>
          <w:spacing w:val="6"/>
          <w:sz w:val="28"/>
          <w:szCs w:val="28"/>
          <w:highlight w:val="none"/>
          <w:u w:val="none"/>
        </w:rPr>
        <w:t>）</w:t>
      </w:r>
    </w:p>
    <w:p w14:paraId="32A8EE10">
      <w:pPr>
        <w:tabs>
          <w:tab w:val="left" w:pos="4860"/>
        </w:tabs>
        <w:spacing w:line="480" w:lineRule="exact"/>
        <w:ind w:firstLine="584" w:firstLineChars="200"/>
        <w:jc w:val="center"/>
        <w:rPr>
          <w:rFonts w:hint="eastAsia" w:ascii="宋体" w:eastAsia="宋体"/>
          <w:spacing w:val="6"/>
          <w:sz w:val="28"/>
          <w:szCs w:val="28"/>
          <w:highlight w:val="none"/>
          <w:u w:val="single"/>
          <w:lang w:val="en-US" w:eastAsia="zh-CN"/>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4921A286">
      <w:pPr>
        <w:pStyle w:val="11"/>
        <w:spacing w:line="480" w:lineRule="exact"/>
        <w:jc w:val="center"/>
        <w:rPr>
          <w:rFonts w:cs="Times New Roman"/>
          <w:color w:val="auto"/>
          <w:sz w:val="28"/>
          <w:szCs w:val="28"/>
          <w:highlight w:val="none"/>
        </w:rPr>
      </w:pPr>
    </w:p>
    <w:p w14:paraId="67BDEA18">
      <w:pPr>
        <w:pStyle w:val="11"/>
        <w:spacing w:line="480" w:lineRule="exact"/>
        <w:jc w:val="center"/>
        <w:rPr>
          <w:rFonts w:cs="Times New Roman"/>
          <w:color w:val="auto"/>
          <w:sz w:val="28"/>
          <w:szCs w:val="28"/>
          <w:highlight w:val="none"/>
        </w:rPr>
      </w:pPr>
    </w:p>
    <w:p w14:paraId="385D3B59">
      <w:pPr>
        <w:pStyle w:val="11"/>
        <w:spacing w:line="480" w:lineRule="exact"/>
        <w:jc w:val="center"/>
        <w:rPr>
          <w:rFonts w:cs="Times New Roman"/>
          <w:color w:val="auto"/>
          <w:sz w:val="28"/>
          <w:szCs w:val="28"/>
          <w:highlight w:val="none"/>
        </w:rPr>
      </w:pPr>
    </w:p>
    <w:p w14:paraId="49F039C5">
      <w:pPr>
        <w:pStyle w:val="11"/>
        <w:spacing w:line="480" w:lineRule="exact"/>
        <w:jc w:val="center"/>
        <w:rPr>
          <w:rFonts w:cs="Times New Roman"/>
          <w:color w:val="auto"/>
          <w:sz w:val="28"/>
          <w:szCs w:val="28"/>
          <w:highlight w:val="none"/>
        </w:rPr>
      </w:pPr>
    </w:p>
    <w:p w14:paraId="4B166505">
      <w:pPr>
        <w:spacing w:line="480" w:lineRule="exact"/>
        <w:jc w:val="left"/>
        <w:rPr>
          <w:rFonts w:hint="eastAsia" w:ascii="宋体" w:hAnsi="宋体" w:cs="宋体"/>
          <w:sz w:val="28"/>
          <w:szCs w:val="28"/>
          <w:highlight w:val="none"/>
        </w:rPr>
      </w:pPr>
    </w:p>
    <w:p w14:paraId="66D892A5">
      <w:pPr>
        <w:spacing w:line="480" w:lineRule="exact"/>
        <w:jc w:val="left"/>
        <w:rPr>
          <w:rFonts w:hint="eastAsia" w:ascii="宋体" w:hAnsi="宋体" w:cs="宋体"/>
          <w:sz w:val="28"/>
          <w:szCs w:val="28"/>
          <w:highlight w:val="none"/>
        </w:rPr>
      </w:pPr>
    </w:p>
    <w:p w14:paraId="206AD03C">
      <w:pPr>
        <w:spacing w:line="480" w:lineRule="exact"/>
        <w:jc w:val="left"/>
        <w:rPr>
          <w:rFonts w:hint="eastAsia" w:ascii="宋体" w:hAnsi="宋体" w:cs="宋体"/>
          <w:sz w:val="28"/>
          <w:szCs w:val="28"/>
          <w:highlight w:val="none"/>
        </w:rPr>
      </w:pPr>
    </w:p>
    <w:p w14:paraId="77550ABB">
      <w:pPr>
        <w:spacing w:line="480" w:lineRule="exact"/>
        <w:jc w:val="left"/>
        <w:rPr>
          <w:rFonts w:hint="eastAsia" w:ascii="宋体" w:hAnsi="宋体" w:cs="宋体"/>
          <w:sz w:val="28"/>
          <w:szCs w:val="28"/>
          <w:highlight w:val="none"/>
        </w:rPr>
      </w:pPr>
    </w:p>
    <w:p w14:paraId="21CBA81B">
      <w:pPr>
        <w:spacing w:line="480" w:lineRule="exact"/>
        <w:jc w:val="left"/>
        <w:rPr>
          <w:rFonts w:ascii="宋体"/>
          <w:sz w:val="28"/>
          <w:szCs w:val="28"/>
          <w:highlight w:val="none"/>
        </w:rPr>
      </w:pPr>
      <w:r>
        <w:rPr>
          <w:rFonts w:hint="eastAsia" w:ascii="宋体" w:hAnsi="宋体" w:cs="宋体"/>
          <w:sz w:val="28"/>
          <w:szCs w:val="28"/>
          <w:highlight w:val="none"/>
        </w:rPr>
        <w:t>备注：</w:t>
      </w:r>
    </w:p>
    <w:p w14:paraId="7E32B709">
      <w:pPr>
        <w:spacing w:line="480" w:lineRule="exact"/>
        <w:ind w:firstLine="560" w:firstLineChars="200"/>
        <w:jc w:val="left"/>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、该证明文件是针对监狱企业的，非监狱企业投标时不用提供该证明文件。</w:t>
      </w:r>
    </w:p>
    <w:p w14:paraId="6282818E">
      <w:pPr>
        <w:spacing w:line="480" w:lineRule="exact"/>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、监狱企业视同小型、微型企业，享受小型、微型企业同等政策待遇。监狱企业参加政府采购活动时，应当提供省级以上监狱管理局、戒毒管理局（含新疆生产建设兵团）出具的属于监狱企业的证明文件。</w:t>
      </w:r>
    </w:p>
    <w:p w14:paraId="29CAEFC6">
      <w:pPr>
        <w:spacing w:line="480" w:lineRule="exact"/>
        <w:ind w:firstLine="560" w:firstLineChars="200"/>
        <w:rPr>
          <w:rFonts w:ascii="宋体"/>
          <w:sz w:val="28"/>
          <w:szCs w:val="28"/>
          <w:highlight w:val="none"/>
        </w:rPr>
      </w:pPr>
    </w:p>
    <w:p w14:paraId="7E5F4011">
      <w:pPr>
        <w:pStyle w:val="151"/>
        <w:spacing w:before="156" w:beforeLines="50" w:after="156" w:afterLines="50" w:line="440" w:lineRule="exact"/>
        <w:ind w:left="0" w:firstLine="0"/>
        <w:jc w:val="both"/>
        <w:rPr>
          <w:rFonts w:hint="eastAsia"/>
          <w:b/>
          <w:sz w:val="32"/>
          <w:szCs w:val="32"/>
          <w:highlight w:val="none"/>
        </w:rPr>
      </w:pPr>
    </w:p>
    <w:p w14:paraId="2F6DA483">
      <w:pPr>
        <w:rPr>
          <w:rFonts w:ascii="Calibri" w:hAnsi="Calibri" w:eastAsia="宋体" w:cs="Times New Roman"/>
          <w:kern w:val="2"/>
          <w:sz w:val="21"/>
          <w:szCs w:val="21"/>
          <w:highlight w:val="none"/>
          <w:lang w:val="en-US" w:eastAsia="zh-CN" w:bidi="ar-SA"/>
        </w:rPr>
      </w:pPr>
    </w:p>
    <w:p w14:paraId="1A0524A4">
      <w:pPr>
        <w:ind w:firstLine="403" w:firstLineChars="0"/>
        <w:jc w:val="left"/>
        <w:rPr>
          <w:rFonts w:ascii="Calibri" w:hAnsi="Calibri" w:eastAsia="宋体" w:cs="Times New Roman"/>
          <w:kern w:val="2"/>
          <w:sz w:val="21"/>
          <w:szCs w:val="21"/>
          <w:highlight w:val="none"/>
          <w:lang w:val="en-US" w:eastAsia="zh-CN" w:bidi="ar-SA"/>
        </w:rPr>
      </w:pPr>
    </w:p>
    <w:p w14:paraId="012F86DB">
      <w:pPr>
        <w:pStyle w:val="151"/>
        <w:spacing w:before="156" w:beforeLines="50" w:after="156" w:afterLines="50" w:line="440" w:lineRule="exact"/>
        <w:ind w:left="0" w:firstLine="0"/>
        <w:jc w:val="center"/>
        <w:rPr>
          <w:rFonts w:hint="eastAsia"/>
          <w:b/>
          <w:sz w:val="32"/>
          <w:szCs w:val="32"/>
          <w:highlight w:val="none"/>
        </w:rPr>
      </w:pPr>
      <w:r>
        <w:rPr>
          <w:rFonts w:hint="eastAsia"/>
          <w:b/>
          <w:sz w:val="32"/>
          <w:szCs w:val="32"/>
          <w:highlight w:val="none"/>
        </w:rPr>
        <w:t>河南省政府采购合同融资政策告知函</w:t>
      </w:r>
    </w:p>
    <w:p w14:paraId="32970087">
      <w:pPr>
        <w:spacing w:line="360" w:lineRule="auto"/>
        <w:rPr>
          <w:rFonts w:hint="eastAsia" w:ascii="宋体" w:hAnsi="宋体" w:cs="宋体"/>
          <w:sz w:val="24"/>
          <w:szCs w:val="24"/>
          <w:highlight w:val="none"/>
        </w:rPr>
      </w:pPr>
    </w:p>
    <w:p w14:paraId="00CCC484">
      <w:pPr>
        <w:spacing w:line="480" w:lineRule="exact"/>
        <w:rPr>
          <w:rFonts w:hint="eastAsia" w:ascii="宋体" w:hAnsi="宋体" w:cs="宋体"/>
          <w:sz w:val="28"/>
          <w:szCs w:val="28"/>
          <w:highlight w:val="none"/>
        </w:rPr>
      </w:pPr>
      <w:r>
        <w:rPr>
          <w:rFonts w:hint="eastAsia" w:ascii="宋体" w:hAnsi="宋体" w:cs="宋体"/>
          <w:sz w:val="28"/>
          <w:szCs w:val="28"/>
          <w:highlight w:val="none"/>
        </w:rPr>
        <w:t>各供应商：</w:t>
      </w:r>
    </w:p>
    <w:p w14:paraId="6611FC48">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欢迎贵公司参与河南省政府采购活动！</w:t>
      </w:r>
    </w:p>
    <w:p w14:paraId="12681530">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1EFE10C">
      <w:pPr>
        <w:pStyle w:val="27"/>
        <w:spacing w:after="0" w:line="480" w:lineRule="exact"/>
        <w:ind w:firstLine="571" w:firstLineChars="204"/>
        <w:rPr>
          <w:rFonts w:hint="eastAsia" w:ascii="宋体" w:hAnsi="宋体" w:cs="宋体"/>
          <w:sz w:val="28"/>
          <w:szCs w:val="28"/>
          <w:highlight w:val="none"/>
        </w:rPr>
      </w:pPr>
      <w:r>
        <w:rPr>
          <w:rFonts w:hint="eastAsia" w:ascii="宋体" w:hAnsi="宋体" w:cs="宋体"/>
          <w:sz w:val="28"/>
          <w:szCs w:val="28"/>
          <w:highlight w:val="none"/>
        </w:rPr>
        <w:t>贷款渠道和提供贷款的金融机构，可在河南省政府采购网“河南省政府采购合同融资平台”查询联系。</w:t>
      </w:r>
    </w:p>
    <w:p w14:paraId="28604A6D">
      <w:pPr>
        <w:widowControl/>
        <w:jc w:val="left"/>
        <w:rPr>
          <w:color w:val="auto"/>
          <w:highlight w:val="none"/>
        </w:rPr>
      </w:pPr>
    </w:p>
    <w:p w14:paraId="05F7AF16">
      <w:pPr>
        <w:pStyle w:val="38"/>
        <w:rPr>
          <w:highlight w:val="none"/>
          <w:lang w:val="en-US" w:eastAsia="zh-CN"/>
        </w:rPr>
      </w:pPr>
    </w:p>
    <w:sectPr>
      <w:headerReference r:id="rId6" w:type="default"/>
      <w:footerReference r:id="rId7" w:type="default"/>
      <w:pgSz w:w="11906" w:h="16838"/>
      <w:pgMar w:top="1134" w:right="1274" w:bottom="1134" w:left="1560"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E2CE">
    <w:pPr>
      <w:pStyle w:val="18"/>
      <w:jc w:val="center"/>
    </w:pPr>
    <w:sdt>
      <w:sdtPr>
        <w:id w:val="4319122"/>
        <w:docPartObj>
          <w:docPartGallery w:val="autotext"/>
        </w:docPartObj>
      </w:sdtPr>
      <w:sdtContent/>
    </w:sdt>
  </w:p>
  <w:p w14:paraId="4469BC1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C3AF">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E63C8">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6DBE63C8">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47452742"/>
        <w:docPartObj>
          <w:docPartGallery w:val="autotext"/>
        </w:docPartObj>
      </w:sdtPr>
      <w:sdtContent/>
    </w:sdt>
  </w:p>
  <w:p w14:paraId="205EE5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6481">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14:paraId="5A70B01F">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9158">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C2AF">
    <w:pPr>
      <w:pStyle w:val="19"/>
      <w:pBdr>
        <w:bottom w:val="none" w:color="auto" w:sz="0" w:space="0"/>
      </w:pBdr>
      <w:rPr>
        <w:rFonts w:cs="宋体"/>
        <w:color w:val="000000"/>
        <w:sz w:val="15"/>
        <w:szCs w:val="15"/>
      </w:rPr>
    </w:pPr>
  </w:p>
  <w:p w14:paraId="01C18450">
    <w:pPr>
      <w:pStyle w:val="19"/>
      <w:pBdr>
        <w:bottom w:val="none" w:color="auto" w:sz="0" w:space="0"/>
      </w:pBdr>
      <w:rPr>
        <w:rFonts w:cs="宋体"/>
        <w:color w:val="000000"/>
        <w:sz w:val="15"/>
        <w:szCs w:val="15"/>
      </w:rPr>
    </w:pPr>
  </w:p>
  <w:p w14:paraId="6234B64B">
    <w:pPr>
      <w:pStyle w:val="19"/>
      <w:pBdr>
        <w:bottom w:val="none" w:color="auto" w:sz="0" w:space="0"/>
      </w:pBdr>
      <w:jc w:val="lef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abstractNum w:abstractNumId="1">
    <w:nsid w:val="BDCB33BF"/>
    <w:multiLevelType w:val="singleLevel"/>
    <w:tmpl w:val="BDCB33BF"/>
    <w:lvl w:ilvl="0" w:tentative="0">
      <w:start w:val="2"/>
      <w:numFmt w:val="chineseCounting"/>
      <w:suff w:val="space"/>
      <w:lvlText w:val="第%1章"/>
      <w:lvlJc w:val="left"/>
      <w:rPr>
        <w:rFonts w:hint="eastAsia"/>
      </w:rPr>
    </w:lvl>
  </w:abstractNum>
  <w:abstractNum w:abstractNumId="2">
    <w:nsid w:val="DE45CCE5"/>
    <w:multiLevelType w:val="singleLevel"/>
    <w:tmpl w:val="DE45CCE5"/>
    <w:lvl w:ilvl="0" w:tentative="0">
      <w:start w:val="4"/>
      <w:numFmt w:val="chineseCounting"/>
      <w:suff w:val="space"/>
      <w:lvlText w:val="第%1章"/>
      <w:lvlJc w:val="left"/>
      <w:rPr>
        <w:rFonts w:hint="eastAsia"/>
      </w:rPr>
    </w:lvl>
  </w:abstractNum>
  <w:abstractNum w:abstractNumId="3">
    <w:nsid w:val="5A449AF2"/>
    <w:multiLevelType w:val="singleLevel"/>
    <w:tmpl w:val="5A449AF2"/>
    <w:lvl w:ilvl="0" w:tentative="0">
      <w:start w:val="5"/>
      <w:numFmt w:val="chineseCounting"/>
      <w:suff w:val="space"/>
      <w:lvlText w:val="第%1章"/>
      <w:lvlJc w:val="left"/>
      <w:pPr>
        <w:ind w:left="2269" w:firstLine="0"/>
      </w:pPr>
    </w:lvl>
  </w:abstractNum>
  <w:abstractNum w:abstractNumId="4">
    <w:nsid w:val="5F512BB7"/>
    <w:multiLevelType w:val="singleLevel"/>
    <w:tmpl w:val="5F512BB7"/>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49"/>
    <w:rsid w:val="000002F5"/>
    <w:rsid w:val="0000117F"/>
    <w:rsid w:val="0000156B"/>
    <w:rsid w:val="000028BE"/>
    <w:rsid w:val="000028EC"/>
    <w:rsid w:val="00002A97"/>
    <w:rsid w:val="00002DA4"/>
    <w:rsid w:val="00003027"/>
    <w:rsid w:val="00003088"/>
    <w:rsid w:val="000031C3"/>
    <w:rsid w:val="000031D7"/>
    <w:rsid w:val="000036E7"/>
    <w:rsid w:val="00004514"/>
    <w:rsid w:val="00004A55"/>
    <w:rsid w:val="0000636D"/>
    <w:rsid w:val="00007F99"/>
    <w:rsid w:val="00010ED4"/>
    <w:rsid w:val="00010FFC"/>
    <w:rsid w:val="00011027"/>
    <w:rsid w:val="000116FA"/>
    <w:rsid w:val="00013A20"/>
    <w:rsid w:val="0001449D"/>
    <w:rsid w:val="000147F1"/>
    <w:rsid w:val="00014820"/>
    <w:rsid w:val="00014CC9"/>
    <w:rsid w:val="00015056"/>
    <w:rsid w:val="000152FA"/>
    <w:rsid w:val="00015B2A"/>
    <w:rsid w:val="00016090"/>
    <w:rsid w:val="000200C6"/>
    <w:rsid w:val="000202F9"/>
    <w:rsid w:val="000204A0"/>
    <w:rsid w:val="00021746"/>
    <w:rsid w:val="000219EB"/>
    <w:rsid w:val="000220E8"/>
    <w:rsid w:val="00022C63"/>
    <w:rsid w:val="00023F06"/>
    <w:rsid w:val="00024440"/>
    <w:rsid w:val="0002450C"/>
    <w:rsid w:val="00024CC2"/>
    <w:rsid w:val="00024DF0"/>
    <w:rsid w:val="000258D3"/>
    <w:rsid w:val="00025D5C"/>
    <w:rsid w:val="00026F5B"/>
    <w:rsid w:val="00030597"/>
    <w:rsid w:val="0003069E"/>
    <w:rsid w:val="00030AA8"/>
    <w:rsid w:val="00030C9F"/>
    <w:rsid w:val="00030EEF"/>
    <w:rsid w:val="000312D1"/>
    <w:rsid w:val="000313DE"/>
    <w:rsid w:val="00031B06"/>
    <w:rsid w:val="000324EC"/>
    <w:rsid w:val="0003288E"/>
    <w:rsid w:val="00032ACF"/>
    <w:rsid w:val="000331FA"/>
    <w:rsid w:val="000334F1"/>
    <w:rsid w:val="00033C1C"/>
    <w:rsid w:val="000356D3"/>
    <w:rsid w:val="0003578B"/>
    <w:rsid w:val="000361CC"/>
    <w:rsid w:val="00036A72"/>
    <w:rsid w:val="00036DA9"/>
    <w:rsid w:val="000373D3"/>
    <w:rsid w:val="00040F7A"/>
    <w:rsid w:val="00042289"/>
    <w:rsid w:val="00042496"/>
    <w:rsid w:val="000431FB"/>
    <w:rsid w:val="000439F3"/>
    <w:rsid w:val="00043EFA"/>
    <w:rsid w:val="00044136"/>
    <w:rsid w:val="00044698"/>
    <w:rsid w:val="0004708E"/>
    <w:rsid w:val="00050931"/>
    <w:rsid w:val="000513B9"/>
    <w:rsid w:val="00051BB9"/>
    <w:rsid w:val="0005373A"/>
    <w:rsid w:val="00053C54"/>
    <w:rsid w:val="000546F1"/>
    <w:rsid w:val="00054863"/>
    <w:rsid w:val="00054F82"/>
    <w:rsid w:val="00055070"/>
    <w:rsid w:val="000551FD"/>
    <w:rsid w:val="00055247"/>
    <w:rsid w:val="00055409"/>
    <w:rsid w:val="00055707"/>
    <w:rsid w:val="0005657B"/>
    <w:rsid w:val="000570AF"/>
    <w:rsid w:val="00057448"/>
    <w:rsid w:val="00057469"/>
    <w:rsid w:val="00057608"/>
    <w:rsid w:val="00057CA0"/>
    <w:rsid w:val="000608FB"/>
    <w:rsid w:val="00061A6B"/>
    <w:rsid w:val="00062E3C"/>
    <w:rsid w:val="0006369B"/>
    <w:rsid w:val="00063C2E"/>
    <w:rsid w:val="000641D7"/>
    <w:rsid w:val="00064CEA"/>
    <w:rsid w:val="00065F36"/>
    <w:rsid w:val="000668FF"/>
    <w:rsid w:val="00066A7D"/>
    <w:rsid w:val="00070DB9"/>
    <w:rsid w:val="00071225"/>
    <w:rsid w:val="00071783"/>
    <w:rsid w:val="00071DEB"/>
    <w:rsid w:val="00072385"/>
    <w:rsid w:val="00072F3B"/>
    <w:rsid w:val="0007334F"/>
    <w:rsid w:val="0007341E"/>
    <w:rsid w:val="00073831"/>
    <w:rsid w:val="00073F92"/>
    <w:rsid w:val="000746B0"/>
    <w:rsid w:val="00075594"/>
    <w:rsid w:val="00075595"/>
    <w:rsid w:val="00075B49"/>
    <w:rsid w:val="00076186"/>
    <w:rsid w:val="000761AE"/>
    <w:rsid w:val="00076224"/>
    <w:rsid w:val="000764A8"/>
    <w:rsid w:val="00076596"/>
    <w:rsid w:val="00076627"/>
    <w:rsid w:val="0007688C"/>
    <w:rsid w:val="000772DB"/>
    <w:rsid w:val="000810F9"/>
    <w:rsid w:val="00081DB1"/>
    <w:rsid w:val="00082E21"/>
    <w:rsid w:val="000834DD"/>
    <w:rsid w:val="000837E3"/>
    <w:rsid w:val="000842B5"/>
    <w:rsid w:val="00084594"/>
    <w:rsid w:val="000849E8"/>
    <w:rsid w:val="00084DB6"/>
    <w:rsid w:val="000856EA"/>
    <w:rsid w:val="00086EEB"/>
    <w:rsid w:val="00086F14"/>
    <w:rsid w:val="000879FC"/>
    <w:rsid w:val="00087A61"/>
    <w:rsid w:val="00090AD0"/>
    <w:rsid w:val="0009124A"/>
    <w:rsid w:val="000912BF"/>
    <w:rsid w:val="000918A8"/>
    <w:rsid w:val="00093273"/>
    <w:rsid w:val="00093A05"/>
    <w:rsid w:val="00094660"/>
    <w:rsid w:val="00094B1E"/>
    <w:rsid w:val="00094C81"/>
    <w:rsid w:val="000954F9"/>
    <w:rsid w:val="0009585E"/>
    <w:rsid w:val="00095F8B"/>
    <w:rsid w:val="000A0DF5"/>
    <w:rsid w:val="000A1B78"/>
    <w:rsid w:val="000A242F"/>
    <w:rsid w:val="000A25D9"/>
    <w:rsid w:val="000A2B06"/>
    <w:rsid w:val="000A3B81"/>
    <w:rsid w:val="000A4153"/>
    <w:rsid w:val="000A5649"/>
    <w:rsid w:val="000A676F"/>
    <w:rsid w:val="000A6B3C"/>
    <w:rsid w:val="000A70C5"/>
    <w:rsid w:val="000A77A2"/>
    <w:rsid w:val="000A7D0F"/>
    <w:rsid w:val="000B132E"/>
    <w:rsid w:val="000B1524"/>
    <w:rsid w:val="000B2564"/>
    <w:rsid w:val="000B5192"/>
    <w:rsid w:val="000B5588"/>
    <w:rsid w:val="000B5FC7"/>
    <w:rsid w:val="000B68DD"/>
    <w:rsid w:val="000B7F27"/>
    <w:rsid w:val="000C0208"/>
    <w:rsid w:val="000C0BB6"/>
    <w:rsid w:val="000C1581"/>
    <w:rsid w:val="000C1632"/>
    <w:rsid w:val="000C170E"/>
    <w:rsid w:val="000C1D2B"/>
    <w:rsid w:val="000C1EC1"/>
    <w:rsid w:val="000C2B99"/>
    <w:rsid w:val="000C2DF7"/>
    <w:rsid w:val="000C4913"/>
    <w:rsid w:val="000C4F36"/>
    <w:rsid w:val="000C6178"/>
    <w:rsid w:val="000C6A0B"/>
    <w:rsid w:val="000C7040"/>
    <w:rsid w:val="000D0394"/>
    <w:rsid w:val="000D0817"/>
    <w:rsid w:val="000D0E5D"/>
    <w:rsid w:val="000D16C6"/>
    <w:rsid w:val="000D1E56"/>
    <w:rsid w:val="000D23A1"/>
    <w:rsid w:val="000D23B3"/>
    <w:rsid w:val="000D274D"/>
    <w:rsid w:val="000D3384"/>
    <w:rsid w:val="000D343B"/>
    <w:rsid w:val="000D3DF3"/>
    <w:rsid w:val="000D3E58"/>
    <w:rsid w:val="000D3F21"/>
    <w:rsid w:val="000D51B3"/>
    <w:rsid w:val="000D60C8"/>
    <w:rsid w:val="000D65E4"/>
    <w:rsid w:val="000D6631"/>
    <w:rsid w:val="000D70DE"/>
    <w:rsid w:val="000D7A24"/>
    <w:rsid w:val="000D7B54"/>
    <w:rsid w:val="000E081D"/>
    <w:rsid w:val="000E0BE8"/>
    <w:rsid w:val="000E12A3"/>
    <w:rsid w:val="000E1D94"/>
    <w:rsid w:val="000E2600"/>
    <w:rsid w:val="000E2ADE"/>
    <w:rsid w:val="000E32EF"/>
    <w:rsid w:val="000E382F"/>
    <w:rsid w:val="000E3F40"/>
    <w:rsid w:val="000E44B2"/>
    <w:rsid w:val="000E4557"/>
    <w:rsid w:val="000E5E18"/>
    <w:rsid w:val="000E62CA"/>
    <w:rsid w:val="000E6B6D"/>
    <w:rsid w:val="000E79FC"/>
    <w:rsid w:val="000E7DF9"/>
    <w:rsid w:val="000F00B5"/>
    <w:rsid w:val="000F00FE"/>
    <w:rsid w:val="000F09E2"/>
    <w:rsid w:val="000F0B57"/>
    <w:rsid w:val="000F0BD5"/>
    <w:rsid w:val="000F0EB9"/>
    <w:rsid w:val="000F16FB"/>
    <w:rsid w:val="000F18C2"/>
    <w:rsid w:val="000F194B"/>
    <w:rsid w:val="000F1A87"/>
    <w:rsid w:val="000F30E8"/>
    <w:rsid w:val="000F3305"/>
    <w:rsid w:val="000F40EA"/>
    <w:rsid w:val="000F4129"/>
    <w:rsid w:val="000F4D6B"/>
    <w:rsid w:val="000F4F93"/>
    <w:rsid w:val="000F7BFB"/>
    <w:rsid w:val="000F7FF2"/>
    <w:rsid w:val="00100CB5"/>
    <w:rsid w:val="001017AE"/>
    <w:rsid w:val="00101AFC"/>
    <w:rsid w:val="00102A92"/>
    <w:rsid w:val="00102BAA"/>
    <w:rsid w:val="00102F58"/>
    <w:rsid w:val="001049F2"/>
    <w:rsid w:val="00104F2C"/>
    <w:rsid w:val="00106471"/>
    <w:rsid w:val="00107E4F"/>
    <w:rsid w:val="00111F68"/>
    <w:rsid w:val="00112CC6"/>
    <w:rsid w:val="0011367F"/>
    <w:rsid w:val="00113BE8"/>
    <w:rsid w:val="00113E95"/>
    <w:rsid w:val="001142F3"/>
    <w:rsid w:val="001146D3"/>
    <w:rsid w:val="001147F0"/>
    <w:rsid w:val="001155E7"/>
    <w:rsid w:val="001157B3"/>
    <w:rsid w:val="001168B5"/>
    <w:rsid w:val="001168D5"/>
    <w:rsid w:val="001172DF"/>
    <w:rsid w:val="00117FED"/>
    <w:rsid w:val="001205D1"/>
    <w:rsid w:val="001213AE"/>
    <w:rsid w:val="00124527"/>
    <w:rsid w:val="0012476B"/>
    <w:rsid w:val="00124A79"/>
    <w:rsid w:val="00124E98"/>
    <w:rsid w:val="0012608E"/>
    <w:rsid w:val="0012648A"/>
    <w:rsid w:val="001276C9"/>
    <w:rsid w:val="00127A70"/>
    <w:rsid w:val="00127B7B"/>
    <w:rsid w:val="00130161"/>
    <w:rsid w:val="00130205"/>
    <w:rsid w:val="00130A4C"/>
    <w:rsid w:val="0013208A"/>
    <w:rsid w:val="00132249"/>
    <w:rsid w:val="00132AC0"/>
    <w:rsid w:val="00132D13"/>
    <w:rsid w:val="0013353F"/>
    <w:rsid w:val="001347B4"/>
    <w:rsid w:val="00134929"/>
    <w:rsid w:val="0013522E"/>
    <w:rsid w:val="00135599"/>
    <w:rsid w:val="001356D7"/>
    <w:rsid w:val="00136DF8"/>
    <w:rsid w:val="001374DB"/>
    <w:rsid w:val="00140394"/>
    <w:rsid w:val="001408E2"/>
    <w:rsid w:val="00141AD7"/>
    <w:rsid w:val="001425A7"/>
    <w:rsid w:val="0014309A"/>
    <w:rsid w:val="00145C94"/>
    <w:rsid w:val="001460DC"/>
    <w:rsid w:val="001469A5"/>
    <w:rsid w:val="00146F28"/>
    <w:rsid w:val="00147BDA"/>
    <w:rsid w:val="00147BF3"/>
    <w:rsid w:val="00151338"/>
    <w:rsid w:val="00151D4B"/>
    <w:rsid w:val="001523B4"/>
    <w:rsid w:val="00152832"/>
    <w:rsid w:val="00152B97"/>
    <w:rsid w:val="00153D73"/>
    <w:rsid w:val="00155475"/>
    <w:rsid w:val="00155852"/>
    <w:rsid w:val="00155B3F"/>
    <w:rsid w:val="00155C8A"/>
    <w:rsid w:val="00155F25"/>
    <w:rsid w:val="001576B3"/>
    <w:rsid w:val="001578E8"/>
    <w:rsid w:val="00157C75"/>
    <w:rsid w:val="00160C82"/>
    <w:rsid w:val="00160CE1"/>
    <w:rsid w:val="00161F22"/>
    <w:rsid w:val="00163488"/>
    <w:rsid w:val="00163596"/>
    <w:rsid w:val="00163A72"/>
    <w:rsid w:val="00163B7F"/>
    <w:rsid w:val="001645FE"/>
    <w:rsid w:val="0016481E"/>
    <w:rsid w:val="00164844"/>
    <w:rsid w:val="001649D6"/>
    <w:rsid w:val="001650CB"/>
    <w:rsid w:val="001657E1"/>
    <w:rsid w:val="00165A75"/>
    <w:rsid w:val="00165D68"/>
    <w:rsid w:val="00166190"/>
    <w:rsid w:val="00166D05"/>
    <w:rsid w:val="0016719A"/>
    <w:rsid w:val="00167708"/>
    <w:rsid w:val="00167E2D"/>
    <w:rsid w:val="00167E93"/>
    <w:rsid w:val="001705E9"/>
    <w:rsid w:val="0017151E"/>
    <w:rsid w:val="00171693"/>
    <w:rsid w:val="00171BA4"/>
    <w:rsid w:val="001721EB"/>
    <w:rsid w:val="00172228"/>
    <w:rsid w:val="0017265B"/>
    <w:rsid w:val="0017429A"/>
    <w:rsid w:val="00174436"/>
    <w:rsid w:val="0017580B"/>
    <w:rsid w:val="00176350"/>
    <w:rsid w:val="001765ED"/>
    <w:rsid w:val="00176645"/>
    <w:rsid w:val="001768A0"/>
    <w:rsid w:val="001768C3"/>
    <w:rsid w:val="00177111"/>
    <w:rsid w:val="001773FC"/>
    <w:rsid w:val="00177AB8"/>
    <w:rsid w:val="0018224F"/>
    <w:rsid w:val="00182A8F"/>
    <w:rsid w:val="001830AD"/>
    <w:rsid w:val="0018382F"/>
    <w:rsid w:val="001839A8"/>
    <w:rsid w:val="00183A75"/>
    <w:rsid w:val="00185852"/>
    <w:rsid w:val="001859E3"/>
    <w:rsid w:val="00186172"/>
    <w:rsid w:val="00186459"/>
    <w:rsid w:val="001868BB"/>
    <w:rsid w:val="00186BFE"/>
    <w:rsid w:val="001874AC"/>
    <w:rsid w:val="00187742"/>
    <w:rsid w:val="00187833"/>
    <w:rsid w:val="00187C09"/>
    <w:rsid w:val="00187D33"/>
    <w:rsid w:val="001907DB"/>
    <w:rsid w:val="0019260E"/>
    <w:rsid w:val="001937B2"/>
    <w:rsid w:val="00193DBF"/>
    <w:rsid w:val="00193E6B"/>
    <w:rsid w:val="001949DD"/>
    <w:rsid w:val="00194FF3"/>
    <w:rsid w:val="0019681F"/>
    <w:rsid w:val="001968BC"/>
    <w:rsid w:val="00196B53"/>
    <w:rsid w:val="001A05A6"/>
    <w:rsid w:val="001A13EF"/>
    <w:rsid w:val="001A1727"/>
    <w:rsid w:val="001A2143"/>
    <w:rsid w:val="001A376A"/>
    <w:rsid w:val="001A3888"/>
    <w:rsid w:val="001A41EE"/>
    <w:rsid w:val="001A4AE0"/>
    <w:rsid w:val="001A701B"/>
    <w:rsid w:val="001A727B"/>
    <w:rsid w:val="001A72C7"/>
    <w:rsid w:val="001A75A9"/>
    <w:rsid w:val="001B172C"/>
    <w:rsid w:val="001B1B4D"/>
    <w:rsid w:val="001B1E28"/>
    <w:rsid w:val="001B3315"/>
    <w:rsid w:val="001B37E6"/>
    <w:rsid w:val="001B4CD7"/>
    <w:rsid w:val="001B5198"/>
    <w:rsid w:val="001B55CC"/>
    <w:rsid w:val="001B6425"/>
    <w:rsid w:val="001B6618"/>
    <w:rsid w:val="001B697D"/>
    <w:rsid w:val="001B6F3A"/>
    <w:rsid w:val="001B705D"/>
    <w:rsid w:val="001B7113"/>
    <w:rsid w:val="001C0DF4"/>
    <w:rsid w:val="001C128B"/>
    <w:rsid w:val="001C1778"/>
    <w:rsid w:val="001C2430"/>
    <w:rsid w:val="001C2E2A"/>
    <w:rsid w:val="001C394B"/>
    <w:rsid w:val="001C3A97"/>
    <w:rsid w:val="001C3B82"/>
    <w:rsid w:val="001C3D8C"/>
    <w:rsid w:val="001C5436"/>
    <w:rsid w:val="001C5712"/>
    <w:rsid w:val="001C5D90"/>
    <w:rsid w:val="001C5D9F"/>
    <w:rsid w:val="001C5DB9"/>
    <w:rsid w:val="001D0C70"/>
    <w:rsid w:val="001D21F5"/>
    <w:rsid w:val="001D24B5"/>
    <w:rsid w:val="001D63CC"/>
    <w:rsid w:val="001D689A"/>
    <w:rsid w:val="001D6D2E"/>
    <w:rsid w:val="001D7040"/>
    <w:rsid w:val="001D797F"/>
    <w:rsid w:val="001D79BA"/>
    <w:rsid w:val="001E0785"/>
    <w:rsid w:val="001E17F5"/>
    <w:rsid w:val="001E2664"/>
    <w:rsid w:val="001E2D9C"/>
    <w:rsid w:val="001E310D"/>
    <w:rsid w:val="001E34A9"/>
    <w:rsid w:val="001E5786"/>
    <w:rsid w:val="001E5B8F"/>
    <w:rsid w:val="001E64AA"/>
    <w:rsid w:val="001E6652"/>
    <w:rsid w:val="001E6FE4"/>
    <w:rsid w:val="001E777E"/>
    <w:rsid w:val="001F0D19"/>
    <w:rsid w:val="001F1103"/>
    <w:rsid w:val="001F1832"/>
    <w:rsid w:val="001F1D85"/>
    <w:rsid w:val="001F3D8F"/>
    <w:rsid w:val="001F41FF"/>
    <w:rsid w:val="001F57A6"/>
    <w:rsid w:val="001F6077"/>
    <w:rsid w:val="001F62A6"/>
    <w:rsid w:val="001F76CA"/>
    <w:rsid w:val="001F7A75"/>
    <w:rsid w:val="00200842"/>
    <w:rsid w:val="00200D79"/>
    <w:rsid w:val="00201270"/>
    <w:rsid w:val="00201C13"/>
    <w:rsid w:val="00201CB9"/>
    <w:rsid w:val="002026E2"/>
    <w:rsid w:val="00202731"/>
    <w:rsid w:val="00202BAD"/>
    <w:rsid w:val="00204848"/>
    <w:rsid w:val="00204C00"/>
    <w:rsid w:val="00205E19"/>
    <w:rsid w:val="002062DC"/>
    <w:rsid w:val="0020785C"/>
    <w:rsid w:val="00207BA0"/>
    <w:rsid w:val="00210092"/>
    <w:rsid w:val="002100C5"/>
    <w:rsid w:val="00211DE7"/>
    <w:rsid w:val="00211F61"/>
    <w:rsid w:val="00212126"/>
    <w:rsid w:val="00212CB4"/>
    <w:rsid w:val="00212D7E"/>
    <w:rsid w:val="0021329C"/>
    <w:rsid w:val="00214CAE"/>
    <w:rsid w:val="00214F3C"/>
    <w:rsid w:val="002153A9"/>
    <w:rsid w:val="002157B3"/>
    <w:rsid w:val="00215BC2"/>
    <w:rsid w:val="002160E2"/>
    <w:rsid w:val="00216391"/>
    <w:rsid w:val="00217079"/>
    <w:rsid w:val="00217C60"/>
    <w:rsid w:val="00220D8E"/>
    <w:rsid w:val="00221A61"/>
    <w:rsid w:val="002221C3"/>
    <w:rsid w:val="0022288A"/>
    <w:rsid w:val="00223CE9"/>
    <w:rsid w:val="002241DE"/>
    <w:rsid w:val="0022475E"/>
    <w:rsid w:val="002247C9"/>
    <w:rsid w:val="00225256"/>
    <w:rsid w:val="0022561A"/>
    <w:rsid w:val="00230463"/>
    <w:rsid w:val="00230BC2"/>
    <w:rsid w:val="00230DC4"/>
    <w:rsid w:val="00231469"/>
    <w:rsid w:val="002314AA"/>
    <w:rsid w:val="0023184A"/>
    <w:rsid w:val="00233502"/>
    <w:rsid w:val="00233765"/>
    <w:rsid w:val="002344A4"/>
    <w:rsid w:val="002345A1"/>
    <w:rsid w:val="00234D38"/>
    <w:rsid w:val="00235208"/>
    <w:rsid w:val="00236A1F"/>
    <w:rsid w:val="00236C41"/>
    <w:rsid w:val="00236D83"/>
    <w:rsid w:val="00236E1B"/>
    <w:rsid w:val="00237BA3"/>
    <w:rsid w:val="00237BFA"/>
    <w:rsid w:val="00237EBC"/>
    <w:rsid w:val="00240502"/>
    <w:rsid w:val="002405DC"/>
    <w:rsid w:val="00240B66"/>
    <w:rsid w:val="00240DEB"/>
    <w:rsid w:val="002416AA"/>
    <w:rsid w:val="002416B8"/>
    <w:rsid w:val="002418DB"/>
    <w:rsid w:val="002418FF"/>
    <w:rsid w:val="0024271C"/>
    <w:rsid w:val="00242D6D"/>
    <w:rsid w:val="002434F8"/>
    <w:rsid w:val="00243995"/>
    <w:rsid w:val="00244018"/>
    <w:rsid w:val="00244032"/>
    <w:rsid w:val="0024499E"/>
    <w:rsid w:val="00244CB0"/>
    <w:rsid w:val="0024569E"/>
    <w:rsid w:val="0024571C"/>
    <w:rsid w:val="00245DAE"/>
    <w:rsid w:val="00246256"/>
    <w:rsid w:val="002469D7"/>
    <w:rsid w:val="00246A39"/>
    <w:rsid w:val="00246BEA"/>
    <w:rsid w:val="00247738"/>
    <w:rsid w:val="00247D7C"/>
    <w:rsid w:val="002509D1"/>
    <w:rsid w:val="00250CA3"/>
    <w:rsid w:val="0025191A"/>
    <w:rsid w:val="00251EC3"/>
    <w:rsid w:val="002521A7"/>
    <w:rsid w:val="00252907"/>
    <w:rsid w:val="00252AA7"/>
    <w:rsid w:val="00253344"/>
    <w:rsid w:val="0025385C"/>
    <w:rsid w:val="00253DD0"/>
    <w:rsid w:val="00254739"/>
    <w:rsid w:val="00254AFD"/>
    <w:rsid w:val="002552F3"/>
    <w:rsid w:val="002567CE"/>
    <w:rsid w:val="00257213"/>
    <w:rsid w:val="00257FE5"/>
    <w:rsid w:val="0026033E"/>
    <w:rsid w:val="00260CE0"/>
    <w:rsid w:val="00261153"/>
    <w:rsid w:val="002622DA"/>
    <w:rsid w:val="00262C06"/>
    <w:rsid w:val="00263175"/>
    <w:rsid w:val="00263528"/>
    <w:rsid w:val="00263980"/>
    <w:rsid w:val="00263D6A"/>
    <w:rsid w:val="00263FD0"/>
    <w:rsid w:val="002642DB"/>
    <w:rsid w:val="00264402"/>
    <w:rsid w:val="002648BA"/>
    <w:rsid w:val="00264E42"/>
    <w:rsid w:val="00265063"/>
    <w:rsid w:val="00265502"/>
    <w:rsid w:val="00265633"/>
    <w:rsid w:val="00266096"/>
    <w:rsid w:val="002661EF"/>
    <w:rsid w:val="002665E0"/>
    <w:rsid w:val="00267AA8"/>
    <w:rsid w:val="002700AD"/>
    <w:rsid w:val="002708C3"/>
    <w:rsid w:val="002709A5"/>
    <w:rsid w:val="00271532"/>
    <w:rsid w:val="0027226A"/>
    <w:rsid w:val="0027398B"/>
    <w:rsid w:val="002749EC"/>
    <w:rsid w:val="002759EE"/>
    <w:rsid w:val="00275A95"/>
    <w:rsid w:val="00276B09"/>
    <w:rsid w:val="00276C40"/>
    <w:rsid w:val="0027714F"/>
    <w:rsid w:val="0028007B"/>
    <w:rsid w:val="00280091"/>
    <w:rsid w:val="00280371"/>
    <w:rsid w:val="00280531"/>
    <w:rsid w:val="00280ABF"/>
    <w:rsid w:val="002815D5"/>
    <w:rsid w:val="00281805"/>
    <w:rsid w:val="002829F9"/>
    <w:rsid w:val="00282F9B"/>
    <w:rsid w:val="0028434E"/>
    <w:rsid w:val="002847E2"/>
    <w:rsid w:val="00284CAB"/>
    <w:rsid w:val="00284ECB"/>
    <w:rsid w:val="0028536A"/>
    <w:rsid w:val="00285FE6"/>
    <w:rsid w:val="0028668C"/>
    <w:rsid w:val="00286BAF"/>
    <w:rsid w:val="00286D60"/>
    <w:rsid w:val="00286E4B"/>
    <w:rsid w:val="00287016"/>
    <w:rsid w:val="002906D0"/>
    <w:rsid w:val="00290ADE"/>
    <w:rsid w:val="00290C2A"/>
    <w:rsid w:val="00290D50"/>
    <w:rsid w:val="00290E2E"/>
    <w:rsid w:val="0029267A"/>
    <w:rsid w:val="00292BDF"/>
    <w:rsid w:val="002932EB"/>
    <w:rsid w:val="00293814"/>
    <w:rsid w:val="00294D9E"/>
    <w:rsid w:val="00295CE9"/>
    <w:rsid w:val="00296460"/>
    <w:rsid w:val="00297FF5"/>
    <w:rsid w:val="002A0898"/>
    <w:rsid w:val="002A0A9A"/>
    <w:rsid w:val="002A1068"/>
    <w:rsid w:val="002A1BB0"/>
    <w:rsid w:val="002A22BA"/>
    <w:rsid w:val="002A33C6"/>
    <w:rsid w:val="002A3A47"/>
    <w:rsid w:val="002A3C9C"/>
    <w:rsid w:val="002A4FA2"/>
    <w:rsid w:val="002A5036"/>
    <w:rsid w:val="002A5971"/>
    <w:rsid w:val="002A5A90"/>
    <w:rsid w:val="002A75E6"/>
    <w:rsid w:val="002A791F"/>
    <w:rsid w:val="002A7B9D"/>
    <w:rsid w:val="002B13F0"/>
    <w:rsid w:val="002B18E7"/>
    <w:rsid w:val="002B2682"/>
    <w:rsid w:val="002B2844"/>
    <w:rsid w:val="002B2C54"/>
    <w:rsid w:val="002B30AF"/>
    <w:rsid w:val="002B3190"/>
    <w:rsid w:val="002B349B"/>
    <w:rsid w:val="002B372A"/>
    <w:rsid w:val="002B4855"/>
    <w:rsid w:val="002B52A8"/>
    <w:rsid w:val="002B54A9"/>
    <w:rsid w:val="002B56FD"/>
    <w:rsid w:val="002B6503"/>
    <w:rsid w:val="002C07C8"/>
    <w:rsid w:val="002C08DD"/>
    <w:rsid w:val="002C0B1F"/>
    <w:rsid w:val="002C1885"/>
    <w:rsid w:val="002C1D03"/>
    <w:rsid w:val="002C2664"/>
    <w:rsid w:val="002C316C"/>
    <w:rsid w:val="002C3620"/>
    <w:rsid w:val="002C451E"/>
    <w:rsid w:val="002C45FC"/>
    <w:rsid w:val="002C5315"/>
    <w:rsid w:val="002C5F49"/>
    <w:rsid w:val="002C75A6"/>
    <w:rsid w:val="002C766E"/>
    <w:rsid w:val="002C77BA"/>
    <w:rsid w:val="002C78BD"/>
    <w:rsid w:val="002C7928"/>
    <w:rsid w:val="002D1F35"/>
    <w:rsid w:val="002D279A"/>
    <w:rsid w:val="002D2CBD"/>
    <w:rsid w:val="002D3B33"/>
    <w:rsid w:val="002D3E97"/>
    <w:rsid w:val="002D5B4A"/>
    <w:rsid w:val="002D5B5C"/>
    <w:rsid w:val="002D5B8E"/>
    <w:rsid w:val="002D673F"/>
    <w:rsid w:val="002D7103"/>
    <w:rsid w:val="002D7909"/>
    <w:rsid w:val="002E008B"/>
    <w:rsid w:val="002E0FC3"/>
    <w:rsid w:val="002E1304"/>
    <w:rsid w:val="002E197F"/>
    <w:rsid w:val="002E2138"/>
    <w:rsid w:val="002E23C6"/>
    <w:rsid w:val="002E294E"/>
    <w:rsid w:val="002E2D81"/>
    <w:rsid w:val="002E3EA3"/>
    <w:rsid w:val="002E6404"/>
    <w:rsid w:val="002F0748"/>
    <w:rsid w:val="002F0832"/>
    <w:rsid w:val="002F08B2"/>
    <w:rsid w:val="002F0930"/>
    <w:rsid w:val="002F0A60"/>
    <w:rsid w:val="002F2050"/>
    <w:rsid w:val="002F2B3D"/>
    <w:rsid w:val="002F3EC3"/>
    <w:rsid w:val="002F3F12"/>
    <w:rsid w:val="002F3FBC"/>
    <w:rsid w:val="002F543E"/>
    <w:rsid w:val="002F5545"/>
    <w:rsid w:val="002F5698"/>
    <w:rsid w:val="002F5CB6"/>
    <w:rsid w:val="002F5F7A"/>
    <w:rsid w:val="002F64FD"/>
    <w:rsid w:val="002F71DE"/>
    <w:rsid w:val="002F7674"/>
    <w:rsid w:val="002F7BEF"/>
    <w:rsid w:val="003018AF"/>
    <w:rsid w:val="0030308E"/>
    <w:rsid w:val="00303674"/>
    <w:rsid w:val="00304693"/>
    <w:rsid w:val="003049B4"/>
    <w:rsid w:val="00305C87"/>
    <w:rsid w:val="00305D32"/>
    <w:rsid w:val="00306D39"/>
    <w:rsid w:val="0030759E"/>
    <w:rsid w:val="0030766A"/>
    <w:rsid w:val="00310EB8"/>
    <w:rsid w:val="003110F6"/>
    <w:rsid w:val="0031220C"/>
    <w:rsid w:val="00312936"/>
    <w:rsid w:val="00312B12"/>
    <w:rsid w:val="00312C46"/>
    <w:rsid w:val="00313F8E"/>
    <w:rsid w:val="003142CD"/>
    <w:rsid w:val="00314833"/>
    <w:rsid w:val="0031486E"/>
    <w:rsid w:val="00314F62"/>
    <w:rsid w:val="00316012"/>
    <w:rsid w:val="00317AD1"/>
    <w:rsid w:val="00317DD3"/>
    <w:rsid w:val="00317F46"/>
    <w:rsid w:val="003204EC"/>
    <w:rsid w:val="003214B6"/>
    <w:rsid w:val="00321EE6"/>
    <w:rsid w:val="00322337"/>
    <w:rsid w:val="00323252"/>
    <w:rsid w:val="00323B86"/>
    <w:rsid w:val="003247CC"/>
    <w:rsid w:val="00325505"/>
    <w:rsid w:val="003258CA"/>
    <w:rsid w:val="003260C2"/>
    <w:rsid w:val="0032674B"/>
    <w:rsid w:val="00327492"/>
    <w:rsid w:val="00327F68"/>
    <w:rsid w:val="0033042B"/>
    <w:rsid w:val="003315A7"/>
    <w:rsid w:val="00331BA5"/>
    <w:rsid w:val="003325BF"/>
    <w:rsid w:val="00332967"/>
    <w:rsid w:val="00334812"/>
    <w:rsid w:val="00334D60"/>
    <w:rsid w:val="00335618"/>
    <w:rsid w:val="00335869"/>
    <w:rsid w:val="00336490"/>
    <w:rsid w:val="00336E26"/>
    <w:rsid w:val="00336F98"/>
    <w:rsid w:val="003404E0"/>
    <w:rsid w:val="00340A0F"/>
    <w:rsid w:val="00340C60"/>
    <w:rsid w:val="00341920"/>
    <w:rsid w:val="00341E1B"/>
    <w:rsid w:val="0034231F"/>
    <w:rsid w:val="00342B03"/>
    <w:rsid w:val="00342B11"/>
    <w:rsid w:val="00343528"/>
    <w:rsid w:val="00344175"/>
    <w:rsid w:val="00345387"/>
    <w:rsid w:val="003462BA"/>
    <w:rsid w:val="003471A7"/>
    <w:rsid w:val="00347550"/>
    <w:rsid w:val="0034781D"/>
    <w:rsid w:val="00350897"/>
    <w:rsid w:val="00350B9F"/>
    <w:rsid w:val="00350D96"/>
    <w:rsid w:val="00351049"/>
    <w:rsid w:val="003524CD"/>
    <w:rsid w:val="00352544"/>
    <w:rsid w:val="0035284E"/>
    <w:rsid w:val="00354B73"/>
    <w:rsid w:val="0035612F"/>
    <w:rsid w:val="003562D1"/>
    <w:rsid w:val="003568C6"/>
    <w:rsid w:val="0035694E"/>
    <w:rsid w:val="00356EF5"/>
    <w:rsid w:val="0035781A"/>
    <w:rsid w:val="00357D04"/>
    <w:rsid w:val="003610DD"/>
    <w:rsid w:val="00361170"/>
    <w:rsid w:val="00361802"/>
    <w:rsid w:val="00362AB8"/>
    <w:rsid w:val="003635A4"/>
    <w:rsid w:val="00363AFC"/>
    <w:rsid w:val="00365211"/>
    <w:rsid w:val="00365822"/>
    <w:rsid w:val="00366422"/>
    <w:rsid w:val="0036644A"/>
    <w:rsid w:val="00366CFA"/>
    <w:rsid w:val="0036777D"/>
    <w:rsid w:val="0037164F"/>
    <w:rsid w:val="00372820"/>
    <w:rsid w:val="0037490C"/>
    <w:rsid w:val="00375050"/>
    <w:rsid w:val="0037550A"/>
    <w:rsid w:val="003756C3"/>
    <w:rsid w:val="0037576C"/>
    <w:rsid w:val="00375FB4"/>
    <w:rsid w:val="00376163"/>
    <w:rsid w:val="003765B0"/>
    <w:rsid w:val="003765B9"/>
    <w:rsid w:val="003769E2"/>
    <w:rsid w:val="0038006C"/>
    <w:rsid w:val="003815A9"/>
    <w:rsid w:val="00381882"/>
    <w:rsid w:val="00381986"/>
    <w:rsid w:val="00381B79"/>
    <w:rsid w:val="00382623"/>
    <w:rsid w:val="00382A50"/>
    <w:rsid w:val="0038354B"/>
    <w:rsid w:val="00383DDD"/>
    <w:rsid w:val="003841CA"/>
    <w:rsid w:val="0038422E"/>
    <w:rsid w:val="003842AB"/>
    <w:rsid w:val="003849A4"/>
    <w:rsid w:val="00387E5B"/>
    <w:rsid w:val="00390205"/>
    <w:rsid w:val="00390335"/>
    <w:rsid w:val="003904AF"/>
    <w:rsid w:val="003904E1"/>
    <w:rsid w:val="00390AD6"/>
    <w:rsid w:val="00390D50"/>
    <w:rsid w:val="003911C4"/>
    <w:rsid w:val="0039191A"/>
    <w:rsid w:val="003919C6"/>
    <w:rsid w:val="00392261"/>
    <w:rsid w:val="00392BDB"/>
    <w:rsid w:val="00392ECD"/>
    <w:rsid w:val="003932DE"/>
    <w:rsid w:val="00393656"/>
    <w:rsid w:val="00394297"/>
    <w:rsid w:val="0039529F"/>
    <w:rsid w:val="00395807"/>
    <w:rsid w:val="003971A1"/>
    <w:rsid w:val="00397C1B"/>
    <w:rsid w:val="003A0303"/>
    <w:rsid w:val="003A121B"/>
    <w:rsid w:val="003A12DD"/>
    <w:rsid w:val="003A14A5"/>
    <w:rsid w:val="003A2654"/>
    <w:rsid w:val="003A3689"/>
    <w:rsid w:val="003A543F"/>
    <w:rsid w:val="003A5C40"/>
    <w:rsid w:val="003A5E3C"/>
    <w:rsid w:val="003A5E60"/>
    <w:rsid w:val="003A6913"/>
    <w:rsid w:val="003A6FF6"/>
    <w:rsid w:val="003A71D3"/>
    <w:rsid w:val="003A71D5"/>
    <w:rsid w:val="003A7656"/>
    <w:rsid w:val="003A7C76"/>
    <w:rsid w:val="003B0D93"/>
    <w:rsid w:val="003B136D"/>
    <w:rsid w:val="003B20C6"/>
    <w:rsid w:val="003B25FE"/>
    <w:rsid w:val="003B3747"/>
    <w:rsid w:val="003B3E2E"/>
    <w:rsid w:val="003B40E3"/>
    <w:rsid w:val="003B4663"/>
    <w:rsid w:val="003B51C1"/>
    <w:rsid w:val="003B534E"/>
    <w:rsid w:val="003B53C2"/>
    <w:rsid w:val="003B5538"/>
    <w:rsid w:val="003B563D"/>
    <w:rsid w:val="003B59AB"/>
    <w:rsid w:val="003B5A2D"/>
    <w:rsid w:val="003B5B65"/>
    <w:rsid w:val="003B605E"/>
    <w:rsid w:val="003B6887"/>
    <w:rsid w:val="003B74A9"/>
    <w:rsid w:val="003B7FD7"/>
    <w:rsid w:val="003C011E"/>
    <w:rsid w:val="003C05EC"/>
    <w:rsid w:val="003C05F7"/>
    <w:rsid w:val="003C0B45"/>
    <w:rsid w:val="003C1A00"/>
    <w:rsid w:val="003C1F2F"/>
    <w:rsid w:val="003C1FD3"/>
    <w:rsid w:val="003C28DC"/>
    <w:rsid w:val="003C2960"/>
    <w:rsid w:val="003C41C9"/>
    <w:rsid w:val="003C41ED"/>
    <w:rsid w:val="003C4AAD"/>
    <w:rsid w:val="003C5301"/>
    <w:rsid w:val="003C5D81"/>
    <w:rsid w:val="003C6819"/>
    <w:rsid w:val="003C6F1D"/>
    <w:rsid w:val="003D0004"/>
    <w:rsid w:val="003D05B7"/>
    <w:rsid w:val="003D0E97"/>
    <w:rsid w:val="003D10D6"/>
    <w:rsid w:val="003D234F"/>
    <w:rsid w:val="003D37C5"/>
    <w:rsid w:val="003D39FE"/>
    <w:rsid w:val="003D4371"/>
    <w:rsid w:val="003D4E31"/>
    <w:rsid w:val="003D549D"/>
    <w:rsid w:val="003D573C"/>
    <w:rsid w:val="003D5E0C"/>
    <w:rsid w:val="003D70CD"/>
    <w:rsid w:val="003D7D99"/>
    <w:rsid w:val="003D7F1E"/>
    <w:rsid w:val="003E00C2"/>
    <w:rsid w:val="003E11B0"/>
    <w:rsid w:val="003E2C30"/>
    <w:rsid w:val="003E2EE7"/>
    <w:rsid w:val="003E3152"/>
    <w:rsid w:val="003E3C8A"/>
    <w:rsid w:val="003E4873"/>
    <w:rsid w:val="003E49EA"/>
    <w:rsid w:val="003E4A29"/>
    <w:rsid w:val="003E4E33"/>
    <w:rsid w:val="003E569F"/>
    <w:rsid w:val="003E6492"/>
    <w:rsid w:val="003E7168"/>
    <w:rsid w:val="003E780F"/>
    <w:rsid w:val="003E7E4E"/>
    <w:rsid w:val="003F0A0A"/>
    <w:rsid w:val="003F0D15"/>
    <w:rsid w:val="003F102A"/>
    <w:rsid w:val="003F193E"/>
    <w:rsid w:val="003F2BAB"/>
    <w:rsid w:val="003F2CA1"/>
    <w:rsid w:val="003F38A9"/>
    <w:rsid w:val="003F4154"/>
    <w:rsid w:val="003F4394"/>
    <w:rsid w:val="003F47F6"/>
    <w:rsid w:val="003F4C92"/>
    <w:rsid w:val="003F5096"/>
    <w:rsid w:val="003F5515"/>
    <w:rsid w:val="003F6F10"/>
    <w:rsid w:val="003F7764"/>
    <w:rsid w:val="00400581"/>
    <w:rsid w:val="004006FF"/>
    <w:rsid w:val="00401C07"/>
    <w:rsid w:val="00401E3F"/>
    <w:rsid w:val="00402E26"/>
    <w:rsid w:val="00402F0B"/>
    <w:rsid w:val="00403834"/>
    <w:rsid w:val="00403993"/>
    <w:rsid w:val="0040405D"/>
    <w:rsid w:val="004047FB"/>
    <w:rsid w:val="0040503D"/>
    <w:rsid w:val="00405D87"/>
    <w:rsid w:val="00407DD8"/>
    <w:rsid w:val="004103F9"/>
    <w:rsid w:val="00410506"/>
    <w:rsid w:val="00410B06"/>
    <w:rsid w:val="00410D25"/>
    <w:rsid w:val="004118B7"/>
    <w:rsid w:val="00412462"/>
    <w:rsid w:val="004126BA"/>
    <w:rsid w:val="00412987"/>
    <w:rsid w:val="0041326A"/>
    <w:rsid w:val="004147A7"/>
    <w:rsid w:val="00414CCF"/>
    <w:rsid w:val="004151DF"/>
    <w:rsid w:val="00415203"/>
    <w:rsid w:val="00415481"/>
    <w:rsid w:val="004167CC"/>
    <w:rsid w:val="00416C33"/>
    <w:rsid w:val="004177E1"/>
    <w:rsid w:val="004179B1"/>
    <w:rsid w:val="00420F50"/>
    <w:rsid w:val="00420FAE"/>
    <w:rsid w:val="00421B77"/>
    <w:rsid w:val="00421C82"/>
    <w:rsid w:val="004230D5"/>
    <w:rsid w:val="004242D1"/>
    <w:rsid w:val="00424431"/>
    <w:rsid w:val="00425255"/>
    <w:rsid w:val="00425D07"/>
    <w:rsid w:val="00426841"/>
    <w:rsid w:val="00427228"/>
    <w:rsid w:val="004279CF"/>
    <w:rsid w:val="00430097"/>
    <w:rsid w:val="0043017F"/>
    <w:rsid w:val="004306B5"/>
    <w:rsid w:val="0043174F"/>
    <w:rsid w:val="00431A7D"/>
    <w:rsid w:val="00431B0E"/>
    <w:rsid w:val="00432564"/>
    <w:rsid w:val="004326EA"/>
    <w:rsid w:val="00432B24"/>
    <w:rsid w:val="00432E68"/>
    <w:rsid w:val="00433466"/>
    <w:rsid w:val="00433A44"/>
    <w:rsid w:val="004347F7"/>
    <w:rsid w:val="00434DFE"/>
    <w:rsid w:val="00435461"/>
    <w:rsid w:val="004363E6"/>
    <w:rsid w:val="00436D91"/>
    <w:rsid w:val="00437362"/>
    <w:rsid w:val="00437DDC"/>
    <w:rsid w:val="00440BF1"/>
    <w:rsid w:val="00440CE8"/>
    <w:rsid w:val="004411F7"/>
    <w:rsid w:val="0044195F"/>
    <w:rsid w:val="00443841"/>
    <w:rsid w:val="00444FD4"/>
    <w:rsid w:val="00445591"/>
    <w:rsid w:val="004459CD"/>
    <w:rsid w:val="004507B6"/>
    <w:rsid w:val="00450E05"/>
    <w:rsid w:val="00451B9A"/>
    <w:rsid w:val="00451DD6"/>
    <w:rsid w:val="0045258E"/>
    <w:rsid w:val="00452AD1"/>
    <w:rsid w:val="00453E5D"/>
    <w:rsid w:val="00454DE8"/>
    <w:rsid w:val="004567D9"/>
    <w:rsid w:val="0045687F"/>
    <w:rsid w:val="00456A1A"/>
    <w:rsid w:val="00461917"/>
    <w:rsid w:val="00461D13"/>
    <w:rsid w:val="00462F7F"/>
    <w:rsid w:val="00463A09"/>
    <w:rsid w:val="00463F36"/>
    <w:rsid w:val="004640E2"/>
    <w:rsid w:val="0046444E"/>
    <w:rsid w:val="00464773"/>
    <w:rsid w:val="00464AE2"/>
    <w:rsid w:val="0046714C"/>
    <w:rsid w:val="00467F5A"/>
    <w:rsid w:val="0047114C"/>
    <w:rsid w:val="00471311"/>
    <w:rsid w:val="00471648"/>
    <w:rsid w:val="0047190C"/>
    <w:rsid w:val="0047199D"/>
    <w:rsid w:val="00471F76"/>
    <w:rsid w:val="00472339"/>
    <w:rsid w:val="0047234D"/>
    <w:rsid w:val="00472BF3"/>
    <w:rsid w:val="00472BFA"/>
    <w:rsid w:val="00472C7A"/>
    <w:rsid w:val="00472D32"/>
    <w:rsid w:val="00472E20"/>
    <w:rsid w:val="004735A4"/>
    <w:rsid w:val="0047394C"/>
    <w:rsid w:val="004739C3"/>
    <w:rsid w:val="004739FB"/>
    <w:rsid w:val="00473B2F"/>
    <w:rsid w:val="0047496A"/>
    <w:rsid w:val="00474FE2"/>
    <w:rsid w:val="004755FF"/>
    <w:rsid w:val="00475BFA"/>
    <w:rsid w:val="00481DCB"/>
    <w:rsid w:val="0048237D"/>
    <w:rsid w:val="00482C7C"/>
    <w:rsid w:val="00482F58"/>
    <w:rsid w:val="00483145"/>
    <w:rsid w:val="0048665F"/>
    <w:rsid w:val="004867D7"/>
    <w:rsid w:val="00486C4E"/>
    <w:rsid w:val="004872E9"/>
    <w:rsid w:val="00487617"/>
    <w:rsid w:val="004878D8"/>
    <w:rsid w:val="0049042A"/>
    <w:rsid w:val="0049215F"/>
    <w:rsid w:val="004921CD"/>
    <w:rsid w:val="004927F5"/>
    <w:rsid w:val="0049296F"/>
    <w:rsid w:val="00492C92"/>
    <w:rsid w:val="00492F39"/>
    <w:rsid w:val="00493F86"/>
    <w:rsid w:val="00494348"/>
    <w:rsid w:val="00494804"/>
    <w:rsid w:val="00495AC8"/>
    <w:rsid w:val="00496C41"/>
    <w:rsid w:val="00496F1B"/>
    <w:rsid w:val="00497100"/>
    <w:rsid w:val="0049750D"/>
    <w:rsid w:val="0049797C"/>
    <w:rsid w:val="00497E84"/>
    <w:rsid w:val="004A0763"/>
    <w:rsid w:val="004A07C2"/>
    <w:rsid w:val="004A08B9"/>
    <w:rsid w:val="004A0BE6"/>
    <w:rsid w:val="004A0DC4"/>
    <w:rsid w:val="004A1069"/>
    <w:rsid w:val="004A1708"/>
    <w:rsid w:val="004A1774"/>
    <w:rsid w:val="004A188F"/>
    <w:rsid w:val="004A22F4"/>
    <w:rsid w:val="004A23C6"/>
    <w:rsid w:val="004A3978"/>
    <w:rsid w:val="004A4012"/>
    <w:rsid w:val="004A47DA"/>
    <w:rsid w:val="004A566D"/>
    <w:rsid w:val="004A65EB"/>
    <w:rsid w:val="004A66C8"/>
    <w:rsid w:val="004A67AF"/>
    <w:rsid w:val="004A7894"/>
    <w:rsid w:val="004B0AE7"/>
    <w:rsid w:val="004B0C04"/>
    <w:rsid w:val="004B1F45"/>
    <w:rsid w:val="004B2175"/>
    <w:rsid w:val="004B2E6A"/>
    <w:rsid w:val="004B4112"/>
    <w:rsid w:val="004B44CE"/>
    <w:rsid w:val="004B4B11"/>
    <w:rsid w:val="004B5E18"/>
    <w:rsid w:val="004B7DFA"/>
    <w:rsid w:val="004C0004"/>
    <w:rsid w:val="004C0BDA"/>
    <w:rsid w:val="004C2718"/>
    <w:rsid w:val="004C2E1A"/>
    <w:rsid w:val="004C320B"/>
    <w:rsid w:val="004C48CD"/>
    <w:rsid w:val="004C4CC5"/>
    <w:rsid w:val="004C55B5"/>
    <w:rsid w:val="004C5E2A"/>
    <w:rsid w:val="004C5E72"/>
    <w:rsid w:val="004D11C0"/>
    <w:rsid w:val="004D2146"/>
    <w:rsid w:val="004D354C"/>
    <w:rsid w:val="004D36E8"/>
    <w:rsid w:val="004D3857"/>
    <w:rsid w:val="004D39B2"/>
    <w:rsid w:val="004D4413"/>
    <w:rsid w:val="004D4D4B"/>
    <w:rsid w:val="004D5E91"/>
    <w:rsid w:val="004D75A1"/>
    <w:rsid w:val="004D77A5"/>
    <w:rsid w:val="004D79F5"/>
    <w:rsid w:val="004E0A7D"/>
    <w:rsid w:val="004E110B"/>
    <w:rsid w:val="004E1193"/>
    <w:rsid w:val="004E2858"/>
    <w:rsid w:val="004E2957"/>
    <w:rsid w:val="004E37B8"/>
    <w:rsid w:val="004E46B5"/>
    <w:rsid w:val="004E579F"/>
    <w:rsid w:val="004E66F4"/>
    <w:rsid w:val="004E6C27"/>
    <w:rsid w:val="004E70DC"/>
    <w:rsid w:val="004E713F"/>
    <w:rsid w:val="004E7954"/>
    <w:rsid w:val="004F003A"/>
    <w:rsid w:val="004F04CB"/>
    <w:rsid w:val="004F0739"/>
    <w:rsid w:val="004F09FF"/>
    <w:rsid w:val="004F15CD"/>
    <w:rsid w:val="004F3FC7"/>
    <w:rsid w:val="004F42A5"/>
    <w:rsid w:val="004F464C"/>
    <w:rsid w:val="004F4AA8"/>
    <w:rsid w:val="004F5181"/>
    <w:rsid w:val="004F5268"/>
    <w:rsid w:val="004F5B7E"/>
    <w:rsid w:val="004F65E4"/>
    <w:rsid w:val="004F6A21"/>
    <w:rsid w:val="004F6EEC"/>
    <w:rsid w:val="004F70C9"/>
    <w:rsid w:val="004F769A"/>
    <w:rsid w:val="005004E2"/>
    <w:rsid w:val="005014E5"/>
    <w:rsid w:val="00501B7F"/>
    <w:rsid w:val="00502700"/>
    <w:rsid w:val="0050287B"/>
    <w:rsid w:val="005036BF"/>
    <w:rsid w:val="00503AE9"/>
    <w:rsid w:val="00505465"/>
    <w:rsid w:val="00506008"/>
    <w:rsid w:val="00506A5C"/>
    <w:rsid w:val="00506B07"/>
    <w:rsid w:val="00506D20"/>
    <w:rsid w:val="00506F32"/>
    <w:rsid w:val="00507186"/>
    <w:rsid w:val="005076CC"/>
    <w:rsid w:val="005076D8"/>
    <w:rsid w:val="00507F52"/>
    <w:rsid w:val="0051058D"/>
    <w:rsid w:val="00510817"/>
    <w:rsid w:val="00511804"/>
    <w:rsid w:val="00511BD0"/>
    <w:rsid w:val="0051257A"/>
    <w:rsid w:val="005136F0"/>
    <w:rsid w:val="00514960"/>
    <w:rsid w:val="00514E70"/>
    <w:rsid w:val="00514E85"/>
    <w:rsid w:val="00515B8B"/>
    <w:rsid w:val="00515E09"/>
    <w:rsid w:val="00517011"/>
    <w:rsid w:val="00517826"/>
    <w:rsid w:val="00520221"/>
    <w:rsid w:val="0052045A"/>
    <w:rsid w:val="005204E4"/>
    <w:rsid w:val="00520A81"/>
    <w:rsid w:val="00520C16"/>
    <w:rsid w:val="00522054"/>
    <w:rsid w:val="00522548"/>
    <w:rsid w:val="00523495"/>
    <w:rsid w:val="00523A3B"/>
    <w:rsid w:val="00523FF2"/>
    <w:rsid w:val="0052493D"/>
    <w:rsid w:val="00525020"/>
    <w:rsid w:val="00525715"/>
    <w:rsid w:val="00526231"/>
    <w:rsid w:val="0052696B"/>
    <w:rsid w:val="00526B71"/>
    <w:rsid w:val="005275ED"/>
    <w:rsid w:val="0052791D"/>
    <w:rsid w:val="005301BA"/>
    <w:rsid w:val="0053098B"/>
    <w:rsid w:val="005321AB"/>
    <w:rsid w:val="00532ADE"/>
    <w:rsid w:val="0053345A"/>
    <w:rsid w:val="00533565"/>
    <w:rsid w:val="00533651"/>
    <w:rsid w:val="00533ABF"/>
    <w:rsid w:val="00533DA7"/>
    <w:rsid w:val="005347A8"/>
    <w:rsid w:val="005349CF"/>
    <w:rsid w:val="00534A14"/>
    <w:rsid w:val="00534B02"/>
    <w:rsid w:val="00534B40"/>
    <w:rsid w:val="005353D7"/>
    <w:rsid w:val="005358C5"/>
    <w:rsid w:val="00535C55"/>
    <w:rsid w:val="00535D80"/>
    <w:rsid w:val="005366A7"/>
    <w:rsid w:val="00536B6E"/>
    <w:rsid w:val="005378C0"/>
    <w:rsid w:val="00537BDD"/>
    <w:rsid w:val="00537FFB"/>
    <w:rsid w:val="00540CC2"/>
    <w:rsid w:val="0054124D"/>
    <w:rsid w:val="00541538"/>
    <w:rsid w:val="00541D78"/>
    <w:rsid w:val="005421AD"/>
    <w:rsid w:val="00542935"/>
    <w:rsid w:val="00542C84"/>
    <w:rsid w:val="00542F7C"/>
    <w:rsid w:val="00543ADF"/>
    <w:rsid w:val="00543EBD"/>
    <w:rsid w:val="00544433"/>
    <w:rsid w:val="0054461E"/>
    <w:rsid w:val="005449B2"/>
    <w:rsid w:val="0054500C"/>
    <w:rsid w:val="00545793"/>
    <w:rsid w:val="00545E2D"/>
    <w:rsid w:val="00546F45"/>
    <w:rsid w:val="005503C2"/>
    <w:rsid w:val="00550A8E"/>
    <w:rsid w:val="00551097"/>
    <w:rsid w:val="005516A7"/>
    <w:rsid w:val="0055186F"/>
    <w:rsid w:val="00551964"/>
    <w:rsid w:val="00551CEB"/>
    <w:rsid w:val="00551D3F"/>
    <w:rsid w:val="00552887"/>
    <w:rsid w:val="00553470"/>
    <w:rsid w:val="00553780"/>
    <w:rsid w:val="005541F3"/>
    <w:rsid w:val="00554CAE"/>
    <w:rsid w:val="00555BCD"/>
    <w:rsid w:val="005566C2"/>
    <w:rsid w:val="00557EBD"/>
    <w:rsid w:val="005601CF"/>
    <w:rsid w:val="00560FEB"/>
    <w:rsid w:val="0056117C"/>
    <w:rsid w:val="00562430"/>
    <w:rsid w:val="00563313"/>
    <w:rsid w:val="0056387F"/>
    <w:rsid w:val="00564007"/>
    <w:rsid w:val="00564409"/>
    <w:rsid w:val="00564647"/>
    <w:rsid w:val="00564A58"/>
    <w:rsid w:val="00564E63"/>
    <w:rsid w:val="0056505E"/>
    <w:rsid w:val="0056553A"/>
    <w:rsid w:val="00565768"/>
    <w:rsid w:val="005659FA"/>
    <w:rsid w:val="005672F3"/>
    <w:rsid w:val="00567C2D"/>
    <w:rsid w:val="005708F1"/>
    <w:rsid w:val="0057109F"/>
    <w:rsid w:val="005711C7"/>
    <w:rsid w:val="00572D10"/>
    <w:rsid w:val="00573279"/>
    <w:rsid w:val="005735C6"/>
    <w:rsid w:val="005754EE"/>
    <w:rsid w:val="0057591B"/>
    <w:rsid w:val="00576148"/>
    <w:rsid w:val="005763C1"/>
    <w:rsid w:val="0057679D"/>
    <w:rsid w:val="00576E06"/>
    <w:rsid w:val="0058000E"/>
    <w:rsid w:val="00581A1C"/>
    <w:rsid w:val="00582AF1"/>
    <w:rsid w:val="00583095"/>
    <w:rsid w:val="005845C8"/>
    <w:rsid w:val="00584BB8"/>
    <w:rsid w:val="00585178"/>
    <w:rsid w:val="005851FE"/>
    <w:rsid w:val="0058635F"/>
    <w:rsid w:val="0058668C"/>
    <w:rsid w:val="0058744D"/>
    <w:rsid w:val="00587B86"/>
    <w:rsid w:val="00587E68"/>
    <w:rsid w:val="00590EBE"/>
    <w:rsid w:val="0059277E"/>
    <w:rsid w:val="0059297E"/>
    <w:rsid w:val="00592C18"/>
    <w:rsid w:val="00594173"/>
    <w:rsid w:val="00594394"/>
    <w:rsid w:val="00594A74"/>
    <w:rsid w:val="00594B1A"/>
    <w:rsid w:val="005961EC"/>
    <w:rsid w:val="005962E0"/>
    <w:rsid w:val="00596342"/>
    <w:rsid w:val="00596935"/>
    <w:rsid w:val="005A08F0"/>
    <w:rsid w:val="005A15C4"/>
    <w:rsid w:val="005A1D8E"/>
    <w:rsid w:val="005A28BE"/>
    <w:rsid w:val="005A2D56"/>
    <w:rsid w:val="005A3FDC"/>
    <w:rsid w:val="005A518E"/>
    <w:rsid w:val="005A5337"/>
    <w:rsid w:val="005A6E86"/>
    <w:rsid w:val="005A7224"/>
    <w:rsid w:val="005A7F85"/>
    <w:rsid w:val="005A7FCF"/>
    <w:rsid w:val="005B02D4"/>
    <w:rsid w:val="005B1083"/>
    <w:rsid w:val="005B1B0B"/>
    <w:rsid w:val="005B1BCC"/>
    <w:rsid w:val="005B1DC3"/>
    <w:rsid w:val="005B2069"/>
    <w:rsid w:val="005B282B"/>
    <w:rsid w:val="005B45ED"/>
    <w:rsid w:val="005B52F0"/>
    <w:rsid w:val="005B5A74"/>
    <w:rsid w:val="005B6CF4"/>
    <w:rsid w:val="005B72EF"/>
    <w:rsid w:val="005B741F"/>
    <w:rsid w:val="005B7C06"/>
    <w:rsid w:val="005C0137"/>
    <w:rsid w:val="005C06DE"/>
    <w:rsid w:val="005C1371"/>
    <w:rsid w:val="005C1ED9"/>
    <w:rsid w:val="005C272E"/>
    <w:rsid w:val="005C27BD"/>
    <w:rsid w:val="005C38E5"/>
    <w:rsid w:val="005C3C48"/>
    <w:rsid w:val="005C3C99"/>
    <w:rsid w:val="005C3EB0"/>
    <w:rsid w:val="005C46AF"/>
    <w:rsid w:val="005C5484"/>
    <w:rsid w:val="005C5F0D"/>
    <w:rsid w:val="005C610F"/>
    <w:rsid w:val="005C6560"/>
    <w:rsid w:val="005C7108"/>
    <w:rsid w:val="005C7C68"/>
    <w:rsid w:val="005D0180"/>
    <w:rsid w:val="005D0DB0"/>
    <w:rsid w:val="005D3532"/>
    <w:rsid w:val="005D3701"/>
    <w:rsid w:val="005D3BA8"/>
    <w:rsid w:val="005D4576"/>
    <w:rsid w:val="005D5603"/>
    <w:rsid w:val="005D6CAF"/>
    <w:rsid w:val="005D79C3"/>
    <w:rsid w:val="005D7B89"/>
    <w:rsid w:val="005E0647"/>
    <w:rsid w:val="005E2D2F"/>
    <w:rsid w:val="005E3409"/>
    <w:rsid w:val="005E34BD"/>
    <w:rsid w:val="005E3866"/>
    <w:rsid w:val="005E3F08"/>
    <w:rsid w:val="005E4160"/>
    <w:rsid w:val="005E441B"/>
    <w:rsid w:val="005E4704"/>
    <w:rsid w:val="005E4FB1"/>
    <w:rsid w:val="005E5B4E"/>
    <w:rsid w:val="005E62B8"/>
    <w:rsid w:val="005E6CF4"/>
    <w:rsid w:val="005F033E"/>
    <w:rsid w:val="005F06BA"/>
    <w:rsid w:val="005F3E6A"/>
    <w:rsid w:val="005F3F3C"/>
    <w:rsid w:val="005F4245"/>
    <w:rsid w:val="005F4BBE"/>
    <w:rsid w:val="005F7004"/>
    <w:rsid w:val="006009D7"/>
    <w:rsid w:val="00600FC2"/>
    <w:rsid w:val="0060170D"/>
    <w:rsid w:val="006019B9"/>
    <w:rsid w:val="00601ABF"/>
    <w:rsid w:val="00602536"/>
    <w:rsid w:val="00602620"/>
    <w:rsid w:val="00602E5E"/>
    <w:rsid w:val="00603441"/>
    <w:rsid w:val="00603443"/>
    <w:rsid w:val="00603CAA"/>
    <w:rsid w:val="00603F7B"/>
    <w:rsid w:val="00603FB4"/>
    <w:rsid w:val="006063E2"/>
    <w:rsid w:val="00607924"/>
    <w:rsid w:val="00607E8B"/>
    <w:rsid w:val="0061093D"/>
    <w:rsid w:val="00610DA2"/>
    <w:rsid w:val="00611186"/>
    <w:rsid w:val="0061151B"/>
    <w:rsid w:val="006117D5"/>
    <w:rsid w:val="0061190D"/>
    <w:rsid w:val="00611D0C"/>
    <w:rsid w:val="00611D7C"/>
    <w:rsid w:val="00611FC2"/>
    <w:rsid w:val="00612162"/>
    <w:rsid w:val="00613D35"/>
    <w:rsid w:val="006144AA"/>
    <w:rsid w:val="00614E75"/>
    <w:rsid w:val="00614F64"/>
    <w:rsid w:val="006153F8"/>
    <w:rsid w:val="00615BE3"/>
    <w:rsid w:val="00616908"/>
    <w:rsid w:val="00616C64"/>
    <w:rsid w:val="006177BD"/>
    <w:rsid w:val="00620275"/>
    <w:rsid w:val="00620B95"/>
    <w:rsid w:val="0062252B"/>
    <w:rsid w:val="00622C2C"/>
    <w:rsid w:val="00625954"/>
    <w:rsid w:val="006259E5"/>
    <w:rsid w:val="00625ACA"/>
    <w:rsid w:val="00625B37"/>
    <w:rsid w:val="0062600A"/>
    <w:rsid w:val="00626ED7"/>
    <w:rsid w:val="00627C2C"/>
    <w:rsid w:val="00627CA1"/>
    <w:rsid w:val="00627DC4"/>
    <w:rsid w:val="006308EA"/>
    <w:rsid w:val="006309E6"/>
    <w:rsid w:val="00630B9C"/>
    <w:rsid w:val="00630EFF"/>
    <w:rsid w:val="0063194C"/>
    <w:rsid w:val="00631EA2"/>
    <w:rsid w:val="0063231B"/>
    <w:rsid w:val="0063249E"/>
    <w:rsid w:val="00632D57"/>
    <w:rsid w:val="00632D9D"/>
    <w:rsid w:val="00632DD5"/>
    <w:rsid w:val="0063391B"/>
    <w:rsid w:val="00633C31"/>
    <w:rsid w:val="00636E46"/>
    <w:rsid w:val="00637679"/>
    <w:rsid w:val="006379C9"/>
    <w:rsid w:val="006410C3"/>
    <w:rsid w:val="00641105"/>
    <w:rsid w:val="00641A62"/>
    <w:rsid w:val="00642247"/>
    <w:rsid w:val="00642A06"/>
    <w:rsid w:val="00642CA4"/>
    <w:rsid w:val="00642E29"/>
    <w:rsid w:val="006430E7"/>
    <w:rsid w:val="00643121"/>
    <w:rsid w:val="006436E9"/>
    <w:rsid w:val="006446AD"/>
    <w:rsid w:val="00645A38"/>
    <w:rsid w:val="00646B6C"/>
    <w:rsid w:val="006470B8"/>
    <w:rsid w:val="00647D99"/>
    <w:rsid w:val="00650144"/>
    <w:rsid w:val="00650B4A"/>
    <w:rsid w:val="00650CDA"/>
    <w:rsid w:val="006510A7"/>
    <w:rsid w:val="00651D2F"/>
    <w:rsid w:val="00652928"/>
    <w:rsid w:val="00652B6B"/>
    <w:rsid w:val="00652C0F"/>
    <w:rsid w:val="00652DB2"/>
    <w:rsid w:val="00652E03"/>
    <w:rsid w:val="006530BB"/>
    <w:rsid w:val="006538AC"/>
    <w:rsid w:val="006546EC"/>
    <w:rsid w:val="0065480D"/>
    <w:rsid w:val="0065488D"/>
    <w:rsid w:val="006549DA"/>
    <w:rsid w:val="00655058"/>
    <w:rsid w:val="006550F0"/>
    <w:rsid w:val="00655C55"/>
    <w:rsid w:val="00655FBF"/>
    <w:rsid w:val="0065605F"/>
    <w:rsid w:val="00656E7A"/>
    <w:rsid w:val="0065711D"/>
    <w:rsid w:val="0066037C"/>
    <w:rsid w:val="00660F18"/>
    <w:rsid w:val="00660F7F"/>
    <w:rsid w:val="00661D75"/>
    <w:rsid w:val="00663A64"/>
    <w:rsid w:val="00664788"/>
    <w:rsid w:val="006648F0"/>
    <w:rsid w:val="00664AC0"/>
    <w:rsid w:val="0066502B"/>
    <w:rsid w:val="00665250"/>
    <w:rsid w:val="0066653D"/>
    <w:rsid w:val="00666786"/>
    <w:rsid w:val="006679F7"/>
    <w:rsid w:val="00670922"/>
    <w:rsid w:val="006709B9"/>
    <w:rsid w:val="006712B4"/>
    <w:rsid w:val="00671CE5"/>
    <w:rsid w:val="00675033"/>
    <w:rsid w:val="006769C7"/>
    <w:rsid w:val="0067796D"/>
    <w:rsid w:val="00680BA8"/>
    <w:rsid w:val="00681C70"/>
    <w:rsid w:val="00682775"/>
    <w:rsid w:val="0068420B"/>
    <w:rsid w:val="00684BA6"/>
    <w:rsid w:val="0068526B"/>
    <w:rsid w:val="00685328"/>
    <w:rsid w:val="00686572"/>
    <w:rsid w:val="0068662D"/>
    <w:rsid w:val="006907C2"/>
    <w:rsid w:val="006907EB"/>
    <w:rsid w:val="006913B5"/>
    <w:rsid w:val="00691DB2"/>
    <w:rsid w:val="00692AE7"/>
    <w:rsid w:val="00692BA6"/>
    <w:rsid w:val="006937D3"/>
    <w:rsid w:val="00693AC6"/>
    <w:rsid w:val="0069405D"/>
    <w:rsid w:val="00694ECB"/>
    <w:rsid w:val="006970BD"/>
    <w:rsid w:val="00697A46"/>
    <w:rsid w:val="00697DB3"/>
    <w:rsid w:val="006A11AF"/>
    <w:rsid w:val="006A1322"/>
    <w:rsid w:val="006A14B3"/>
    <w:rsid w:val="006A15D3"/>
    <w:rsid w:val="006A19C6"/>
    <w:rsid w:val="006A26E4"/>
    <w:rsid w:val="006A2E59"/>
    <w:rsid w:val="006A4279"/>
    <w:rsid w:val="006A447F"/>
    <w:rsid w:val="006A458C"/>
    <w:rsid w:val="006A484C"/>
    <w:rsid w:val="006A4F6B"/>
    <w:rsid w:val="006A4FF6"/>
    <w:rsid w:val="006A5334"/>
    <w:rsid w:val="006A60B4"/>
    <w:rsid w:val="006A6301"/>
    <w:rsid w:val="006A6A08"/>
    <w:rsid w:val="006A7172"/>
    <w:rsid w:val="006A7C8D"/>
    <w:rsid w:val="006B1693"/>
    <w:rsid w:val="006B16C9"/>
    <w:rsid w:val="006B25F3"/>
    <w:rsid w:val="006B2A06"/>
    <w:rsid w:val="006B2C42"/>
    <w:rsid w:val="006B3983"/>
    <w:rsid w:val="006B4382"/>
    <w:rsid w:val="006B5911"/>
    <w:rsid w:val="006B5CCE"/>
    <w:rsid w:val="006B60D3"/>
    <w:rsid w:val="006B76C0"/>
    <w:rsid w:val="006B7C17"/>
    <w:rsid w:val="006C08D2"/>
    <w:rsid w:val="006C18EF"/>
    <w:rsid w:val="006C2277"/>
    <w:rsid w:val="006C267A"/>
    <w:rsid w:val="006C3249"/>
    <w:rsid w:val="006C3EB5"/>
    <w:rsid w:val="006C44F9"/>
    <w:rsid w:val="006C5205"/>
    <w:rsid w:val="006C54F8"/>
    <w:rsid w:val="006C55AE"/>
    <w:rsid w:val="006C560D"/>
    <w:rsid w:val="006C5BA9"/>
    <w:rsid w:val="006C63D8"/>
    <w:rsid w:val="006C68BF"/>
    <w:rsid w:val="006C73A8"/>
    <w:rsid w:val="006C783C"/>
    <w:rsid w:val="006D06AF"/>
    <w:rsid w:val="006D10BD"/>
    <w:rsid w:val="006D13E1"/>
    <w:rsid w:val="006D1AAB"/>
    <w:rsid w:val="006D263F"/>
    <w:rsid w:val="006D29A1"/>
    <w:rsid w:val="006D4B38"/>
    <w:rsid w:val="006D507A"/>
    <w:rsid w:val="006D5EEF"/>
    <w:rsid w:val="006D6742"/>
    <w:rsid w:val="006D7C86"/>
    <w:rsid w:val="006E1649"/>
    <w:rsid w:val="006E1804"/>
    <w:rsid w:val="006E185F"/>
    <w:rsid w:val="006E1966"/>
    <w:rsid w:val="006E2193"/>
    <w:rsid w:val="006E2387"/>
    <w:rsid w:val="006E295F"/>
    <w:rsid w:val="006E2CE6"/>
    <w:rsid w:val="006E338C"/>
    <w:rsid w:val="006E33C2"/>
    <w:rsid w:val="006E414F"/>
    <w:rsid w:val="006E457A"/>
    <w:rsid w:val="006E4741"/>
    <w:rsid w:val="006E47BB"/>
    <w:rsid w:val="006E5B88"/>
    <w:rsid w:val="006E5D06"/>
    <w:rsid w:val="006E5EDC"/>
    <w:rsid w:val="006E61C5"/>
    <w:rsid w:val="006E654E"/>
    <w:rsid w:val="006E6D6E"/>
    <w:rsid w:val="006E75B7"/>
    <w:rsid w:val="006E76F0"/>
    <w:rsid w:val="006E7D70"/>
    <w:rsid w:val="006F0282"/>
    <w:rsid w:val="006F04B8"/>
    <w:rsid w:val="006F0872"/>
    <w:rsid w:val="006F097D"/>
    <w:rsid w:val="006F4222"/>
    <w:rsid w:val="006F42B6"/>
    <w:rsid w:val="006F4758"/>
    <w:rsid w:val="006F47C1"/>
    <w:rsid w:val="006F4BAE"/>
    <w:rsid w:val="006F4FD7"/>
    <w:rsid w:val="006F55FE"/>
    <w:rsid w:val="006F5666"/>
    <w:rsid w:val="006F658E"/>
    <w:rsid w:val="006F761D"/>
    <w:rsid w:val="00700162"/>
    <w:rsid w:val="00700330"/>
    <w:rsid w:val="00700C85"/>
    <w:rsid w:val="007010C7"/>
    <w:rsid w:val="00701103"/>
    <w:rsid w:val="00701549"/>
    <w:rsid w:val="0070197A"/>
    <w:rsid w:val="00701EC5"/>
    <w:rsid w:val="00701F0E"/>
    <w:rsid w:val="00702CE7"/>
    <w:rsid w:val="00703764"/>
    <w:rsid w:val="007038BB"/>
    <w:rsid w:val="007046FE"/>
    <w:rsid w:val="00704D5D"/>
    <w:rsid w:val="00704FA5"/>
    <w:rsid w:val="007054C0"/>
    <w:rsid w:val="0070699A"/>
    <w:rsid w:val="00706D0F"/>
    <w:rsid w:val="00710470"/>
    <w:rsid w:val="007108CA"/>
    <w:rsid w:val="0071100F"/>
    <w:rsid w:val="007113BD"/>
    <w:rsid w:val="0071200C"/>
    <w:rsid w:val="00712B85"/>
    <w:rsid w:val="0071411C"/>
    <w:rsid w:val="00714B99"/>
    <w:rsid w:val="00715BCC"/>
    <w:rsid w:val="00715F5D"/>
    <w:rsid w:val="0071767A"/>
    <w:rsid w:val="00721001"/>
    <w:rsid w:val="007218A9"/>
    <w:rsid w:val="007229F3"/>
    <w:rsid w:val="00723901"/>
    <w:rsid w:val="00723AD9"/>
    <w:rsid w:val="00723B4E"/>
    <w:rsid w:val="00723F9E"/>
    <w:rsid w:val="007249FE"/>
    <w:rsid w:val="00725374"/>
    <w:rsid w:val="007302A2"/>
    <w:rsid w:val="007302D5"/>
    <w:rsid w:val="00731FCE"/>
    <w:rsid w:val="007331C2"/>
    <w:rsid w:val="007340BF"/>
    <w:rsid w:val="00735274"/>
    <w:rsid w:val="0073579E"/>
    <w:rsid w:val="00735D10"/>
    <w:rsid w:val="0073626D"/>
    <w:rsid w:val="00736583"/>
    <w:rsid w:val="007367BC"/>
    <w:rsid w:val="00736C3D"/>
    <w:rsid w:val="00736FDF"/>
    <w:rsid w:val="007401CF"/>
    <w:rsid w:val="00740416"/>
    <w:rsid w:val="00741F18"/>
    <w:rsid w:val="0074249A"/>
    <w:rsid w:val="00742B7A"/>
    <w:rsid w:val="00743203"/>
    <w:rsid w:val="00743DF5"/>
    <w:rsid w:val="00745CF1"/>
    <w:rsid w:val="00746180"/>
    <w:rsid w:val="0074720E"/>
    <w:rsid w:val="0074771B"/>
    <w:rsid w:val="0074777D"/>
    <w:rsid w:val="00747B13"/>
    <w:rsid w:val="007506C6"/>
    <w:rsid w:val="00750D6C"/>
    <w:rsid w:val="00750E89"/>
    <w:rsid w:val="00751805"/>
    <w:rsid w:val="00752399"/>
    <w:rsid w:val="0075248D"/>
    <w:rsid w:val="00752AAD"/>
    <w:rsid w:val="007530B0"/>
    <w:rsid w:val="007537DB"/>
    <w:rsid w:val="007539FF"/>
    <w:rsid w:val="007540D5"/>
    <w:rsid w:val="00754E43"/>
    <w:rsid w:val="007552EA"/>
    <w:rsid w:val="00755778"/>
    <w:rsid w:val="007559F1"/>
    <w:rsid w:val="00755AE0"/>
    <w:rsid w:val="00757A17"/>
    <w:rsid w:val="00757D89"/>
    <w:rsid w:val="00760620"/>
    <w:rsid w:val="00760B29"/>
    <w:rsid w:val="00760E6A"/>
    <w:rsid w:val="00760FF5"/>
    <w:rsid w:val="0076143D"/>
    <w:rsid w:val="00761462"/>
    <w:rsid w:val="00761A3B"/>
    <w:rsid w:val="00762222"/>
    <w:rsid w:val="0076272D"/>
    <w:rsid w:val="007630A1"/>
    <w:rsid w:val="0076423B"/>
    <w:rsid w:val="0076508E"/>
    <w:rsid w:val="00765F1C"/>
    <w:rsid w:val="007667A6"/>
    <w:rsid w:val="00767934"/>
    <w:rsid w:val="0077046F"/>
    <w:rsid w:val="0077191D"/>
    <w:rsid w:val="007723AC"/>
    <w:rsid w:val="007726C1"/>
    <w:rsid w:val="0077302F"/>
    <w:rsid w:val="007739BC"/>
    <w:rsid w:val="00773A7C"/>
    <w:rsid w:val="00773B69"/>
    <w:rsid w:val="00773C00"/>
    <w:rsid w:val="00774AAB"/>
    <w:rsid w:val="00774E69"/>
    <w:rsid w:val="00774FF7"/>
    <w:rsid w:val="007755CD"/>
    <w:rsid w:val="007763F9"/>
    <w:rsid w:val="007775D3"/>
    <w:rsid w:val="00782862"/>
    <w:rsid w:val="00782AF7"/>
    <w:rsid w:val="00783A16"/>
    <w:rsid w:val="00783B97"/>
    <w:rsid w:val="00784205"/>
    <w:rsid w:val="00784429"/>
    <w:rsid w:val="007847F1"/>
    <w:rsid w:val="0078512C"/>
    <w:rsid w:val="00785CB8"/>
    <w:rsid w:val="00786F09"/>
    <w:rsid w:val="007872FF"/>
    <w:rsid w:val="00787943"/>
    <w:rsid w:val="00787E9C"/>
    <w:rsid w:val="0079042B"/>
    <w:rsid w:val="00790510"/>
    <w:rsid w:val="007907D2"/>
    <w:rsid w:val="00790BD5"/>
    <w:rsid w:val="00790DB5"/>
    <w:rsid w:val="00790EED"/>
    <w:rsid w:val="007924BE"/>
    <w:rsid w:val="0079384C"/>
    <w:rsid w:val="00794221"/>
    <w:rsid w:val="00794A50"/>
    <w:rsid w:val="00795715"/>
    <w:rsid w:val="00795ECA"/>
    <w:rsid w:val="00795F3B"/>
    <w:rsid w:val="00796518"/>
    <w:rsid w:val="00797559"/>
    <w:rsid w:val="007977D8"/>
    <w:rsid w:val="00797915"/>
    <w:rsid w:val="00797919"/>
    <w:rsid w:val="00797DB9"/>
    <w:rsid w:val="007A0079"/>
    <w:rsid w:val="007A0283"/>
    <w:rsid w:val="007A1580"/>
    <w:rsid w:val="007A270A"/>
    <w:rsid w:val="007A2E19"/>
    <w:rsid w:val="007A5192"/>
    <w:rsid w:val="007A5321"/>
    <w:rsid w:val="007A5D72"/>
    <w:rsid w:val="007A7346"/>
    <w:rsid w:val="007B02B0"/>
    <w:rsid w:val="007B06B2"/>
    <w:rsid w:val="007B0C8A"/>
    <w:rsid w:val="007B18B5"/>
    <w:rsid w:val="007B20E5"/>
    <w:rsid w:val="007B2509"/>
    <w:rsid w:val="007B28F5"/>
    <w:rsid w:val="007B44BE"/>
    <w:rsid w:val="007B4CC3"/>
    <w:rsid w:val="007B56FB"/>
    <w:rsid w:val="007B5767"/>
    <w:rsid w:val="007B5AE2"/>
    <w:rsid w:val="007B5C0D"/>
    <w:rsid w:val="007B6280"/>
    <w:rsid w:val="007B6B92"/>
    <w:rsid w:val="007B6CEC"/>
    <w:rsid w:val="007B6E03"/>
    <w:rsid w:val="007B7534"/>
    <w:rsid w:val="007C0F6C"/>
    <w:rsid w:val="007C0FAB"/>
    <w:rsid w:val="007C17B7"/>
    <w:rsid w:val="007C1851"/>
    <w:rsid w:val="007C1C87"/>
    <w:rsid w:val="007C1FD9"/>
    <w:rsid w:val="007C20B2"/>
    <w:rsid w:val="007C21EB"/>
    <w:rsid w:val="007C2493"/>
    <w:rsid w:val="007C2CDF"/>
    <w:rsid w:val="007C354B"/>
    <w:rsid w:val="007C3675"/>
    <w:rsid w:val="007C3B41"/>
    <w:rsid w:val="007C41C4"/>
    <w:rsid w:val="007C41D1"/>
    <w:rsid w:val="007C43A8"/>
    <w:rsid w:val="007C477B"/>
    <w:rsid w:val="007C50DC"/>
    <w:rsid w:val="007C6366"/>
    <w:rsid w:val="007C64F0"/>
    <w:rsid w:val="007C6AE8"/>
    <w:rsid w:val="007C6C72"/>
    <w:rsid w:val="007C6C89"/>
    <w:rsid w:val="007C796C"/>
    <w:rsid w:val="007C7B9A"/>
    <w:rsid w:val="007D01FB"/>
    <w:rsid w:val="007D0C8C"/>
    <w:rsid w:val="007D0C8E"/>
    <w:rsid w:val="007D0E1A"/>
    <w:rsid w:val="007D1209"/>
    <w:rsid w:val="007D136F"/>
    <w:rsid w:val="007D13B0"/>
    <w:rsid w:val="007D184E"/>
    <w:rsid w:val="007D188F"/>
    <w:rsid w:val="007D1A0F"/>
    <w:rsid w:val="007D2799"/>
    <w:rsid w:val="007D3022"/>
    <w:rsid w:val="007D3319"/>
    <w:rsid w:val="007D3782"/>
    <w:rsid w:val="007D4EF5"/>
    <w:rsid w:val="007D57EB"/>
    <w:rsid w:val="007D5922"/>
    <w:rsid w:val="007D6174"/>
    <w:rsid w:val="007D6FA9"/>
    <w:rsid w:val="007E0641"/>
    <w:rsid w:val="007E1594"/>
    <w:rsid w:val="007E15A2"/>
    <w:rsid w:val="007E252D"/>
    <w:rsid w:val="007E274E"/>
    <w:rsid w:val="007E29D0"/>
    <w:rsid w:val="007E2F23"/>
    <w:rsid w:val="007E2F51"/>
    <w:rsid w:val="007E2FC9"/>
    <w:rsid w:val="007E2FEC"/>
    <w:rsid w:val="007E304B"/>
    <w:rsid w:val="007E33D0"/>
    <w:rsid w:val="007E5AE4"/>
    <w:rsid w:val="007E75A1"/>
    <w:rsid w:val="007E77B3"/>
    <w:rsid w:val="007E7857"/>
    <w:rsid w:val="007E7CC5"/>
    <w:rsid w:val="007F04C2"/>
    <w:rsid w:val="007F05E3"/>
    <w:rsid w:val="007F10B3"/>
    <w:rsid w:val="007F1AEF"/>
    <w:rsid w:val="007F1BCC"/>
    <w:rsid w:val="007F212F"/>
    <w:rsid w:val="007F2B0C"/>
    <w:rsid w:val="007F3476"/>
    <w:rsid w:val="007F36F8"/>
    <w:rsid w:val="007F3890"/>
    <w:rsid w:val="007F3A4D"/>
    <w:rsid w:val="007F3B36"/>
    <w:rsid w:val="007F43FD"/>
    <w:rsid w:val="007F49AC"/>
    <w:rsid w:val="007F60A5"/>
    <w:rsid w:val="007F6D61"/>
    <w:rsid w:val="007F7625"/>
    <w:rsid w:val="00800923"/>
    <w:rsid w:val="00800FC6"/>
    <w:rsid w:val="0080277D"/>
    <w:rsid w:val="008029B0"/>
    <w:rsid w:val="00802DCC"/>
    <w:rsid w:val="00803941"/>
    <w:rsid w:val="00803F0E"/>
    <w:rsid w:val="0080467B"/>
    <w:rsid w:val="0080497D"/>
    <w:rsid w:val="008072F6"/>
    <w:rsid w:val="0081101C"/>
    <w:rsid w:val="008111EE"/>
    <w:rsid w:val="00811228"/>
    <w:rsid w:val="00811ADD"/>
    <w:rsid w:val="00812148"/>
    <w:rsid w:val="0081245B"/>
    <w:rsid w:val="0081260A"/>
    <w:rsid w:val="00812B83"/>
    <w:rsid w:val="00812B93"/>
    <w:rsid w:val="00812CA4"/>
    <w:rsid w:val="00812FFC"/>
    <w:rsid w:val="008130EE"/>
    <w:rsid w:val="00813548"/>
    <w:rsid w:val="00813D1C"/>
    <w:rsid w:val="0081447D"/>
    <w:rsid w:val="00814BCD"/>
    <w:rsid w:val="00814EF1"/>
    <w:rsid w:val="00816296"/>
    <w:rsid w:val="008163F4"/>
    <w:rsid w:val="00816CAA"/>
    <w:rsid w:val="00816EC0"/>
    <w:rsid w:val="008173CC"/>
    <w:rsid w:val="00817D78"/>
    <w:rsid w:val="008216FB"/>
    <w:rsid w:val="00822776"/>
    <w:rsid w:val="008227A0"/>
    <w:rsid w:val="00822F59"/>
    <w:rsid w:val="008238DA"/>
    <w:rsid w:val="008239D8"/>
    <w:rsid w:val="00823C95"/>
    <w:rsid w:val="00823DC3"/>
    <w:rsid w:val="00823FDB"/>
    <w:rsid w:val="0082446C"/>
    <w:rsid w:val="008250C2"/>
    <w:rsid w:val="00825B52"/>
    <w:rsid w:val="00825EF9"/>
    <w:rsid w:val="00827FE1"/>
    <w:rsid w:val="00830799"/>
    <w:rsid w:val="0083128F"/>
    <w:rsid w:val="0083253C"/>
    <w:rsid w:val="008329C2"/>
    <w:rsid w:val="00833386"/>
    <w:rsid w:val="00833FBA"/>
    <w:rsid w:val="008347E8"/>
    <w:rsid w:val="00834B0F"/>
    <w:rsid w:val="00835035"/>
    <w:rsid w:val="0083766E"/>
    <w:rsid w:val="00837DCC"/>
    <w:rsid w:val="00840E9C"/>
    <w:rsid w:val="0084129F"/>
    <w:rsid w:val="008421BD"/>
    <w:rsid w:val="0084259B"/>
    <w:rsid w:val="00842A83"/>
    <w:rsid w:val="00843A1B"/>
    <w:rsid w:val="00843B23"/>
    <w:rsid w:val="00844445"/>
    <w:rsid w:val="00845CD0"/>
    <w:rsid w:val="00846243"/>
    <w:rsid w:val="0084642B"/>
    <w:rsid w:val="00846E46"/>
    <w:rsid w:val="0084753A"/>
    <w:rsid w:val="00847AE8"/>
    <w:rsid w:val="00847BC8"/>
    <w:rsid w:val="008502FD"/>
    <w:rsid w:val="00850D35"/>
    <w:rsid w:val="008510C7"/>
    <w:rsid w:val="008515F4"/>
    <w:rsid w:val="008518AF"/>
    <w:rsid w:val="0085259E"/>
    <w:rsid w:val="008530BB"/>
    <w:rsid w:val="0085319B"/>
    <w:rsid w:val="00853AB2"/>
    <w:rsid w:val="0085425F"/>
    <w:rsid w:val="00854F7B"/>
    <w:rsid w:val="008552F7"/>
    <w:rsid w:val="0085531E"/>
    <w:rsid w:val="00855BCA"/>
    <w:rsid w:val="00855CE0"/>
    <w:rsid w:val="0085622A"/>
    <w:rsid w:val="008564D5"/>
    <w:rsid w:val="00856506"/>
    <w:rsid w:val="00857621"/>
    <w:rsid w:val="00857CCE"/>
    <w:rsid w:val="00860BA6"/>
    <w:rsid w:val="00862246"/>
    <w:rsid w:val="008623B4"/>
    <w:rsid w:val="00862BE6"/>
    <w:rsid w:val="00862CC4"/>
    <w:rsid w:val="00863A2B"/>
    <w:rsid w:val="00863A94"/>
    <w:rsid w:val="00863AF2"/>
    <w:rsid w:val="00863BC0"/>
    <w:rsid w:val="00863D6F"/>
    <w:rsid w:val="00863EB1"/>
    <w:rsid w:val="00865585"/>
    <w:rsid w:val="00865B46"/>
    <w:rsid w:val="00867BD1"/>
    <w:rsid w:val="00867E8D"/>
    <w:rsid w:val="00871512"/>
    <w:rsid w:val="00871A67"/>
    <w:rsid w:val="00872146"/>
    <w:rsid w:val="0087248A"/>
    <w:rsid w:val="00872810"/>
    <w:rsid w:val="00873AD2"/>
    <w:rsid w:val="00874242"/>
    <w:rsid w:val="00874CA7"/>
    <w:rsid w:val="0087524E"/>
    <w:rsid w:val="00875427"/>
    <w:rsid w:val="008765DB"/>
    <w:rsid w:val="008766B3"/>
    <w:rsid w:val="00880D92"/>
    <w:rsid w:val="00880E72"/>
    <w:rsid w:val="00881FD9"/>
    <w:rsid w:val="008837EB"/>
    <w:rsid w:val="00884057"/>
    <w:rsid w:val="00884068"/>
    <w:rsid w:val="00884B8B"/>
    <w:rsid w:val="00885113"/>
    <w:rsid w:val="00885A2D"/>
    <w:rsid w:val="008866F2"/>
    <w:rsid w:val="00886808"/>
    <w:rsid w:val="008869DC"/>
    <w:rsid w:val="00886F33"/>
    <w:rsid w:val="008875F6"/>
    <w:rsid w:val="008877CD"/>
    <w:rsid w:val="00887A27"/>
    <w:rsid w:val="00890027"/>
    <w:rsid w:val="00891ADA"/>
    <w:rsid w:val="00892561"/>
    <w:rsid w:val="008930D8"/>
    <w:rsid w:val="0089515A"/>
    <w:rsid w:val="00895A53"/>
    <w:rsid w:val="008967F0"/>
    <w:rsid w:val="008A006C"/>
    <w:rsid w:val="008A0DAD"/>
    <w:rsid w:val="008A11B1"/>
    <w:rsid w:val="008A1870"/>
    <w:rsid w:val="008A1916"/>
    <w:rsid w:val="008A1FF1"/>
    <w:rsid w:val="008A2D46"/>
    <w:rsid w:val="008A3BEC"/>
    <w:rsid w:val="008A4D33"/>
    <w:rsid w:val="008A70E7"/>
    <w:rsid w:val="008A7460"/>
    <w:rsid w:val="008B08BD"/>
    <w:rsid w:val="008B1002"/>
    <w:rsid w:val="008B218E"/>
    <w:rsid w:val="008B2E56"/>
    <w:rsid w:val="008B300F"/>
    <w:rsid w:val="008B39F2"/>
    <w:rsid w:val="008B506F"/>
    <w:rsid w:val="008B54B0"/>
    <w:rsid w:val="008B6467"/>
    <w:rsid w:val="008B735D"/>
    <w:rsid w:val="008C0F2C"/>
    <w:rsid w:val="008C1B43"/>
    <w:rsid w:val="008C2240"/>
    <w:rsid w:val="008C42CB"/>
    <w:rsid w:val="008C4E6A"/>
    <w:rsid w:val="008C5B30"/>
    <w:rsid w:val="008C6307"/>
    <w:rsid w:val="008C7313"/>
    <w:rsid w:val="008D07AA"/>
    <w:rsid w:val="008D0CC6"/>
    <w:rsid w:val="008D1049"/>
    <w:rsid w:val="008D11C0"/>
    <w:rsid w:val="008D1709"/>
    <w:rsid w:val="008D2774"/>
    <w:rsid w:val="008D54D4"/>
    <w:rsid w:val="008D5AB4"/>
    <w:rsid w:val="008D68FA"/>
    <w:rsid w:val="008D6F57"/>
    <w:rsid w:val="008D70F0"/>
    <w:rsid w:val="008D7714"/>
    <w:rsid w:val="008E028F"/>
    <w:rsid w:val="008E02B1"/>
    <w:rsid w:val="008E0390"/>
    <w:rsid w:val="008E039D"/>
    <w:rsid w:val="008E07D0"/>
    <w:rsid w:val="008E07F0"/>
    <w:rsid w:val="008E17D4"/>
    <w:rsid w:val="008E3119"/>
    <w:rsid w:val="008E44E2"/>
    <w:rsid w:val="008E4672"/>
    <w:rsid w:val="008E5ABD"/>
    <w:rsid w:val="008E63C6"/>
    <w:rsid w:val="008E6EDC"/>
    <w:rsid w:val="008E7B0F"/>
    <w:rsid w:val="008E7CC7"/>
    <w:rsid w:val="008E7FE4"/>
    <w:rsid w:val="008F1168"/>
    <w:rsid w:val="008F1F9C"/>
    <w:rsid w:val="008F288D"/>
    <w:rsid w:val="008F357D"/>
    <w:rsid w:val="008F591F"/>
    <w:rsid w:val="008F6457"/>
    <w:rsid w:val="008F6A35"/>
    <w:rsid w:val="008F770D"/>
    <w:rsid w:val="008F78CE"/>
    <w:rsid w:val="008F7982"/>
    <w:rsid w:val="008F79A6"/>
    <w:rsid w:val="008F7C8A"/>
    <w:rsid w:val="008F7FD9"/>
    <w:rsid w:val="0090047D"/>
    <w:rsid w:val="009010C5"/>
    <w:rsid w:val="00901511"/>
    <w:rsid w:val="009022C8"/>
    <w:rsid w:val="00902416"/>
    <w:rsid w:val="00902914"/>
    <w:rsid w:val="00902B5F"/>
    <w:rsid w:val="00902C33"/>
    <w:rsid w:val="00903395"/>
    <w:rsid w:val="0090405D"/>
    <w:rsid w:val="00904EFE"/>
    <w:rsid w:val="00904F15"/>
    <w:rsid w:val="00904FA5"/>
    <w:rsid w:val="00905D48"/>
    <w:rsid w:val="0090634A"/>
    <w:rsid w:val="009063B7"/>
    <w:rsid w:val="00906551"/>
    <w:rsid w:val="009078A0"/>
    <w:rsid w:val="00912CAA"/>
    <w:rsid w:val="009131ED"/>
    <w:rsid w:val="009147E0"/>
    <w:rsid w:val="00915317"/>
    <w:rsid w:val="009155C0"/>
    <w:rsid w:val="00915B5B"/>
    <w:rsid w:val="00915DCF"/>
    <w:rsid w:val="009169AD"/>
    <w:rsid w:val="00916FD3"/>
    <w:rsid w:val="0091797C"/>
    <w:rsid w:val="00917A00"/>
    <w:rsid w:val="0092174F"/>
    <w:rsid w:val="009218AE"/>
    <w:rsid w:val="00921B83"/>
    <w:rsid w:val="00921F39"/>
    <w:rsid w:val="00922B9A"/>
    <w:rsid w:val="0092324A"/>
    <w:rsid w:val="00923ACA"/>
    <w:rsid w:val="00923BE5"/>
    <w:rsid w:val="0092435E"/>
    <w:rsid w:val="0092466E"/>
    <w:rsid w:val="00925117"/>
    <w:rsid w:val="00925B50"/>
    <w:rsid w:val="00925C48"/>
    <w:rsid w:val="00926353"/>
    <w:rsid w:val="00926C40"/>
    <w:rsid w:val="009302CE"/>
    <w:rsid w:val="0093051F"/>
    <w:rsid w:val="00930932"/>
    <w:rsid w:val="0093135D"/>
    <w:rsid w:val="0093293F"/>
    <w:rsid w:val="00932BF1"/>
    <w:rsid w:val="00933A4D"/>
    <w:rsid w:val="00933E1A"/>
    <w:rsid w:val="00935022"/>
    <w:rsid w:val="009355F8"/>
    <w:rsid w:val="00935E4F"/>
    <w:rsid w:val="00935E7A"/>
    <w:rsid w:val="0093654A"/>
    <w:rsid w:val="00936876"/>
    <w:rsid w:val="00936C47"/>
    <w:rsid w:val="0093774C"/>
    <w:rsid w:val="0093794E"/>
    <w:rsid w:val="00940AAC"/>
    <w:rsid w:val="00940CC3"/>
    <w:rsid w:val="00941031"/>
    <w:rsid w:val="0094134C"/>
    <w:rsid w:val="00942231"/>
    <w:rsid w:val="009430EE"/>
    <w:rsid w:val="0094350A"/>
    <w:rsid w:val="009436FA"/>
    <w:rsid w:val="00944980"/>
    <w:rsid w:val="00945C1E"/>
    <w:rsid w:val="00946A0E"/>
    <w:rsid w:val="00946A26"/>
    <w:rsid w:val="00946AB8"/>
    <w:rsid w:val="00946ABB"/>
    <w:rsid w:val="009473FE"/>
    <w:rsid w:val="00950532"/>
    <w:rsid w:val="00950FD6"/>
    <w:rsid w:val="009517D4"/>
    <w:rsid w:val="00951F4E"/>
    <w:rsid w:val="0095232B"/>
    <w:rsid w:val="00953BB2"/>
    <w:rsid w:val="00954123"/>
    <w:rsid w:val="00955F5E"/>
    <w:rsid w:val="0095658A"/>
    <w:rsid w:val="009566EE"/>
    <w:rsid w:val="00956A0B"/>
    <w:rsid w:val="00956B03"/>
    <w:rsid w:val="00960555"/>
    <w:rsid w:val="00960D82"/>
    <w:rsid w:val="0096146D"/>
    <w:rsid w:val="00961875"/>
    <w:rsid w:val="009628E1"/>
    <w:rsid w:val="00962C74"/>
    <w:rsid w:val="00963912"/>
    <w:rsid w:val="009653E7"/>
    <w:rsid w:val="0096618D"/>
    <w:rsid w:val="00966D4D"/>
    <w:rsid w:val="00966F8B"/>
    <w:rsid w:val="00967D04"/>
    <w:rsid w:val="009708E0"/>
    <w:rsid w:val="009717E5"/>
    <w:rsid w:val="00972146"/>
    <w:rsid w:val="00972E4E"/>
    <w:rsid w:val="0097417C"/>
    <w:rsid w:val="00974810"/>
    <w:rsid w:val="0097564B"/>
    <w:rsid w:val="00975C9A"/>
    <w:rsid w:val="00976624"/>
    <w:rsid w:val="009770A9"/>
    <w:rsid w:val="009775BB"/>
    <w:rsid w:val="00977D0A"/>
    <w:rsid w:val="00977EFB"/>
    <w:rsid w:val="0098080F"/>
    <w:rsid w:val="00980B81"/>
    <w:rsid w:val="00980EE4"/>
    <w:rsid w:val="009812F3"/>
    <w:rsid w:val="0098141A"/>
    <w:rsid w:val="00981C60"/>
    <w:rsid w:val="00981F08"/>
    <w:rsid w:val="0098267C"/>
    <w:rsid w:val="00982966"/>
    <w:rsid w:val="00983505"/>
    <w:rsid w:val="00983A47"/>
    <w:rsid w:val="00983A5C"/>
    <w:rsid w:val="00983C17"/>
    <w:rsid w:val="00983E56"/>
    <w:rsid w:val="0098405C"/>
    <w:rsid w:val="009851DF"/>
    <w:rsid w:val="00985A43"/>
    <w:rsid w:val="00986B1A"/>
    <w:rsid w:val="00986C45"/>
    <w:rsid w:val="00986CB0"/>
    <w:rsid w:val="009872FE"/>
    <w:rsid w:val="009877FB"/>
    <w:rsid w:val="00987FAF"/>
    <w:rsid w:val="00990651"/>
    <w:rsid w:val="00991129"/>
    <w:rsid w:val="0099260D"/>
    <w:rsid w:val="00993825"/>
    <w:rsid w:val="00993949"/>
    <w:rsid w:val="00993E02"/>
    <w:rsid w:val="00993E6E"/>
    <w:rsid w:val="00995604"/>
    <w:rsid w:val="00997CFE"/>
    <w:rsid w:val="00997FB3"/>
    <w:rsid w:val="009A079D"/>
    <w:rsid w:val="009A0A3C"/>
    <w:rsid w:val="009A0E59"/>
    <w:rsid w:val="009A0F08"/>
    <w:rsid w:val="009A163C"/>
    <w:rsid w:val="009A22AE"/>
    <w:rsid w:val="009A2463"/>
    <w:rsid w:val="009A279E"/>
    <w:rsid w:val="009A2CB0"/>
    <w:rsid w:val="009A3E7F"/>
    <w:rsid w:val="009A3FF7"/>
    <w:rsid w:val="009A481E"/>
    <w:rsid w:val="009A5260"/>
    <w:rsid w:val="009A6636"/>
    <w:rsid w:val="009A6C44"/>
    <w:rsid w:val="009A6D6A"/>
    <w:rsid w:val="009A7A41"/>
    <w:rsid w:val="009A7AD8"/>
    <w:rsid w:val="009B0037"/>
    <w:rsid w:val="009B0577"/>
    <w:rsid w:val="009B07B2"/>
    <w:rsid w:val="009B0E0A"/>
    <w:rsid w:val="009B0F48"/>
    <w:rsid w:val="009B19FB"/>
    <w:rsid w:val="009B38AF"/>
    <w:rsid w:val="009B3AF3"/>
    <w:rsid w:val="009B404A"/>
    <w:rsid w:val="009B41BA"/>
    <w:rsid w:val="009B4867"/>
    <w:rsid w:val="009B496A"/>
    <w:rsid w:val="009B4B60"/>
    <w:rsid w:val="009B529C"/>
    <w:rsid w:val="009B54D9"/>
    <w:rsid w:val="009B562C"/>
    <w:rsid w:val="009B5ECC"/>
    <w:rsid w:val="009B6AD3"/>
    <w:rsid w:val="009B7196"/>
    <w:rsid w:val="009B7374"/>
    <w:rsid w:val="009B7843"/>
    <w:rsid w:val="009C0383"/>
    <w:rsid w:val="009C05FD"/>
    <w:rsid w:val="009C072B"/>
    <w:rsid w:val="009C0A6F"/>
    <w:rsid w:val="009C0CC4"/>
    <w:rsid w:val="009C0E23"/>
    <w:rsid w:val="009C1A17"/>
    <w:rsid w:val="009C2037"/>
    <w:rsid w:val="009C26D6"/>
    <w:rsid w:val="009C272B"/>
    <w:rsid w:val="009C298F"/>
    <w:rsid w:val="009C3CC3"/>
    <w:rsid w:val="009C437B"/>
    <w:rsid w:val="009C5CA4"/>
    <w:rsid w:val="009C5ECD"/>
    <w:rsid w:val="009C6020"/>
    <w:rsid w:val="009C602A"/>
    <w:rsid w:val="009C61F7"/>
    <w:rsid w:val="009C6940"/>
    <w:rsid w:val="009C6AAF"/>
    <w:rsid w:val="009C6E0A"/>
    <w:rsid w:val="009C7A4A"/>
    <w:rsid w:val="009C7CFF"/>
    <w:rsid w:val="009C7E61"/>
    <w:rsid w:val="009C7F5B"/>
    <w:rsid w:val="009D0922"/>
    <w:rsid w:val="009D1B43"/>
    <w:rsid w:val="009D21DB"/>
    <w:rsid w:val="009D21E3"/>
    <w:rsid w:val="009D29E4"/>
    <w:rsid w:val="009D3FCB"/>
    <w:rsid w:val="009D4658"/>
    <w:rsid w:val="009D4C65"/>
    <w:rsid w:val="009D4F25"/>
    <w:rsid w:val="009D5935"/>
    <w:rsid w:val="009D679A"/>
    <w:rsid w:val="009D6EB0"/>
    <w:rsid w:val="009D72A4"/>
    <w:rsid w:val="009D7537"/>
    <w:rsid w:val="009E0066"/>
    <w:rsid w:val="009E08AA"/>
    <w:rsid w:val="009E2506"/>
    <w:rsid w:val="009E2F91"/>
    <w:rsid w:val="009E3012"/>
    <w:rsid w:val="009E3784"/>
    <w:rsid w:val="009E38D2"/>
    <w:rsid w:val="009E3F9B"/>
    <w:rsid w:val="009E55C2"/>
    <w:rsid w:val="009E5DF8"/>
    <w:rsid w:val="009E5F0E"/>
    <w:rsid w:val="009E6CC3"/>
    <w:rsid w:val="009E6DF1"/>
    <w:rsid w:val="009E72E9"/>
    <w:rsid w:val="009E73D9"/>
    <w:rsid w:val="009E73EE"/>
    <w:rsid w:val="009E7F09"/>
    <w:rsid w:val="009F0CA3"/>
    <w:rsid w:val="009F1011"/>
    <w:rsid w:val="009F20E4"/>
    <w:rsid w:val="009F306F"/>
    <w:rsid w:val="009F33FD"/>
    <w:rsid w:val="009F3B07"/>
    <w:rsid w:val="009F453F"/>
    <w:rsid w:val="009F521C"/>
    <w:rsid w:val="009F5CA1"/>
    <w:rsid w:val="009F6F0C"/>
    <w:rsid w:val="009F7326"/>
    <w:rsid w:val="009F7363"/>
    <w:rsid w:val="009F793B"/>
    <w:rsid w:val="00A00D63"/>
    <w:rsid w:val="00A014F7"/>
    <w:rsid w:val="00A01E5E"/>
    <w:rsid w:val="00A0245D"/>
    <w:rsid w:val="00A030CB"/>
    <w:rsid w:val="00A03854"/>
    <w:rsid w:val="00A038DB"/>
    <w:rsid w:val="00A03DDD"/>
    <w:rsid w:val="00A06A0E"/>
    <w:rsid w:val="00A10658"/>
    <w:rsid w:val="00A106EA"/>
    <w:rsid w:val="00A110BE"/>
    <w:rsid w:val="00A11D95"/>
    <w:rsid w:val="00A12365"/>
    <w:rsid w:val="00A1239B"/>
    <w:rsid w:val="00A129B2"/>
    <w:rsid w:val="00A131F2"/>
    <w:rsid w:val="00A1329D"/>
    <w:rsid w:val="00A137E9"/>
    <w:rsid w:val="00A1381D"/>
    <w:rsid w:val="00A13A88"/>
    <w:rsid w:val="00A1461A"/>
    <w:rsid w:val="00A149E0"/>
    <w:rsid w:val="00A14B7D"/>
    <w:rsid w:val="00A15020"/>
    <w:rsid w:val="00A1549F"/>
    <w:rsid w:val="00A1562D"/>
    <w:rsid w:val="00A159B6"/>
    <w:rsid w:val="00A17513"/>
    <w:rsid w:val="00A20B0B"/>
    <w:rsid w:val="00A22CF3"/>
    <w:rsid w:val="00A23140"/>
    <w:rsid w:val="00A23EE7"/>
    <w:rsid w:val="00A23F88"/>
    <w:rsid w:val="00A23FC9"/>
    <w:rsid w:val="00A2418A"/>
    <w:rsid w:val="00A244E7"/>
    <w:rsid w:val="00A2472A"/>
    <w:rsid w:val="00A2545F"/>
    <w:rsid w:val="00A25A5E"/>
    <w:rsid w:val="00A25D3E"/>
    <w:rsid w:val="00A26AF7"/>
    <w:rsid w:val="00A31C4A"/>
    <w:rsid w:val="00A32AAB"/>
    <w:rsid w:val="00A336D2"/>
    <w:rsid w:val="00A35EB4"/>
    <w:rsid w:val="00A36838"/>
    <w:rsid w:val="00A37C0C"/>
    <w:rsid w:val="00A40CC9"/>
    <w:rsid w:val="00A41527"/>
    <w:rsid w:val="00A417C3"/>
    <w:rsid w:val="00A427D7"/>
    <w:rsid w:val="00A43285"/>
    <w:rsid w:val="00A43D4C"/>
    <w:rsid w:val="00A441B7"/>
    <w:rsid w:val="00A45C66"/>
    <w:rsid w:val="00A45CD4"/>
    <w:rsid w:val="00A45DC1"/>
    <w:rsid w:val="00A45ED3"/>
    <w:rsid w:val="00A4770D"/>
    <w:rsid w:val="00A47954"/>
    <w:rsid w:val="00A50675"/>
    <w:rsid w:val="00A50A09"/>
    <w:rsid w:val="00A50AC4"/>
    <w:rsid w:val="00A51449"/>
    <w:rsid w:val="00A51F4B"/>
    <w:rsid w:val="00A52AE5"/>
    <w:rsid w:val="00A52C59"/>
    <w:rsid w:val="00A52F1C"/>
    <w:rsid w:val="00A52FEE"/>
    <w:rsid w:val="00A531A3"/>
    <w:rsid w:val="00A5340D"/>
    <w:rsid w:val="00A537F7"/>
    <w:rsid w:val="00A53BDB"/>
    <w:rsid w:val="00A54CEC"/>
    <w:rsid w:val="00A55927"/>
    <w:rsid w:val="00A569D0"/>
    <w:rsid w:val="00A56B27"/>
    <w:rsid w:val="00A574D2"/>
    <w:rsid w:val="00A60811"/>
    <w:rsid w:val="00A6086A"/>
    <w:rsid w:val="00A60E5A"/>
    <w:rsid w:val="00A613C8"/>
    <w:rsid w:val="00A61AAE"/>
    <w:rsid w:val="00A6259D"/>
    <w:rsid w:val="00A643D7"/>
    <w:rsid w:val="00A6446A"/>
    <w:rsid w:val="00A652E0"/>
    <w:rsid w:val="00A65A6E"/>
    <w:rsid w:val="00A65CEA"/>
    <w:rsid w:val="00A6702F"/>
    <w:rsid w:val="00A678CA"/>
    <w:rsid w:val="00A71315"/>
    <w:rsid w:val="00A71664"/>
    <w:rsid w:val="00A71B6A"/>
    <w:rsid w:val="00A744EC"/>
    <w:rsid w:val="00A74CFA"/>
    <w:rsid w:val="00A751A5"/>
    <w:rsid w:val="00A75AA5"/>
    <w:rsid w:val="00A761B6"/>
    <w:rsid w:val="00A766DE"/>
    <w:rsid w:val="00A768FF"/>
    <w:rsid w:val="00A77C35"/>
    <w:rsid w:val="00A807A2"/>
    <w:rsid w:val="00A81285"/>
    <w:rsid w:val="00A8213E"/>
    <w:rsid w:val="00A82BCB"/>
    <w:rsid w:val="00A839CA"/>
    <w:rsid w:val="00A84461"/>
    <w:rsid w:val="00A8533D"/>
    <w:rsid w:val="00A85396"/>
    <w:rsid w:val="00A853D2"/>
    <w:rsid w:val="00A85F63"/>
    <w:rsid w:val="00A85FEE"/>
    <w:rsid w:val="00A8639E"/>
    <w:rsid w:val="00A86C52"/>
    <w:rsid w:val="00A86F6F"/>
    <w:rsid w:val="00A872E9"/>
    <w:rsid w:val="00A878D0"/>
    <w:rsid w:val="00A87A13"/>
    <w:rsid w:val="00A9223C"/>
    <w:rsid w:val="00A92C14"/>
    <w:rsid w:val="00A936E6"/>
    <w:rsid w:val="00A93AF7"/>
    <w:rsid w:val="00A9447D"/>
    <w:rsid w:val="00A952E2"/>
    <w:rsid w:val="00A96845"/>
    <w:rsid w:val="00A96998"/>
    <w:rsid w:val="00A96A54"/>
    <w:rsid w:val="00A96F68"/>
    <w:rsid w:val="00A97B72"/>
    <w:rsid w:val="00AA1208"/>
    <w:rsid w:val="00AA1C60"/>
    <w:rsid w:val="00AA2A3A"/>
    <w:rsid w:val="00AA2FED"/>
    <w:rsid w:val="00AA35F8"/>
    <w:rsid w:val="00AA4064"/>
    <w:rsid w:val="00AA438C"/>
    <w:rsid w:val="00AA4E0A"/>
    <w:rsid w:val="00AA604E"/>
    <w:rsid w:val="00AA695F"/>
    <w:rsid w:val="00AA6BA3"/>
    <w:rsid w:val="00AA6C5D"/>
    <w:rsid w:val="00AB03E8"/>
    <w:rsid w:val="00AB2D71"/>
    <w:rsid w:val="00AB2F76"/>
    <w:rsid w:val="00AB31F2"/>
    <w:rsid w:val="00AB3541"/>
    <w:rsid w:val="00AB427A"/>
    <w:rsid w:val="00AB4C01"/>
    <w:rsid w:val="00AB5646"/>
    <w:rsid w:val="00AB63DE"/>
    <w:rsid w:val="00AB66F9"/>
    <w:rsid w:val="00AB7375"/>
    <w:rsid w:val="00AC02FD"/>
    <w:rsid w:val="00AC1346"/>
    <w:rsid w:val="00AC14D7"/>
    <w:rsid w:val="00AC21AE"/>
    <w:rsid w:val="00AC2293"/>
    <w:rsid w:val="00AC38A7"/>
    <w:rsid w:val="00AC4E97"/>
    <w:rsid w:val="00AC51B6"/>
    <w:rsid w:val="00AC5835"/>
    <w:rsid w:val="00AC58B0"/>
    <w:rsid w:val="00AC60EE"/>
    <w:rsid w:val="00AC61C0"/>
    <w:rsid w:val="00AC6277"/>
    <w:rsid w:val="00AC69C2"/>
    <w:rsid w:val="00AC703B"/>
    <w:rsid w:val="00AC7350"/>
    <w:rsid w:val="00AC7908"/>
    <w:rsid w:val="00AC79DA"/>
    <w:rsid w:val="00AC7CAD"/>
    <w:rsid w:val="00AD06CE"/>
    <w:rsid w:val="00AD2674"/>
    <w:rsid w:val="00AD26E5"/>
    <w:rsid w:val="00AD300D"/>
    <w:rsid w:val="00AD3254"/>
    <w:rsid w:val="00AD36DA"/>
    <w:rsid w:val="00AD40D3"/>
    <w:rsid w:val="00AD422B"/>
    <w:rsid w:val="00AD42A7"/>
    <w:rsid w:val="00AD49BD"/>
    <w:rsid w:val="00AD4F3B"/>
    <w:rsid w:val="00AE04CA"/>
    <w:rsid w:val="00AE07B6"/>
    <w:rsid w:val="00AE0D85"/>
    <w:rsid w:val="00AE1600"/>
    <w:rsid w:val="00AE17CE"/>
    <w:rsid w:val="00AE2399"/>
    <w:rsid w:val="00AE2745"/>
    <w:rsid w:val="00AE2D23"/>
    <w:rsid w:val="00AE2F2B"/>
    <w:rsid w:val="00AE353F"/>
    <w:rsid w:val="00AE50A3"/>
    <w:rsid w:val="00AE6A70"/>
    <w:rsid w:val="00AE6EBE"/>
    <w:rsid w:val="00AE6FFF"/>
    <w:rsid w:val="00AE710E"/>
    <w:rsid w:val="00AE712F"/>
    <w:rsid w:val="00AF11C8"/>
    <w:rsid w:val="00AF139F"/>
    <w:rsid w:val="00AF1CEA"/>
    <w:rsid w:val="00AF3C1F"/>
    <w:rsid w:val="00AF3F83"/>
    <w:rsid w:val="00AF53A3"/>
    <w:rsid w:val="00AF6818"/>
    <w:rsid w:val="00AF7217"/>
    <w:rsid w:val="00AF7345"/>
    <w:rsid w:val="00AF7B3B"/>
    <w:rsid w:val="00B00535"/>
    <w:rsid w:val="00B00854"/>
    <w:rsid w:val="00B0175A"/>
    <w:rsid w:val="00B0208E"/>
    <w:rsid w:val="00B0209A"/>
    <w:rsid w:val="00B02652"/>
    <w:rsid w:val="00B03178"/>
    <w:rsid w:val="00B037B3"/>
    <w:rsid w:val="00B037D5"/>
    <w:rsid w:val="00B03FEC"/>
    <w:rsid w:val="00B041FA"/>
    <w:rsid w:val="00B0437A"/>
    <w:rsid w:val="00B04D29"/>
    <w:rsid w:val="00B057FF"/>
    <w:rsid w:val="00B05813"/>
    <w:rsid w:val="00B06137"/>
    <w:rsid w:val="00B066D7"/>
    <w:rsid w:val="00B06762"/>
    <w:rsid w:val="00B06887"/>
    <w:rsid w:val="00B0698D"/>
    <w:rsid w:val="00B0699F"/>
    <w:rsid w:val="00B0769E"/>
    <w:rsid w:val="00B106DD"/>
    <w:rsid w:val="00B10791"/>
    <w:rsid w:val="00B109BD"/>
    <w:rsid w:val="00B12052"/>
    <w:rsid w:val="00B121F8"/>
    <w:rsid w:val="00B1235D"/>
    <w:rsid w:val="00B123F4"/>
    <w:rsid w:val="00B1270F"/>
    <w:rsid w:val="00B129BE"/>
    <w:rsid w:val="00B13BBA"/>
    <w:rsid w:val="00B13BF8"/>
    <w:rsid w:val="00B147E1"/>
    <w:rsid w:val="00B153AE"/>
    <w:rsid w:val="00B15982"/>
    <w:rsid w:val="00B160B8"/>
    <w:rsid w:val="00B165BD"/>
    <w:rsid w:val="00B165F5"/>
    <w:rsid w:val="00B16B05"/>
    <w:rsid w:val="00B16B9C"/>
    <w:rsid w:val="00B171D2"/>
    <w:rsid w:val="00B201C9"/>
    <w:rsid w:val="00B215D7"/>
    <w:rsid w:val="00B219DF"/>
    <w:rsid w:val="00B21C30"/>
    <w:rsid w:val="00B252BE"/>
    <w:rsid w:val="00B26CC2"/>
    <w:rsid w:val="00B26D8B"/>
    <w:rsid w:val="00B270C8"/>
    <w:rsid w:val="00B274C0"/>
    <w:rsid w:val="00B31099"/>
    <w:rsid w:val="00B3267D"/>
    <w:rsid w:val="00B32821"/>
    <w:rsid w:val="00B32EF6"/>
    <w:rsid w:val="00B33094"/>
    <w:rsid w:val="00B33EBF"/>
    <w:rsid w:val="00B34662"/>
    <w:rsid w:val="00B348F4"/>
    <w:rsid w:val="00B34DD2"/>
    <w:rsid w:val="00B35737"/>
    <w:rsid w:val="00B35979"/>
    <w:rsid w:val="00B35F0C"/>
    <w:rsid w:val="00B40B97"/>
    <w:rsid w:val="00B40DE6"/>
    <w:rsid w:val="00B40E94"/>
    <w:rsid w:val="00B4157F"/>
    <w:rsid w:val="00B425C7"/>
    <w:rsid w:val="00B42AE6"/>
    <w:rsid w:val="00B42CBB"/>
    <w:rsid w:val="00B42E0F"/>
    <w:rsid w:val="00B42E6E"/>
    <w:rsid w:val="00B42EB7"/>
    <w:rsid w:val="00B4381D"/>
    <w:rsid w:val="00B43FB9"/>
    <w:rsid w:val="00B4421B"/>
    <w:rsid w:val="00B44ADD"/>
    <w:rsid w:val="00B44C81"/>
    <w:rsid w:val="00B4697C"/>
    <w:rsid w:val="00B46B01"/>
    <w:rsid w:val="00B46BDB"/>
    <w:rsid w:val="00B46DA6"/>
    <w:rsid w:val="00B4794D"/>
    <w:rsid w:val="00B5001E"/>
    <w:rsid w:val="00B52023"/>
    <w:rsid w:val="00B5207B"/>
    <w:rsid w:val="00B5271F"/>
    <w:rsid w:val="00B52D2A"/>
    <w:rsid w:val="00B53DB2"/>
    <w:rsid w:val="00B540EE"/>
    <w:rsid w:val="00B55423"/>
    <w:rsid w:val="00B555D1"/>
    <w:rsid w:val="00B55D13"/>
    <w:rsid w:val="00B5685F"/>
    <w:rsid w:val="00B573C1"/>
    <w:rsid w:val="00B57B19"/>
    <w:rsid w:val="00B60772"/>
    <w:rsid w:val="00B60A91"/>
    <w:rsid w:val="00B60B29"/>
    <w:rsid w:val="00B61019"/>
    <w:rsid w:val="00B62738"/>
    <w:rsid w:val="00B62B15"/>
    <w:rsid w:val="00B63EC8"/>
    <w:rsid w:val="00B6425E"/>
    <w:rsid w:val="00B64607"/>
    <w:rsid w:val="00B64784"/>
    <w:rsid w:val="00B65DAF"/>
    <w:rsid w:val="00B65EDC"/>
    <w:rsid w:val="00B6623B"/>
    <w:rsid w:val="00B662B5"/>
    <w:rsid w:val="00B66632"/>
    <w:rsid w:val="00B66751"/>
    <w:rsid w:val="00B71727"/>
    <w:rsid w:val="00B71CAD"/>
    <w:rsid w:val="00B723AA"/>
    <w:rsid w:val="00B72686"/>
    <w:rsid w:val="00B728D9"/>
    <w:rsid w:val="00B72978"/>
    <w:rsid w:val="00B74394"/>
    <w:rsid w:val="00B804EB"/>
    <w:rsid w:val="00B82799"/>
    <w:rsid w:val="00B835C5"/>
    <w:rsid w:val="00B83FE1"/>
    <w:rsid w:val="00B8430C"/>
    <w:rsid w:val="00B8568E"/>
    <w:rsid w:val="00B8617F"/>
    <w:rsid w:val="00B86201"/>
    <w:rsid w:val="00B86FB5"/>
    <w:rsid w:val="00B874D6"/>
    <w:rsid w:val="00B878B8"/>
    <w:rsid w:val="00B909A7"/>
    <w:rsid w:val="00B90E3E"/>
    <w:rsid w:val="00B910BC"/>
    <w:rsid w:val="00B92244"/>
    <w:rsid w:val="00B92451"/>
    <w:rsid w:val="00B92795"/>
    <w:rsid w:val="00B9285B"/>
    <w:rsid w:val="00B92B23"/>
    <w:rsid w:val="00B9395A"/>
    <w:rsid w:val="00B93B5D"/>
    <w:rsid w:val="00B93D45"/>
    <w:rsid w:val="00B948DE"/>
    <w:rsid w:val="00B95CAD"/>
    <w:rsid w:val="00B95FF5"/>
    <w:rsid w:val="00B961B2"/>
    <w:rsid w:val="00B967BB"/>
    <w:rsid w:val="00B970FA"/>
    <w:rsid w:val="00B972B7"/>
    <w:rsid w:val="00B9771F"/>
    <w:rsid w:val="00BA0BAF"/>
    <w:rsid w:val="00BA0F4A"/>
    <w:rsid w:val="00BA1297"/>
    <w:rsid w:val="00BA15A2"/>
    <w:rsid w:val="00BA31CA"/>
    <w:rsid w:val="00BA320F"/>
    <w:rsid w:val="00BA4131"/>
    <w:rsid w:val="00BA4562"/>
    <w:rsid w:val="00BA4AF6"/>
    <w:rsid w:val="00BA552F"/>
    <w:rsid w:val="00BA7F36"/>
    <w:rsid w:val="00BB2351"/>
    <w:rsid w:val="00BB2412"/>
    <w:rsid w:val="00BB2562"/>
    <w:rsid w:val="00BB3238"/>
    <w:rsid w:val="00BB3640"/>
    <w:rsid w:val="00BB3C1D"/>
    <w:rsid w:val="00BB3C52"/>
    <w:rsid w:val="00BB3DA1"/>
    <w:rsid w:val="00BB48D7"/>
    <w:rsid w:val="00BB5BDF"/>
    <w:rsid w:val="00BB5F1C"/>
    <w:rsid w:val="00BC0D2B"/>
    <w:rsid w:val="00BC1C2E"/>
    <w:rsid w:val="00BC2137"/>
    <w:rsid w:val="00BC2360"/>
    <w:rsid w:val="00BC2F90"/>
    <w:rsid w:val="00BC46DC"/>
    <w:rsid w:val="00BC4D04"/>
    <w:rsid w:val="00BC5FE4"/>
    <w:rsid w:val="00BC7771"/>
    <w:rsid w:val="00BD0385"/>
    <w:rsid w:val="00BD0F73"/>
    <w:rsid w:val="00BD0FE0"/>
    <w:rsid w:val="00BD1AE3"/>
    <w:rsid w:val="00BD1C8C"/>
    <w:rsid w:val="00BD220B"/>
    <w:rsid w:val="00BD2668"/>
    <w:rsid w:val="00BD2C4C"/>
    <w:rsid w:val="00BD443A"/>
    <w:rsid w:val="00BD4E11"/>
    <w:rsid w:val="00BD5018"/>
    <w:rsid w:val="00BD5B0F"/>
    <w:rsid w:val="00BD5F98"/>
    <w:rsid w:val="00BD64D9"/>
    <w:rsid w:val="00BD6844"/>
    <w:rsid w:val="00BD71C6"/>
    <w:rsid w:val="00BD793D"/>
    <w:rsid w:val="00BD7FD0"/>
    <w:rsid w:val="00BE0A88"/>
    <w:rsid w:val="00BE0F70"/>
    <w:rsid w:val="00BE1804"/>
    <w:rsid w:val="00BE1D3E"/>
    <w:rsid w:val="00BE238D"/>
    <w:rsid w:val="00BE284C"/>
    <w:rsid w:val="00BE2BC0"/>
    <w:rsid w:val="00BE2BFB"/>
    <w:rsid w:val="00BE31E0"/>
    <w:rsid w:val="00BE4025"/>
    <w:rsid w:val="00BE411C"/>
    <w:rsid w:val="00BE41DB"/>
    <w:rsid w:val="00BE41E8"/>
    <w:rsid w:val="00BE47DB"/>
    <w:rsid w:val="00BE5A1A"/>
    <w:rsid w:val="00BE5ADD"/>
    <w:rsid w:val="00BE5CF9"/>
    <w:rsid w:val="00BE5EB7"/>
    <w:rsid w:val="00BE6199"/>
    <w:rsid w:val="00BE7406"/>
    <w:rsid w:val="00BE79F6"/>
    <w:rsid w:val="00BE7E70"/>
    <w:rsid w:val="00BF0670"/>
    <w:rsid w:val="00BF0D72"/>
    <w:rsid w:val="00BF2A70"/>
    <w:rsid w:val="00BF4019"/>
    <w:rsid w:val="00BF4CBF"/>
    <w:rsid w:val="00BF54DB"/>
    <w:rsid w:val="00BF6766"/>
    <w:rsid w:val="00BF71DC"/>
    <w:rsid w:val="00BF7D71"/>
    <w:rsid w:val="00C004CE"/>
    <w:rsid w:val="00C00BF9"/>
    <w:rsid w:val="00C019BE"/>
    <w:rsid w:val="00C0261B"/>
    <w:rsid w:val="00C029FF"/>
    <w:rsid w:val="00C02CC6"/>
    <w:rsid w:val="00C04014"/>
    <w:rsid w:val="00C0451F"/>
    <w:rsid w:val="00C04CAB"/>
    <w:rsid w:val="00C04F84"/>
    <w:rsid w:val="00C05176"/>
    <w:rsid w:val="00C05270"/>
    <w:rsid w:val="00C0544C"/>
    <w:rsid w:val="00C0552C"/>
    <w:rsid w:val="00C0648D"/>
    <w:rsid w:val="00C1046E"/>
    <w:rsid w:val="00C10489"/>
    <w:rsid w:val="00C105BF"/>
    <w:rsid w:val="00C10B63"/>
    <w:rsid w:val="00C11EB2"/>
    <w:rsid w:val="00C139FC"/>
    <w:rsid w:val="00C13D71"/>
    <w:rsid w:val="00C15070"/>
    <w:rsid w:val="00C15372"/>
    <w:rsid w:val="00C156AE"/>
    <w:rsid w:val="00C15713"/>
    <w:rsid w:val="00C16646"/>
    <w:rsid w:val="00C16A7C"/>
    <w:rsid w:val="00C16BED"/>
    <w:rsid w:val="00C171B0"/>
    <w:rsid w:val="00C17202"/>
    <w:rsid w:val="00C17455"/>
    <w:rsid w:val="00C17CFC"/>
    <w:rsid w:val="00C20A0A"/>
    <w:rsid w:val="00C2123A"/>
    <w:rsid w:val="00C217F8"/>
    <w:rsid w:val="00C21B0F"/>
    <w:rsid w:val="00C21F36"/>
    <w:rsid w:val="00C22417"/>
    <w:rsid w:val="00C23FF8"/>
    <w:rsid w:val="00C247D8"/>
    <w:rsid w:val="00C25631"/>
    <w:rsid w:val="00C25799"/>
    <w:rsid w:val="00C27901"/>
    <w:rsid w:val="00C3224D"/>
    <w:rsid w:val="00C32DDA"/>
    <w:rsid w:val="00C32FEE"/>
    <w:rsid w:val="00C33462"/>
    <w:rsid w:val="00C336F5"/>
    <w:rsid w:val="00C33AE7"/>
    <w:rsid w:val="00C33F3F"/>
    <w:rsid w:val="00C34E3C"/>
    <w:rsid w:val="00C35AFB"/>
    <w:rsid w:val="00C362DF"/>
    <w:rsid w:val="00C36717"/>
    <w:rsid w:val="00C3722A"/>
    <w:rsid w:val="00C37DF0"/>
    <w:rsid w:val="00C41346"/>
    <w:rsid w:val="00C414BB"/>
    <w:rsid w:val="00C42527"/>
    <w:rsid w:val="00C434AA"/>
    <w:rsid w:val="00C43A7B"/>
    <w:rsid w:val="00C43C48"/>
    <w:rsid w:val="00C452AD"/>
    <w:rsid w:val="00C4551E"/>
    <w:rsid w:val="00C46D41"/>
    <w:rsid w:val="00C47E00"/>
    <w:rsid w:val="00C500F1"/>
    <w:rsid w:val="00C504A0"/>
    <w:rsid w:val="00C506FF"/>
    <w:rsid w:val="00C50AEE"/>
    <w:rsid w:val="00C50C3D"/>
    <w:rsid w:val="00C51BC1"/>
    <w:rsid w:val="00C51CFC"/>
    <w:rsid w:val="00C5213F"/>
    <w:rsid w:val="00C52F70"/>
    <w:rsid w:val="00C53160"/>
    <w:rsid w:val="00C538C5"/>
    <w:rsid w:val="00C546C2"/>
    <w:rsid w:val="00C55DCE"/>
    <w:rsid w:val="00C566A6"/>
    <w:rsid w:val="00C56B53"/>
    <w:rsid w:val="00C5702D"/>
    <w:rsid w:val="00C570F0"/>
    <w:rsid w:val="00C57190"/>
    <w:rsid w:val="00C6071D"/>
    <w:rsid w:val="00C608EC"/>
    <w:rsid w:val="00C60DAD"/>
    <w:rsid w:val="00C61265"/>
    <w:rsid w:val="00C626FD"/>
    <w:rsid w:val="00C63465"/>
    <w:rsid w:val="00C63632"/>
    <w:rsid w:val="00C63784"/>
    <w:rsid w:val="00C63AB2"/>
    <w:rsid w:val="00C63C0A"/>
    <w:rsid w:val="00C641A4"/>
    <w:rsid w:val="00C6444A"/>
    <w:rsid w:val="00C64492"/>
    <w:rsid w:val="00C648F3"/>
    <w:rsid w:val="00C64992"/>
    <w:rsid w:val="00C657C4"/>
    <w:rsid w:val="00C66222"/>
    <w:rsid w:val="00C66627"/>
    <w:rsid w:val="00C66805"/>
    <w:rsid w:val="00C67092"/>
    <w:rsid w:val="00C67F11"/>
    <w:rsid w:val="00C71E76"/>
    <w:rsid w:val="00C71EC9"/>
    <w:rsid w:val="00C72166"/>
    <w:rsid w:val="00C729D4"/>
    <w:rsid w:val="00C73051"/>
    <w:rsid w:val="00C73ED5"/>
    <w:rsid w:val="00C74B99"/>
    <w:rsid w:val="00C75B53"/>
    <w:rsid w:val="00C76126"/>
    <w:rsid w:val="00C761A2"/>
    <w:rsid w:val="00C7671C"/>
    <w:rsid w:val="00C76D8A"/>
    <w:rsid w:val="00C776F7"/>
    <w:rsid w:val="00C80A75"/>
    <w:rsid w:val="00C80DE9"/>
    <w:rsid w:val="00C827AF"/>
    <w:rsid w:val="00C82FED"/>
    <w:rsid w:val="00C8474A"/>
    <w:rsid w:val="00C84D31"/>
    <w:rsid w:val="00C8582E"/>
    <w:rsid w:val="00C85CAA"/>
    <w:rsid w:val="00C86580"/>
    <w:rsid w:val="00C865FA"/>
    <w:rsid w:val="00C8705F"/>
    <w:rsid w:val="00C91A07"/>
    <w:rsid w:val="00C91A15"/>
    <w:rsid w:val="00C91D66"/>
    <w:rsid w:val="00C92C05"/>
    <w:rsid w:val="00C92E74"/>
    <w:rsid w:val="00C92F2D"/>
    <w:rsid w:val="00C93B24"/>
    <w:rsid w:val="00C94F8C"/>
    <w:rsid w:val="00C955B3"/>
    <w:rsid w:val="00C960CA"/>
    <w:rsid w:val="00C965CF"/>
    <w:rsid w:val="00C96DFB"/>
    <w:rsid w:val="00C97AE9"/>
    <w:rsid w:val="00CA2B6F"/>
    <w:rsid w:val="00CA2ED6"/>
    <w:rsid w:val="00CA40A9"/>
    <w:rsid w:val="00CA45C7"/>
    <w:rsid w:val="00CA4D6E"/>
    <w:rsid w:val="00CA54C6"/>
    <w:rsid w:val="00CA5B54"/>
    <w:rsid w:val="00CA66BC"/>
    <w:rsid w:val="00CA6CBC"/>
    <w:rsid w:val="00CB06A1"/>
    <w:rsid w:val="00CB12B7"/>
    <w:rsid w:val="00CB1475"/>
    <w:rsid w:val="00CB244D"/>
    <w:rsid w:val="00CB2C90"/>
    <w:rsid w:val="00CB3737"/>
    <w:rsid w:val="00CB3AB4"/>
    <w:rsid w:val="00CB4531"/>
    <w:rsid w:val="00CB575E"/>
    <w:rsid w:val="00CB6AF6"/>
    <w:rsid w:val="00CC0E76"/>
    <w:rsid w:val="00CC2D59"/>
    <w:rsid w:val="00CC3EA6"/>
    <w:rsid w:val="00CC3EF3"/>
    <w:rsid w:val="00CC3FAD"/>
    <w:rsid w:val="00CC6115"/>
    <w:rsid w:val="00CC68AF"/>
    <w:rsid w:val="00CC6E12"/>
    <w:rsid w:val="00CC7373"/>
    <w:rsid w:val="00CC77AA"/>
    <w:rsid w:val="00CD0FD3"/>
    <w:rsid w:val="00CD15E7"/>
    <w:rsid w:val="00CD1ABB"/>
    <w:rsid w:val="00CD1EF5"/>
    <w:rsid w:val="00CD2318"/>
    <w:rsid w:val="00CD28A7"/>
    <w:rsid w:val="00CD28F9"/>
    <w:rsid w:val="00CD393A"/>
    <w:rsid w:val="00CD3F7D"/>
    <w:rsid w:val="00CD423E"/>
    <w:rsid w:val="00CD57C5"/>
    <w:rsid w:val="00CD5BCD"/>
    <w:rsid w:val="00CD5C8F"/>
    <w:rsid w:val="00CD7611"/>
    <w:rsid w:val="00CE15C8"/>
    <w:rsid w:val="00CE16D5"/>
    <w:rsid w:val="00CE1B14"/>
    <w:rsid w:val="00CE4337"/>
    <w:rsid w:val="00CE473A"/>
    <w:rsid w:val="00CE5489"/>
    <w:rsid w:val="00CE57D5"/>
    <w:rsid w:val="00CE70AC"/>
    <w:rsid w:val="00CE72EE"/>
    <w:rsid w:val="00CE7480"/>
    <w:rsid w:val="00CF1983"/>
    <w:rsid w:val="00CF1B20"/>
    <w:rsid w:val="00CF2795"/>
    <w:rsid w:val="00CF4C49"/>
    <w:rsid w:val="00CF4C93"/>
    <w:rsid w:val="00CF5EB0"/>
    <w:rsid w:val="00CF6E66"/>
    <w:rsid w:val="00CF7960"/>
    <w:rsid w:val="00CF7C2C"/>
    <w:rsid w:val="00D0068A"/>
    <w:rsid w:val="00D00AA0"/>
    <w:rsid w:val="00D01E99"/>
    <w:rsid w:val="00D046A0"/>
    <w:rsid w:val="00D04C4B"/>
    <w:rsid w:val="00D04EC2"/>
    <w:rsid w:val="00D06CC2"/>
    <w:rsid w:val="00D06D68"/>
    <w:rsid w:val="00D06EC6"/>
    <w:rsid w:val="00D075AF"/>
    <w:rsid w:val="00D105D1"/>
    <w:rsid w:val="00D105D9"/>
    <w:rsid w:val="00D108EA"/>
    <w:rsid w:val="00D124D6"/>
    <w:rsid w:val="00D125EC"/>
    <w:rsid w:val="00D126DF"/>
    <w:rsid w:val="00D137EC"/>
    <w:rsid w:val="00D13BD7"/>
    <w:rsid w:val="00D1615B"/>
    <w:rsid w:val="00D168A0"/>
    <w:rsid w:val="00D16DBD"/>
    <w:rsid w:val="00D175CC"/>
    <w:rsid w:val="00D1773E"/>
    <w:rsid w:val="00D178B8"/>
    <w:rsid w:val="00D20631"/>
    <w:rsid w:val="00D206C6"/>
    <w:rsid w:val="00D20BF4"/>
    <w:rsid w:val="00D21B83"/>
    <w:rsid w:val="00D22B80"/>
    <w:rsid w:val="00D23F6E"/>
    <w:rsid w:val="00D24DE4"/>
    <w:rsid w:val="00D25736"/>
    <w:rsid w:val="00D265FB"/>
    <w:rsid w:val="00D26C29"/>
    <w:rsid w:val="00D26DE8"/>
    <w:rsid w:val="00D27A60"/>
    <w:rsid w:val="00D27D88"/>
    <w:rsid w:val="00D31D5F"/>
    <w:rsid w:val="00D32102"/>
    <w:rsid w:val="00D32344"/>
    <w:rsid w:val="00D32761"/>
    <w:rsid w:val="00D3297A"/>
    <w:rsid w:val="00D32E73"/>
    <w:rsid w:val="00D331F5"/>
    <w:rsid w:val="00D33462"/>
    <w:rsid w:val="00D3360B"/>
    <w:rsid w:val="00D33BD2"/>
    <w:rsid w:val="00D34D56"/>
    <w:rsid w:val="00D34D77"/>
    <w:rsid w:val="00D367B9"/>
    <w:rsid w:val="00D372E4"/>
    <w:rsid w:val="00D37358"/>
    <w:rsid w:val="00D37C9C"/>
    <w:rsid w:val="00D37E30"/>
    <w:rsid w:val="00D40398"/>
    <w:rsid w:val="00D40B2B"/>
    <w:rsid w:val="00D41121"/>
    <w:rsid w:val="00D41151"/>
    <w:rsid w:val="00D41222"/>
    <w:rsid w:val="00D41E67"/>
    <w:rsid w:val="00D42123"/>
    <w:rsid w:val="00D421C0"/>
    <w:rsid w:val="00D425B2"/>
    <w:rsid w:val="00D42B17"/>
    <w:rsid w:val="00D4426C"/>
    <w:rsid w:val="00D4483E"/>
    <w:rsid w:val="00D4584B"/>
    <w:rsid w:val="00D45998"/>
    <w:rsid w:val="00D464E9"/>
    <w:rsid w:val="00D46D1D"/>
    <w:rsid w:val="00D473AD"/>
    <w:rsid w:val="00D47FAA"/>
    <w:rsid w:val="00D504B4"/>
    <w:rsid w:val="00D52B5E"/>
    <w:rsid w:val="00D53C56"/>
    <w:rsid w:val="00D5401D"/>
    <w:rsid w:val="00D54F3D"/>
    <w:rsid w:val="00D563AE"/>
    <w:rsid w:val="00D56431"/>
    <w:rsid w:val="00D56D7B"/>
    <w:rsid w:val="00D574DC"/>
    <w:rsid w:val="00D57822"/>
    <w:rsid w:val="00D600B0"/>
    <w:rsid w:val="00D60C42"/>
    <w:rsid w:val="00D6217E"/>
    <w:rsid w:val="00D621D2"/>
    <w:rsid w:val="00D6231F"/>
    <w:rsid w:val="00D62CA0"/>
    <w:rsid w:val="00D631E5"/>
    <w:rsid w:val="00D63865"/>
    <w:rsid w:val="00D6481F"/>
    <w:rsid w:val="00D667C6"/>
    <w:rsid w:val="00D66F43"/>
    <w:rsid w:val="00D675D9"/>
    <w:rsid w:val="00D67818"/>
    <w:rsid w:val="00D67900"/>
    <w:rsid w:val="00D67972"/>
    <w:rsid w:val="00D67E6E"/>
    <w:rsid w:val="00D70331"/>
    <w:rsid w:val="00D70C70"/>
    <w:rsid w:val="00D70DCD"/>
    <w:rsid w:val="00D70E77"/>
    <w:rsid w:val="00D714A0"/>
    <w:rsid w:val="00D71507"/>
    <w:rsid w:val="00D71F5A"/>
    <w:rsid w:val="00D72EF4"/>
    <w:rsid w:val="00D73152"/>
    <w:rsid w:val="00D73AC1"/>
    <w:rsid w:val="00D73D60"/>
    <w:rsid w:val="00D73E6F"/>
    <w:rsid w:val="00D75DEB"/>
    <w:rsid w:val="00D75E90"/>
    <w:rsid w:val="00D75FB6"/>
    <w:rsid w:val="00D76957"/>
    <w:rsid w:val="00D77DDF"/>
    <w:rsid w:val="00D77ED8"/>
    <w:rsid w:val="00D80187"/>
    <w:rsid w:val="00D80612"/>
    <w:rsid w:val="00D80ECF"/>
    <w:rsid w:val="00D81329"/>
    <w:rsid w:val="00D813D8"/>
    <w:rsid w:val="00D81A07"/>
    <w:rsid w:val="00D81CE3"/>
    <w:rsid w:val="00D827FE"/>
    <w:rsid w:val="00D83B4E"/>
    <w:rsid w:val="00D83E3B"/>
    <w:rsid w:val="00D849D7"/>
    <w:rsid w:val="00D84C46"/>
    <w:rsid w:val="00D84D62"/>
    <w:rsid w:val="00D85952"/>
    <w:rsid w:val="00D87B09"/>
    <w:rsid w:val="00D87D62"/>
    <w:rsid w:val="00D87DA0"/>
    <w:rsid w:val="00D920CB"/>
    <w:rsid w:val="00D9218B"/>
    <w:rsid w:val="00D92D1B"/>
    <w:rsid w:val="00D930FD"/>
    <w:rsid w:val="00D945C1"/>
    <w:rsid w:val="00D95B46"/>
    <w:rsid w:val="00D96AD1"/>
    <w:rsid w:val="00D977A3"/>
    <w:rsid w:val="00DA01A8"/>
    <w:rsid w:val="00DA01C8"/>
    <w:rsid w:val="00DA02AB"/>
    <w:rsid w:val="00DA0D51"/>
    <w:rsid w:val="00DA18C2"/>
    <w:rsid w:val="00DA3F8A"/>
    <w:rsid w:val="00DA6229"/>
    <w:rsid w:val="00DA7200"/>
    <w:rsid w:val="00DB015D"/>
    <w:rsid w:val="00DB1BC9"/>
    <w:rsid w:val="00DB2232"/>
    <w:rsid w:val="00DB22A9"/>
    <w:rsid w:val="00DB4686"/>
    <w:rsid w:val="00DB61C6"/>
    <w:rsid w:val="00DB77E9"/>
    <w:rsid w:val="00DC00DD"/>
    <w:rsid w:val="00DC0402"/>
    <w:rsid w:val="00DC0E15"/>
    <w:rsid w:val="00DC1044"/>
    <w:rsid w:val="00DC1841"/>
    <w:rsid w:val="00DC1AAB"/>
    <w:rsid w:val="00DC1C66"/>
    <w:rsid w:val="00DC1E05"/>
    <w:rsid w:val="00DC37D9"/>
    <w:rsid w:val="00DC466D"/>
    <w:rsid w:val="00DC5CE2"/>
    <w:rsid w:val="00DC5EE1"/>
    <w:rsid w:val="00DC6160"/>
    <w:rsid w:val="00DC6594"/>
    <w:rsid w:val="00DC65E7"/>
    <w:rsid w:val="00DC72F6"/>
    <w:rsid w:val="00DC748C"/>
    <w:rsid w:val="00DD05EB"/>
    <w:rsid w:val="00DD1C04"/>
    <w:rsid w:val="00DD1D30"/>
    <w:rsid w:val="00DD21A0"/>
    <w:rsid w:val="00DD23E9"/>
    <w:rsid w:val="00DD2AB8"/>
    <w:rsid w:val="00DD32B4"/>
    <w:rsid w:val="00DD3B9E"/>
    <w:rsid w:val="00DD3F86"/>
    <w:rsid w:val="00DD41D2"/>
    <w:rsid w:val="00DD59EC"/>
    <w:rsid w:val="00DD60EF"/>
    <w:rsid w:val="00DD6422"/>
    <w:rsid w:val="00DD6F21"/>
    <w:rsid w:val="00DD7AD7"/>
    <w:rsid w:val="00DE06F7"/>
    <w:rsid w:val="00DE06FD"/>
    <w:rsid w:val="00DE10C6"/>
    <w:rsid w:val="00DE1D20"/>
    <w:rsid w:val="00DE20BA"/>
    <w:rsid w:val="00DE2CF0"/>
    <w:rsid w:val="00DE30F6"/>
    <w:rsid w:val="00DE35AB"/>
    <w:rsid w:val="00DE3653"/>
    <w:rsid w:val="00DE3876"/>
    <w:rsid w:val="00DE3AF8"/>
    <w:rsid w:val="00DE3B88"/>
    <w:rsid w:val="00DE3DFC"/>
    <w:rsid w:val="00DE4548"/>
    <w:rsid w:val="00DE7E30"/>
    <w:rsid w:val="00DF1C2A"/>
    <w:rsid w:val="00DF25D1"/>
    <w:rsid w:val="00DF3118"/>
    <w:rsid w:val="00DF3119"/>
    <w:rsid w:val="00DF31B6"/>
    <w:rsid w:val="00DF34BC"/>
    <w:rsid w:val="00DF4EBC"/>
    <w:rsid w:val="00DF555B"/>
    <w:rsid w:val="00DF5DF7"/>
    <w:rsid w:val="00DF6652"/>
    <w:rsid w:val="00DF6864"/>
    <w:rsid w:val="00DF68FB"/>
    <w:rsid w:val="00DF6C78"/>
    <w:rsid w:val="00E00A65"/>
    <w:rsid w:val="00E00B5E"/>
    <w:rsid w:val="00E01BE1"/>
    <w:rsid w:val="00E01C24"/>
    <w:rsid w:val="00E02BC0"/>
    <w:rsid w:val="00E02FB7"/>
    <w:rsid w:val="00E03483"/>
    <w:rsid w:val="00E0397B"/>
    <w:rsid w:val="00E03C69"/>
    <w:rsid w:val="00E04226"/>
    <w:rsid w:val="00E04760"/>
    <w:rsid w:val="00E059A4"/>
    <w:rsid w:val="00E05BA2"/>
    <w:rsid w:val="00E05D3A"/>
    <w:rsid w:val="00E05F37"/>
    <w:rsid w:val="00E060B9"/>
    <w:rsid w:val="00E0643A"/>
    <w:rsid w:val="00E06521"/>
    <w:rsid w:val="00E065FD"/>
    <w:rsid w:val="00E10407"/>
    <w:rsid w:val="00E1071C"/>
    <w:rsid w:val="00E10856"/>
    <w:rsid w:val="00E11E3A"/>
    <w:rsid w:val="00E1215F"/>
    <w:rsid w:val="00E121A8"/>
    <w:rsid w:val="00E12A6D"/>
    <w:rsid w:val="00E13212"/>
    <w:rsid w:val="00E13740"/>
    <w:rsid w:val="00E13A2B"/>
    <w:rsid w:val="00E13AE5"/>
    <w:rsid w:val="00E13E23"/>
    <w:rsid w:val="00E14DE0"/>
    <w:rsid w:val="00E14F7D"/>
    <w:rsid w:val="00E1542E"/>
    <w:rsid w:val="00E16472"/>
    <w:rsid w:val="00E169AF"/>
    <w:rsid w:val="00E16BB4"/>
    <w:rsid w:val="00E17BC6"/>
    <w:rsid w:val="00E17ED6"/>
    <w:rsid w:val="00E2005D"/>
    <w:rsid w:val="00E20B83"/>
    <w:rsid w:val="00E235BF"/>
    <w:rsid w:val="00E2458B"/>
    <w:rsid w:val="00E25D74"/>
    <w:rsid w:val="00E25E83"/>
    <w:rsid w:val="00E26CAD"/>
    <w:rsid w:val="00E26E99"/>
    <w:rsid w:val="00E27127"/>
    <w:rsid w:val="00E333FB"/>
    <w:rsid w:val="00E33A5D"/>
    <w:rsid w:val="00E3437D"/>
    <w:rsid w:val="00E3535E"/>
    <w:rsid w:val="00E35E9D"/>
    <w:rsid w:val="00E35FC5"/>
    <w:rsid w:val="00E37608"/>
    <w:rsid w:val="00E37F2E"/>
    <w:rsid w:val="00E406D7"/>
    <w:rsid w:val="00E407A3"/>
    <w:rsid w:val="00E4108C"/>
    <w:rsid w:val="00E415F9"/>
    <w:rsid w:val="00E4216E"/>
    <w:rsid w:val="00E42401"/>
    <w:rsid w:val="00E458D7"/>
    <w:rsid w:val="00E45B7B"/>
    <w:rsid w:val="00E45E7D"/>
    <w:rsid w:val="00E461A1"/>
    <w:rsid w:val="00E4697E"/>
    <w:rsid w:val="00E47CA9"/>
    <w:rsid w:val="00E5015B"/>
    <w:rsid w:val="00E5099C"/>
    <w:rsid w:val="00E50BF7"/>
    <w:rsid w:val="00E50C12"/>
    <w:rsid w:val="00E50E11"/>
    <w:rsid w:val="00E523C9"/>
    <w:rsid w:val="00E53507"/>
    <w:rsid w:val="00E53F60"/>
    <w:rsid w:val="00E54840"/>
    <w:rsid w:val="00E54D4B"/>
    <w:rsid w:val="00E5504B"/>
    <w:rsid w:val="00E55549"/>
    <w:rsid w:val="00E55706"/>
    <w:rsid w:val="00E56A38"/>
    <w:rsid w:val="00E56F91"/>
    <w:rsid w:val="00E56FCD"/>
    <w:rsid w:val="00E57374"/>
    <w:rsid w:val="00E606D3"/>
    <w:rsid w:val="00E60D41"/>
    <w:rsid w:val="00E61502"/>
    <w:rsid w:val="00E63232"/>
    <w:rsid w:val="00E63A20"/>
    <w:rsid w:val="00E63BC2"/>
    <w:rsid w:val="00E63E33"/>
    <w:rsid w:val="00E63E37"/>
    <w:rsid w:val="00E6447B"/>
    <w:rsid w:val="00E645E9"/>
    <w:rsid w:val="00E663E2"/>
    <w:rsid w:val="00E6640D"/>
    <w:rsid w:val="00E66576"/>
    <w:rsid w:val="00E66C77"/>
    <w:rsid w:val="00E6796E"/>
    <w:rsid w:val="00E67CE5"/>
    <w:rsid w:val="00E7056F"/>
    <w:rsid w:val="00E7057C"/>
    <w:rsid w:val="00E70D6A"/>
    <w:rsid w:val="00E71B01"/>
    <w:rsid w:val="00E71B4E"/>
    <w:rsid w:val="00E71E8B"/>
    <w:rsid w:val="00E7256A"/>
    <w:rsid w:val="00E7354E"/>
    <w:rsid w:val="00E740D4"/>
    <w:rsid w:val="00E74C5C"/>
    <w:rsid w:val="00E74E55"/>
    <w:rsid w:val="00E761D0"/>
    <w:rsid w:val="00E768EE"/>
    <w:rsid w:val="00E76938"/>
    <w:rsid w:val="00E7732A"/>
    <w:rsid w:val="00E775EF"/>
    <w:rsid w:val="00E801EB"/>
    <w:rsid w:val="00E80581"/>
    <w:rsid w:val="00E819D8"/>
    <w:rsid w:val="00E81ED2"/>
    <w:rsid w:val="00E831AC"/>
    <w:rsid w:val="00E83628"/>
    <w:rsid w:val="00E836B7"/>
    <w:rsid w:val="00E850EF"/>
    <w:rsid w:val="00E85784"/>
    <w:rsid w:val="00E85EFE"/>
    <w:rsid w:val="00E866B0"/>
    <w:rsid w:val="00E8760D"/>
    <w:rsid w:val="00E87949"/>
    <w:rsid w:val="00E90D8B"/>
    <w:rsid w:val="00E9143E"/>
    <w:rsid w:val="00E92004"/>
    <w:rsid w:val="00E92673"/>
    <w:rsid w:val="00E926F8"/>
    <w:rsid w:val="00E92AE2"/>
    <w:rsid w:val="00E932A2"/>
    <w:rsid w:val="00E9360B"/>
    <w:rsid w:val="00E93998"/>
    <w:rsid w:val="00E93CA9"/>
    <w:rsid w:val="00E9413F"/>
    <w:rsid w:val="00E94E40"/>
    <w:rsid w:val="00E9547C"/>
    <w:rsid w:val="00E957C8"/>
    <w:rsid w:val="00E95C7D"/>
    <w:rsid w:val="00E96844"/>
    <w:rsid w:val="00E9726E"/>
    <w:rsid w:val="00E97F0B"/>
    <w:rsid w:val="00E97FC3"/>
    <w:rsid w:val="00EA09D6"/>
    <w:rsid w:val="00EA36B5"/>
    <w:rsid w:val="00EA37B6"/>
    <w:rsid w:val="00EA3A02"/>
    <w:rsid w:val="00EA424F"/>
    <w:rsid w:val="00EA5349"/>
    <w:rsid w:val="00EA5696"/>
    <w:rsid w:val="00EA57B6"/>
    <w:rsid w:val="00EA5838"/>
    <w:rsid w:val="00EA5EC2"/>
    <w:rsid w:val="00EA72B2"/>
    <w:rsid w:val="00EB0388"/>
    <w:rsid w:val="00EB10D8"/>
    <w:rsid w:val="00EB1E80"/>
    <w:rsid w:val="00EB404C"/>
    <w:rsid w:val="00EB43E5"/>
    <w:rsid w:val="00EB442E"/>
    <w:rsid w:val="00EB4EB5"/>
    <w:rsid w:val="00EB5491"/>
    <w:rsid w:val="00EB61CA"/>
    <w:rsid w:val="00EB6709"/>
    <w:rsid w:val="00EB6761"/>
    <w:rsid w:val="00EB67AF"/>
    <w:rsid w:val="00EB7220"/>
    <w:rsid w:val="00EC0BBE"/>
    <w:rsid w:val="00EC0C1B"/>
    <w:rsid w:val="00EC1218"/>
    <w:rsid w:val="00EC1228"/>
    <w:rsid w:val="00EC1493"/>
    <w:rsid w:val="00EC36D5"/>
    <w:rsid w:val="00EC41F9"/>
    <w:rsid w:val="00EC509B"/>
    <w:rsid w:val="00EC5427"/>
    <w:rsid w:val="00EC5BEE"/>
    <w:rsid w:val="00EC5F42"/>
    <w:rsid w:val="00EC61D7"/>
    <w:rsid w:val="00EC7354"/>
    <w:rsid w:val="00EC783D"/>
    <w:rsid w:val="00EC7B08"/>
    <w:rsid w:val="00ED0965"/>
    <w:rsid w:val="00ED0F53"/>
    <w:rsid w:val="00ED10F1"/>
    <w:rsid w:val="00ED116F"/>
    <w:rsid w:val="00ED164D"/>
    <w:rsid w:val="00ED1A77"/>
    <w:rsid w:val="00ED1B1E"/>
    <w:rsid w:val="00ED1BD0"/>
    <w:rsid w:val="00ED1CC7"/>
    <w:rsid w:val="00ED2666"/>
    <w:rsid w:val="00ED3A1B"/>
    <w:rsid w:val="00ED4C16"/>
    <w:rsid w:val="00ED4CCA"/>
    <w:rsid w:val="00ED4CE2"/>
    <w:rsid w:val="00ED5731"/>
    <w:rsid w:val="00ED5880"/>
    <w:rsid w:val="00ED592E"/>
    <w:rsid w:val="00ED5992"/>
    <w:rsid w:val="00ED5FE3"/>
    <w:rsid w:val="00ED79E8"/>
    <w:rsid w:val="00EE1947"/>
    <w:rsid w:val="00EE210D"/>
    <w:rsid w:val="00EE2E39"/>
    <w:rsid w:val="00EE3130"/>
    <w:rsid w:val="00EE34C3"/>
    <w:rsid w:val="00EE358C"/>
    <w:rsid w:val="00EE4503"/>
    <w:rsid w:val="00EE454D"/>
    <w:rsid w:val="00EE45DA"/>
    <w:rsid w:val="00EE5615"/>
    <w:rsid w:val="00EE6163"/>
    <w:rsid w:val="00EE6253"/>
    <w:rsid w:val="00EF2335"/>
    <w:rsid w:val="00EF2BEE"/>
    <w:rsid w:val="00EF588C"/>
    <w:rsid w:val="00EF59F0"/>
    <w:rsid w:val="00EF62A0"/>
    <w:rsid w:val="00EF683E"/>
    <w:rsid w:val="00EF7F40"/>
    <w:rsid w:val="00F002B6"/>
    <w:rsid w:val="00F017F7"/>
    <w:rsid w:val="00F0254F"/>
    <w:rsid w:val="00F02E11"/>
    <w:rsid w:val="00F03314"/>
    <w:rsid w:val="00F03935"/>
    <w:rsid w:val="00F03B01"/>
    <w:rsid w:val="00F0451A"/>
    <w:rsid w:val="00F04922"/>
    <w:rsid w:val="00F05256"/>
    <w:rsid w:val="00F06D44"/>
    <w:rsid w:val="00F075E7"/>
    <w:rsid w:val="00F07782"/>
    <w:rsid w:val="00F10397"/>
    <w:rsid w:val="00F10DEC"/>
    <w:rsid w:val="00F1135F"/>
    <w:rsid w:val="00F11FEF"/>
    <w:rsid w:val="00F120E5"/>
    <w:rsid w:val="00F123AA"/>
    <w:rsid w:val="00F132A0"/>
    <w:rsid w:val="00F13974"/>
    <w:rsid w:val="00F13F72"/>
    <w:rsid w:val="00F1490D"/>
    <w:rsid w:val="00F14AD8"/>
    <w:rsid w:val="00F14F91"/>
    <w:rsid w:val="00F15837"/>
    <w:rsid w:val="00F162F1"/>
    <w:rsid w:val="00F16F04"/>
    <w:rsid w:val="00F17319"/>
    <w:rsid w:val="00F174E9"/>
    <w:rsid w:val="00F175A7"/>
    <w:rsid w:val="00F17619"/>
    <w:rsid w:val="00F209A0"/>
    <w:rsid w:val="00F20FF2"/>
    <w:rsid w:val="00F220AE"/>
    <w:rsid w:val="00F2223E"/>
    <w:rsid w:val="00F22355"/>
    <w:rsid w:val="00F227D5"/>
    <w:rsid w:val="00F23170"/>
    <w:rsid w:val="00F235DE"/>
    <w:rsid w:val="00F24155"/>
    <w:rsid w:val="00F241D0"/>
    <w:rsid w:val="00F25464"/>
    <w:rsid w:val="00F30019"/>
    <w:rsid w:val="00F302CE"/>
    <w:rsid w:val="00F302F0"/>
    <w:rsid w:val="00F30B03"/>
    <w:rsid w:val="00F30E50"/>
    <w:rsid w:val="00F31587"/>
    <w:rsid w:val="00F3273E"/>
    <w:rsid w:val="00F33961"/>
    <w:rsid w:val="00F34B6C"/>
    <w:rsid w:val="00F353E1"/>
    <w:rsid w:val="00F358C8"/>
    <w:rsid w:val="00F358CF"/>
    <w:rsid w:val="00F36108"/>
    <w:rsid w:val="00F36B6D"/>
    <w:rsid w:val="00F3794E"/>
    <w:rsid w:val="00F40684"/>
    <w:rsid w:val="00F40E3D"/>
    <w:rsid w:val="00F4186B"/>
    <w:rsid w:val="00F42469"/>
    <w:rsid w:val="00F4319B"/>
    <w:rsid w:val="00F4404B"/>
    <w:rsid w:val="00F443B9"/>
    <w:rsid w:val="00F44624"/>
    <w:rsid w:val="00F463C6"/>
    <w:rsid w:val="00F46A1F"/>
    <w:rsid w:val="00F46BC9"/>
    <w:rsid w:val="00F46DF4"/>
    <w:rsid w:val="00F47173"/>
    <w:rsid w:val="00F4724C"/>
    <w:rsid w:val="00F476A1"/>
    <w:rsid w:val="00F4779A"/>
    <w:rsid w:val="00F47AB9"/>
    <w:rsid w:val="00F50019"/>
    <w:rsid w:val="00F5030F"/>
    <w:rsid w:val="00F504D6"/>
    <w:rsid w:val="00F51798"/>
    <w:rsid w:val="00F5181C"/>
    <w:rsid w:val="00F5193C"/>
    <w:rsid w:val="00F51C0F"/>
    <w:rsid w:val="00F51C26"/>
    <w:rsid w:val="00F52D77"/>
    <w:rsid w:val="00F542CB"/>
    <w:rsid w:val="00F544DF"/>
    <w:rsid w:val="00F54A08"/>
    <w:rsid w:val="00F55524"/>
    <w:rsid w:val="00F5738D"/>
    <w:rsid w:val="00F605C7"/>
    <w:rsid w:val="00F60D6A"/>
    <w:rsid w:val="00F61D6B"/>
    <w:rsid w:val="00F627A0"/>
    <w:rsid w:val="00F630AE"/>
    <w:rsid w:val="00F63B5F"/>
    <w:rsid w:val="00F643A7"/>
    <w:rsid w:val="00F64634"/>
    <w:rsid w:val="00F64763"/>
    <w:rsid w:val="00F64C48"/>
    <w:rsid w:val="00F64D39"/>
    <w:rsid w:val="00F654DE"/>
    <w:rsid w:val="00F6616D"/>
    <w:rsid w:val="00F679A5"/>
    <w:rsid w:val="00F67F27"/>
    <w:rsid w:val="00F67FC1"/>
    <w:rsid w:val="00F67FDB"/>
    <w:rsid w:val="00F7043A"/>
    <w:rsid w:val="00F70475"/>
    <w:rsid w:val="00F7091A"/>
    <w:rsid w:val="00F71034"/>
    <w:rsid w:val="00F72408"/>
    <w:rsid w:val="00F72549"/>
    <w:rsid w:val="00F72A57"/>
    <w:rsid w:val="00F734C1"/>
    <w:rsid w:val="00F7459E"/>
    <w:rsid w:val="00F760F0"/>
    <w:rsid w:val="00F83543"/>
    <w:rsid w:val="00F839EF"/>
    <w:rsid w:val="00F83CF8"/>
    <w:rsid w:val="00F83D12"/>
    <w:rsid w:val="00F855A0"/>
    <w:rsid w:val="00F858E1"/>
    <w:rsid w:val="00F867A8"/>
    <w:rsid w:val="00F86AE0"/>
    <w:rsid w:val="00F86D28"/>
    <w:rsid w:val="00F86EEE"/>
    <w:rsid w:val="00F8709C"/>
    <w:rsid w:val="00F87ED0"/>
    <w:rsid w:val="00F9096B"/>
    <w:rsid w:val="00F9098D"/>
    <w:rsid w:val="00F923E3"/>
    <w:rsid w:val="00F92AA2"/>
    <w:rsid w:val="00F9322B"/>
    <w:rsid w:val="00F9334B"/>
    <w:rsid w:val="00F935D4"/>
    <w:rsid w:val="00F93F2F"/>
    <w:rsid w:val="00F94B7B"/>
    <w:rsid w:val="00F95096"/>
    <w:rsid w:val="00F953AB"/>
    <w:rsid w:val="00F963C7"/>
    <w:rsid w:val="00F967B2"/>
    <w:rsid w:val="00F967B7"/>
    <w:rsid w:val="00F96D05"/>
    <w:rsid w:val="00F97234"/>
    <w:rsid w:val="00FA0BF6"/>
    <w:rsid w:val="00FA0F4E"/>
    <w:rsid w:val="00FA0FB6"/>
    <w:rsid w:val="00FA13F4"/>
    <w:rsid w:val="00FA2735"/>
    <w:rsid w:val="00FA294D"/>
    <w:rsid w:val="00FA2A1E"/>
    <w:rsid w:val="00FA3291"/>
    <w:rsid w:val="00FA343B"/>
    <w:rsid w:val="00FA4129"/>
    <w:rsid w:val="00FA4D3C"/>
    <w:rsid w:val="00FA4D6B"/>
    <w:rsid w:val="00FA5467"/>
    <w:rsid w:val="00FA697B"/>
    <w:rsid w:val="00FA6AE7"/>
    <w:rsid w:val="00FA7419"/>
    <w:rsid w:val="00FA79B7"/>
    <w:rsid w:val="00FB0226"/>
    <w:rsid w:val="00FB0E12"/>
    <w:rsid w:val="00FB125D"/>
    <w:rsid w:val="00FB41A3"/>
    <w:rsid w:val="00FB4A92"/>
    <w:rsid w:val="00FB4AE2"/>
    <w:rsid w:val="00FB4CD7"/>
    <w:rsid w:val="00FB58B3"/>
    <w:rsid w:val="00FB7FBA"/>
    <w:rsid w:val="00FC0150"/>
    <w:rsid w:val="00FC1AD2"/>
    <w:rsid w:val="00FC1CE3"/>
    <w:rsid w:val="00FC1F81"/>
    <w:rsid w:val="00FC250C"/>
    <w:rsid w:val="00FC26E8"/>
    <w:rsid w:val="00FC2997"/>
    <w:rsid w:val="00FC2A8E"/>
    <w:rsid w:val="00FC2D36"/>
    <w:rsid w:val="00FC4474"/>
    <w:rsid w:val="00FC4BEE"/>
    <w:rsid w:val="00FC4CFD"/>
    <w:rsid w:val="00FC4E80"/>
    <w:rsid w:val="00FC5CE1"/>
    <w:rsid w:val="00FC64B9"/>
    <w:rsid w:val="00FC78F0"/>
    <w:rsid w:val="00FC7F3B"/>
    <w:rsid w:val="00FD10E5"/>
    <w:rsid w:val="00FD36BD"/>
    <w:rsid w:val="00FD3E44"/>
    <w:rsid w:val="00FD43E1"/>
    <w:rsid w:val="00FD5A8C"/>
    <w:rsid w:val="00FD64D6"/>
    <w:rsid w:val="00FD69A1"/>
    <w:rsid w:val="00FD6A83"/>
    <w:rsid w:val="00FD6E4C"/>
    <w:rsid w:val="00FD7F37"/>
    <w:rsid w:val="00FE05B4"/>
    <w:rsid w:val="00FE0E8B"/>
    <w:rsid w:val="00FE11A1"/>
    <w:rsid w:val="00FE1ADC"/>
    <w:rsid w:val="00FE250D"/>
    <w:rsid w:val="00FE378B"/>
    <w:rsid w:val="00FE3C55"/>
    <w:rsid w:val="00FE41A5"/>
    <w:rsid w:val="00FE4ABC"/>
    <w:rsid w:val="00FE5504"/>
    <w:rsid w:val="00FE61E9"/>
    <w:rsid w:val="00FE61EA"/>
    <w:rsid w:val="00FF1471"/>
    <w:rsid w:val="00FF19A8"/>
    <w:rsid w:val="00FF1C33"/>
    <w:rsid w:val="00FF23C1"/>
    <w:rsid w:val="00FF24A6"/>
    <w:rsid w:val="00FF2862"/>
    <w:rsid w:val="00FF3621"/>
    <w:rsid w:val="00FF3EF9"/>
    <w:rsid w:val="00FF439D"/>
    <w:rsid w:val="00FF4B4E"/>
    <w:rsid w:val="00FF524F"/>
    <w:rsid w:val="00FF52CE"/>
    <w:rsid w:val="00FF5D14"/>
    <w:rsid w:val="00FF60CC"/>
    <w:rsid w:val="00FF6107"/>
    <w:rsid w:val="00FF6231"/>
    <w:rsid w:val="00FF6563"/>
    <w:rsid w:val="00FF6B41"/>
    <w:rsid w:val="00FF7D33"/>
    <w:rsid w:val="011309B3"/>
    <w:rsid w:val="011B46F6"/>
    <w:rsid w:val="01641281"/>
    <w:rsid w:val="018625A9"/>
    <w:rsid w:val="019302ED"/>
    <w:rsid w:val="019A4315"/>
    <w:rsid w:val="01C223E5"/>
    <w:rsid w:val="022461AE"/>
    <w:rsid w:val="023B71A6"/>
    <w:rsid w:val="02563107"/>
    <w:rsid w:val="027C329B"/>
    <w:rsid w:val="02DB2AB6"/>
    <w:rsid w:val="02E17459"/>
    <w:rsid w:val="03264BDD"/>
    <w:rsid w:val="039C7741"/>
    <w:rsid w:val="043C5916"/>
    <w:rsid w:val="044C4515"/>
    <w:rsid w:val="045B068B"/>
    <w:rsid w:val="04790BB4"/>
    <w:rsid w:val="047B4FC7"/>
    <w:rsid w:val="04DF13AA"/>
    <w:rsid w:val="04F270E4"/>
    <w:rsid w:val="04F930CE"/>
    <w:rsid w:val="052F26E2"/>
    <w:rsid w:val="056D353A"/>
    <w:rsid w:val="056E64B9"/>
    <w:rsid w:val="05784E1D"/>
    <w:rsid w:val="05997E8B"/>
    <w:rsid w:val="05A1201F"/>
    <w:rsid w:val="05B761D1"/>
    <w:rsid w:val="05DF7B09"/>
    <w:rsid w:val="05E82351"/>
    <w:rsid w:val="06791E57"/>
    <w:rsid w:val="06E353D3"/>
    <w:rsid w:val="06FC73B6"/>
    <w:rsid w:val="07316EC7"/>
    <w:rsid w:val="073E2412"/>
    <w:rsid w:val="079359DC"/>
    <w:rsid w:val="07D12CFD"/>
    <w:rsid w:val="07E457F6"/>
    <w:rsid w:val="07F05BA7"/>
    <w:rsid w:val="07F4396E"/>
    <w:rsid w:val="080920FD"/>
    <w:rsid w:val="082B1469"/>
    <w:rsid w:val="083C2419"/>
    <w:rsid w:val="08474803"/>
    <w:rsid w:val="084E47DF"/>
    <w:rsid w:val="085709A1"/>
    <w:rsid w:val="085F4B3A"/>
    <w:rsid w:val="086E08D1"/>
    <w:rsid w:val="086F75C9"/>
    <w:rsid w:val="087249F8"/>
    <w:rsid w:val="088C216C"/>
    <w:rsid w:val="08A34AE8"/>
    <w:rsid w:val="08A73B49"/>
    <w:rsid w:val="08BD7536"/>
    <w:rsid w:val="09044A61"/>
    <w:rsid w:val="09231B50"/>
    <w:rsid w:val="092A0AF8"/>
    <w:rsid w:val="09383F27"/>
    <w:rsid w:val="09421508"/>
    <w:rsid w:val="0946546C"/>
    <w:rsid w:val="096037C6"/>
    <w:rsid w:val="096320E9"/>
    <w:rsid w:val="09771ED5"/>
    <w:rsid w:val="09972CE7"/>
    <w:rsid w:val="09C2705F"/>
    <w:rsid w:val="09D43B87"/>
    <w:rsid w:val="0A230F5D"/>
    <w:rsid w:val="0A466E2D"/>
    <w:rsid w:val="0A5F43EE"/>
    <w:rsid w:val="0A6F4BF9"/>
    <w:rsid w:val="0AB62449"/>
    <w:rsid w:val="0AB93E11"/>
    <w:rsid w:val="0AE1418F"/>
    <w:rsid w:val="0AFD4F8D"/>
    <w:rsid w:val="0B4D4102"/>
    <w:rsid w:val="0B720CBA"/>
    <w:rsid w:val="0B923CFA"/>
    <w:rsid w:val="0C1243D4"/>
    <w:rsid w:val="0C124435"/>
    <w:rsid w:val="0C2209A3"/>
    <w:rsid w:val="0C2D48F0"/>
    <w:rsid w:val="0C571AFB"/>
    <w:rsid w:val="0C761C20"/>
    <w:rsid w:val="0C82544D"/>
    <w:rsid w:val="0CB952B6"/>
    <w:rsid w:val="0CC7696B"/>
    <w:rsid w:val="0D0A20EC"/>
    <w:rsid w:val="0D3A17B4"/>
    <w:rsid w:val="0D415248"/>
    <w:rsid w:val="0D5322F7"/>
    <w:rsid w:val="0D5A6CB1"/>
    <w:rsid w:val="0D5F5759"/>
    <w:rsid w:val="0D732168"/>
    <w:rsid w:val="0D933D59"/>
    <w:rsid w:val="0DBE06CB"/>
    <w:rsid w:val="0DDF401E"/>
    <w:rsid w:val="0DE32E83"/>
    <w:rsid w:val="0DF93334"/>
    <w:rsid w:val="0E0C25ED"/>
    <w:rsid w:val="0E6905BC"/>
    <w:rsid w:val="0E9A12B3"/>
    <w:rsid w:val="0EAA6022"/>
    <w:rsid w:val="0EC71200"/>
    <w:rsid w:val="0EEE0E4C"/>
    <w:rsid w:val="0F0E3698"/>
    <w:rsid w:val="0F1C44B6"/>
    <w:rsid w:val="0F5212E5"/>
    <w:rsid w:val="0F724866"/>
    <w:rsid w:val="0F7B4CB7"/>
    <w:rsid w:val="0FBD7F13"/>
    <w:rsid w:val="0FF35D57"/>
    <w:rsid w:val="0FF42093"/>
    <w:rsid w:val="0FFC3830"/>
    <w:rsid w:val="100102C1"/>
    <w:rsid w:val="10BF3DFD"/>
    <w:rsid w:val="10C366EA"/>
    <w:rsid w:val="10D26AD0"/>
    <w:rsid w:val="11040B3F"/>
    <w:rsid w:val="112A19B4"/>
    <w:rsid w:val="112E1722"/>
    <w:rsid w:val="11372E17"/>
    <w:rsid w:val="114C554C"/>
    <w:rsid w:val="11EE7F93"/>
    <w:rsid w:val="12076509"/>
    <w:rsid w:val="12513CF5"/>
    <w:rsid w:val="12644883"/>
    <w:rsid w:val="12C072FE"/>
    <w:rsid w:val="12D32865"/>
    <w:rsid w:val="12D437AD"/>
    <w:rsid w:val="12E56E05"/>
    <w:rsid w:val="13214728"/>
    <w:rsid w:val="13635797"/>
    <w:rsid w:val="13771535"/>
    <w:rsid w:val="13794E32"/>
    <w:rsid w:val="13906D71"/>
    <w:rsid w:val="13910D3A"/>
    <w:rsid w:val="13D46B01"/>
    <w:rsid w:val="13E87892"/>
    <w:rsid w:val="141601CE"/>
    <w:rsid w:val="144F5E29"/>
    <w:rsid w:val="15033805"/>
    <w:rsid w:val="15053F81"/>
    <w:rsid w:val="15331048"/>
    <w:rsid w:val="153B3D08"/>
    <w:rsid w:val="1563009B"/>
    <w:rsid w:val="15686188"/>
    <w:rsid w:val="15803CEC"/>
    <w:rsid w:val="159F7663"/>
    <w:rsid w:val="15A46B04"/>
    <w:rsid w:val="15AE3EB2"/>
    <w:rsid w:val="15B277D2"/>
    <w:rsid w:val="15DA31CC"/>
    <w:rsid w:val="161003AF"/>
    <w:rsid w:val="1615698C"/>
    <w:rsid w:val="16577CE5"/>
    <w:rsid w:val="1684659B"/>
    <w:rsid w:val="16863D74"/>
    <w:rsid w:val="16A677C1"/>
    <w:rsid w:val="16C87C25"/>
    <w:rsid w:val="16FD0823"/>
    <w:rsid w:val="170337AE"/>
    <w:rsid w:val="172A7F86"/>
    <w:rsid w:val="173D46B0"/>
    <w:rsid w:val="175831B8"/>
    <w:rsid w:val="175E3E90"/>
    <w:rsid w:val="176D2C64"/>
    <w:rsid w:val="17A12E26"/>
    <w:rsid w:val="17CF1CBF"/>
    <w:rsid w:val="17D75526"/>
    <w:rsid w:val="18040DB6"/>
    <w:rsid w:val="182E35C1"/>
    <w:rsid w:val="18474AF1"/>
    <w:rsid w:val="187337FE"/>
    <w:rsid w:val="187D6108"/>
    <w:rsid w:val="18810DAF"/>
    <w:rsid w:val="189674C2"/>
    <w:rsid w:val="191A71BC"/>
    <w:rsid w:val="192B0045"/>
    <w:rsid w:val="19366A57"/>
    <w:rsid w:val="194223FE"/>
    <w:rsid w:val="19456C26"/>
    <w:rsid w:val="197131A1"/>
    <w:rsid w:val="1977566D"/>
    <w:rsid w:val="199C1DDB"/>
    <w:rsid w:val="19CE0CA9"/>
    <w:rsid w:val="19DE3E9A"/>
    <w:rsid w:val="19E87A38"/>
    <w:rsid w:val="1A143B44"/>
    <w:rsid w:val="1A1E44BF"/>
    <w:rsid w:val="1A557EBC"/>
    <w:rsid w:val="1A9E1153"/>
    <w:rsid w:val="1AA255DC"/>
    <w:rsid w:val="1AD2444C"/>
    <w:rsid w:val="1B2D1349"/>
    <w:rsid w:val="1B3F1479"/>
    <w:rsid w:val="1B977D54"/>
    <w:rsid w:val="1BC07B8C"/>
    <w:rsid w:val="1BD65C8B"/>
    <w:rsid w:val="1BEF6372"/>
    <w:rsid w:val="1C11288B"/>
    <w:rsid w:val="1C1541FA"/>
    <w:rsid w:val="1C414CB7"/>
    <w:rsid w:val="1C542A99"/>
    <w:rsid w:val="1C7D5319"/>
    <w:rsid w:val="1C893E9E"/>
    <w:rsid w:val="1CA039E4"/>
    <w:rsid w:val="1CCE090A"/>
    <w:rsid w:val="1CF44D20"/>
    <w:rsid w:val="1CF47CBD"/>
    <w:rsid w:val="1D030F76"/>
    <w:rsid w:val="1D091942"/>
    <w:rsid w:val="1D190A24"/>
    <w:rsid w:val="1D1E0164"/>
    <w:rsid w:val="1D257353"/>
    <w:rsid w:val="1D412353"/>
    <w:rsid w:val="1D9C19E1"/>
    <w:rsid w:val="1D9C28C6"/>
    <w:rsid w:val="1DB6361E"/>
    <w:rsid w:val="1DCB78B6"/>
    <w:rsid w:val="1DDB1C90"/>
    <w:rsid w:val="1DE2456B"/>
    <w:rsid w:val="1DF40AF5"/>
    <w:rsid w:val="1E045B90"/>
    <w:rsid w:val="1E064E0F"/>
    <w:rsid w:val="1E166B76"/>
    <w:rsid w:val="1E391980"/>
    <w:rsid w:val="1E3F0BD7"/>
    <w:rsid w:val="1E4A5D6E"/>
    <w:rsid w:val="1E5E2568"/>
    <w:rsid w:val="1EE13A04"/>
    <w:rsid w:val="1EE33C5C"/>
    <w:rsid w:val="1F0E502E"/>
    <w:rsid w:val="1F1F6220"/>
    <w:rsid w:val="1F2102FA"/>
    <w:rsid w:val="1F26245A"/>
    <w:rsid w:val="1F5F3356"/>
    <w:rsid w:val="1F7A53F1"/>
    <w:rsid w:val="1FB9362F"/>
    <w:rsid w:val="20051608"/>
    <w:rsid w:val="20072D4F"/>
    <w:rsid w:val="20093489"/>
    <w:rsid w:val="2012577E"/>
    <w:rsid w:val="203806C8"/>
    <w:rsid w:val="2042376F"/>
    <w:rsid w:val="20467BA5"/>
    <w:rsid w:val="205E1EE7"/>
    <w:rsid w:val="206D6BC2"/>
    <w:rsid w:val="207808CA"/>
    <w:rsid w:val="20880735"/>
    <w:rsid w:val="20B8376B"/>
    <w:rsid w:val="20C577EF"/>
    <w:rsid w:val="21022930"/>
    <w:rsid w:val="2139029A"/>
    <w:rsid w:val="21405BE9"/>
    <w:rsid w:val="214C4978"/>
    <w:rsid w:val="215C3B04"/>
    <w:rsid w:val="216E65D9"/>
    <w:rsid w:val="21B16EED"/>
    <w:rsid w:val="21D020F9"/>
    <w:rsid w:val="22164CDB"/>
    <w:rsid w:val="22166463"/>
    <w:rsid w:val="221A7B60"/>
    <w:rsid w:val="226E1519"/>
    <w:rsid w:val="22C14626"/>
    <w:rsid w:val="22E62876"/>
    <w:rsid w:val="233E7C3D"/>
    <w:rsid w:val="23666029"/>
    <w:rsid w:val="23707C97"/>
    <w:rsid w:val="23785782"/>
    <w:rsid w:val="239E6DB8"/>
    <w:rsid w:val="24181234"/>
    <w:rsid w:val="2441417D"/>
    <w:rsid w:val="24733355"/>
    <w:rsid w:val="2491182C"/>
    <w:rsid w:val="24A76E45"/>
    <w:rsid w:val="24AA2351"/>
    <w:rsid w:val="24AC7C32"/>
    <w:rsid w:val="24E92FBF"/>
    <w:rsid w:val="24F059B4"/>
    <w:rsid w:val="252064E9"/>
    <w:rsid w:val="25290D49"/>
    <w:rsid w:val="25516CA3"/>
    <w:rsid w:val="258843F0"/>
    <w:rsid w:val="258B77D1"/>
    <w:rsid w:val="25AD37B3"/>
    <w:rsid w:val="26127657"/>
    <w:rsid w:val="262375E9"/>
    <w:rsid w:val="265428A2"/>
    <w:rsid w:val="26683DE7"/>
    <w:rsid w:val="267D6994"/>
    <w:rsid w:val="26C158F7"/>
    <w:rsid w:val="26D60A22"/>
    <w:rsid w:val="26F903B7"/>
    <w:rsid w:val="27195F1F"/>
    <w:rsid w:val="27453BCA"/>
    <w:rsid w:val="27D133AC"/>
    <w:rsid w:val="27D4558D"/>
    <w:rsid w:val="2802755A"/>
    <w:rsid w:val="284F6469"/>
    <w:rsid w:val="285817A1"/>
    <w:rsid w:val="28D93691"/>
    <w:rsid w:val="28F3193C"/>
    <w:rsid w:val="293C27BB"/>
    <w:rsid w:val="294D0E0F"/>
    <w:rsid w:val="29513F43"/>
    <w:rsid w:val="29D62C56"/>
    <w:rsid w:val="2A063FF9"/>
    <w:rsid w:val="2A100DF4"/>
    <w:rsid w:val="2A1928CD"/>
    <w:rsid w:val="2A397BB5"/>
    <w:rsid w:val="2A42356E"/>
    <w:rsid w:val="2A546017"/>
    <w:rsid w:val="2A690DFB"/>
    <w:rsid w:val="2A787219"/>
    <w:rsid w:val="2A9A62A0"/>
    <w:rsid w:val="2A9F01F5"/>
    <w:rsid w:val="2AB00C3A"/>
    <w:rsid w:val="2AB14C7E"/>
    <w:rsid w:val="2AC36BE0"/>
    <w:rsid w:val="2AC837FC"/>
    <w:rsid w:val="2AD41D06"/>
    <w:rsid w:val="2AE06B1F"/>
    <w:rsid w:val="2AE13EFE"/>
    <w:rsid w:val="2B0E622B"/>
    <w:rsid w:val="2B1572AA"/>
    <w:rsid w:val="2B5E653F"/>
    <w:rsid w:val="2BDD0834"/>
    <w:rsid w:val="2C3D5164"/>
    <w:rsid w:val="2C882870"/>
    <w:rsid w:val="2CBF615D"/>
    <w:rsid w:val="2CD842BC"/>
    <w:rsid w:val="2CF465E9"/>
    <w:rsid w:val="2D1001D8"/>
    <w:rsid w:val="2D165300"/>
    <w:rsid w:val="2D25437C"/>
    <w:rsid w:val="2D5441E7"/>
    <w:rsid w:val="2D5B04EF"/>
    <w:rsid w:val="2D895E7B"/>
    <w:rsid w:val="2DA20074"/>
    <w:rsid w:val="2DB17672"/>
    <w:rsid w:val="2DBA12B4"/>
    <w:rsid w:val="2DD03880"/>
    <w:rsid w:val="2DDF502E"/>
    <w:rsid w:val="2DE40D57"/>
    <w:rsid w:val="2DF923D4"/>
    <w:rsid w:val="2E0A15D2"/>
    <w:rsid w:val="2E213B17"/>
    <w:rsid w:val="2E2E6745"/>
    <w:rsid w:val="2E3752B9"/>
    <w:rsid w:val="2E50062E"/>
    <w:rsid w:val="2E584722"/>
    <w:rsid w:val="2E757FE8"/>
    <w:rsid w:val="2E816BB3"/>
    <w:rsid w:val="2E88210A"/>
    <w:rsid w:val="2EB6568D"/>
    <w:rsid w:val="2EBA6FBA"/>
    <w:rsid w:val="2F124847"/>
    <w:rsid w:val="2F4F719B"/>
    <w:rsid w:val="2F57681D"/>
    <w:rsid w:val="2F5F6101"/>
    <w:rsid w:val="2F7E2553"/>
    <w:rsid w:val="2F7E473F"/>
    <w:rsid w:val="2FBD7922"/>
    <w:rsid w:val="2FE82CF6"/>
    <w:rsid w:val="302209DF"/>
    <w:rsid w:val="302954FA"/>
    <w:rsid w:val="308A502F"/>
    <w:rsid w:val="308B001F"/>
    <w:rsid w:val="30934DCF"/>
    <w:rsid w:val="30A927C3"/>
    <w:rsid w:val="30B63274"/>
    <w:rsid w:val="30C030C5"/>
    <w:rsid w:val="30E21964"/>
    <w:rsid w:val="30EF0517"/>
    <w:rsid w:val="31005233"/>
    <w:rsid w:val="31266965"/>
    <w:rsid w:val="31615F0C"/>
    <w:rsid w:val="31706BC3"/>
    <w:rsid w:val="31791BBA"/>
    <w:rsid w:val="31993886"/>
    <w:rsid w:val="31AB1C3E"/>
    <w:rsid w:val="31D923A2"/>
    <w:rsid w:val="31E54A61"/>
    <w:rsid w:val="31E71440"/>
    <w:rsid w:val="31F521E5"/>
    <w:rsid w:val="322143BF"/>
    <w:rsid w:val="327B42C5"/>
    <w:rsid w:val="32AA00AD"/>
    <w:rsid w:val="32DC4A7A"/>
    <w:rsid w:val="32DD31FD"/>
    <w:rsid w:val="32E526B1"/>
    <w:rsid w:val="330A174F"/>
    <w:rsid w:val="331D4FA6"/>
    <w:rsid w:val="3334022E"/>
    <w:rsid w:val="333D44D0"/>
    <w:rsid w:val="336E0A1A"/>
    <w:rsid w:val="338410EA"/>
    <w:rsid w:val="339B2E93"/>
    <w:rsid w:val="33C57D33"/>
    <w:rsid w:val="341E30C2"/>
    <w:rsid w:val="342531EE"/>
    <w:rsid w:val="3470594C"/>
    <w:rsid w:val="34BC17E3"/>
    <w:rsid w:val="35144F5D"/>
    <w:rsid w:val="353133DD"/>
    <w:rsid w:val="354E31FD"/>
    <w:rsid w:val="35544B32"/>
    <w:rsid w:val="35552B19"/>
    <w:rsid w:val="35711499"/>
    <w:rsid w:val="3573098E"/>
    <w:rsid w:val="35C75B6B"/>
    <w:rsid w:val="35D86580"/>
    <w:rsid w:val="35E66F3E"/>
    <w:rsid w:val="362E6768"/>
    <w:rsid w:val="36300A26"/>
    <w:rsid w:val="36416B1C"/>
    <w:rsid w:val="367F5758"/>
    <w:rsid w:val="368F7EFE"/>
    <w:rsid w:val="36EE7852"/>
    <w:rsid w:val="372D1425"/>
    <w:rsid w:val="373D0518"/>
    <w:rsid w:val="37420F2D"/>
    <w:rsid w:val="37471D03"/>
    <w:rsid w:val="374D4FB1"/>
    <w:rsid w:val="37623406"/>
    <w:rsid w:val="37EE08C7"/>
    <w:rsid w:val="381A393B"/>
    <w:rsid w:val="38252E3D"/>
    <w:rsid w:val="38362FDF"/>
    <w:rsid w:val="3843193D"/>
    <w:rsid w:val="388074ED"/>
    <w:rsid w:val="38CC74E7"/>
    <w:rsid w:val="38CD41BC"/>
    <w:rsid w:val="38D166FA"/>
    <w:rsid w:val="38F80196"/>
    <w:rsid w:val="390322D2"/>
    <w:rsid w:val="390E5C45"/>
    <w:rsid w:val="39291BA8"/>
    <w:rsid w:val="39A21204"/>
    <w:rsid w:val="39F4489B"/>
    <w:rsid w:val="3A045518"/>
    <w:rsid w:val="3A1855ED"/>
    <w:rsid w:val="3A1E0012"/>
    <w:rsid w:val="3A2D4A6A"/>
    <w:rsid w:val="3A5343E9"/>
    <w:rsid w:val="3A8704FC"/>
    <w:rsid w:val="3A887BFC"/>
    <w:rsid w:val="3A8D57D7"/>
    <w:rsid w:val="3AA36BEF"/>
    <w:rsid w:val="3AEA7899"/>
    <w:rsid w:val="3B3B0686"/>
    <w:rsid w:val="3B9070AB"/>
    <w:rsid w:val="3BC220AB"/>
    <w:rsid w:val="3BC372F7"/>
    <w:rsid w:val="3BF04C4E"/>
    <w:rsid w:val="3C0902DE"/>
    <w:rsid w:val="3C4E474C"/>
    <w:rsid w:val="3C5A32BA"/>
    <w:rsid w:val="3C5F67ED"/>
    <w:rsid w:val="3C700679"/>
    <w:rsid w:val="3C702A49"/>
    <w:rsid w:val="3C835A58"/>
    <w:rsid w:val="3C8C41E4"/>
    <w:rsid w:val="3CBA197A"/>
    <w:rsid w:val="3CBC5B13"/>
    <w:rsid w:val="3CF426B6"/>
    <w:rsid w:val="3D7469C9"/>
    <w:rsid w:val="3D941F96"/>
    <w:rsid w:val="3D997C1C"/>
    <w:rsid w:val="3DB54113"/>
    <w:rsid w:val="3DB638CC"/>
    <w:rsid w:val="3DC16286"/>
    <w:rsid w:val="3DC95B92"/>
    <w:rsid w:val="3E30405B"/>
    <w:rsid w:val="3E70521B"/>
    <w:rsid w:val="3E75421A"/>
    <w:rsid w:val="3E7B0F84"/>
    <w:rsid w:val="3ECB1456"/>
    <w:rsid w:val="3EE10A8E"/>
    <w:rsid w:val="3F330144"/>
    <w:rsid w:val="3F3468A5"/>
    <w:rsid w:val="3F3B4937"/>
    <w:rsid w:val="3F5A54C4"/>
    <w:rsid w:val="3F673CEA"/>
    <w:rsid w:val="3F783512"/>
    <w:rsid w:val="3F845C6C"/>
    <w:rsid w:val="3F863B9A"/>
    <w:rsid w:val="3F914ABD"/>
    <w:rsid w:val="3FF51A83"/>
    <w:rsid w:val="402652C3"/>
    <w:rsid w:val="403A3A3D"/>
    <w:rsid w:val="409B1FA2"/>
    <w:rsid w:val="40E04A2E"/>
    <w:rsid w:val="40F0541D"/>
    <w:rsid w:val="40F21458"/>
    <w:rsid w:val="40F40524"/>
    <w:rsid w:val="40F749B6"/>
    <w:rsid w:val="40FE1834"/>
    <w:rsid w:val="41121738"/>
    <w:rsid w:val="41AA6D5E"/>
    <w:rsid w:val="41F1193E"/>
    <w:rsid w:val="41F9761A"/>
    <w:rsid w:val="420570E9"/>
    <w:rsid w:val="42575781"/>
    <w:rsid w:val="427E7F29"/>
    <w:rsid w:val="42976DF4"/>
    <w:rsid w:val="42AA5BC4"/>
    <w:rsid w:val="42B452E9"/>
    <w:rsid w:val="42B55500"/>
    <w:rsid w:val="431D15FA"/>
    <w:rsid w:val="43254633"/>
    <w:rsid w:val="43347CDF"/>
    <w:rsid w:val="43446A3B"/>
    <w:rsid w:val="435864A6"/>
    <w:rsid w:val="439E7D19"/>
    <w:rsid w:val="43A921C1"/>
    <w:rsid w:val="43C96596"/>
    <w:rsid w:val="43CE761A"/>
    <w:rsid w:val="43DD30B5"/>
    <w:rsid w:val="43E10E10"/>
    <w:rsid w:val="440B4E89"/>
    <w:rsid w:val="44172957"/>
    <w:rsid w:val="4460785B"/>
    <w:rsid w:val="4491039B"/>
    <w:rsid w:val="44FA2D53"/>
    <w:rsid w:val="453320F3"/>
    <w:rsid w:val="454C7491"/>
    <w:rsid w:val="458469EB"/>
    <w:rsid w:val="45BD0A29"/>
    <w:rsid w:val="45C86072"/>
    <w:rsid w:val="46160571"/>
    <w:rsid w:val="46615221"/>
    <w:rsid w:val="46FA08F4"/>
    <w:rsid w:val="470D1EAB"/>
    <w:rsid w:val="47132D8E"/>
    <w:rsid w:val="47141124"/>
    <w:rsid w:val="475C05AE"/>
    <w:rsid w:val="47681B63"/>
    <w:rsid w:val="47693EBC"/>
    <w:rsid w:val="477279AB"/>
    <w:rsid w:val="478E22A9"/>
    <w:rsid w:val="47992B45"/>
    <w:rsid w:val="47B573FC"/>
    <w:rsid w:val="47B6609F"/>
    <w:rsid w:val="47F046AF"/>
    <w:rsid w:val="47FC5A7C"/>
    <w:rsid w:val="48495BE4"/>
    <w:rsid w:val="48677399"/>
    <w:rsid w:val="487C20A4"/>
    <w:rsid w:val="489554BE"/>
    <w:rsid w:val="489D047D"/>
    <w:rsid w:val="48CD0129"/>
    <w:rsid w:val="48D16F09"/>
    <w:rsid w:val="48F45C6A"/>
    <w:rsid w:val="48FB4C86"/>
    <w:rsid w:val="49096032"/>
    <w:rsid w:val="49184DBE"/>
    <w:rsid w:val="491C0E8E"/>
    <w:rsid w:val="492B4B2C"/>
    <w:rsid w:val="49322264"/>
    <w:rsid w:val="493303A6"/>
    <w:rsid w:val="49417604"/>
    <w:rsid w:val="49474DF6"/>
    <w:rsid w:val="49520049"/>
    <w:rsid w:val="496F5A9E"/>
    <w:rsid w:val="49724FDE"/>
    <w:rsid w:val="499B664F"/>
    <w:rsid w:val="49C86B99"/>
    <w:rsid w:val="49F22146"/>
    <w:rsid w:val="49F54F10"/>
    <w:rsid w:val="4A067C22"/>
    <w:rsid w:val="4A172E31"/>
    <w:rsid w:val="4A2117CA"/>
    <w:rsid w:val="4A263AAB"/>
    <w:rsid w:val="4A5D0F49"/>
    <w:rsid w:val="4A636BCF"/>
    <w:rsid w:val="4A6F2335"/>
    <w:rsid w:val="4A986F65"/>
    <w:rsid w:val="4A9B77CE"/>
    <w:rsid w:val="4AA3755E"/>
    <w:rsid w:val="4AA77FC5"/>
    <w:rsid w:val="4AE41EEE"/>
    <w:rsid w:val="4AF943BB"/>
    <w:rsid w:val="4B2F7935"/>
    <w:rsid w:val="4B300899"/>
    <w:rsid w:val="4B350861"/>
    <w:rsid w:val="4B3C3587"/>
    <w:rsid w:val="4B703DA7"/>
    <w:rsid w:val="4B857F7F"/>
    <w:rsid w:val="4BAE3AC4"/>
    <w:rsid w:val="4BD37877"/>
    <w:rsid w:val="4BDA0709"/>
    <w:rsid w:val="4BDD439B"/>
    <w:rsid w:val="4BF929FE"/>
    <w:rsid w:val="4C2704D5"/>
    <w:rsid w:val="4C2F5831"/>
    <w:rsid w:val="4C4D42D7"/>
    <w:rsid w:val="4CCD16A3"/>
    <w:rsid w:val="4D212863"/>
    <w:rsid w:val="4D402F58"/>
    <w:rsid w:val="4D72429C"/>
    <w:rsid w:val="4D8E58CC"/>
    <w:rsid w:val="4DB67B69"/>
    <w:rsid w:val="4DF07E31"/>
    <w:rsid w:val="4DFA7F41"/>
    <w:rsid w:val="4E0932A4"/>
    <w:rsid w:val="4E342D6F"/>
    <w:rsid w:val="4E7B6746"/>
    <w:rsid w:val="4EAC4367"/>
    <w:rsid w:val="4ED1469F"/>
    <w:rsid w:val="4ED6182B"/>
    <w:rsid w:val="4EDE23D6"/>
    <w:rsid w:val="4F28096D"/>
    <w:rsid w:val="4F427F1F"/>
    <w:rsid w:val="4F492DF2"/>
    <w:rsid w:val="4F4C278B"/>
    <w:rsid w:val="4F661CD0"/>
    <w:rsid w:val="4F917B91"/>
    <w:rsid w:val="4FDA6797"/>
    <w:rsid w:val="501C2BA9"/>
    <w:rsid w:val="503A21B0"/>
    <w:rsid w:val="50542086"/>
    <w:rsid w:val="50710771"/>
    <w:rsid w:val="50C44696"/>
    <w:rsid w:val="510967B9"/>
    <w:rsid w:val="5110545C"/>
    <w:rsid w:val="51383AD2"/>
    <w:rsid w:val="51462EC1"/>
    <w:rsid w:val="51484182"/>
    <w:rsid w:val="514B39A0"/>
    <w:rsid w:val="51700E20"/>
    <w:rsid w:val="51924E49"/>
    <w:rsid w:val="519A23FD"/>
    <w:rsid w:val="51E91D54"/>
    <w:rsid w:val="51E955C8"/>
    <w:rsid w:val="51F2101B"/>
    <w:rsid w:val="520A4FC4"/>
    <w:rsid w:val="52280012"/>
    <w:rsid w:val="524557C6"/>
    <w:rsid w:val="524B5BF1"/>
    <w:rsid w:val="52523FCE"/>
    <w:rsid w:val="52686122"/>
    <w:rsid w:val="5270302C"/>
    <w:rsid w:val="527171CA"/>
    <w:rsid w:val="52925E7A"/>
    <w:rsid w:val="52984B81"/>
    <w:rsid w:val="52A431C4"/>
    <w:rsid w:val="52B66D45"/>
    <w:rsid w:val="52BA7B69"/>
    <w:rsid w:val="52E535AD"/>
    <w:rsid w:val="531847EF"/>
    <w:rsid w:val="53427269"/>
    <w:rsid w:val="53611626"/>
    <w:rsid w:val="536B16F8"/>
    <w:rsid w:val="538B4F2D"/>
    <w:rsid w:val="53C75F86"/>
    <w:rsid w:val="53CB39A3"/>
    <w:rsid w:val="53FC789B"/>
    <w:rsid w:val="540A1710"/>
    <w:rsid w:val="54573A0A"/>
    <w:rsid w:val="54624B3D"/>
    <w:rsid w:val="54687583"/>
    <w:rsid w:val="54BE3501"/>
    <w:rsid w:val="54C774FF"/>
    <w:rsid w:val="55380955"/>
    <w:rsid w:val="55AD03B6"/>
    <w:rsid w:val="55D734D4"/>
    <w:rsid w:val="55E27F6D"/>
    <w:rsid w:val="55EB5D8B"/>
    <w:rsid w:val="560607B8"/>
    <w:rsid w:val="560E2417"/>
    <w:rsid w:val="562E613F"/>
    <w:rsid w:val="5634294F"/>
    <w:rsid w:val="56400443"/>
    <w:rsid w:val="564B58AA"/>
    <w:rsid w:val="56854C9B"/>
    <w:rsid w:val="56B77BAB"/>
    <w:rsid w:val="56C651CA"/>
    <w:rsid w:val="56D83E6C"/>
    <w:rsid w:val="570D2925"/>
    <w:rsid w:val="574E6B14"/>
    <w:rsid w:val="57AA76FF"/>
    <w:rsid w:val="58216021"/>
    <w:rsid w:val="5829216F"/>
    <w:rsid w:val="58297B21"/>
    <w:rsid w:val="5844784B"/>
    <w:rsid w:val="585422C0"/>
    <w:rsid w:val="587407E5"/>
    <w:rsid w:val="58B60D40"/>
    <w:rsid w:val="58FE634D"/>
    <w:rsid w:val="5918325B"/>
    <w:rsid w:val="592B1CD0"/>
    <w:rsid w:val="594C73C3"/>
    <w:rsid w:val="598F7EBC"/>
    <w:rsid w:val="59913B72"/>
    <w:rsid w:val="59980C26"/>
    <w:rsid w:val="59A05A65"/>
    <w:rsid w:val="59D155C1"/>
    <w:rsid w:val="59EA00DD"/>
    <w:rsid w:val="5A167663"/>
    <w:rsid w:val="5A1F7B89"/>
    <w:rsid w:val="5A4663A8"/>
    <w:rsid w:val="5A5D3278"/>
    <w:rsid w:val="5A6A4D9A"/>
    <w:rsid w:val="5ACE3525"/>
    <w:rsid w:val="5AEC675C"/>
    <w:rsid w:val="5B087D7E"/>
    <w:rsid w:val="5B0D4AB9"/>
    <w:rsid w:val="5B1E3C34"/>
    <w:rsid w:val="5B4E012C"/>
    <w:rsid w:val="5B5929B3"/>
    <w:rsid w:val="5B5C7B1E"/>
    <w:rsid w:val="5B794782"/>
    <w:rsid w:val="5B881A90"/>
    <w:rsid w:val="5B8942B7"/>
    <w:rsid w:val="5BB601E7"/>
    <w:rsid w:val="5BCF4D5D"/>
    <w:rsid w:val="5BE80CA8"/>
    <w:rsid w:val="5C092095"/>
    <w:rsid w:val="5C0A0AAE"/>
    <w:rsid w:val="5C1D0FA3"/>
    <w:rsid w:val="5C443A96"/>
    <w:rsid w:val="5C657AF3"/>
    <w:rsid w:val="5C862563"/>
    <w:rsid w:val="5C8A31CF"/>
    <w:rsid w:val="5C996290"/>
    <w:rsid w:val="5CD238FF"/>
    <w:rsid w:val="5D064F7B"/>
    <w:rsid w:val="5D1C490A"/>
    <w:rsid w:val="5D27504C"/>
    <w:rsid w:val="5D4D2B14"/>
    <w:rsid w:val="5D5F410C"/>
    <w:rsid w:val="5DB02C2A"/>
    <w:rsid w:val="5DC83AF7"/>
    <w:rsid w:val="5DCF0A86"/>
    <w:rsid w:val="5DDC3F2E"/>
    <w:rsid w:val="5DE90A67"/>
    <w:rsid w:val="5E0752A8"/>
    <w:rsid w:val="5E7F349B"/>
    <w:rsid w:val="5E9C17D9"/>
    <w:rsid w:val="5EB929B9"/>
    <w:rsid w:val="5ECA158D"/>
    <w:rsid w:val="5EF96BDA"/>
    <w:rsid w:val="5F110CB3"/>
    <w:rsid w:val="5F261C43"/>
    <w:rsid w:val="5F2B5306"/>
    <w:rsid w:val="5F2D3867"/>
    <w:rsid w:val="5F3D7ED0"/>
    <w:rsid w:val="5F6B4BE9"/>
    <w:rsid w:val="5F891965"/>
    <w:rsid w:val="5FD70AC1"/>
    <w:rsid w:val="60104D6E"/>
    <w:rsid w:val="602A0C0E"/>
    <w:rsid w:val="603E371E"/>
    <w:rsid w:val="609B6487"/>
    <w:rsid w:val="609C395B"/>
    <w:rsid w:val="61212B5A"/>
    <w:rsid w:val="616C0D78"/>
    <w:rsid w:val="61E258C0"/>
    <w:rsid w:val="61F30C8B"/>
    <w:rsid w:val="6234118A"/>
    <w:rsid w:val="623672D7"/>
    <w:rsid w:val="623D7724"/>
    <w:rsid w:val="624A126F"/>
    <w:rsid w:val="628024AE"/>
    <w:rsid w:val="62A93E68"/>
    <w:rsid w:val="63036242"/>
    <w:rsid w:val="63090EB9"/>
    <w:rsid w:val="630E4B89"/>
    <w:rsid w:val="6311068A"/>
    <w:rsid w:val="632C3261"/>
    <w:rsid w:val="63512BCC"/>
    <w:rsid w:val="636D0698"/>
    <w:rsid w:val="639D716E"/>
    <w:rsid w:val="639F715F"/>
    <w:rsid w:val="63B0239D"/>
    <w:rsid w:val="63BE4B85"/>
    <w:rsid w:val="63C749CA"/>
    <w:rsid w:val="63E25278"/>
    <w:rsid w:val="64166F3F"/>
    <w:rsid w:val="643A0143"/>
    <w:rsid w:val="644118C2"/>
    <w:rsid w:val="644475D5"/>
    <w:rsid w:val="644A634D"/>
    <w:rsid w:val="644C4019"/>
    <w:rsid w:val="646E7C85"/>
    <w:rsid w:val="64A92074"/>
    <w:rsid w:val="6507222E"/>
    <w:rsid w:val="65255578"/>
    <w:rsid w:val="6554164B"/>
    <w:rsid w:val="657165DF"/>
    <w:rsid w:val="65E96F04"/>
    <w:rsid w:val="66512464"/>
    <w:rsid w:val="668A09CB"/>
    <w:rsid w:val="66913DDD"/>
    <w:rsid w:val="66B854F1"/>
    <w:rsid w:val="66C371E1"/>
    <w:rsid w:val="66C82F85"/>
    <w:rsid w:val="66FB5E9B"/>
    <w:rsid w:val="671E61E5"/>
    <w:rsid w:val="67613772"/>
    <w:rsid w:val="67926E64"/>
    <w:rsid w:val="67A75CFE"/>
    <w:rsid w:val="67B764C8"/>
    <w:rsid w:val="67BE1A97"/>
    <w:rsid w:val="67BE4AB5"/>
    <w:rsid w:val="67E21EB2"/>
    <w:rsid w:val="67EE7083"/>
    <w:rsid w:val="67F3592B"/>
    <w:rsid w:val="682F0764"/>
    <w:rsid w:val="68370496"/>
    <w:rsid w:val="683D0E0B"/>
    <w:rsid w:val="685B6A0A"/>
    <w:rsid w:val="6898231A"/>
    <w:rsid w:val="68A3599A"/>
    <w:rsid w:val="68BC7647"/>
    <w:rsid w:val="68CD6530"/>
    <w:rsid w:val="68D64000"/>
    <w:rsid w:val="68F3523D"/>
    <w:rsid w:val="68F418B6"/>
    <w:rsid w:val="68F7150D"/>
    <w:rsid w:val="692254C9"/>
    <w:rsid w:val="69336832"/>
    <w:rsid w:val="6966287E"/>
    <w:rsid w:val="69803BCC"/>
    <w:rsid w:val="699B1BEE"/>
    <w:rsid w:val="69CE085E"/>
    <w:rsid w:val="69E12319"/>
    <w:rsid w:val="69FA3998"/>
    <w:rsid w:val="6A16515A"/>
    <w:rsid w:val="6A7724EA"/>
    <w:rsid w:val="6A790053"/>
    <w:rsid w:val="6A7A330D"/>
    <w:rsid w:val="6A7F636D"/>
    <w:rsid w:val="6A877EFE"/>
    <w:rsid w:val="6AA832CF"/>
    <w:rsid w:val="6B0C12D4"/>
    <w:rsid w:val="6B157B44"/>
    <w:rsid w:val="6B514E51"/>
    <w:rsid w:val="6B8F1613"/>
    <w:rsid w:val="6B96571C"/>
    <w:rsid w:val="6B98198D"/>
    <w:rsid w:val="6BDA26C9"/>
    <w:rsid w:val="6BE80B3C"/>
    <w:rsid w:val="6C0E0FB3"/>
    <w:rsid w:val="6C1D2186"/>
    <w:rsid w:val="6C483025"/>
    <w:rsid w:val="6C5E6583"/>
    <w:rsid w:val="6C815E93"/>
    <w:rsid w:val="6C897A0B"/>
    <w:rsid w:val="6CC97A4D"/>
    <w:rsid w:val="6CD41CBD"/>
    <w:rsid w:val="6CDC2D02"/>
    <w:rsid w:val="6CEE291E"/>
    <w:rsid w:val="6D0021D5"/>
    <w:rsid w:val="6D395C77"/>
    <w:rsid w:val="6D443A79"/>
    <w:rsid w:val="6D514FDD"/>
    <w:rsid w:val="6D5E4D54"/>
    <w:rsid w:val="6D5F3F75"/>
    <w:rsid w:val="6D776111"/>
    <w:rsid w:val="6D905DCA"/>
    <w:rsid w:val="6D9263B7"/>
    <w:rsid w:val="6D9C4E79"/>
    <w:rsid w:val="6D9F03A5"/>
    <w:rsid w:val="6DAF1395"/>
    <w:rsid w:val="6E000DD9"/>
    <w:rsid w:val="6E010047"/>
    <w:rsid w:val="6E027DA4"/>
    <w:rsid w:val="6E0709B3"/>
    <w:rsid w:val="6E17050A"/>
    <w:rsid w:val="6E1E0AF6"/>
    <w:rsid w:val="6E68434A"/>
    <w:rsid w:val="6E6D1281"/>
    <w:rsid w:val="6E7621C6"/>
    <w:rsid w:val="6E8612B8"/>
    <w:rsid w:val="6E946ADA"/>
    <w:rsid w:val="6EE359AA"/>
    <w:rsid w:val="6EF150B7"/>
    <w:rsid w:val="6F1928EC"/>
    <w:rsid w:val="6F547DC8"/>
    <w:rsid w:val="6F584D95"/>
    <w:rsid w:val="6F6B4240"/>
    <w:rsid w:val="6F7C731F"/>
    <w:rsid w:val="6F8D62CB"/>
    <w:rsid w:val="702C2B38"/>
    <w:rsid w:val="704F36D8"/>
    <w:rsid w:val="705E0F2B"/>
    <w:rsid w:val="70721A49"/>
    <w:rsid w:val="70CB3E14"/>
    <w:rsid w:val="70F2649C"/>
    <w:rsid w:val="70F37D14"/>
    <w:rsid w:val="71014DF6"/>
    <w:rsid w:val="710F4F87"/>
    <w:rsid w:val="711932F5"/>
    <w:rsid w:val="713170FD"/>
    <w:rsid w:val="71553B3C"/>
    <w:rsid w:val="715A0E26"/>
    <w:rsid w:val="7169166A"/>
    <w:rsid w:val="718F1D6A"/>
    <w:rsid w:val="71A1386F"/>
    <w:rsid w:val="71C66B42"/>
    <w:rsid w:val="71ED0C23"/>
    <w:rsid w:val="721B259B"/>
    <w:rsid w:val="72274100"/>
    <w:rsid w:val="723D26F5"/>
    <w:rsid w:val="724F2EBE"/>
    <w:rsid w:val="725D688B"/>
    <w:rsid w:val="725E0F42"/>
    <w:rsid w:val="72CC6727"/>
    <w:rsid w:val="72F1213A"/>
    <w:rsid w:val="72FB5563"/>
    <w:rsid w:val="7386251A"/>
    <w:rsid w:val="738A1535"/>
    <w:rsid w:val="73F50693"/>
    <w:rsid w:val="740F0F98"/>
    <w:rsid w:val="741D2CBE"/>
    <w:rsid w:val="74205810"/>
    <w:rsid w:val="748A21FC"/>
    <w:rsid w:val="74AA4E3F"/>
    <w:rsid w:val="74AE06FF"/>
    <w:rsid w:val="74AF71F3"/>
    <w:rsid w:val="74C13ADE"/>
    <w:rsid w:val="74D91022"/>
    <w:rsid w:val="74DE7162"/>
    <w:rsid w:val="74E732D8"/>
    <w:rsid w:val="751C5B58"/>
    <w:rsid w:val="751E1F23"/>
    <w:rsid w:val="755B2A27"/>
    <w:rsid w:val="757840A2"/>
    <w:rsid w:val="759031A9"/>
    <w:rsid w:val="75A269D8"/>
    <w:rsid w:val="75B415C0"/>
    <w:rsid w:val="75C827B8"/>
    <w:rsid w:val="75C85DD9"/>
    <w:rsid w:val="75DB78B3"/>
    <w:rsid w:val="75EE3E6E"/>
    <w:rsid w:val="766823AB"/>
    <w:rsid w:val="76713FCF"/>
    <w:rsid w:val="767A5BE2"/>
    <w:rsid w:val="7686648C"/>
    <w:rsid w:val="76EC62B1"/>
    <w:rsid w:val="76FE1D74"/>
    <w:rsid w:val="770F74D9"/>
    <w:rsid w:val="77161E07"/>
    <w:rsid w:val="77167D0B"/>
    <w:rsid w:val="777F62A2"/>
    <w:rsid w:val="778760F8"/>
    <w:rsid w:val="7812083C"/>
    <w:rsid w:val="7836236E"/>
    <w:rsid w:val="788A1BAF"/>
    <w:rsid w:val="78C350E4"/>
    <w:rsid w:val="78DE6F92"/>
    <w:rsid w:val="78E81C6A"/>
    <w:rsid w:val="78F65A05"/>
    <w:rsid w:val="79160717"/>
    <w:rsid w:val="797D616D"/>
    <w:rsid w:val="79976DD3"/>
    <w:rsid w:val="799D329F"/>
    <w:rsid w:val="79F22645"/>
    <w:rsid w:val="7A010B4C"/>
    <w:rsid w:val="7A8B468D"/>
    <w:rsid w:val="7AA30FE8"/>
    <w:rsid w:val="7B2662BF"/>
    <w:rsid w:val="7B840E2B"/>
    <w:rsid w:val="7BE424D4"/>
    <w:rsid w:val="7C10151B"/>
    <w:rsid w:val="7C5B2D32"/>
    <w:rsid w:val="7C7810E9"/>
    <w:rsid w:val="7C8A452B"/>
    <w:rsid w:val="7CB9785F"/>
    <w:rsid w:val="7CCF5D17"/>
    <w:rsid w:val="7CDB4C2F"/>
    <w:rsid w:val="7D0752CC"/>
    <w:rsid w:val="7D0F15A6"/>
    <w:rsid w:val="7D1C07ED"/>
    <w:rsid w:val="7D280C63"/>
    <w:rsid w:val="7D2D16BC"/>
    <w:rsid w:val="7D370CA2"/>
    <w:rsid w:val="7D4360BD"/>
    <w:rsid w:val="7D4A0A5C"/>
    <w:rsid w:val="7D580756"/>
    <w:rsid w:val="7D764D36"/>
    <w:rsid w:val="7D8A42F5"/>
    <w:rsid w:val="7D976E69"/>
    <w:rsid w:val="7DEE2150"/>
    <w:rsid w:val="7DF10E35"/>
    <w:rsid w:val="7E2E7702"/>
    <w:rsid w:val="7E316464"/>
    <w:rsid w:val="7E5B3B87"/>
    <w:rsid w:val="7E707BA2"/>
    <w:rsid w:val="7F0662CB"/>
    <w:rsid w:val="7F2E60AC"/>
    <w:rsid w:val="7F5E20C4"/>
    <w:rsid w:val="7F706B63"/>
    <w:rsid w:val="7F7D0860"/>
    <w:rsid w:val="7F8A29AB"/>
    <w:rsid w:val="7F9C4353"/>
    <w:rsid w:val="7FFF5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84"/>
    <w:qFormat/>
    <w:uiPriority w:val="9"/>
    <w:pPr>
      <w:keepNext/>
      <w:keepLines/>
      <w:spacing w:before="340" w:after="330" w:line="578" w:lineRule="auto"/>
      <w:ind w:left="425" w:hanging="425"/>
    </w:pPr>
    <w:rPr>
      <w:rFonts w:cs="Times New Roman"/>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1"/>
    <w:link w:val="51"/>
    <w:qFormat/>
    <w:uiPriority w:val="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55"/>
    <w:qFormat/>
    <w:uiPriority w:val="9"/>
    <w:pPr>
      <w:keepNext/>
      <w:keepLines/>
      <w:spacing w:before="280" w:after="290" w:line="376" w:lineRule="auto"/>
      <w:outlineLvl w:val="3"/>
    </w:pPr>
    <w:rPr>
      <w:rFonts w:ascii="Calibri Light" w:hAnsi="Calibri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10"/>
    <w:pPr>
      <w:spacing w:before="240" w:after="60"/>
      <w:jc w:val="center"/>
      <w:outlineLvl w:val="0"/>
    </w:pPr>
    <w:rPr>
      <w:rFonts w:ascii="Arial" w:hAnsi="Arial" w:cs="Arial"/>
      <w:b/>
      <w:bCs/>
      <w:sz w:val="32"/>
      <w:szCs w:val="32"/>
    </w:rPr>
  </w:style>
  <w:style w:type="paragraph" w:styleId="7">
    <w:name w:val="Normal Indent"/>
    <w:basedOn w:val="1"/>
    <w:link w:val="67"/>
    <w:qFormat/>
    <w:uiPriority w:val="0"/>
    <w:pPr>
      <w:spacing w:line="360" w:lineRule="auto"/>
      <w:ind w:left="360" w:firstLine="420" w:firstLineChars="200"/>
    </w:pPr>
    <w:rPr>
      <w:kern w:val="0"/>
      <w:sz w:val="24"/>
      <w:szCs w:val="20"/>
    </w:rPr>
  </w:style>
  <w:style w:type="paragraph" w:styleId="8">
    <w:name w:val="Document Map"/>
    <w:basedOn w:val="1"/>
    <w:link w:val="90"/>
    <w:unhideWhenUsed/>
    <w:qFormat/>
    <w:uiPriority w:val="99"/>
    <w:rPr>
      <w:rFonts w:ascii="宋体" w:hAnsi="Times New Roman"/>
      <w:kern w:val="0"/>
      <w:sz w:val="18"/>
      <w:szCs w:val="18"/>
    </w:rPr>
  </w:style>
  <w:style w:type="paragraph" w:styleId="9">
    <w:name w:val="Body Text 3"/>
    <w:basedOn w:val="1"/>
    <w:unhideWhenUsed/>
    <w:qFormat/>
    <w:uiPriority w:val="99"/>
    <w:rPr>
      <w:sz w:val="16"/>
      <w:szCs w:val="16"/>
    </w:rPr>
  </w:style>
  <w:style w:type="paragraph" w:styleId="10">
    <w:name w:val="Body Text"/>
    <w:basedOn w:val="1"/>
    <w:next w:val="11"/>
    <w:link w:val="48"/>
    <w:qFormat/>
    <w:uiPriority w:val="1"/>
    <w:pPr>
      <w:jc w:val="left"/>
    </w:pPr>
    <w:rPr>
      <w:rFonts w:ascii="宋体" w:hAnsi="宋体"/>
      <w:kern w:val="0"/>
      <w:sz w:val="24"/>
      <w:lang w:eastAsia="en-US"/>
    </w:rPr>
  </w:style>
  <w:style w:type="paragraph" w:customStyle="1" w:styleId="11">
    <w:name w:val="Default"/>
    <w:next w:val="1"/>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12">
    <w:name w:val="Body Text Indent"/>
    <w:basedOn w:val="1"/>
    <w:next w:val="13"/>
    <w:qFormat/>
    <w:uiPriority w:val="0"/>
    <w:pPr>
      <w:ind w:firstLine="538" w:firstLineChars="192"/>
    </w:pPr>
    <w:rPr>
      <w:rFonts w:eastAsia="楷体_GB2312"/>
      <w:sz w:val="28"/>
    </w:rPr>
  </w:style>
  <w:style w:type="paragraph" w:styleId="13">
    <w:name w:val="envelope return"/>
    <w:basedOn w:val="1"/>
    <w:qFormat/>
    <w:uiPriority w:val="0"/>
    <w:pPr>
      <w:snapToGrid w:val="0"/>
    </w:pPr>
    <w:rPr>
      <w:rFonts w:ascii="Arial" w:hAnsi="Arial" w:cs="Arial"/>
    </w:rPr>
  </w:style>
  <w:style w:type="paragraph" w:styleId="14">
    <w:name w:val="toc 3"/>
    <w:basedOn w:val="1"/>
    <w:next w:val="1"/>
    <w:unhideWhenUsed/>
    <w:qFormat/>
    <w:uiPriority w:val="39"/>
    <w:pPr>
      <w:ind w:left="840" w:leftChars="400"/>
    </w:pPr>
  </w:style>
  <w:style w:type="paragraph" w:styleId="15">
    <w:name w:val="Plain Text"/>
    <w:basedOn w:val="1"/>
    <w:link w:val="77"/>
    <w:unhideWhenUsed/>
    <w:qFormat/>
    <w:uiPriority w:val="99"/>
    <w:rPr>
      <w:rFonts w:ascii="宋体" w:hAnsi="Courier New"/>
      <w:kern w:val="0"/>
      <w:sz w:val="20"/>
      <w:szCs w:val="21"/>
    </w:rPr>
  </w:style>
  <w:style w:type="paragraph" w:styleId="16">
    <w:name w:val="Date"/>
    <w:basedOn w:val="1"/>
    <w:next w:val="1"/>
    <w:link w:val="58"/>
    <w:unhideWhenUsed/>
    <w:qFormat/>
    <w:uiPriority w:val="99"/>
    <w:pPr>
      <w:ind w:left="100" w:leftChars="2500"/>
    </w:pPr>
    <w:rPr>
      <w:rFonts w:ascii="Times New Roman" w:hAnsi="Times New Roman"/>
      <w:kern w:val="0"/>
      <w:sz w:val="20"/>
    </w:rPr>
  </w:style>
  <w:style w:type="paragraph" w:styleId="17">
    <w:name w:val="Balloon Text"/>
    <w:basedOn w:val="1"/>
    <w:link w:val="68"/>
    <w:unhideWhenUsed/>
    <w:qFormat/>
    <w:uiPriority w:val="0"/>
    <w:rPr>
      <w:rFonts w:ascii="Times New Roman" w:hAnsi="Times New Roman"/>
      <w:kern w:val="0"/>
      <w:sz w:val="18"/>
      <w:szCs w:val="18"/>
    </w:rPr>
  </w:style>
  <w:style w:type="paragraph" w:styleId="18">
    <w:name w:val="footer"/>
    <w:basedOn w:val="1"/>
    <w:link w:val="65"/>
    <w:unhideWhenUsed/>
    <w:qFormat/>
    <w:uiPriority w:val="99"/>
    <w:pPr>
      <w:tabs>
        <w:tab w:val="center" w:pos="4153"/>
        <w:tab w:val="right" w:pos="8306"/>
      </w:tabs>
      <w:snapToGrid w:val="0"/>
      <w:jc w:val="left"/>
    </w:pPr>
    <w:rPr>
      <w:kern w:val="0"/>
      <w:sz w:val="18"/>
      <w:szCs w:val="18"/>
    </w:rPr>
  </w:style>
  <w:style w:type="paragraph" w:styleId="19">
    <w:name w:val="header"/>
    <w:basedOn w:val="1"/>
    <w:link w:val="9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pPr>
      <w:tabs>
        <w:tab w:val="left" w:pos="1260"/>
        <w:tab w:val="right" w:leader="dot" w:pos="8834"/>
      </w:tabs>
      <w:jc w:val="center"/>
    </w:pPr>
  </w:style>
  <w:style w:type="paragraph" w:styleId="21">
    <w:name w:val="List 5"/>
    <w:basedOn w:val="1"/>
    <w:qFormat/>
    <w:uiPriority w:val="0"/>
    <w:pPr>
      <w:ind w:left="2100" w:hanging="420"/>
    </w:pPr>
    <w:rPr>
      <w:rFonts w:eastAsia="楷体_GB2312"/>
      <w:sz w:val="32"/>
    </w:rPr>
  </w:style>
  <w:style w:type="paragraph" w:styleId="22">
    <w:name w:val="toc 2"/>
    <w:basedOn w:val="1"/>
    <w:next w:val="1"/>
    <w:unhideWhenUsed/>
    <w:qFormat/>
    <w:uiPriority w:val="39"/>
    <w:pPr>
      <w:ind w:left="420" w:leftChars="200"/>
    </w:pPr>
  </w:style>
  <w:style w:type="paragraph" w:styleId="23">
    <w:name w:val="Body Text 2"/>
    <w:basedOn w:val="1"/>
    <w:qFormat/>
    <w:uiPriority w:val="99"/>
    <w:pPr>
      <w:spacing w:before="100" w:beforeAutospacing="1" w:after="100" w:afterAutospacing="1"/>
      <w:jc w:val="left"/>
    </w:pPr>
    <w:rPr>
      <w:rFonts w:ascii="宋体" w:hAnsi="宋体"/>
      <w:kern w:val="0"/>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next w:val="1"/>
    <w:unhideWhenUsed/>
    <w:qFormat/>
    <w:uiPriority w:val="0"/>
    <w:pPr>
      <w:widowControl/>
      <w:spacing w:beforeAutospacing="1" w:afterAutospacing="1"/>
      <w:jc w:val="left"/>
    </w:pPr>
    <w:rPr>
      <w:rFonts w:ascii="宋体" w:hAnsi="宋体"/>
      <w:kern w:val="0"/>
      <w:sz w:val="24"/>
    </w:rPr>
  </w:style>
  <w:style w:type="paragraph" w:styleId="27">
    <w:name w:val="Body Text First Indent"/>
    <w:basedOn w:val="10"/>
    <w:next w:val="28"/>
    <w:qFormat/>
    <w:uiPriority w:val="0"/>
    <w:pPr>
      <w:ind w:firstLine="420" w:firstLineChars="100"/>
    </w:pPr>
  </w:style>
  <w:style w:type="paragraph" w:styleId="28">
    <w:name w:val="Body Text First Indent 2"/>
    <w:basedOn w:val="12"/>
    <w:next w:val="1"/>
    <w:qFormat/>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333333"/>
      <w:u w:val="none"/>
    </w:rPr>
  </w:style>
  <w:style w:type="character" w:styleId="35">
    <w:name w:val="Emphasis"/>
    <w:basedOn w:val="31"/>
    <w:qFormat/>
    <w:uiPriority w:val="20"/>
  </w:style>
  <w:style w:type="character" w:styleId="36">
    <w:name w:val="Hyperlink"/>
    <w:basedOn w:val="31"/>
    <w:unhideWhenUsed/>
    <w:qFormat/>
    <w:uiPriority w:val="99"/>
    <w:rPr>
      <w:color w:val="0563C1"/>
      <w:u w:val="single"/>
    </w:rPr>
  </w:style>
  <w:style w:type="character" w:styleId="37">
    <w:name w:val="annotation reference"/>
    <w:basedOn w:val="31"/>
    <w:semiHidden/>
    <w:unhideWhenUsed/>
    <w:qFormat/>
    <w:uiPriority w:val="99"/>
    <w:rPr>
      <w:sz w:val="21"/>
      <w:szCs w:val="21"/>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Body Text First Indent1"/>
    <w:basedOn w:val="10"/>
    <w:next w:val="41"/>
    <w:qFormat/>
    <w:uiPriority w:val="0"/>
    <w:pPr>
      <w:spacing w:after="120" w:afterLines="0"/>
      <w:ind w:firstLine="420" w:firstLineChars="100"/>
      <w:jc w:val="both"/>
    </w:pPr>
    <w:rPr>
      <w:kern w:val="2"/>
      <w:sz w:val="21"/>
    </w:rPr>
  </w:style>
  <w:style w:type="paragraph" w:customStyle="1" w:styleId="41">
    <w:name w:val="Body Text First Indent 21"/>
    <w:basedOn w:val="42"/>
    <w:qFormat/>
    <w:uiPriority w:val="0"/>
    <w:pPr>
      <w:ind w:firstLine="420" w:firstLineChars="200"/>
    </w:pPr>
  </w:style>
  <w:style w:type="paragraph" w:customStyle="1" w:styleId="42">
    <w:name w:val="Body Text Indent1"/>
    <w:basedOn w:val="1"/>
    <w:qFormat/>
    <w:uiPriority w:val="0"/>
    <w:pPr>
      <w:spacing w:after="120" w:afterLines="0"/>
      <w:ind w:left="420" w:leftChars="200"/>
    </w:pPr>
    <w:rPr>
      <w:rFonts w:ascii="Times New Roman" w:hAnsi="Times New Roman"/>
    </w:rPr>
  </w:style>
  <w:style w:type="paragraph" w:customStyle="1" w:styleId="43">
    <w:name w:val="大标题"/>
    <w:basedOn w:val="1"/>
    <w:next w:val="28"/>
    <w:qFormat/>
    <w:uiPriority w:val="0"/>
    <w:pPr>
      <w:jc w:val="center"/>
    </w:pPr>
    <w:rPr>
      <w:rFonts w:ascii="Arial" w:hAnsi="Arial" w:eastAsia="宋体" w:cs="Times New Roman"/>
      <w:b/>
      <w:sz w:val="28"/>
      <w:szCs w:val="24"/>
    </w:rPr>
  </w:style>
  <w:style w:type="paragraph" w:customStyle="1" w:styleId="44">
    <w:name w:val="Body Text First Indent"/>
    <w:basedOn w:val="10"/>
    <w:next w:val="45"/>
    <w:qFormat/>
    <w:uiPriority w:val="0"/>
    <w:pPr>
      <w:spacing w:after="120" w:afterLines="0"/>
      <w:ind w:firstLine="420" w:firstLineChars="100"/>
      <w:jc w:val="both"/>
    </w:pPr>
    <w:rPr>
      <w:kern w:val="2"/>
      <w:sz w:val="21"/>
    </w:rPr>
  </w:style>
  <w:style w:type="paragraph" w:customStyle="1" w:styleId="45">
    <w:name w:val="Body Text First Indent 2"/>
    <w:basedOn w:val="46"/>
    <w:qFormat/>
    <w:uiPriority w:val="0"/>
    <w:pPr>
      <w:ind w:firstLine="420" w:firstLineChars="200"/>
    </w:pPr>
  </w:style>
  <w:style w:type="paragraph" w:customStyle="1" w:styleId="46">
    <w:name w:val="Body Text Indent"/>
    <w:basedOn w:val="1"/>
    <w:qFormat/>
    <w:uiPriority w:val="0"/>
    <w:pPr>
      <w:spacing w:after="120" w:afterLines="0"/>
      <w:ind w:left="420" w:leftChars="200"/>
    </w:pPr>
    <w:rPr>
      <w:rFonts w:ascii="Times New Roman" w:hAnsi="Times New Roman"/>
    </w:rPr>
  </w:style>
  <w:style w:type="character" w:customStyle="1" w:styleId="47">
    <w:name w:val="正文文本 Char1"/>
    <w:basedOn w:val="31"/>
    <w:qFormat/>
    <w:uiPriority w:val="99"/>
  </w:style>
  <w:style w:type="character" w:customStyle="1" w:styleId="48">
    <w:name w:val="正文文本 Char"/>
    <w:link w:val="10"/>
    <w:qFormat/>
    <w:uiPriority w:val="1"/>
    <w:rPr>
      <w:rFonts w:ascii="宋体" w:hAnsi="宋体" w:eastAsia="宋体" w:cs="宋体"/>
      <w:kern w:val="0"/>
      <w:sz w:val="24"/>
      <w:szCs w:val="24"/>
      <w:lang w:eastAsia="en-US"/>
    </w:rPr>
  </w:style>
  <w:style w:type="character" w:customStyle="1" w:styleId="49">
    <w:name w:val="文档正文 Char Char"/>
    <w:link w:val="50"/>
    <w:qFormat/>
    <w:locked/>
    <w:uiPriority w:val="0"/>
    <w:rPr>
      <w:rFonts w:ascii="长城仿宋" w:hAnsi="长城仿宋" w:eastAsia="长城仿宋" w:cs="长城仿宋"/>
      <w:sz w:val="24"/>
    </w:rPr>
  </w:style>
  <w:style w:type="paragraph" w:customStyle="1" w:styleId="50">
    <w:name w:val="文档正文"/>
    <w:basedOn w:val="1"/>
    <w:link w:val="49"/>
    <w:qFormat/>
    <w:uiPriority w:val="0"/>
    <w:pPr>
      <w:adjustRightInd w:val="0"/>
      <w:spacing w:line="480" w:lineRule="atLeast"/>
      <w:ind w:firstLine="567"/>
    </w:pPr>
    <w:rPr>
      <w:rFonts w:ascii="长城仿宋" w:hAnsi="长城仿宋" w:eastAsia="长城仿宋"/>
      <w:kern w:val="0"/>
      <w:sz w:val="24"/>
      <w:szCs w:val="20"/>
    </w:rPr>
  </w:style>
  <w:style w:type="character" w:customStyle="1" w:styleId="51">
    <w:name w:val="标题 3 Char"/>
    <w:link w:val="5"/>
    <w:qFormat/>
    <w:uiPriority w:val="9"/>
    <w:rPr>
      <w:rFonts w:ascii="Times New Roman" w:hAnsi="Times New Roman" w:eastAsia="宋体" w:cs="Times New Roman"/>
      <w:b/>
      <w:bCs/>
      <w:sz w:val="32"/>
      <w:szCs w:val="32"/>
    </w:rPr>
  </w:style>
  <w:style w:type="character" w:customStyle="1" w:styleId="52">
    <w:name w:val="正文文本 Char2"/>
    <w:semiHidden/>
    <w:qFormat/>
    <w:uiPriority w:val="99"/>
    <w:rPr>
      <w:rFonts w:ascii="Calibri" w:hAnsi="Calibri" w:eastAsia="宋体" w:cs="Times New Roman"/>
    </w:rPr>
  </w:style>
  <w:style w:type="character" w:customStyle="1" w:styleId="53">
    <w:name w:val="页眉 Char2"/>
    <w:semiHidden/>
    <w:qFormat/>
    <w:uiPriority w:val="99"/>
    <w:rPr>
      <w:rFonts w:ascii="Calibri" w:hAnsi="Calibri" w:eastAsia="宋体" w:cs="Times New Roman"/>
      <w:sz w:val="18"/>
      <w:szCs w:val="18"/>
    </w:rPr>
  </w:style>
  <w:style w:type="character" w:customStyle="1" w:styleId="54">
    <w:name w:val="ft"/>
    <w:qFormat/>
    <w:uiPriority w:val="0"/>
  </w:style>
  <w:style w:type="character" w:customStyle="1" w:styleId="55">
    <w:name w:val="标题 4 Char"/>
    <w:link w:val="6"/>
    <w:qFormat/>
    <w:uiPriority w:val="9"/>
    <w:rPr>
      <w:rFonts w:ascii="Calibri Light" w:hAnsi="Calibri Light" w:eastAsia="宋体" w:cs="Times New Roman"/>
      <w:b/>
      <w:bCs/>
      <w:kern w:val="2"/>
      <w:sz w:val="28"/>
      <w:szCs w:val="28"/>
    </w:rPr>
  </w:style>
  <w:style w:type="character" w:customStyle="1" w:styleId="56">
    <w:name w:val="A10"/>
    <w:qFormat/>
    <w:uiPriority w:val="99"/>
    <w:rPr>
      <w:rFonts w:cs="幼圆"/>
      <w:color w:val="000000"/>
      <w:sz w:val="16"/>
      <w:szCs w:val="16"/>
    </w:rPr>
  </w:style>
  <w:style w:type="character" w:customStyle="1" w:styleId="57">
    <w:name w:val="font6"/>
    <w:basedOn w:val="31"/>
    <w:qFormat/>
    <w:uiPriority w:val="0"/>
  </w:style>
  <w:style w:type="character" w:customStyle="1" w:styleId="58">
    <w:name w:val="日期 Char"/>
    <w:link w:val="16"/>
    <w:semiHidden/>
    <w:qFormat/>
    <w:uiPriority w:val="99"/>
    <w:rPr>
      <w:rFonts w:ascii="Times New Roman" w:hAnsi="Times New Roman" w:eastAsia="宋体" w:cs="Times New Roman"/>
      <w:szCs w:val="24"/>
    </w:rPr>
  </w:style>
  <w:style w:type="character" w:customStyle="1" w:styleId="59">
    <w:name w:val="HTML 预设格式 Char2"/>
    <w:semiHidden/>
    <w:qFormat/>
    <w:uiPriority w:val="99"/>
    <w:rPr>
      <w:rFonts w:ascii="Courier New" w:hAnsi="Courier New" w:eastAsia="宋体" w:cs="Courier New"/>
      <w:sz w:val="20"/>
      <w:szCs w:val="20"/>
    </w:rPr>
  </w:style>
  <w:style w:type="character" w:customStyle="1" w:styleId="60">
    <w:name w:val="正文文本缩进 Char"/>
    <w:qFormat/>
    <w:uiPriority w:val="0"/>
    <w:rPr>
      <w:kern w:val="2"/>
      <w:sz w:val="21"/>
      <w:szCs w:val="24"/>
    </w:rPr>
  </w:style>
  <w:style w:type="character" w:customStyle="1" w:styleId="61">
    <w:name w:val="font71"/>
    <w:qFormat/>
    <w:uiPriority w:val="0"/>
    <w:rPr>
      <w:rFonts w:ascii="Arial" w:hAnsi="Arial" w:cs="Arial"/>
      <w:color w:val="666666"/>
      <w:sz w:val="21"/>
      <w:szCs w:val="21"/>
      <w:u w:val="none"/>
    </w:rPr>
  </w:style>
  <w:style w:type="character" w:customStyle="1" w:styleId="62">
    <w:name w:val="页眉 Char1"/>
    <w:semiHidden/>
    <w:qFormat/>
    <w:uiPriority w:val="99"/>
    <w:rPr>
      <w:sz w:val="18"/>
      <w:szCs w:val="18"/>
    </w:rPr>
  </w:style>
  <w:style w:type="character" w:customStyle="1" w:styleId="63">
    <w:name w:val="正文首行缩进 Char"/>
    <w:qFormat/>
    <w:uiPriority w:val="0"/>
    <w:rPr>
      <w:rFonts w:ascii="宋体" w:hAnsi="宋体" w:eastAsia="宋体" w:cs="宋体"/>
      <w:kern w:val="2"/>
      <w:sz w:val="21"/>
      <w:szCs w:val="24"/>
      <w:lang w:eastAsia="en-US"/>
    </w:rPr>
  </w:style>
  <w:style w:type="character" w:customStyle="1" w:styleId="64">
    <w:name w:val="标题 2 Char"/>
    <w:link w:val="4"/>
    <w:qFormat/>
    <w:uiPriority w:val="9"/>
    <w:rPr>
      <w:rFonts w:ascii="Calibri Light" w:hAnsi="Calibri Light" w:eastAsia="宋体" w:cs="Times New Roman"/>
      <w:b/>
      <w:bCs/>
      <w:sz w:val="32"/>
      <w:szCs w:val="32"/>
    </w:rPr>
  </w:style>
  <w:style w:type="character" w:customStyle="1" w:styleId="65">
    <w:name w:val="页脚 Char"/>
    <w:link w:val="18"/>
    <w:qFormat/>
    <w:uiPriority w:val="99"/>
    <w:rPr>
      <w:sz w:val="18"/>
      <w:szCs w:val="18"/>
    </w:rPr>
  </w:style>
  <w:style w:type="character" w:customStyle="1" w:styleId="66">
    <w:name w:val="font51"/>
    <w:qFormat/>
    <w:uiPriority w:val="0"/>
    <w:rPr>
      <w:rFonts w:hint="default" w:ascii="Times New Roman" w:hAnsi="Times New Roman" w:cs="Times New Roman"/>
      <w:color w:val="000000"/>
      <w:sz w:val="18"/>
      <w:szCs w:val="18"/>
      <w:u w:val="none"/>
    </w:rPr>
  </w:style>
  <w:style w:type="character" w:customStyle="1" w:styleId="67">
    <w:name w:val="正文缩进 Char"/>
    <w:link w:val="7"/>
    <w:qFormat/>
    <w:uiPriority w:val="0"/>
    <w:rPr>
      <w:sz w:val="24"/>
    </w:rPr>
  </w:style>
  <w:style w:type="character" w:customStyle="1" w:styleId="68">
    <w:name w:val="批注框文本 Char"/>
    <w:link w:val="17"/>
    <w:semiHidden/>
    <w:qFormat/>
    <w:uiPriority w:val="0"/>
    <w:rPr>
      <w:rFonts w:ascii="Times New Roman" w:hAnsi="Times New Roman" w:eastAsia="宋体" w:cs="Times New Roman"/>
      <w:sz w:val="18"/>
      <w:szCs w:val="18"/>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font7"/>
    <w:basedOn w:val="31"/>
    <w:qFormat/>
    <w:uiPriority w:val="0"/>
  </w:style>
  <w:style w:type="character" w:customStyle="1" w:styleId="71">
    <w:name w:val="页脚 Char1"/>
    <w:semiHidden/>
    <w:qFormat/>
    <w:uiPriority w:val="99"/>
    <w:rPr>
      <w:sz w:val="18"/>
      <w:szCs w:val="18"/>
    </w:rPr>
  </w:style>
  <w:style w:type="character" w:customStyle="1" w:styleId="72">
    <w:name w:val="apple-style-span"/>
    <w:basedOn w:val="31"/>
    <w:qFormat/>
    <w:uiPriority w:val="0"/>
  </w:style>
  <w:style w:type="character" w:customStyle="1" w:styleId="73">
    <w:name w:val="font81"/>
    <w:qFormat/>
    <w:uiPriority w:val="0"/>
    <w:rPr>
      <w:rFonts w:hint="default" w:ascii="Times New Roman" w:hAnsi="Times New Roman" w:cs="Times New Roman"/>
      <w:b/>
      <w:color w:val="000000"/>
      <w:sz w:val="18"/>
      <w:szCs w:val="18"/>
      <w:u w:val="none"/>
    </w:rPr>
  </w:style>
  <w:style w:type="character" w:customStyle="1" w:styleId="74">
    <w:name w:val="列出段落 Char"/>
    <w:link w:val="75"/>
    <w:qFormat/>
    <w:uiPriority w:val="0"/>
    <w:rPr>
      <w:kern w:val="2"/>
      <w:sz w:val="21"/>
      <w:szCs w:val="24"/>
    </w:rPr>
  </w:style>
  <w:style w:type="paragraph" w:styleId="75">
    <w:name w:val="List Paragraph"/>
    <w:basedOn w:val="1"/>
    <w:link w:val="74"/>
    <w:qFormat/>
    <w:uiPriority w:val="0"/>
    <w:pPr>
      <w:ind w:firstLine="420" w:firstLineChars="200"/>
    </w:pPr>
  </w:style>
  <w:style w:type="character" w:customStyle="1" w:styleId="76">
    <w:name w:val="font11"/>
    <w:qFormat/>
    <w:uiPriority w:val="0"/>
    <w:rPr>
      <w:rFonts w:hint="eastAsia" w:ascii="宋体" w:hAnsi="宋体" w:eastAsia="宋体" w:cs="宋体"/>
      <w:color w:val="000000"/>
      <w:sz w:val="18"/>
      <w:szCs w:val="18"/>
      <w:u w:val="none"/>
    </w:rPr>
  </w:style>
  <w:style w:type="character" w:customStyle="1" w:styleId="77">
    <w:name w:val="纯文本 Char"/>
    <w:link w:val="15"/>
    <w:qFormat/>
    <w:uiPriority w:val="99"/>
    <w:rPr>
      <w:rFonts w:ascii="宋体" w:hAnsi="Courier New"/>
      <w:szCs w:val="21"/>
    </w:rPr>
  </w:style>
  <w:style w:type="character" w:customStyle="1" w:styleId="78">
    <w:name w:val="HTML 预设格式 Char1"/>
    <w:qFormat/>
    <w:uiPriority w:val="99"/>
    <w:rPr>
      <w:rFonts w:ascii="Courier New" w:hAnsi="Courier New" w:cs="Courier New"/>
      <w:kern w:val="2"/>
    </w:rPr>
  </w:style>
  <w:style w:type="character" w:customStyle="1" w:styleId="79">
    <w:name w:val="apple-converted-space"/>
    <w:basedOn w:val="31"/>
    <w:qFormat/>
    <w:uiPriority w:val="0"/>
  </w:style>
  <w:style w:type="character" w:customStyle="1" w:styleId="80">
    <w:name w:val="HTML 预设格式 Char"/>
    <w:link w:val="25"/>
    <w:qFormat/>
    <w:uiPriority w:val="99"/>
    <w:rPr>
      <w:rFonts w:ascii="宋体" w:hAnsi="宋体"/>
      <w:sz w:val="24"/>
      <w:szCs w:val="24"/>
    </w:rPr>
  </w:style>
  <w:style w:type="character" w:customStyle="1" w:styleId="81">
    <w:name w:val="Char Char6"/>
    <w:qFormat/>
    <w:uiPriority w:val="0"/>
    <w:rPr>
      <w:rFonts w:eastAsia="宋体"/>
      <w:kern w:val="2"/>
      <w:sz w:val="18"/>
      <w:szCs w:val="18"/>
      <w:lang w:val="en-US" w:eastAsia="zh-CN" w:bidi="ar-SA"/>
    </w:rPr>
  </w:style>
  <w:style w:type="character" w:customStyle="1" w:styleId="82">
    <w:name w:val="font31"/>
    <w:qFormat/>
    <w:uiPriority w:val="0"/>
    <w:rPr>
      <w:rFonts w:ascii="黑体" w:hAnsi="宋体" w:eastAsia="黑体" w:cs="黑体"/>
      <w:color w:val="000000"/>
      <w:sz w:val="18"/>
      <w:szCs w:val="18"/>
      <w:u w:val="none"/>
    </w:rPr>
  </w:style>
  <w:style w:type="character" w:customStyle="1" w:styleId="83">
    <w:name w:val="A1"/>
    <w:qFormat/>
    <w:uiPriority w:val="99"/>
    <w:rPr>
      <w:rFonts w:cs="Century Gothic"/>
      <w:b/>
      <w:bCs/>
      <w:color w:val="000000"/>
      <w:sz w:val="20"/>
      <w:szCs w:val="20"/>
    </w:rPr>
  </w:style>
  <w:style w:type="character" w:customStyle="1" w:styleId="84">
    <w:name w:val="标题 1 Char"/>
    <w:link w:val="2"/>
    <w:qFormat/>
    <w:uiPriority w:val="9"/>
    <w:rPr>
      <w:rFonts w:ascii="Arial" w:hAnsi="Arial"/>
      <w:b/>
      <w:bCs/>
      <w:kern w:val="44"/>
      <w:sz w:val="44"/>
      <w:szCs w:val="44"/>
    </w:rPr>
  </w:style>
  <w:style w:type="character" w:customStyle="1" w:styleId="85">
    <w:name w:val="NormalCharacter"/>
    <w:qFormat/>
    <w:uiPriority w:val="0"/>
    <w:rPr>
      <w:rFonts w:ascii="Times New Roman" w:hAnsi="Times New Roman" w:eastAsia="宋体" w:cs="Times New Roman"/>
      <w:kern w:val="2"/>
      <w:sz w:val="21"/>
      <w:lang w:val="en-US" w:eastAsia="zh-CN" w:bidi="ar-SA"/>
    </w:rPr>
  </w:style>
  <w:style w:type="character" w:customStyle="1" w:styleId="86">
    <w:name w:val="无间隔 Char"/>
    <w:link w:val="87"/>
    <w:qFormat/>
    <w:uiPriority w:val="1"/>
    <w:rPr>
      <w:kern w:val="2"/>
      <w:sz w:val="21"/>
      <w:szCs w:val="22"/>
      <w:lang w:val="en-US" w:eastAsia="zh-CN" w:bidi="ar-SA"/>
    </w:rPr>
  </w:style>
  <w:style w:type="paragraph" w:styleId="87">
    <w:name w:val="No Spacing"/>
    <w:link w:val="86"/>
    <w:qFormat/>
    <w:uiPriority w:val="1"/>
    <w:pPr>
      <w:widowControl w:val="0"/>
      <w:jc w:val="both"/>
    </w:pPr>
    <w:rPr>
      <w:rFonts w:ascii="Calibri" w:hAnsi="Calibri" w:eastAsia="宋体" w:cs="Times New Roman"/>
      <w:kern w:val="2"/>
      <w:sz w:val="21"/>
      <w:szCs w:val="22"/>
      <w:lang w:val="en-US" w:eastAsia="zh-CN" w:bidi="ar-SA"/>
    </w:rPr>
  </w:style>
  <w:style w:type="character" w:customStyle="1" w:styleId="88">
    <w:name w:val="List Paragraph Char"/>
    <w:link w:val="89"/>
    <w:qFormat/>
    <w:uiPriority w:val="34"/>
    <w:rPr>
      <w:kern w:val="2"/>
      <w:sz w:val="21"/>
      <w:szCs w:val="24"/>
    </w:rPr>
  </w:style>
  <w:style w:type="paragraph" w:customStyle="1" w:styleId="89">
    <w:name w:val="列出段落1"/>
    <w:basedOn w:val="1"/>
    <w:link w:val="88"/>
    <w:qFormat/>
    <w:uiPriority w:val="34"/>
    <w:pPr>
      <w:ind w:firstLine="420" w:firstLineChars="200"/>
    </w:pPr>
  </w:style>
  <w:style w:type="character" w:customStyle="1" w:styleId="90">
    <w:name w:val="文档结构图 Char"/>
    <w:link w:val="8"/>
    <w:semiHidden/>
    <w:qFormat/>
    <w:uiPriority w:val="99"/>
    <w:rPr>
      <w:rFonts w:ascii="宋体" w:hAnsi="Times New Roman" w:eastAsia="宋体" w:cs="Times New Roman"/>
      <w:sz w:val="18"/>
      <w:szCs w:val="18"/>
    </w:rPr>
  </w:style>
  <w:style w:type="character" w:customStyle="1" w:styleId="91">
    <w:name w:val="正文首行缩进 2 Char"/>
    <w:qFormat/>
    <w:uiPriority w:val="99"/>
    <w:rPr>
      <w:kern w:val="2"/>
      <w:sz w:val="21"/>
      <w:szCs w:val="24"/>
    </w:rPr>
  </w:style>
  <w:style w:type="character" w:customStyle="1" w:styleId="92">
    <w:name w:val="font61"/>
    <w:qFormat/>
    <w:uiPriority w:val="0"/>
    <w:rPr>
      <w:rFonts w:ascii="Calibri" w:hAnsi="Calibri" w:cs="Calibri"/>
      <w:color w:val="000000"/>
      <w:sz w:val="18"/>
      <w:szCs w:val="18"/>
      <w:u w:val="none"/>
    </w:rPr>
  </w:style>
  <w:style w:type="character" w:customStyle="1" w:styleId="93">
    <w:name w:val="页脚 Char2"/>
    <w:semiHidden/>
    <w:qFormat/>
    <w:uiPriority w:val="99"/>
    <w:rPr>
      <w:rFonts w:ascii="Calibri" w:hAnsi="Calibri" w:eastAsia="宋体" w:cs="Times New Roman"/>
      <w:sz w:val="18"/>
      <w:szCs w:val="18"/>
    </w:rPr>
  </w:style>
  <w:style w:type="character" w:customStyle="1" w:styleId="94">
    <w:name w:val="页眉 Char"/>
    <w:link w:val="19"/>
    <w:qFormat/>
    <w:uiPriority w:val="99"/>
    <w:rPr>
      <w:sz w:val="18"/>
      <w:szCs w:val="18"/>
    </w:rPr>
  </w:style>
  <w:style w:type="character" w:customStyle="1" w:styleId="95">
    <w:name w:val="A8"/>
    <w:qFormat/>
    <w:uiPriority w:val="99"/>
    <w:rPr>
      <w:rFonts w:cs="幼圆"/>
      <w:color w:val="000000"/>
      <w:sz w:val="16"/>
      <w:szCs w:val="16"/>
    </w:rPr>
  </w:style>
  <w:style w:type="character" w:customStyle="1" w:styleId="96">
    <w:name w:val="A3"/>
    <w:qFormat/>
    <w:uiPriority w:val="99"/>
    <w:rPr>
      <w:rFonts w:cs="Century Gothic"/>
      <w:b/>
      <w:bCs/>
      <w:color w:val="000000"/>
      <w:sz w:val="20"/>
      <w:szCs w:val="20"/>
    </w:rPr>
  </w:style>
  <w:style w:type="character" w:customStyle="1" w:styleId="97">
    <w:name w:val="font21"/>
    <w:qFormat/>
    <w:uiPriority w:val="0"/>
    <w:rPr>
      <w:rFonts w:hint="eastAsia" w:ascii="宋体" w:hAnsi="宋体" w:eastAsia="宋体" w:cs="宋体"/>
      <w:color w:val="000000"/>
      <w:sz w:val="18"/>
      <w:szCs w:val="18"/>
      <w:u w:val="none"/>
    </w:rPr>
  </w:style>
  <w:style w:type="paragraph" w:customStyle="1" w:styleId="98">
    <w:name w:val="列出段落2"/>
    <w:basedOn w:val="1"/>
    <w:qFormat/>
    <w:uiPriority w:val="0"/>
    <w:pPr>
      <w:ind w:firstLine="420" w:firstLineChars="200"/>
    </w:p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Table Paragraph"/>
    <w:basedOn w:val="1"/>
    <w:qFormat/>
    <w:uiPriority w:val="1"/>
    <w:pPr>
      <w:jc w:val="left"/>
    </w:pPr>
    <w:rPr>
      <w:rFonts w:ascii="宋体" w:hAnsi="宋体" w:cs="宋体"/>
      <w:kern w:val="0"/>
      <w:sz w:val="22"/>
      <w:szCs w:val="22"/>
      <w:lang w:eastAsia="en-US"/>
    </w:rPr>
  </w:style>
  <w:style w:type="paragraph" w:customStyle="1" w:styleId="103">
    <w:name w:val="2z"/>
    <w:basedOn w:val="1"/>
    <w:qFormat/>
    <w:uiPriority w:val="99"/>
    <w:pPr>
      <w:topLinePunct/>
      <w:spacing w:line="480" w:lineRule="auto"/>
    </w:pPr>
    <w:rPr>
      <w:rFonts w:ascii="EU-F1" w:hAnsi="EU-F1" w:eastAsia="黑体"/>
      <w:kern w:val="21"/>
    </w:rPr>
  </w:style>
  <w:style w:type="paragraph" w:customStyle="1" w:styleId="104">
    <w:name w:val="Pa6"/>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05">
    <w:name w:val="列出段落11"/>
    <w:basedOn w:val="1"/>
    <w:qFormat/>
    <w:uiPriority w:val="34"/>
    <w:pPr>
      <w:ind w:firstLine="420" w:firstLineChars="200"/>
    </w:pPr>
    <w:rPr>
      <w:szCs w:val="22"/>
    </w:rPr>
  </w:style>
  <w:style w:type="paragraph" w:customStyle="1" w:styleId="106">
    <w:name w:val="列出段落21"/>
    <w:basedOn w:val="1"/>
    <w:qFormat/>
    <w:uiPriority w:val="0"/>
    <w:pPr>
      <w:ind w:firstLine="420" w:firstLineChars="200"/>
    </w:pPr>
    <w:rPr>
      <w:rFonts w:cs="Calibri"/>
      <w:szCs w:val="21"/>
    </w:rPr>
  </w:style>
  <w:style w:type="paragraph" w:customStyle="1" w:styleId="10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111">
    <w:name w:val="p0"/>
    <w:basedOn w:val="1"/>
    <w:qFormat/>
    <w:uiPriority w:val="0"/>
    <w:pPr>
      <w:widowControl/>
    </w:pPr>
    <w:rPr>
      <w:kern w:val="0"/>
    </w:rPr>
  </w:style>
  <w:style w:type="paragraph" w:customStyle="1" w:styleId="11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Pa5"/>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16">
    <w:name w:val="_Style 2"/>
    <w:basedOn w:val="1"/>
    <w:qFormat/>
    <w:uiPriority w:val="99"/>
    <w:pPr>
      <w:ind w:firstLine="200" w:firstLineChars="200"/>
    </w:pPr>
  </w:style>
  <w:style w:type="paragraph" w:customStyle="1" w:styleId="117">
    <w:name w:val="Table Text"/>
    <w:basedOn w:val="1"/>
    <w:qFormat/>
    <w:uiPriority w:val="0"/>
    <w:pPr>
      <w:widowControl/>
      <w:tabs>
        <w:tab w:val="decimal" w:pos="0"/>
      </w:tabs>
      <w:autoSpaceDE w:val="0"/>
      <w:autoSpaceDN w:val="0"/>
      <w:adjustRightInd w:val="0"/>
      <w:spacing w:before="80" w:after="80"/>
    </w:pPr>
    <w:rPr>
      <w:rFonts w:ascii="Arial" w:hAnsi="Arial"/>
      <w:sz w:val="18"/>
      <w:szCs w:val="22"/>
    </w:rPr>
  </w:style>
  <w:style w:type="paragraph" w:customStyle="1" w:styleId="1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_Style 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表格文字"/>
    <w:basedOn w:val="1"/>
    <w:next w:val="10"/>
    <w:qFormat/>
    <w:uiPriority w:val="0"/>
    <w:pPr>
      <w:adjustRightInd w:val="0"/>
      <w:spacing w:line="420" w:lineRule="atLeast"/>
      <w:jc w:val="left"/>
      <w:textAlignment w:val="baseline"/>
    </w:pPr>
    <w:rPr>
      <w:kern w:val="0"/>
    </w:rPr>
  </w:style>
  <w:style w:type="paragraph" w:customStyle="1" w:styleId="123">
    <w:name w:val="xl65"/>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5">
    <w:name w:val="_Style 3"/>
    <w:basedOn w:val="1"/>
    <w:qFormat/>
    <w:uiPriority w:val="0"/>
    <w:pPr>
      <w:ind w:firstLine="420" w:firstLineChars="200"/>
    </w:pPr>
  </w:style>
  <w:style w:type="paragraph" w:customStyle="1" w:styleId="126">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List Paragraph1"/>
    <w:basedOn w:val="1"/>
    <w:qFormat/>
    <w:uiPriority w:val="0"/>
    <w:pPr>
      <w:ind w:firstLine="420" w:firstLineChars="200"/>
    </w:pPr>
    <w:rPr>
      <w:rFonts w:cs="Calibri"/>
      <w:szCs w:val="21"/>
    </w:rPr>
  </w:style>
  <w:style w:type="paragraph" w:customStyle="1" w:styleId="129">
    <w:name w:val="WPSOffice手动目录 1"/>
    <w:qFormat/>
    <w:uiPriority w:val="0"/>
    <w:rPr>
      <w:rFonts w:ascii="Calibri" w:hAnsi="Calibri" w:eastAsia="宋体" w:cs="Times New Roman"/>
      <w:lang w:val="en-US" w:eastAsia="zh-CN" w:bidi="ar-SA"/>
    </w:rPr>
  </w:style>
  <w:style w:type="paragraph" w:customStyle="1" w:styleId="130">
    <w:name w:val="_Style 0"/>
    <w:qFormat/>
    <w:uiPriority w:val="0"/>
    <w:pPr>
      <w:widowControl w:val="0"/>
      <w:jc w:val="both"/>
    </w:pPr>
    <w:rPr>
      <w:rFonts w:ascii="Calibri" w:hAnsi="Calibri" w:eastAsia="宋体" w:cs="Times New Roman"/>
      <w:kern w:val="2"/>
      <w:sz w:val="21"/>
      <w:szCs w:val="22"/>
      <w:lang w:val="en-US" w:eastAsia="zh-CN" w:bidi="ar-SA"/>
    </w:rPr>
  </w:style>
  <w:style w:type="table" w:customStyle="1" w:styleId="131">
    <w:name w:val="网格型4"/>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le Normal1"/>
    <w:semiHidden/>
    <w:qFormat/>
    <w:uiPriority w:val="99"/>
    <w:pPr>
      <w:widowControl w:val="0"/>
    </w:pPr>
    <w:rPr>
      <w:sz w:val="22"/>
      <w:lang w:eastAsia="en-US"/>
    </w:rPr>
    <w:tblPr>
      <w:tblCellMar>
        <w:top w:w="0" w:type="dxa"/>
        <w:left w:w="0" w:type="dxa"/>
        <w:bottom w:w="0" w:type="dxa"/>
        <w:right w:w="0" w:type="dxa"/>
      </w:tblCellMar>
    </w:tblPr>
  </w:style>
  <w:style w:type="table" w:customStyle="1" w:styleId="134">
    <w:name w:val="网格型2"/>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fl"/>
    <w:basedOn w:val="31"/>
    <w:qFormat/>
    <w:uiPriority w:val="0"/>
    <w:rPr>
      <w:color w:val="666666"/>
    </w:rPr>
  </w:style>
  <w:style w:type="character" w:customStyle="1" w:styleId="138">
    <w:name w:val="green"/>
    <w:basedOn w:val="31"/>
    <w:qFormat/>
    <w:uiPriority w:val="0"/>
    <w:rPr>
      <w:color w:val="58B200"/>
      <w:sz w:val="21"/>
      <w:szCs w:val="21"/>
    </w:rPr>
  </w:style>
  <w:style w:type="character" w:customStyle="1" w:styleId="139">
    <w:name w:val="hover23"/>
    <w:basedOn w:val="31"/>
    <w:qFormat/>
    <w:uiPriority w:val="0"/>
  </w:style>
  <w:style w:type="character" w:customStyle="1" w:styleId="140">
    <w:name w:val="blue"/>
    <w:basedOn w:val="31"/>
    <w:qFormat/>
    <w:uiPriority w:val="0"/>
    <w:rPr>
      <w:color w:val="0371C6"/>
      <w:sz w:val="21"/>
      <w:szCs w:val="21"/>
    </w:rPr>
  </w:style>
  <w:style w:type="character" w:customStyle="1" w:styleId="141">
    <w:name w:val="right"/>
    <w:basedOn w:val="31"/>
    <w:qFormat/>
    <w:uiPriority w:val="0"/>
    <w:rPr>
      <w:color w:val="999999"/>
      <w:sz w:val="18"/>
      <w:szCs w:val="18"/>
    </w:rPr>
  </w:style>
  <w:style w:type="character" w:customStyle="1" w:styleId="142">
    <w:name w:val="right1"/>
    <w:basedOn w:val="31"/>
    <w:qFormat/>
    <w:uiPriority w:val="0"/>
    <w:rPr>
      <w:color w:val="999999"/>
    </w:rPr>
  </w:style>
  <w:style w:type="character" w:customStyle="1" w:styleId="143">
    <w:name w:val="red2"/>
    <w:basedOn w:val="31"/>
    <w:qFormat/>
    <w:uiPriority w:val="0"/>
    <w:rPr>
      <w:color w:val="FF0000"/>
      <w:sz w:val="21"/>
      <w:szCs w:val="21"/>
    </w:rPr>
  </w:style>
  <w:style w:type="character" w:customStyle="1" w:styleId="144">
    <w:name w:val="red3"/>
    <w:basedOn w:val="31"/>
    <w:qFormat/>
    <w:uiPriority w:val="0"/>
    <w:rPr>
      <w:color w:val="FF0000"/>
      <w:sz w:val="24"/>
      <w:szCs w:val="24"/>
    </w:rPr>
  </w:style>
  <w:style w:type="character" w:customStyle="1" w:styleId="145">
    <w:name w:val="gb-jt"/>
    <w:basedOn w:val="31"/>
    <w:qFormat/>
    <w:uiPriority w:val="0"/>
  </w:style>
  <w:style w:type="character" w:customStyle="1" w:styleId="146">
    <w:name w:val="fr4"/>
    <w:basedOn w:val="31"/>
    <w:qFormat/>
    <w:uiPriority w:val="0"/>
  </w:style>
  <w:style w:type="character" w:customStyle="1" w:styleId="147">
    <w:name w:val="active3"/>
    <w:basedOn w:val="31"/>
    <w:qFormat/>
    <w:uiPriority w:val="0"/>
    <w:rPr>
      <w:color w:val="FFFFFF"/>
      <w:shd w:val="clear" w:fill="2B7AFC"/>
    </w:rPr>
  </w:style>
  <w:style w:type="paragraph" w:customStyle="1" w:styleId="148">
    <w:name w:val="WPSOffice手动目录 2"/>
    <w:qFormat/>
    <w:uiPriority w:val="0"/>
    <w:pPr>
      <w:ind w:leftChars="200"/>
    </w:pPr>
    <w:rPr>
      <w:rFonts w:ascii="Times New Roman" w:hAnsi="Times New Roman" w:eastAsia="宋体" w:cs="Times New Roman"/>
      <w:sz w:val="20"/>
      <w:szCs w:val="20"/>
    </w:rPr>
  </w:style>
  <w:style w:type="paragraph" w:customStyle="1" w:styleId="149">
    <w:name w:val="BodyText1I"/>
    <w:basedOn w:val="150"/>
    <w:qFormat/>
    <w:uiPriority w:val="0"/>
    <w:pPr>
      <w:spacing w:after="120"/>
      <w:ind w:firstLine="420" w:firstLineChars="100"/>
      <w:jc w:val="both"/>
      <w:textAlignment w:val="baseline"/>
    </w:pPr>
  </w:style>
  <w:style w:type="paragraph" w:customStyle="1" w:styleId="150">
    <w:name w:val="BodyText"/>
    <w:basedOn w:val="1"/>
    <w:qFormat/>
    <w:uiPriority w:val="0"/>
    <w:pPr>
      <w:spacing w:after="120"/>
      <w:jc w:val="both"/>
      <w:textAlignment w:val="baseline"/>
    </w:pPr>
  </w:style>
  <w:style w:type="paragraph" w:customStyle="1" w:styleId="151">
    <w:name w:val="样式1"/>
    <w:basedOn w:val="1"/>
    <w:next w:val="6"/>
    <w:qFormat/>
    <w:uiPriority w:val="99"/>
    <w:pPr>
      <w:tabs>
        <w:tab w:val="left" w:pos="709"/>
      </w:tabs>
      <w:adjustRightInd w:val="0"/>
      <w:ind w:left="709" w:hanging="709"/>
      <w:textAlignment w:val="baseline"/>
    </w:pPr>
    <w:rPr>
      <w:rFonts w:ascii="宋体" w:hAnsi="宋体" w:cs="宋体"/>
      <w:kern w:val="0"/>
    </w:rPr>
  </w:style>
  <w:style w:type="paragraph" w:customStyle="1" w:styleId="152">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53">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6153E-4849-40C3-8C64-2E9A79DEF3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22838</Words>
  <Characters>24356</Characters>
  <Lines>245</Lines>
  <Paragraphs>69</Paragraphs>
  <TotalTime>4</TotalTime>
  <ScaleCrop>false</ScaleCrop>
  <LinksUpToDate>false</LinksUpToDate>
  <CharactersWithSpaces>25042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2020-09-10T08:32:00Z</dcterms:created>
  <dc:creator>桑三博客</dc:creator>
  <cp:lastModifiedBy>中建山河建设管理集团有限公司:朱广利</cp:lastModifiedBy>
  <cp:lastPrinted>2020-09-23T06:23:00Z</cp:lastPrinted>
  <dcterms:modified xsi:type="dcterms:W3CDTF">2025-07-14T01:01:11Z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9F706DE68FB3465D95C0061D93D6C884</vt:lpwstr>
  </property>
  <property fmtid="{D5CDD505-2E9C-101B-9397-08002B2CF9AE}" pid="4" name="KSOTemplateDocerSaveRecord">
    <vt:lpwstr>eyJoZGlkIjoiYTVlMzJmMjE3MGZkYjEyMmU4Y2E0NzZjMDhkNzc2ODkiLCJ1c2VySWQiOiIyMTYzNDA4NDcifQ==</vt:lpwstr>
  </property>
</Properties>
</file>