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60" w:afterAutospacing="0" w:line="360" w:lineRule="auto"/>
        <w:ind w:left="0" w:right="0" w:firstLine="643" w:firstLineChars="200"/>
        <w:jc w:val="center"/>
        <w:outlineLvl w:val="0"/>
        <w:rPr>
          <w:rFonts w:hint="eastAsia" w:ascii="仿宋_GB2312" w:hAnsi="Cambria" w:eastAsia="仿宋_GB2312" w:cs="仿宋_GB2312"/>
          <w:b/>
          <w:bCs/>
          <w:sz w:val="32"/>
          <w:szCs w:val="32"/>
          <w:highlight w:val="none"/>
          <w:lang w:val="en-US"/>
        </w:rPr>
      </w:pPr>
      <w:r>
        <w:rPr>
          <w:rFonts w:hint="eastAsia" w:ascii="仿宋_GB2312" w:hAnsi="Cambria" w:eastAsia="仿宋_GB2312" w:cs="仿宋_GB2312"/>
          <w:b/>
          <w:bCs/>
          <w:kern w:val="2"/>
          <w:sz w:val="32"/>
          <w:szCs w:val="32"/>
          <w:highlight w:val="none"/>
          <w:lang w:val="en-US" w:eastAsia="zh-CN" w:bidi="ar"/>
        </w:rPr>
        <w:t>洛阳市涧西区城市管理局涧西区市政绿化环卫一体化大管家项目标段二：高新片区（二次）-公开招标公告</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项目概况：</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洛阳市涧西区城市管理局涧西区市政绿化环卫一体化大管家项目招标项目的潜在投标人应在洛阳市公共资源交易中心网</w:t>
      </w:r>
      <w:bookmarkStart w:id="25" w:name="_GoBack"/>
      <w:bookmarkEnd w:id="25"/>
      <w:r>
        <w:rPr>
          <w:rFonts w:hint="eastAsia" w:ascii="仿宋_GB2312" w:hAnsi="Calibri" w:eastAsia="仿宋_GB2312" w:cs="仿宋_GB2312"/>
          <w:kern w:val="2"/>
          <w:sz w:val="24"/>
          <w:szCs w:val="24"/>
          <w:highlight w:val="none"/>
          <w:lang w:val="en-US" w:eastAsia="zh-CN" w:bidi="ar"/>
        </w:rPr>
        <w:t>站（lyggzyjy.ly.gov.cn）获取招标文件，并于2024年02月02日09时30分（北京时间）前递交投标文件。</w:t>
      </w: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bookmarkStart w:id="0" w:name="_Toc256000134"/>
      <w:bookmarkStart w:id="1" w:name="_Toc256000289"/>
      <w:bookmarkStart w:id="2" w:name="_Toc142899038"/>
      <w:r>
        <w:rPr>
          <w:rFonts w:hint="eastAsia" w:ascii="仿宋_GB2312" w:hAnsi="Calibri" w:eastAsia="仿宋_GB2312" w:cs="仿宋_GB2312"/>
          <w:b/>
          <w:bCs w:val="0"/>
          <w:kern w:val="2"/>
          <w:sz w:val="24"/>
          <w:szCs w:val="24"/>
          <w:highlight w:val="none"/>
          <w:lang w:val="en-US" w:eastAsia="zh-CN" w:bidi="ar"/>
        </w:rPr>
        <w:t>一、项目基本情况</w:t>
      </w:r>
      <w:bookmarkEnd w:id="0"/>
      <w:bookmarkEnd w:id="1"/>
      <w:bookmarkEnd w:id="2"/>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1、项目编号：洛涧公开-2023-16 </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2、项目名称：洛阳市涧西区城市管理局涧西区市政绿化环卫一体化大管家项目</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3、采购方式：公开招标</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4、预算金额：530647800.51元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最高限价：260376685.74元</w:t>
      </w:r>
    </w:p>
    <w:tbl>
      <w:tblPr>
        <w:tblStyle w:val="3"/>
        <w:tblW w:w="48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8"/>
        <w:gridCol w:w="2003"/>
        <w:gridCol w:w="2059"/>
        <w:gridCol w:w="179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17" w:type="pct"/>
            <w:tcBorders>
              <w:top w:val="single" w:color="auto" w:sz="8" w:space="0"/>
              <w:left w:val="single" w:color="auto" w:sz="8" w:space="0"/>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rPr>
              <w:t>序号</w:t>
            </w:r>
          </w:p>
        </w:tc>
        <w:tc>
          <w:tcPr>
            <w:tcW w:w="1213"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rPr>
              <w:t>包号</w:t>
            </w:r>
          </w:p>
        </w:tc>
        <w:tc>
          <w:tcPr>
            <w:tcW w:w="1247"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rPr>
              <w:t>包名称</w:t>
            </w:r>
          </w:p>
        </w:tc>
        <w:tc>
          <w:tcPr>
            <w:tcW w:w="1085"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rPr>
              <w:t>包预算（元）</w:t>
            </w:r>
          </w:p>
        </w:tc>
        <w:tc>
          <w:tcPr>
            <w:tcW w:w="1034"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rPr>
              <w:t>包最高限价（元）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417" w:type="pct"/>
            <w:tcBorders>
              <w:top w:val="single" w:color="auto" w:sz="8" w:space="0"/>
              <w:left w:val="single" w:color="auto" w:sz="8" w:space="0"/>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lang w:val="en-US"/>
              </w:rPr>
              <w:t>1</w:t>
            </w:r>
          </w:p>
        </w:tc>
        <w:tc>
          <w:tcPr>
            <w:tcW w:w="1213"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lang w:val="en-US"/>
              </w:rPr>
              <w:t>涧西政采招标(2023)0128-1号-2</w:t>
            </w:r>
          </w:p>
        </w:tc>
        <w:tc>
          <w:tcPr>
            <w:tcW w:w="1247"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left"/>
              <w:rPr>
                <w:rFonts w:hint="eastAsia" w:ascii="仿宋_GB2312" w:eastAsia="仿宋_GB2312" w:cs="仿宋_GB2312"/>
                <w:szCs w:val="21"/>
                <w:highlight w:val="none"/>
                <w:lang w:val="en-US"/>
              </w:rPr>
            </w:pPr>
            <w:r>
              <w:rPr>
                <w:rFonts w:hint="eastAsia" w:ascii="仿宋_GB2312" w:eastAsia="仿宋_GB2312" w:cs="仿宋_GB2312"/>
                <w:szCs w:val="21"/>
                <w:highlight w:val="none"/>
              </w:rPr>
              <w:t>标段二：高新片区</w:t>
            </w:r>
          </w:p>
        </w:tc>
        <w:tc>
          <w:tcPr>
            <w:tcW w:w="1085"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lang w:val="en-US"/>
              </w:rPr>
              <w:t>260376685.74</w:t>
            </w:r>
          </w:p>
        </w:tc>
        <w:tc>
          <w:tcPr>
            <w:tcW w:w="1034" w:type="pct"/>
            <w:tcBorders>
              <w:top w:val="single" w:color="auto" w:sz="8" w:space="0"/>
              <w:left w:val="nil"/>
              <w:bottom w:val="single" w:color="auto" w:sz="8" w:space="0"/>
              <w:right w:val="single" w:color="auto" w:sz="8" w:space="0"/>
            </w:tcBorders>
            <w:noWrap w:val="0"/>
            <w:vAlign w:val="center"/>
          </w:tcPr>
          <w:p>
            <w:pPr>
              <w:pStyle w:val="2"/>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highlight w:val="none"/>
                <w:lang w:val="en-US"/>
              </w:rPr>
            </w:pPr>
            <w:r>
              <w:rPr>
                <w:rFonts w:hint="eastAsia" w:ascii="仿宋_GB2312" w:eastAsia="仿宋_GB2312" w:cs="仿宋_GB2312"/>
                <w:szCs w:val="21"/>
                <w:highlight w:val="none"/>
                <w:lang w:val="en-US"/>
              </w:rPr>
              <w:t>260376685.74</w:t>
            </w:r>
          </w:p>
        </w:tc>
      </w:tr>
    </w:tbl>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5、采购需求（包括但不限于标的的名称、数量、简要技术需求或服务要求等）</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hAnsi="Calibri" w:eastAsia="仿宋_GB2312" w:cs="仿宋_GB2312"/>
          <w:kern w:val="2"/>
          <w:sz w:val="24"/>
          <w:szCs w:val="24"/>
          <w:highlight w:val="none"/>
          <w:lang w:val="en-US" w:eastAsia="zh-CN" w:bidi="ar"/>
        </w:rPr>
      </w:pPr>
      <w:r>
        <w:rPr>
          <w:rFonts w:hint="eastAsia" w:ascii="仿宋_GB2312" w:hAnsi="Calibri" w:eastAsia="仿宋_GB2312" w:cs="仿宋_GB2312"/>
          <w:kern w:val="2"/>
          <w:sz w:val="24"/>
          <w:szCs w:val="24"/>
          <w:highlight w:val="none"/>
          <w:lang w:val="en-US" w:eastAsia="zh-CN" w:bidi="ar"/>
        </w:rPr>
        <w:t>5.1招标编号：涧西政采招标(2023)0128-1号</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5.2本次招标项目为洛阳市涧西区城市管理局涧西区市政绿化环卫一体化大管家项目，采购高新片区范围内综合环卫保洁、市政道路设施养护、园林绿化养护等三大类服务，具体采购内容详见招标文件第三章采购需求。</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6、合同履行期限：详见投标人须知前附表。</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7、本项目是否接受联合体投标：否</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8、是否接受进口产品：否</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9、</w:t>
      </w:r>
      <w:bookmarkStart w:id="3" w:name="_Hlk136206763"/>
      <w:r>
        <w:rPr>
          <w:rFonts w:hint="eastAsia" w:ascii="仿宋_GB2312" w:hAnsi="Calibri" w:eastAsia="仿宋_GB2312" w:cs="仿宋_GB2312"/>
          <w:kern w:val="2"/>
          <w:sz w:val="24"/>
          <w:szCs w:val="24"/>
          <w:highlight w:val="none"/>
          <w:lang w:val="en-US" w:eastAsia="zh-CN" w:bidi="ar"/>
        </w:rPr>
        <w:t>是否专门面向中小企业：</w:t>
      </w:r>
      <w:bookmarkEnd w:id="3"/>
      <w:r>
        <w:rPr>
          <w:rFonts w:hint="eastAsia" w:ascii="仿宋_GB2312" w:hAnsi="Calibri" w:eastAsia="仿宋_GB2312" w:cs="仿宋_GB2312"/>
          <w:kern w:val="2"/>
          <w:sz w:val="24"/>
          <w:szCs w:val="24"/>
          <w:highlight w:val="none"/>
          <w:lang w:val="en-US" w:eastAsia="zh-CN" w:bidi="ar"/>
        </w:rPr>
        <w:t>否</w:t>
      </w: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bookmarkStart w:id="4" w:name="_Toc142899039"/>
      <w:bookmarkStart w:id="5" w:name="_Toc256000290"/>
      <w:bookmarkStart w:id="6" w:name="_Toc256000138"/>
      <w:r>
        <w:rPr>
          <w:rFonts w:hint="eastAsia" w:ascii="仿宋_GB2312" w:hAnsi="Calibri" w:eastAsia="仿宋_GB2312" w:cs="仿宋_GB2312"/>
          <w:b/>
          <w:bCs w:val="0"/>
          <w:kern w:val="2"/>
          <w:sz w:val="24"/>
          <w:szCs w:val="24"/>
          <w:highlight w:val="none"/>
          <w:lang w:val="en-US" w:eastAsia="zh-CN" w:bidi="ar"/>
        </w:rPr>
        <w:t>二、申请人资格要求</w:t>
      </w:r>
      <w:bookmarkEnd w:id="4"/>
      <w:bookmarkEnd w:id="5"/>
      <w:bookmarkEnd w:id="6"/>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1、满足《中华人民共和国政府采购法》第二十二条规定；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2、落实政府采购政策满足的资格要求：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促进中小企业和监狱企业发展扶持政策、政府强制采购节能产品强制采购、节能产品及环境标志产品优先采购、促进残疾人就业政府采购政策（在投标文件中附《中小企业声明函》）。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3、本项目的特定资格要求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hAnsi="Calibri" w:eastAsia="仿宋_GB2312" w:cs="仿宋_GB2312"/>
          <w:kern w:val="2"/>
          <w:sz w:val="24"/>
          <w:szCs w:val="24"/>
          <w:highlight w:val="none"/>
          <w:lang w:val="en-US" w:eastAsia="zh-CN" w:bidi="ar"/>
        </w:rPr>
      </w:pPr>
      <w:r>
        <w:rPr>
          <w:rFonts w:hint="eastAsia" w:ascii="仿宋_GB2312" w:hAnsi="Calibri" w:eastAsia="仿宋_GB2312" w:cs="仿宋_GB2312"/>
          <w:kern w:val="2"/>
          <w:sz w:val="24"/>
          <w:szCs w:val="24"/>
          <w:highlight w:val="none"/>
          <w:lang w:val="en-US" w:eastAsia="zh-CN" w:bidi="ar"/>
        </w:rPr>
        <w:t>3.1投标人须具有有效的营业执照或事业单位登记证书或其他投标人身份证明材料;</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hAnsi="Calibri" w:eastAsia="仿宋_GB2312" w:cs="仿宋_GB2312"/>
          <w:kern w:val="2"/>
          <w:sz w:val="24"/>
          <w:szCs w:val="24"/>
          <w:highlight w:val="none"/>
          <w:lang w:val="en-US" w:eastAsia="zh-CN" w:bidi="ar"/>
        </w:rPr>
      </w:pPr>
      <w:r>
        <w:rPr>
          <w:rFonts w:hint="eastAsia" w:ascii="仿宋_GB2312" w:hAnsi="Calibri" w:eastAsia="仿宋_GB2312" w:cs="仿宋_GB2312"/>
          <w:kern w:val="2"/>
          <w:sz w:val="24"/>
          <w:szCs w:val="24"/>
          <w:highlight w:val="none"/>
          <w:lang w:val="en-US" w:eastAsia="zh-CN" w:bidi="ar"/>
        </w:rPr>
        <w:t>3.2 单位负责人为同一人或者存在控股、管理关系的不同供应商，不得参加同一合同项下的政府采购活动。</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hAnsi="Calibri" w:eastAsia="仿宋_GB2312" w:cs="仿宋_GB2312"/>
          <w:kern w:val="2"/>
          <w:sz w:val="24"/>
          <w:szCs w:val="24"/>
          <w:highlight w:val="none"/>
          <w:lang w:val="en-US" w:eastAsia="zh-CN" w:bidi="ar"/>
        </w:rPr>
      </w:pPr>
      <w:r>
        <w:rPr>
          <w:rFonts w:hint="eastAsia" w:ascii="仿宋_GB2312" w:hAnsi="Calibri" w:eastAsia="仿宋_GB2312" w:cs="仿宋_GB2312"/>
          <w:kern w:val="2"/>
          <w:sz w:val="24"/>
          <w:szCs w:val="24"/>
          <w:highlight w:val="none"/>
          <w:lang w:val="en-US" w:eastAsia="zh-CN" w:bidi="ar"/>
        </w:rPr>
        <w:t>4、依据《财政部关于在政府采购活动中查询及使用信用记录有关问题的通知》（财库〔2016〕125号），投标人被“信用中国”网站（www.creditchina.gov.cn）列入失信被执行人、重大税收违法案件当事人名单，被“中国政府采购”网站（www.ccgp.gov.cn）列入政府采购严重违法失信行为记录名单的将被拒绝参与本项目政府采购活动（投标人无需提供证明材料）</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5、本次招标不接受联合体投标，本次招标实行资格后审。</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bookmarkStart w:id="7" w:name="_Toc142899040"/>
      <w:bookmarkStart w:id="8" w:name="_Toc256000144"/>
      <w:bookmarkStart w:id="9" w:name="_Toc256000291"/>
      <w:r>
        <w:rPr>
          <w:rFonts w:hint="eastAsia" w:ascii="仿宋_GB2312" w:hAnsi="Calibri" w:eastAsia="仿宋_GB2312" w:cs="仿宋_GB2312"/>
          <w:b/>
          <w:bCs w:val="0"/>
          <w:kern w:val="2"/>
          <w:sz w:val="24"/>
          <w:szCs w:val="24"/>
          <w:highlight w:val="none"/>
          <w:lang w:val="en-US" w:eastAsia="zh-CN" w:bidi="ar"/>
        </w:rPr>
        <w:t>三、获取招标文件</w:t>
      </w:r>
      <w:bookmarkEnd w:id="7"/>
      <w:bookmarkEnd w:id="8"/>
      <w:bookmarkEnd w:id="9"/>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1.时间：2024年</w:t>
      </w:r>
      <w:r>
        <w:rPr>
          <w:rFonts w:hint="eastAsia" w:ascii="仿宋_GB2312" w:eastAsia="仿宋_GB2312" w:cs="仿宋_GB2312"/>
          <w:kern w:val="2"/>
          <w:sz w:val="24"/>
          <w:szCs w:val="24"/>
          <w:highlight w:val="none"/>
          <w:lang w:val="en-US" w:eastAsia="zh-CN" w:bidi="ar"/>
        </w:rPr>
        <w:t>1</w:t>
      </w:r>
      <w:r>
        <w:rPr>
          <w:rFonts w:hint="eastAsia" w:ascii="仿宋_GB2312" w:hAnsi="Calibri" w:eastAsia="仿宋_GB2312" w:cs="仿宋_GB2312"/>
          <w:kern w:val="2"/>
          <w:sz w:val="24"/>
          <w:szCs w:val="24"/>
          <w:highlight w:val="none"/>
          <w:lang w:val="en-US" w:eastAsia="zh-CN" w:bidi="ar"/>
        </w:rPr>
        <w:t>月</w:t>
      </w:r>
      <w:r>
        <w:rPr>
          <w:rFonts w:hint="eastAsia" w:ascii="仿宋_GB2312" w:eastAsia="仿宋_GB2312" w:cs="仿宋_GB2312"/>
          <w:kern w:val="2"/>
          <w:sz w:val="24"/>
          <w:szCs w:val="24"/>
          <w:highlight w:val="none"/>
          <w:lang w:val="en-US" w:eastAsia="zh-CN" w:bidi="ar"/>
        </w:rPr>
        <w:t>13</w:t>
      </w:r>
      <w:r>
        <w:rPr>
          <w:rFonts w:hint="eastAsia" w:ascii="仿宋_GB2312" w:hAnsi="Calibri" w:eastAsia="仿宋_GB2312" w:cs="仿宋_GB2312"/>
          <w:kern w:val="2"/>
          <w:sz w:val="24"/>
          <w:szCs w:val="24"/>
          <w:highlight w:val="none"/>
          <w:lang w:val="en-US" w:eastAsia="zh-CN" w:bidi="ar"/>
        </w:rPr>
        <w:t>日 至 2024年</w:t>
      </w:r>
      <w:r>
        <w:rPr>
          <w:rFonts w:hint="eastAsia" w:ascii="仿宋_GB2312" w:eastAsia="仿宋_GB2312" w:cs="仿宋_GB2312"/>
          <w:kern w:val="2"/>
          <w:sz w:val="24"/>
          <w:szCs w:val="24"/>
          <w:highlight w:val="none"/>
          <w:lang w:val="en-US" w:eastAsia="zh-CN" w:bidi="ar"/>
        </w:rPr>
        <w:t>1</w:t>
      </w:r>
      <w:r>
        <w:rPr>
          <w:rFonts w:hint="eastAsia" w:ascii="仿宋_GB2312" w:hAnsi="Calibri" w:eastAsia="仿宋_GB2312" w:cs="仿宋_GB2312"/>
          <w:kern w:val="2"/>
          <w:sz w:val="24"/>
          <w:szCs w:val="24"/>
          <w:highlight w:val="none"/>
          <w:lang w:val="en-US" w:eastAsia="zh-CN" w:bidi="ar"/>
        </w:rPr>
        <w:t>月</w:t>
      </w:r>
      <w:r>
        <w:rPr>
          <w:rFonts w:hint="eastAsia" w:ascii="仿宋_GB2312" w:eastAsia="仿宋_GB2312" w:cs="仿宋_GB2312"/>
          <w:kern w:val="2"/>
          <w:sz w:val="24"/>
          <w:szCs w:val="24"/>
          <w:highlight w:val="none"/>
          <w:lang w:val="en-US" w:eastAsia="zh-CN" w:bidi="ar"/>
        </w:rPr>
        <w:t>19</w:t>
      </w:r>
      <w:r>
        <w:rPr>
          <w:rFonts w:hint="eastAsia" w:ascii="仿宋_GB2312" w:hAnsi="Calibri" w:eastAsia="仿宋_GB2312" w:cs="仿宋_GB2312"/>
          <w:kern w:val="2"/>
          <w:sz w:val="24"/>
          <w:szCs w:val="24"/>
          <w:highlight w:val="none"/>
          <w:lang w:val="en-US" w:eastAsia="zh-CN" w:bidi="ar"/>
        </w:rPr>
        <w:t xml:space="preserve">日（提供期限自文件获取时间起不得少于5个工作日）。每天上午00:00至12:00，下午12:00至23:59（北京时间，法定节假日除外。）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2.地点：洛阳市公共资源交易中心网站（lyggzyjy.ly.gov.cn）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3.方式：洛阳市公共资源交易中心网站（lyggzyjy.ly.gov.cn）上获取。请在“洛阳市电子招投标交易平台（http://lyggzyjy.ly.gov.cn/TPBidder）”进行用户注册，办理数字证书后下载招标（采购）文件。如投多个标段（包），则应就所投每个标段（包）分别下载。详见洛阳市公共资源交易中心网站—办事指南内的“主体注册CA办理”和“洛阳政府采购系统操作手册（供应商用）”。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4.售价：0元</w:t>
      </w: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bookmarkStart w:id="10" w:name="_Toc256000145"/>
      <w:bookmarkStart w:id="11" w:name="_Toc256000292"/>
      <w:bookmarkStart w:id="12" w:name="_Toc142899041"/>
      <w:r>
        <w:rPr>
          <w:rFonts w:hint="eastAsia" w:ascii="仿宋_GB2312" w:hAnsi="Calibri" w:eastAsia="仿宋_GB2312" w:cs="仿宋_GB2312"/>
          <w:b/>
          <w:bCs w:val="0"/>
          <w:kern w:val="2"/>
          <w:sz w:val="24"/>
          <w:szCs w:val="24"/>
          <w:highlight w:val="none"/>
          <w:lang w:val="en-US" w:eastAsia="zh-CN" w:bidi="ar"/>
        </w:rPr>
        <w:t>四、投标截止时间及地点</w:t>
      </w:r>
      <w:bookmarkEnd w:id="10"/>
      <w:bookmarkEnd w:id="11"/>
      <w:bookmarkEnd w:id="12"/>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bookmarkStart w:id="13" w:name="_Toc256000146"/>
      <w:bookmarkStart w:id="14" w:name="_Toc256000293"/>
      <w:bookmarkStart w:id="15" w:name="_Toc142899042"/>
      <w:r>
        <w:rPr>
          <w:rFonts w:hint="eastAsia" w:ascii="仿宋_GB2312" w:hAnsi="Calibri" w:eastAsia="仿宋_GB2312" w:cs="仿宋_GB2312"/>
          <w:kern w:val="2"/>
          <w:sz w:val="24"/>
          <w:szCs w:val="24"/>
          <w:highlight w:val="none"/>
          <w:lang w:val="en-US" w:eastAsia="zh-CN" w:bidi="ar"/>
        </w:rPr>
        <w:t>1.时间：2024年</w:t>
      </w:r>
      <w:r>
        <w:rPr>
          <w:rFonts w:hint="eastAsia" w:ascii="仿宋_GB2312" w:eastAsia="仿宋_GB2312" w:cs="仿宋_GB2312"/>
          <w:kern w:val="2"/>
          <w:sz w:val="24"/>
          <w:szCs w:val="24"/>
          <w:highlight w:val="none"/>
          <w:lang w:val="en-US" w:eastAsia="zh-CN" w:bidi="ar"/>
        </w:rPr>
        <w:t>2</w:t>
      </w:r>
      <w:r>
        <w:rPr>
          <w:rFonts w:hint="eastAsia" w:ascii="仿宋_GB2312" w:hAnsi="Calibri" w:eastAsia="仿宋_GB2312" w:cs="仿宋_GB2312"/>
          <w:kern w:val="2"/>
          <w:sz w:val="24"/>
          <w:szCs w:val="24"/>
          <w:highlight w:val="none"/>
          <w:lang w:val="en-US" w:eastAsia="zh-CN" w:bidi="ar"/>
        </w:rPr>
        <w:t>月</w:t>
      </w:r>
      <w:r>
        <w:rPr>
          <w:rFonts w:hint="eastAsia" w:ascii="仿宋_GB2312" w:eastAsia="仿宋_GB2312" w:cs="仿宋_GB2312"/>
          <w:kern w:val="2"/>
          <w:sz w:val="24"/>
          <w:szCs w:val="24"/>
          <w:highlight w:val="none"/>
          <w:lang w:val="en-US" w:eastAsia="zh-CN" w:bidi="ar"/>
        </w:rPr>
        <w:t>2</w:t>
      </w:r>
      <w:r>
        <w:rPr>
          <w:rFonts w:hint="eastAsia" w:ascii="仿宋_GB2312" w:hAnsi="Calibri" w:eastAsia="仿宋_GB2312" w:cs="仿宋_GB2312"/>
          <w:kern w:val="2"/>
          <w:sz w:val="24"/>
          <w:szCs w:val="24"/>
          <w:highlight w:val="none"/>
          <w:lang w:val="en-US" w:eastAsia="zh-CN" w:bidi="ar"/>
        </w:rPr>
        <w:t xml:space="preserve">日09时30分（北京时间） </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r>
        <w:rPr>
          <w:rFonts w:hint="eastAsia" w:ascii="仿宋_GB2312" w:hAnsi="Calibri" w:eastAsia="仿宋_GB2312" w:cs="仿宋_GB2312"/>
          <w:b/>
          <w:bCs w:val="0"/>
          <w:kern w:val="2"/>
          <w:sz w:val="24"/>
          <w:szCs w:val="24"/>
          <w:highlight w:val="none"/>
          <w:lang w:val="en-US" w:eastAsia="zh-CN" w:bidi="ar"/>
        </w:rPr>
        <w:t>五、开标时间及地点</w:t>
      </w:r>
      <w:bookmarkEnd w:id="13"/>
      <w:bookmarkEnd w:id="14"/>
      <w:bookmarkEnd w:id="15"/>
    </w:p>
    <w:p>
      <w:pPr>
        <w:pStyle w:val="2"/>
        <w:keepNext w:val="0"/>
        <w:keepLines w:val="0"/>
        <w:widowControl w:val="0"/>
        <w:suppressLineNumbers w:val="0"/>
        <w:wordWrap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1.时间：2024年</w:t>
      </w:r>
      <w:r>
        <w:rPr>
          <w:rFonts w:hint="eastAsia" w:ascii="仿宋_GB2312" w:eastAsia="仿宋_GB2312" w:cs="仿宋_GB2312"/>
          <w:kern w:val="2"/>
          <w:sz w:val="24"/>
          <w:szCs w:val="24"/>
          <w:highlight w:val="none"/>
          <w:lang w:val="en-US" w:eastAsia="zh-CN" w:bidi="ar"/>
        </w:rPr>
        <w:t>2</w:t>
      </w:r>
      <w:r>
        <w:rPr>
          <w:rFonts w:hint="eastAsia" w:ascii="仿宋_GB2312" w:hAnsi="Calibri" w:eastAsia="仿宋_GB2312" w:cs="仿宋_GB2312"/>
          <w:kern w:val="2"/>
          <w:sz w:val="24"/>
          <w:szCs w:val="24"/>
          <w:highlight w:val="none"/>
          <w:lang w:val="en-US" w:eastAsia="zh-CN" w:bidi="ar"/>
        </w:rPr>
        <w:t>月</w:t>
      </w:r>
      <w:r>
        <w:rPr>
          <w:rFonts w:hint="eastAsia" w:ascii="仿宋_GB2312" w:eastAsia="仿宋_GB2312" w:cs="仿宋_GB2312"/>
          <w:kern w:val="2"/>
          <w:sz w:val="24"/>
          <w:szCs w:val="24"/>
          <w:highlight w:val="none"/>
          <w:lang w:val="en-US" w:eastAsia="zh-CN" w:bidi="ar"/>
        </w:rPr>
        <w:t>2</w:t>
      </w:r>
      <w:r>
        <w:rPr>
          <w:rFonts w:hint="eastAsia" w:ascii="仿宋_GB2312" w:hAnsi="Calibri" w:eastAsia="仿宋_GB2312" w:cs="仿宋_GB2312"/>
          <w:kern w:val="2"/>
          <w:sz w:val="24"/>
          <w:szCs w:val="24"/>
          <w:highlight w:val="none"/>
          <w:lang w:val="en-US" w:eastAsia="zh-CN" w:bidi="ar"/>
        </w:rPr>
        <w:t xml:space="preserve">日09时30分（北京时间） </w:t>
      </w:r>
    </w:p>
    <w:p>
      <w:pPr>
        <w:pStyle w:val="2"/>
        <w:keepNext w:val="0"/>
        <w:keepLines w:val="0"/>
        <w:widowControl w:val="0"/>
        <w:suppressLineNumbers w:val="0"/>
        <w:wordWrap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2.地点：涧西区公共资源交易中心开标一室。（涧西区天津路联盟路口北100米路东涧西区天津路办公楼）。本项目采用远程不见面交易的模式，开标当日，供应商无需到现场参加开标会议，应在投标截止时间前，登录“不见面开标大厅” ( https://61.168.99.35:7070/BidOpening)，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bookmarkStart w:id="16" w:name="_Toc256000147"/>
      <w:bookmarkStart w:id="17" w:name="_Toc142899043"/>
      <w:bookmarkStart w:id="18" w:name="_Toc256000294"/>
      <w:r>
        <w:rPr>
          <w:rFonts w:hint="eastAsia" w:ascii="仿宋_GB2312" w:hAnsi="Calibri" w:eastAsia="仿宋_GB2312" w:cs="仿宋_GB2312"/>
          <w:b/>
          <w:bCs w:val="0"/>
          <w:kern w:val="2"/>
          <w:sz w:val="24"/>
          <w:szCs w:val="24"/>
          <w:highlight w:val="none"/>
          <w:lang w:val="en-US" w:eastAsia="zh-CN" w:bidi="ar"/>
        </w:rPr>
        <w:t>六、发布公告的媒介及招标公告期限</w:t>
      </w:r>
      <w:bookmarkEnd w:id="16"/>
      <w:bookmarkEnd w:id="17"/>
      <w:bookmarkEnd w:id="18"/>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本次招标公告在《河南省政府采购网》、《中国招标投标公共服务平台》、《洛阳市公共资源交易中心网》上发布，招标公告期限为五个工作日 。</w:t>
      </w: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bookmarkStart w:id="19" w:name="_Toc256000295"/>
      <w:bookmarkStart w:id="20" w:name="_Toc256000148"/>
      <w:bookmarkStart w:id="21" w:name="_Toc142899044"/>
      <w:r>
        <w:rPr>
          <w:rFonts w:hint="eastAsia" w:ascii="仿宋_GB2312" w:hAnsi="Calibri" w:eastAsia="仿宋_GB2312" w:cs="仿宋_GB2312"/>
          <w:b/>
          <w:bCs w:val="0"/>
          <w:kern w:val="2"/>
          <w:sz w:val="24"/>
          <w:szCs w:val="24"/>
          <w:highlight w:val="none"/>
          <w:lang w:val="en-US" w:eastAsia="zh-CN" w:bidi="ar"/>
        </w:rPr>
        <w:t>七、其他补充事宜</w:t>
      </w:r>
      <w:bookmarkEnd w:id="19"/>
      <w:bookmarkEnd w:id="20"/>
      <w:bookmarkEnd w:id="21"/>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代理服务费的收取：由中标单位支付，在领取中标通知书前按照“投标人须知前附表”第9.1条的计费标准向本采购代理机构支付。</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供应商在参与本项目招标采购活动期间应及时关注本网站获取相关澄清或变更等信息。</w:t>
      </w:r>
    </w:p>
    <w:p>
      <w:pPr>
        <w:pStyle w:val="2"/>
        <w:keepNext w:val="0"/>
        <w:keepLines w:val="0"/>
        <w:widowControl w:val="0"/>
        <w:suppressLineNumbers w:val="0"/>
        <w:spacing w:before="0" w:beforeAutospacing="0" w:after="0" w:afterAutospacing="0"/>
        <w:ind w:left="0" w:right="0" w:firstLine="482" w:firstLineChars="200"/>
        <w:jc w:val="both"/>
        <w:outlineLvl w:val="0"/>
        <w:rPr>
          <w:rFonts w:hint="eastAsia" w:ascii="仿宋_GB2312" w:eastAsia="仿宋_GB2312" w:cs="仿宋_GB2312"/>
          <w:b/>
          <w:bCs w:val="0"/>
          <w:sz w:val="24"/>
          <w:szCs w:val="24"/>
          <w:highlight w:val="none"/>
          <w:lang w:val="en-US"/>
        </w:rPr>
      </w:pPr>
      <w:bookmarkStart w:id="22" w:name="_Toc142899045"/>
      <w:bookmarkStart w:id="23" w:name="_Toc256000296"/>
      <w:bookmarkStart w:id="24" w:name="_Toc256000149"/>
      <w:r>
        <w:rPr>
          <w:rFonts w:hint="eastAsia" w:ascii="仿宋_GB2312" w:hAnsi="Calibri" w:eastAsia="仿宋_GB2312" w:cs="仿宋_GB2312"/>
          <w:b/>
          <w:bCs w:val="0"/>
          <w:kern w:val="2"/>
          <w:sz w:val="24"/>
          <w:szCs w:val="24"/>
          <w:highlight w:val="none"/>
          <w:lang w:val="en-US" w:eastAsia="zh-CN" w:bidi="ar"/>
        </w:rPr>
        <w:t>八、凡是对本次招标提出询问，请按照以下方式联系</w:t>
      </w:r>
      <w:bookmarkEnd w:id="22"/>
      <w:bookmarkEnd w:id="23"/>
      <w:bookmarkEnd w:id="24"/>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1. 采购人信息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名称：洛阳市涧西区城市管理局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地址：洛阳市涧西区天津路85号综合办公楼五楼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联系人：杨先生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联系方式：0379-63622608 </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2.采购代理机构信息（如有）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名称：公诚管理咨询有限公司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地址：河南省郑州市金水区鑫苑路26号阳光大厦9楼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联系人：李青松 孙健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联系方式：13838588870 13838802140</w:t>
      </w:r>
    </w:p>
    <w:p>
      <w:pPr>
        <w:pStyle w:val="2"/>
        <w:keepNext w:val="0"/>
        <w:keepLines w:val="0"/>
        <w:widowControl w:val="0"/>
        <w:suppressLineNumbers w:val="0"/>
        <w:spacing w:before="0" w:beforeAutospacing="0" w:after="0" w:afterAutospacing="0"/>
        <w:ind w:left="0" w:right="0" w:firstLine="480" w:firstLineChars="200"/>
        <w:jc w:val="both"/>
        <w:outlineLvl w:val="1"/>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3.项目联系方式 </w:t>
      </w:r>
    </w:p>
    <w:p>
      <w:pPr>
        <w:pStyle w:val="2"/>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sz w:val="24"/>
          <w:szCs w:val="24"/>
          <w:highlight w:val="none"/>
          <w:lang w:val="en-US"/>
        </w:rPr>
      </w:pPr>
      <w:r>
        <w:rPr>
          <w:rFonts w:hint="eastAsia" w:ascii="仿宋_GB2312" w:hAnsi="Calibri" w:eastAsia="仿宋_GB2312" w:cs="仿宋_GB2312"/>
          <w:kern w:val="2"/>
          <w:sz w:val="24"/>
          <w:szCs w:val="24"/>
          <w:highlight w:val="none"/>
          <w:lang w:val="en-US" w:eastAsia="zh-CN" w:bidi="ar"/>
        </w:rPr>
        <w:t xml:space="preserve">项目联系人：李青松 孙健 </w:t>
      </w:r>
    </w:p>
    <w:p>
      <w:pPr>
        <w:ind w:firstLine="480" w:firstLineChars="200"/>
        <w:rPr>
          <w:highlight w:val="none"/>
        </w:rPr>
      </w:pPr>
      <w:r>
        <w:rPr>
          <w:rFonts w:hint="eastAsia" w:ascii="仿宋_GB2312" w:hAnsi="Calibri" w:eastAsia="仿宋_GB2312" w:cs="仿宋_GB2312"/>
          <w:kern w:val="2"/>
          <w:sz w:val="24"/>
          <w:szCs w:val="24"/>
          <w:highlight w:val="none"/>
          <w:lang w:val="en-US" w:eastAsia="zh-CN" w:bidi="ar"/>
        </w:rPr>
        <w:t>联系方式：13838588870 13838802140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07A7E"/>
    <w:rsid w:val="45E34F94"/>
    <w:rsid w:val="46193C14"/>
    <w:rsid w:val="4920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icon_gys"/>
    <w:basedOn w:val="4"/>
    <w:uiPriority w:val="0"/>
    <w:rPr>
      <w:sz w:val="16"/>
      <w:szCs w:val="16"/>
    </w:rPr>
  </w:style>
  <w:style w:type="character" w:customStyle="1" w:styleId="8">
    <w:name w:val="icon_ds"/>
    <w:basedOn w:val="4"/>
    <w:uiPriority w:val="0"/>
    <w:rPr>
      <w:sz w:val="16"/>
      <w:szCs w:val="16"/>
    </w:rPr>
  </w:style>
  <w:style w:type="character" w:customStyle="1" w:styleId="9">
    <w:name w:val="icon_ds1"/>
    <w:basedOn w:val="4"/>
    <w:uiPriority w:val="0"/>
  </w:style>
  <w:style w:type="character" w:customStyle="1" w:styleId="10">
    <w:name w:val="fr"/>
    <w:basedOn w:val="4"/>
    <w:uiPriority w:val="0"/>
  </w:style>
  <w:style w:type="character" w:customStyle="1" w:styleId="11">
    <w:name w:val="first-child"/>
    <w:basedOn w:val="4"/>
    <w:uiPriority w:val="0"/>
    <w:rPr>
      <w:color w:val="1F3149"/>
      <w:sz w:val="19"/>
      <w:szCs w:val="19"/>
    </w:rPr>
  </w:style>
  <w:style w:type="character" w:customStyle="1" w:styleId="12">
    <w:name w:val="first-child1"/>
    <w:basedOn w:val="4"/>
    <w:uiPriority w:val="0"/>
    <w:rPr>
      <w:color w:val="1F3149"/>
      <w:sz w:val="19"/>
      <w:szCs w:val="19"/>
    </w:rPr>
  </w:style>
  <w:style w:type="character" w:customStyle="1" w:styleId="13">
    <w:name w:val="xiadan"/>
    <w:basedOn w:val="4"/>
    <w:qFormat/>
    <w:uiPriority w:val="0"/>
    <w:rPr>
      <w:shd w:val="clear" w:fill="E439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2024-01-11T16:38:00Z</dcterms:created>
  <dc:creator>wang</dc:creator>
  <cp:lastModifiedBy>NTKO</cp:lastModifiedBy>
  <dcterms:modified xsi:type="dcterms:W3CDTF">2024-01-11T16:55:59Z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