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D3361">
      <w:pPr>
        <w:keepNext w:val="0"/>
        <w:keepLines w:val="0"/>
        <w:pageBreakBefore w:val="0"/>
        <w:kinsoku/>
        <w:wordWrap w:val="0"/>
        <w:overflowPunct/>
        <w:topLinePunct w:val="0"/>
        <w:bidi w:val="0"/>
        <w:spacing w:line="281" w:lineRule="auto"/>
        <w:jc w:val="both"/>
        <w:rPr>
          <w:rFonts w:ascii="Arial"/>
          <w:sz w:val="21"/>
        </w:rPr>
      </w:pPr>
    </w:p>
    <w:p w14:paraId="3BA9CC8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drawing>
          <wp:inline distT="0" distB="0" distL="114300" distR="114300">
            <wp:extent cx="5271135" cy="7453630"/>
            <wp:effectExtent l="0" t="0" r="5715" b="13970"/>
            <wp:docPr id="2" name="图片 2" descr="南阳市生态环境局2025年-2027年办公楼物业服务项目磋商文件 5-27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阳市生态环境局2025年-2027年办公楼物业服务项目磋商文件 5-27_00"/>
                    <pic:cNvPicPr>
                      <a:picLocks noChangeAspect="1"/>
                    </pic:cNvPicPr>
                  </pic:nvPicPr>
                  <pic:blipFill>
                    <a:blip r:embed="rId15"/>
                    <a:stretch>
                      <a:fillRect/>
                    </a:stretch>
                  </pic:blipFill>
                  <pic:spPr>
                    <a:xfrm>
                      <a:off x="0" y="0"/>
                      <a:ext cx="5271135" cy="7453630"/>
                    </a:xfrm>
                    <a:prstGeom prst="rect">
                      <a:avLst/>
                    </a:prstGeom>
                  </pic:spPr>
                </pic:pic>
              </a:graphicData>
            </a:graphic>
          </wp:inline>
        </w:drawing>
      </w:r>
    </w:p>
    <w:p w14:paraId="6025451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6C4BA15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0AB7E71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w:t>
      </w:r>
    </w:p>
    <w:p w14:paraId="32C64DE6">
      <w:pPr>
        <w:keepNext w:val="0"/>
        <w:keepLines w:val="0"/>
        <w:pageBreakBefore w:val="0"/>
        <w:kinsoku/>
        <w:wordWrap w:val="0"/>
        <w:overflowPunct/>
        <w:topLinePunct w:val="0"/>
        <w:bidi w:val="0"/>
        <w:spacing w:line="248" w:lineRule="auto"/>
        <w:jc w:val="both"/>
        <w:rPr>
          <w:rFonts w:ascii="Arial"/>
          <w:sz w:val="21"/>
        </w:rPr>
      </w:pPr>
    </w:p>
    <w:p w14:paraId="282FA724">
      <w:pPr>
        <w:keepNext w:val="0"/>
        <w:keepLines w:val="0"/>
        <w:pageBreakBefore w:val="0"/>
        <w:kinsoku/>
        <w:wordWrap w:val="0"/>
        <w:overflowPunct/>
        <w:topLinePunct w:val="0"/>
        <w:bidi w:val="0"/>
        <w:spacing w:line="249" w:lineRule="auto"/>
        <w:jc w:val="both"/>
        <w:rPr>
          <w:rFonts w:ascii="Arial"/>
          <w:sz w:val="21"/>
        </w:rPr>
      </w:pPr>
    </w:p>
    <w:p w14:paraId="56256DFD">
      <w:pPr>
        <w:keepNext w:val="0"/>
        <w:keepLines w:val="0"/>
        <w:pageBreakBefore w:val="0"/>
        <w:kinsoku/>
        <w:wordWrap w:val="0"/>
        <w:overflowPunct/>
        <w:topLinePunct w:val="0"/>
        <w:bidi w:val="0"/>
        <w:spacing w:line="249" w:lineRule="auto"/>
        <w:jc w:val="both"/>
        <w:rPr>
          <w:rFonts w:ascii="Arial"/>
          <w:sz w:val="21"/>
        </w:rPr>
      </w:pPr>
    </w:p>
    <w:p w14:paraId="152BF7A1">
      <w:pPr>
        <w:keepNext w:val="0"/>
        <w:keepLines w:val="0"/>
        <w:pageBreakBefore w:val="0"/>
        <w:kinsoku/>
        <w:wordWrap w:val="0"/>
        <w:overflowPunct/>
        <w:topLinePunct w:val="0"/>
        <w:bidi w:val="0"/>
        <w:spacing w:line="249" w:lineRule="auto"/>
        <w:jc w:val="both"/>
        <w:rPr>
          <w:rFonts w:ascii="Arial"/>
          <w:sz w:val="21"/>
        </w:rPr>
      </w:pPr>
    </w:p>
    <w:p w14:paraId="1C21530B">
      <w:pPr>
        <w:keepNext w:val="0"/>
        <w:keepLines w:val="0"/>
        <w:pageBreakBefore w:val="0"/>
        <w:kinsoku/>
        <w:wordWrap w:val="0"/>
        <w:overflowPunct/>
        <w:topLinePunct w:val="0"/>
        <w:bidi w:val="0"/>
        <w:spacing w:line="249" w:lineRule="auto"/>
        <w:jc w:val="both"/>
        <w:rPr>
          <w:rFonts w:ascii="Arial"/>
          <w:sz w:val="21"/>
        </w:rPr>
      </w:pPr>
    </w:p>
    <w:p w14:paraId="211F8650">
      <w:pPr>
        <w:keepNext w:val="0"/>
        <w:keepLines w:val="0"/>
        <w:pageBreakBefore w:val="0"/>
        <w:kinsoku/>
        <w:wordWrap w:val="0"/>
        <w:overflowPunct/>
        <w:topLinePunct w:val="0"/>
        <w:bidi w:val="0"/>
        <w:spacing w:line="249" w:lineRule="auto"/>
        <w:jc w:val="both"/>
        <w:rPr>
          <w:rFonts w:ascii="Arial"/>
          <w:sz w:val="21"/>
        </w:rPr>
      </w:pPr>
    </w:p>
    <w:p w14:paraId="120A2797">
      <w:pPr>
        <w:keepNext w:val="0"/>
        <w:keepLines w:val="0"/>
        <w:pageBreakBefore w:val="0"/>
        <w:kinsoku/>
        <w:wordWrap w:val="0"/>
        <w:overflowPunct/>
        <w:topLinePunct w:val="0"/>
        <w:bidi w:val="0"/>
        <w:spacing w:line="249" w:lineRule="auto"/>
        <w:jc w:val="both"/>
        <w:rPr>
          <w:rFonts w:ascii="Arial"/>
          <w:sz w:val="21"/>
        </w:rPr>
      </w:pPr>
    </w:p>
    <w:p w14:paraId="6D4183C8">
      <w:pPr>
        <w:keepNext w:val="0"/>
        <w:keepLines w:val="0"/>
        <w:pageBreakBefore w:val="0"/>
        <w:kinsoku/>
        <w:wordWrap w:val="0"/>
        <w:overflowPunct/>
        <w:topLinePunct w:val="0"/>
        <w:bidi w:val="0"/>
        <w:spacing w:line="249" w:lineRule="auto"/>
        <w:jc w:val="both"/>
        <w:rPr>
          <w:rFonts w:ascii="Arial"/>
          <w:sz w:val="21"/>
        </w:rPr>
      </w:pPr>
    </w:p>
    <w:p w14:paraId="370075F0">
      <w:pPr>
        <w:keepNext w:val="0"/>
        <w:keepLines w:val="0"/>
        <w:pageBreakBefore w:val="0"/>
        <w:widowControl/>
        <w:kinsoku/>
        <w:wordWrap w:val="0"/>
        <w:overflowPunct/>
        <w:topLinePunct w:val="0"/>
        <w:autoSpaceDE w:val="0"/>
        <w:autoSpaceDN w:val="0"/>
        <w:bidi w:val="0"/>
        <w:adjustRightInd w:val="0"/>
        <w:snapToGrid w:val="0"/>
        <w:spacing w:line="360" w:lineRule="auto"/>
        <w:ind w:left="3001" w:leftChars="608" w:hanging="1724" w:hangingChars="600"/>
        <w:jc w:val="both"/>
        <w:textAlignment w:val="baseline"/>
        <w:rPr>
          <w:rFonts w:hint="default" w:asciiTheme="minorEastAsia" w:hAnsiTheme="minorEastAsia" w:eastAsiaTheme="minorEastAsia" w:cstheme="minorEastAsia"/>
          <w:b/>
          <w:bCs/>
          <w:color w:val="auto"/>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bCs/>
          <w:color w:val="auto"/>
          <w:spacing w:val="-17"/>
          <w:sz w:val="32"/>
          <w:szCs w:val="32"/>
          <w:u w:val="single"/>
          <w:lang w:val="en-US" w:eastAsia="zh-CN"/>
        </w:rPr>
        <w:t xml:space="preserve">南阳市生态环境局2025年6月-  </w:t>
      </w:r>
    </w:p>
    <w:p w14:paraId="5FEA8895">
      <w:pPr>
        <w:keepNext w:val="0"/>
        <w:keepLines w:val="0"/>
        <w:pageBreakBefore w:val="0"/>
        <w:widowControl/>
        <w:kinsoku/>
        <w:wordWrap w:val="0"/>
        <w:overflowPunct/>
        <w:topLinePunct w:val="0"/>
        <w:autoSpaceDE w:val="0"/>
        <w:autoSpaceDN w:val="0"/>
        <w:bidi w:val="0"/>
        <w:adjustRightInd w:val="0"/>
        <w:snapToGrid w:val="0"/>
        <w:spacing w:line="360" w:lineRule="auto"/>
        <w:ind w:firstLine="2873" w:firstLineChars="1000"/>
        <w:jc w:val="both"/>
        <w:textAlignment w:val="baseline"/>
        <w:rPr>
          <w:rFonts w:hint="default" w:asciiTheme="minorEastAsia" w:hAnsiTheme="minorEastAsia" w:eastAsiaTheme="minorEastAsia" w:cstheme="minorEastAsia"/>
          <w:b/>
          <w:bCs/>
          <w:color w:val="auto"/>
          <w:spacing w:val="-17"/>
          <w:sz w:val="32"/>
          <w:szCs w:val="32"/>
          <w:u w:val="single"/>
          <w:lang w:val="en-US" w:eastAsia="zh-CN"/>
        </w:rPr>
      </w:pPr>
      <w:r>
        <w:rPr>
          <w:rFonts w:hint="eastAsia" w:asciiTheme="minorEastAsia" w:hAnsiTheme="minorEastAsia" w:eastAsiaTheme="minorEastAsia" w:cstheme="minorEastAsia"/>
          <w:b/>
          <w:bCs/>
          <w:color w:val="auto"/>
          <w:spacing w:val="-17"/>
          <w:sz w:val="32"/>
          <w:szCs w:val="32"/>
          <w:u w:val="single"/>
          <w:lang w:val="en-US" w:eastAsia="zh-CN"/>
        </w:rPr>
        <w:t xml:space="preserve">2027年5月办公楼物业服务项目 </w:t>
      </w:r>
    </w:p>
    <w:p w14:paraId="009C2C5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南阳政采磋商-2025-10     </w:t>
      </w:r>
    </w:p>
    <w:p w14:paraId="7CF74C8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南阳政采磋商-2025-10-1    </w:t>
      </w:r>
    </w:p>
    <w:p w14:paraId="5B3B07D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南阳市生态环境局        </w:t>
      </w:r>
    </w:p>
    <w:p w14:paraId="38FA13A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666CEA5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30B40AD8">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717CA7C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6F44D111">
      <w:pPr>
        <w:pStyle w:val="4"/>
        <w:bidi w:val="0"/>
      </w:pPr>
    </w:p>
    <w:p w14:paraId="2D56090E">
      <w:pPr>
        <w:pStyle w:val="15"/>
      </w:pPr>
    </w:p>
    <w:p w14:paraId="450722FD">
      <w:pPr>
        <w:pStyle w:val="4"/>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14:paraId="32197A15">
      <w:pPr>
        <w:pStyle w:val="4"/>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5790B930">
          <w:pPr>
            <w:pStyle w:val="4"/>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14:paraId="3AE3BBFC">
          <w:pPr>
            <w:keepNext w:val="0"/>
            <w:keepLines w:val="0"/>
            <w:pageBreakBefore w:val="0"/>
            <w:kinsoku/>
            <w:wordWrap w:val="0"/>
            <w:overflowPunct/>
            <w:topLinePunct w:val="0"/>
            <w:bidi w:val="0"/>
            <w:spacing w:line="286" w:lineRule="auto"/>
            <w:jc w:val="both"/>
            <w:rPr>
              <w:rFonts w:ascii="Arial"/>
              <w:sz w:val="21"/>
            </w:rPr>
          </w:pPr>
        </w:p>
        <w:p w14:paraId="4806C3E5">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2CEC84FD">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14:paraId="3421188D">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14:paraId="611EE325">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14:paraId="01AF2CBC">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14:paraId="27269FB4">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14:paraId="12BFF8EB">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14:paraId="65B2F6A3">
      <w:pPr>
        <w:bidi w:val="0"/>
        <w:rPr>
          <w:rFonts w:ascii="Arial" w:hAnsi="Arial" w:eastAsia="Arial" w:cs="Arial"/>
          <w:snapToGrid w:val="0"/>
          <w:color w:val="000000"/>
          <w:kern w:val="0"/>
          <w:sz w:val="21"/>
          <w:szCs w:val="21"/>
          <w:lang w:val="en-US" w:eastAsia="en-US" w:bidi="ar-SA"/>
        </w:rPr>
      </w:pPr>
    </w:p>
    <w:p w14:paraId="717C8A8C">
      <w:pPr>
        <w:bidi w:val="0"/>
        <w:rPr>
          <w:lang w:val="en-US" w:eastAsia="en-US"/>
        </w:rPr>
      </w:pPr>
    </w:p>
    <w:p w14:paraId="2669D3BC">
      <w:pPr>
        <w:bidi w:val="0"/>
        <w:rPr>
          <w:lang w:val="en-US" w:eastAsia="en-US"/>
        </w:rPr>
      </w:pPr>
    </w:p>
    <w:p w14:paraId="1333308C">
      <w:pPr>
        <w:bidi w:val="0"/>
        <w:rPr>
          <w:lang w:val="en-US" w:eastAsia="en-US"/>
        </w:rPr>
      </w:pPr>
    </w:p>
    <w:p w14:paraId="4ACD79B9">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8F986A9">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3B15FDB7">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0F724CE">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779C538">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AEE5D98">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EBFD921">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C36355F">
      <w:pPr>
        <w:pStyle w:val="4"/>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14:paraId="4E4233F2">
      <w:pPr>
        <w:pStyle w:val="4"/>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14:paraId="1E85A1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竞争性磋商</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磋商</w:t>
      </w:r>
      <w:r>
        <w:rPr>
          <w:spacing w:val="-6"/>
          <w:sz w:val="24"/>
          <w:szCs w:val="24"/>
        </w:rPr>
        <w:t>。</w:t>
      </w:r>
    </w:p>
    <w:p w14:paraId="7ECA859E">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441A199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1.项目编号：南阳政采磋商-2025-10</w:t>
      </w:r>
    </w:p>
    <w:p w14:paraId="3B380AD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color w:val="auto"/>
          <w:spacing w:val="-24"/>
          <w:sz w:val="24"/>
          <w:szCs w:val="24"/>
        </w:rPr>
        <w:t>南阳市生态环境局2025年6月-2027年5月办公楼物业服务项目</w:t>
      </w:r>
    </w:p>
    <w:p w14:paraId="58737F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u w:val="single"/>
          <w:lang w:val="en-US" w:eastAsia="zh-CN"/>
        </w:rPr>
        <w:t xml:space="preserve"> 162   </w:t>
      </w:r>
      <w:r>
        <w:rPr>
          <w:rFonts w:hint="eastAsia" w:asciiTheme="minorEastAsia" w:hAnsiTheme="minorEastAsia" w:eastAsiaTheme="minorEastAsia" w:cstheme="minorEastAsia"/>
          <w:color w:val="auto"/>
          <w:spacing w:val="-14"/>
          <w:sz w:val="24"/>
          <w:szCs w:val="24"/>
        </w:rPr>
        <w:t>万元、项目最高限价（如有</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5"/>
          <w:sz w:val="24"/>
          <w:szCs w:val="24"/>
          <w:u w:val="single"/>
          <w:lang w:val="en-US" w:eastAsia="zh-CN"/>
        </w:rPr>
        <w:t xml:space="preserve">  162  </w:t>
      </w:r>
      <w:r>
        <w:rPr>
          <w:rFonts w:hint="eastAsia" w:asciiTheme="minorEastAsia" w:hAnsiTheme="minorEastAsia" w:eastAsiaTheme="minorEastAsia" w:cstheme="minorEastAsia"/>
          <w:spacing w:val="-14"/>
          <w:sz w:val="24"/>
          <w:szCs w:val="24"/>
        </w:rPr>
        <w:t>万元</w:t>
      </w:r>
    </w:p>
    <w:p w14:paraId="44DF0F8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7"/>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415"/>
        <w:gridCol w:w="2121"/>
      </w:tblGrid>
      <w:tr w14:paraId="5C0D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A99A9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415" w:type="dxa"/>
            <w:vAlign w:val="center"/>
          </w:tcPr>
          <w:p w14:paraId="3A46C68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121" w:type="dxa"/>
            <w:vAlign w:val="center"/>
          </w:tcPr>
          <w:p w14:paraId="0429550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29962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7B56B3F9">
            <w:pPr>
              <w:pStyle w:val="1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南阳政采磋商-2025-10-1</w:t>
            </w:r>
          </w:p>
        </w:tc>
        <w:tc>
          <w:tcPr>
            <w:tcW w:w="4415" w:type="dxa"/>
            <w:vAlign w:val="top"/>
          </w:tcPr>
          <w:p w14:paraId="6F921847">
            <w:pPr>
              <w:pStyle w:val="1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4"/>
                <w:sz w:val="24"/>
                <w:szCs w:val="24"/>
              </w:rPr>
              <w:t>南阳市生态环境局2025年6月-2027年5月办公楼物业服务项目</w:t>
            </w:r>
          </w:p>
        </w:tc>
        <w:tc>
          <w:tcPr>
            <w:tcW w:w="2121" w:type="dxa"/>
            <w:vAlign w:val="top"/>
          </w:tcPr>
          <w:p w14:paraId="53D48850">
            <w:pPr>
              <w:pStyle w:val="18"/>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1620000</w:t>
            </w:r>
          </w:p>
        </w:tc>
      </w:tr>
    </w:tbl>
    <w:p w14:paraId="20EFB46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5.服务要求：</w:t>
      </w:r>
    </w:p>
    <w:p w14:paraId="7E9CCA1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 xml:space="preserve">    负责南阳市生态环境局办公楼的安保，大楼保洁，水、电、暖、冷维保，绿化管护（含楼顶绿化)等物业服务工作。</w:t>
      </w:r>
    </w:p>
    <w:p w14:paraId="6B1D517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25"/>
          <w:sz w:val="24"/>
          <w:szCs w:val="24"/>
          <w:highlight w:val="none"/>
          <w:lang w:val="en-US" w:eastAsia="zh-CN"/>
        </w:rPr>
      </w:pPr>
      <w:r>
        <w:rPr>
          <w:rFonts w:hint="eastAsia" w:asciiTheme="minorEastAsia" w:hAnsiTheme="minorEastAsia" w:eastAsiaTheme="minorEastAsia" w:cstheme="minorEastAsia"/>
          <w:color w:val="auto"/>
          <w:spacing w:val="-25"/>
          <w:sz w:val="24"/>
          <w:szCs w:val="24"/>
          <w:highlight w:val="none"/>
          <w:lang w:val="en-US" w:eastAsia="zh-CN"/>
        </w:rPr>
        <w:t>6</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25"/>
          <w:sz w:val="24"/>
          <w:szCs w:val="24"/>
          <w:highlight w:val="none"/>
          <w:lang w:val="en-US" w:eastAsia="zh-CN"/>
        </w:rPr>
        <w:t>服务</w:t>
      </w:r>
      <w:r>
        <w:rPr>
          <w:rFonts w:hint="eastAsia" w:asciiTheme="minorEastAsia" w:hAnsiTheme="minorEastAsia" w:eastAsiaTheme="minorEastAsia" w:cstheme="minorEastAsia"/>
          <w:color w:val="auto"/>
          <w:spacing w:val="-25"/>
          <w:sz w:val="24"/>
          <w:szCs w:val="24"/>
          <w:highlight w:val="none"/>
        </w:rPr>
        <w:t>期限：</w:t>
      </w:r>
      <w:r>
        <w:rPr>
          <w:rFonts w:hint="eastAsia" w:asciiTheme="minorEastAsia" w:hAnsiTheme="minorEastAsia" w:eastAsiaTheme="minorEastAsia" w:cstheme="minorEastAsia"/>
          <w:color w:val="auto"/>
          <w:spacing w:val="-25"/>
          <w:sz w:val="24"/>
          <w:szCs w:val="24"/>
          <w:highlight w:val="none"/>
          <w:lang w:val="en-US" w:eastAsia="zh-CN"/>
        </w:rPr>
        <w:t>两年</w:t>
      </w:r>
    </w:p>
    <w:p w14:paraId="29F0D27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366DDD2F">
      <w:pPr>
        <w:pStyle w:val="4"/>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14:paraId="0F21C8F8">
      <w:pPr>
        <w:pStyle w:val="4"/>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20262BC1">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3BAD167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EE2F97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125D8718">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5F39A098">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638DBDF1">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DE20166">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26E42CB8">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w:t>
      </w:r>
      <w:r>
        <w:rPr>
          <w:rFonts w:hint="eastAsia" w:asciiTheme="minorEastAsia" w:hAnsiTheme="minorEastAsia" w:eastAsiaTheme="minorEastAsia" w:cstheme="minorEastAsia"/>
          <w:b/>
          <w:bCs/>
          <w:snapToGrid w:val="0"/>
          <w:color w:val="auto"/>
          <w:spacing w:val="-14"/>
          <w:kern w:val="0"/>
          <w:sz w:val="24"/>
          <w:szCs w:val="24"/>
          <w:lang w:val="en-US" w:eastAsia="zh-CN" w:bidi="ar-SA"/>
        </w:rPr>
        <w:t>本项目专门面向中小企业采购，投标人须提交服务机构出具的中小企业声明函；</w:t>
      </w:r>
    </w:p>
    <w:p w14:paraId="2B74D3C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4FF23AB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3D546EC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342F58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53CFC50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18CD7C1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39AC3AE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CCD179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5884A20">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3FB6489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1ABE0CCD">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17ABD169">
      <w:pPr>
        <w:keepNext w:val="0"/>
        <w:keepLines w:val="0"/>
        <w:pageBreakBefore w:val="0"/>
        <w:kinsoku/>
        <w:wordWrap w:val="0"/>
        <w:overflowPunct/>
        <w:topLinePunct w:val="0"/>
        <w:bidi w:val="0"/>
        <w:spacing w:line="259" w:lineRule="auto"/>
        <w:jc w:val="both"/>
        <w:rPr>
          <w:rFonts w:ascii="Arial"/>
          <w:sz w:val="21"/>
        </w:rPr>
      </w:pPr>
    </w:p>
    <w:p w14:paraId="30C37AC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14:paraId="489736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10C7624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13"/>
          <w:sz w:val="24"/>
          <w:szCs w:val="24"/>
          <w:highlight w:val="none"/>
        </w:rPr>
        <w:t>时间：</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31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9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4"/>
          <w:sz w:val="24"/>
          <w:szCs w:val="24"/>
          <w:highlight w:val="none"/>
        </w:rPr>
        <w:t>每天上午</w:t>
      </w:r>
      <w:r>
        <w:rPr>
          <w:rFonts w:hint="eastAsia" w:asciiTheme="minorEastAsia" w:hAnsiTheme="minorEastAsia" w:eastAsiaTheme="minorEastAsia" w:cstheme="minorEastAsia"/>
          <w:spacing w:val="-13"/>
          <w:sz w:val="24"/>
          <w:szCs w:val="24"/>
          <w:highlight w:val="none"/>
          <w:u w:val="single"/>
          <w:lang w:val="en-US" w:eastAsia="zh-CN"/>
        </w:rPr>
        <w:t xml:space="preserve"> 0:00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，下午</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23:59 </w:t>
      </w:r>
      <w:r>
        <w:rPr>
          <w:rFonts w:hint="eastAsia" w:asciiTheme="minorEastAsia" w:hAnsiTheme="minorEastAsia" w:eastAsiaTheme="minorEastAsia" w:cstheme="minorEastAsia"/>
          <w:spacing w:val="-14"/>
          <w:sz w:val="24"/>
          <w:szCs w:val="24"/>
          <w:highlight w:val="none"/>
        </w:rPr>
        <w:t>（北京时</w:t>
      </w:r>
      <w:r>
        <w:rPr>
          <w:rFonts w:hint="eastAsia" w:asciiTheme="minorEastAsia" w:hAnsiTheme="minorEastAsia" w:eastAsiaTheme="minorEastAsia" w:cstheme="minorEastAsia"/>
          <w:spacing w:val="-15"/>
          <w:sz w:val="24"/>
          <w:szCs w:val="24"/>
          <w:highlight w:val="none"/>
        </w:rPr>
        <w:t>间，法定节假日除外）。</w:t>
      </w:r>
    </w:p>
    <w:p w14:paraId="3CBC93B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14:paraId="36CC86CC">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4"/>
          <w:sz w:val="24"/>
          <w:szCs w:val="24"/>
          <w:lang w:eastAsia="zh-CN"/>
        </w:rPr>
        <w:t>未入库的供应商请及时办理入库手续。</w:t>
      </w:r>
      <w:bookmarkStart w:id="1"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1"/>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2" w:name="_Hlk117068952"/>
      <w:r>
        <w:rPr>
          <w:rFonts w:hint="eastAsia" w:asciiTheme="minorEastAsia" w:hAnsiTheme="minorEastAsia" w:eastAsiaTheme="minorEastAsia" w:cstheme="minorEastAsia"/>
          <w:spacing w:val="-4"/>
          <w:sz w:val="24"/>
          <w:szCs w:val="24"/>
          <w:lang w:eastAsia="zh-CN"/>
        </w:rPr>
        <w:t>111.6.77.187:8081</w:t>
      </w:r>
      <w:bookmarkEnd w:id="2"/>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14:paraId="411E4F0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35C8793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A8C9A5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2083D3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供应商须上传加密电子响应文件。电子响应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文件视为无效文件。</w:t>
      </w:r>
    </w:p>
    <w:p w14:paraId="3EC51231">
      <w:pPr>
        <w:keepNext w:val="0"/>
        <w:keepLines w:val="0"/>
        <w:pageBreakBefore w:val="0"/>
        <w:widowControl w:val="0"/>
        <w:kinsoku/>
        <w:wordWrap w:val="0"/>
        <w:overflowPunct/>
        <w:topLinePunct w:val="0"/>
        <w:bidi w:val="0"/>
        <w:spacing w:after="0" w:line="360" w:lineRule="auto"/>
        <w:ind w:left="9" w:firstLine="424" w:firstLineChars="183"/>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本项目采用全流程电子化，供应商应在开标时间前登录电子营业执照应用平台系统不见面开标大厅；在响应文件解密过程中，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14:paraId="6932DE3E">
      <w:pPr>
        <w:pStyle w:val="4"/>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14:paraId="16223C93">
      <w:pPr>
        <w:pStyle w:val="4"/>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14:paraId="530B6B4D">
      <w:pPr>
        <w:pStyle w:val="4"/>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6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11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分</w:t>
      </w:r>
      <w:r>
        <w:rPr>
          <w:spacing w:val="-25"/>
          <w:sz w:val="24"/>
          <w:szCs w:val="24"/>
          <w:highlight w:val="none"/>
        </w:rPr>
        <w:t>（北京时间）。</w:t>
      </w:r>
    </w:p>
    <w:p w14:paraId="346C89B7">
      <w:pPr>
        <w:pStyle w:val="4"/>
        <w:keepNext w:val="0"/>
        <w:keepLines w:val="0"/>
        <w:pageBreakBefore w:val="0"/>
        <w:kinsoku/>
        <w:wordWrap w:val="0"/>
        <w:overflowPunct/>
        <w:topLinePunct w:val="0"/>
        <w:bidi w:val="0"/>
        <w:spacing w:before="180" w:line="189" w:lineRule="auto"/>
        <w:jc w:val="both"/>
        <w:rPr>
          <w:rFonts w:hint="eastAsia" w:ascii="Arial" w:hAnsi="Arial" w:eastAsia="宋体" w:cs="Arial"/>
          <w:color w:val="auto"/>
          <w:sz w:val="24"/>
          <w:szCs w:val="24"/>
          <w:highlight w:val="none"/>
          <w:lang w:eastAsia="zh-CN"/>
        </w:rPr>
      </w:pPr>
      <w:r>
        <w:rPr>
          <w:spacing w:val="-31"/>
          <w:sz w:val="24"/>
          <w:szCs w:val="24"/>
        </w:rPr>
        <w:t>地点：</w:t>
      </w:r>
      <w:r>
        <w:rPr>
          <w:rFonts w:hint="eastAsia" w:ascii="Arial" w:hAnsi="Arial" w:eastAsia="Arial" w:cs="Arial"/>
          <w:color w:val="auto"/>
          <w:position w:val="5"/>
          <w:sz w:val="24"/>
          <w:szCs w:val="24"/>
          <w:highlight w:val="none"/>
        </w:rPr>
        <w:t>电子营业执照应用平台系统不见面开标大厅（http://111.6.77.187:8081/ggzy/）</w:t>
      </w:r>
      <w:r>
        <w:rPr>
          <w:rFonts w:hint="eastAsia" w:ascii="Arial" w:hAnsi="Arial" w:cs="Arial"/>
          <w:color w:val="auto"/>
          <w:position w:val="5"/>
          <w:sz w:val="24"/>
          <w:szCs w:val="24"/>
          <w:highlight w:val="none"/>
          <w:lang w:eastAsia="zh-CN"/>
        </w:rPr>
        <w:t>。</w:t>
      </w:r>
    </w:p>
    <w:p w14:paraId="0235FF54">
      <w:pPr>
        <w:keepNext w:val="0"/>
        <w:keepLines w:val="0"/>
        <w:pageBreakBefore w:val="0"/>
        <w:kinsoku/>
        <w:wordWrap w:val="0"/>
        <w:overflowPunct/>
        <w:topLinePunct w:val="0"/>
        <w:bidi w:val="0"/>
        <w:spacing w:line="269" w:lineRule="auto"/>
        <w:jc w:val="both"/>
        <w:rPr>
          <w:rFonts w:ascii="Arial"/>
          <w:color w:val="auto"/>
          <w:sz w:val="21"/>
          <w:highlight w:val="none"/>
        </w:rPr>
      </w:pPr>
    </w:p>
    <w:p w14:paraId="2B19C9C3">
      <w:pPr>
        <w:keepNext w:val="0"/>
        <w:keepLines w:val="0"/>
        <w:pageBreakBefore w:val="0"/>
        <w:kinsoku/>
        <w:wordWrap w:val="0"/>
        <w:overflowPunct/>
        <w:topLinePunct w:val="0"/>
        <w:bidi w:val="0"/>
        <w:spacing w:line="269" w:lineRule="auto"/>
        <w:jc w:val="both"/>
        <w:rPr>
          <w:rFonts w:ascii="Arial"/>
          <w:sz w:val="21"/>
        </w:rPr>
      </w:pPr>
    </w:p>
    <w:p w14:paraId="2345ECB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7CE2AA6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31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5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highlight w:val="none"/>
          <w:lang w:eastAsia="zh-CN"/>
        </w:rPr>
        <w:t>。</w:t>
      </w:r>
    </w:p>
    <w:p w14:paraId="3647532B">
      <w:pPr>
        <w:keepNext w:val="0"/>
        <w:keepLines w:val="0"/>
        <w:pageBreakBefore w:val="0"/>
        <w:kinsoku/>
        <w:wordWrap w:val="0"/>
        <w:overflowPunct/>
        <w:topLinePunct w:val="0"/>
        <w:bidi w:val="0"/>
        <w:spacing w:line="259" w:lineRule="auto"/>
        <w:jc w:val="both"/>
        <w:rPr>
          <w:rFonts w:ascii="Arial"/>
          <w:sz w:val="21"/>
        </w:rPr>
      </w:pPr>
    </w:p>
    <w:p w14:paraId="6C3AFEAF">
      <w:pPr>
        <w:keepNext w:val="0"/>
        <w:keepLines w:val="0"/>
        <w:pageBreakBefore w:val="0"/>
        <w:kinsoku/>
        <w:wordWrap w:val="0"/>
        <w:overflowPunct/>
        <w:topLinePunct w:val="0"/>
        <w:bidi w:val="0"/>
        <w:spacing w:line="260" w:lineRule="auto"/>
        <w:jc w:val="both"/>
        <w:rPr>
          <w:rFonts w:ascii="Arial"/>
          <w:sz w:val="21"/>
        </w:rPr>
      </w:pPr>
    </w:p>
    <w:p w14:paraId="3C931E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0156C9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p>
    <w:p w14:paraId="5688C9B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5440A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2D3BD1B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344CBC9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名称：南阳市生态环境局</w:t>
      </w:r>
    </w:p>
    <w:p w14:paraId="34E60C2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地址：河南省南阳市张衡东路1300号</w:t>
      </w:r>
    </w:p>
    <w:p w14:paraId="4935462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联系人：王先生</w:t>
      </w:r>
    </w:p>
    <w:p w14:paraId="152B572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联系方式：0377-61388067</w:t>
      </w:r>
    </w:p>
    <w:p w14:paraId="5EE0BB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4"/>
          <w:sz w:val="24"/>
          <w:szCs w:val="24"/>
        </w:rPr>
      </w:pPr>
    </w:p>
    <w:p w14:paraId="586C6AC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1DA483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40D0E63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地址：南阳市民服务中心中区3号楼5楼</w:t>
      </w:r>
    </w:p>
    <w:p w14:paraId="258A3B0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22692B2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61176178</w:t>
      </w:r>
    </w:p>
    <w:p w14:paraId="5E3111D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6D679D5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t>https://ggzyjy.nanyang.gov.cn   E-mail:nyszfcgzx@126.com</w:t>
      </w:r>
    </w:p>
    <w:p w14:paraId="0AE7E288">
      <w:pPr>
        <w:pStyle w:val="4"/>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668740D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785457F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350" w:firstLineChars="2500"/>
        <w:jc w:val="both"/>
        <w:textAlignment w:val="baseline"/>
        <w:outlineLvl w:val="1"/>
        <w:rPr>
          <w:rFonts w:hint="default" w:asciiTheme="minorEastAsia" w:hAnsiTheme="minorEastAsia" w:eastAsiaTheme="minorEastAsia" w:cstheme="minorEastAsia"/>
          <w:spacing w:val="-15"/>
          <w:sz w:val="24"/>
          <w:szCs w:val="24"/>
          <w:highlight w:val="yellow"/>
          <w:lang w:val="en-US" w:eastAsia="zh-CN"/>
        </w:rPr>
      </w:pPr>
      <w:r>
        <w:rPr>
          <w:rFonts w:hint="eastAsia" w:asciiTheme="minorEastAsia" w:hAnsiTheme="minorEastAsia" w:eastAsiaTheme="minorEastAsia" w:cstheme="minorEastAsia"/>
          <w:spacing w:val="-13"/>
          <w:sz w:val="24"/>
          <w:szCs w:val="24"/>
          <w:highlight w:val="none"/>
          <w:lang w:val="en-US" w:eastAsia="zh-CN"/>
        </w:rPr>
        <w:t>日期：</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30 </w:t>
      </w:r>
      <w:r>
        <w:rPr>
          <w:rFonts w:hint="eastAsia" w:asciiTheme="minorEastAsia" w:hAnsiTheme="minorEastAsia" w:eastAsiaTheme="minorEastAsia" w:cstheme="minorEastAsia"/>
          <w:spacing w:val="-13"/>
          <w:sz w:val="24"/>
          <w:szCs w:val="24"/>
          <w:highlight w:val="none"/>
        </w:rPr>
        <w:t>日</w:t>
      </w:r>
    </w:p>
    <w:p w14:paraId="59325EA2">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4CD2231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492527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7F4F4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6F85D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FE0951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18AD130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C66B2D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
          <w:kern w:val="0"/>
          <w:sz w:val="24"/>
          <w:szCs w:val="24"/>
          <w:lang w:val="en-US" w:eastAsia="zh-CN" w:bidi="ar-SA"/>
          <w14:textOutline w14:w="1537"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服务范围及要求</w:t>
      </w:r>
    </w:p>
    <w:p w14:paraId="04B6A77F">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南阳市生态环境局位于南阳市张衡路与南都路交叉口西北角，占地8193.7平方米，办公楼建筑面积22802平方米，地上19层地下1层。院内办公的有局机关、生态环境监测与安全中心、生态环境督察整改中心、市生态环境综合行政执法支队、生态环境城区综合行政执法大队、河南省南阳生态环境监测中心及市政府组建的临时机构。物业服务范围包括：安保，大楼保洁，水、电、暖、冷维保，绿化管护（含楼顶绿化)等。服务期限：2025年-2027年。</w:t>
      </w:r>
    </w:p>
    <w:p w14:paraId="6057B0A5">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（一）安保要求</w:t>
      </w:r>
    </w:p>
    <w:p w14:paraId="09552C36">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1.安保总人数不少于12人(含4名监控、巡逻人员)。</w:t>
      </w:r>
    </w:p>
    <w:p w14:paraId="58AB3B53">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2.岗位要求及安保范围：</w:t>
      </w:r>
    </w:p>
    <w:p w14:paraId="57B2942E">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⑴安保人员需持证上岗。</w:t>
      </w:r>
    </w:p>
    <w:p w14:paraId="64CB1E78">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⑵负责门卫安全管理、进出车辆管理、监控设备运行和机关大院的安全保卫工作。</w:t>
      </w:r>
    </w:p>
    <w:p w14:paraId="50DA4455">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⑶范围：机关大院门口及大楼安全保卫、消防值班、综合巡逻及监控大楼内安全保卫。</w:t>
      </w:r>
    </w:p>
    <w:p w14:paraId="297FB872">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3.门卫及公共秩序安保要求：</w:t>
      </w:r>
    </w:p>
    <w:p w14:paraId="3C2A64D4">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⑴门卫及监控室实行24小时值守，禁止脱岗。安保人员要做到文明礼貌服务。</w:t>
      </w:r>
    </w:p>
    <w:p w14:paraId="509EF0BA">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⑵疏导在门禁系统的车辆，按规定停放在院内或地下车位上，不得乱停乱放。没有在门禁系统的车辆原则不得进入。在举行大型活动或会议时，疏导外来车辆有序停放。</w:t>
      </w:r>
    </w:p>
    <w:p w14:paraId="7185110A">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⑶上班时间对外来人员严格询问、登记，制止小商、小贩等无关人员进入，登记要记录来访人信息和出入时间；非工作时间、非本院人员不得进入。</w:t>
      </w:r>
    </w:p>
    <w:p w14:paraId="50200A29">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⑷按规定的时间及时开、关大门和地下通道门，保证门口秩序，人员及车辆出入顺利。</w:t>
      </w:r>
    </w:p>
    <w:p w14:paraId="734DEBA2">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⑸凡大件物品出大门时需有相关人员签字或办公人员陪同证明，且门卫做好记录放行。</w:t>
      </w:r>
    </w:p>
    <w:p w14:paraId="514A0B0C">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⑹来访人员属于正常办理环保业务的，做好登记后放行；如来访人员要求找单位领导，门卫应通过电话询问被访人，得到同意并进行登记后方可放行；如有上访人员，经电话预约我局信访办，登记后方可入院。  </w:t>
      </w:r>
    </w:p>
    <w:p w14:paraId="1C4CD82D">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⑺安保人员如发现突发事件时，如：火情、盗窃及其它危害人身财产安全的现象，迅速上报局办公室和供应商主管领导，并及时采取力所能及的应急措施。</w:t>
      </w:r>
    </w:p>
    <w:p w14:paraId="35702EBA">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⑻配合做好社会治安综合治理和平安建设工作，把治安事件控制到最低，并按照市平安建设工作要求，定期组织人员进行反恐演练，并做好相关台账。</w:t>
      </w:r>
    </w:p>
    <w:p w14:paraId="3068CA9E">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p>
    <w:p w14:paraId="34102921">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⑼门岗登记处保持整洁卫生，无关人员不准在门卫登记处长期逗留或进行娱乐活动。</w:t>
      </w:r>
    </w:p>
    <w:p w14:paraId="5DCE2A9B">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⑽巡逻人员发现大楼内的长明灯、长流水、公共区域长开空调及可能存在的消防、安保问题，要及时解决；不能自行解决的，要及时向我局和供应商领导汇报。若放任隐患存在，引起事故造成的损失，由供应商承担责任。</w:t>
      </w:r>
    </w:p>
    <w:p w14:paraId="42F8C1C2">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⑾安保人员未履职尽责，出现治安案件或受到上级通报批评的，造成的损失由供应商承担。</w:t>
      </w:r>
    </w:p>
    <w:p w14:paraId="4AF20614">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⑿控烟要求：监控值班人员对进入大楼的抽烟人员要及时进行劝阻，并引导其到指定区域抽烟。</w:t>
      </w:r>
    </w:p>
    <w:p w14:paraId="6E3B4B29">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（二）物业岗位要求</w:t>
      </w:r>
    </w:p>
    <w:p w14:paraId="6614273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物业总人数不少于17人(含管理人员)，人员年龄要求20—55岁，身体健康，工作责任心强，能吃苦耐劳，有较强的服务意识，有相应的资质证书，除水电、消防值班岗位24小时在岗外，其他人员应严格遵守上下班规定，严禁脱岗。其中，会议服务、收发岗位人员要求女性，年龄20—35岁，身高1．60米以上，相貌端庄大方，能吃苦耐劳，干活利索，有酒店服务、会议服务工作经验。具体岗位要求：</w:t>
      </w:r>
    </w:p>
    <w:p w14:paraId="3EE93858">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1.水电、消防值班岗位 （6人）</w:t>
      </w:r>
    </w:p>
    <w:p w14:paraId="13C06E9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负责水、电、空调、消防等办公楼设备的日常巡视、检查和维修工作，做好计划性保养工作，配合完成各种临时性维修改造工作。</w:t>
      </w:r>
    </w:p>
    <w:p w14:paraId="5495D22A">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2.绿化花卉岗位（1人）</w:t>
      </w:r>
    </w:p>
    <w:p w14:paraId="34A592BF">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负责机关大院及办公楼内和楼顶的树木、草坪、花卉的养护工作，定期施肥、浇水、修剪、打药、防治病虫害。负责机关大院内、办公楼外的卫生保洁工作。</w:t>
      </w:r>
    </w:p>
    <w:p w14:paraId="017B0751">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3.会议服务、收发岗位(3人)</w:t>
      </w:r>
    </w:p>
    <w:p w14:paraId="72D8DF6F">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负责所有会议室的保洁、会前会场布置和会议时的茶水、音响等工作。</w:t>
      </w:r>
    </w:p>
    <w:p w14:paraId="71B4D44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4.保洁服务岗位（7人）</w:t>
      </w:r>
    </w:p>
    <w:p w14:paraId="2D9AB812">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负责办公楼内公共区域和特定区域卫生清洁工作，局值班室、河南省南阳生态环境监测中心值班室卫生保洁。</w:t>
      </w:r>
    </w:p>
    <w:p w14:paraId="040700E0">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（三）物业服务范围</w:t>
      </w:r>
    </w:p>
    <w:p w14:paraId="538190C1">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绿化花卉及院落清扫保洁；办公楼内公共区域（含地下室）和特定区域、值班室卫生保洁；水、电、电梯、中央空调、消防等办公楼设施维护及临时加派的工作；院内生活垃圾集中整理后外运至门外垃圾中转站，做到日产日清。加强日常节能管理，配合甲方完成机关事务局下达的年度节能能耗、水耗等目标。</w:t>
      </w:r>
    </w:p>
    <w:p w14:paraId="4BBBA6F8">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（四）物业服务标准</w:t>
      </w:r>
    </w:p>
    <w:p w14:paraId="6FD4D195">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1.卫生保洁范围及要求</w:t>
      </w:r>
    </w:p>
    <w:p w14:paraId="0C42CDDE">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⑴范围：地面、墙面、宣传牌、信报箱、垃圾筒、卫生间、电梯间、楼梯间、走廊、会议室、值班室、专门办公室、消防设施。</w:t>
      </w:r>
    </w:p>
    <w:p w14:paraId="1FC7172F">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⑵要求：每天上午、下午上班前分两次保洁；上班后各楼层及时巡检，保持卫生。</w:t>
      </w:r>
    </w:p>
    <w:p w14:paraId="40A1361C">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⑶标准：</w:t>
      </w:r>
    </w:p>
    <w:p w14:paraId="347AFE04">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公共卫生做到地面无烟头、纸屑、果皮等杂物，无污渍；公共设施表面无明显灰尘；不锈钢表面光亮无污迹；天花、墙角、灯具目视无灰尘、蜘蛛网；步行梯扶手及栏杆无污迹、无灰尘；垃圾桶(箱)、痰盂每天清理一次，公共部位门、内窗每周实施清擦不少于2次，外窗视情况及时清擦，保持内外干净整洁。</w:t>
      </w:r>
    </w:p>
    <w:p w14:paraId="0CE60492">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②公用卫生间要经常开门窗通风，无异味、无臭味，及时清理纸篓，便池干净无杂物，面镜、洗脸盆洁净无污渍。</w:t>
      </w:r>
    </w:p>
    <w:p w14:paraId="0B8D4CBC">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③瓷砖、喷涂和大理石墙面无污垢、脏渍。乳胶漆墙面无灰尘和污迹。</w:t>
      </w:r>
    </w:p>
    <w:p w14:paraId="3976687A">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④电梯门干净、无手印、无污迹，轿箱内干净无灰尘、无污渍。</w:t>
      </w:r>
    </w:p>
    <w:p w14:paraId="463F7BC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⑤会议室内桌椅摆放整齐，干净无尘土、无毛发；悬挂摆放的各种饰品干净，摆放整齐；经常检查室内照明、空调等设施，确保正常运行；做好会议期间的茶水、音响等服务工作，确保会议有序进行。</w:t>
      </w:r>
    </w:p>
    <w:p w14:paraId="586F90D8">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⑥收发人员及时把信件、报纸等邮寄物品送达收件人手中，不得丢失、积压、损毁。</w:t>
      </w:r>
    </w:p>
    <w:p w14:paraId="1C1799EC">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2.绿化花卉岗位要求</w:t>
      </w:r>
    </w:p>
    <w:p w14:paraId="148F3B6D">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⑴熟悉绿化布局和花草树木的品种数量，熟练掌握花草树木的种植季节、生长特性、培植管理方法。</w:t>
      </w:r>
    </w:p>
    <w:p w14:paraId="02BBB4FF">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⑵视其情况做好花木、草坪的施肥、浇水工怍，确保花木草坪长势良好。定期对绿化病虫害的检查及预防措施，并做好记录。</w:t>
      </w:r>
    </w:p>
    <w:p w14:paraId="601679E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⑶严格遵照农药配比、使用管理规定，喷洒农药时必须做好防护措施及空瓶空袋的回收处理，确保安全无污染。</w:t>
      </w:r>
    </w:p>
    <w:p w14:paraId="37E31A1C">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⑷熟练掌握各种园林绿化机器的操作规程及日常检查和保养，确保机器正常运行和安全作业，做好使用、维修、保养记录。</w:t>
      </w:r>
    </w:p>
    <w:p w14:paraId="205AA9CA">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⑸掌握各种花木、草坪的生长规律，及时做好花木草坪及景观道型的修剪，做到整体美观。</w:t>
      </w:r>
    </w:p>
    <w:p w14:paraId="2AD1D5E3">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⑹院落全面清扫每天1—2次，主要清扫落叶、纸屑、碎石、泥土、烟头等杂物，并随时巡视捡拾清扫后路面、院落、停车场、篮球场丢弃的各种杂物，保持院落干净整洁。</w:t>
      </w:r>
    </w:p>
    <w:p w14:paraId="6959DBF9">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⑺及时巡视草坪、绿化带，捡拾落叶、纸屑、塑料袋、烟头等杂物，保持草坪、绿化带干净无杂物。</w:t>
      </w:r>
    </w:p>
    <w:p w14:paraId="2A44229A">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⑻如少量花草、草皮出现问题，由供应商自行更换。</w:t>
      </w:r>
    </w:p>
    <w:p w14:paraId="0B74F1FA">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3.水电维护岗位要求</w:t>
      </w:r>
    </w:p>
    <w:p w14:paraId="76214D1D">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⑴及时维护好强电路、弱电路、网线路、电话线路、水路、灯具、水暖用具。做好日常巡视、检测、保养工作，保障用电、用水正常。</w:t>
      </w:r>
    </w:p>
    <w:p w14:paraId="0EB83D6F">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⑵消防控制室实行24小时值守，确保消防安全。</w:t>
      </w:r>
    </w:p>
    <w:p w14:paraId="6EC56133">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⑶严格水电操作规范，禁止违章作业，防止人身安全事故发生。</w:t>
      </w:r>
    </w:p>
    <w:p w14:paraId="6465EC59">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⑷每天检查办公楼灯具和路灯、电器设备的运行情况，发现问题及时解决，更换灯泡等小件物品由供应商自行解决。</w:t>
      </w:r>
    </w:p>
    <w:p w14:paraId="646D2BCD">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4.机关生活垃圾实行分类收集、存放，每天集中整理后运到门外垃圾中转站，做到日产日清。</w:t>
      </w:r>
    </w:p>
    <w:p w14:paraId="7A748456">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（五）电梯维保要求</w:t>
      </w:r>
    </w:p>
    <w:p w14:paraId="2DB66DC3">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电梯数量4部，其中，客梯3部，消防梯1部。</w:t>
      </w:r>
    </w:p>
    <w:p w14:paraId="0C5BCA44">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1.需有一名具备电梯管理员资质的人员，按照特种设备安全规定和我局要求，督促电梯第三方维修公司及时对电梯进行维护，并定期向我局通报电梯运行情况。</w:t>
      </w:r>
    </w:p>
    <w:p w14:paraId="3525B2A2">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2.当电梯出现故障时 ，安抚被困在电梯内的人员，并立即联系电梯维修公司进行救援，并告知我局。</w:t>
      </w:r>
    </w:p>
    <w:p w14:paraId="48907975">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3.在电梯受检前一个月，主动向质监部门申报年检，费用由我局承担。</w:t>
      </w:r>
    </w:p>
    <w:p w14:paraId="353C28E0">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（六）地温空调运行维护要求</w:t>
      </w:r>
    </w:p>
    <w:p w14:paraId="63FB20C9">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地温空调主机3台，循环泵2台。</w:t>
      </w:r>
    </w:p>
    <w:p w14:paraId="17CE517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需有两名高中以上文化程度的操作人员，具备电工资质证书，能够掌握制冷、供暖设备技术规范及操作维护常识，了解地温空调使用的特点，能正确使用设备，负责督促第三方维修公司及时对地温空调进行维护，在设备运行期间确保设备稳定运行。</w:t>
      </w:r>
    </w:p>
    <w:p w14:paraId="1D578515">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2.供暖、制冷季节，机房实行24小时值守，确保设备24小时安全稳定运转。如设备发生故障或其它影响供暖、制冷效果时，值班人员要及时报告我局，并采取相应的保护措施，确保设备不损坏。</w:t>
      </w:r>
    </w:p>
    <w:p w14:paraId="1124E1E8">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3.每天记录设备运转情况。定期抄报主机、循环泵、流量计读数，每月核算运行费用。</w:t>
      </w:r>
    </w:p>
    <w:p w14:paraId="2B9A795A">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4.经常保持设备外表的清洁及值班室内的清洁；发现可能影响设备正常运转的情况，要及时排除；排除不了的要及时告知我局，视情况决定是否停止运行或继续工作。</w:t>
      </w:r>
    </w:p>
    <w:p w14:paraId="10F3516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加强对设备的日常维护与保养。值班人员要根据设备出厂时的规范对设备进行日常的维护保养，自己能进行保养要及时保养，需要专业维护保养的要书面向我局提出；不得漏养漏护，否则造成的损失由供应商负责。</w:t>
      </w:r>
    </w:p>
    <w:p w14:paraId="62510CC9">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6.由于值班人员误操作或责任心不强造成设备损环的，损失由供应商承担。</w:t>
      </w:r>
    </w:p>
    <w:p w14:paraId="765D893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820FFC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F5026F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4325E74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、本项目预算：</w:t>
      </w:r>
      <w:r>
        <w:rPr>
          <w:rFonts w:hint="eastAsia" w:asciiTheme="minorEastAsia" w:hAnsiTheme="minorEastAsia" w:eastAsiaTheme="minorEastAsia" w:cstheme="minorEastAsia"/>
          <w:color w:val="auto"/>
          <w:spacing w:val="-1"/>
          <w:sz w:val="24"/>
          <w:szCs w:val="24"/>
        </w:rPr>
        <w:t>162万</w:t>
      </w:r>
      <w:r>
        <w:rPr>
          <w:rFonts w:hint="eastAsia" w:asciiTheme="minorEastAsia" w:hAnsiTheme="minorEastAsia" w:eastAsiaTheme="minorEastAsia" w:cstheme="minorEastAsia"/>
          <w:spacing w:val="-1"/>
          <w:sz w:val="24"/>
          <w:szCs w:val="24"/>
        </w:rPr>
        <w:t>。供应商须在预算控制范围内提供最优服务及产品。报价均为南阳辖区内目的地交货或服务价，含服务投入的所有人员、设备、通过验收等相关服务等一切费用，采购人不再支付报价以外的任何费用。</w:t>
      </w:r>
    </w:p>
    <w:p w14:paraId="40BB47D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质量</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供应商及其提供的服务应符合相关法律法规及本磋商文件要求。</w:t>
      </w:r>
    </w:p>
    <w:p w14:paraId="59C78A6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、服务期限：2025年-2027年。</w:t>
      </w:r>
    </w:p>
    <w:p w14:paraId="6058822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、合同的签订：成交供应商收到市</w:t>
      </w:r>
      <w:r>
        <w:rPr>
          <w:rFonts w:hint="eastAsia" w:asciiTheme="minorEastAsia" w:hAnsiTheme="minorEastAsia" w:eastAsiaTheme="minorEastAsia" w:cstheme="minorEastAsia"/>
          <w:spacing w:val="-1"/>
          <w:sz w:val="24"/>
          <w:szCs w:val="24"/>
          <w:lang w:val="en-US" w:eastAsia="zh-CN"/>
        </w:rPr>
        <w:t>公共资源交易</w:t>
      </w:r>
      <w:r>
        <w:rPr>
          <w:rFonts w:hint="eastAsia" w:asciiTheme="minorEastAsia" w:hAnsiTheme="minorEastAsia" w:eastAsiaTheme="minorEastAsia" w:cstheme="minorEastAsia"/>
          <w:spacing w:val="-1"/>
          <w:sz w:val="24"/>
          <w:szCs w:val="24"/>
        </w:rPr>
        <w:t>中心签发的《成交通知书》后及时与采购人签订政府采购合同；成交供应商不得转包政府采购合同。</w:t>
      </w:r>
    </w:p>
    <w:p w14:paraId="78B4E3A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、物业管理服务所需的工具由成交供应商自行保障。</w:t>
      </w:r>
    </w:p>
    <w:p w14:paraId="42CCF78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rPr>
        <w:t>、验收方式：由采购人负责</w:t>
      </w:r>
      <w:r>
        <w:rPr>
          <w:rFonts w:hint="eastAsia" w:asciiTheme="minorEastAsia" w:hAnsiTheme="minorEastAsia" w:eastAsiaTheme="minorEastAsia" w:cstheme="minorEastAsia"/>
          <w:spacing w:val="-1"/>
          <w:sz w:val="24"/>
          <w:szCs w:val="24"/>
          <w:lang w:val="en-US" w:eastAsia="zh-CN"/>
        </w:rPr>
        <w:t>对项目</w:t>
      </w:r>
      <w:r>
        <w:rPr>
          <w:rFonts w:hint="eastAsia" w:asciiTheme="minorEastAsia" w:hAnsiTheme="minorEastAsia" w:eastAsiaTheme="minorEastAsia" w:cstheme="minorEastAsia"/>
          <w:spacing w:val="-1"/>
          <w:sz w:val="24"/>
          <w:szCs w:val="24"/>
        </w:rPr>
        <w:t>组织验收，并出具《验收报告》，《验收报告》作为付款的主要依据。</w:t>
      </w:r>
    </w:p>
    <w:p w14:paraId="7C8CF0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7</w:t>
      </w:r>
      <w:r>
        <w:rPr>
          <w:rFonts w:hint="eastAsia" w:asciiTheme="minorEastAsia" w:hAnsiTheme="minorEastAsia" w:eastAsiaTheme="minorEastAsia" w:cstheme="minorEastAsia"/>
          <w:spacing w:val="-1"/>
          <w:sz w:val="24"/>
          <w:szCs w:val="24"/>
        </w:rPr>
        <w:t>、付款方式 ：合同签订之日起每期满3个月后5个工作日内支付合同金额的</w:t>
      </w:r>
      <w:r>
        <w:rPr>
          <w:rFonts w:hint="eastAsia" w:asciiTheme="minorEastAsia" w:hAnsiTheme="minorEastAsia" w:eastAsiaTheme="minorEastAsia" w:cstheme="minorEastAsia"/>
          <w:spacing w:val="-1"/>
          <w:sz w:val="24"/>
          <w:szCs w:val="24"/>
          <w:lang w:val="en-US" w:eastAsia="zh-CN"/>
        </w:rPr>
        <w:t>12.5</w:t>
      </w:r>
      <w:r>
        <w:rPr>
          <w:rFonts w:hint="eastAsia" w:asciiTheme="minorEastAsia" w:hAnsiTheme="minorEastAsia" w:eastAsiaTheme="minorEastAsia" w:cstheme="minorEastAsia"/>
          <w:spacing w:val="-1"/>
          <w:sz w:val="24"/>
          <w:szCs w:val="24"/>
        </w:rPr>
        <w:t>%，乙方应开具正规发票，直至付清。</w:t>
      </w:r>
    </w:p>
    <w:p w14:paraId="0B1EAE5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yellow"/>
        </w:rPr>
      </w:pP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highlight w:val="none"/>
        </w:rPr>
        <w:t>供应商应在响应文件中提交本项目的服务</w:t>
      </w:r>
      <w:r>
        <w:rPr>
          <w:rFonts w:hint="eastAsia" w:asciiTheme="minorEastAsia" w:hAnsiTheme="minorEastAsia" w:eastAsiaTheme="minorEastAsia" w:cstheme="minorEastAsia"/>
          <w:spacing w:val="-1"/>
          <w:sz w:val="24"/>
          <w:szCs w:val="24"/>
          <w:highlight w:val="none"/>
          <w:lang w:val="en-US" w:eastAsia="zh-CN"/>
        </w:rPr>
        <w:t>计划、管理</w:t>
      </w:r>
      <w:r>
        <w:rPr>
          <w:rFonts w:hint="eastAsia" w:asciiTheme="minorEastAsia" w:hAnsiTheme="minorEastAsia" w:eastAsiaTheme="minorEastAsia" w:cstheme="minorEastAsia"/>
          <w:spacing w:val="-1"/>
          <w:sz w:val="24"/>
          <w:szCs w:val="24"/>
          <w:highlight w:val="none"/>
        </w:rPr>
        <w:t>实施方案、</w:t>
      </w:r>
      <w:r>
        <w:rPr>
          <w:rFonts w:hint="eastAsia" w:asciiTheme="minorEastAsia" w:hAnsiTheme="minorEastAsia" w:eastAsiaTheme="minorEastAsia" w:cstheme="minorEastAsia"/>
          <w:spacing w:val="-1"/>
          <w:sz w:val="24"/>
          <w:szCs w:val="24"/>
          <w:highlight w:val="none"/>
          <w:lang w:val="en-US" w:eastAsia="zh-CN"/>
        </w:rPr>
        <w:t>突发事件应急预案</w:t>
      </w:r>
      <w:r>
        <w:rPr>
          <w:rFonts w:hint="eastAsia" w:asciiTheme="minorEastAsia" w:hAnsiTheme="minorEastAsia" w:eastAsiaTheme="minorEastAsia" w:cstheme="minorEastAsia"/>
          <w:spacing w:val="-1"/>
          <w:sz w:val="24"/>
          <w:szCs w:val="24"/>
          <w:highlight w:val="none"/>
        </w:rPr>
        <w:t>、服务质量</w:t>
      </w:r>
      <w:r>
        <w:rPr>
          <w:rFonts w:hint="eastAsia" w:asciiTheme="minorEastAsia" w:hAnsiTheme="minorEastAsia" w:eastAsiaTheme="minorEastAsia" w:cstheme="minorEastAsia"/>
          <w:spacing w:val="-1"/>
          <w:sz w:val="24"/>
          <w:szCs w:val="24"/>
          <w:highlight w:val="none"/>
          <w:lang w:val="en-US" w:eastAsia="zh-CN"/>
        </w:rPr>
        <w:t>承诺</w:t>
      </w:r>
      <w:r>
        <w:rPr>
          <w:rFonts w:hint="eastAsia" w:asciiTheme="minorEastAsia" w:hAnsiTheme="minorEastAsia" w:eastAsiaTheme="minorEastAsia" w:cstheme="minorEastAsia"/>
          <w:spacing w:val="-1"/>
          <w:sz w:val="24"/>
          <w:szCs w:val="24"/>
          <w:highlight w:val="none"/>
        </w:rPr>
        <w:t>及</w:t>
      </w:r>
      <w:r>
        <w:rPr>
          <w:rFonts w:hint="eastAsia" w:asciiTheme="minorEastAsia" w:hAnsiTheme="minorEastAsia" w:eastAsiaTheme="minorEastAsia" w:cstheme="minorEastAsia"/>
          <w:spacing w:val="-1"/>
          <w:sz w:val="24"/>
          <w:szCs w:val="24"/>
          <w:highlight w:val="none"/>
          <w:lang w:val="en-US" w:eastAsia="zh-CN"/>
        </w:rPr>
        <w:t>相应人员配置</w:t>
      </w:r>
      <w:r>
        <w:rPr>
          <w:rFonts w:hint="eastAsia" w:asciiTheme="minorEastAsia" w:hAnsiTheme="minorEastAsia" w:eastAsiaTheme="minorEastAsia" w:cstheme="minorEastAsia"/>
          <w:spacing w:val="-1"/>
          <w:sz w:val="24"/>
          <w:szCs w:val="24"/>
          <w:highlight w:val="none"/>
        </w:rPr>
        <w:t>。</w:t>
      </w:r>
    </w:p>
    <w:p w14:paraId="25F4B86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p>
    <w:p w14:paraId="631B215E">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67AA7451">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1AFE39BA">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327A7488">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71F142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BEEE90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EA4361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6F620484">
      <w:pPr>
        <w:pStyle w:val="4"/>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p>
    <w:p w14:paraId="496712C2">
      <w:pPr>
        <w:pStyle w:val="4"/>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185E4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3C3FFFC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58403E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6DE2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AF9411B">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5C41CDC">
            <w:pPr>
              <w:pStyle w:val="18"/>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1F339EE5">
            <w:pPr>
              <w:pStyle w:val="18"/>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65FFC8AE">
            <w:pPr>
              <w:pStyle w:val="18"/>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14:paraId="5AD82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3C2F1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23E7A23">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0C10EBB">
            <w:pPr>
              <w:pStyle w:val="18"/>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08B1935E">
            <w:pPr>
              <w:pStyle w:val="18"/>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BCC8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05AB1BE">
            <w:pPr>
              <w:pStyle w:val="1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1A5BECB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CE75BB8">
            <w:pPr>
              <w:pStyle w:val="1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3327454">
            <w:pPr>
              <w:pStyle w:val="1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C3BEF8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77F94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C304C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CE06777">
            <w:pPr>
              <w:pStyle w:val="1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028F1A6E">
            <w:pPr>
              <w:pStyle w:val="1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1E6DEB3E">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30057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6479F4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6396C2D">
            <w:pPr>
              <w:pStyle w:val="18"/>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物业管理  </w:t>
            </w:r>
          </w:p>
          <w:p w14:paraId="21E47B31">
            <w:pPr>
              <w:pStyle w:val="18"/>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1E12E43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1A987E37">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1D2E2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83A549B">
            <w:pPr>
              <w:pStyle w:val="18"/>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7369E140">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2CBBD22">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06A379A0">
            <w:pPr>
              <w:pStyle w:val="18"/>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42B1F56">
            <w:pPr>
              <w:pStyle w:val="18"/>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E2607F1">
            <w:pPr>
              <w:pStyle w:val="18"/>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F9DC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A2B4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3F51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u w:val="single"/>
                <w:lang w:val="en-US" w:eastAsia="zh-CN"/>
              </w:rPr>
              <w:t>162</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b w:val="0"/>
                <w:bCs/>
                <w:sz w:val="24"/>
                <w:szCs w:val="24"/>
                <w:lang w:val="en-US" w:eastAsia="zh-CN"/>
              </w:rPr>
              <w:t>万元</w:t>
            </w:r>
          </w:p>
        </w:tc>
      </w:tr>
      <w:tr w14:paraId="4F9FC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C9BA6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C7BA59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157ED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28FFF3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62D48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732A4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9BBF2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C05093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6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11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6DA47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05B8E6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C1C20A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6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11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2FB66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24D9DC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B0B8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7D247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2D7C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A06E77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eastAsia="zh-CN"/>
              </w:rPr>
              <w:t>是否委托</w:t>
            </w:r>
            <w:r>
              <w:rPr>
                <w:rFonts w:hint="eastAsia" w:asciiTheme="minorEastAsia" w:hAnsiTheme="minorEastAsia" w:eastAsiaTheme="minorEastAsia" w:cstheme="minorEastAsia"/>
                <w:color w:val="auto"/>
                <w:sz w:val="24"/>
                <w:szCs w:val="24"/>
                <w:lang w:val="en-US" w:eastAsia="zh-CN"/>
              </w:rPr>
              <w:t>磋商小组</w:t>
            </w:r>
            <w:r>
              <w:rPr>
                <w:rFonts w:hint="eastAsia" w:asciiTheme="minorEastAsia" w:hAnsiTheme="minorEastAsia" w:eastAsiaTheme="minorEastAsia" w:cstheme="minorEastAsia"/>
                <w:color w:val="auto"/>
                <w:sz w:val="24"/>
                <w:szCs w:val="24"/>
                <w:lang w:eastAsia="zh-CN"/>
              </w:rPr>
              <w:t>直接确定</w:t>
            </w:r>
            <w:r>
              <w:rPr>
                <w:rFonts w:hint="eastAsia" w:asciiTheme="minorEastAsia" w:hAnsiTheme="minorEastAsia" w:eastAsiaTheme="minorEastAsia" w:cstheme="minorEastAsia"/>
                <w:color w:val="auto"/>
                <w:sz w:val="24"/>
                <w:szCs w:val="24"/>
                <w:lang w:val="en-US" w:eastAsia="zh-CN"/>
              </w:rPr>
              <w:t>成交</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pacing w:val="14"/>
                <w:sz w:val="24"/>
                <w:szCs w:val="24"/>
                <w:lang w:val="en-US" w:eastAsia="zh-CN"/>
              </w:rPr>
              <w:t>否</w:t>
            </w:r>
          </w:p>
        </w:tc>
      </w:tr>
      <w:tr w14:paraId="712B0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E497C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4D826489">
            <w:pPr>
              <w:pStyle w:val="18"/>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7E6A6436">
      <w:pPr>
        <w:keepNext w:val="0"/>
        <w:keepLines w:val="0"/>
        <w:pageBreakBefore w:val="0"/>
        <w:kinsoku/>
        <w:wordWrap w:val="0"/>
        <w:overflowPunct/>
        <w:topLinePunct w:val="0"/>
        <w:bidi w:val="0"/>
        <w:spacing w:line="371" w:lineRule="auto"/>
        <w:jc w:val="both"/>
        <w:rPr>
          <w:rFonts w:ascii="Arial"/>
          <w:sz w:val="21"/>
        </w:rPr>
      </w:pPr>
    </w:p>
    <w:p w14:paraId="39AB0F15">
      <w:pPr>
        <w:keepNext w:val="0"/>
        <w:keepLines w:val="0"/>
        <w:pageBreakBefore w:val="0"/>
        <w:kinsoku/>
        <w:wordWrap w:val="0"/>
        <w:overflowPunct/>
        <w:topLinePunct w:val="0"/>
        <w:bidi w:val="0"/>
        <w:spacing w:line="243" w:lineRule="auto"/>
        <w:jc w:val="both"/>
        <w:rPr>
          <w:rFonts w:ascii="Arial"/>
          <w:sz w:val="21"/>
        </w:rPr>
      </w:pPr>
    </w:p>
    <w:p w14:paraId="4A854B99">
      <w:pPr>
        <w:keepNext w:val="0"/>
        <w:keepLines w:val="0"/>
        <w:pageBreakBefore w:val="0"/>
        <w:kinsoku/>
        <w:wordWrap w:val="0"/>
        <w:overflowPunct/>
        <w:topLinePunct w:val="0"/>
        <w:bidi w:val="0"/>
        <w:spacing w:line="244" w:lineRule="auto"/>
        <w:jc w:val="both"/>
        <w:rPr>
          <w:rFonts w:ascii="Arial"/>
          <w:sz w:val="21"/>
        </w:rPr>
      </w:pPr>
    </w:p>
    <w:p w14:paraId="1E80B9B0">
      <w:pPr>
        <w:pStyle w:val="4"/>
        <w:keepNext w:val="0"/>
        <w:keepLines w:val="0"/>
        <w:pageBreakBefore w:val="0"/>
        <w:kinsoku/>
        <w:wordWrap w:val="0"/>
        <w:overflowPunct/>
        <w:topLinePunct w:val="0"/>
        <w:bidi w:val="0"/>
        <w:spacing w:before="91" w:line="360" w:lineRule="auto"/>
        <w:ind w:left="3844"/>
        <w:jc w:val="both"/>
        <w:rPr>
          <w:spacing w:val="-1"/>
          <w:sz w:val="28"/>
          <w:szCs w:val="28"/>
          <w14:textOutline w14:w="1800" w14:cap="flat" w14:cmpd="sng">
            <w14:solidFill>
              <w14:srgbClr w14:val="000000"/>
            </w14:solidFill>
            <w14:prstDash w14:val="solid"/>
            <w14:miter w14:val="0"/>
          </w14:textOutline>
        </w:rPr>
      </w:pPr>
    </w:p>
    <w:p w14:paraId="306FAC73">
      <w:pPr>
        <w:pStyle w:val="4"/>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69FF9E34">
      <w:pPr>
        <w:pStyle w:val="4"/>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04B0A57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FC252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7A980F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5573B5C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090179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307E1A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color w:val="auto"/>
          <w:spacing w:val="7"/>
          <w:sz w:val="24"/>
          <w:szCs w:val="24"/>
          <w:u w:val="single"/>
          <w:lang w:val="en-US" w:eastAsia="zh-CN"/>
        </w:rPr>
        <w:t>162</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4EE0880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5168276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121B34F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600FD11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711F9B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67EB02B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4FAA4B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011831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141CD01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2A73F5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7D01D47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DCDAB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19C5F8E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A2B72E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965AFE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E060AE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D69C8A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DC9A5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239440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244114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18996DA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6E834C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3D2E47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614141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1382185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3190795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49A532F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B06175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7D79419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1D9EAE2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58D38C0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6CFB44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2E047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292063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53F270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1CD275F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物业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14:paraId="3AA53123">
      <w:pPr>
        <w:keepNext w:val="0"/>
        <w:keepLines w:val="0"/>
        <w:pageBreakBefore w:val="0"/>
        <w:kinsoku/>
        <w:wordWrap w:val="0"/>
        <w:overflowPunct/>
        <w:topLinePunct w:val="0"/>
        <w:bidi w:val="0"/>
        <w:spacing w:line="292" w:lineRule="auto"/>
        <w:jc w:val="both"/>
        <w:rPr>
          <w:rFonts w:ascii="Arial"/>
          <w:sz w:val="21"/>
        </w:rPr>
      </w:pPr>
    </w:p>
    <w:p w14:paraId="0275F41F">
      <w:pPr>
        <w:pStyle w:val="4"/>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14:paraId="6099CF4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66DA81E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45AD261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19E7C61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0333626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7772EFD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633D061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0AF6E4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648620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545B0A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15AF97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18D262A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439086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3082DB9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14:paraId="2640FD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71C3C9B7">
      <w:pPr>
        <w:pStyle w:val="4"/>
        <w:keepNext w:val="0"/>
        <w:keepLines w:val="0"/>
        <w:pageBreakBefore w:val="0"/>
        <w:kinsoku/>
        <w:wordWrap w:val="0"/>
        <w:overflowPunct/>
        <w:topLinePunct w:val="0"/>
        <w:bidi w:val="0"/>
        <w:spacing w:before="179" w:line="220" w:lineRule="auto"/>
        <w:jc w:val="both"/>
        <w:rPr>
          <w:sz w:val="24"/>
          <w:szCs w:val="24"/>
        </w:rPr>
      </w:pPr>
    </w:p>
    <w:p w14:paraId="2E8B0426">
      <w:pPr>
        <w:pStyle w:val="4"/>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01C923B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51658B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6401EE1">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14293F1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83D966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3A67A09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7AC38F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731958F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文件应使用企业电子营业执照生成并在截止时间前上传其加密版本，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086A4D7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3340065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0040F67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6A3697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7ADBEEE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6F67734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07DAC5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2FA8C57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C6FDBE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2FF217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3AA00C2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1504A7E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2387384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2E5620D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3B77157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3F2B67E7">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75241CE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062097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332ADEE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1F1CD8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1EDE6E6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竞争性磋商文件要求盖章的内容，一般通过电子营业执照加盖电子签章。</w:t>
      </w:r>
    </w:p>
    <w:p w14:paraId="3BE32543">
      <w:pPr>
        <w:pStyle w:val="4"/>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14:paraId="1816C482">
      <w:pPr>
        <w:pStyle w:val="4"/>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15821DD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06335A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电子营业执照应用平台系统在上传截止时间前完成制作软件生成的加密电子响应文件的上传。未在上传截止时间前完成上传的，视为逾期提交。逾期提交的响应文件不予受理。</w:t>
      </w:r>
    </w:p>
    <w:p w14:paraId="5D78C3B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7AF187A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105B733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6C6D1F9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5A7B03D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2A6CE8EB">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42604EA">
      <w:pPr>
        <w:pStyle w:val="4"/>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14:paraId="3B9F826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A116F3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14:paraId="7F60791C">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15BFDFFA">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A28D446">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14:paraId="30A129B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竞争性磋商文件经采购人书面确认后，将在指定媒体和南阳市公共资源交易中心网发布竞争性磋商公告。供应商按照公告和竞争性磋商文件要求制作并递交响应文件。</w:t>
      </w:r>
    </w:p>
    <w:p w14:paraId="381E8B6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7C3A6F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14:paraId="23EB0B8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66D0A62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48CB22E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1F236A4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673713C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3913907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78338E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B98411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0151327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电子营业执照扫码进行加密，供应商在解密前须自行检查电子营业执照的有效性。解密时未在开启响应文件时间后30分钟内进行解密成功的视为撤销其响应文件（因电子开标系统原因除外）。</w:t>
      </w:r>
    </w:p>
    <w:p w14:paraId="6E5F35C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FF1C13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4D878D5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693F96F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7"/>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41FD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A7A7A4F">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202F0E77">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851" w:type="dxa"/>
            <w:vAlign w:val="top"/>
          </w:tcPr>
          <w:p w14:paraId="6303F7C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662" w:type="dxa"/>
            <w:vAlign w:val="top"/>
          </w:tcPr>
          <w:p w14:paraId="1935203B">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1C6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3EE98AEC">
            <w:pPr>
              <w:pStyle w:val="18"/>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7B2BFD0">
            <w:pPr>
              <w:pStyle w:val="18"/>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773AD65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851" w:type="dxa"/>
            <w:vAlign w:val="top"/>
          </w:tcPr>
          <w:p w14:paraId="60B8F1A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4EB7C2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4A67BAC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367046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3C0880D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173DB4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02031EE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2D308EF7">
            <w:pPr>
              <w:keepNext w:val="0"/>
              <w:keepLines w:val="0"/>
              <w:pageBreakBefore w:val="0"/>
              <w:kinsoku/>
              <w:wordWrap w:val="0"/>
              <w:overflowPunct/>
              <w:topLinePunct w:val="0"/>
              <w:bidi w:val="0"/>
              <w:spacing w:before="32" w:line="232" w:lineRule="auto"/>
              <w:ind w:left="112" w:right="105"/>
              <w:jc w:val="both"/>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b/>
                <w:bCs/>
                <w:spacing w:val="-2"/>
                <w:sz w:val="24"/>
                <w:szCs w:val="24"/>
                <w:lang w:val="en-US" w:eastAsia="zh-CN"/>
              </w:rPr>
              <w:t>8.</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tc>
        <w:tc>
          <w:tcPr>
            <w:tcW w:w="2662" w:type="dxa"/>
            <w:vAlign w:val="top"/>
          </w:tcPr>
          <w:p w14:paraId="5BB0570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3C0408C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23FCA9C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5D9A75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661A1A3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AA7A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722A84B1">
            <w:pPr>
              <w:pStyle w:val="18"/>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14:paraId="05F2F2A3">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vAlign w:val="top"/>
          </w:tcPr>
          <w:p w14:paraId="55377B97">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55624779">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52509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19EC6025">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FD82AA">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56C9DD1">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00CC9B1">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A4F6680">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569559B">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70F4043">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F60BDD7">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DEDC600">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268DAB8">
            <w:pPr>
              <w:pStyle w:val="18"/>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14:paraId="0901FCCB">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2CC227">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838D09A">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790A16F">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225B592">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6DBBFCA">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F21E3B3">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2FDE6AD">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9343766">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FC3937A">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top"/>
          </w:tcPr>
          <w:p w14:paraId="05E3A3AD">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57CDEA25">
            <w:pPr>
              <w:pStyle w:val="18"/>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78EAEF93">
            <w:pPr>
              <w:pStyle w:val="18"/>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vAlign w:val="top"/>
          </w:tcPr>
          <w:p w14:paraId="1F5A7EED">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A9B6705">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923177F">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1C36DCD">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861D809">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7C398E1">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363F493">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5FEB4D3">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AF6280B">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0B14FF5">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616D3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1B9E0487">
            <w:pPr>
              <w:pStyle w:val="18"/>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14:paraId="1B448B27">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vAlign w:val="top"/>
          </w:tcPr>
          <w:p w14:paraId="32E850D3">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7E97778A">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7BC36D6C">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058086D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4CC3795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14:paraId="7EBC796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168B9F3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服务</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审查</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响应本项目的服务计划、管理实施方案、突发事件应急预案、服务质量承诺及相应人员配置等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6CA70CD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335671B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4AEB7B3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77AB351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1F525D3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0102F71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682CCC0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1A017950">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电子营业执照</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4B4A6D09">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3BCE784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7816D00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20F66C9D">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5DEE8C3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2A2118C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3127A8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5579DDF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C5EBE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5769620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系统以在线形式提交承诺，并用电子营业执照签章。</w:t>
      </w:r>
    </w:p>
    <w:p w14:paraId="599A748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2E05FC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2740350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2684A71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38DA4306">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43CCCA1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57DB450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5E4A78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56076FD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247D7F7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26AF3D9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23E66A1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1D1D18B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685ECB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3B6E699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6B12B0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7E42FC9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w:t>
      </w:r>
      <w:r>
        <w:rPr>
          <w:rFonts w:hint="eastAsia" w:cs="宋体"/>
          <w:snapToGrid w:val="0"/>
          <w:color w:val="auto"/>
          <w:kern w:val="0"/>
          <w:sz w:val="24"/>
          <w:szCs w:val="24"/>
          <w:lang w:val="en-US" w:eastAsia="zh-CN" w:bidi="ar-SA"/>
        </w:rPr>
        <w:t xml:space="preserve"> ☑</w:t>
      </w:r>
      <w:r>
        <w:rPr>
          <w:rFonts w:hint="eastAsia" w:cs="宋体"/>
          <w:snapToGrid w:val="0"/>
          <w:color w:val="auto"/>
          <w:kern w:val="0"/>
          <w:sz w:val="24"/>
          <w:szCs w:val="24"/>
          <w:lang w:val="en-US" w:eastAsia="en-US" w:bidi="ar-SA"/>
        </w:rPr>
        <w:t>磋商小组根据上述供应商排序，依次推荐排序前</w:t>
      </w:r>
      <w:r>
        <w:rPr>
          <w:rFonts w:hint="eastAsia" w:cs="宋体"/>
          <w:snapToGrid w:val="0"/>
          <w:color w:val="auto"/>
          <w:kern w:val="0"/>
          <w:sz w:val="24"/>
          <w:szCs w:val="24"/>
          <w:lang w:val="en-US" w:eastAsia="zh-CN" w:bidi="ar-SA"/>
        </w:rPr>
        <w:t>3</w:t>
      </w:r>
      <w:r>
        <w:rPr>
          <w:rFonts w:hint="eastAsia" w:cs="宋体"/>
          <w:snapToGrid w:val="0"/>
          <w:color w:val="auto"/>
          <w:kern w:val="0"/>
          <w:sz w:val="24"/>
          <w:szCs w:val="24"/>
          <w:lang w:val="en-US" w:eastAsia="en-US" w:bidi="ar-SA"/>
        </w:rPr>
        <w:t>名的供应商为成交候选供应商。采购人应当自收到评审报告之日起5个工作日内在评审报告推荐的成交候选人中按顺序确定成交供应商。</w:t>
      </w:r>
    </w:p>
    <w:p w14:paraId="79FF46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lang w:val="en-US" w:eastAsia="en-US" w:bidi="ar-SA"/>
        </w:rPr>
      </w:pPr>
      <w:r>
        <w:rPr>
          <w:rFonts w:hint="eastAsia" w:cs="宋体"/>
          <w:snapToGrid w:val="0"/>
          <w:color w:val="auto"/>
          <w:kern w:val="0"/>
          <w:sz w:val="24"/>
          <w:szCs w:val="24"/>
          <w:lang w:val="en-US" w:eastAsia="zh-CN" w:bidi="ar-SA"/>
        </w:rPr>
        <w:t>□</w:t>
      </w:r>
      <w:r>
        <w:rPr>
          <w:rFonts w:hint="eastAsia" w:cs="宋体"/>
          <w:snapToGrid w:val="0"/>
          <w:color w:val="auto"/>
          <w:kern w:val="0"/>
          <w:sz w:val="24"/>
          <w:szCs w:val="24"/>
          <w:lang w:val="en-US" w:eastAsia="en-US" w:bidi="ar-SA"/>
        </w:rPr>
        <w:t>采购人书面授权磋商小组直接确定成交供应商。</w:t>
      </w:r>
    </w:p>
    <w:p w14:paraId="24C58D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56F10C4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Arial"/>
          <w:sz w:val="21"/>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14:paraId="1B378B4C">
      <w:pPr>
        <w:pStyle w:val="4"/>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p>
    <w:p w14:paraId="771C96E5">
      <w:pPr>
        <w:pStyle w:val="15"/>
      </w:pPr>
    </w:p>
    <w:tbl>
      <w:tblPr>
        <w:tblStyle w:val="1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357"/>
        <w:gridCol w:w="1121"/>
        <w:gridCol w:w="5215"/>
      </w:tblGrid>
      <w:tr w14:paraId="2E917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14:paraId="1CDD5E48">
            <w:pPr>
              <w:keepNext w:val="0"/>
              <w:keepLines w:val="0"/>
              <w:pageBreakBefore w:val="0"/>
              <w:kinsoku/>
              <w:wordWrap w:val="0"/>
              <w:overflowPunct/>
              <w:topLinePunct w:val="0"/>
              <w:bidi w:val="0"/>
              <w:spacing w:before="40" w:line="208" w:lineRule="auto"/>
              <w:ind w:left="19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357" w:type="dxa"/>
            <w:vAlign w:val="top"/>
          </w:tcPr>
          <w:p w14:paraId="2387F15B">
            <w:pPr>
              <w:keepNext w:val="0"/>
              <w:keepLines w:val="0"/>
              <w:pageBreakBefore w:val="0"/>
              <w:kinsoku/>
              <w:wordWrap w:val="0"/>
              <w:overflowPunct/>
              <w:topLinePunct w:val="0"/>
              <w:bidi w:val="0"/>
              <w:spacing w:before="40" w:line="208" w:lineRule="auto"/>
              <w:ind w:left="2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1121" w:type="dxa"/>
            <w:vAlign w:val="top"/>
          </w:tcPr>
          <w:p w14:paraId="3BAC5E82">
            <w:pPr>
              <w:keepNext w:val="0"/>
              <w:keepLines w:val="0"/>
              <w:pageBreakBefore w:val="0"/>
              <w:kinsoku/>
              <w:wordWrap w:val="0"/>
              <w:overflowPunct/>
              <w:topLinePunct w:val="0"/>
              <w:bidi w:val="0"/>
              <w:spacing w:before="40" w:line="208" w:lineRule="auto"/>
              <w:ind w:firstLine="232"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215" w:type="dxa"/>
            <w:vAlign w:val="top"/>
          </w:tcPr>
          <w:p w14:paraId="18B6EA5A">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3A960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14:paraId="363006F1">
            <w:pPr>
              <w:pStyle w:val="18"/>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14A34485">
            <w:pPr>
              <w:pStyle w:val="18"/>
              <w:keepNext w:val="0"/>
              <w:keepLines w:val="0"/>
              <w:pageBreakBefore w:val="0"/>
              <w:kinsoku/>
              <w:wordWrap w:val="0"/>
              <w:overflowPunct/>
              <w:topLinePunct w:val="0"/>
              <w:bidi w:val="0"/>
              <w:ind w:firstLine="420" w:firstLineChars="20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1357" w:type="dxa"/>
            <w:vAlign w:val="center"/>
          </w:tcPr>
          <w:p w14:paraId="709F2CE2">
            <w:pPr>
              <w:pStyle w:val="18"/>
              <w:keepNext w:val="0"/>
              <w:keepLines w:val="0"/>
              <w:pageBreakBefore w:val="0"/>
              <w:widowControl/>
              <w:kinsoku/>
              <w:wordWrap w:val="0"/>
              <w:overflowPunct/>
              <w:topLinePunct w:val="0"/>
              <w:autoSpaceDE w:val="0"/>
              <w:autoSpaceDN w:val="0"/>
              <w:bidi w:val="0"/>
              <w:adjustRightInd w:val="0"/>
              <w:snapToGrid w:val="0"/>
              <w:spacing w:line="295" w:lineRule="auto"/>
              <w:jc w:val="center"/>
              <w:textAlignment w:val="center"/>
              <w:rPr>
                <w:rFonts w:hint="eastAsia" w:asciiTheme="minorEastAsia" w:hAnsiTheme="minorEastAsia" w:eastAsiaTheme="minorEastAsia" w:cstheme="minorEastAsia"/>
              </w:rPr>
            </w:pPr>
          </w:p>
          <w:p w14:paraId="19868F19">
            <w:pPr>
              <w:keepNext w:val="0"/>
              <w:keepLines w:val="0"/>
              <w:pageBreakBefore w:val="0"/>
              <w:widowControl/>
              <w:kinsoku/>
              <w:wordWrap w:val="0"/>
              <w:overflowPunct/>
              <w:topLinePunct w:val="0"/>
              <w:autoSpaceDE w:val="0"/>
              <w:autoSpaceDN w:val="0"/>
              <w:bidi w:val="0"/>
              <w:adjustRightInd w:val="0"/>
              <w:snapToGrid w:val="0"/>
              <w:spacing w:before="78" w:line="219" w:lineRule="auto"/>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rPr>
              <w:br w:type="textWrapping"/>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满分25分</w:t>
            </w:r>
            <w:r>
              <w:rPr>
                <w:rFonts w:hint="eastAsia" w:asciiTheme="minorEastAsia" w:hAnsiTheme="minorEastAsia" w:eastAsiaTheme="minorEastAsia" w:cstheme="minorEastAsia"/>
                <w:spacing w:val="-3"/>
                <w:sz w:val="24"/>
                <w:szCs w:val="24"/>
                <w:lang w:eastAsia="zh-CN"/>
              </w:rPr>
              <w:t>）</w:t>
            </w:r>
          </w:p>
        </w:tc>
        <w:tc>
          <w:tcPr>
            <w:tcW w:w="1121" w:type="dxa"/>
            <w:vAlign w:val="center"/>
          </w:tcPr>
          <w:p w14:paraId="0A8A94BA">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w:t>
            </w:r>
          </w:p>
          <w:p w14:paraId="0460B2F4">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（25分）</w:t>
            </w:r>
          </w:p>
        </w:tc>
        <w:tc>
          <w:tcPr>
            <w:tcW w:w="5215" w:type="dxa"/>
            <w:vAlign w:val="top"/>
          </w:tcPr>
          <w:p w14:paraId="6DE7093B">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0"/>
                <w:sz w:val="24"/>
                <w:szCs w:val="24"/>
              </w:rPr>
              <w:t>文件要求且</w:t>
            </w:r>
            <w:r>
              <w:rPr>
                <w:rFonts w:hint="eastAsia" w:asciiTheme="minorEastAsia" w:hAnsiTheme="minorEastAsia" w:eastAsiaTheme="minorEastAsia" w:cstheme="minorEastAsia"/>
                <w:spacing w:val="10"/>
                <w:sz w:val="24"/>
                <w:szCs w:val="24"/>
                <w:lang w:val="en-US" w:eastAsia="zh-CN"/>
              </w:rPr>
              <w:t>磋商</w:t>
            </w:r>
            <w:r>
              <w:rPr>
                <w:rFonts w:hint="eastAsia" w:asciiTheme="minorEastAsia" w:hAnsiTheme="minorEastAsia" w:eastAsiaTheme="minorEastAsia" w:cstheme="minorEastAsia"/>
                <w:spacing w:val="10"/>
                <w:sz w:val="24"/>
                <w:szCs w:val="24"/>
              </w:rPr>
              <w:t>价格最低</w:t>
            </w:r>
            <w:r>
              <w:rPr>
                <w:rFonts w:hint="eastAsia" w:asciiTheme="minorEastAsia" w:hAnsiTheme="minorEastAsia" w:eastAsiaTheme="minorEastAsia" w:cstheme="minorEastAsia"/>
                <w:spacing w:val="-13"/>
                <w:sz w:val="24"/>
                <w:szCs w:val="24"/>
              </w:rPr>
              <w:t>的</w:t>
            </w:r>
            <w:r>
              <w:rPr>
                <w:rFonts w:hint="eastAsia" w:asciiTheme="minorEastAsia" w:hAnsiTheme="minorEastAsia" w:eastAsiaTheme="minorEastAsia" w:cstheme="minorEastAsia"/>
                <w:spacing w:val="-13"/>
                <w:sz w:val="24"/>
                <w:szCs w:val="24"/>
                <w:lang w:val="en-US" w:eastAsia="zh-CN"/>
              </w:rPr>
              <w:t>磋商</w:t>
            </w:r>
            <w:r>
              <w:rPr>
                <w:rFonts w:hint="eastAsia" w:asciiTheme="minorEastAsia" w:hAnsiTheme="minorEastAsia" w:eastAsiaTheme="minorEastAsia" w:cstheme="minorEastAsia"/>
                <w:spacing w:val="-13"/>
                <w:sz w:val="24"/>
                <w:szCs w:val="24"/>
              </w:rPr>
              <w:t>报价为评标基准价，其价格分</w:t>
            </w:r>
            <w:r>
              <w:rPr>
                <w:rFonts w:hint="eastAsia" w:asciiTheme="minorEastAsia" w:hAnsiTheme="minorEastAsia" w:eastAsiaTheme="minorEastAsia" w:cstheme="minorEastAsia"/>
                <w:spacing w:val="-6"/>
                <w:sz w:val="24"/>
                <w:szCs w:val="24"/>
              </w:rPr>
              <w:t>为满分。其他</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6"/>
                <w:sz w:val="24"/>
                <w:szCs w:val="24"/>
              </w:rPr>
              <w:t>的价格分统一按</w:t>
            </w:r>
            <w:r>
              <w:rPr>
                <w:rFonts w:hint="eastAsia" w:asciiTheme="minorEastAsia" w:hAnsiTheme="minorEastAsia" w:eastAsiaTheme="minorEastAsia" w:cstheme="minorEastAsia"/>
                <w:spacing w:val="-8"/>
                <w:sz w:val="24"/>
                <w:szCs w:val="24"/>
              </w:rPr>
              <w:t>照下列公式计算：</w:t>
            </w:r>
          </w:p>
          <w:p w14:paraId="0A527AC2">
            <w:pPr>
              <w:pStyle w:val="18"/>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报价得分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评标基准价/</w:t>
            </w: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12"/>
                <w:sz w:val="24"/>
                <w:szCs w:val="24"/>
              </w:rPr>
              <w:t>报价）</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25×100，计算分数时四舍五入取小数点后两位数。</w:t>
            </w:r>
          </w:p>
        </w:tc>
      </w:tr>
      <w:tr w14:paraId="7F37E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465038E7">
            <w:pPr>
              <w:pStyle w:val="18"/>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357" w:type="dxa"/>
            <w:vMerge w:val="restart"/>
            <w:vAlign w:val="center"/>
          </w:tcPr>
          <w:p w14:paraId="567ECF00">
            <w:pPr>
              <w:keepNext w:val="0"/>
              <w:keepLines w:val="0"/>
              <w:pageBreakBefore w:val="0"/>
              <w:widowControl/>
              <w:kinsoku/>
              <w:wordWrap w:val="0"/>
              <w:overflowPunct/>
              <w:topLinePunct w:val="0"/>
              <w:autoSpaceDE w:val="0"/>
              <w:autoSpaceDN w:val="0"/>
              <w:bidi w:val="0"/>
              <w:adjustRightInd w:val="0"/>
              <w:snapToGrid w:val="0"/>
              <w:spacing w:before="78" w:line="219" w:lineRule="auto"/>
              <w:jc w:val="center"/>
              <w:textAlignment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方案部分</w:t>
            </w:r>
          </w:p>
          <w:p w14:paraId="5AA9B018">
            <w:pPr>
              <w:pStyle w:val="14"/>
              <w:ind w:left="0" w:leftChars="0" w:firstLine="0" w:firstLineChars="0"/>
              <w:jc w:val="center"/>
              <w:rPr>
                <w:rFonts w:hint="default"/>
                <w:highlight w:val="none"/>
                <w:lang w:val="en-US" w:eastAsia="zh-CN"/>
              </w:rPr>
            </w:pPr>
            <w: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t>（满分60分）</w:t>
            </w:r>
          </w:p>
        </w:tc>
        <w:tc>
          <w:tcPr>
            <w:tcW w:w="1121" w:type="dxa"/>
            <w:vAlign w:val="center"/>
          </w:tcPr>
          <w:p w14:paraId="5672B6E0">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服务计划</w:t>
            </w:r>
          </w:p>
          <w:p w14:paraId="0CF347CB">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（15分）</w:t>
            </w:r>
          </w:p>
        </w:tc>
        <w:tc>
          <w:tcPr>
            <w:tcW w:w="5215" w:type="dxa"/>
            <w:vAlign w:val="top"/>
          </w:tcPr>
          <w:p w14:paraId="36F934FF">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根据供应商提供的针对本项目指定的总体服务计划（</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服务整体计划、服务措施、物业管理制度等</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）进行评审</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w:t>
            </w:r>
          </w:p>
          <w:p w14:paraId="5BEB3C73">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方案服务整体计划、服务措施、管理制度完整全面、合理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科学、执行性强，完全满足文件要求</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的得1</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5</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分；</w:t>
            </w:r>
          </w:p>
          <w:p w14:paraId="66D37CEC">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方案服务整体计划、服务措施、管理制度合理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、完整</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、可行</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性较强，基本满足文件要求的得12</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分；</w:t>
            </w:r>
          </w:p>
          <w:p w14:paraId="3D21E146">
            <w:pPr>
              <w:pStyle w:val="18"/>
              <w:keepNext w:val="0"/>
              <w:keepLines w:val="0"/>
              <w:pageBreakBefore w:val="0"/>
              <w:kinsoku/>
              <w:wordWrap w:val="0"/>
              <w:overflowPunct/>
              <w:topLinePunct w:val="0"/>
              <w:bidi w:val="0"/>
              <w:spacing w:before="33" w:line="235" w:lineRule="auto"/>
              <w:ind w:right="23"/>
              <w:jc w:val="both"/>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方案编制基本完整合理、但可行性较为欠缺，针对性不足的得8分</w:t>
            </w:r>
          </w:p>
          <w:p w14:paraId="0126D325">
            <w:pPr>
              <w:pStyle w:val="18"/>
              <w:keepNext w:val="0"/>
              <w:keepLines w:val="0"/>
              <w:pageBreakBefore w:val="0"/>
              <w:kinsoku/>
              <w:wordWrap w:val="0"/>
              <w:overflowPunct/>
              <w:topLinePunct w:val="0"/>
              <w:bidi w:val="0"/>
              <w:spacing w:before="33" w:line="235" w:lineRule="auto"/>
              <w:ind w:right="23"/>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方案服务整体计划、服务措施、管理制度内容</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不完整、且</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科学性合理性较低</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、可行性差</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的</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得4分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w:t>
            </w:r>
          </w:p>
          <w:p w14:paraId="5C766931">
            <w:pPr>
              <w:pStyle w:val="18"/>
              <w:keepNext w:val="0"/>
              <w:keepLines w:val="0"/>
              <w:pageBreakBefore w:val="0"/>
              <w:kinsoku/>
              <w:wordWrap w:val="0"/>
              <w:overflowPunct/>
              <w:topLinePunct w:val="0"/>
              <w:bidi w:val="0"/>
              <w:spacing w:before="33" w:line="235" w:lineRule="auto"/>
              <w:ind w:right="23"/>
              <w:jc w:val="both"/>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缺项不得分。</w:t>
            </w:r>
          </w:p>
        </w:tc>
      </w:tr>
      <w:tr w14:paraId="47E8C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04B53700">
            <w:pPr>
              <w:pStyle w:val="18"/>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57" w:type="dxa"/>
            <w:vMerge w:val="continue"/>
            <w:vAlign w:val="center"/>
          </w:tcPr>
          <w:p w14:paraId="6DCE54C0">
            <w:pPr>
              <w:keepNext w:val="0"/>
              <w:keepLines w:val="0"/>
              <w:pageBreakBefore w:val="0"/>
              <w:widowControl/>
              <w:kinsoku/>
              <w:wordWrap w:val="0"/>
              <w:overflowPunct/>
              <w:topLinePunct w:val="0"/>
              <w:autoSpaceDE w:val="0"/>
              <w:autoSpaceDN w:val="0"/>
              <w:bidi w:val="0"/>
              <w:adjustRightInd w:val="0"/>
              <w:snapToGrid w:val="0"/>
              <w:spacing w:before="78" w:line="219" w:lineRule="auto"/>
              <w:ind w:firstLine="214" w:firstLineChars="100"/>
              <w:jc w:val="center"/>
              <w:textAlignment w:val="center"/>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p>
        </w:tc>
        <w:tc>
          <w:tcPr>
            <w:tcW w:w="1121" w:type="dxa"/>
            <w:vAlign w:val="center"/>
          </w:tcPr>
          <w:p w14:paraId="4467752D">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管理实施方案</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（20分）</w:t>
            </w:r>
          </w:p>
        </w:tc>
        <w:tc>
          <w:tcPr>
            <w:tcW w:w="5215" w:type="dxa"/>
            <w:vAlign w:val="top"/>
          </w:tcPr>
          <w:p w14:paraId="20EFA97A">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供应商根据本项目特点和要求，提供详细的管理实施方案，</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包括服务作业方案、服务质量组织措施、技术人员培训管理、管理服务人员用工计划、服务工具投入计划等内容。</w:t>
            </w:r>
          </w:p>
          <w:p w14:paraId="269E8C17">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服务作业方案、服务质量组织措施、技术人员培训管理、管理服务人员用工计划、服务工具投入计划</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等内容详细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全面、科学</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合理，可行性强</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的可得 20 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w:t>
            </w:r>
          </w:p>
          <w:p w14:paraId="5FF0BD46">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方案</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内容</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完整，具备较强合理性和</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可行性</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，基本满足项目需求的</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得</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15</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w:t>
            </w:r>
          </w:p>
          <w:p w14:paraId="19D879F8">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方案完整但内容简单，缺乏逻辑性科学性、</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可行性较低得10分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w:t>
            </w:r>
          </w:p>
          <w:p w14:paraId="7FEB46E2">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方案管理实施方案不完善、方法不可行得5分；</w:t>
            </w:r>
          </w:p>
          <w:p w14:paraId="10804CEB">
            <w:pPr>
              <w:pStyle w:val="18"/>
              <w:keepNext w:val="0"/>
              <w:keepLines w:val="0"/>
              <w:pageBreakBefore w:val="0"/>
              <w:kinsoku/>
              <w:wordWrap w:val="0"/>
              <w:overflowPunct/>
              <w:topLinePunct w:val="0"/>
              <w:bidi w:val="0"/>
              <w:spacing w:before="33" w:line="235" w:lineRule="auto"/>
              <w:ind w:left="76" w:right="23" w:firstLine="2"/>
              <w:jc w:val="both"/>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缺项不得分。</w:t>
            </w:r>
          </w:p>
        </w:tc>
      </w:tr>
      <w:tr w14:paraId="5FD90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8745686">
            <w:pPr>
              <w:pStyle w:val="18"/>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57" w:type="dxa"/>
            <w:vMerge w:val="continue"/>
            <w:vAlign w:val="center"/>
          </w:tcPr>
          <w:p w14:paraId="47025043">
            <w:pPr>
              <w:keepNext w:val="0"/>
              <w:keepLines w:val="0"/>
              <w:pageBreakBefore w:val="0"/>
              <w:widowControl/>
              <w:kinsoku/>
              <w:wordWrap w:val="0"/>
              <w:overflowPunct/>
              <w:topLinePunct w:val="0"/>
              <w:autoSpaceDE w:val="0"/>
              <w:autoSpaceDN w:val="0"/>
              <w:bidi w:val="0"/>
              <w:adjustRightInd w:val="0"/>
              <w:snapToGrid w:val="0"/>
              <w:spacing w:before="78" w:line="219" w:lineRule="auto"/>
              <w:ind w:firstLine="214" w:firstLineChars="100"/>
              <w:jc w:val="center"/>
              <w:textAlignment w:val="center"/>
              <w:rPr>
                <w:rFonts w:hint="eastAsia" w:asciiTheme="minorEastAsia" w:hAnsiTheme="minorEastAsia" w:eastAsiaTheme="minorEastAsia" w:cstheme="minorEastAsia"/>
                <w:snapToGrid w:val="0"/>
                <w:color w:val="000000"/>
                <w:spacing w:val="-13"/>
                <w:kern w:val="0"/>
                <w:sz w:val="24"/>
                <w:szCs w:val="24"/>
                <w:highlight w:val="green"/>
                <w:lang w:val="en-US" w:eastAsia="zh-CN" w:bidi="ar-SA"/>
              </w:rPr>
            </w:pPr>
          </w:p>
        </w:tc>
        <w:tc>
          <w:tcPr>
            <w:tcW w:w="1121" w:type="dxa"/>
            <w:vAlign w:val="center"/>
          </w:tcPr>
          <w:p w14:paraId="47FB6012">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服务质量承诺</w:t>
            </w:r>
          </w:p>
          <w:p w14:paraId="034FB4FF">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（15分）</w:t>
            </w:r>
          </w:p>
        </w:tc>
        <w:tc>
          <w:tcPr>
            <w:tcW w:w="5215" w:type="dxa"/>
            <w:vAlign w:val="top"/>
          </w:tcPr>
          <w:p w14:paraId="13C561A5">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评委</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根据供应商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针对本项目特点和要求</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提供的服务质量承诺、前期接管方案及合同到期时的交接可行性、适用性酌情打分。</w:t>
            </w:r>
          </w:p>
          <w:p w14:paraId="195D1B44">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方案详细，科学合理，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可行性、适用性强的为第一档，</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得15</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分；</w:t>
            </w:r>
          </w:p>
          <w:p w14:paraId="2D13D66C">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方案较详细，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具有一定可行性、适用性为第二档，</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得12</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分；</w:t>
            </w:r>
          </w:p>
          <w:p w14:paraId="138FDD83">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方案不科学不完整，</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可行性、适用性低的为第三档，</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得8</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w:t>
            </w:r>
          </w:p>
          <w:p w14:paraId="70DDC3AB">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方案残缺，不具备可行性的为第四档，得4分；</w:t>
            </w:r>
          </w:p>
          <w:p w14:paraId="5D11DE00">
            <w:pPr>
              <w:pStyle w:val="18"/>
              <w:keepNext w:val="0"/>
              <w:keepLines w:val="0"/>
              <w:pageBreakBefore w:val="0"/>
              <w:kinsoku/>
              <w:wordWrap w:val="0"/>
              <w:overflowPunct/>
              <w:topLinePunct w:val="0"/>
              <w:bidi w:val="0"/>
              <w:spacing w:before="33" w:line="235" w:lineRule="auto"/>
              <w:ind w:left="76" w:right="23" w:firstLine="2"/>
              <w:jc w:val="both"/>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缺项不得分。</w:t>
            </w:r>
          </w:p>
        </w:tc>
      </w:tr>
      <w:tr w14:paraId="6595B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149B02C">
            <w:pPr>
              <w:pStyle w:val="18"/>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57" w:type="dxa"/>
            <w:vMerge w:val="continue"/>
            <w:vAlign w:val="center"/>
          </w:tcPr>
          <w:p w14:paraId="556E545F">
            <w:pPr>
              <w:keepNext w:val="0"/>
              <w:keepLines w:val="0"/>
              <w:pageBreakBefore w:val="0"/>
              <w:widowControl/>
              <w:kinsoku/>
              <w:wordWrap w:val="0"/>
              <w:overflowPunct/>
              <w:topLinePunct w:val="0"/>
              <w:autoSpaceDE w:val="0"/>
              <w:autoSpaceDN w:val="0"/>
              <w:bidi w:val="0"/>
              <w:adjustRightInd w:val="0"/>
              <w:snapToGrid w:val="0"/>
              <w:spacing w:before="78" w:line="219" w:lineRule="auto"/>
              <w:ind w:firstLine="214" w:firstLineChars="100"/>
              <w:jc w:val="center"/>
              <w:textAlignment w:val="center"/>
              <w:rPr>
                <w:rFonts w:hint="eastAsia" w:asciiTheme="minorEastAsia" w:hAnsiTheme="minorEastAsia" w:eastAsiaTheme="minorEastAsia" w:cstheme="minorEastAsia"/>
                <w:snapToGrid w:val="0"/>
                <w:color w:val="000000"/>
                <w:spacing w:val="-13"/>
                <w:kern w:val="0"/>
                <w:sz w:val="24"/>
                <w:szCs w:val="24"/>
                <w:highlight w:val="green"/>
                <w:lang w:val="en-US" w:eastAsia="zh-CN" w:bidi="ar-SA"/>
              </w:rPr>
            </w:pPr>
          </w:p>
        </w:tc>
        <w:tc>
          <w:tcPr>
            <w:tcW w:w="1121" w:type="dxa"/>
            <w:vAlign w:val="center"/>
          </w:tcPr>
          <w:p w14:paraId="2815D769">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服务区内</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突发事件应急预案</w:t>
            </w:r>
          </w:p>
          <w:p w14:paraId="1265AFB2">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（10分）</w:t>
            </w:r>
          </w:p>
        </w:tc>
        <w:tc>
          <w:tcPr>
            <w:tcW w:w="5215" w:type="dxa"/>
            <w:vAlign w:val="top"/>
          </w:tcPr>
          <w:p w14:paraId="7903832A">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根据供应商针对本项目提供的关于</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服务区内</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 xml:space="preserve">重大活动、突发事件应急预案和保障措施的科学性、合理性、可行性进行评审，酌情打分。 </w:t>
            </w:r>
          </w:p>
          <w:p w14:paraId="457F67CD">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供应商提供的方案合理规范、内容完整、</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可行性、适用性强</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，能够有效应对突发事件</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的为第一档，</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得</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10分；</w:t>
            </w:r>
          </w:p>
          <w:p w14:paraId="01B4CD1D">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应急方案较为完整，</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具有一定可行性、适用性</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，基本能应对突发事件的</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为第二档，</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得</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7分；</w:t>
            </w:r>
          </w:p>
          <w:p w14:paraId="4416B103">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方案简单，内容敷衍，</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可行性、适用性低</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，难以应对各类事件</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的为第三档，</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得</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en-US" w:bidi="ar-SA"/>
              </w:rPr>
              <w:t>3分</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w:t>
            </w:r>
          </w:p>
          <w:p w14:paraId="46F20757">
            <w:pPr>
              <w:pStyle w:val="18"/>
              <w:keepNext w:val="0"/>
              <w:keepLines w:val="0"/>
              <w:pageBreakBefore w:val="0"/>
              <w:kinsoku/>
              <w:wordWrap w:val="0"/>
              <w:overflowPunct/>
              <w:topLinePunct w:val="0"/>
              <w:bidi w:val="0"/>
              <w:spacing w:before="33" w:line="235" w:lineRule="auto"/>
              <w:ind w:left="76" w:right="23" w:firstLine="2"/>
              <w:jc w:val="both"/>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缺项不得分。</w:t>
            </w:r>
          </w:p>
        </w:tc>
      </w:tr>
      <w:tr w14:paraId="6377C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0FA187DE">
            <w:pPr>
              <w:pStyle w:val="18"/>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3</w:t>
            </w:r>
          </w:p>
        </w:tc>
        <w:tc>
          <w:tcPr>
            <w:tcW w:w="1357" w:type="dxa"/>
            <w:vMerge w:val="restart"/>
            <w:vAlign w:val="center"/>
          </w:tcPr>
          <w:p w14:paraId="482290A7">
            <w:pPr>
              <w:keepNext w:val="0"/>
              <w:keepLines w:val="0"/>
              <w:pageBreakBefore w:val="0"/>
              <w:widowControl/>
              <w:kinsoku/>
              <w:wordWrap w:val="0"/>
              <w:overflowPunct/>
              <w:topLinePunct w:val="0"/>
              <w:autoSpaceDE w:val="0"/>
              <w:autoSpaceDN w:val="0"/>
              <w:bidi w:val="0"/>
              <w:adjustRightInd w:val="0"/>
              <w:snapToGrid w:val="0"/>
              <w:spacing w:before="78" w:line="219" w:lineRule="auto"/>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综合部分</w:t>
            </w:r>
          </w:p>
          <w:p w14:paraId="24245297">
            <w:pPr>
              <w:pStyle w:val="14"/>
              <w:ind w:left="0" w:leftChars="0" w:firstLine="0" w:firstLineChars="0"/>
              <w:jc w:val="center"/>
              <w:rPr>
                <w:rFonts w:hint="default"/>
                <w:color w:val="auto"/>
                <w:highlight w:val="none"/>
                <w:lang w:val="en-US" w:eastAsia="zh-CN"/>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（15分）</w:t>
            </w:r>
          </w:p>
        </w:tc>
        <w:tc>
          <w:tcPr>
            <w:tcW w:w="1121" w:type="dxa"/>
            <w:vAlign w:val="center"/>
          </w:tcPr>
          <w:p w14:paraId="1C484BFB">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业绩</w:t>
            </w:r>
          </w:p>
          <w:p w14:paraId="371EDCF9">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（5分）</w:t>
            </w:r>
          </w:p>
        </w:tc>
        <w:tc>
          <w:tcPr>
            <w:tcW w:w="5215" w:type="dxa"/>
            <w:vAlign w:val="top"/>
          </w:tcPr>
          <w:p w14:paraId="7BFDDFFB">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供应商提供 2022年以来承接同类物业类项目合同、中标通知书及网站截图为有效合同。每一份有效合同（同一业主单位的合同视为一份有效合同）得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分，最多得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5</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p>
        </w:tc>
      </w:tr>
      <w:tr w14:paraId="2BD8C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82DA92D">
            <w:pPr>
              <w:pStyle w:val="18"/>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57" w:type="dxa"/>
            <w:vMerge w:val="continue"/>
            <w:vAlign w:val="center"/>
          </w:tcPr>
          <w:p w14:paraId="4E0780F8">
            <w:pPr>
              <w:keepNext w:val="0"/>
              <w:keepLines w:val="0"/>
              <w:pageBreakBefore w:val="0"/>
              <w:widowControl/>
              <w:kinsoku/>
              <w:wordWrap w:val="0"/>
              <w:overflowPunct/>
              <w:topLinePunct w:val="0"/>
              <w:autoSpaceDE w:val="0"/>
              <w:autoSpaceDN w:val="0"/>
              <w:bidi w:val="0"/>
              <w:adjustRightInd w:val="0"/>
              <w:snapToGrid w:val="0"/>
              <w:spacing w:before="78" w:line="219" w:lineRule="auto"/>
              <w:ind w:firstLine="214" w:firstLineChars="100"/>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21" w:type="dxa"/>
            <w:vAlign w:val="center"/>
          </w:tcPr>
          <w:p w14:paraId="4412CDC9">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技能证书</w:t>
            </w:r>
          </w:p>
          <w:p w14:paraId="4EF3B981">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（5分）</w:t>
            </w:r>
          </w:p>
        </w:tc>
        <w:tc>
          <w:tcPr>
            <w:tcW w:w="5215" w:type="dxa"/>
            <w:vAlign w:val="top"/>
          </w:tcPr>
          <w:p w14:paraId="0B08E547">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提供一个高压电工作证书的得1分，未提供的不得分；提供一个低压电工作证书的得1分，未提供的不得分；提供一个绿化工证或花卉工证的得1分，提供一个电梯操作证的得1分，提供一个消防设施操作员证（中级）的得1分，未提供的不得分；</w:t>
            </w:r>
          </w:p>
        </w:tc>
      </w:tr>
      <w:tr w14:paraId="53C5E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12EDA6B">
            <w:pPr>
              <w:pStyle w:val="18"/>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57" w:type="dxa"/>
            <w:vMerge w:val="continue"/>
            <w:vAlign w:val="center"/>
          </w:tcPr>
          <w:p w14:paraId="5E5C8317">
            <w:pPr>
              <w:keepNext w:val="0"/>
              <w:keepLines w:val="0"/>
              <w:pageBreakBefore w:val="0"/>
              <w:widowControl/>
              <w:kinsoku/>
              <w:wordWrap w:val="0"/>
              <w:overflowPunct/>
              <w:topLinePunct w:val="0"/>
              <w:autoSpaceDE w:val="0"/>
              <w:autoSpaceDN w:val="0"/>
              <w:bidi w:val="0"/>
              <w:adjustRightInd w:val="0"/>
              <w:snapToGrid w:val="0"/>
              <w:spacing w:before="78" w:line="219" w:lineRule="auto"/>
              <w:ind w:firstLine="214" w:firstLineChars="100"/>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21" w:type="dxa"/>
            <w:vAlign w:val="center"/>
          </w:tcPr>
          <w:p w14:paraId="6371198C">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信用等级证书（3分）</w:t>
            </w:r>
          </w:p>
        </w:tc>
        <w:tc>
          <w:tcPr>
            <w:tcW w:w="5215" w:type="dxa"/>
            <w:vAlign w:val="top"/>
          </w:tcPr>
          <w:p w14:paraId="59A6804E">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供应商提供有效期内的“AAA级企业信用等级证书”信用证书得3分。</w:t>
            </w:r>
          </w:p>
        </w:tc>
      </w:tr>
      <w:tr w14:paraId="7F709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341793A">
            <w:pPr>
              <w:pStyle w:val="18"/>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57" w:type="dxa"/>
            <w:vMerge w:val="continue"/>
            <w:vAlign w:val="center"/>
          </w:tcPr>
          <w:p w14:paraId="087809B0">
            <w:pPr>
              <w:keepNext w:val="0"/>
              <w:keepLines w:val="0"/>
              <w:pageBreakBefore w:val="0"/>
              <w:widowControl/>
              <w:kinsoku/>
              <w:wordWrap w:val="0"/>
              <w:overflowPunct/>
              <w:topLinePunct w:val="0"/>
              <w:autoSpaceDE w:val="0"/>
              <w:autoSpaceDN w:val="0"/>
              <w:bidi w:val="0"/>
              <w:adjustRightInd w:val="0"/>
              <w:snapToGrid w:val="0"/>
              <w:spacing w:before="78" w:line="219" w:lineRule="auto"/>
              <w:ind w:firstLine="214" w:firstLineChars="100"/>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21" w:type="dxa"/>
            <w:vAlign w:val="center"/>
          </w:tcPr>
          <w:p w14:paraId="05062F3A">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信用评价</w:t>
            </w:r>
          </w:p>
          <w:p w14:paraId="26EE5296">
            <w:pPr>
              <w:pStyle w:val="18"/>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（2分）</w:t>
            </w:r>
          </w:p>
        </w:tc>
        <w:tc>
          <w:tcPr>
            <w:tcW w:w="5215" w:type="dxa"/>
            <w:vAlign w:val="top"/>
          </w:tcPr>
          <w:p w14:paraId="22540BB8">
            <w:pPr>
              <w:pStyle w:val="18"/>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根据南阳市政府采购信用评价实施办法，诚信指数高的供应商（供应商），在参加南阳市本级的政府采购活动时，享受政策支持，在采用综合评分法的项目中，三星级的加1分，四星级的加2分；供应商（供应商）可在响应文件递交截止前三个工作日，登录“南阳市政府采购信用管理系统”在线打印《南阳市政府采购供应商信用记录表》，作为响应文件的组成部分提交，评审时作为享受政策支持的依据。</w:t>
            </w:r>
          </w:p>
        </w:tc>
      </w:tr>
      <w:tr w14:paraId="263D7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196" w:type="dxa"/>
            <w:gridSpan w:val="2"/>
            <w:vAlign w:val="top"/>
          </w:tcPr>
          <w:p w14:paraId="2AD21D03">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1121" w:type="dxa"/>
            <w:vAlign w:val="top"/>
          </w:tcPr>
          <w:p w14:paraId="4645DFDF">
            <w:pPr>
              <w:pStyle w:val="18"/>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215" w:type="dxa"/>
            <w:vAlign w:val="top"/>
          </w:tcPr>
          <w:p w14:paraId="095E58B0">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19A0B5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00FBCB6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3178ED2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4F7C8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177A7D0B">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303DC32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637FFCE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2DBF178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7083759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0BB4C2D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14:paraId="1D417C7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56E3EAA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66EEF64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通过“电子营业执照应用平台”向成交供应商发出电子成交通知书，成交供应商可登陆</w:t>
      </w:r>
      <w:r>
        <w:rPr>
          <w:rFonts w:hint="eastAsia" w:ascii="宋体" w:hAnsi="宋体" w:eastAsia="宋体" w:cs="宋体"/>
          <w:snapToGrid w:val="0"/>
          <w:color w:val="000000"/>
          <w:kern w:val="0"/>
          <w:sz w:val="24"/>
          <w:szCs w:val="24"/>
          <w:lang w:val="en-US" w:eastAsia="zh-CN" w:bidi="ar-SA"/>
        </w:rPr>
        <w:t>电子营业执照应用平台</w:t>
      </w:r>
      <w:r>
        <w:rPr>
          <w:rFonts w:hint="eastAsia" w:ascii="宋体" w:hAnsi="宋体" w:eastAsia="宋体" w:cs="宋体"/>
          <w:snapToGrid w:val="0"/>
          <w:color w:val="000000"/>
          <w:kern w:val="0"/>
          <w:sz w:val="24"/>
          <w:szCs w:val="24"/>
          <w:lang w:val="en-US" w:eastAsia="en-US" w:bidi="ar-SA"/>
        </w:rPr>
        <w:t>，自行打印加盖电子签章的成交通知书。</w:t>
      </w:r>
    </w:p>
    <w:p w14:paraId="6EEBF2F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6A6550B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4D63999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5596A2F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539D59B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520321F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27278E2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05952691">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6A08841">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0A7B44A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3A822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在线接收，请质疑人上传质疑函原件扫描件到南阳市公共资源交易系统或南阳市公共资源电子营业执照应用平台并电话通知到项目负责人。</w:t>
      </w:r>
    </w:p>
    <w:p w14:paraId="7F47D09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2B78B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58977B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E37559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3DAE924A">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7A03164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4709F7A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14F1355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1DEB48C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4E4BDE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55081A0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DB051A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03CA08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FFF55E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98D148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6AC497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B196EA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AD6D9F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CBFF62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B02D74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348DF1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A0853C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DA90A1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21C82E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D70898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F92366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482FB7B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7E9ED22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7D65B07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D1680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22C52FB2">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7127176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64F03C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17408B2">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D21E4CF">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6448922">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6B628482">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CA6EABB">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5206DE9">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7E21C821">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2369DDE">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4D4AF47">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2BC662FF">
      <w:pPr>
        <w:snapToGrid w:val="0"/>
        <w:spacing w:line="360" w:lineRule="auto"/>
        <w:ind w:firstLine="480" w:firstLineChars="200"/>
        <w:rPr>
          <w:rFonts w:hint="eastAsia" w:ascii="仿宋" w:hAnsi="仿宋" w:cs="仿宋"/>
          <w:sz w:val="24"/>
          <w:szCs w:val="24"/>
          <w:highlight w:val="none"/>
          <w:u w:val="single"/>
        </w:rPr>
      </w:pPr>
      <w:r>
        <w:rPr>
          <w:rFonts w:hint="eastAsia" w:ascii="仿宋" w:hAnsi="仿宋" w:cs="仿宋"/>
          <w:sz w:val="24"/>
          <w:szCs w:val="24"/>
          <w:highlight w:val="none"/>
        </w:rPr>
        <w:t>采购人（甲方）：</w:t>
      </w:r>
      <w:r>
        <w:rPr>
          <w:rFonts w:hint="eastAsia" w:ascii="仿宋" w:hAnsi="仿宋" w:cs="仿宋"/>
          <w:sz w:val="24"/>
          <w:szCs w:val="24"/>
          <w:highlight w:val="none"/>
          <w:u w:val="single"/>
        </w:rPr>
        <w:t xml:space="preserve">                      </w:t>
      </w:r>
    </w:p>
    <w:p w14:paraId="5350C6B3">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供应商（乙方）：</w:t>
      </w:r>
      <w:r>
        <w:rPr>
          <w:rFonts w:hint="eastAsia" w:ascii="仿宋" w:hAnsi="仿宋" w:cs="仿宋"/>
          <w:sz w:val="24"/>
          <w:szCs w:val="24"/>
          <w:highlight w:val="none"/>
          <w:u w:val="single"/>
        </w:rPr>
        <w:t xml:space="preserve">                      </w:t>
      </w:r>
    </w:p>
    <w:p w14:paraId="6792A301">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签订时间：</w:t>
      </w:r>
      <w:r>
        <w:rPr>
          <w:rFonts w:hint="eastAsia" w:ascii="仿宋" w:hAnsi="仿宋" w:cs="仿宋"/>
          <w:sz w:val="24"/>
          <w:szCs w:val="24"/>
          <w:highlight w:val="none"/>
          <w:u w:val="single"/>
        </w:rPr>
        <w:t xml:space="preserve">                           </w:t>
      </w:r>
    </w:p>
    <w:p w14:paraId="76D488AA">
      <w:pPr>
        <w:snapToGrid w:val="0"/>
        <w:spacing w:line="360" w:lineRule="auto"/>
        <w:ind w:firstLine="480" w:firstLineChars="200"/>
        <w:rPr>
          <w:rFonts w:hint="eastAsia" w:ascii="仿宋" w:hAnsi="仿宋" w:cs="仿宋"/>
          <w:sz w:val="24"/>
          <w:szCs w:val="24"/>
          <w:highlight w:val="none"/>
          <w:u w:val="single"/>
        </w:rPr>
      </w:pPr>
      <w:r>
        <w:rPr>
          <w:rFonts w:hint="eastAsia" w:ascii="仿宋" w:hAnsi="仿宋" w:cs="仿宋"/>
          <w:sz w:val="24"/>
          <w:szCs w:val="24"/>
          <w:highlight w:val="none"/>
        </w:rPr>
        <w:t>签订地点：</w:t>
      </w:r>
      <w:r>
        <w:rPr>
          <w:rFonts w:hint="eastAsia" w:ascii="仿宋" w:hAnsi="仿宋" w:cs="仿宋"/>
          <w:sz w:val="24"/>
          <w:szCs w:val="24"/>
          <w:highlight w:val="none"/>
          <w:u w:val="single"/>
        </w:rPr>
        <w:t xml:space="preserve">                           </w:t>
      </w:r>
    </w:p>
    <w:p w14:paraId="035BAE5B">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本项目经南阳市政府采购监督管理办公室(以下简称“市采购办”）批准,采用</w:t>
      </w:r>
      <w:r>
        <w:rPr>
          <w:rFonts w:hint="eastAsia" w:ascii="仿宋" w:hAnsi="仿宋" w:cs="仿宋"/>
          <w:sz w:val="24"/>
          <w:szCs w:val="24"/>
          <w:highlight w:val="none"/>
          <w:u w:val="single"/>
        </w:rPr>
        <w:t xml:space="preserve">                </w:t>
      </w:r>
      <w:r>
        <w:rPr>
          <w:rFonts w:hint="eastAsia" w:ascii="仿宋" w:hAnsi="仿宋" w:cs="仿宋"/>
          <w:sz w:val="24"/>
          <w:szCs w:val="24"/>
          <w:highlight w:val="none"/>
        </w:rPr>
        <w:t>方式由南阳市</w:t>
      </w:r>
      <w:r>
        <w:rPr>
          <w:rFonts w:hint="eastAsia" w:ascii="仿宋" w:hAnsi="仿宋" w:eastAsia="宋体" w:cs="仿宋"/>
          <w:sz w:val="24"/>
          <w:szCs w:val="24"/>
          <w:highlight w:val="none"/>
          <w:lang w:val="en-US" w:eastAsia="zh-CN"/>
        </w:rPr>
        <w:t>公共资源交易</w:t>
      </w:r>
      <w:r>
        <w:rPr>
          <w:rFonts w:hint="eastAsia" w:ascii="仿宋" w:hAnsi="仿宋" w:cs="仿宋"/>
          <w:sz w:val="24"/>
          <w:szCs w:val="24"/>
          <w:highlight w:val="none"/>
        </w:rPr>
        <w:t>中心（以下简称“市</w:t>
      </w:r>
      <w:r>
        <w:rPr>
          <w:rFonts w:hint="eastAsia" w:ascii="仿宋" w:hAnsi="仿宋" w:eastAsia="宋体" w:cs="仿宋"/>
          <w:sz w:val="24"/>
          <w:szCs w:val="24"/>
          <w:highlight w:val="none"/>
          <w:lang w:val="en-US" w:eastAsia="zh-CN"/>
        </w:rPr>
        <w:t>交易</w:t>
      </w:r>
      <w:r>
        <w:rPr>
          <w:rFonts w:hint="eastAsia" w:ascii="仿宋" w:hAnsi="仿宋" w:cs="仿宋"/>
          <w:sz w:val="24"/>
          <w:szCs w:val="24"/>
          <w:highlight w:val="none"/>
        </w:rPr>
        <w:t>中心”）依法组织采购，经评审委员会评审，决定将政府采购合同授予乙方。为进一步明确甲乙双方的责任，确保合同顺利履行，根据《中华人民共和国政府采购法》及其实施条例、《中华人民共和国合同法》以及本项目中标（成交）结果，甲乙双方充分协商，订立合同，共同遵守。</w:t>
      </w:r>
    </w:p>
    <w:p w14:paraId="31F874D2">
      <w:pPr>
        <w:snapToGrid w:val="0"/>
        <w:spacing w:line="360" w:lineRule="auto"/>
        <w:ind w:firstLine="480" w:firstLineChars="200"/>
        <w:rPr>
          <w:rFonts w:hint="eastAsia" w:ascii="仿宋" w:hAnsi="仿宋" w:cs="仿宋"/>
          <w:b/>
          <w:sz w:val="24"/>
          <w:szCs w:val="24"/>
          <w:highlight w:val="none"/>
        </w:rPr>
      </w:pPr>
      <w:r>
        <w:rPr>
          <w:rFonts w:hint="eastAsia" w:ascii="仿宋" w:hAnsi="仿宋" w:cs="仿宋"/>
          <w:b/>
          <w:sz w:val="24"/>
          <w:szCs w:val="24"/>
          <w:highlight w:val="none"/>
        </w:rPr>
        <w:t>第一条  服务对象基本情况</w:t>
      </w:r>
    </w:p>
    <w:p w14:paraId="1B4A0DC1">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 xml:space="preserve">服务类型：＿＿＿＿＿　　座落位置： </w:t>
      </w:r>
      <w:r>
        <w:rPr>
          <w:rFonts w:hint="eastAsia" w:ascii="仿宋" w:hAnsi="仿宋" w:cs="仿宋"/>
          <w:sz w:val="24"/>
          <w:szCs w:val="24"/>
          <w:highlight w:val="none"/>
        </w:rPr>
        <w:softHyphen/>
      </w:r>
      <w:r>
        <w:rPr>
          <w:rFonts w:hint="eastAsia" w:ascii="仿宋" w:hAnsi="仿宋" w:cs="仿宋"/>
          <w:sz w:val="24"/>
          <w:szCs w:val="24"/>
          <w:highlight w:val="none"/>
        </w:rPr>
        <w:softHyphen/>
      </w:r>
      <w:r>
        <w:rPr>
          <w:rFonts w:hint="eastAsia" w:ascii="仿宋" w:hAnsi="仿宋" w:cs="仿宋"/>
          <w:sz w:val="24"/>
          <w:szCs w:val="24"/>
          <w:highlight w:val="none"/>
        </w:rPr>
        <w:t>________</w:t>
      </w:r>
    </w:p>
    <w:p w14:paraId="51191B79">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占地面积：＿＿＿＿平方米　　建筑面积：＿＿＿＿平方米</w:t>
      </w:r>
    </w:p>
    <w:p w14:paraId="7623F48A">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其他必要内容  ＿＿＿＿</w:t>
      </w:r>
    </w:p>
    <w:p w14:paraId="7689CF38">
      <w:pPr>
        <w:snapToGrid w:val="0"/>
        <w:spacing w:line="360" w:lineRule="auto"/>
        <w:ind w:firstLine="480" w:firstLineChars="200"/>
        <w:rPr>
          <w:rFonts w:hint="eastAsia" w:ascii="仿宋" w:hAnsi="仿宋" w:cs="仿宋"/>
          <w:b/>
          <w:sz w:val="24"/>
          <w:szCs w:val="24"/>
          <w:highlight w:val="none"/>
        </w:rPr>
      </w:pPr>
      <w:r>
        <w:rPr>
          <w:rFonts w:hint="eastAsia" w:ascii="仿宋" w:hAnsi="仿宋" w:cs="仿宋"/>
          <w:b/>
          <w:sz w:val="24"/>
          <w:szCs w:val="24"/>
          <w:highlight w:val="none"/>
        </w:rPr>
        <w:t>第二条  具体服务事项</w:t>
      </w:r>
    </w:p>
    <w:p w14:paraId="04A9351C">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1、</w:t>
      </w:r>
    </w:p>
    <w:p w14:paraId="1A14B799">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2、</w:t>
      </w:r>
    </w:p>
    <w:p w14:paraId="3563A7D4">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w:t>
      </w:r>
    </w:p>
    <w:p w14:paraId="41D21508">
      <w:pPr>
        <w:snapToGrid w:val="0"/>
        <w:spacing w:line="360" w:lineRule="auto"/>
        <w:ind w:firstLine="480" w:firstLineChars="200"/>
        <w:rPr>
          <w:rFonts w:hint="eastAsia" w:ascii="仿宋" w:hAnsi="仿宋" w:cs="仿宋"/>
          <w:sz w:val="24"/>
          <w:szCs w:val="24"/>
          <w:highlight w:val="none"/>
        </w:rPr>
      </w:pPr>
      <w:r>
        <w:rPr>
          <w:rFonts w:hint="eastAsia" w:ascii="仿宋" w:hAnsi="仿宋" w:cs="仿宋"/>
          <w:b/>
          <w:sz w:val="24"/>
          <w:szCs w:val="24"/>
          <w:highlight w:val="none"/>
        </w:rPr>
        <w:t>第三条  服务期限</w:t>
      </w:r>
      <w:r>
        <w:rPr>
          <w:rFonts w:hint="eastAsia" w:ascii="仿宋" w:hAnsi="仿宋" w:cs="仿宋"/>
          <w:sz w:val="24"/>
          <w:szCs w:val="24"/>
          <w:highlight w:val="none"/>
        </w:rPr>
        <w:t>为＿＿＿＿年。自＿＿＿年＿＿＿月＿＿＿＿＿＿时起至＿＿＿＿年＿＿＿＿月＿＿＿＿日＿＿＿＿时止。</w:t>
      </w:r>
    </w:p>
    <w:p w14:paraId="55176A44">
      <w:pPr>
        <w:snapToGrid w:val="0"/>
        <w:spacing w:line="360" w:lineRule="auto"/>
        <w:ind w:firstLine="480" w:firstLineChars="200"/>
        <w:rPr>
          <w:rFonts w:hint="eastAsia" w:ascii="仿宋" w:hAnsi="仿宋" w:cs="仿宋"/>
          <w:b/>
          <w:sz w:val="24"/>
          <w:szCs w:val="24"/>
          <w:highlight w:val="none"/>
        </w:rPr>
      </w:pPr>
      <w:r>
        <w:rPr>
          <w:rFonts w:hint="eastAsia" w:ascii="仿宋" w:hAnsi="仿宋" w:cs="仿宋"/>
          <w:b/>
          <w:sz w:val="24"/>
          <w:szCs w:val="24"/>
          <w:highlight w:val="none"/>
        </w:rPr>
        <w:t>第四条  甲方权利义务</w:t>
      </w:r>
    </w:p>
    <w:p w14:paraId="79F3EAF7">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1、甲方有对乙方提出改进服务意见的权利，监督乙方工作。</w:t>
      </w:r>
    </w:p>
    <w:p w14:paraId="15B4CE6E">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2、甲方负责协助乙方做好一切外部事物的处理与协调工作。</w:t>
      </w:r>
    </w:p>
    <w:p w14:paraId="70C98295">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3、乙方在工作中需要甲方工作人员协助的，甲方应积极配合。</w:t>
      </w:r>
    </w:p>
    <w:p w14:paraId="15C3FC5A">
      <w:pPr>
        <w:snapToGrid w:val="0"/>
        <w:spacing w:line="360" w:lineRule="auto"/>
        <w:ind w:firstLine="480" w:firstLineChars="200"/>
        <w:rPr>
          <w:rFonts w:hint="eastAsia" w:ascii="仿宋" w:hAnsi="仿宋" w:cs="仿宋"/>
          <w:b/>
          <w:sz w:val="24"/>
          <w:szCs w:val="24"/>
          <w:highlight w:val="none"/>
        </w:rPr>
      </w:pPr>
      <w:r>
        <w:rPr>
          <w:rFonts w:hint="eastAsia" w:ascii="仿宋" w:hAnsi="仿宋" w:cs="仿宋"/>
          <w:b/>
          <w:sz w:val="24"/>
          <w:szCs w:val="24"/>
          <w:highlight w:val="none"/>
        </w:rPr>
        <w:t>第五条  乙方权利义务</w:t>
      </w:r>
    </w:p>
    <w:p w14:paraId="13DA8C09">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1、乙方应根据有关法律法规及本合同约定，制定具体服务管理制度。</w:t>
      </w:r>
    </w:p>
    <w:p w14:paraId="2A6F0E7E">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2、乙方应接受甲方的监督和考核，遵守甲方的规章制度，根据合同约定，服从甲方安排。</w:t>
      </w:r>
    </w:p>
    <w:p w14:paraId="7125C35D">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3、在工作区域内乙方人员提供管理服务过程中，因乙方人员的故意或过失，造成甲乙双方或任何第三方的人身损害或财产损失，乙方承担一切法律责任与赔偿。</w:t>
      </w:r>
    </w:p>
    <w:p w14:paraId="444AF5E5">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4、详见合同约定内容。</w:t>
      </w:r>
    </w:p>
    <w:p w14:paraId="6DE21A63">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w:t>
      </w:r>
    </w:p>
    <w:p w14:paraId="64BF081E">
      <w:pPr>
        <w:snapToGrid w:val="0"/>
        <w:spacing w:line="360" w:lineRule="auto"/>
        <w:ind w:firstLine="480" w:firstLineChars="200"/>
        <w:rPr>
          <w:rFonts w:hint="eastAsia" w:ascii="仿宋" w:hAnsi="仿宋" w:cs="仿宋"/>
          <w:b/>
          <w:sz w:val="24"/>
          <w:szCs w:val="24"/>
          <w:highlight w:val="none"/>
        </w:rPr>
      </w:pPr>
      <w:r>
        <w:rPr>
          <w:rFonts w:hint="eastAsia" w:ascii="仿宋" w:hAnsi="仿宋" w:cs="仿宋"/>
          <w:b/>
          <w:sz w:val="24"/>
          <w:szCs w:val="24"/>
          <w:highlight w:val="none"/>
        </w:rPr>
        <w:t>第六条   服务目标</w:t>
      </w:r>
    </w:p>
    <w:p w14:paraId="2654A0BF">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乙方根据甲方的</w:t>
      </w:r>
      <w:r>
        <w:rPr>
          <w:rFonts w:hint="eastAsia" w:ascii="仿宋" w:hAnsi="仿宋" w:cs="仿宋"/>
          <w:b/>
          <w:sz w:val="24"/>
          <w:szCs w:val="24"/>
          <w:highlight w:val="none"/>
        </w:rPr>
        <w:t>具体服务事项及要求</w:t>
      </w:r>
      <w:r>
        <w:rPr>
          <w:rFonts w:hint="eastAsia" w:ascii="仿宋" w:hAnsi="仿宋" w:cs="仿宋"/>
          <w:sz w:val="24"/>
          <w:szCs w:val="24"/>
          <w:highlight w:val="none"/>
        </w:rPr>
        <w:t>制定出服务工作标准和考核标准。经与甲方协商同意后，乙方须按此工作标准和考核标准，实现服务目标。</w:t>
      </w:r>
    </w:p>
    <w:p w14:paraId="0C1FA461">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1、   ：＿＿＿＿＿＿＿＿＿</w:t>
      </w:r>
    </w:p>
    <w:p w14:paraId="3B59C9A8">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2、   ：＿＿＿＿＿＿＿＿＿</w:t>
      </w:r>
    </w:p>
    <w:p w14:paraId="2F9C8100">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3、   ：＿＿＿＿＿＿＿＿＿</w:t>
      </w:r>
    </w:p>
    <w:p w14:paraId="0EAF6554">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4、   ：＿＿＿＿＿＿＿＿＿</w:t>
      </w:r>
    </w:p>
    <w:p w14:paraId="6FC2AD47">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5、   ：＿＿＿＿＿＿＿＿＿</w:t>
      </w:r>
    </w:p>
    <w:p w14:paraId="10FCDAE0">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w:t>
      </w:r>
    </w:p>
    <w:p w14:paraId="55CB0900">
      <w:pPr>
        <w:snapToGrid w:val="0"/>
        <w:spacing w:line="360" w:lineRule="auto"/>
        <w:ind w:firstLine="480" w:firstLineChars="200"/>
        <w:rPr>
          <w:rFonts w:hint="eastAsia" w:ascii="仿宋" w:hAnsi="仿宋" w:cs="仿宋"/>
          <w:b/>
          <w:sz w:val="24"/>
          <w:szCs w:val="24"/>
          <w:highlight w:val="none"/>
        </w:rPr>
      </w:pPr>
      <w:r>
        <w:rPr>
          <w:rFonts w:hint="eastAsia" w:ascii="仿宋" w:hAnsi="仿宋" w:cs="仿宋"/>
          <w:b/>
          <w:sz w:val="24"/>
          <w:szCs w:val="24"/>
          <w:highlight w:val="none"/>
        </w:rPr>
        <w:t>第七条  服务费用</w:t>
      </w:r>
    </w:p>
    <w:p w14:paraId="2F00EA77">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1、费用结算</w:t>
      </w:r>
    </w:p>
    <w:p w14:paraId="3DDD46F2">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本合同以人民币付款，总计</w:t>
      </w:r>
      <w:r>
        <w:rPr>
          <w:rFonts w:hint="eastAsia" w:ascii="仿宋" w:hAnsi="仿宋" w:cs="仿宋"/>
          <w:sz w:val="24"/>
          <w:szCs w:val="24"/>
          <w:highlight w:val="none"/>
          <w:u w:val="single"/>
        </w:rPr>
        <w:t xml:space="preserve">            </w:t>
      </w:r>
      <w:r>
        <w:rPr>
          <w:rFonts w:hint="eastAsia" w:ascii="仿宋" w:hAnsi="仿宋" w:cs="仿宋"/>
          <w:sz w:val="24"/>
          <w:szCs w:val="24"/>
          <w:highlight w:val="none"/>
        </w:rPr>
        <w:t>万元。</w:t>
      </w:r>
    </w:p>
    <w:p w14:paraId="184F8F57">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付款方式：</w:t>
      </w:r>
    </w:p>
    <w:p w14:paraId="6CA854D9">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2、费用构成</w:t>
      </w:r>
    </w:p>
    <w:p w14:paraId="2D41E27B">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（1）</w:t>
      </w:r>
    </w:p>
    <w:p w14:paraId="3C736B1D">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（2）</w:t>
      </w:r>
    </w:p>
    <w:p w14:paraId="756D4FF4">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w:t>
      </w:r>
    </w:p>
    <w:p w14:paraId="2657AD02">
      <w:pPr>
        <w:snapToGrid w:val="0"/>
        <w:spacing w:line="360" w:lineRule="auto"/>
        <w:ind w:firstLine="480" w:firstLineChars="200"/>
        <w:rPr>
          <w:rFonts w:hint="eastAsia" w:ascii="仿宋" w:hAnsi="仿宋" w:cs="仿宋"/>
          <w:b/>
          <w:sz w:val="24"/>
          <w:szCs w:val="24"/>
          <w:highlight w:val="none"/>
        </w:rPr>
      </w:pPr>
      <w:r>
        <w:rPr>
          <w:rFonts w:hint="eastAsia" w:ascii="仿宋" w:hAnsi="仿宋" w:cs="仿宋"/>
          <w:b/>
          <w:sz w:val="24"/>
          <w:szCs w:val="24"/>
          <w:highlight w:val="none"/>
        </w:rPr>
        <w:t>第八条  验收方法</w:t>
      </w:r>
    </w:p>
    <w:p w14:paraId="0F040796">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甲方应当按照政府采购合同规定的技术、服务、安全标准组织对乙方履约情况进行验收，并出具验收书。验收书应当包括每一项技术、服务、安全标准的履约情况。验收不合格的，乙方应负责重新提供达到本合同约定的质量要求的标准；验收合格的,验</w:t>
      </w:r>
      <w:bookmarkStart w:id="3" w:name="_GoBack"/>
      <w:bookmarkEnd w:id="3"/>
      <w:r>
        <w:rPr>
          <w:rFonts w:hint="eastAsia" w:ascii="仿宋" w:hAnsi="仿宋" w:cs="仿宋"/>
          <w:sz w:val="24"/>
          <w:szCs w:val="24"/>
          <w:highlight w:val="none"/>
        </w:rPr>
        <w:t>收书作为支付货款的重要依据。</w:t>
      </w:r>
    </w:p>
    <w:p w14:paraId="3A816CFC">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政府向社会公众提供的公共服务项目，验收时应当邀请服务对象参与并出具意见，验收结果应当向社会公告。</w:t>
      </w:r>
    </w:p>
    <w:p w14:paraId="02B0DC87">
      <w:pPr>
        <w:pStyle w:val="20"/>
        <w:snapToGrid w:val="0"/>
        <w:spacing w:before="0" w:beforeAutospacing="0" w:after="0" w:afterAutospacing="0"/>
        <w:ind w:firstLine="480" w:firstLineChars="200"/>
        <w:rPr>
          <w:rFonts w:hint="eastAsia" w:ascii="仿宋" w:hAnsi="仿宋" w:cs="仿宋"/>
          <w:b/>
          <w:color w:val="auto"/>
          <w:kern w:val="2"/>
          <w:sz w:val="24"/>
          <w:szCs w:val="24"/>
          <w:highlight w:val="none"/>
        </w:rPr>
      </w:pPr>
      <w:r>
        <w:rPr>
          <w:rFonts w:hint="eastAsia" w:ascii="仿宋" w:hAnsi="仿宋" w:cs="仿宋"/>
          <w:b/>
          <w:color w:val="auto"/>
          <w:kern w:val="2"/>
          <w:sz w:val="24"/>
          <w:szCs w:val="24"/>
          <w:highlight w:val="none"/>
        </w:rPr>
        <w:t>第九条 违约责任</w:t>
      </w:r>
    </w:p>
    <w:p w14:paraId="75F89BF2">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1、甲方违反本合同的约定，使乙方不能完成服务目标，乙方有权要求甲方在一定期限内解决，逾期未解决的乙方有权终止合同；造成乙方经济损失的，甲方应给予乙方经济赔偿。</w:t>
      </w:r>
    </w:p>
    <w:p w14:paraId="43FA7114">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2、乙方违反本合同的约定，不能完成服务目标，甲方有权要求乙方限期整改，逾期未整改或多次整改无提高，甲方有权单方终止合同；造成甲方经济损失的，乙方应给予甲方经济赔偿。</w:t>
      </w:r>
    </w:p>
    <w:p w14:paraId="6727A956">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3、乙方违反本合同的约定，擅自提高收费标准的，甲方有权要求乙方清退；造成甲方经济损失的，乙方应给予甲方经济赔偿。</w:t>
      </w:r>
    </w:p>
    <w:p w14:paraId="0B809D78">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4、甲乙双方任何一方无法律依据提前终止本合同的，违约方应赔偿对方</w:t>
      </w:r>
      <w:r>
        <w:rPr>
          <w:rFonts w:hint="eastAsia" w:ascii="仿宋" w:hAnsi="仿宋" w:cs="仿宋"/>
          <w:sz w:val="24"/>
          <w:szCs w:val="24"/>
          <w:highlight w:val="none"/>
          <w:u w:val="single"/>
        </w:rPr>
        <w:t xml:space="preserve">   </w:t>
      </w:r>
      <w:r>
        <w:rPr>
          <w:rFonts w:hint="eastAsia" w:ascii="仿宋" w:hAnsi="仿宋" w:cs="仿宋"/>
          <w:sz w:val="24"/>
          <w:szCs w:val="24"/>
          <w:highlight w:val="none"/>
        </w:rPr>
        <w:t>万元的违约金；造成对方经济损失的，应给予经济赔偿。</w:t>
      </w:r>
    </w:p>
    <w:p w14:paraId="004A4E70">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5、其他。</w:t>
      </w:r>
    </w:p>
    <w:p w14:paraId="3C684450">
      <w:pPr>
        <w:snapToGrid w:val="0"/>
        <w:spacing w:line="360" w:lineRule="auto"/>
        <w:ind w:firstLine="480" w:firstLineChars="200"/>
        <w:rPr>
          <w:rFonts w:hint="eastAsia" w:ascii="仿宋" w:hAnsi="仿宋" w:cs="仿宋"/>
          <w:b/>
          <w:sz w:val="24"/>
          <w:szCs w:val="24"/>
          <w:highlight w:val="none"/>
        </w:rPr>
      </w:pPr>
      <w:r>
        <w:rPr>
          <w:rFonts w:hint="eastAsia" w:ascii="仿宋" w:hAnsi="仿宋" w:cs="仿宋"/>
          <w:b/>
          <w:sz w:val="24"/>
          <w:szCs w:val="24"/>
          <w:highlight w:val="none"/>
        </w:rPr>
        <w:t>第十条 其他事项</w:t>
      </w:r>
    </w:p>
    <w:p w14:paraId="2D162F9F">
      <w:pPr>
        <w:pStyle w:val="20"/>
        <w:snapToGrid w:val="0"/>
        <w:spacing w:before="0" w:beforeAutospacing="0" w:after="0" w:afterAutospacing="0"/>
        <w:ind w:firstLine="480" w:firstLineChars="200"/>
        <w:rPr>
          <w:rFonts w:hint="eastAsia" w:ascii="仿宋" w:hAnsi="仿宋" w:cs="仿宋"/>
          <w:color w:val="auto"/>
          <w:sz w:val="24"/>
          <w:szCs w:val="24"/>
          <w:highlight w:val="none"/>
        </w:rPr>
      </w:pPr>
      <w:r>
        <w:rPr>
          <w:rFonts w:hint="eastAsia" w:ascii="仿宋" w:hAnsi="仿宋" w:cs="仿宋"/>
          <w:color w:val="auto"/>
          <w:sz w:val="24"/>
          <w:szCs w:val="24"/>
          <w:highlight w:val="none"/>
        </w:rPr>
        <w:t>1、本合同自甲乙双方签字盖章后生效。</w:t>
      </w:r>
    </w:p>
    <w:p w14:paraId="1E41CF5C">
      <w:pPr>
        <w:pStyle w:val="20"/>
        <w:snapToGrid w:val="0"/>
        <w:spacing w:before="0" w:beforeAutospacing="0" w:after="0" w:afterAutospacing="0"/>
        <w:ind w:firstLine="480" w:firstLineChars="200"/>
        <w:rPr>
          <w:rFonts w:hint="eastAsia" w:ascii="仿宋" w:hAnsi="仿宋" w:cs="仿宋"/>
          <w:color w:val="auto"/>
          <w:sz w:val="24"/>
          <w:szCs w:val="24"/>
          <w:highlight w:val="none"/>
        </w:rPr>
      </w:pPr>
      <w:r>
        <w:rPr>
          <w:rFonts w:hint="eastAsia" w:ascii="仿宋" w:hAnsi="仿宋" w:cs="仿宋"/>
          <w:color w:val="auto"/>
          <w:sz w:val="24"/>
          <w:szCs w:val="24"/>
          <w:highlight w:val="none"/>
        </w:rPr>
        <w:t>2、合同执行期内，甲乙双方均不得随意变更或解除合同。合同如有未尽事宜，须经双方共同协商，做出补充规定，补充规定与本合同具有同等效力，也可按照《中华人民共和国合同法》的规定执行。</w:t>
      </w:r>
    </w:p>
    <w:p w14:paraId="0B6AEF74">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3、本合同执行期间，如遇不可抗力，致使合同无法履行时，双方按有关法律规定及时协商处理。</w:t>
      </w:r>
    </w:p>
    <w:p w14:paraId="56225EE7">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4、本合同如发生纠纷，当事人双方应当及时协商解决，协商不成时，任何一方均可请政府采购监督管理机关调解，调解不成，按以下第（ ）项方式处理：（1）根据《中华人民共和国仲裁法》的规定向</w:t>
      </w:r>
      <w:r>
        <w:rPr>
          <w:rFonts w:hint="eastAsia" w:ascii="仿宋" w:hAnsi="仿宋" w:cs="仿宋"/>
          <w:b/>
          <w:bCs/>
          <w:sz w:val="24"/>
          <w:szCs w:val="24"/>
          <w:highlight w:val="none"/>
          <w:u w:val="single"/>
        </w:rPr>
        <w:t>南阳市仲裁委员会</w:t>
      </w:r>
      <w:r>
        <w:rPr>
          <w:rFonts w:hint="eastAsia" w:ascii="仿宋" w:hAnsi="仿宋" w:cs="仿宋"/>
          <w:sz w:val="24"/>
          <w:szCs w:val="24"/>
          <w:highlight w:val="none"/>
        </w:rPr>
        <w:t>申请仲裁。（2）向合同签订地有管辖权的人民法院起诉。</w:t>
      </w:r>
    </w:p>
    <w:p w14:paraId="29752E04">
      <w:pPr>
        <w:pStyle w:val="20"/>
        <w:snapToGrid w:val="0"/>
        <w:spacing w:before="0" w:beforeAutospacing="0" w:after="0" w:afterAutospacing="0"/>
        <w:ind w:firstLine="480" w:firstLineChars="200"/>
        <w:rPr>
          <w:rFonts w:hint="eastAsia" w:ascii="仿宋" w:hAnsi="仿宋" w:cs="仿宋"/>
          <w:color w:val="auto"/>
          <w:sz w:val="24"/>
          <w:szCs w:val="24"/>
          <w:highlight w:val="none"/>
        </w:rPr>
      </w:pPr>
      <w:r>
        <w:rPr>
          <w:rFonts w:hint="eastAsia" w:ascii="仿宋" w:hAnsi="仿宋" w:cs="仿宋"/>
          <w:color w:val="auto"/>
          <w:sz w:val="24"/>
          <w:szCs w:val="24"/>
          <w:highlight w:val="none"/>
        </w:rPr>
        <w:t>5、采购双方必须严格按照磋商文件、响应文件及有关承诺签订采购合同，不得擅自变更。对任何因双方擅自变更合同引起的问题市</w:t>
      </w:r>
      <w:r>
        <w:rPr>
          <w:rFonts w:hint="eastAsia" w:ascii="仿宋" w:hAnsi="仿宋" w:eastAsia="宋体" w:cs="仿宋"/>
          <w:color w:val="auto"/>
          <w:sz w:val="24"/>
          <w:szCs w:val="24"/>
          <w:highlight w:val="none"/>
          <w:lang w:val="en-US" w:eastAsia="zh-CN"/>
        </w:rPr>
        <w:t>交易</w:t>
      </w:r>
      <w:r>
        <w:rPr>
          <w:rFonts w:hint="eastAsia" w:ascii="仿宋" w:hAnsi="仿宋" w:cs="仿宋"/>
          <w:color w:val="auto"/>
          <w:sz w:val="24"/>
          <w:szCs w:val="24"/>
          <w:highlight w:val="none"/>
        </w:rPr>
        <w:t>中心概不负责，合同风险由双方自行承担。</w:t>
      </w:r>
    </w:p>
    <w:p w14:paraId="2DAF84BB">
      <w:pPr>
        <w:pStyle w:val="20"/>
        <w:snapToGrid w:val="0"/>
        <w:spacing w:before="0" w:beforeAutospacing="0" w:after="0" w:afterAutospacing="0"/>
        <w:ind w:firstLine="480" w:firstLineChars="200"/>
        <w:rPr>
          <w:rFonts w:hint="eastAsia" w:ascii="仿宋" w:hAnsi="仿宋" w:cs="仿宋"/>
          <w:color w:val="auto"/>
          <w:sz w:val="24"/>
          <w:szCs w:val="24"/>
          <w:highlight w:val="none"/>
        </w:rPr>
      </w:pPr>
      <w:r>
        <w:rPr>
          <w:rFonts w:hint="eastAsia" w:ascii="仿宋" w:hAnsi="仿宋" w:cs="仿宋"/>
          <w:color w:val="auto"/>
          <w:sz w:val="24"/>
          <w:szCs w:val="24"/>
          <w:highlight w:val="none"/>
        </w:rPr>
        <w:t xml:space="preserve">6、本合同一式 </w:t>
      </w:r>
      <w:r>
        <w:rPr>
          <w:rFonts w:hint="eastAsia" w:ascii="仿宋" w:hAnsi="仿宋" w:eastAsia="宋体" w:cs="仿宋"/>
          <w:color w:val="auto"/>
          <w:sz w:val="24"/>
          <w:szCs w:val="24"/>
          <w:highlight w:val="none"/>
          <w:lang w:val="en-US" w:eastAsia="zh-CN"/>
        </w:rPr>
        <w:t xml:space="preserve"> </w:t>
      </w:r>
      <w:r>
        <w:rPr>
          <w:rFonts w:hint="eastAsia" w:ascii="仿宋" w:hAnsi="仿宋" w:cs="仿宋"/>
          <w:color w:val="auto"/>
          <w:sz w:val="24"/>
          <w:szCs w:val="24"/>
          <w:highlight w:val="none"/>
        </w:rPr>
        <w:t>份，甲乙双方各执  份；由乙方报送市</w:t>
      </w:r>
      <w:r>
        <w:rPr>
          <w:rFonts w:hint="eastAsia" w:ascii="仿宋" w:hAnsi="仿宋" w:eastAsia="宋体" w:cs="仿宋"/>
          <w:color w:val="auto"/>
          <w:sz w:val="24"/>
          <w:szCs w:val="24"/>
          <w:highlight w:val="none"/>
          <w:lang w:val="en-US" w:eastAsia="zh-CN"/>
        </w:rPr>
        <w:t>交易</w:t>
      </w:r>
      <w:r>
        <w:rPr>
          <w:rFonts w:hint="eastAsia" w:ascii="仿宋" w:hAnsi="仿宋" w:cs="仿宋"/>
          <w:color w:val="auto"/>
          <w:sz w:val="24"/>
          <w:szCs w:val="24"/>
          <w:highlight w:val="none"/>
        </w:rPr>
        <w:t>中心一份;由甲方报送市采购办一份。</w:t>
      </w:r>
    </w:p>
    <w:p w14:paraId="5463B7A5">
      <w:pPr>
        <w:snapToGrid w:val="0"/>
        <w:spacing w:line="360" w:lineRule="auto"/>
        <w:ind w:firstLine="480" w:firstLineChars="200"/>
        <w:rPr>
          <w:rFonts w:hint="eastAsia" w:ascii="仿宋" w:hAnsi="仿宋" w:cs="仿宋"/>
          <w:sz w:val="24"/>
          <w:szCs w:val="24"/>
          <w:highlight w:val="none"/>
        </w:rPr>
      </w:pPr>
      <w:r>
        <w:rPr>
          <w:rFonts w:hint="eastAsia" w:ascii="仿宋" w:hAnsi="仿宋" w:cs="仿宋"/>
          <w:b/>
          <w:sz w:val="24"/>
          <w:szCs w:val="24"/>
          <w:highlight w:val="none"/>
        </w:rPr>
        <w:t>第十一条</w:t>
      </w:r>
      <w:r>
        <w:rPr>
          <w:rFonts w:hint="eastAsia" w:ascii="仿宋" w:hAnsi="仿宋" w:cs="仿宋"/>
          <w:b/>
          <w:bCs/>
          <w:sz w:val="24"/>
          <w:szCs w:val="24"/>
          <w:highlight w:val="none"/>
        </w:rPr>
        <w:t xml:space="preserve">  </w:t>
      </w:r>
      <w:r>
        <w:rPr>
          <w:rFonts w:hint="eastAsia" w:ascii="仿宋" w:hAnsi="仿宋" w:cs="仿宋"/>
          <w:sz w:val="24"/>
          <w:szCs w:val="24"/>
          <w:highlight w:val="none"/>
        </w:rPr>
        <w:t>下列关于市</w:t>
      </w:r>
      <w:r>
        <w:rPr>
          <w:rFonts w:hint="eastAsia" w:ascii="仿宋" w:hAnsi="仿宋" w:eastAsia="宋体" w:cs="仿宋"/>
          <w:sz w:val="24"/>
          <w:szCs w:val="24"/>
          <w:highlight w:val="none"/>
          <w:lang w:val="en-US" w:eastAsia="zh-CN"/>
        </w:rPr>
        <w:t>交易</w:t>
      </w:r>
      <w:r>
        <w:rPr>
          <w:rFonts w:hint="eastAsia" w:ascii="仿宋" w:hAnsi="仿宋" w:cs="仿宋"/>
          <w:sz w:val="24"/>
          <w:szCs w:val="24"/>
          <w:highlight w:val="none"/>
        </w:rPr>
        <w:t>中心项目编号   号的采购文件及有关附件是本合同不可分割的组成部分，与本合同具有同等法律效力，这些文件包括但不限于：（1）磋商文件（2）乙方提供的响应文件（3）服务承诺（4）甲乙双方商定的其他文件。以上附件顺序在前的具有优先解释权。</w:t>
      </w:r>
    </w:p>
    <w:p w14:paraId="045615CA">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 xml:space="preserve">采购人（甲方）：    （公章）   供应商（乙方）： （公章）  </w:t>
      </w:r>
    </w:p>
    <w:p w14:paraId="4E24BD9B">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地址：                         地址：</w:t>
      </w:r>
    </w:p>
    <w:p w14:paraId="004D78BF">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法定代表人：                   法定代表人：</w:t>
      </w:r>
    </w:p>
    <w:p w14:paraId="3F5F720B">
      <w:pPr>
        <w:snapToGrid w:val="0"/>
        <w:spacing w:line="360" w:lineRule="auto"/>
        <w:ind w:firstLine="480" w:firstLineChars="200"/>
        <w:rPr>
          <w:rFonts w:hint="eastAsia" w:ascii="仿宋" w:hAnsi="仿宋" w:cs="仿宋"/>
          <w:sz w:val="24"/>
          <w:szCs w:val="24"/>
          <w:highlight w:val="none"/>
          <w:u w:val="single"/>
        </w:rPr>
      </w:pPr>
      <w:r>
        <w:rPr>
          <w:rFonts w:hint="eastAsia" w:ascii="仿宋" w:hAnsi="仿宋" w:cs="仿宋"/>
          <w:sz w:val="24"/>
          <w:szCs w:val="24"/>
          <w:highlight w:val="none"/>
        </w:rPr>
        <w:t>委托代理人：                   委托代理人：</w:t>
      </w:r>
    </w:p>
    <w:p w14:paraId="698397F4">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电话：                         电话：</w:t>
      </w:r>
    </w:p>
    <w:p w14:paraId="2D73505D">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开户银行：                     开户银行：</w:t>
      </w:r>
    </w:p>
    <w:p w14:paraId="22C9B763">
      <w:pPr>
        <w:snapToGrid w:val="0"/>
        <w:spacing w:line="360" w:lineRule="auto"/>
        <w:ind w:firstLine="480" w:firstLineChars="200"/>
        <w:rPr>
          <w:rFonts w:hint="eastAsia" w:ascii="仿宋" w:hAnsi="仿宋" w:cs="仿宋"/>
          <w:sz w:val="24"/>
          <w:szCs w:val="24"/>
          <w:highlight w:val="none"/>
        </w:rPr>
      </w:pPr>
      <w:r>
        <w:rPr>
          <w:rFonts w:hint="eastAsia" w:ascii="仿宋" w:hAnsi="仿宋" w:cs="仿宋"/>
          <w:sz w:val="24"/>
          <w:szCs w:val="24"/>
          <w:highlight w:val="none"/>
        </w:rPr>
        <w:t>账号：                         账号：</w:t>
      </w:r>
    </w:p>
    <w:p w14:paraId="4D54106E">
      <w:pPr>
        <w:spacing w:after="0" w:line="360" w:lineRule="auto"/>
        <w:rPr>
          <w:rFonts w:hint="eastAsia" w:ascii="仿宋_GB2312" w:eastAsia="仿宋_GB2312"/>
          <w:b/>
          <w:bCs/>
          <w:sz w:val="24"/>
          <w:szCs w:val="24"/>
          <w:highlight w:val="yellow"/>
        </w:rPr>
      </w:pPr>
      <w:r>
        <w:rPr>
          <w:rFonts w:hint="eastAsia" w:ascii="仿宋" w:hAnsi="仿宋" w:cs="仿宋"/>
          <w:sz w:val="24"/>
          <w:szCs w:val="24"/>
          <w:highlight w:val="none"/>
          <w:u w:val="single"/>
        </w:rPr>
        <w:t xml:space="preserve">   </w:t>
      </w:r>
      <w:r>
        <w:rPr>
          <w:rFonts w:hint="eastAsia" w:ascii="仿宋" w:hAnsi="仿宋" w:cs="仿宋"/>
          <w:sz w:val="24"/>
          <w:szCs w:val="24"/>
          <w:highlight w:val="none"/>
        </w:rPr>
        <w:t>年</w:t>
      </w:r>
      <w:r>
        <w:rPr>
          <w:rFonts w:hint="eastAsia" w:ascii="仿宋" w:hAnsi="仿宋" w:cs="仿宋"/>
          <w:sz w:val="24"/>
          <w:szCs w:val="24"/>
          <w:highlight w:val="none"/>
          <w:u w:val="single"/>
        </w:rPr>
        <w:t xml:space="preserve">   </w:t>
      </w:r>
      <w:r>
        <w:rPr>
          <w:rFonts w:hint="eastAsia" w:ascii="仿宋" w:hAnsi="仿宋" w:cs="仿宋"/>
          <w:sz w:val="24"/>
          <w:szCs w:val="24"/>
          <w:highlight w:val="none"/>
        </w:rPr>
        <w:t>月</w:t>
      </w:r>
      <w:r>
        <w:rPr>
          <w:rFonts w:hint="eastAsia" w:ascii="仿宋" w:hAnsi="仿宋" w:cs="仿宋"/>
          <w:sz w:val="24"/>
          <w:szCs w:val="24"/>
          <w:highlight w:val="none"/>
          <w:u w:val="single"/>
        </w:rPr>
        <w:t xml:space="preserve">   </w:t>
      </w:r>
      <w:r>
        <w:rPr>
          <w:rFonts w:hint="eastAsia" w:ascii="仿宋" w:hAnsi="仿宋" w:cs="仿宋"/>
          <w:sz w:val="24"/>
          <w:szCs w:val="24"/>
          <w:highlight w:val="none"/>
        </w:rPr>
        <w:t xml:space="preserve">日                </w:t>
      </w:r>
      <w:r>
        <w:rPr>
          <w:rFonts w:hint="eastAsia" w:ascii="仿宋" w:hAnsi="仿宋" w:cs="仿宋"/>
          <w:sz w:val="24"/>
          <w:szCs w:val="24"/>
          <w:highlight w:val="none"/>
          <w:u w:val="single"/>
        </w:rPr>
        <w:t xml:space="preserve">   </w:t>
      </w:r>
      <w:r>
        <w:rPr>
          <w:rFonts w:hint="eastAsia" w:ascii="仿宋" w:hAnsi="仿宋" w:cs="仿宋"/>
          <w:sz w:val="24"/>
          <w:szCs w:val="24"/>
          <w:highlight w:val="none"/>
        </w:rPr>
        <w:t>年</w:t>
      </w:r>
      <w:r>
        <w:rPr>
          <w:rFonts w:hint="eastAsia" w:ascii="仿宋" w:hAnsi="仿宋" w:cs="仿宋"/>
          <w:sz w:val="24"/>
          <w:szCs w:val="24"/>
          <w:highlight w:val="none"/>
          <w:u w:val="single"/>
        </w:rPr>
        <w:t xml:space="preserve">   </w:t>
      </w:r>
      <w:r>
        <w:rPr>
          <w:rFonts w:hint="eastAsia" w:ascii="仿宋" w:hAnsi="仿宋" w:cs="仿宋"/>
          <w:sz w:val="24"/>
          <w:szCs w:val="24"/>
          <w:highlight w:val="none"/>
        </w:rPr>
        <w:t>月</w:t>
      </w:r>
      <w:r>
        <w:rPr>
          <w:rFonts w:hint="eastAsia" w:ascii="仿宋" w:hAnsi="仿宋" w:cs="仿宋"/>
          <w:sz w:val="24"/>
          <w:szCs w:val="24"/>
          <w:highlight w:val="none"/>
          <w:u w:val="single"/>
        </w:rPr>
        <w:t xml:space="preserve">   </w:t>
      </w:r>
      <w:r>
        <w:rPr>
          <w:rFonts w:hint="eastAsia" w:ascii="仿宋" w:hAnsi="仿宋" w:cs="仿宋"/>
          <w:sz w:val="24"/>
          <w:szCs w:val="24"/>
          <w:highlight w:val="none"/>
        </w:rPr>
        <w:t>日</w:t>
      </w:r>
    </w:p>
    <w:p w14:paraId="668097D6">
      <w:pPr>
        <w:pStyle w:val="4"/>
        <w:keepNext w:val="0"/>
        <w:keepLines w:val="0"/>
        <w:pageBreakBefore w:val="0"/>
        <w:kinsoku/>
        <w:wordWrap w:val="0"/>
        <w:overflowPunct/>
        <w:topLinePunct w:val="0"/>
        <w:bidi w:val="0"/>
        <w:spacing w:before="353" w:line="360" w:lineRule="auto"/>
        <w:jc w:val="center"/>
        <w:rPr>
          <w:spacing w:val="-5"/>
          <w:sz w:val="36"/>
          <w:szCs w:val="36"/>
          <w14:textOutline w14:w="2306" w14:cap="flat" w14:cmpd="sng">
            <w14:solidFill>
              <w14:srgbClr w14:val="000000"/>
            </w14:solidFill>
            <w14:prstDash w14:val="solid"/>
            <w14:miter w14:val="0"/>
          </w14:textOutline>
        </w:rPr>
      </w:pPr>
    </w:p>
    <w:p w14:paraId="5BD8FF50">
      <w:pPr>
        <w:pStyle w:val="4"/>
        <w:keepNext w:val="0"/>
        <w:keepLines w:val="0"/>
        <w:pageBreakBefore w:val="0"/>
        <w:kinsoku/>
        <w:wordWrap w:val="0"/>
        <w:overflowPunct/>
        <w:topLinePunct w:val="0"/>
        <w:bidi w:val="0"/>
        <w:spacing w:before="353" w:line="360" w:lineRule="auto"/>
        <w:jc w:val="center"/>
        <w:rPr>
          <w:spacing w:val="-5"/>
          <w:sz w:val="36"/>
          <w:szCs w:val="36"/>
          <w14:textOutline w14:w="2306" w14:cap="flat" w14:cmpd="sng">
            <w14:solidFill>
              <w14:srgbClr w14:val="000000"/>
            </w14:solidFill>
            <w14:prstDash w14:val="solid"/>
            <w14:miter w14:val="0"/>
          </w14:textOutline>
        </w:rPr>
      </w:pPr>
    </w:p>
    <w:p w14:paraId="2356C30F">
      <w:pPr>
        <w:pStyle w:val="4"/>
        <w:keepNext w:val="0"/>
        <w:keepLines w:val="0"/>
        <w:pageBreakBefore w:val="0"/>
        <w:kinsoku/>
        <w:wordWrap w:val="0"/>
        <w:overflowPunct/>
        <w:topLinePunct w:val="0"/>
        <w:bidi w:val="0"/>
        <w:spacing w:before="353" w:line="360" w:lineRule="auto"/>
        <w:jc w:val="center"/>
        <w:rPr>
          <w:spacing w:val="-5"/>
          <w:sz w:val="36"/>
          <w:szCs w:val="36"/>
          <w14:textOutline w14:w="2306" w14:cap="flat" w14:cmpd="sng">
            <w14:solidFill>
              <w14:srgbClr w14:val="000000"/>
            </w14:solidFill>
            <w14:prstDash w14:val="solid"/>
            <w14:miter w14:val="0"/>
          </w14:textOutline>
        </w:rPr>
      </w:pPr>
    </w:p>
    <w:p w14:paraId="695E0D91">
      <w:pPr>
        <w:pStyle w:val="4"/>
        <w:keepNext w:val="0"/>
        <w:keepLines w:val="0"/>
        <w:pageBreakBefore w:val="0"/>
        <w:kinsoku/>
        <w:wordWrap w:val="0"/>
        <w:overflowPunct/>
        <w:topLinePunct w:val="0"/>
        <w:bidi w:val="0"/>
        <w:spacing w:before="353" w:line="360" w:lineRule="auto"/>
        <w:jc w:val="center"/>
        <w:rPr>
          <w:spacing w:val="-5"/>
          <w:sz w:val="36"/>
          <w:szCs w:val="36"/>
          <w14:textOutline w14:w="2306" w14:cap="flat" w14:cmpd="sng">
            <w14:solidFill>
              <w14:srgbClr w14:val="000000"/>
            </w14:solidFill>
            <w14:prstDash w14:val="solid"/>
            <w14:miter w14:val="0"/>
          </w14:textOutline>
        </w:rPr>
      </w:pPr>
    </w:p>
    <w:p w14:paraId="232AC089">
      <w:pPr>
        <w:pStyle w:val="4"/>
        <w:keepNext w:val="0"/>
        <w:keepLines w:val="0"/>
        <w:pageBreakBefore w:val="0"/>
        <w:kinsoku/>
        <w:wordWrap w:val="0"/>
        <w:overflowPunct/>
        <w:topLinePunct w:val="0"/>
        <w:bidi w:val="0"/>
        <w:spacing w:before="353" w:line="360" w:lineRule="auto"/>
        <w:jc w:val="center"/>
        <w:rPr>
          <w:spacing w:val="-5"/>
          <w:sz w:val="36"/>
          <w:szCs w:val="36"/>
          <w14:textOutline w14:w="2306" w14:cap="flat" w14:cmpd="sng">
            <w14:solidFill>
              <w14:srgbClr w14:val="000000"/>
            </w14:solidFill>
            <w14:prstDash w14:val="solid"/>
            <w14:miter w14:val="0"/>
          </w14:textOutline>
        </w:rPr>
      </w:pPr>
    </w:p>
    <w:p w14:paraId="1C3FE3AC">
      <w:pPr>
        <w:pStyle w:val="4"/>
        <w:keepNext w:val="0"/>
        <w:keepLines w:val="0"/>
        <w:pageBreakBefore w:val="0"/>
        <w:kinsoku/>
        <w:wordWrap w:val="0"/>
        <w:overflowPunct/>
        <w:topLinePunct w:val="0"/>
        <w:bidi w:val="0"/>
        <w:spacing w:before="353" w:line="360" w:lineRule="auto"/>
        <w:jc w:val="center"/>
        <w:rPr>
          <w:spacing w:val="-5"/>
          <w:sz w:val="36"/>
          <w:szCs w:val="36"/>
          <w14:textOutline w14:w="2306" w14:cap="flat" w14:cmpd="sng">
            <w14:solidFill>
              <w14:srgbClr w14:val="000000"/>
            </w14:solidFill>
            <w14:prstDash w14:val="solid"/>
            <w14:miter w14:val="0"/>
          </w14:textOutline>
        </w:rPr>
      </w:pPr>
    </w:p>
    <w:p w14:paraId="0952FF66">
      <w:pPr>
        <w:pStyle w:val="4"/>
        <w:keepNext w:val="0"/>
        <w:keepLines w:val="0"/>
        <w:pageBreakBefore w:val="0"/>
        <w:kinsoku/>
        <w:wordWrap w:val="0"/>
        <w:overflowPunct/>
        <w:topLinePunct w:val="0"/>
        <w:bidi w:val="0"/>
        <w:spacing w:before="353" w:line="360" w:lineRule="auto"/>
        <w:jc w:val="center"/>
        <w:rPr>
          <w:spacing w:val="-5"/>
          <w:sz w:val="36"/>
          <w:szCs w:val="36"/>
          <w14:textOutline w14:w="2306" w14:cap="flat" w14:cmpd="sng">
            <w14:solidFill>
              <w14:srgbClr w14:val="000000"/>
            </w14:solidFill>
            <w14:prstDash w14:val="solid"/>
            <w14:miter w14:val="0"/>
          </w14:textOutline>
        </w:rPr>
      </w:pPr>
    </w:p>
    <w:p w14:paraId="716640F4">
      <w:pPr>
        <w:pStyle w:val="4"/>
        <w:keepNext w:val="0"/>
        <w:keepLines w:val="0"/>
        <w:pageBreakBefore w:val="0"/>
        <w:kinsoku/>
        <w:wordWrap w:val="0"/>
        <w:overflowPunct/>
        <w:topLinePunct w:val="0"/>
        <w:bidi w:val="0"/>
        <w:spacing w:before="353" w:line="360" w:lineRule="auto"/>
        <w:jc w:val="center"/>
        <w:rPr>
          <w:spacing w:val="-5"/>
          <w:sz w:val="36"/>
          <w:szCs w:val="36"/>
          <w14:textOutline w14:w="2306" w14:cap="flat" w14:cmpd="sng">
            <w14:solidFill>
              <w14:srgbClr w14:val="000000"/>
            </w14:solidFill>
            <w14:prstDash w14:val="solid"/>
            <w14:miter w14:val="0"/>
          </w14:textOutline>
        </w:rPr>
      </w:pPr>
    </w:p>
    <w:p w14:paraId="3FF39AF0">
      <w:pPr>
        <w:pStyle w:val="4"/>
        <w:keepNext w:val="0"/>
        <w:keepLines w:val="0"/>
        <w:pageBreakBefore w:val="0"/>
        <w:kinsoku/>
        <w:wordWrap w:val="0"/>
        <w:overflowPunct/>
        <w:topLinePunct w:val="0"/>
        <w:bidi w:val="0"/>
        <w:spacing w:before="353" w:line="360" w:lineRule="auto"/>
        <w:jc w:val="center"/>
        <w:rPr>
          <w:spacing w:val="-5"/>
          <w:sz w:val="36"/>
          <w:szCs w:val="36"/>
          <w14:textOutline w14:w="2306" w14:cap="flat" w14:cmpd="sng">
            <w14:solidFill>
              <w14:srgbClr w14:val="000000"/>
            </w14:solidFill>
            <w14:prstDash w14:val="solid"/>
            <w14:miter w14:val="0"/>
          </w14:textOutline>
        </w:rPr>
      </w:pPr>
    </w:p>
    <w:p w14:paraId="43973C0F">
      <w:pPr>
        <w:pStyle w:val="4"/>
        <w:keepNext w:val="0"/>
        <w:keepLines w:val="0"/>
        <w:pageBreakBefore w:val="0"/>
        <w:kinsoku/>
        <w:wordWrap w:val="0"/>
        <w:overflowPunct/>
        <w:topLinePunct w:val="0"/>
        <w:bidi w:val="0"/>
        <w:spacing w:before="353" w:line="360" w:lineRule="auto"/>
        <w:jc w:val="center"/>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31EA0D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526FBCD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1C98CF3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33F063F5">
      <w:pPr>
        <w:keepNext w:val="0"/>
        <w:keepLines w:val="0"/>
        <w:pageBreakBefore w:val="0"/>
        <w:kinsoku/>
        <w:wordWrap w:val="0"/>
        <w:overflowPunct/>
        <w:topLinePunct w:val="0"/>
        <w:bidi w:val="0"/>
        <w:spacing w:line="219" w:lineRule="auto"/>
        <w:jc w:val="both"/>
        <w:rPr>
          <w:sz w:val="24"/>
          <w:szCs w:val="24"/>
        </w:rPr>
        <w:sectPr>
          <w:headerReference r:id="rId6" w:type="default"/>
          <w:footerReference r:id="rId7" w:type="default"/>
          <w:pgSz w:w="11907" w:h="16840"/>
          <w:pgMar w:top="1440" w:right="1800" w:bottom="1440" w:left="1800" w:header="878" w:footer="886" w:gutter="0"/>
          <w:pgNumType w:fmt="decimal"/>
          <w:cols w:space="720" w:num="1"/>
        </w:sectPr>
      </w:pPr>
    </w:p>
    <w:p w14:paraId="14BEB9C0">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14:paraId="777D2AF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B1EBDE1">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14:paraId="2BACF40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6CAA66D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52800FE6">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7CA7187D">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3A3329C0">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14F5144A">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26E91EC8">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2DABCF8A">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5073388E">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0A5BF2F0">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A4FEE7B">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4E741244">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644CD21C">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625FD5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664FF7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F99B2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7F723D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35FBC35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08758950">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14:paraId="4945A3A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5D07DC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03874E0A">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3B920EC5">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5BB1378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795C474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DF53C89">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14506FB3">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31B4B0B0">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0B19F5C6">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3A94362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544558A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089DEAB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E7E9DE5">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66F404F">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7DF3E7D3">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AE4C76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p>
    <w:p w14:paraId="31B5ED64">
      <w:pPr>
        <w:keepNext w:val="0"/>
        <w:keepLines w:val="0"/>
        <w:pageBreakBefore w:val="0"/>
        <w:numPr>
          <w:ilvl w:val="0"/>
          <w:numId w:val="1"/>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14:paraId="46A0D72B">
      <w:pPr>
        <w:keepNext w:val="0"/>
        <w:keepLines w:val="0"/>
        <w:pageBreakBefore w:val="0"/>
        <w:numPr>
          <w:ilvl w:val="0"/>
          <w:numId w:val="0"/>
        </w:numPr>
        <w:kinsoku/>
        <w:wordWrap w:val="0"/>
        <w:overflowPunct/>
        <w:topLinePunct w:val="0"/>
        <w:bidi w:val="0"/>
        <w:snapToGrid w:val="0"/>
        <w:spacing w:line="360" w:lineRule="auto"/>
        <w:jc w:val="both"/>
        <w:rPr>
          <w:rFonts w:hint="default"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报价型：</w:t>
      </w:r>
    </w:p>
    <w:tbl>
      <w:tblPr>
        <w:tblStyle w:val="12"/>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272E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AD7B5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A9248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7BBF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A7C83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D89966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0C17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2AFF8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5E4E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0B0B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C82D5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EFC0D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2425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D5514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83BD3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26B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8F01F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DD47A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C07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CECD69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71F47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83EB6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25B7C7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14:paraId="7EFA258A">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7B860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853E2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E91C6B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D4F3F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8C0E9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6588F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CD605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F5A6A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5A215D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34BF847">
      <w:pPr>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w:t>
      </w:r>
    </w:p>
    <w:p w14:paraId="0D58613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中没有重大违法记录的声明等；</w:t>
      </w:r>
    </w:p>
    <w:p w14:paraId="40286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76C3FE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4BF90E5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37C49E8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3F2020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5354A2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05ADE6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02D9AF3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687878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F69D9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1271E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43600AA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0560FB9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E3127F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F5757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62F34F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4D2C425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C5FD3E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2312F1F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6FB468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43943C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5B655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D66918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957D32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五、商务偏差表、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服务计划、管理实施方案、突发事件应急预案、服务质量承诺等</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2D6F2581">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bCs/>
          <w:sz w:val="24"/>
          <w:szCs w:val="24"/>
          <w:lang w:val="en-US" w:eastAsia="zh-CN"/>
        </w:rPr>
      </w:pPr>
    </w:p>
    <w:p w14:paraId="1C9CD7D1">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商务偏差表</w:t>
      </w:r>
    </w:p>
    <w:p w14:paraId="45FF50FF">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71CE8D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47A4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32B342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49CD33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7B8A9D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1F0407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p>
          <w:p w14:paraId="11A2A9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04AE66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95384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7B79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DFE77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36559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1FDCD6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CB2694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84859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DB1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F41CF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6EFC1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EB0C0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9A730E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9D96B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8F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BDD7EA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EA55FB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B6F441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18010F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8809C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765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B7B605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EB2909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6FBCD1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608AD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A3C6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CB0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77501A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6BD4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E48398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F0C61B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914F3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4C9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71E07A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7037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92333F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3570F6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09A7B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EC9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B7B60A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CE535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8066AD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FF86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A1C2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9A3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CEADA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FFF707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A518E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D2F211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74D00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6C7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A93299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3CFF29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21041C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F49699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B67F01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36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D86702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839BA0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55F7B6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421A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8C7C88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A5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C3C48E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B8D90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8F7D8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FFCD37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2D9B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2251F3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14:paraId="4302659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0B4AF34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5FDCAF07">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rPr>
        <w:sectPr>
          <w:headerReference r:id="rId10" w:type="default"/>
          <w:footerReference r:id="rId11" w:type="default"/>
          <w:pgSz w:w="11907" w:h="16840"/>
          <w:pgMar w:top="1440" w:right="1800" w:bottom="1440" w:left="1800" w:header="851" w:footer="992" w:gutter="0"/>
          <w:pgNumType w:fmt="decimal"/>
          <w:cols w:space="720" w:num="1"/>
          <w:docGrid w:linePitch="332" w:charSpace="0"/>
        </w:sectPr>
      </w:pPr>
    </w:p>
    <w:p w14:paraId="461A2EE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455212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4F0258B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68495E69">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09F420D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F7D3B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49CCB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1EBBE02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FDF072F">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5F0611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2E5753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6044BBE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4FFF886D">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1D8763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33F8319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19CFBC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8E0B89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3B31D6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F2AECD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2E346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D77918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3D97E2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954B2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2F8AB8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1C6DF8F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中小企业声明函格式</w:t>
      </w:r>
    </w:p>
    <w:p w14:paraId="79C64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2A75FA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5BCFE7E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06222F3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55962B0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7E6830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DAE40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2B3C918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2E38D4B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26B128C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3BF7AB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0AF9C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B629FB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27A5F04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ECA1A0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53CA346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78DEB82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350AA0A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917D04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28E975D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5706E42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72F2DA4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D9A16F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5B096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F79CE7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7CF7F262">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D9DE1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3FE590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AFA1A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DA09B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72A21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438B09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DA391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683F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308883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DDF37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9FA59C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A115FC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6902F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BA8F2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315648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013994C4">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372D3C4B">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235E624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9B536D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01559D7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6F941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067C36E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第四</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22D8B8D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48D5AC7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542675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07D5D1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0119565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4DB0AC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5DDCCC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5B038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107CC98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t>南阳市政府采购供应商信用承诺函（格式）</w:t>
      </w:r>
    </w:p>
    <w:p w14:paraId="6BDA46CD">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7AA3E20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5C742E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C90B2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6E75141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7202756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582F683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044D20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06C7040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57C7D4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4179D48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421B4B6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9818A8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6113810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AACB1C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4E04D9AF">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4D172254">
      <w:pPr>
        <w:keepNext w:val="0"/>
        <w:keepLines w:val="0"/>
        <w:pageBreakBefore w:val="0"/>
        <w:widowControl w:val="0"/>
        <w:kinsoku/>
        <w:wordWrap w:val="0"/>
        <w:overflowPunct/>
        <w:topLinePunct w:val="0"/>
        <w:autoSpaceDE w:val="0"/>
        <w:autoSpaceDN w:val="0"/>
        <w:bidi w:val="0"/>
        <w:adjustRightInd w:val="0"/>
        <w:spacing w:line="360" w:lineRule="auto"/>
        <w:ind w:firstLine="3360" w:firstLineChars="14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2EC8A55B">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BC3AF8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6B340DA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FEBDFF7">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559B9B0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sectPr>
      <w:headerReference r:id="rId12" w:type="default"/>
      <w:footerReference r:id="rId13"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F0A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C1EB0">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7DC1EB0">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06418">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02306418">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862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8C0B7">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B18C0B7">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D47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A0EC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EEA0EC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1FD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430A0">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96430A0">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C714">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ED05">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D3EB">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E408">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2531">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1051937"/>
    <w:rsid w:val="02980B47"/>
    <w:rsid w:val="0304627B"/>
    <w:rsid w:val="0360615B"/>
    <w:rsid w:val="03F005BF"/>
    <w:rsid w:val="049308F0"/>
    <w:rsid w:val="05661D67"/>
    <w:rsid w:val="05C82C12"/>
    <w:rsid w:val="064B2778"/>
    <w:rsid w:val="06731CDB"/>
    <w:rsid w:val="0695769C"/>
    <w:rsid w:val="069D365E"/>
    <w:rsid w:val="06BD7DF4"/>
    <w:rsid w:val="070A796A"/>
    <w:rsid w:val="08743EB7"/>
    <w:rsid w:val="08896F10"/>
    <w:rsid w:val="08DF64FD"/>
    <w:rsid w:val="095962AF"/>
    <w:rsid w:val="09A960A9"/>
    <w:rsid w:val="0A2175C7"/>
    <w:rsid w:val="0A4E3858"/>
    <w:rsid w:val="0A530F50"/>
    <w:rsid w:val="0ADC6029"/>
    <w:rsid w:val="0C272EF4"/>
    <w:rsid w:val="0C450913"/>
    <w:rsid w:val="0CF167FE"/>
    <w:rsid w:val="0E3E7CBD"/>
    <w:rsid w:val="0EE83C0B"/>
    <w:rsid w:val="0F130CAE"/>
    <w:rsid w:val="0FF95996"/>
    <w:rsid w:val="0FFF7484"/>
    <w:rsid w:val="10832DEB"/>
    <w:rsid w:val="10FB726C"/>
    <w:rsid w:val="11E54B27"/>
    <w:rsid w:val="11F10D0E"/>
    <w:rsid w:val="13504EE3"/>
    <w:rsid w:val="139B157A"/>
    <w:rsid w:val="13D318D3"/>
    <w:rsid w:val="14184102"/>
    <w:rsid w:val="146A4EE4"/>
    <w:rsid w:val="147A2410"/>
    <w:rsid w:val="14B05372"/>
    <w:rsid w:val="156F62EF"/>
    <w:rsid w:val="15C27640"/>
    <w:rsid w:val="16655340"/>
    <w:rsid w:val="16882EF5"/>
    <w:rsid w:val="16FD3ABE"/>
    <w:rsid w:val="172F0E42"/>
    <w:rsid w:val="196A0814"/>
    <w:rsid w:val="19900DBC"/>
    <w:rsid w:val="19CC319E"/>
    <w:rsid w:val="1BFF6021"/>
    <w:rsid w:val="1C587110"/>
    <w:rsid w:val="1CC05665"/>
    <w:rsid w:val="1D7F2147"/>
    <w:rsid w:val="1D996CC8"/>
    <w:rsid w:val="1DA01659"/>
    <w:rsid w:val="1E6454A8"/>
    <w:rsid w:val="1EE91A2B"/>
    <w:rsid w:val="1FCD677B"/>
    <w:rsid w:val="1FCF1E87"/>
    <w:rsid w:val="208E4164"/>
    <w:rsid w:val="21A07893"/>
    <w:rsid w:val="23554AEF"/>
    <w:rsid w:val="23645F64"/>
    <w:rsid w:val="23F5677C"/>
    <w:rsid w:val="23FB5E39"/>
    <w:rsid w:val="243C3056"/>
    <w:rsid w:val="244A2A1D"/>
    <w:rsid w:val="2564491D"/>
    <w:rsid w:val="25B373D6"/>
    <w:rsid w:val="25B83A87"/>
    <w:rsid w:val="266463E7"/>
    <w:rsid w:val="26E9311B"/>
    <w:rsid w:val="28032F0B"/>
    <w:rsid w:val="2A3D0E7D"/>
    <w:rsid w:val="2A924A38"/>
    <w:rsid w:val="2AE32E31"/>
    <w:rsid w:val="2AF0159F"/>
    <w:rsid w:val="2C1D1848"/>
    <w:rsid w:val="2CD208B5"/>
    <w:rsid w:val="2DFD3F93"/>
    <w:rsid w:val="2E6C7ED8"/>
    <w:rsid w:val="2EA57FA1"/>
    <w:rsid w:val="2EF243BC"/>
    <w:rsid w:val="2FE73FD2"/>
    <w:rsid w:val="30EF0857"/>
    <w:rsid w:val="3108495D"/>
    <w:rsid w:val="3140197F"/>
    <w:rsid w:val="31E05F1C"/>
    <w:rsid w:val="320C16C0"/>
    <w:rsid w:val="32672625"/>
    <w:rsid w:val="32831B16"/>
    <w:rsid w:val="32F6583E"/>
    <w:rsid w:val="333A48FA"/>
    <w:rsid w:val="334A1323"/>
    <w:rsid w:val="33D92F7A"/>
    <w:rsid w:val="34B2130C"/>
    <w:rsid w:val="350E12EA"/>
    <w:rsid w:val="354173ED"/>
    <w:rsid w:val="35992C99"/>
    <w:rsid w:val="360F3354"/>
    <w:rsid w:val="37BD0585"/>
    <w:rsid w:val="37CA6352"/>
    <w:rsid w:val="38533A18"/>
    <w:rsid w:val="396226AE"/>
    <w:rsid w:val="3AB900AC"/>
    <w:rsid w:val="3B223EA3"/>
    <w:rsid w:val="3B464CF9"/>
    <w:rsid w:val="3BAF7174"/>
    <w:rsid w:val="3D660BE0"/>
    <w:rsid w:val="3EB41E07"/>
    <w:rsid w:val="3FB65E68"/>
    <w:rsid w:val="4000420D"/>
    <w:rsid w:val="40286DE6"/>
    <w:rsid w:val="41F66AB4"/>
    <w:rsid w:val="43D372D6"/>
    <w:rsid w:val="44B74AB0"/>
    <w:rsid w:val="44C27AD5"/>
    <w:rsid w:val="45300AE7"/>
    <w:rsid w:val="463F4C16"/>
    <w:rsid w:val="46832AB5"/>
    <w:rsid w:val="46942B8F"/>
    <w:rsid w:val="48E44F93"/>
    <w:rsid w:val="498A3D49"/>
    <w:rsid w:val="4BBB7B8C"/>
    <w:rsid w:val="4CB97E79"/>
    <w:rsid w:val="4CBA2C7D"/>
    <w:rsid w:val="4CCC11CB"/>
    <w:rsid w:val="4E5C03B2"/>
    <w:rsid w:val="4FA36E2B"/>
    <w:rsid w:val="50CD1D3A"/>
    <w:rsid w:val="50DF62FA"/>
    <w:rsid w:val="5187323C"/>
    <w:rsid w:val="51A80301"/>
    <w:rsid w:val="538452A3"/>
    <w:rsid w:val="554A067A"/>
    <w:rsid w:val="562B2D19"/>
    <w:rsid w:val="566F2249"/>
    <w:rsid w:val="571C70F4"/>
    <w:rsid w:val="578C1E3F"/>
    <w:rsid w:val="58122B18"/>
    <w:rsid w:val="582157B7"/>
    <w:rsid w:val="583737A8"/>
    <w:rsid w:val="59791FCF"/>
    <w:rsid w:val="59C70462"/>
    <w:rsid w:val="5AC4520F"/>
    <w:rsid w:val="5B942EAB"/>
    <w:rsid w:val="5BFB1656"/>
    <w:rsid w:val="5C805C3A"/>
    <w:rsid w:val="5CED210B"/>
    <w:rsid w:val="5DD33159"/>
    <w:rsid w:val="5E401EE1"/>
    <w:rsid w:val="5E862024"/>
    <w:rsid w:val="5FE54AEF"/>
    <w:rsid w:val="5FE62E42"/>
    <w:rsid w:val="604F0C94"/>
    <w:rsid w:val="60811390"/>
    <w:rsid w:val="60E905BC"/>
    <w:rsid w:val="611B3C55"/>
    <w:rsid w:val="611C486A"/>
    <w:rsid w:val="612C3317"/>
    <w:rsid w:val="613320B7"/>
    <w:rsid w:val="61E25024"/>
    <w:rsid w:val="64B4350F"/>
    <w:rsid w:val="64C17C5F"/>
    <w:rsid w:val="64E32222"/>
    <w:rsid w:val="660C0310"/>
    <w:rsid w:val="67227F7A"/>
    <w:rsid w:val="674A54CB"/>
    <w:rsid w:val="68740EAF"/>
    <w:rsid w:val="691A37DC"/>
    <w:rsid w:val="695F7E2D"/>
    <w:rsid w:val="69A11D0C"/>
    <w:rsid w:val="6A443604"/>
    <w:rsid w:val="6ACC2E0B"/>
    <w:rsid w:val="6B6B37C9"/>
    <w:rsid w:val="6B9F656F"/>
    <w:rsid w:val="6D277D06"/>
    <w:rsid w:val="6DAF0580"/>
    <w:rsid w:val="6DD02520"/>
    <w:rsid w:val="6DE17F47"/>
    <w:rsid w:val="6E1128F7"/>
    <w:rsid w:val="6E6B7F83"/>
    <w:rsid w:val="6EB06614"/>
    <w:rsid w:val="6EE2110B"/>
    <w:rsid w:val="702B18A8"/>
    <w:rsid w:val="70411D13"/>
    <w:rsid w:val="718B602C"/>
    <w:rsid w:val="7222612A"/>
    <w:rsid w:val="727D45B0"/>
    <w:rsid w:val="727F5D14"/>
    <w:rsid w:val="72D55BBA"/>
    <w:rsid w:val="74143D3D"/>
    <w:rsid w:val="7571756C"/>
    <w:rsid w:val="75EA0EAB"/>
    <w:rsid w:val="76102BC1"/>
    <w:rsid w:val="768D73E4"/>
    <w:rsid w:val="778B45A3"/>
    <w:rsid w:val="77AC443F"/>
    <w:rsid w:val="786749F3"/>
    <w:rsid w:val="78F607B2"/>
    <w:rsid w:val="79A15AC2"/>
    <w:rsid w:val="7BC65611"/>
    <w:rsid w:val="7C2C76E7"/>
    <w:rsid w:val="7DAB21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rFonts w:ascii="宋体" w:hAnsi="宋体" w:eastAsia="宋体" w:cs="宋体"/>
      <w:sz w:val="31"/>
      <w:szCs w:val="31"/>
      <w:lang w:val="en-US" w:eastAsia="en-US" w:bidi="ar-SA"/>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style>
  <w:style w:type="paragraph" w:styleId="7">
    <w:name w:val="Plain Text"/>
    <w:basedOn w:val="1"/>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1">
    <w:name w:val="Body Text First Indent 2"/>
    <w:basedOn w:val="5"/>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paragraph" w:customStyle="1" w:styleId="1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6">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Arial" w:hAnsi="Arial" w:eastAsia="Arial" w:cs="Arial"/>
      <w:sz w:val="21"/>
      <w:szCs w:val="21"/>
      <w:lang w:val="en-US" w:eastAsia="en-US" w:bidi="ar-SA"/>
    </w:rPr>
  </w:style>
  <w:style w:type="paragraph" w:customStyle="1" w:styleId="19">
    <w:name w:val="列出段落1"/>
    <w:basedOn w:val="1"/>
    <w:autoRedefine/>
    <w:qFormat/>
    <w:uiPriority w:val="0"/>
    <w:pPr>
      <w:ind w:firstLine="420" w:firstLineChars="200"/>
    </w:pPr>
    <w:rPr>
      <w:szCs w:val="21"/>
    </w:rPr>
  </w:style>
  <w:style w:type="paragraph" w:customStyle="1" w:styleId="20">
    <w:name w:val="unnamed1"/>
    <w:basedOn w:val="1"/>
    <w:qFormat/>
    <w:uiPriority w:val="0"/>
    <w:pPr>
      <w:widowControl/>
      <w:spacing w:before="100" w:beforeAutospacing="1" w:after="100" w:afterAutospacing="1" w:line="360" w:lineRule="auto"/>
      <w:jc w:val="left"/>
    </w:pPr>
    <w:rPr>
      <w:rFonts w:ascii="宋体" w:hAnsi="宋体" w:cs="宋体"/>
      <w:color w:val="008888"/>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12021</Words>
  <Characters>12802</Characters>
  <TotalTime>84</TotalTime>
  <ScaleCrop>false</ScaleCrop>
  <LinksUpToDate>false</LinksUpToDate>
  <CharactersWithSpaces>13112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JJoey</cp:lastModifiedBy>
  <dcterms:modified xsi:type="dcterms:W3CDTF">2025-05-30T01:37:40Z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567448669B664C1590D680EEE6BFC248_13</vt:lpwstr>
  </property>
  <property fmtid="{D5CDD505-2E9C-101B-9397-08002B2CF9AE}" pid="6" name="KSOTemplateDocerSaveRecord">
    <vt:lpwstr>eyJoZGlkIjoiYTUyM2UwYjBmYzc3YmM3ZjI1ODg2NTk3ZGJhZGNiNGIiLCJ1c2VySWQiOiI0MTY3MTE2MDgifQ==</vt:lpwstr>
  </property>
</Properties>
</file>