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79AB0">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pPr>
    </w:p>
    <w:p w14:paraId="5AFA584B">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t>南阳市</w:t>
      </w:r>
      <w:r>
        <w:rPr>
          <w:rFonts w:hint="eastAsia" w:asciiTheme="minorEastAsia" w:hAnsiTheme="minorEastAsia" w:eastAsiaTheme="minorEastAsia" w:cstheme="minorEastAsia"/>
          <w:spacing w:val="-2"/>
          <w:sz w:val="52"/>
          <w:szCs w:val="52"/>
          <w14:textOutline w14:w="3844" w14:cap="flat" w14:cmpd="sng">
            <w14:solidFill>
              <w14:srgbClr w14:val="000000"/>
            </w14:solidFill>
            <w14:prstDash w14:val="solid"/>
            <w14:miter w14:val="0"/>
          </w14:textOutline>
        </w:rPr>
        <w:t>政府采购项目</w:t>
      </w:r>
    </w:p>
    <w:p w14:paraId="3E529F12">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z w:val="60"/>
          <w:szCs w:val="60"/>
        </w:rPr>
      </w:pPr>
      <w:r>
        <w:rPr>
          <w:rFonts w:hint="eastAsia" w:asciiTheme="minorEastAsia" w:hAnsiTheme="minorEastAsia" w:eastAsiaTheme="minorEastAsia" w:cstheme="minorEastAsia"/>
          <w:spacing w:val="-3"/>
          <w:sz w:val="52"/>
          <w:szCs w:val="52"/>
          <w14:textOutline w14:w="3844" w14:cap="flat" w14:cmpd="sng">
            <w14:solidFill>
              <w14:srgbClr w14:val="000000"/>
            </w14:solidFill>
            <w14:prstDash w14:val="solid"/>
            <w14:miter w14:val="0"/>
          </w14:textOutline>
        </w:rPr>
        <w:t>公开招标文件</w:t>
      </w:r>
    </w:p>
    <w:p w14:paraId="5658ECEB">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14:paraId="1A220063">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14:paraId="4D3CE53A">
      <w:pPr>
        <w:keepNext w:val="0"/>
        <w:keepLines w:val="0"/>
        <w:pageBreakBefore w:val="0"/>
        <w:kinsoku/>
        <w:wordWrap w:val="0"/>
        <w:overflowPunct/>
        <w:topLinePunct w:val="0"/>
        <w:bidi w:val="0"/>
        <w:spacing w:line="317" w:lineRule="auto"/>
        <w:jc w:val="both"/>
        <w:rPr>
          <w:rFonts w:hint="eastAsia" w:asciiTheme="minorEastAsia" w:hAnsiTheme="minorEastAsia" w:eastAsiaTheme="minorEastAsia" w:cstheme="minorEastAsia"/>
          <w:sz w:val="21"/>
        </w:rPr>
      </w:pPr>
    </w:p>
    <w:p w14:paraId="7DBCE7AA">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14:paraId="7178EE1E">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14:paraId="3221BE23">
      <w:pPr>
        <w:keepNext w:val="0"/>
        <w:keepLines w:val="0"/>
        <w:pageBreakBefore w:val="0"/>
        <w:widowControl/>
        <w:kinsoku/>
        <w:wordWrap w:val="0"/>
        <w:overflowPunct/>
        <w:topLinePunct w:val="0"/>
        <w:autoSpaceDE w:val="0"/>
        <w:autoSpaceDN w:val="0"/>
        <w:bidi w:val="0"/>
        <w:adjustRightInd w:val="0"/>
        <w:snapToGrid w:val="0"/>
        <w:spacing w:line="360" w:lineRule="auto"/>
        <w:ind w:left="2713" w:leftChars="608" w:hanging="1436" w:hangingChars="5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南阳市第二中学校（七全校区）  </w:t>
      </w:r>
    </w:p>
    <w:p w14:paraId="195E410A">
      <w:pPr>
        <w:keepNext w:val="0"/>
        <w:keepLines w:val="0"/>
        <w:pageBreakBefore w:val="0"/>
        <w:widowControl/>
        <w:kinsoku/>
        <w:wordWrap w:val="0"/>
        <w:overflowPunct/>
        <w:topLinePunct w:val="0"/>
        <w:autoSpaceDE w:val="0"/>
        <w:autoSpaceDN w:val="0"/>
        <w:bidi w:val="0"/>
        <w:adjustRightInd w:val="0"/>
        <w:snapToGrid w:val="0"/>
        <w:spacing w:line="360" w:lineRule="auto"/>
        <w:ind w:firstLine="2873" w:firstLineChars="10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u w:val="single"/>
          <w:lang w:val="en-US" w:eastAsia="zh-CN"/>
        </w:rPr>
        <w:t xml:space="preserve">        物业保洁服务采购项目      </w:t>
      </w:r>
    </w:p>
    <w:p w14:paraId="30DE24F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南阳政采公开-2025-55         </w:t>
      </w:r>
    </w:p>
    <w:p w14:paraId="75B0633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 xml:space="preserve">       南阳政采公开-2025-55-1       </w:t>
      </w:r>
    </w:p>
    <w:p w14:paraId="61AE9646">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南阳市第二中学校         </w:t>
      </w:r>
    </w:p>
    <w:p w14:paraId="13E1BB00">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南阳市公共资源交易中心      </w:t>
      </w:r>
    </w:p>
    <w:p w14:paraId="2DB8D792">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p>
    <w:p w14:paraId="373144D1">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6FE88CBC">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7AAB1733">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2F979A17">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511735CE">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7FEE98A5">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14:paraId="10D1D07E">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14:paraId="61014415">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14:paraId="353A4BE7">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14:paraId="115B817A">
      <w:pPr>
        <w:pStyle w:val="9"/>
        <w:keepNext w:val="0"/>
        <w:keepLines w:val="0"/>
        <w:pageBreakBefore w:val="0"/>
        <w:kinsoku/>
        <w:wordWrap w:val="0"/>
        <w:overflowPunct/>
        <w:topLinePunct w:val="0"/>
        <w:bidi w:val="0"/>
        <w:spacing w:before="117" w:line="220" w:lineRule="auto"/>
        <w:jc w:val="center"/>
        <w:rPr>
          <w:rFonts w:hint="eastAsia" w:asciiTheme="minorEastAsia" w:hAnsiTheme="minorEastAsia" w:eastAsiaTheme="minorEastAsia" w:cstheme="minorEastAsia"/>
          <w:spacing w:val="-3"/>
          <w:sz w:val="44"/>
          <w:szCs w:val="44"/>
          <w14:textOutline w14:w="2306" w14:cap="flat" w14:cmpd="sng">
            <w14:solidFill>
              <w14:srgbClr w14:val="000000"/>
            </w14:solidFill>
            <w14:prstDash w14:val="solid"/>
            <w14:miter w14:val="0"/>
          </w14:textOutline>
        </w:rPr>
        <w:sectPr>
          <w:headerReference r:id="rId5" w:type="default"/>
          <w:footerReference r:id="rId6" w:type="default"/>
          <w:pgSz w:w="11907" w:h="16840"/>
          <w:pgMar w:top="1440" w:right="1800" w:bottom="1440" w:left="1800" w:header="878" w:footer="886" w:gutter="0"/>
          <w:pgNumType w:fmt="decimal"/>
          <w:cols w:space="720" w:num="1"/>
        </w:sect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14:paraId="1FF8CFC5">
          <w:pPr>
            <w:pStyle w:val="9"/>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14:paraId="224D1FEB">
          <w:pPr>
            <w:pStyle w:val="9"/>
            <w:keepNext w:val="0"/>
            <w:keepLines w:val="0"/>
            <w:pageBreakBefore w:val="0"/>
            <w:kinsoku/>
            <w:wordWrap w:val="0"/>
            <w:overflowPunct/>
            <w:topLinePunct w:val="0"/>
            <w:bidi w:val="0"/>
            <w:jc w:val="both"/>
            <w:rPr>
              <w:rFonts w:hint="eastAsia"/>
              <w:shd w:val="clear" w:color="FFFFFF" w:fill="D9D9D9"/>
            </w:rPr>
          </w:pPr>
        </w:p>
        <w:p w14:paraId="7A9E5EC9">
          <w:pPr>
            <w:pStyle w:val="9"/>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14:paraId="707473A6">
          <w:pPr>
            <w:pStyle w:val="9"/>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14:paraId="7084F7C7">
          <w:pPr>
            <w:pStyle w:val="9"/>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14:paraId="51FB7B7F">
          <w:pPr>
            <w:pStyle w:val="9"/>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14:paraId="391EDD26">
          <w:pPr>
            <w:pStyle w:val="9"/>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14:paraId="25AD4694">
          <w:pPr>
            <w:pStyle w:val="9"/>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14:paraId="7B750B7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26C7845">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42F6F32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76234B9">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DFD2439">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2108453A">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6FE648EB">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6165DDC7">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2EBC4041">
      <w:pPr>
        <w:pStyle w:val="9"/>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EA95C10">
      <w:pPr>
        <w:pStyle w:val="9"/>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891CEAA">
      <w:pPr>
        <w:pStyle w:val="9"/>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3A99F55">
      <w:pPr>
        <w:pStyle w:val="9"/>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D9DB140">
      <w:pPr>
        <w:pStyle w:val="9"/>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7730401">
      <w:pPr>
        <w:pStyle w:val="9"/>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05FAC6D">
      <w:pPr>
        <w:pStyle w:val="9"/>
        <w:keepNext w:val="0"/>
        <w:keepLines w:val="0"/>
        <w:pageBreakBefore w:val="0"/>
        <w:kinsoku/>
        <w:wordWrap w:val="0"/>
        <w:overflowPunct/>
        <w:topLinePunct w:val="0"/>
        <w:bidi w:val="0"/>
        <w:spacing w:before="353" w:line="360" w:lineRule="auto"/>
        <w:jc w:val="center"/>
        <w:rPr>
          <w:spacing w:val="-6"/>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14:paraId="33180B5D">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p>
    <w:p w14:paraId="4556D147">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14:paraId="192BAE39">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14:paraId="0DE717AC">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5"/>
          <w:sz w:val="24"/>
          <w:szCs w:val="24"/>
        </w:rPr>
        <w:t>1.项目编号：</w:t>
      </w:r>
      <w:r>
        <w:rPr>
          <w:rFonts w:hint="eastAsia" w:asciiTheme="minorEastAsia" w:hAnsiTheme="minorEastAsia" w:eastAsiaTheme="minorEastAsia" w:cstheme="minorEastAsia"/>
          <w:spacing w:val="-25"/>
          <w:sz w:val="24"/>
          <w:szCs w:val="24"/>
          <w:lang w:val="en-US" w:eastAsia="zh-CN"/>
        </w:rPr>
        <w:t>南阳政采公开-2025-55</w:t>
      </w:r>
    </w:p>
    <w:p w14:paraId="6F0B16E7">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2.项目名称：南阳市第二中学校（七全校区）物业保洁服务采购项目</w:t>
      </w:r>
    </w:p>
    <w:p w14:paraId="5F85FB78">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216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 216 </w:t>
      </w:r>
      <w:r>
        <w:rPr>
          <w:rFonts w:hint="eastAsia" w:asciiTheme="minorEastAsia" w:hAnsiTheme="minorEastAsia" w:eastAsiaTheme="minorEastAsia" w:cstheme="minorEastAsia"/>
          <w:spacing w:val="-14"/>
          <w:sz w:val="24"/>
          <w:szCs w:val="24"/>
        </w:rPr>
        <w:t>万元</w:t>
      </w:r>
    </w:p>
    <w:p w14:paraId="71995EA0">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26"/>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0AE7F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3562FDFF">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14:paraId="20404620">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14:paraId="161A81BF">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14:paraId="5A4ED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center"/>
          </w:tcPr>
          <w:p w14:paraId="1E5DE6CE">
            <w:pPr>
              <w:pStyle w:val="2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南阳政采公开-2025-55-</w:t>
            </w:r>
            <w:r>
              <w:rPr>
                <w:rFonts w:hint="eastAsia" w:asciiTheme="minorEastAsia" w:hAnsiTheme="minorEastAsia" w:eastAsiaTheme="minorEastAsia" w:cstheme="minorEastAsia"/>
                <w:spacing w:val="14"/>
                <w:sz w:val="24"/>
                <w:szCs w:val="24"/>
              </w:rPr>
              <w:t>1</w:t>
            </w:r>
          </w:p>
        </w:tc>
        <w:tc>
          <w:tcPr>
            <w:tcW w:w="4215" w:type="dxa"/>
            <w:vAlign w:val="center"/>
          </w:tcPr>
          <w:p w14:paraId="6B571240">
            <w:pPr>
              <w:pStyle w:val="2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南阳市第二中学校（七全校区）物业保洁服务采购项目</w:t>
            </w:r>
          </w:p>
        </w:tc>
        <w:tc>
          <w:tcPr>
            <w:tcW w:w="2321" w:type="dxa"/>
            <w:vAlign w:val="center"/>
          </w:tcPr>
          <w:p w14:paraId="29A25DDD">
            <w:pPr>
              <w:pStyle w:val="2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2160000</w:t>
            </w:r>
          </w:p>
        </w:tc>
      </w:tr>
    </w:tbl>
    <w:p w14:paraId="3AD1BC0E">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5.服务要求</w:t>
      </w:r>
    </w:p>
    <w:p w14:paraId="2C7D9044">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380" w:firstLineChars="200"/>
        <w:jc w:val="both"/>
        <w:textAlignment w:val="baseline"/>
        <w:rPr>
          <w:rFonts w:hint="default" w:asciiTheme="minorEastAsia" w:hAnsiTheme="minorEastAsia" w:eastAsiaTheme="minorEastAsia" w:cstheme="minorEastAsia"/>
          <w:spacing w:val="-25"/>
          <w:sz w:val="24"/>
          <w:szCs w:val="24"/>
          <w:lang w:val="en-US" w:eastAsia="zh-CN"/>
        </w:rPr>
      </w:pPr>
      <w:r>
        <w:rPr>
          <w:rFonts w:hint="eastAsia" w:asciiTheme="minorEastAsia" w:hAnsiTheme="minorEastAsia" w:eastAsiaTheme="minorEastAsia" w:cstheme="minorEastAsia"/>
          <w:spacing w:val="-25"/>
          <w:sz w:val="24"/>
          <w:szCs w:val="24"/>
          <w:lang w:val="en-US" w:eastAsia="zh-CN"/>
        </w:rPr>
        <w:t>南阳市第二中学校两个校区：南阳市中州路28号和高新区第七完全学校校区的保洁、水电、绿化、勤杂等物业服务。</w:t>
      </w:r>
    </w:p>
    <w:p w14:paraId="25AE1B99">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Theme="minorEastAsia" w:hAnsiTheme="minorEastAsia" w:eastAsiaTheme="minorEastAsia" w:cstheme="minorEastAsia"/>
          <w:spacing w:val="-5"/>
          <w:sz w:val="24"/>
          <w:szCs w:val="24"/>
          <w:lang w:val="en-US" w:eastAsia="zh-CN"/>
        </w:rPr>
        <w:t>三年（合同一年一签）</w:t>
      </w:r>
    </w:p>
    <w:p w14:paraId="7F6F438A">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.本项目是否接受联合体投标：</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14:paraId="6B78006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167C25CC">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14:paraId="5B2C2505">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283495F9">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4A19FFE6">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2AFFE0A5">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543A0655">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60AB2C5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2D4EB61E">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77B65F82">
      <w:pPr>
        <w:keepNext w:val="0"/>
        <w:keepLines w:val="0"/>
        <w:pageBreakBefore w:val="0"/>
        <w:kinsoku/>
        <w:wordWrap w:val="0"/>
        <w:overflowPunct/>
        <w:topLinePunct w:val="0"/>
        <w:autoSpaceDE/>
        <w:autoSpaceDN/>
        <w:bidi w:val="0"/>
        <w:adjustRightInd/>
        <w:snapToGrid/>
        <w:spacing w:line="360" w:lineRule="auto"/>
        <w:ind w:firstLine="426"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b/>
          <w:bCs/>
          <w:snapToGrid w:val="0"/>
          <w:color w:val="auto"/>
          <w:spacing w:val="-14"/>
          <w:kern w:val="0"/>
          <w:sz w:val="24"/>
          <w:szCs w:val="24"/>
          <w:highlight w:val="none"/>
          <w:lang w:val="en-US" w:eastAsia="zh-CN" w:bidi="ar-SA"/>
        </w:rPr>
        <w:t>8.</w:t>
      </w:r>
      <w:r>
        <w:rPr>
          <w:rFonts w:hint="eastAsia" w:ascii="宋体" w:hAnsi="宋体" w:eastAsia="宋体" w:cs="宋体"/>
          <w:b/>
          <w:color w:val="auto"/>
          <w:sz w:val="24"/>
          <w:szCs w:val="24"/>
          <w:highlight w:val="none"/>
          <w:lang w:eastAsia="zh-CN"/>
        </w:rPr>
        <w:t>本项目专门面向</w:t>
      </w:r>
      <w:r>
        <w:rPr>
          <w:rFonts w:hint="eastAsia" w:ascii="宋体" w:hAnsi="宋体" w:eastAsia="宋体" w:cs="宋体"/>
          <w:b/>
          <w:color w:val="auto"/>
          <w:sz w:val="24"/>
          <w:szCs w:val="24"/>
          <w:highlight w:val="none"/>
          <w:lang w:val="en-US" w:eastAsia="zh-CN"/>
        </w:rPr>
        <w:t>中小</w:t>
      </w:r>
      <w:r>
        <w:rPr>
          <w:rFonts w:hint="eastAsia" w:ascii="宋体" w:hAnsi="宋体" w:eastAsia="宋体" w:cs="宋体"/>
          <w:b/>
          <w:color w:val="auto"/>
          <w:sz w:val="24"/>
          <w:szCs w:val="24"/>
          <w:highlight w:val="none"/>
          <w:lang w:eastAsia="zh-CN"/>
        </w:rPr>
        <w:t>企业采购，投标人须提交</w:t>
      </w:r>
      <w:r>
        <w:rPr>
          <w:rFonts w:hint="eastAsia" w:ascii="宋体" w:hAnsi="宋体" w:eastAsia="宋体" w:cs="宋体"/>
          <w:b/>
          <w:color w:val="auto"/>
          <w:sz w:val="24"/>
          <w:szCs w:val="24"/>
          <w:highlight w:val="none"/>
          <w:lang w:val="en-US" w:eastAsia="zh-CN"/>
        </w:rPr>
        <w:t>服务机构</w:t>
      </w:r>
      <w:r>
        <w:rPr>
          <w:rFonts w:hint="eastAsia" w:ascii="宋体" w:hAnsi="宋体" w:eastAsia="宋体" w:cs="宋体"/>
          <w:b/>
          <w:color w:val="auto"/>
          <w:sz w:val="24"/>
          <w:szCs w:val="24"/>
          <w:highlight w:val="none"/>
          <w:lang w:eastAsia="zh-CN"/>
        </w:rPr>
        <w:t>出具的</w:t>
      </w:r>
      <w:r>
        <w:rPr>
          <w:rFonts w:hint="eastAsia" w:ascii="宋体" w:hAnsi="宋体" w:eastAsia="宋体" w:cs="宋体"/>
          <w:b/>
          <w:color w:val="auto"/>
          <w:sz w:val="24"/>
          <w:szCs w:val="24"/>
          <w:highlight w:val="none"/>
          <w:lang w:val="en-US" w:eastAsia="zh-CN"/>
        </w:rPr>
        <w:t>中小</w:t>
      </w:r>
      <w:r>
        <w:rPr>
          <w:rFonts w:hint="eastAsia" w:ascii="宋体" w:hAnsi="宋体" w:eastAsia="宋体" w:cs="宋体"/>
          <w:b/>
          <w:color w:val="auto"/>
          <w:sz w:val="24"/>
          <w:szCs w:val="24"/>
          <w:highlight w:val="none"/>
          <w:lang w:eastAsia="zh-CN"/>
        </w:rPr>
        <w:t>企业声明函。</w:t>
      </w:r>
    </w:p>
    <w:p w14:paraId="4D9D7321">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7D741CDD">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7595C7C2">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14:paraId="3C737BA3">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spacing w:val="-2"/>
          <w:position w:val="17"/>
          <w:sz w:val="24"/>
          <w:szCs w:val="24"/>
          <w:highlight w:val="none"/>
        </w:rPr>
      </w:pPr>
      <w:r>
        <w:rPr>
          <w:rFonts w:hint="eastAsia" w:asciiTheme="minorEastAsia" w:hAnsiTheme="minorEastAsia" w:eastAsiaTheme="minorEastAsia" w:cstheme="minorEastAsia"/>
          <w:spacing w:val="12"/>
          <w:position w:val="17"/>
          <w:sz w:val="24"/>
          <w:szCs w:val="24"/>
          <w:highlight w:val="none"/>
          <w:lang w:eastAsia="zh-CN"/>
        </w:rPr>
        <w:t>☑</w:t>
      </w:r>
      <w:r>
        <w:rPr>
          <w:rFonts w:hint="eastAsia" w:asciiTheme="minorEastAsia" w:hAnsiTheme="minorEastAsia" w:eastAsiaTheme="minorEastAsia" w:cstheme="minorEastAsia"/>
          <w:spacing w:val="12"/>
          <w:position w:val="17"/>
          <w:sz w:val="24"/>
          <w:szCs w:val="24"/>
          <w:highlight w:val="none"/>
        </w:rPr>
        <w:t>本项目专门面向中小企业采购。</w:t>
      </w:r>
      <w:r>
        <w:rPr>
          <w:rFonts w:hint="eastAsia" w:asciiTheme="minorEastAsia" w:hAnsiTheme="minorEastAsia" w:eastAsiaTheme="minorEastAsia" w:cstheme="minorEastAsia"/>
          <w:spacing w:val="-2"/>
          <w:position w:val="17"/>
          <w:sz w:val="24"/>
          <w:szCs w:val="24"/>
          <w:highlight w:val="none"/>
        </w:rPr>
        <w:t>即：</w:t>
      </w:r>
      <w:r>
        <w:rPr>
          <w:rFonts w:hint="eastAsia" w:asciiTheme="minorEastAsia" w:hAnsiTheme="minorEastAsia" w:eastAsiaTheme="minorEastAsia" w:cstheme="minorEastAsia"/>
          <w:spacing w:val="-2"/>
          <w:position w:val="17"/>
          <w:sz w:val="24"/>
          <w:szCs w:val="24"/>
          <w:highlight w:val="none"/>
          <w:lang w:val="en-US" w:eastAsia="zh-CN"/>
        </w:rPr>
        <w:t>提</w:t>
      </w:r>
      <w:r>
        <w:rPr>
          <w:rFonts w:hint="eastAsia" w:asciiTheme="minorEastAsia" w:hAnsiTheme="minorEastAsia" w:eastAsiaTheme="minorEastAsia" w:cstheme="minorEastAsia"/>
          <w:spacing w:val="-2"/>
          <w:position w:val="17"/>
          <w:sz w:val="24"/>
          <w:szCs w:val="24"/>
          <w:highlight w:val="none"/>
        </w:rPr>
        <w:t>供的货物全部由符合政策要求的中小</w:t>
      </w:r>
      <w:r>
        <w:rPr>
          <w:rFonts w:hint="eastAsia" w:asciiTheme="minorEastAsia" w:hAnsiTheme="minorEastAsia" w:eastAsiaTheme="minorEastAsia" w:cstheme="minorEastAsia"/>
          <w:spacing w:val="1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企业制造、服务全部由符合政策要求的中小</w:t>
      </w:r>
      <w:r>
        <w:rPr>
          <w:rFonts w:hint="eastAsia" w:asciiTheme="minorEastAsia" w:hAnsiTheme="minorEastAsia" w:eastAsiaTheme="minorEastAsia" w:cstheme="minorEastAsia"/>
          <w:spacing w:val="-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企业承接。</w:t>
      </w:r>
    </w:p>
    <w:p w14:paraId="5A912AE9">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17795F06">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4CE2005C">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14:paraId="3C949EE2">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□否□接受进口产品□</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14:paraId="4DAB2604">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0E7B2D1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567F5FA5">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14:paraId="1D8CF718">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highlight w:val="none"/>
          <w:u w:val="single"/>
          <w:lang w:val="en-US" w:eastAsia="zh-CN"/>
        </w:rPr>
        <w:t xml:space="preserve"> 2025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10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1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2025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10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14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0:00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23:59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14:paraId="458A1E41">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w:t>
      </w:r>
      <w:r>
        <w:rPr>
          <w:rFonts w:hint="eastAsia"/>
          <w:sz w:val="24"/>
          <w:szCs w:val="24"/>
        </w:rPr>
        <w:t>全国公共资源交易平台(河南省·南阳市)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https://ggzyjy.nanyang.gov.cn</w:t>
      </w:r>
      <w:r>
        <w:rPr>
          <w:rFonts w:hint="eastAsia" w:asciiTheme="minorEastAsia" w:hAnsiTheme="minorEastAsia" w:eastAsiaTheme="minorEastAsia" w:cstheme="minorEastAsia"/>
          <w:sz w:val="24"/>
          <w:szCs w:val="24"/>
          <w:lang w:eastAsia="zh-CN"/>
        </w:rPr>
        <w:t>）</w:t>
      </w:r>
    </w:p>
    <w:p w14:paraId="18C6E0DE">
      <w:pPr>
        <w:ind w:firstLine="464"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w:t>
      </w:r>
      <w:r>
        <w:rPr>
          <w:rFonts w:hint="eastAsia"/>
          <w:sz w:val="24"/>
          <w:szCs w:val="24"/>
        </w:rPr>
        <w:t>全国公共资源交易平台(河南省·南阳市)</w:t>
      </w:r>
      <w:r>
        <w:rPr>
          <w:rFonts w:hint="eastAsia" w:asciiTheme="minorEastAsia" w:hAnsiTheme="minorEastAsia" w:eastAsiaTheme="minorEastAsia" w:cstheme="minorEastAsia"/>
          <w:spacing w:val="-4"/>
          <w:sz w:val="24"/>
          <w:szCs w:val="24"/>
          <w:lang w:eastAsia="zh-CN"/>
        </w:rPr>
        <w:t>（https://ggzyjy.nanyang.gov.cn），注册后凭办理的企业身份认证锁（CA数字证书）登录会员系统按网上提示下载招标文件(*.nyzf格式)及资料（操作程序详见</w:t>
      </w:r>
      <w:r>
        <w:rPr>
          <w:rFonts w:hint="eastAsia"/>
        </w:rPr>
        <w:t>全国公共资源交易平台(河南省·南阳市)</w:t>
      </w:r>
      <w:r>
        <w:rPr>
          <w:rFonts w:hint="eastAsia" w:asciiTheme="minorEastAsia" w:hAnsiTheme="minorEastAsia" w:eastAsiaTheme="minorEastAsia" w:cstheme="minorEastAsia"/>
          <w:spacing w:val="-4"/>
          <w:sz w:val="24"/>
          <w:szCs w:val="24"/>
          <w:lang w:eastAsia="zh-CN"/>
        </w:rPr>
        <w:t>网站下载专区）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，电子交易系统技术支持电话：0512-58188538，</w:t>
      </w:r>
      <w:r>
        <w:rPr>
          <w:rFonts w:hint="eastAsia" w:asciiTheme="minorEastAsia" w:hAnsiTheme="minorEastAsia" w:eastAsiaTheme="minorEastAsia" w:cstheme="minorEastAsia"/>
          <w:spacing w:val="-4"/>
          <w:sz w:val="24"/>
          <w:szCs w:val="24"/>
          <w:lang w:eastAsia="zh-CN"/>
        </w:rPr>
        <w:t>CA数字证书技术支持：https://ggzyjy.nanyang.gov.cn/ptdl/011009/single.html。</w:t>
      </w:r>
    </w:p>
    <w:p w14:paraId="44FD4A37">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14:paraId="7E5545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42A0A3AD">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14:paraId="7141DE1F">
      <w:pPr>
        <w:keepNext w:val="0"/>
        <w:keepLines w:val="0"/>
        <w:pageBreakBefore w:val="0"/>
        <w:widowControl/>
        <w:overflowPunct/>
        <w:topLinePunct w:val="0"/>
        <w:autoSpaceDE w:val="0"/>
        <w:autoSpaceDN w:val="0"/>
        <w:bidi w:val="0"/>
        <w:adjustRightInd w:val="0"/>
        <w:snapToGrid w:val="0"/>
        <w:spacing w:line="400" w:lineRule="exact"/>
        <w:ind w:firstLine="464" w:firstLineChars="200"/>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。投标人须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电子投标文件，电子投标文件需要使用投标文件制作工具制作，制作工具及操作手册可在</w:t>
      </w:r>
      <w:r>
        <w:rPr>
          <w:rFonts w:hint="eastAsia"/>
        </w:rPr>
        <w:t>全国公共资源交易平台(河南省·南阳市)</w:t>
      </w:r>
      <w:r>
        <w:rPr>
          <w:rFonts w:hint="eastAsia" w:asciiTheme="minorEastAsia" w:hAnsiTheme="minorEastAsia" w:eastAsiaTheme="minorEastAsia" w:cstheme="minorEastAsia"/>
          <w:spacing w:val="-4"/>
          <w:sz w:val="24"/>
          <w:szCs w:val="24"/>
          <w:lang w:eastAsia="zh-CN"/>
        </w:rPr>
        <w:t>“下载专区”中下载。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电子投标文件应在招标文件规定的投标截止时间前到达交易系统。逾期到达交易系统的电子投标文件视为放弃本次投标。</w:t>
      </w:r>
    </w:p>
    <w:p w14:paraId="7002DA67">
      <w:pPr>
        <w:keepNext w:val="0"/>
        <w:keepLines w:val="0"/>
        <w:pageBreakBefore w:val="0"/>
        <w:widowControl/>
        <w:shd w:val="clear" w:color="auto" w:fill="FFFFFF"/>
        <w:kinsoku/>
        <w:wordWrap w:val="0"/>
        <w:overflowPunct/>
        <w:topLinePunct w:val="0"/>
        <w:autoSpaceDE w:val="0"/>
        <w:autoSpaceDN w:val="0"/>
        <w:bidi w:val="0"/>
        <w:adjustRightInd w:val="0"/>
        <w:snapToGrid w:val="0"/>
        <w:spacing w:line="400" w:lineRule="exact"/>
        <w:ind w:firstLine="464" w:firstLineChars="200"/>
        <w:jc w:val="both"/>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因投标人无需现场参与开标，所有准备工作需要自行到位。开标过程中如遇到紧急事项，可在不见面开标大厅中进行提出异议或文字交流，严重问题可拨打技术支持电话0377-61176137。不见面开标过程中，如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造成开标无法继续的，视为该投标人自动放弃投标，将被退回投标文件”。电子交易系统技术支持电话：0512-58188538。</w:t>
      </w:r>
    </w:p>
    <w:p w14:paraId="2CACFB9A">
      <w:pPr>
        <w:pStyle w:val="25"/>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14:paraId="75BB27FC">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14:paraId="5F485165">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投标截止时间、开标时间：</w:t>
      </w:r>
      <w:r>
        <w:rPr>
          <w:rFonts w:hint="eastAsia" w:asciiTheme="minorEastAsia" w:hAnsiTheme="minorEastAsia" w:eastAsiaTheme="minorEastAsia" w:cstheme="minorEastAsia"/>
          <w:spacing w:val="-14"/>
          <w:sz w:val="24"/>
          <w:szCs w:val="24"/>
          <w:highlight w:val="none"/>
          <w:u w:val="single"/>
          <w:lang w:val="en-US" w:eastAsia="zh-CN"/>
        </w:rPr>
        <w:t xml:space="preserve"> 2025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年</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10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21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点</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分</w:t>
      </w:r>
      <w:r>
        <w:rPr>
          <w:rFonts w:hint="eastAsia" w:asciiTheme="minorEastAsia" w:hAnsiTheme="minorEastAsia" w:eastAsiaTheme="minorEastAsia" w:cstheme="minorEastAsia"/>
          <w:snapToGrid w:val="0"/>
          <w:color w:val="000000"/>
          <w:spacing w:val="-4"/>
          <w:kern w:val="0"/>
          <w:sz w:val="24"/>
          <w:szCs w:val="24"/>
          <w:lang w:val="en-US" w:eastAsia="zh-CN" w:bidi="ar-SA"/>
        </w:rPr>
        <w:t>（北</w:t>
      </w:r>
      <w:r>
        <w:rPr>
          <w:rFonts w:hint="eastAsia" w:asciiTheme="minorEastAsia" w:hAnsiTheme="minorEastAsia" w:eastAsiaTheme="minorEastAsia" w:cstheme="minorEastAsia"/>
          <w:spacing w:val="-15"/>
          <w:sz w:val="24"/>
          <w:szCs w:val="24"/>
        </w:rPr>
        <w:t>京时间）。</w:t>
      </w:r>
    </w:p>
    <w:p w14:paraId="0C733A08">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7"/>
          <w:sz w:val="24"/>
          <w:szCs w:val="24"/>
          <w:lang w:val="en-US" w:eastAsia="zh-CN"/>
        </w:rPr>
      </w:pPr>
      <w:r>
        <w:rPr>
          <w:rFonts w:hint="eastAsia" w:asciiTheme="minorEastAsia" w:hAnsiTheme="minorEastAsia" w:eastAsiaTheme="minorEastAsia" w:cstheme="minorEastAsia"/>
          <w:spacing w:val="-17"/>
          <w:sz w:val="24"/>
          <w:szCs w:val="24"/>
          <w:lang w:val="en-US" w:eastAsia="zh-CN"/>
        </w:rPr>
        <w:t>开标方式：不见面开标</w:t>
      </w:r>
    </w:p>
    <w:p w14:paraId="65E679A8">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sz w:val="24"/>
          <w:szCs w:val="24"/>
        </w:rPr>
        <w:t>地点：不见面开标大厅（https://ggzyjy.nanyang.gov.cn/BidOpening/bidopeninghallaction/hall/login）。</w:t>
      </w:r>
    </w:p>
    <w:p w14:paraId="256B760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6B4213B5">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14:paraId="324BCA5D">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highlight w:val="none"/>
          <w:lang w:eastAsia="zh-CN"/>
        </w:rPr>
      </w:pPr>
      <w:r>
        <w:rPr>
          <w:rFonts w:hint="eastAsia" w:asciiTheme="minorEastAsia" w:hAnsiTheme="minorEastAsia" w:eastAsiaTheme="minorEastAsia" w:cstheme="minorEastAsia"/>
          <w:spacing w:val="-13"/>
          <w:sz w:val="24"/>
          <w:szCs w:val="24"/>
          <w:highlight w:val="none"/>
          <w:u w:val="single"/>
          <w:lang w:val="en-US" w:eastAsia="zh-CN"/>
        </w:rPr>
        <w:t xml:space="preserve"> 2025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10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1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2025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10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14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highlight w:val="none"/>
          <w:lang w:eastAsia="zh-CN"/>
        </w:rPr>
        <w:t>。</w:t>
      </w:r>
    </w:p>
    <w:p w14:paraId="41226A7D">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rPr>
      </w:pPr>
    </w:p>
    <w:p w14:paraId="7812BF5E">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14:paraId="41DA777F">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cs="宋体"/>
          <w:sz w:val="24"/>
          <w:szCs w:val="24"/>
        </w:rPr>
        <w:t>本项目采用</w:t>
      </w:r>
      <w:r>
        <w:rPr>
          <w:rFonts w:hint="eastAsia" w:ascii="宋体" w:hAnsi="宋体" w:cs="宋体"/>
          <w:b/>
          <w:bCs/>
          <w:sz w:val="24"/>
          <w:szCs w:val="24"/>
        </w:rPr>
        <w:t>“暗标”评审</w:t>
      </w:r>
      <w:r>
        <w:rPr>
          <w:rFonts w:hint="eastAsia" w:ascii="宋体" w:hAnsi="宋体" w:cs="宋体"/>
          <w:sz w:val="24"/>
          <w:szCs w:val="24"/>
        </w:rPr>
        <w:t>。供应商应按照</w:t>
      </w:r>
      <w:r>
        <w:rPr>
          <w:rFonts w:hint="eastAsia" w:cs="宋体"/>
          <w:sz w:val="24"/>
          <w:szCs w:val="24"/>
          <w:lang w:val="en-US" w:eastAsia="zh-CN"/>
        </w:rPr>
        <w:t>招标</w:t>
      </w:r>
      <w:r>
        <w:rPr>
          <w:rFonts w:hint="eastAsia" w:ascii="宋体" w:hAnsi="宋体" w:cs="宋体"/>
          <w:sz w:val="24"/>
          <w:szCs w:val="24"/>
        </w:rPr>
        <w:t>文件要求制作投标文件。</w:t>
      </w:r>
    </w:p>
    <w:p w14:paraId="40840627">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14:paraId="24BC64E2">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6C67289E">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14:paraId="4F839F5B">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rPr>
        <w:t>名称：</w:t>
      </w:r>
      <w:r>
        <w:rPr>
          <w:rFonts w:hint="eastAsia" w:asciiTheme="minorEastAsia" w:hAnsiTheme="minorEastAsia" w:eastAsiaTheme="minorEastAsia" w:cstheme="minorEastAsia"/>
          <w:color w:val="auto"/>
          <w:spacing w:val="-15"/>
          <w:sz w:val="24"/>
          <w:szCs w:val="24"/>
          <w:lang w:val="en-US" w:eastAsia="zh-CN"/>
        </w:rPr>
        <w:t>南阳市第二中学校</w:t>
      </w:r>
    </w:p>
    <w:p w14:paraId="48CC81B1">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rPr>
        <w:t>地址：</w:t>
      </w:r>
      <w:r>
        <w:rPr>
          <w:rFonts w:hint="eastAsia" w:asciiTheme="minorEastAsia" w:hAnsiTheme="minorEastAsia" w:eastAsiaTheme="minorEastAsia" w:cstheme="minorEastAsia"/>
          <w:color w:val="auto"/>
          <w:spacing w:val="-15"/>
          <w:sz w:val="24"/>
          <w:szCs w:val="24"/>
          <w:lang w:val="en-US" w:eastAsia="zh-CN"/>
        </w:rPr>
        <w:t>南阳市卧龙区中州路142号</w:t>
      </w:r>
    </w:p>
    <w:p w14:paraId="1EBC5F2C">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联系人：郭华轩</w:t>
      </w:r>
    </w:p>
    <w:p w14:paraId="4EE1600A">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b/>
          <w:bCs/>
          <w:color w:val="auto"/>
          <w:spacing w:val="4"/>
          <w:sz w:val="24"/>
          <w:szCs w:val="24"/>
          <w:lang w:val="en-US" w:eastAsia="zh-CN"/>
        </w:rPr>
      </w:pPr>
      <w:r>
        <w:rPr>
          <w:rFonts w:hint="eastAsia" w:asciiTheme="minorEastAsia" w:hAnsiTheme="minorEastAsia" w:eastAsiaTheme="minorEastAsia" w:cstheme="minorEastAsia"/>
          <w:color w:val="auto"/>
          <w:spacing w:val="-15"/>
          <w:sz w:val="24"/>
          <w:szCs w:val="24"/>
        </w:rPr>
        <w:t>联系方式：</w:t>
      </w:r>
      <w:r>
        <w:rPr>
          <w:rFonts w:hint="eastAsia" w:asciiTheme="minorEastAsia" w:hAnsiTheme="minorEastAsia" w:eastAsiaTheme="minorEastAsia" w:cstheme="minorEastAsia"/>
          <w:color w:val="auto"/>
          <w:spacing w:val="-15"/>
          <w:sz w:val="24"/>
          <w:szCs w:val="24"/>
          <w:lang w:val="en-US" w:eastAsia="zh-CN"/>
        </w:rPr>
        <w:t>17513775305</w:t>
      </w:r>
    </w:p>
    <w:p w14:paraId="291AB9B9">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2EFB3305">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14:paraId="7E2FC319">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Theme="minorEastAsia" w:hAnsiTheme="minorEastAsia" w:eastAsiaTheme="minorEastAsia" w:cstheme="minorEastAsia"/>
          <w:color w:val="auto"/>
          <w:spacing w:val="-15"/>
          <w:sz w:val="24"/>
          <w:szCs w:val="24"/>
          <w:highlight w:val="none"/>
          <w:lang w:val="en-US" w:eastAsia="zh-CN"/>
        </w:rPr>
        <w:t>南阳市范蠡东路与南都路交叉口市民服务中心中区3号楼5楼</w:t>
      </w:r>
    </w:p>
    <w:p w14:paraId="42585654">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联系人：黄先生</w:t>
      </w:r>
    </w:p>
    <w:p w14:paraId="5CB5C34D">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0377-61176178</w:t>
      </w:r>
    </w:p>
    <w:p w14:paraId="2FEBD7EF">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5CE95DB9">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fldChar w:fldCharType="begin"/>
      </w:r>
      <w:r>
        <w:rPr>
          <w:rFonts w:hint="eastAsia" w:asciiTheme="minorEastAsia" w:hAnsiTheme="minorEastAsia" w:eastAsiaTheme="minorEastAsia" w:cstheme="minorEastAsia"/>
          <w:spacing w:val="-15"/>
          <w:sz w:val="24"/>
          <w:szCs w:val="24"/>
          <w:lang w:val="en-US" w:eastAsia="zh-CN"/>
        </w:rPr>
        <w:instrText xml:space="preserve"> HYPERLINK "https://ggzyjy.nanyang.gov.cn" </w:instrText>
      </w:r>
      <w:r>
        <w:rPr>
          <w:rFonts w:hint="eastAsia" w:asciiTheme="minorEastAsia" w:hAnsiTheme="minorEastAsia" w:eastAsiaTheme="minorEastAsia" w:cstheme="minorEastAsia"/>
          <w:spacing w:val="-15"/>
          <w:sz w:val="24"/>
          <w:szCs w:val="24"/>
          <w:lang w:val="en-US" w:eastAsia="zh-CN"/>
        </w:rPr>
        <w:fldChar w:fldCharType="separate"/>
      </w:r>
      <w:r>
        <w:rPr>
          <w:rStyle w:val="23"/>
          <w:rFonts w:hint="eastAsia" w:asciiTheme="minorEastAsia" w:hAnsiTheme="minorEastAsia" w:eastAsiaTheme="minorEastAsia" w:cstheme="minorEastAsia"/>
          <w:spacing w:val="-15"/>
          <w:sz w:val="24"/>
          <w:szCs w:val="24"/>
          <w:lang w:val="en-US" w:eastAsia="zh-CN"/>
        </w:rPr>
        <w:t>https://ggzyjy.nanyang.gov.cn</w:t>
      </w:r>
      <w:r>
        <w:rPr>
          <w:rFonts w:hint="eastAsia" w:asciiTheme="minorEastAsia" w:hAnsiTheme="minorEastAsia" w:eastAsiaTheme="minorEastAsia" w:cstheme="minorEastAsia"/>
          <w:spacing w:val="-15"/>
          <w:sz w:val="24"/>
          <w:szCs w:val="24"/>
          <w:lang w:val="en-US" w:eastAsia="zh-CN"/>
        </w:rPr>
        <w:fldChar w:fldCharType="end"/>
      </w:r>
      <w:r>
        <w:rPr>
          <w:rFonts w:hint="eastAsia" w:asciiTheme="minorEastAsia" w:hAnsiTheme="minorEastAsia" w:eastAsiaTheme="minorEastAsia" w:cstheme="minorEastAsia"/>
          <w:spacing w:val="-15"/>
          <w:sz w:val="24"/>
          <w:szCs w:val="24"/>
          <w:lang w:val="en-US" w:eastAsia="zh-CN"/>
        </w:rPr>
        <w:t xml:space="preserve">   E-mail:nyszfcgzx@126.com</w:t>
      </w:r>
    </w:p>
    <w:p w14:paraId="3F5B3FEF">
      <w:pPr>
        <w:pStyle w:val="9"/>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14:paraId="58696621">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3990" w:firstLineChars="1900"/>
        <w:jc w:val="both"/>
        <w:textAlignment w:val="baseline"/>
        <w:outlineLvl w:val="1"/>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南阳市公共资源交易中心</w:t>
      </w:r>
    </w:p>
    <w:p w14:paraId="1CFB97B8">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494" w:firstLineChars="21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3"/>
          <w:sz w:val="24"/>
          <w:szCs w:val="24"/>
          <w:lang w:val="en-US" w:eastAsia="zh-CN"/>
        </w:rPr>
        <w:t xml:space="preserve">2025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 xml:space="preserve"> 9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 xml:space="preserve"> 30 </w:t>
      </w:r>
      <w:r>
        <w:rPr>
          <w:rFonts w:hint="eastAsia" w:asciiTheme="minorEastAsia" w:hAnsiTheme="minorEastAsia" w:eastAsiaTheme="minorEastAsia" w:cstheme="minorEastAsia"/>
          <w:spacing w:val="-13"/>
          <w:sz w:val="24"/>
          <w:szCs w:val="24"/>
        </w:rPr>
        <w:t>日</w:t>
      </w:r>
    </w:p>
    <w:p w14:paraId="7611F942">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BB1729A">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4D0B203">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12FFCEE">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9D02FAE">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0DB4D3B">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531DA04">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5BD5A8E">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682515B">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E9F851F">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BA6A4BD">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F5CE164">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1A3F946">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762F625">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10A9B57">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7684FF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07C2D85">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55103B7B">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南阳市第二中学校两个校区位于中州路28号和第七完全学校，本次物业采购服务即南阳市第二中学校物业服务采购，服务期限三年。具体范围界定和要求如下：</w:t>
      </w:r>
    </w:p>
    <w:p w14:paraId="5D5CE896">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楷体" w:hAnsi="楷体" w:eastAsia="楷体" w:cs="楷体"/>
          <w:spacing w:val="-1"/>
          <w:sz w:val="24"/>
          <w:szCs w:val="24"/>
          <w:lang w:eastAsia="zh-CN"/>
        </w:rPr>
        <w:t>（</w:t>
      </w:r>
      <w:r>
        <w:rPr>
          <w:rFonts w:hint="eastAsia" w:ascii="楷体" w:hAnsi="楷体" w:eastAsia="楷体" w:cs="楷体"/>
          <w:spacing w:val="-1"/>
          <w:sz w:val="24"/>
          <w:szCs w:val="24"/>
          <w:lang w:val="en-US" w:eastAsia="zh-CN"/>
        </w:rPr>
        <w:t>一</w:t>
      </w:r>
      <w:r>
        <w:rPr>
          <w:rFonts w:hint="eastAsia" w:ascii="楷体" w:hAnsi="楷体" w:eastAsia="楷体" w:cs="楷体"/>
          <w:spacing w:val="-1"/>
          <w:sz w:val="24"/>
          <w:szCs w:val="24"/>
          <w:lang w:eastAsia="zh-CN"/>
        </w:rPr>
        <w:t>）</w:t>
      </w:r>
      <w:r>
        <w:rPr>
          <w:rFonts w:hint="eastAsia" w:ascii="楷体" w:hAnsi="楷体" w:eastAsia="楷体" w:cs="楷体"/>
          <w:spacing w:val="-1"/>
          <w:sz w:val="24"/>
          <w:szCs w:val="24"/>
        </w:rPr>
        <w:t>物业管理服务范围</w:t>
      </w:r>
    </w:p>
    <w:p w14:paraId="74E3304F">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1、保洁：</w:t>
      </w:r>
    </w:p>
    <w:p w14:paraId="3F89581B">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七全校区保洁范围包括：①南院内所有地面及道牙上面清扫。②1#、2#教学楼：卫生间、茶水炉、连廊走廊顶部灰尘及玻璃；1#、2#、3#教学楼：一楼连廊及连廊顶部灰尘。3#楼不用楼层每月保洁一次；③图文信息楼：走廊、楼梯、电梯、卫生间；不用的楼层每月保洁一次。④实验楼：一楼走廊、连廊。不用的楼层走廊、连廊、楼梯、门窗、卫生间每月保洁一次。⑤国际部：1-3楼，楼层走廊、连廊、楼梯、门窗。不用的楼层每月保洁一次。⑥宣传栏、信报箱、垃圾筒、消防设施，每周一次，保持整洁。⑦艺体楼。每月一次，保持整洁。</w:t>
      </w:r>
    </w:p>
    <w:p w14:paraId="2A0DAFB4">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（2）中州路校区保洁范围包括：①南、北教学楼卫生间；②办公楼6个卫生间及楼梯连廊；③科技楼：1-12楼卫生间及7-12楼走廊；④单身楼、医务楼、图书楼。</w:t>
      </w:r>
    </w:p>
    <w:p w14:paraId="1BF41C77">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水电：中州路、七全校区水电工作任务范围：负责两个校区的正常供电、供水。需要24小时值班。（1）七全校区：南北两个校园所有范围内的水电供应，及所有建筑内外水电的日常维修、安全巡检。（2）中州路校区内全部公共区域教学楼、实验楼、科技楼、办公楼、学生公寓、单身楼、图书楼、食堂的所有建筑内外日常水电维修；家属区公共范围内水电维修（不包括居民自有房屋内水电）。</w:t>
      </w:r>
    </w:p>
    <w:p w14:paraId="769A00A2">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3、绿化：</w:t>
      </w:r>
    </w:p>
    <w:p w14:paraId="0148329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（1）区域：七全校区、中州路校区树木、花草、绿化带、教研楼南部西部区域等所有绿植（包含中州路校区食堂房顶绿植）。</w:t>
      </w:r>
    </w:p>
    <w:p w14:paraId="267C06F9">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（2）任务：日常浇水、除杂草及非绿化种植树木、打药、清理枯枝叶、修剪绿植、清理绿化带内垃圾。保证绿植正常生长，不出现干枯死亡现象。</w:t>
      </w:r>
    </w:p>
    <w:p w14:paraId="21DAAA64">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4、勤杂：</w:t>
      </w:r>
    </w:p>
    <w:p w14:paraId="4F6E7441">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（1）中州路校区：</w:t>
      </w:r>
    </w:p>
    <w:p w14:paraId="226B8119">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①每天负责学校各项杂活零工，清理学校6栋家属楼的垃圾桶，单身楼卫生，负责校园垃圾清运和卫生保洁。   </w:t>
      </w:r>
    </w:p>
    <w:p w14:paraId="2BF2E5DD">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②日常校园维修：门窗木工、玻璃、教室门口班级番号牌、各种门及门锁的维修：大型考试期间钟表挂、收等日杂工作。                               （2）七全校区：负责各项杂活及后勤各项维修杂务。              </w:t>
      </w:r>
    </w:p>
    <w:p w14:paraId="6222385D">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5、</w:t>
      </w:r>
      <w:r>
        <w:rPr>
          <w:rFonts w:hint="eastAsia" w:asciiTheme="minorEastAsia" w:hAnsiTheme="minorEastAsia" w:eastAsiaTheme="minorEastAsia" w:cstheme="minorEastAsia"/>
          <w:spacing w:val="-1"/>
          <w:sz w:val="24"/>
          <w:szCs w:val="24"/>
        </w:rPr>
        <w:t>在特殊时期或特殊情况下，因工作需要甲方临时安排的突击工作。</w:t>
      </w:r>
    </w:p>
    <w:p w14:paraId="2079B968">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楷体" w:hAnsi="楷体" w:eastAsia="楷体" w:cs="楷体"/>
          <w:spacing w:val="-1"/>
          <w:sz w:val="24"/>
          <w:szCs w:val="24"/>
        </w:rPr>
      </w:pPr>
      <w:r>
        <w:rPr>
          <w:rFonts w:hint="eastAsia" w:ascii="楷体" w:hAnsi="楷体" w:eastAsia="楷体" w:cs="楷体"/>
          <w:spacing w:val="-1"/>
          <w:sz w:val="24"/>
          <w:szCs w:val="24"/>
          <w:lang w:eastAsia="zh-CN"/>
        </w:rPr>
        <w:t>（</w:t>
      </w:r>
      <w:r>
        <w:rPr>
          <w:rFonts w:hint="eastAsia" w:ascii="楷体" w:hAnsi="楷体" w:eastAsia="楷体" w:cs="楷体"/>
          <w:spacing w:val="-1"/>
          <w:sz w:val="24"/>
          <w:szCs w:val="24"/>
          <w:lang w:val="en-US" w:eastAsia="zh-CN"/>
        </w:rPr>
        <w:t>二</w:t>
      </w:r>
      <w:r>
        <w:rPr>
          <w:rFonts w:hint="eastAsia" w:ascii="楷体" w:hAnsi="楷体" w:eastAsia="楷体" w:cs="楷体"/>
          <w:spacing w:val="-1"/>
          <w:sz w:val="24"/>
          <w:szCs w:val="24"/>
          <w:lang w:eastAsia="zh-CN"/>
        </w:rPr>
        <w:t>）</w:t>
      </w:r>
      <w:r>
        <w:rPr>
          <w:rFonts w:hint="eastAsia" w:ascii="楷体" w:hAnsi="楷体" w:eastAsia="楷体" w:cs="楷体"/>
          <w:spacing w:val="-1"/>
          <w:sz w:val="24"/>
          <w:szCs w:val="24"/>
        </w:rPr>
        <w:t>服务标准</w:t>
      </w:r>
    </w:p>
    <w:p w14:paraId="06EDBA86">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1、保洁：流程及标准：</w:t>
      </w:r>
    </w:p>
    <w:p w14:paraId="6FFDA3AE">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工作流程：</w:t>
      </w:r>
    </w:p>
    <w:p w14:paraId="1E88D119">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每天上午、下午对保洁范围内的区域分两次清理保洁，然后进行不定时巡视保洁，保持干净整洁。</w:t>
      </w:r>
    </w:p>
    <w:p w14:paraId="6E123497">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每日清倒垃圾筒，内外洗净后放回原处。</w:t>
      </w:r>
    </w:p>
    <w:p w14:paraId="347983FB">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用干毛巾和不锈钢油轻抹各种不锈钢制品，包括门柱、镶字、宣传栏、窗框、防火门、消防栓柜、指示牌、信报箱等。</w:t>
      </w:r>
    </w:p>
    <w:p w14:paraId="4427D925">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工作标准：</w:t>
      </w:r>
    </w:p>
    <w:p w14:paraId="7992B7A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保洁区域内无烟头、纸屑、果皮等杂物，无污渍。</w:t>
      </w:r>
    </w:p>
    <w:p w14:paraId="3CA1C6F9">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公共设施表面无明显灰尘。不锈钢表面光亮无污迹</w:t>
      </w:r>
    </w:p>
    <w:p w14:paraId="2FA97B84">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玻璃门无水迹、手印、污迹。</w:t>
      </w:r>
    </w:p>
    <w:p w14:paraId="51F8E77E">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2、公用卫生间的保洁</w:t>
      </w:r>
    </w:p>
    <w:p w14:paraId="0AA0A1AD">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工作流程：</w:t>
      </w:r>
    </w:p>
    <w:p w14:paraId="52E086E0">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每天上午、下午分两次重点清理公用卫生间，上班后巡视保洁。打开门窗通风，用水冲洗大小便器，用夹子夹出小便器内的烟头等杂物。从上到下屋顶、墙面清洁除尘、瓷砖面擦抹，清扫地面垃圾，清倒垃圾篓，换新垃圾袋后放回原位。将洁厕水倒入水勺内，用厕所刷沾洁厕水刷洗大、小便器、水池，然后用清水冲净。用湿拖把拖干净地面，然后用干拖把拖干。点燃卫生香和空气清新剂，小便斗内放入卫生球（樟脑丸）。及时巡视保洁数次，冲刷大小便池，池内底部要经常清洗，清理地面垃圾、积水等，保证厕所无明显异味。</w:t>
      </w:r>
    </w:p>
    <w:p w14:paraId="1BF25666">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工作标准：</w:t>
      </w:r>
    </w:p>
    <w:p w14:paraId="756525F7">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卫生间区域洁净无污渍，地面无烟头、污渍、积水、纸屑、果皮、池底无大小便凝结累积痕迹，无明显臭味。</w:t>
      </w:r>
    </w:p>
    <w:p w14:paraId="1BBC2DDF">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3、楼道楼梯、扶手、墙面、信报箱、消防栓箱、楼道门窗、楼道灯开关及灯具的清洁的工作流程、标准。</w:t>
      </w:r>
    </w:p>
    <w:p w14:paraId="30EADF9E">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工作流程：</w:t>
      </w:r>
    </w:p>
    <w:p w14:paraId="20CC26A0">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从顶层到底层自上而下清扫楼道梯级，将果皮、烟头、纸屑收集倒入垃圾箱；用胶桶装清水，洗净拖把，从顶层往下逐级拖抹梯级，拖抹时，清洗拖把数次。每天保持清洁。上班后及时巡视楼道内外卫生，将广告纸、烟头、果皮、垃圾清扫干净。</w:t>
      </w:r>
    </w:p>
    <w:p w14:paraId="36947DD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工作标准：</w:t>
      </w:r>
    </w:p>
    <w:p w14:paraId="5875E23F">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每天重点清扫、拖抹两次，并及时巡视保洁数次，保持干净。</w:t>
      </w:r>
    </w:p>
    <w:p w14:paraId="02712395">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目视楼道：无烟头、果皮、纸屑、广告纸、蜘蛛网、积尘、污迹等。</w:t>
      </w:r>
    </w:p>
    <w:p w14:paraId="7F645B80">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4、瓷砖、喷涂墙面的保洁</w:t>
      </w:r>
    </w:p>
    <w:p w14:paraId="6974E4E1">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工作流程：</w:t>
      </w:r>
    </w:p>
    <w:p w14:paraId="6D95865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用铲刀、刀片轻轻刮掉墙面的污垢、脏渍。把毛巾浸入放有洗洁精的水盆，沿着墙壁从上往下来回擦抹。有污迹的地方，再用短柄刷刷洗。换清水后，将毛巾浸透后，用力拧干，再清找一遍。用干拖把拖干地面。墙面清抹每周一次，墙面清洗每月一次，视其情况增加次数。</w:t>
      </w:r>
    </w:p>
    <w:p w14:paraId="05A17107">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工作标准：目视墙面干净整洁无污迹。</w:t>
      </w:r>
    </w:p>
    <w:p w14:paraId="30306FFC">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5、乳胶漆墙面的保洁：</w:t>
      </w:r>
    </w:p>
    <w:p w14:paraId="3ACCA2E5">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服务区内楼梯、走道等处的乳胶漆墙面及天棚面。</w:t>
      </w:r>
    </w:p>
    <w:p w14:paraId="4E62C6FF">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工作流程：</w:t>
      </w:r>
    </w:p>
    <w:p w14:paraId="61ED7F5A">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关闭局部要清洁处的门窗，在地面上淋些水。用鸡毛掸子或干净的扫把轻轻掸去墙面及天棚上灰尘。用干毛巾清擦墙面的污迹，擦不掉的污迹用细砂纸轻轻擦掉。用铲刀铲掉墙面上粘附的泥沙、痰迹。扫净地面灰尘，再用拖把拖干净地面。上述工作每月做一次，视其情况增加次数。</w:t>
      </w:r>
    </w:p>
    <w:p w14:paraId="5BD5F280">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工作标准：</w:t>
      </w:r>
    </w:p>
    <w:p w14:paraId="35BE888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目视墙面洁净无污迹、无粘附物、无灰尘、无蜘蛛网等。</w:t>
      </w:r>
    </w:p>
    <w:p w14:paraId="16E3AF52">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6、一楼连廊的保洁：</w:t>
      </w:r>
    </w:p>
    <w:p w14:paraId="42D307A9">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工作流程：每天上午、下午院上班前分两次用扫把拖把对连廊地面清扫拖抹干净；院上班后及时巡视保洁数次。用长柄手刷沾去污粉对污迹较重的通道地面彻底清刷，再用拧干的湿毛巾，抹净墙根部分踢脚线。</w:t>
      </w:r>
    </w:p>
    <w:p w14:paraId="23448E44">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工作标准： 地面目视干净无杂物、无污迹。</w:t>
      </w:r>
    </w:p>
    <w:p w14:paraId="726D1305">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7、不锈钢的保洁保养：护栏、标牌、宣传栏、扶手。</w:t>
      </w:r>
    </w:p>
    <w:p w14:paraId="7F873838">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工作流程：</w:t>
      </w:r>
    </w:p>
    <w:p w14:paraId="1488A3F1">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先用兑有中性清洁剂的溶液抹不锈钢表面。</w:t>
      </w:r>
    </w:p>
    <w:p w14:paraId="1A4B49DF">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然后用无绒毛巾抹净不锈钢表面上的水珠。</w:t>
      </w:r>
    </w:p>
    <w:p w14:paraId="386C668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置少许不锈钢油于无绒毛巾上，对不锈钢表面进行拭抹。</w:t>
      </w:r>
    </w:p>
    <w:p w14:paraId="0041FA90">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表面面积大的可用手动喷雾枪将不锈钢油喷于不锈钢表面，然后用无绒干毛巾拭抹。</w:t>
      </w:r>
    </w:p>
    <w:p w14:paraId="000245F0">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工作标准：</w:t>
      </w:r>
    </w:p>
    <w:p w14:paraId="665A47B5">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亚光面不锈钢表面无污迹、无灰尘。</w:t>
      </w:r>
    </w:p>
    <w:p w14:paraId="1898EF00">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镜面不锈钢表面光亮，三米内能清晰映出人物影象。</w:t>
      </w:r>
    </w:p>
    <w:p w14:paraId="7E1E6A3A">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8、垃圾桶（箱）的保洁：</w:t>
      </w:r>
    </w:p>
    <w:p w14:paraId="55A70CF7">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工作流程：</w:t>
      </w:r>
    </w:p>
    <w:p w14:paraId="13485F5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清理出的垃圾按指定位置堆放。清除垃圾桶（箱）的垃圾后，将桶（箱）搬到有水源的地方，先用水冲洗一遍，然后对污迹处倒少许去污粉擦洗，再用水冲洗干净，搬到原处放好。</w:t>
      </w:r>
    </w:p>
    <w:p w14:paraId="51B5F18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工作标准：</w:t>
      </w:r>
    </w:p>
    <w:p w14:paraId="5A7C6D12">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目视无污迹，无广告纸，每天清运、清洗一次，垃圾桶和箱每周用去污粉清洁一次。</w:t>
      </w:r>
    </w:p>
    <w:p w14:paraId="19012368">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垃圾桶周围不积污水，位置摆放合理，桶盖闭合，外观干净清洁。</w:t>
      </w:r>
    </w:p>
    <w:p w14:paraId="789DD52E">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9、会议室的保洁：</w:t>
      </w:r>
    </w:p>
    <w:p w14:paraId="360DA3A4">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会议室门面、门把手、表面无尘土、无污渍、手印。</w:t>
      </w:r>
    </w:p>
    <w:p w14:paraId="1A59B95D">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桌椅摆放整齐，干净无尘土、无毛发。</w:t>
      </w:r>
    </w:p>
    <w:p w14:paraId="60A51AF1">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墙面、布面无尘土、无污渍、悬挂摆放的各种饰品干净，摆放整齐。垃圾桶及时清倒、内外干净。地面先清扫，再用拖把清拖干净、无污渍、无杂物。检查照明、空调等设施，确保正常工作。</w:t>
      </w:r>
    </w:p>
    <w:p w14:paraId="7DA559AE">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10、保洁工具由中标人自带，如洗涤用品、清洁用品等。</w:t>
      </w:r>
    </w:p>
    <w:p w14:paraId="6F2A1EF7">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11、绿化服务</w:t>
      </w:r>
    </w:p>
    <w:p w14:paraId="0856DF9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服务区域内所有草坪、乔木、灌木、地面植物和其它植物。</w:t>
      </w:r>
    </w:p>
    <w:p w14:paraId="73AC39AF">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每天捡拾地面上白色垃圾及杂物，保证草坪干净。</w:t>
      </w:r>
    </w:p>
    <w:p w14:paraId="460CC0D9">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及时除草、打药、施肥、浇水保证草坪常绿，无杂草、无旱死枯死现象发生。</w:t>
      </w:r>
    </w:p>
    <w:p w14:paraId="50D44D87">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灌木根据不同季节，修剪、整理、浇水并及时清理修剪后的树干，保证树木整齐美观。</w:t>
      </w:r>
    </w:p>
    <w:p w14:paraId="78E46EE4">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树木美观造型，做到出院内四季常青，三季月花，树木茂盛。</w:t>
      </w:r>
    </w:p>
    <w:p w14:paraId="2ADBC685">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12、水电维修</w:t>
      </w:r>
    </w:p>
    <w:p w14:paraId="6BD69FB6">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（1）负责整个区域范围内的办公大楼、地下配电室、配水室、院内供电、供水设备及灯、管、线的日常管理和维修。</w:t>
      </w:r>
    </w:p>
    <w:p w14:paraId="480A782F">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（2）对配电室、配水室及水电管网、上下水管道经常检查，确保上下水管道无堵塞，设备正常运行无事故。</w:t>
      </w:r>
    </w:p>
    <w:p w14:paraId="3C9955E6">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（3）水电维修人员负责对各设备按时保养维护，确保设备良好运行，及时做好每日巡查记录。</w:t>
      </w:r>
    </w:p>
    <w:p w14:paraId="337AED02">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人员要求：</w:t>
      </w:r>
    </w:p>
    <w:p w14:paraId="13871071">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水电标准：保证安全情况下确保两个校区的正常供电、供水，校园内全部公共区域的所有建筑内外日常水电维修、巡检。需要24小时值班。</w:t>
      </w:r>
    </w:p>
    <w:p w14:paraId="30C89702">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13、</w:t>
      </w:r>
      <w:r>
        <w:rPr>
          <w:rFonts w:hint="eastAsia" w:asciiTheme="minorEastAsia" w:hAnsiTheme="minorEastAsia" w:eastAsiaTheme="minorEastAsia" w:cstheme="minorEastAsia"/>
          <w:spacing w:val="-1"/>
          <w:sz w:val="24"/>
          <w:szCs w:val="24"/>
        </w:rPr>
        <w:t>勤杂标准：保证按时完成分配的各项勤杂任务。</w:t>
      </w:r>
    </w:p>
    <w:p w14:paraId="4A1D418B">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楷体" w:hAnsi="楷体" w:eastAsia="楷体" w:cs="楷体"/>
          <w:spacing w:val="-1"/>
          <w:sz w:val="24"/>
          <w:szCs w:val="24"/>
        </w:rPr>
      </w:pPr>
      <w:r>
        <w:rPr>
          <w:rFonts w:hint="eastAsia" w:ascii="楷体" w:hAnsi="楷体" w:eastAsia="楷体" w:cs="楷体"/>
          <w:snapToGrid w:val="0"/>
          <w:color w:val="000000"/>
          <w:spacing w:val="-1"/>
          <w:kern w:val="0"/>
          <w:sz w:val="24"/>
          <w:szCs w:val="24"/>
          <w:lang w:val="en-US" w:eastAsia="zh-CN" w:bidi="ar-SA"/>
        </w:rPr>
        <w:t>（三）</w:t>
      </w:r>
      <w:r>
        <w:rPr>
          <w:rFonts w:hint="eastAsia" w:ascii="楷体" w:hAnsi="楷体" w:eastAsia="楷体" w:cs="楷体"/>
          <w:spacing w:val="-1"/>
          <w:sz w:val="24"/>
          <w:szCs w:val="24"/>
        </w:rPr>
        <w:t>人员要求</w:t>
      </w:r>
    </w:p>
    <w:p w14:paraId="6E242279">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1、人员配备情况：</w:t>
      </w:r>
    </w:p>
    <w:p w14:paraId="790C664C">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保洁人员不低于13人；绿化人员不低于3人；水电工不低于4人；勤杂及管理不低于5人。共需不低于25人。</w:t>
      </w:r>
    </w:p>
    <w:p w14:paraId="7FC77952">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2、拟派人员具有中华人民共和国国籍，拥护中华人民共和国宪法，拥护党的路线、方针、政策，遵守国家法律和社会公德，作风正派，品行端正。</w:t>
      </w:r>
    </w:p>
    <w:p w14:paraId="41AA863C">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 xml:space="preserve">3、拟派人员年龄不应超过55岁，身体健康、无不良嗜好，无违法犯罪记录。 </w:t>
      </w:r>
    </w:p>
    <w:p w14:paraId="70F560D9">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4、拟派的水电工须具有上岗证书。</w:t>
      </w:r>
    </w:p>
    <w:p w14:paraId="41567530">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5、拟派人员在工作期间及上下班途中如果发生安全及其它意外事故、疾病等，由成交供应商负全责。</w:t>
      </w:r>
    </w:p>
    <w:p w14:paraId="174D3772">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firstLine="476" w:firstLineChars="200"/>
        <w:jc w:val="both"/>
        <w:textAlignment w:val="baseline"/>
        <w:outlineLvl w:val="9"/>
        <w:rPr>
          <w:rFonts w:hint="eastAsia" w:ascii="楷体" w:hAnsi="楷体" w:eastAsia="楷体" w:cs="楷体"/>
          <w:spacing w:val="-1"/>
          <w:sz w:val="24"/>
          <w:szCs w:val="24"/>
        </w:rPr>
      </w:pPr>
      <w:r>
        <w:rPr>
          <w:rFonts w:hint="eastAsia" w:ascii="楷体" w:hAnsi="楷体" w:eastAsia="楷体" w:cs="楷体"/>
          <w:spacing w:val="-1"/>
          <w:sz w:val="24"/>
          <w:szCs w:val="24"/>
          <w:lang w:eastAsia="zh-CN"/>
        </w:rPr>
        <w:t>（</w:t>
      </w:r>
      <w:r>
        <w:rPr>
          <w:rFonts w:hint="eastAsia" w:ascii="楷体" w:hAnsi="楷体" w:eastAsia="楷体" w:cs="楷体"/>
          <w:spacing w:val="-1"/>
          <w:sz w:val="24"/>
          <w:szCs w:val="24"/>
          <w:lang w:val="en-US" w:eastAsia="zh-CN"/>
        </w:rPr>
        <w:t>四</w:t>
      </w:r>
      <w:r>
        <w:rPr>
          <w:rFonts w:hint="eastAsia" w:ascii="楷体" w:hAnsi="楷体" w:eastAsia="楷体" w:cs="楷体"/>
          <w:spacing w:val="-1"/>
          <w:sz w:val="24"/>
          <w:szCs w:val="24"/>
          <w:lang w:eastAsia="zh-CN"/>
        </w:rPr>
        <w:t>）</w:t>
      </w:r>
      <w:r>
        <w:rPr>
          <w:rFonts w:hint="eastAsia" w:ascii="楷体" w:hAnsi="楷体" w:eastAsia="楷体" w:cs="楷体"/>
          <w:spacing w:val="-1"/>
          <w:sz w:val="24"/>
          <w:szCs w:val="24"/>
        </w:rPr>
        <w:t>完成采购人交待的临时任务。</w:t>
      </w:r>
    </w:p>
    <w:p w14:paraId="1645CC30">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CCC6957">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1A806D21">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14:paraId="1E16B304">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服务</w:t>
      </w:r>
      <w:r>
        <w:rPr>
          <w:rFonts w:hint="eastAsia" w:asciiTheme="minorEastAsia" w:hAnsiTheme="minorEastAsia" w:eastAsiaTheme="minorEastAsia" w:cstheme="minorEastAsia"/>
          <w:spacing w:val="-1"/>
          <w:sz w:val="24"/>
          <w:szCs w:val="24"/>
        </w:rPr>
        <w:t>期限</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三年</w:t>
      </w:r>
      <w:r>
        <w:rPr>
          <w:rFonts w:hint="eastAsia" w:asciiTheme="minorEastAsia" w:hAnsiTheme="minorEastAsia" w:eastAsiaTheme="minorEastAsia" w:cstheme="minorEastAsia"/>
          <w:spacing w:val="-5"/>
          <w:sz w:val="24"/>
          <w:szCs w:val="24"/>
          <w:lang w:val="en-US" w:eastAsia="zh-CN"/>
        </w:rPr>
        <w:t>（合同一年一签）</w:t>
      </w:r>
    </w:p>
    <w:p w14:paraId="5E07125A">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
          <w:sz w:val="24"/>
          <w:szCs w:val="24"/>
          <w:lang w:val="en-US" w:eastAsia="zh-CN"/>
        </w:rPr>
        <w:t>2.服务</w:t>
      </w:r>
      <w:r>
        <w:rPr>
          <w:rFonts w:hint="eastAsia" w:asciiTheme="minorEastAsia" w:hAnsiTheme="minorEastAsia" w:eastAsiaTheme="minorEastAsia" w:cstheme="minorEastAsia"/>
          <w:spacing w:val="-1"/>
          <w:sz w:val="24"/>
          <w:szCs w:val="24"/>
        </w:rPr>
        <w:t>地点</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南阳市第二中学校</w:t>
      </w:r>
    </w:p>
    <w:p w14:paraId="00B88141">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3.付款方式：采购人以季度为单位根考核结果向中标单位支付上个季度的物业服务费，实际支付金额以实际服务期限为准，乙方应当向甲方开具相应金额的增值税发票。</w:t>
      </w:r>
    </w:p>
    <w:p w14:paraId="7E38097F">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4.服务质量：满足采购人要求及国家或行业相关标准</w:t>
      </w:r>
    </w:p>
    <w:p w14:paraId="37A0D156">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5.参与本项目的供应商需提供项目整体服务方案、拟投入设备、项目管理制度、环境卫生管理方案、水电维修方案、绿化养护方案及措施、应急预案。</w:t>
      </w:r>
    </w:p>
    <w:p w14:paraId="231C6B64">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default"/>
          <w:lang w:val="en-US" w:eastAsia="zh-CN"/>
        </w:rPr>
      </w:pPr>
      <w:r>
        <w:rPr>
          <w:rFonts w:hint="eastAsia" w:asciiTheme="minorEastAsia" w:hAnsiTheme="minorEastAsia" w:eastAsiaTheme="minorEastAsia" w:cstheme="minorEastAsia"/>
          <w:spacing w:val="-2"/>
          <w:sz w:val="24"/>
          <w:szCs w:val="24"/>
          <w:lang w:val="en-US" w:eastAsia="zh-CN"/>
        </w:rPr>
        <w:t>6.参与本项目的供应商需明确人员配备并提供相关信息。</w:t>
      </w:r>
    </w:p>
    <w:p w14:paraId="17CB45FC">
      <w:pPr>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outlineLvl w:val="9"/>
        <w:rPr>
          <w:rFonts w:hint="eastAsia" w:asciiTheme="minorEastAsia" w:hAnsiTheme="minorEastAsia" w:eastAsiaTheme="minorEastAsia" w:cstheme="minorEastAsia"/>
          <w:spacing w:val="-1"/>
          <w:sz w:val="24"/>
          <w:szCs w:val="24"/>
        </w:rPr>
      </w:pPr>
    </w:p>
    <w:p w14:paraId="5BB71E7C">
      <w:pPr>
        <w:pStyle w:val="9"/>
        <w:keepNext w:val="0"/>
        <w:keepLines w:val="0"/>
        <w:pageBreakBefore w:val="0"/>
        <w:numPr>
          <w:ilvl w:val="0"/>
          <w:numId w:val="0"/>
        </w:numPr>
        <w:kinsoku/>
        <w:wordWrap w:val="0"/>
        <w:overflowPunct/>
        <w:topLinePunct w:val="0"/>
        <w:bidi w:val="0"/>
        <w:spacing w:before="352" w:line="690" w:lineRule="exact"/>
        <w:jc w:val="both"/>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58FDE3D6">
      <w:pPr>
        <w:pStyle w:val="9"/>
        <w:keepNext w:val="0"/>
        <w:keepLines w:val="0"/>
        <w:pageBreakBefore w:val="0"/>
        <w:numPr>
          <w:ilvl w:val="0"/>
          <w:numId w:val="0"/>
        </w:numPr>
        <w:kinsoku/>
        <w:wordWrap w:val="0"/>
        <w:overflowPunct/>
        <w:topLinePunct w:val="0"/>
        <w:bidi w:val="0"/>
        <w:spacing w:before="352" w:line="690" w:lineRule="exact"/>
        <w:jc w:val="both"/>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458CB9E8">
      <w:pPr>
        <w:pStyle w:val="9"/>
        <w:keepNext w:val="0"/>
        <w:keepLines w:val="0"/>
        <w:pageBreakBefore w:val="0"/>
        <w:numPr>
          <w:ilvl w:val="0"/>
          <w:numId w:val="0"/>
        </w:numPr>
        <w:kinsoku/>
        <w:wordWrap w:val="0"/>
        <w:overflowPunct/>
        <w:topLinePunct w:val="0"/>
        <w:bidi w:val="0"/>
        <w:spacing w:before="352" w:line="690" w:lineRule="exact"/>
        <w:jc w:val="both"/>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7F976BC5">
      <w:pPr>
        <w:pStyle w:val="25"/>
        <w:rPr>
          <w:rFonts w:hint="eastAsia"/>
          <w:lang w:val="en-US" w:eastAsia="zh-CN"/>
        </w:rPr>
      </w:pPr>
    </w:p>
    <w:p w14:paraId="017794DC">
      <w:pPr>
        <w:pStyle w:val="9"/>
        <w:keepNext w:val="0"/>
        <w:keepLines w:val="0"/>
        <w:pageBreakBefore w:val="0"/>
        <w:numPr>
          <w:ilvl w:val="0"/>
          <w:numId w:val="0"/>
        </w:numPr>
        <w:kinsoku/>
        <w:wordWrap w:val="0"/>
        <w:overflowPunct/>
        <w:topLinePunct w:val="0"/>
        <w:bidi w:val="0"/>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5C19D600">
      <w:pPr>
        <w:pStyle w:val="9"/>
        <w:keepNext w:val="0"/>
        <w:keepLines w:val="0"/>
        <w:pageBreakBefore w:val="0"/>
        <w:numPr>
          <w:ilvl w:val="0"/>
          <w:numId w:val="0"/>
        </w:numPr>
        <w:kinsoku/>
        <w:wordWrap w:val="0"/>
        <w:overflowPunct/>
        <w:topLinePunct w:val="0"/>
        <w:bidi w:val="0"/>
        <w:spacing w:before="352" w:line="690" w:lineRule="exact"/>
        <w:jc w:val="cente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14:paraId="7E6198F2">
      <w:pPr>
        <w:pStyle w:val="9"/>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20"/>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9"/>
        <w:gridCol w:w="7188"/>
      </w:tblGrid>
      <w:tr w14:paraId="47D754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12" w:space="0"/>
              <w:left w:val="single" w:color="auto" w:sz="12" w:space="0"/>
              <w:bottom w:val="single" w:color="auto" w:sz="6" w:space="0"/>
              <w:right w:val="single" w:color="auto" w:sz="6" w:space="0"/>
            </w:tcBorders>
            <w:noWrap w:val="0"/>
            <w:vAlign w:val="center"/>
          </w:tcPr>
          <w:p w14:paraId="2A51DEE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188" w:type="dxa"/>
            <w:tcBorders>
              <w:top w:val="single" w:color="auto" w:sz="12" w:space="0"/>
              <w:left w:val="single" w:color="auto" w:sz="6" w:space="0"/>
              <w:bottom w:val="single" w:color="auto" w:sz="6" w:space="0"/>
              <w:right w:val="single" w:color="auto" w:sz="12" w:space="0"/>
            </w:tcBorders>
            <w:noWrap w:val="0"/>
            <w:vAlign w:val="center"/>
          </w:tcPr>
          <w:p w14:paraId="717FAEC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5AE419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4181A94">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3B70C824">
            <w:pPr>
              <w:pStyle w:val="27"/>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748301BF">
            <w:pPr>
              <w:pStyle w:val="2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rPr>
              <w:t>□货物</w:t>
            </w:r>
          </w:p>
        </w:tc>
      </w:tr>
      <w:tr w14:paraId="094D01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27F7A2D">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2698D6F8">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4B31DEE8">
            <w:pPr>
              <w:pStyle w:val="27"/>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7FCDE399">
            <w:pPr>
              <w:pStyle w:val="27"/>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73F8C7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22C4DE04">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4377A0B6">
            <w:pPr>
              <w:pStyle w:val="27"/>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tc>
      </w:tr>
      <w:tr w14:paraId="48A61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A1D1376">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16D953D">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tc>
      </w:tr>
      <w:tr w14:paraId="78C6A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8F7A51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D1543FD">
            <w:pPr>
              <w:pStyle w:val="27"/>
              <w:keepNext w:val="0"/>
              <w:keepLines w:val="0"/>
              <w:pageBreakBefore w:val="0"/>
              <w:widowControl/>
              <w:numPr>
                <w:ilvl w:val="0"/>
                <w:numId w:val="1"/>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物业管理 </w:t>
            </w:r>
          </w:p>
          <w:p w14:paraId="02E21A2A">
            <w:pPr>
              <w:pStyle w:val="2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ind w:firstLine="268" w:firstLineChars="100"/>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4CD5406B">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0230E1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66EE2F02">
            <w:pPr>
              <w:pStyle w:val="2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4940D79D">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4172302D">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6032CD6B">
            <w:pPr>
              <w:pStyle w:val="2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64DF6A1D">
            <w:pPr>
              <w:pStyle w:val="27"/>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7DAF3BD">
            <w:pPr>
              <w:pStyle w:val="27"/>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45DEE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CB35C3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2862C3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216 </w:t>
            </w:r>
            <w:r>
              <w:rPr>
                <w:rFonts w:hint="eastAsia" w:asciiTheme="minorEastAsia" w:hAnsiTheme="minorEastAsia" w:eastAsiaTheme="minorEastAsia" w:cstheme="minorEastAsia"/>
                <w:snapToGrid w:val="0"/>
                <w:color w:val="000000"/>
                <w:spacing w:val="29"/>
                <w:kern w:val="0"/>
                <w:sz w:val="24"/>
                <w:szCs w:val="24"/>
                <w:lang w:val="en-US" w:eastAsia="zh-CN" w:bidi="ar-SA"/>
              </w:rPr>
              <w:t>万元</w:t>
            </w:r>
          </w:p>
        </w:tc>
      </w:tr>
      <w:tr w14:paraId="3B53A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F4BDDF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581061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44B10D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2081FB1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42D12D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14:paraId="0BA52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027B371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2B3A5D9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2025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10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21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0C64F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00A307C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7E1191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2025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10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21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color w:val="auto"/>
                <w:spacing w:val="-15"/>
                <w:sz w:val="24"/>
                <w:szCs w:val="24"/>
              </w:rPr>
              <w:t>（北京时间）</w:t>
            </w:r>
          </w:p>
        </w:tc>
      </w:tr>
      <w:tr w14:paraId="5FB21A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A86370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核心产品</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F3B4D2D">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auto"/>
                <w:sz w:val="24"/>
                <w:szCs w:val="24"/>
                <w:lang w:val="en-US" w:eastAsia="zh-CN"/>
              </w:rPr>
              <w:t>本项目不适用核心产品</w:t>
            </w:r>
          </w:p>
        </w:tc>
      </w:tr>
      <w:tr w14:paraId="27CB6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DCB920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CB1324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14:paraId="1EABD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CFC535A">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是否采用“暗标”评审</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3750D28">
            <w:pPr>
              <w:pStyle w:val="27"/>
              <w:keepNext w:val="0"/>
              <w:keepLines w:val="0"/>
              <w:pageBreakBefore w:val="0"/>
              <w:kinsoku/>
              <w:wordWrap w:val="0"/>
              <w:overflowPunct/>
              <w:topLinePunct w:val="0"/>
              <w:bidi w:val="0"/>
              <w:spacing w:line="223"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否 </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是，具体要求详见投标人须知</w:t>
            </w:r>
          </w:p>
        </w:tc>
      </w:tr>
      <w:tr w14:paraId="5101C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AD7405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220557D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14:paraId="68274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249F58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447A288A">
            <w:pPr>
              <w:pStyle w:val="27"/>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06157E74">
      <w:pPr>
        <w:pStyle w:val="9"/>
        <w:keepNext w:val="0"/>
        <w:keepLines w:val="0"/>
        <w:pageBreakBefore w:val="0"/>
        <w:kinsoku/>
        <w:wordWrap w:val="0"/>
        <w:overflowPunct/>
        <w:topLinePunct w:val="0"/>
        <w:bidi w:val="0"/>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14:paraId="0720784D">
      <w:pPr>
        <w:pStyle w:val="9"/>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14:paraId="642E1C96">
      <w:pPr>
        <w:pStyle w:val="9"/>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bookmarkStart w:id="0" w:name="_GoBack"/>
      <w:bookmarkEnd w:id="0"/>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14:paraId="06679099">
      <w:pPr>
        <w:pStyle w:val="9"/>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14:paraId="39D2D9C7">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14:paraId="4E35FD53">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14:paraId="32144C3D">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00F156E5">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2AAB42C6">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14:paraId="708B8E21">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216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14:paraId="2595D668">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14:paraId="7FD2211B">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14:paraId="38E888CA">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14:paraId="59E55456">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58AE0A07">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14:paraId="5BC8F100">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14:paraId="45A1EB2E">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31E89DD4">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53EF2E88">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49227144">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143301F9">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6A1649F5">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257D2DC5">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58168262">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2F05E9F2">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4115F0F0">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436999CD">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7061C3AA">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07E90058">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035FA5EF">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20F3BE2F">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3C65AD6E">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382CDA6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5CF0407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76F305F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34A19D2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727EB66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5DE6F41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15BD2B09">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14:paraId="14A50DCF">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14:paraId="37E93A95">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14:paraId="6358C2A6">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 xml:space="preserve">3 </w:t>
      </w:r>
      <w:r>
        <w:rPr>
          <w:rFonts w:hint="eastAsia" w:asciiTheme="minorEastAsia" w:hAnsiTheme="minorEastAsia" w:eastAsiaTheme="minorEastAsia" w:cstheme="minorEastAsia"/>
          <w:sz w:val="24"/>
          <w:szCs w:val="24"/>
        </w:rPr>
        <w:t>网络安全专用产品</w:t>
      </w:r>
    </w:p>
    <w:p w14:paraId="38AEC73D">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1D9468AE">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4 </w:t>
      </w:r>
      <w:r>
        <w:rPr>
          <w:rFonts w:hint="eastAsia" w:asciiTheme="minorEastAsia" w:hAnsiTheme="minorEastAsia" w:eastAsiaTheme="minorEastAsia" w:cstheme="minorEastAsia"/>
          <w:spacing w:val="2"/>
          <w:sz w:val="24"/>
          <w:szCs w:val="24"/>
        </w:rPr>
        <w:t>采购需求标准</w:t>
      </w:r>
    </w:p>
    <w:p w14:paraId="73CC253B">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72F140AE">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4A630F77">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4E2D39CA">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14:paraId="74B4ED92">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6A906914">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14:paraId="3D9561C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14:paraId="5B2806D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7D97F76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6.3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学校物业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14:paraId="66FB3E1A">
      <w:pPr>
        <w:pStyle w:val="25"/>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3088D953">
      <w:pPr>
        <w:pStyle w:val="9"/>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4BC58F8B">
      <w:pPr>
        <w:pStyle w:val="9"/>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14:paraId="63C0FE99">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14:paraId="2C4F4A8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14:paraId="74E4B42D">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14:paraId="16E5339A">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14:paraId="1691984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14:paraId="68EB92EA">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14:paraId="380A6DFD">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14:paraId="1B467C71">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14:paraId="6075597A">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14:paraId="5736A763">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14:paraId="77B897DC">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14:paraId="099F94A9">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1C4F4BE2">
      <w:pPr>
        <w:keepNext w:val="0"/>
        <w:keepLines w:val="0"/>
        <w:pageBreakBefore w:val="0"/>
        <w:widowControl/>
        <w:overflowPunct/>
        <w:topLinePunct w:val="0"/>
        <w:autoSpaceDE w:val="0"/>
        <w:autoSpaceDN w:val="0"/>
        <w:bidi w:val="0"/>
        <w:adjustRightInd w:val="0"/>
        <w:snapToGrid w:val="0"/>
        <w:spacing w:line="400" w:lineRule="exact"/>
        <w:ind w:firstLine="450" w:firstLineChars="200"/>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snapToGrid w:val="0"/>
          <w:color w:val="000000"/>
          <w:spacing w:val="-8"/>
          <w:kern w:val="0"/>
          <w:sz w:val="24"/>
          <w:szCs w:val="24"/>
          <w:lang w:val="en-US" w:eastAsia="zh-CN" w:bidi="ar-SA"/>
        </w:rPr>
        <w:t>全国公共资源交易平台(河南省·南阳市)</w:t>
      </w:r>
      <w:r>
        <w:rPr>
          <w:rFonts w:hint="eastAsia" w:asciiTheme="minorEastAsia" w:hAnsiTheme="minorEastAsia" w:eastAsiaTheme="minorEastAsia" w:cstheme="minorEastAsia"/>
          <w:b/>
          <w:bCs/>
          <w:spacing w:val="-8"/>
          <w:sz w:val="24"/>
          <w:szCs w:val="24"/>
          <w:lang w:val="en-US" w:eastAsia="zh-CN"/>
        </w:rPr>
        <w:t>”发布，请潜在投标供应商随时查询有关公告信息。若因潜在投标供应商没有及时查看到公告信息而造成的投标失误，责任自负。</w:t>
      </w:r>
    </w:p>
    <w:p w14:paraId="7118034B">
      <w:pPr>
        <w:pStyle w:val="9"/>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14:paraId="69821044">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p>
    <w:p w14:paraId="0600AAD3">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14:paraId="45C5ACB6">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14:paraId="2D61AD6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14:paraId="21CC961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14:paraId="6EA3659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FBE886C">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14:paraId="2AE89013">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技术文件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14:paraId="55F415B0">
      <w:pPr>
        <w:pStyle w:val="34"/>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14:paraId="6F94EFF6">
      <w:pPr>
        <w:pStyle w:val="34"/>
        <w:snapToGrid w:val="0"/>
        <w:spacing w:line="360" w:lineRule="auto"/>
        <w:ind w:firstLine="480" w:firstLineChars="200"/>
        <w:textAlignment w:val="auto"/>
        <w:rPr>
          <w:rFonts w:hint="eastAsia" w:hAnsi="宋体" w:cs="宋体"/>
          <w:sz w:val="24"/>
          <w:szCs w:val="24"/>
        </w:rPr>
      </w:pPr>
      <w:r>
        <w:rPr>
          <w:rFonts w:hint="eastAsia" w:asciiTheme="minorEastAsia" w:hAnsiTheme="minorEastAsia" w:eastAsiaTheme="minorEastAsia" w:cstheme="minorEastAsia"/>
          <w:sz w:val="24"/>
          <w:szCs w:val="24"/>
          <w:lang w:val="en-US" w:eastAsia="zh-CN"/>
        </w:rPr>
        <w:t>10.3</w:t>
      </w:r>
      <w:r>
        <w:rPr>
          <w:rFonts w:hint="eastAsia" w:hAnsi="宋体" w:cs="宋体"/>
          <w:sz w:val="24"/>
          <w:szCs w:val="24"/>
        </w:rPr>
        <w:t>投标文件应严格按照政府采购法律法规和招标文件要求，分开编制商务标和技术标，对能明显区分投标供应商的内容，应放入商务标；技术标中不能出现涉及投标供应商名称及相关提示内容的任何信息。</w:t>
      </w:r>
    </w:p>
    <w:p w14:paraId="5AC8D22D">
      <w:pPr>
        <w:pStyle w:val="34"/>
        <w:snapToGrid w:val="0"/>
        <w:spacing w:line="360" w:lineRule="auto"/>
        <w:ind w:firstLine="480"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10.4技术标文件制作要求：</w:t>
      </w:r>
    </w:p>
    <w:p w14:paraId="01F194C2">
      <w:pPr>
        <w:pStyle w:val="34"/>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.1版面要求：A4纸张大小</w:t>
      </w:r>
      <w:r>
        <w:rPr>
          <w:rFonts w:hint="default" w:hAnsi="宋体" w:cs="宋体"/>
          <w:b/>
          <w:bCs/>
          <w:sz w:val="24"/>
          <w:szCs w:val="24"/>
        </w:rPr>
        <w:t>，纵向排版</w:t>
      </w:r>
      <w:r>
        <w:rPr>
          <w:rFonts w:hint="eastAsia" w:hAnsi="宋体" w:cs="宋体"/>
          <w:b/>
          <w:bCs/>
          <w:sz w:val="24"/>
          <w:szCs w:val="24"/>
        </w:rPr>
        <w:t xml:space="preserve">。 </w:t>
      </w:r>
    </w:p>
    <w:p w14:paraId="57DAA20F">
      <w:pPr>
        <w:pStyle w:val="34"/>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 xml:space="preserve">.2颜色要求：所有文字、图表均为黑色。 </w:t>
      </w:r>
    </w:p>
    <w:p w14:paraId="37BF995D">
      <w:pPr>
        <w:pStyle w:val="34"/>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 xml:space="preserve">.3字体要求：标题及正文部分所用文字均采用“宋体”四号“常规”字；图、表内的字体及字号不作要求；全部使用中文标点；所有字体均不得出现加粗、加色、倾斜、下划线等标记。 </w:t>
      </w:r>
    </w:p>
    <w:p w14:paraId="0D744937">
      <w:pPr>
        <w:pStyle w:val="34"/>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.4</w:t>
      </w:r>
      <w:r>
        <w:rPr>
          <w:rFonts w:hint="eastAsia" w:hAnsi="宋体" w:eastAsia="宋体" w:cs="宋体"/>
          <w:b/>
          <w:bCs/>
          <w:sz w:val="24"/>
          <w:szCs w:val="24"/>
          <w:lang w:val="en-US" w:eastAsia="zh-CN"/>
        </w:rPr>
        <w:t xml:space="preserve"> </w:t>
      </w:r>
      <w:r>
        <w:rPr>
          <w:rFonts w:hint="eastAsia" w:hAnsi="宋体" w:cs="宋体"/>
          <w:b/>
          <w:bCs/>
          <w:sz w:val="24"/>
          <w:szCs w:val="24"/>
        </w:rPr>
        <w:t>排版要求：页边距要求上</w:t>
      </w:r>
      <w:r>
        <w:rPr>
          <w:rFonts w:hint="eastAsia" w:hAnsi="宋体" w:eastAsia="宋体" w:cs="宋体"/>
          <w:b/>
          <w:bCs/>
          <w:sz w:val="24"/>
          <w:szCs w:val="24"/>
          <w:lang w:eastAsia="zh-CN"/>
        </w:rPr>
        <w:t>、</w:t>
      </w:r>
      <w:r>
        <w:rPr>
          <w:rFonts w:hint="eastAsia" w:hAnsi="宋体" w:eastAsia="宋体" w:cs="宋体"/>
          <w:b/>
          <w:bCs/>
          <w:sz w:val="24"/>
          <w:szCs w:val="24"/>
          <w:lang w:val="en-US" w:eastAsia="zh-CN"/>
        </w:rPr>
        <w:t>下</w:t>
      </w:r>
      <w:r>
        <w:rPr>
          <w:rFonts w:hint="eastAsia" w:hAnsi="宋体" w:cs="宋体"/>
          <w:b/>
          <w:bCs/>
          <w:sz w:val="24"/>
          <w:szCs w:val="24"/>
        </w:rPr>
        <w:t>边距</w:t>
      </w:r>
      <w:r>
        <w:rPr>
          <w:rFonts w:hint="eastAsia" w:hAnsi="宋体" w:eastAsia="宋体" w:cs="宋体"/>
          <w:b/>
          <w:bCs/>
          <w:sz w:val="24"/>
          <w:szCs w:val="24"/>
          <w:lang w:val="en-US" w:eastAsia="zh-CN"/>
        </w:rPr>
        <w:t>3</w:t>
      </w:r>
      <w:r>
        <w:rPr>
          <w:rFonts w:hint="eastAsia" w:hAnsi="宋体" w:cs="宋体"/>
          <w:b/>
          <w:bCs/>
          <w:sz w:val="24"/>
          <w:szCs w:val="24"/>
        </w:rPr>
        <w:t>厘米，</w:t>
      </w:r>
      <w:r>
        <w:rPr>
          <w:rFonts w:hint="eastAsia" w:hAnsi="宋体" w:eastAsia="宋体" w:cs="宋体"/>
          <w:b/>
          <w:bCs/>
          <w:sz w:val="24"/>
          <w:szCs w:val="24"/>
          <w:lang w:val="en-US" w:eastAsia="zh-CN"/>
        </w:rPr>
        <w:t>左、右页边距2厘米</w:t>
      </w:r>
      <w:r>
        <w:rPr>
          <w:rFonts w:hint="eastAsia" w:hAnsi="宋体" w:cs="宋体"/>
          <w:b/>
          <w:bCs/>
          <w:sz w:val="24"/>
          <w:szCs w:val="24"/>
        </w:rPr>
        <w:t>；不得设置目录；正文行间距为固定值</w:t>
      </w:r>
      <w:r>
        <w:rPr>
          <w:rFonts w:hint="eastAsia" w:hAnsi="宋体" w:eastAsia="宋体" w:cs="宋体"/>
          <w:b/>
          <w:bCs/>
          <w:sz w:val="24"/>
          <w:szCs w:val="24"/>
          <w:lang w:val="en-US" w:eastAsia="zh-CN"/>
        </w:rPr>
        <w:t>25</w:t>
      </w:r>
      <w:r>
        <w:rPr>
          <w:rFonts w:hint="eastAsia" w:hAnsi="宋体" w:cs="宋体"/>
          <w:b/>
          <w:bCs/>
          <w:sz w:val="24"/>
          <w:szCs w:val="24"/>
        </w:rPr>
        <w:t>磅；文字内容（含正文标题、正文及表格标题）统一设为左对齐；首行缩进2字符，不得有空格；段落前后不设置空行；不得设置页眉、页脚和页码；图、表部分对齐形式统一设为居中对齐。</w:t>
      </w:r>
    </w:p>
    <w:p w14:paraId="2F40EE94">
      <w:pPr>
        <w:pStyle w:val="34"/>
        <w:snapToGrid w:val="0"/>
        <w:spacing w:line="360" w:lineRule="auto"/>
        <w:ind w:firstLine="490" w:firstLineChars="200"/>
        <w:textAlignment w:val="auto"/>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10.4.5 除满足上述各项要求外，技术“暗标”中不得出现任何行间插字或删除痕迹，构成投标文件的“技术暗标”的正文中不得出现投标人的名称和其它可识别投标人身份的字符、徽标、人员名称以及其他特殊标记等。</w:t>
      </w:r>
    </w:p>
    <w:p w14:paraId="176144A8">
      <w:pPr>
        <w:pStyle w:val="34"/>
        <w:snapToGrid w:val="0"/>
        <w:spacing w:line="360" w:lineRule="auto"/>
        <w:ind w:firstLine="490" w:firstLineChars="200"/>
        <w:textAlignment w:val="auto"/>
        <w:rPr>
          <w:rFonts w:hint="default" w:hAnsi="宋体" w:cs="宋体"/>
          <w:b/>
          <w:bCs/>
          <w:sz w:val="24"/>
          <w:szCs w:val="24"/>
          <w:lang w:val="en-US"/>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10.4.6编写软件及版本要求:MicrosoftWord2007或以上。</w:t>
      </w:r>
    </w:p>
    <w:p w14:paraId="4323CDD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14:paraId="3D30D2F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14:paraId="1F1FE7F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7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40DBED8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8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14:paraId="56F52A5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10.9 </w:t>
      </w:r>
      <w:r>
        <w:rPr>
          <w:rFonts w:hint="eastAsia" w:asciiTheme="minorEastAsia" w:hAnsiTheme="minorEastAsia" w:eastAsiaTheme="minorEastAsia" w:cstheme="minorEastAsia"/>
          <w:sz w:val="24"/>
          <w:szCs w:val="24"/>
          <w:lang w:eastAsia="zh-CN"/>
        </w:rPr>
        <w:t>投标人认为应附的其他材料。</w:t>
      </w:r>
    </w:p>
    <w:p w14:paraId="676A2657">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14:paraId="7326385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14:paraId="74B9E6B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14:paraId="3B05DDD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1E89861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14:paraId="391093A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30395A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14:paraId="406E0B7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14:paraId="0C55AA63">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8AF277A">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14:paraId="343C887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14:paraId="3512B0F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14:paraId="16B955F1">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14:paraId="564E486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14:paraId="02A53E0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14:paraId="28D53E0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336B208">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14:paraId="09856115">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14:paraId="29C6B24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14:paraId="07818CC7">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14:paraId="39EED0CF">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14:paraId="3299C292">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14:paraId="3F8783BF">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14:paraId="4FB7E14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6A449803">
      <w:pPr>
        <w:pStyle w:val="9"/>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14:paraId="1F44A52E">
      <w:pPr>
        <w:pStyle w:val="9"/>
        <w:keepNext w:val="0"/>
        <w:keepLines w:val="0"/>
        <w:pageBreakBefore w:val="0"/>
        <w:kinsoku/>
        <w:wordWrap w:val="0"/>
        <w:overflowPunct/>
        <w:topLinePunct w:val="0"/>
        <w:bidi w:val="0"/>
        <w:spacing w:before="255" w:line="221" w:lineRule="auto"/>
        <w:ind w:left="3942"/>
        <w:jc w:val="both"/>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14:paraId="5907FA83">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14:paraId="5EC0C8F1">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14:paraId="222CA657">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14:paraId="6B2E352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14:paraId="67E7D4B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618B9F4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14:paraId="47A90A0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14:paraId="0B71D2C9">
      <w:pPr>
        <w:pStyle w:val="9"/>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14:paraId="181C5B45">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14:paraId="2A64CDB5">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14:paraId="331F07DD">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14:paraId="51DB05CF">
      <w:pPr>
        <w:pStyle w:val="25"/>
        <w:rPr>
          <w:rFonts w:hint="eastAsia"/>
          <w:lang w:val="en-US" w:eastAsia="zh-CN"/>
        </w:rPr>
      </w:pPr>
    </w:p>
    <w:p w14:paraId="6FED33D6">
      <w:pPr>
        <w:pStyle w:val="9"/>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14:paraId="00F42244">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26"/>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14:paraId="2EA2F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vAlign w:val="top"/>
          </w:tcPr>
          <w:p w14:paraId="7F64D47A">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61" w:type="dxa"/>
            <w:vAlign w:val="top"/>
          </w:tcPr>
          <w:p w14:paraId="1A7C28FE">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600" w:type="dxa"/>
            <w:vAlign w:val="top"/>
          </w:tcPr>
          <w:p w14:paraId="664EFF79">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967" w:type="dxa"/>
            <w:vAlign w:val="top"/>
          </w:tcPr>
          <w:p w14:paraId="2B742B3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0B5CF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29" w:type="dxa"/>
            <w:vAlign w:val="center"/>
          </w:tcPr>
          <w:p w14:paraId="607616D0">
            <w:pPr>
              <w:pStyle w:val="27"/>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5D1A18CD">
            <w:pPr>
              <w:pStyle w:val="27"/>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61" w:type="dxa"/>
            <w:vAlign w:val="center"/>
          </w:tcPr>
          <w:p w14:paraId="3948708C">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3600" w:type="dxa"/>
            <w:vAlign w:val="top"/>
          </w:tcPr>
          <w:p w14:paraId="008E3B2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11095CB1">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337B6B7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090E6151">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54178141">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71D9CFC5">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21CD4EBE">
            <w:pPr>
              <w:keepNext w:val="0"/>
              <w:keepLines w:val="0"/>
              <w:pageBreakBefore w:val="0"/>
              <w:kinsoku/>
              <w:wordWrap w:val="0"/>
              <w:overflowPunct/>
              <w:topLinePunct w:val="0"/>
              <w:autoSpaceDE/>
              <w:autoSpaceDN/>
              <w:bidi w:val="0"/>
              <w:adjustRightInd/>
              <w:snapToGrid/>
              <w:spacing w:line="360" w:lineRule="auto"/>
              <w:ind w:firstLine="472" w:firstLineChars="200"/>
              <w:jc w:val="both"/>
              <w:textAlignment w:val="auto"/>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7.遵守国家有关法律、法规、规章。</w:t>
            </w:r>
          </w:p>
          <w:p w14:paraId="490CF3C0">
            <w:pPr>
              <w:keepNext w:val="0"/>
              <w:keepLines w:val="0"/>
              <w:pageBreakBefore w:val="0"/>
              <w:kinsoku/>
              <w:wordWrap w:val="0"/>
              <w:overflowPunct/>
              <w:topLinePunct w:val="0"/>
              <w:autoSpaceDE/>
              <w:autoSpaceDN/>
              <w:bidi w:val="0"/>
              <w:adjustRightInd/>
              <w:snapToGrid/>
              <w:spacing w:line="360" w:lineRule="auto"/>
              <w:ind w:firstLine="426" w:firstLineChars="200"/>
              <w:jc w:val="both"/>
              <w:textAlignment w:val="auto"/>
              <w:rPr>
                <w:rFonts w:hint="eastAsia" w:asciiTheme="minorEastAsia" w:hAnsiTheme="minorEastAsia" w:eastAsiaTheme="minorEastAsia" w:cstheme="minorEastAsia"/>
                <w:snapToGrid w:val="0"/>
                <w:color w:val="auto"/>
                <w:spacing w:val="-14"/>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14"/>
                <w:kern w:val="0"/>
                <w:sz w:val="24"/>
                <w:szCs w:val="24"/>
                <w:highlight w:val="none"/>
                <w:lang w:val="en-US" w:eastAsia="zh-CN" w:bidi="ar-SA"/>
              </w:rPr>
              <w:t>8.</w:t>
            </w:r>
            <w:r>
              <w:rPr>
                <w:rFonts w:hint="eastAsia" w:ascii="宋体" w:hAnsi="宋体" w:eastAsia="宋体" w:cs="宋体"/>
                <w:b/>
                <w:color w:val="auto"/>
                <w:sz w:val="24"/>
                <w:szCs w:val="24"/>
                <w:highlight w:val="none"/>
                <w:lang w:eastAsia="zh-CN"/>
              </w:rPr>
              <w:t>本项目专门面向</w:t>
            </w:r>
            <w:r>
              <w:rPr>
                <w:rFonts w:hint="eastAsia" w:ascii="宋体" w:hAnsi="宋体" w:eastAsia="宋体" w:cs="宋体"/>
                <w:b/>
                <w:color w:val="auto"/>
                <w:sz w:val="24"/>
                <w:szCs w:val="24"/>
                <w:highlight w:val="none"/>
                <w:lang w:val="en-US" w:eastAsia="zh-CN"/>
              </w:rPr>
              <w:t>中小</w:t>
            </w:r>
            <w:r>
              <w:rPr>
                <w:rFonts w:hint="eastAsia" w:ascii="宋体" w:hAnsi="宋体" w:eastAsia="宋体" w:cs="宋体"/>
                <w:b/>
                <w:color w:val="auto"/>
                <w:sz w:val="24"/>
                <w:szCs w:val="24"/>
                <w:highlight w:val="none"/>
                <w:lang w:eastAsia="zh-CN"/>
              </w:rPr>
              <w:t>企业采购，投标人须提交</w:t>
            </w:r>
            <w:r>
              <w:rPr>
                <w:rFonts w:hint="eastAsia" w:ascii="宋体" w:hAnsi="宋体" w:eastAsia="宋体" w:cs="宋体"/>
                <w:b/>
                <w:color w:val="auto"/>
                <w:sz w:val="24"/>
                <w:szCs w:val="24"/>
                <w:highlight w:val="none"/>
                <w:lang w:val="en-US" w:eastAsia="zh-CN"/>
              </w:rPr>
              <w:t>服务机构</w:t>
            </w:r>
            <w:r>
              <w:rPr>
                <w:rFonts w:hint="eastAsia" w:ascii="宋体" w:hAnsi="宋体" w:eastAsia="宋体" w:cs="宋体"/>
                <w:b/>
                <w:color w:val="auto"/>
                <w:sz w:val="24"/>
                <w:szCs w:val="24"/>
                <w:highlight w:val="none"/>
                <w:lang w:eastAsia="zh-CN"/>
              </w:rPr>
              <w:t>出具的</w:t>
            </w:r>
            <w:r>
              <w:rPr>
                <w:rFonts w:hint="eastAsia" w:ascii="宋体" w:hAnsi="宋体" w:eastAsia="宋体" w:cs="宋体"/>
                <w:b/>
                <w:color w:val="auto"/>
                <w:sz w:val="24"/>
                <w:szCs w:val="24"/>
                <w:highlight w:val="none"/>
                <w:lang w:val="en-US" w:eastAsia="zh-CN"/>
              </w:rPr>
              <w:t>中小</w:t>
            </w:r>
            <w:r>
              <w:rPr>
                <w:rFonts w:hint="eastAsia" w:ascii="宋体" w:hAnsi="宋体" w:eastAsia="宋体" w:cs="宋体"/>
                <w:b/>
                <w:color w:val="auto"/>
                <w:sz w:val="24"/>
                <w:szCs w:val="24"/>
                <w:highlight w:val="none"/>
                <w:lang w:eastAsia="zh-CN"/>
              </w:rPr>
              <w:t>企业声明函。</w:t>
            </w:r>
          </w:p>
          <w:p w14:paraId="448496D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p>
        </w:tc>
        <w:tc>
          <w:tcPr>
            <w:tcW w:w="2967" w:type="dxa"/>
            <w:vAlign w:val="top"/>
          </w:tcPr>
          <w:p w14:paraId="214BD0D4">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14:paraId="0104F633">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14:paraId="45E2CE82">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14:paraId="2FC12696">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14:paraId="6D98D035">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38524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vAlign w:val="top"/>
          </w:tcPr>
          <w:p w14:paraId="6554CCA5">
            <w:pPr>
              <w:pStyle w:val="27"/>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61" w:type="dxa"/>
            <w:vAlign w:val="top"/>
          </w:tcPr>
          <w:p w14:paraId="0A8B65D2">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600" w:type="dxa"/>
            <w:vAlign w:val="top"/>
          </w:tcPr>
          <w:p w14:paraId="49DDB7B1">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vAlign w:val="top"/>
          </w:tcPr>
          <w:p w14:paraId="066873BC">
            <w:pPr>
              <w:pStyle w:val="2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6D557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9" w:type="dxa"/>
            <w:vAlign w:val="top"/>
          </w:tcPr>
          <w:p w14:paraId="5A81B2CC">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34F2CBC">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741A05C3">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109621A7">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624A389">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122E33DA">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556F1720">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4F63462">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1F772AA5">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5443897A">
            <w:pPr>
              <w:pStyle w:val="27"/>
              <w:keepNext w:val="0"/>
              <w:keepLines w:val="0"/>
              <w:pageBreakBefore w:val="0"/>
              <w:kinsoku/>
              <w:wordWrap w:val="0"/>
              <w:overflowPunct/>
              <w:topLinePunct w:val="0"/>
              <w:bidi w:val="0"/>
              <w:spacing w:before="49" w:line="19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61" w:type="dxa"/>
            <w:vAlign w:val="top"/>
          </w:tcPr>
          <w:p w14:paraId="282BB8D5">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4BC8F89">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0305DA8">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C6DA540">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4604793">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3DD2E78">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4645E11">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62C638F">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06A9FDB6">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72DE737">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600" w:type="dxa"/>
            <w:vAlign w:val="top"/>
          </w:tcPr>
          <w:p w14:paraId="5F075619">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6CBD4C24">
            <w:pPr>
              <w:pStyle w:val="27"/>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45296B3E">
            <w:pPr>
              <w:pStyle w:val="27"/>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2967" w:type="dxa"/>
            <w:vAlign w:val="top"/>
          </w:tcPr>
          <w:p w14:paraId="3F6FBFFD">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EC6A52E">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50101BF">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3C98560">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BB7BB19">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96B6927">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25169D8">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7ECAC3C">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210F4D3">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EE530F7">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019C7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vAlign w:val="top"/>
          </w:tcPr>
          <w:p w14:paraId="76C4F478">
            <w:pPr>
              <w:pStyle w:val="27"/>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61" w:type="dxa"/>
            <w:vAlign w:val="top"/>
          </w:tcPr>
          <w:p w14:paraId="56AD0FFD">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求</w:t>
            </w:r>
          </w:p>
        </w:tc>
        <w:tc>
          <w:tcPr>
            <w:tcW w:w="3600" w:type="dxa"/>
            <w:vAlign w:val="top"/>
          </w:tcPr>
          <w:p w14:paraId="5D54A584">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vAlign w:val="top"/>
          </w:tcPr>
          <w:p w14:paraId="3899C1DA">
            <w:pPr>
              <w:pStyle w:val="2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1B0AAAEB">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719EB1E5">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p>
    <w:p w14:paraId="2F7C7480">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14:paraId="5212A0E5">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14:paraId="3E812A34">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0EC28885">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14:paraId="175F02DE">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14:paraId="1E0AF9FA">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14:paraId="2EE8FABF">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03C6AD2">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14:paraId="19C278E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14:paraId="02AD9C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14:paraId="35309A4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14:paraId="422CFB7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14:paraId="63CBF3F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14:paraId="2A1128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14:paraId="4D7CBA6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4" w:firstLineChars="200"/>
        <w:jc w:val="both"/>
        <w:textAlignment w:val="baseline"/>
        <w:rPr>
          <w:rFonts w:hint="eastAsia" w:asciiTheme="minorEastAsia" w:hAnsiTheme="minorEastAsia" w:eastAsiaTheme="minorEastAsia" w:cstheme="minorEastAsia"/>
          <w:b/>
          <w:bCs/>
          <w:spacing w:val="3"/>
          <w:sz w:val="24"/>
          <w:szCs w:val="24"/>
          <w:lang w:val="en-US" w:eastAsia="zh-CN"/>
        </w:rPr>
      </w:pPr>
    </w:p>
    <w:p w14:paraId="34F74146">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14:paraId="2A3B495B">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14:paraId="31280F5C">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评标委员会对资格审查合格的投标人的投标文件进行符合性审查，以</w:t>
      </w:r>
    </w:p>
    <w:p w14:paraId="367865A4">
      <w:pPr>
        <w:pStyle w:val="9"/>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确定其</w:t>
      </w:r>
      <w:r>
        <w:rPr>
          <w:rFonts w:hint="eastAsia" w:asciiTheme="minorEastAsia" w:hAnsiTheme="minorEastAsia" w:eastAsiaTheme="minorEastAsia" w:cstheme="minorEastAsia"/>
          <w:spacing w:val="-3"/>
          <w:sz w:val="24"/>
          <w:szCs w:val="24"/>
        </w:rPr>
        <w:t>是否满足招标文件的实质性要求。</w:t>
      </w:r>
    </w:p>
    <w:p w14:paraId="1C3712AF">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427DC49C">
      <w:pPr>
        <w:pStyle w:val="9"/>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14:paraId="7BDB51A3">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26"/>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168B4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14:paraId="411C108B">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14:paraId="69C68D17">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14:paraId="1BF40F64">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14:paraId="32DD4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311B2F76">
            <w:pPr>
              <w:pStyle w:val="27"/>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14:paraId="264CD242">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14:paraId="7334FF86">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14:paraId="3C914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28452A5F">
            <w:pPr>
              <w:pStyle w:val="27"/>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7E1B33ED">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1218EFCD">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14:paraId="037C2821">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32AE5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3A2449EC">
            <w:pPr>
              <w:pStyle w:val="27"/>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14:paraId="023B056C">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14:paraId="4B05F2BE">
            <w:pPr>
              <w:pStyle w:val="27"/>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14:paraId="45433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1E3332A4">
            <w:pPr>
              <w:pStyle w:val="27"/>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14:paraId="0CBD7F8E">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14:paraId="51FA9FE0">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14:paraId="26B6C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4DA4E795">
            <w:pPr>
              <w:pStyle w:val="27"/>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14:paraId="2BA84B13">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14:paraId="75353B6D">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14:paraId="614D8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56B3B92E">
            <w:pPr>
              <w:pStyle w:val="27"/>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14:paraId="3283AE25">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14:paraId="6B881626">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14:paraId="6A105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6D5F1C1A">
            <w:pPr>
              <w:pStyle w:val="27"/>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14:paraId="2B0994EF">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vAlign w:val="top"/>
          </w:tcPr>
          <w:p w14:paraId="04C044F6">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36031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14:paraId="322D6C3A">
            <w:pPr>
              <w:pStyle w:val="27"/>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14:paraId="21DC7763">
            <w:pPr>
              <w:pStyle w:val="27"/>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14:paraId="3D3F70BC">
            <w:pPr>
              <w:pStyle w:val="27"/>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14:paraId="0B249F4F">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14:paraId="3B2273CC">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14:paraId="7B718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14:paraId="3DFA33B6">
            <w:pPr>
              <w:pStyle w:val="2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center"/>
          </w:tcPr>
          <w:p w14:paraId="6A6EC631">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14:paraId="58B0606C">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5D932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051BA488">
            <w:pPr>
              <w:pStyle w:val="2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14:paraId="3A4FC49F">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14:paraId="60BA8E87">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0D0AF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14:paraId="73E0FB0C">
            <w:pPr>
              <w:pStyle w:val="27"/>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14:paraId="2A261606">
            <w:pPr>
              <w:pStyle w:val="2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14:paraId="215DE331">
            <w:pPr>
              <w:pStyle w:val="2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2BF42D55">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14:paraId="4AE6E888">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14:paraId="06874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34FC973D">
            <w:pPr>
              <w:pStyle w:val="27"/>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204BC9A1">
            <w:pPr>
              <w:pStyle w:val="27"/>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2E0EA9C6">
            <w:pPr>
              <w:pStyle w:val="27"/>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4786985D">
            <w:pPr>
              <w:pStyle w:val="2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14:paraId="724F0649">
            <w:pPr>
              <w:pStyle w:val="27"/>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498E4007">
            <w:pPr>
              <w:pStyle w:val="27"/>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5F6E3FB3">
            <w:pPr>
              <w:pStyle w:val="27"/>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14:paraId="470D1AF7">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14:paraId="683BED9A">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14:paraId="13B958DA">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14:paraId="13634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433EC196">
            <w:pPr>
              <w:pStyle w:val="27"/>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14:paraId="54B4E5B2">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14:paraId="7A42532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14:paraId="69A59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58B17A71">
            <w:pPr>
              <w:pStyle w:val="27"/>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14:paraId="3F990D1C">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14:paraId="012BCD72">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14:paraId="7E3EB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14:paraId="03D0F236">
            <w:pPr>
              <w:pStyle w:val="27"/>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14:paraId="31976351">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14:paraId="21A31802">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14:paraId="56BF7BA3">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14:paraId="29131C01">
      <w:pPr>
        <w:pStyle w:val="9"/>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☑服务类，审查整体服务方案、拟投入设备、项目管理制度、环境卫生管理方案、水电维修方案、绿化养护方案及措施、应急预案等是否符合招标要求。</w:t>
      </w:r>
    </w:p>
    <w:p w14:paraId="08346A28">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14:paraId="60959603">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0B47548A">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14:paraId="706914B4">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21D5BDB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506BF23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14:paraId="3CAA9EC2">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580C3556">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14:paraId="26D57386">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14:paraId="35507391">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482C556D">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605DA716">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最低评标价法，指投标文件满足招标文件全部实质性要求，且投标报价最低的投标人为中标候选人的评标方法。</w:t>
      </w:r>
    </w:p>
    <w:p w14:paraId="45A31F12">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18906286">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w:t>
      </w:r>
    </w:p>
    <w:p w14:paraId="0C7C2BD3">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2.非政府强制采购的节能产品或环境标志产品，依据品目清单和认证证书实施政府优先采购。优先采购的具体规定（如涉及）。</w:t>
      </w:r>
    </w:p>
    <w:p w14:paraId="6B9F97A5">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关于无线局域网认证产品政府采购清单中的产品，优先采购的具体规定（如涉及）</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3EE6C034">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14:paraId="728640EB">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4A59DF67">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14:paraId="15AC8F72">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优先选择报价低的   。</w:t>
      </w:r>
    </w:p>
    <w:p w14:paraId="266B1E44">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14:paraId="7BE81A51">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采用最低评标价法时，评标结果</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按照</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投标报价由低到高顺序排列。投标报价相同的并列。投标文件满足招标文件全部实质性要求且投标报价最低的投标人为排名第一的中标候选人。</w:t>
      </w:r>
    </w:p>
    <w:p w14:paraId="5B04C309">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 xml:space="preserve">4.4 </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14:paraId="2507BC13">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5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员会共推荐</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3 </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名中标</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候选人。</w:t>
      </w:r>
    </w:p>
    <w:p w14:paraId="06BCD991">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14:paraId="09CF149E">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14:paraId="4AF97750">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14:paraId="2096C5A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☑采购人应当在收到评标报告之日起5个工作日内，在评标报告确定的中标候选人名单中按顺序确定中标人。</w:t>
      </w:r>
    </w:p>
    <w:p w14:paraId="57EFA74D">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14:paraId="122D354B">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14:paraId="5228D4D6">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14:paraId="21D4A8F4">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14:paraId="2B7EC504">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14:paraId="327C2F94">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14:paraId="0A30EA15">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14:paraId="04910D18">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（7）电子投标文件未使用CA</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581D5824">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14:paraId="3D607F20">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14:paraId="2D813296">
      <w:pPr>
        <w:pStyle w:val="16"/>
        <w:ind w:firstLine="490" w:firstLineChars="200"/>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未按</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暗标</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要求编写技术或方案部分的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2752DA68">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14:paraId="5BD1407C">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14:paraId="56E42117">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14:paraId="68BC63F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14:paraId="3FB2431C">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14:paraId="02999C31">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14:paraId="2D56DDC8">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510362C3">
      <w:pPr>
        <w:pStyle w:val="9"/>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标准</w:t>
      </w:r>
    </w:p>
    <w:p w14:paraId="69D4D8CE">
      <w:pPr>
        <w:keepNext w:val="0"/>
        <w:keepLines w:val="0"/>
        <w:pageBreakBefore w:val="0"/>
        <w:kinsoku/>
        <w:wordWrap w:val="0"/>
        <w:overflowPunct/>
        <w:topLinePunct w:val="0"/>
        <w:bidi w:val="0"/>
        <w:spacing w:before="39"/>
        <w:jc w:val="center"/>
        <w:rPr>
          <w:rFonts w:hint="eastAsia" w:asciiTheme="minorEastAsia" w:hAnsiTheme="minorEastAsia" w:eastAsiaTheme="minorEastAsia" w:cstheme="minorEastAsia"/>
        </w:rPr>
      </w:pPr>
    </w:p>
    <w:tbl>
      <w:tblPr>
        <w:tblStyle w:val="26"/>
        <w:tblW w:w="83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3"/>
        <w:gridCol w:w="1581"/>
        <w:gridCol w:w="1073"/>
        <w:gridCol w:w="5008"/>
      </w:tblGrid>
      <w:tr w14:paraId="15070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73" w:type="dxa"/>
            <w:vAlign w:val="top"/>
          </w:tcPr>
          <w:p w14:paraId="289E4E00">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581" w:type="dxa"/>
            <w:vAlign w:val="top"/>
          </w:tcPr>
          <w:p w14:paraId="04661181">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评分因素</w:t>
            </w:r>
          </w:p>
        </w:tc>
        <w:tc>
          <w:tcPr>
            <w:tcW w:w="1073" w:type="dxa"/>
            <w:vAlign w:val="top"/>
          </w:tcPr>
          <w:p w14:paraId="30CC757B">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分值</w:t>
            </w:r>
          </w:p>
        </w:tc>
        <w:tc>
          <w:tcPr>
            <w:tcW w:w="5008" w:type="dxa"/>
            <w:vAlign w:val="top"/>
          </w:tcPr>
          <w:p w14:paraId="247D51E4">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细则</w:t>
            </w:r>
          </w:p>
        </w:tc>
      </w:tr>
      <w:tr w14:paraId="7B53C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0" w:hRule="atLeast"/>
        </w:trPr>
        <w:tc>
          <w:tcPr>
            <w:tcW w:w="673" w:type="dxa"/>
            <w:vAlign w:val="center"/>
          </w:tcPr>
          <w:p w14:paraId="6014690B">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14:paraId="73C960E4">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4"/>
                <w:szCs w:val="24"/>
                <w:lang w:val="en-US" w:eastAsia="zh-CN"/>
              </w:rPr>
              <w:t>1</w:t>
            </w:r>
          </w:p>
        </w:tc>
        <w:tc>
          <w:tcPr>
            <w:tcW w:w="1581" w:type="dxa"/>
            <w:vAlign w:val="center"/>
          </w:tcPr>
          <w:p w14:paraId="5F18FB83">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pacing w:val="-3"/>
                <w:sz w:val="24"/>
                <w:szCs w:val="24"/>
              </w:rPr>
            </w:pPr>
          </w:p>
          <w:p w14:paraId="45748F30">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报价</w:t>
            </w:r>
            <w:r>
              <w:rPr>
                <w:rFonts w:hint="eastAsia" w:asciiTheme="minorEastAsia" w:hAnsiTheme="minorEastAsia" w:eastAsiaTheme="minorEastAsia" w:cstheme="minorEastAsia"/>
                <w:spacing w:val="-3"/>
                <w:sz w:val="24"/>
                <w:szCs w:val="24"/>
                <w:lang w:val="en-US" w:eastAsia="zh-CN"/>
              </w:rPr>
              <w:t>部分</w:t>
            </w:r>
          </w:p>
          <w:p w14:paraId="78A91AED">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lang w:val="en-US" w:eastAsia="zh-CN"/>
              </w:rPr>
              <w:t>（满分15分）</w:t>
            </w:r>
          </w:p>
        </w:tc>
        <w:tc>
          <w:tcPr>
            <w:tcW w:w="1073" w:type="dxa"/>
            <w:vAlign w:val="center"/>
          </w:tcPr>
          <w:p w14:paraId="59E29249">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投标报价</w:t>
            </w:r>
          </w:p>
          <w:p w14:paraId="22ED5769">
            <w:pPr>
              <w:pStyle w:val="27"/>
              <w:keepNext w:val="0"/>
              <w:keepLines w:val="0"/>
              <w:pageBreakBefore w:val="0"/>
              <w:kinsoku/>
              <w:wordWrap w:val="0"/>
              <w:overflowPunct/>
              <w:topLinePunct w:val="0"/>
              <w:bidi w:val="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sz w:val="24"/>
                <w:szCs w:val="24"/>
                <w:lang w:val="en-US" w:eastAsia="zh-CN"/>
              </w:rPr>
              <w:t>（15分）</w:t>
            </w:r>
          </w:p>
        </w:tc>
        <w:tc>
          <w:tcPr>
            <w:tcW w:w="5008" w:type="dxa"/>
            <w:vAlign w:val="top"/>
          </w:tcPr>
          <w:p w14:paraId="79D06FF5">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满足招标文件要求且投标价格最低</w:t>
            </w:r>
            <w:r>
              <w:rPr>
                <w:rFonts w:hint="eastAsia" w:asciiTheme="minorEastAsia" w:hAnsiTheme="minorEastAsia" w:eastAsiaTheme="minorEastAsia" w:cstheme="minorEastAsia"/>
                <w:spacing w:val="-13"/>
                <w:sz w:val="24"/>
                <w:szCs w:val="24"/>
              </w:rPr>
              <w:t>的投标报价为评标基准价，其价格分</w:t>
            </w:r>
            <w:r>
              <w:rPr>
                <w:rFonts w:hint="eastAsia" w:asciiTheme="minorEastAsia" w:hAnsiTheme="minorEastAsia" w:eastAsiaTheme="minorEastAsia" w:cstheme="minorEastAsia"/>
                <w:spacing w:val="-6"/>
                <w:sz w:val="24"/>
                <w:szCs w:val="24"/>
              </w:rPr>
              <w:t>为满分。其他投标人的价格分统一按</w:t>
            </w:r>
            <w:r>
              <w:rPr>
                <w:rFonts w:hint="eastAsia" w:asciiTheme="minorEastAsia" w:hAnsiTheme="minorEastAsia" w:eastAsiaTheme="minorEastAsia" w:cstheme="minorEastAsia"/>
                <w:spacing w:val="-8"/>
                <w:sz w:val="24"/>
                <w:szCs w:val="24"/>
              </w:rPr>
              <w:t>照下列公式计算：</w:t>
            </w:r>
          </w:p>
          <w:p w14:paraId="23C91DAF">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rPr>
              <w:t>评标基准价/投标</w:t>
            </w:r>
            <w:r>
              <w:rPr>
                <w:rFonts w:hint="eastAsia" w:asciiTheme="minorEastAsia" w:hAnsiTheme="minorEastAsia" w:eastAsiaTheme="minorEastAsia" w:cstheme="minorEastAsia"/>
                <w:spacing w:val="-12"/>
                <w:sz w:val="24"/>
                <w:szCs w:val="24"/>
              </w:rPr>
              <w:t>报价）×</w:t>
            </w:r>
            <w:r>
              <w:rPr>
                <w:rFonts w:hint="eastAsia" w:asciiTheme="minorEastAsia" w:hAnsiTheme="minorEastAsia" w:eastAsiaTheme="minorEastAsia" w:cstheme="minorEastAsia"/>
                <w:spacing w:val="-12"/>
                <w:sz w:val="24"/>
                <w:szCs w:val="24"/>
                <w:lang w:val="en-US" w:eastAsia="zh-CN"/>
              </w:rPr>
              <w:t>15</w:t>
            </w:r>
            <w:r>
              <w:rPr>
                <w:rFonts w:hint="eastAsia" w:asciiTheme="minorEastAsia" w:hAnsiTheme="minorEastAsia" w:eastAsiaTheme="minorEastAsia" w:cstheme="minorEastAsia"/>
                <w:spacing w:val="-12"/>
                <w:sz w:val="24"/>
                <w:szCs w:val="24"/>
              </w:rPr>
              <w:t>。</w:t>
            </w:r>
          </w:p>
        </w:tc>
      </w:tr>
      <w:tr w14:paraId="130D7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restart"/>
            <w:vAlign w:val="center"/>
          </w:tcPr>
          <w:p w14:paraId="68A3DCB2">
            <w:pPr>
              <w:pStyle w:val="27"/>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tc>
        <w:tc>
          <w:tcPr>
            <w:tcW w:w="1581" w:type="dxa"/>
            <w:vMerge w:val="restart"/>
            <w:vAlign w:val="center"/>
          </w:tcPr>
          <w:p w14:paraId="69E92ACA">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方案部分</w:t>
            </w:r>
          </w:p>
          <w:p w14:paraId="4F636B81">
            <w:pPr>
              <w:keepNext w:val="0"/>
              <w:keepLines w:val="0"/>
              <w:pageBreakBefore w:val="0"/>
              <w:kinsoku/>
              <w:wordWrap w:val="0"/>
              <w:overflowPunct/>
              <w:topLinePunct w:val="0"/>
              <w:bidi w:val="0"/>
              <w:spacing w:before="78" w:line="219" w:lineRule="auto"/>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（满分60分）</w:t>
            </w:r>
          </w:p>
        </w:tc>
        <w:tc>
          <w:tcPr>
            <w:tcW w:w="1073" w:type="dxa"/>
            <w:vAlign w:val="center"/>
          </w:tcPr>
          <w:p w14:paraId="504DF6AA">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整体服务方案</w:t>
            </w:r>
          </w:p>
          <w:p w14:paraId="2A786DC7">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（9分）</w:t>
            </w:r>
          </w:p>
        </w:tc>
        <w:tc>
          <w:tcPr>
            <w:tcW w:w="5008" w:type="dxa"/>
            <w:vAlign w:val="top"/>
          </w:tcPr>
          <w:p w14:paraId="6331AB8A">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根据供应商提供的针对本项目服务特点、难点进行分析的总体服务方案进行评审：</w:t>
            </w:r>
          </w:p>
          <w:p w14:paraId="668D2A1F">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1.供应商提供的整体服务方案全面，内容完整，实施方案</w:t>
            </w:r>
            <w:r>
              <w:rPr>
                <w:rFonts w:hint="eastAsia" w:asciiTheme="minorEastAsia" w:hAnsiTheme="minorEastAsia" w:eastAsiaTheme="minorEastAsia" w:cstheme="minorEastAsia"/>
                <w:snapToGrid w:val="0"/>
                <w:color w:val="000000"/>
                <w:spacing w:val="-13"/>
                <w:kern w:val="0"/>
                <w:sz w:val="24"/>
                <w:szCs w:val="24"/>
                <w:lang w:val="en-US" w:eastAsia="zh-CN" w:bidi="ar-SA"/>
              </w:rPr>
              <w:t>科学、</w:t>
            </w:r>
            <w:r>
              <w:rPr>
                <w:rFonts w:hint="eastAsia" w:asciiTheme="minorEastAsia" w:hAnsiTheme="minorEastAsia" w:eastAsiaTheme="minorEastAsia" w:cstheme="minorEastAsia"/>
                <w:snapToGrid w:val="0"/>
                <w:color w:val="000000"/>
                <w:spacing w:val="-13"/>
                <w:kern w:val="0"/>
                <w:sz w:val="24"/>
                <w:szCs w:val="24"/>
                <w:lang w:val="en-US" w:eastAsia="en-US" w:bidi="ar-SA"/>
              </w:rPr>
              <w:t>合理、规范，可操作性强，完全满足采购文件的要求得9分；</w:t>
            </w:r>
          </w:p>
          <w:p w14:paraId="77AF7478">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2.供应商提供的整体服务方案内容</w:t>
            </w:r>
            <w:r>
              <w:rPr>
                <w:rFonts w:hint="eastAsia" w:asciiTheme="minorEastAsia" w:hAnsiTheme="minorEastAsia" w:eastAsiaTheme="minorEastAsia" w:cstheme="minorEastAsia"/>
                <w:snapToGrid w:val="0"/>
                <w:color w:val="000000"/>
                <w:spacing w:val="-13"/>
                <w:kern w:val="0"/>
                <w:sz w:val="24"/>
                <w:szCs w:val="24"/>
                <w:lang w:val="en-US" w:eastAsia="zh-CN" w:bidi="ar-SA"/>
              </w:rPr>
              <w:t>基本</w:t>
            </w:r>
            <w:r>
              <w:rPr>
                <w:rFonts w:hint="eastAsia" w:asciiTheme="minorEastAsia" w:hAnsiTheme="minorEastAsia" w:eastAsiaTheme="minorEastAsia" w:cstheme="minorEastAsia"/>
                <w:snapToGrid w:val="0"/>
                <w:color w:val="000000"/>
                <w:spacing w:val="-13"/>
                <w:kern w:val="0"/>
                <w:sz w:val="24"/>
                <w:szCs w:val="24"/>
                <w:lang w:val="en-US" w:eastAsia="en-US" w:bidi="ar-SA"/>
              </w:rPr>
              <w:t>完整，实施方案较为合理</w:t>
            </w:r>
            <w:r>
              <w:rPr>
                <w:rFonts w:hint="eastAsia" w:asciiTheme="minorEastAsia" w:hAnsiTheme="minorEastAsia" w:eastAsiaTheme="minorEastAsia" w:cstheme="minorEastAsia"/>
                <w:snapToGrid w:val="0"/>
                <w:color w:val="000000"/>
                <w:spacing w:val="-13"/>
                <w:kern w:val="0"/>
                <w:sz w:val="24"/>
                <w:szCs w:val="24"/>
                <w:lang w:val="en-US" w:eastAsia="zh-CN" w:bidi="ar-SA"/>
              </w:rPr>
              <w:t>规范</w:t>
            </w:r>
            <w:r>
              <w:rPr>
                <w:rFonts w:hint="eastAsia" w:asciiTheme="minorEastAsia" w:hAnsiTheme="minorEastAsia" w:eastAsiaTheme="minorEastAsia" w:cstheme="minorEastAsia"/>
                <w:snapToGrid w:val="0"/>
                <w:color w:val="000000"/>
                <w:spacing w:val="-13"/>
                <w:kern w:val="0"/>
                <w:sz w:val="24"/>
                <w:szCs w:val="24"/>
                <w:lang w:val="en-US" w:eastAsia="en-US" w:bidi="ar-SA"/>
              </w:rPr>
              <w:t>，有</w:t>
            </w:r>
            <w:r>
              <w:rPr>
                <w:rFonts w:hint="eastAsia" w:asciiTheme="minorEastAsia" w:hAnsiTheme="minorEastAsia" w:eastAsiaTheme="minorEastAsia" w:cstheme="minorEastAsia"/>
                <w:snapToGrid w:val="0"/>
                <w:color w:val="000000"/>
                <w:spacing w:val="-13"/>
                <w:kern w:val="0"/>
                <w:sz w:val="24"/>
                <w:szCs w:val="24"/>
                <w:lang w:val="en-US" w:eastAsia="zh-CN" w:bidi="ar-SA"/>
              </w:rPr>
              <w:t>较强</w:t>
            </w:r>
            <w:r>
              <w:rPr>
                <w:rFonts w:hint="eastAsia" w:asciiTheme="minorEastAsia" w:hAnsiTheme="minorEastAsia" w:eastAsiaTheme="minorEastAsia" w:cstheme="minorEastAsia"/>
                <w:snapToGrid w:val="0"/>
                <w:color w:val="000000"/>
                <w:spacing w:val="-13"/>
                <w:kern w:val="0"/>
                <w:sz w:val="24"/>
                <w:szCs w:val="24"/>
                <w:lang w:val="en-US" w:eastAsia="en-US" w:bidi="ar-SA"/>
              </w:rPr>
              <w:t>可操作性，能满足采购文件要求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得6分；</w:t>
            </w:r>
          </w:p>
          <w:p w14:paraId="47D39340">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.供应商提供的整体服务方案不全面，方案不够合理、规范，可行</w:t>
            </w:r>
            <w:r>
              <w:rPr>
                <w:rFonts w:hint="eastAsia" w:asciiTheme="minorEastAsia" w:hAnsiTheme="minorEastAsia" w:eastAsiaTheme="minorEastAsia" w:cstheme="minorEastAsia"/>
                <w:snapToGrid w:val="0"/>
                <w:color w:val="000000"/>
                <w:spacing w:val="-13"/>
                <w:kern w:val="0"/>
                <w:sz w:val="24"/>
                <w:szCs w:val="24"/>
                <w:lang w:val="en-US" w:eastAsia="zh-CN" w:bidi="ar-SA"/>
              </w:rPr>
              <w:t>性差</w:t>
            </w: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不能满足采购文件要求的，</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1F54D120">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.缺项不得分。</w:t>
            </w:r>
          </w:p>
        </w:tc>
      </w:tr>
      <w:tr w14:paraId="7135B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continue"/>
            <w:vAlign w:val="center"/>
          </w:tcPr>
          <w:p w14:paraId="2468100C">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81" w:type="dxa"/>
            <w:vMerge w:val="continue"/>
            <w:vAlign w:val="center"/>
          </w:tcPr>
          <w:p w14:paraId="79024ABB">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73" w:type="dxa"/>
            <w:vAlign w:val="center"/>
          </w:tcPr>
          <w:p w14:paraId="5FB75259">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拟投入的设备</w:t>
            </w:r>
          </w:p>
          <w:p w14:paraId="32510072">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（9分）</w:t>
            </w:r>
          </w:p>
        </w:tc>
        <w:tc>
          <w:tcPr>
            <w:tcW w:w="5008" w:type="dxa"/>
            <w:vAlign w:val="top"/>
          </w:tcPr>
          <w:p w14:paraId="77781F94">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根据供应商拟投入本项目的设备状况、设备数量等的科学性、合理性进行评审：</w:t>
            </w:r>
          </w:p>
          <w:p w14:paraId="5EC57F1D">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1.拟投入设备种类、数量齐全、配置合理，完全满足采购需求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得9分；</w:t>
            </w:r>
          </w:p>
          <w:p w14:paraId="0CCAD3A1">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2.拟投入设备种类、数量较齐全、配置基本合理，基本满足采购需求</w:t>
            </w:r>
            <w:r>
              <w:rPr>
                <w:rFonts w:hint="eastAsia" w:asciiTheme="minorEastAsia" w:hAnsiTheme="minorEastAsia" w:eastAsiaTheme="minorEastAsia" w:cstheme="minorEastAsia"/>
                <w:snapToGrid w:val="0"/>
                <w:color w:val="000000"/>
                <w:spacing w:val="-13"/>
                <w:kern w:val="0"/>
                <w:sz w:val="24"/>
                <w:szCs w:val="24"/>
                <w:lang w:val="en-US" w:eastAsia="zh-CN" w:bidi="ar-SA"/>
              </w:rPr>
              <w:t>得，</w:t>
            </w:r>
            <w:r>
              <w:rPr>
                <w:rFonts w:hint="eastAsia" w:asciiTheme="minorEastAsia" w:hAnsiTheme="minorEastAsia" w:eastAsiaTheme="minorEastAsia" w:cstheme="minorEastAsia"/>
                <w:snapToGrid w:val="0"/>
                <w:color w:val="000000"/>
                <w:spacing w:val="-13"/>
                <w:kern w:val="0"/>
                <w:sz w:val="24"/>
                <w:szCs w:val="24"/>
                <w:lang w:val="en-US" w:eastAsia="en-US" w:bidi="ar-SA"/>
              </w:rPr>
              <w:t>得6分；</w:t>
            </w:r>
          </w:p>
          <w:p w14:paraId="7E5C15AD">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3.拟投入设备种类、数量有欠缺，分配不够合理</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eastAsia" w:asciiTheme="minorEastAsia" w:hAnsiTheme="minorEastAsia" w:eastAsiaTheme="minorEastAsia" w:cstheme="minorEastAsia"/>
                <w:snapToGrid w:val="0"/>
                <w:color w:val="000000"/>
                <w:spacing w:val="-13"/>
                <w:kern w:val="0"/>
                <w:sz w:val="24"/>
                <w:szCs w:val="24"/>
                <w:lang w:val="en-US" w:eastAsia="en-US" w:bidi="ar-SA"/>
              </w:rPr>
              <w:t>不能完全满足采购需求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0021ABDD">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.缺项不得分。</w:t>
            </w:r>
          </w:p>
        </w:tc>
      </w:tr>
      <w:tr w14:paraId="5B341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continue"/>
            <w:vAlign w:val="center"/>
          </w:tcPr>
          <w:p w14:paraId="53439A75">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81" w:type="dxa"/>
            <w:vMerge w:val="continue"/>
            <w:vAlign w:val="center"/>
          </w:tcPr>
          <w:p w14:paraId="325AEC33">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73" w:type="dxa"/>
            <w:vAlign w:val="center"/>
          </w:tcPr>
          <w:p w14:paraId="572F1ACC">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管理制度</w:t>
            </w:r>
          </w:p>
          <w:p w14:paraId="0C54CC37">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（9分）</w:t>
            </w:r>
          </w:p>
        </w:tc>
        <w:tc>
          <w:tcPr>
            <w:tcW w:w="5008" w:type="dxa"/>
            <w:vAlign w:val="top"/>
          </w:tcPr>
          <w:p w14:paraId="2AD44014">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根据供应商提供管理制度（包含人员的岗前培训计划、管理措施等情况内容)进行评审：</w:t>
            </w:r>
          </w:p>
          <w:p w14:paraId="04529823">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1.制度健全</w:t>
            </w:r>
            <w:r>
              <w:rPr>
                <w:rFonts w:hint="eastAsia" w:asciiTheme="minorEastAsia" w:hAnsiTheme="minorEastAsia" w:eastAsiaTheme="minorEastAsia" w:cstheme="minorEastAsia"/>
                <w:snapToGrid w:val="0"/>
                <w:color w:val="000000"/>
                <w:spacing w:val="-13"/>
                <w:kern w:val="0"/>
                <w:sz w:val="24"/>
                <w:szCs w:val="24"/>
                <w:lang w:val="en-US" w:eastAsia="zh-CN" w:bidi="ar-SA"/>
              </w:rPr>
              <w:t>科学</w:t>
            </w:r>
            <w:r>
              <w:rPr>
                <w:rFonts w:hint="eastAsia" w:asciiTheme="minorEastAsia" w:hAnsiTheme="minorEastAsia" w:eastAsiaTheme="minorEastAsia" w:cstheme="minorEastAsia"/>
                <w:snapToGrid w:val="0"/>
                <w:color w:val="000000"/>
                <w:spacing w:val="-13"/>
                <w:kern w:val="0"/>
                <w:sz w:val="24"/>
                <w:szCs w:val="24"/>
                <w:lang w:val="en-US" w:eastAsia="en-US" w:bidi="ar-SA"/>
              </w:rPr>
              <w:t>，具有合理性</w:t>
            </w:r>
            <w:r>
              <w:rPr>
                <w:rFonts w:hint="eastAsia" w:asciiTheme="minorEastAsia" w:hAnsiTheme="minorEastAsia" w:eastAsiaTheme="minorEastAsia" w:cstheme="minorEastAsia"/>
                <w:snapToGrid w:val="0"/>
                <w:color w:val="000000"/>
                <w:spacing w:val="-13"/>
                <w:kern w:val="0"/>
                <w:sz w:val="24"/>
                <w:szCs w:val="24"/>
                <w:lang w:val="en-US" w:eastAsia="zh-CN" w:bidi="ar-SA"/>
              </w:rPr>
              <w:t>、可操作性，</w:t>
            </w:r>
            <w:r>
              <w:rPr>
                <w:rFonts w:hint="eastAsia" w:asciiTheme="minorEastAsia" w:hAnsiTheme="minorEastAsia" w:eastAsiaTheme="minorEastAsia" w:cstheme="minorEastAsia"/>
                <w:snapToGrid w:val="0"/>
                <w:color w:val="000000"/>
                <w:spacing w:val="-13"/>
                <w:kern w:val="0"/>
                <w:sz w:val="24"/>
                <w:szCs w:val="24"/>
                <w:lang w:val="en-US" w:eastAsia="en-US" w:bidi="ar-SA"/>
              </w:rPr>
              <w:t>制度完善，条理清晰的，得9分；</w:t>
            </w:r>
          </w:p>
          <w:p w14:paraId="01A14351">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2.制度基本健全可行，基本具有合理性，制度完善，条理基本清晰的，得6分；</w:t>
            </w:r>
          </w:p>
          <w:p w14:paraId="0A464F97">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3.制度基本简单粗略，内容不</w:t>
            </w:r>
            <w:r>
              <w:rPr>
                <w:rFonts w:hint="eastAsia" w:asciiTheme="minorEastAsia" w:hAnsiTheme="minorEastAsia" w:eastAsiaTheme="minorEastAsia" w:cstheme="minorEastAsia"/>
                <w:snapToGrid w:val="0"/>
                <w:color w:val="000000"/>
                <w:spacing w:val="-13"/>
                <w:kern w:val="0"/>
                <w:sz w:val="24"/>
                <w:szCs w:val="24"/>
                <w:lang w:val="en-US" w:eastAsia="zh-CN" w:bidi="ar-SA"/>
              </w:rPr>
              <w:t>健全</w:t>
            </w:r>
            <w:r>
              <w:rPr>
                <w:rFonts w:hint="eastAsia" w:asciiTheme="minorEastAsia" w:hAnsiTheme="minorEastAsia" w:eastAsiaTheme="minorEastAsia" w:cstheme="minorEastAsia"/>
                <w:snapToGrid w:val="0"/>
                <w:color w:val="000000"/>
                <w:spacing w:val="-13"/>
                <w:kern w:val="0"/>
                <w:sz w:val="24"/>
                <w:szCs w:val="24"/>
                <w:lang w:val="en-US" w:eastAsia="en-US" w:bidi="ar-SA"/>
              </w:rPr>
              <w:t>，合理性一般</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6671AA13">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.缺项不得分</w:t>
            </w:r>
            <w:r>
              <w:rPr>
                <w:rFonts w:hint="eastAsia" w:asciiTheme="minorEastAsia" w:hAnsiTheme="minorEastAsia" w:eastAsiaTheme="minorEastAsia" w:cstheme="minorEastAsia"/>
                <w:snapToGrid w:val="0"/>
                <w:color w:val="000000"/>
                <w:spacing w:val="-13"/>
                <w:kern w:val="0"/>
                <w:sz w:val="24"/>
                <w:szCs w:val="24"/>
                <w:lang w:val="en-US" w:eastAsia="zh-CN" w:bidi="ar-SA"/>
              </w:rPr>
              <w:t>.</w:t>
            </w:r>
          </w:p>
        </w:tc>
      </w:tr>
      <w:tr w14:paraId="4C210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continue"/>
            <w:vAlign w:val="center"/>
          </w:tcPr>
          <w:p w14:paraId="4B7570A0">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81" w:type="dxa"/>
            <w:vMerge w:val="continue"/>
            <w:vAlign w:val="center"/>
          </w:tcPr>
          <w:p w14:paraId="78E1773E">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73" w:type="dxa"/>
            <w:vAlign w:val="center"/>
          </w:tcPr>
          <w:p w14:paraId="29F09425">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环境卫生管理方案</w:t>
            </w:r>
          </w:p>
          <w:p w14:paraId="71CBC490">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（9分）</w:t>
            </w:r>
          </w:p>
        </w:tc>
        <w:tc>
          <w:tcPr>
            <w:tcW w:w="5008" w:type="dxa"/>
            <w:vAlign w:val="top"/>
          </w:tcPr>
          <w:p w14:paraId="2AD0B12D">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根据供应商提供的环境卫生管理方案进行评审：</w:t>
            </w:r>
          </w:p>
          <w:p w14:paraId="62F13F0D">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1.供应商提供的环境卫生管理方案内容完整，实施方案合理、规范，可操作性强，完全满足采购文件要求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得9分；</w:t>
            </w:r>
          </w:p>
          <w:p w14:paraId="151A40B4">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2.供应商提供的环境卫生管理方案内容较完整，实施方案</w:t>
            </w:r>
            <w:r>
              <w:rPr>
                <w:rFonts w:hint="eastAsia" w:asciiTheme="minorEastAsia" w:hAnsiTheme="minorEastAsia" w:eastAsiaTheme="minorEastAsia" w:cstheme="minorEastAsia"/>
                <w:snapToGrid w:val="0"/>
                <w:color w:val="000000"/>
                <w:spacing w:val="-13"/>
                <w:kern w:val="0"/>
                <w:sz w:val="24"/>
                <w:szCs w:val="24"/>
                <w:lang w:val="en-US" w:eastAsia="zh-CN" w:bidi="ar-SA"/>
              </w:rPr>
              <w:t>基本</w:t>
            </w:r>
            <w:r>
              <w:rPr>
                <w:rFonts w:hint="eastAsia" w:asciiTheme="minorEastAsia" w:hAnsiTheme="minorEastAsia" w:eastAsiaTheme="minorEastAsia" w:cstheme="minorEastAsia"/>
                <w:snapToGrid w:val="0"/>
                <w:color w:val="000000"/>
                <w:spacing w:val="-13"/>
                <w:kern w:val="0"/>
                <w:sz w:val="24"/>
                <w:szCs w:val="24"/>
                <w:lang w:val="en-US" w:eastAsia="en-US" w:bidi="ar-SA"/>
              </w:rPr>
              <w:t>合理</w:t>
            </w:r>
            <w:r>
              <w:rPr>
                <w:rFonts w:hint="eastAsia" w:asciiTheme="minorEastAsia" w:hAnsiTheme="minorEastAsia" w:eastAsiaTheme="minorEastAsia" w:cstheme="minorEastAsia"/>
                <w:snapToGrid w:val="0"/>
                <w:color w:val="000000"/>
                <w:spacing w:val="-13"/>
                <w:kern w:val="0"/>
                <w:sz w:val="24"/>
                <w:szCs w:val="24"/>
                <w:lang w:val="en-US" w:eastAsia="zh-CN" w:bidi="ar-SA"/>
              </w:rPr>
              <w:t>规范</w:t>
            </w:r>
            <w:r>
              <w:rPr>
                <w:rFonts w:hint="eastAsia" w:asciiTheme="minorEastAsia" w:hAnsiTheme="minorEastAsia" w:eastAsiaTheme="minorEastAsia" w:cstheme="minorEastAsia"/>
                <w:snapToGrid w:val="0"/>
                <w:color w:val="000000"/>
                <w:spacing w:val="-13"/>
                <w:kern w:val="0"/>
                <w:sz w:val="24"/>
                <w:szCs w:val="24"/>
                <w:lang w:val="en-US" w:eastAsia="en-US" w:bidi="ar-SA"/>
              </w:rPr>
              <w:t>，有</w:t>
            </w:r>
            <w:r>
              <w:rPr>
                <w:rFonts w:hint="eastAsia" w:asciiTheme="minorEastAsia" w:hAnsiTheme="minorEastAsia" w:eastAsiaTheme="minorEastAsia" w:cstheme="minorEastAsia"/>
                <w:snapToGrid w:val="0"/>
                <w:color w:val="000000"/>
                <w:spacing w:val="-13"/>
                <w:kern w:val="0"/>
                <w:sz w:val="24"/>
                <w:szCs w:val="24"/>
                <w:lang w:val="en-US" w:eastAsia="zh-CN" w:bidi="ar-SA"/>
              </w:rPr>
              <w:t>一定</w:t>
            </w:r>
            <w:r>
              <w:rPr>
                <w:rFonts w:hint="eastAsia" w:asciiTheme="minorEastAsia" w:hAnsiTheme="minorEastAsia" w:eastAsiaTheme="minorEastAsia" w:cstheme="minorEastAsia"/>
                <w:snapToGrid w:val="0"/>
                <w:color w:val="000000"/>
                <w:spacing w:val="-13"/>
                <w:kern w:val="0"/>
                <w:sz w:val="24"/>
                <w:szCs w:val="24"/>
                <w:lang w:val="en-US" w:eastAsia="en-US" w:bidi="ar-SA"/>
              </w:rPr>
              <w:t>可操作性，能满足采购文件要求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得6分；</w:t>
            </w:r>
          </w:p>
          <w:p w14:paraId="034B4D26">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.供应商提供的环境卫生管理方案不够全面，方案不够合理、规范，可行</w:t>
            </w:r>
            <w:r>
              <w:rPr>
                <w:rFonts w:hint="eastAsia" w:asciiTheme="minorEastAsia" w:hAnsiTheme="minorEastAsia" w:eastAsiaTheme="minorEastAsia" w:cstheme="minorEastAsia"/>
                <w:snapToGrid w:val="0"/>
                <w:color w:val="000000"/>
                <w:spacing w:val="-13"/>
                <w:kern w:val="0"/>
                <w:sz w:val="24"/>
                <w:szCs w:val="24"/>
                <w:lang w:val="en-US" w:eastAsia="zh-CN" w:bidi="ar-SA"/>
              </w:rPr>
              <w:t>性较差的</w:t>
            </w:r>
            <w:r>
              <w:rPr>
                <w:rFonts w:hint="eastAsia" w:asciiTheme="minorEastAsia" w:hAnsiTheme="minorEastAsia" w:eastAsiaTheme="minorEastAsia" w:cstheme="minorEastAsia"/>
                <w:snapToGrid w:val="0"/>
                <w:color w:val="000000"/>
                <w:spacing w:val="-13"/>
                <w:kern w:val="0"/>
                <w:sz w:val="24"/>
                <w:szCs w:val="24"/>
                <w:lang w:val="en-US" w:eastAsia="en-US" w:bidi="ar-SA"/>
              </w:rPr>
              <w:t>，得2分；</w:t>
            </w:r>
          </w:p>
          <w:p w14:paraId="50BD45B2">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.缺项不得分。</w:t>
            </w:r>
          </w:p>
        </w:tc>
      </w:tr>
      <w:tr w14:paraId="6719D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continue"/>
            <w:vAlign w:val="center"/>
          </w:tcPr>
          <w:p w14:paraId="3765EA93">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81" w:type="dxa"/>
            <w:vMerge w:val="continue"/>
            <w:vAlign w:val="center"/>
          </w:tcPr>
          <w:p w14:paraId="6BA8A445">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73" w:type="dxa"/>
            <w:vAlign w:val="center"/>
          </w:tcPr>
          <w:p w14:paraId="3FFB027C">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水电维修方案</w:t>
            </w:r>
          </w:p>
          <w:p w14:paraId="7DF3571F">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（9分）</w:t>
            </w:r>
          </w:p>
        </w:tc>
        <w:tc>
          <w:tcPr>
            <w:tcW w:w="5008" w:type="dxa"/>
            <w:vAlign w:val="top"/>
          </w:tcPr>
          <w:p w14:paraId="0A4CA307">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根据供应商提供的水电维修方案进行评审：</w:t>
            </w:r>
          </w:p>
          <w:p w14:paraId="145D8683">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w:t>
            </w: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.供应商提供的水电维修方案内容完整，实施方案合理、规范，可操作性强，完全满足采购文件要求的</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9</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3911E0AF">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2.供应商提供的水电维修方案内容较完整，实施方案较为合理，有可操作性，</w:t>
            </w:r>
            <w:r>
              <w:rPr>
                <w:rFonts w:hint="eastAsia" w:asciiTheme="minorEastAsia" w:hAnsiTheme="minorEastAsia" w:eastAsiaTheme="minorEastAsia" w:cstheme="minorEastAsia"/>
                <w:snapToGrid w:val="0"/>
                <w:color w:val="000000"/>
                <w:spacing w:val="-13"/>
                <w:kern w:val="0"/>
                <w:sz w:val="24"/>
                <w:szCs w:val="24"/>
                <w:lang w:val="en-US" w:eastAsia="zh-CN" w:bidi="ar-SA"/>
              </w:rPr>
              <w:t>基本</w:t>
            </w:r>
            <w:r>
              <w:rPr>
                <w:rFonts w:hint="eastAsia" w:asciiTheme="minorEastAsia" w:hAnsiTheme="minorEastAsia" w:eastAsiaTheme="minorEastAsia" w:cstheme="minorEastAsia"/>
                <w:snapToGrid w:val="0"/>
                <w:color w:val="000000"/>
                <w:spacing w:val="-13"/>
                <w:kern w:val="0"/>
                <w:sz w:val="24"/>
                <w:szCs w:val="24"/>
                <w:lang w:val="en-US" w:eastAsia="en-US" w:bidi="ar-SA"/>
              </w:rPr>
              <w:t>满足采购文件要求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6</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4B31FF16">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.供应商提供的水电维修方案不全面，方案不够合理，可行</w:t>
            </w:r>
            <w:r>
              <w:rPr>
                <w:rFonts w:hint="eastAsia" w:asciiTheme="minorEastAsia" w:hAnsiTheme="minorEastAsia" w:eastAsiaTheme="minorEastAsia" w:cstheme="minorEastAsia"/>
                <w:snapToGrid w:val="0"/>
                <w:color w:val="000000"/>
                <w:spacing w:val="-13"/>
                <w:kern w:val="0"/>
                <w:sz w:val="24"/>
                <w:szCs w:val="24"/>
                <w:lang w:val="en-US" w:eastAsia="zh-CN" w:bidi="ar-SA"/>
              </w:rPr>
              <w:t>性较差</w:t>
            </w: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难以满足采购文件要求的，</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17728E17">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.缺项不得分。</w:t>
            </w:r>
          </w:p>
        </w:tc>
      </w:tr>
      <w:tr w14:paraId="3CAE1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continue"/>
            <w:vAlign w:val="center"/>
          </w:tcPr>
          <w:p w14:paraId="158A1614">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81" w:type="dxa"/>
            <w:vMerge w:val="continue"/>
            <w:vAlign w:val="center"/>
          </w:tcPr>
          <w:p w14:paraId="6B1B1404">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73" w:type="dxa"/>
            <w:vAlign w:val="center"/>
          </w:tcPr>
          <w:p w14:paraId="6BCC3D3A">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绿化养护方案及措施</w:t>
            </w:r>
          </w:p>
          <w:p w14:paraId="5A888BBC">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（8分）</w:t>
            </w:r>
          </w:p>
        </w:tc>
        <w:tc>
          <w:tcPr>
            <w:tcW w:w="5008" w:type="dxa"/>
            <w:vAlign w:val="top"/>
          </w:tcPr>
          <w:p w14:paraId="64BC176D">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根据供应商提供的安全、文明操作措施进行评审：</w:t>
            </w:r>
          </w:p>
          <w:p w14:paraId="56301C0A">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1.供应商提供的绿化养护方案及措施内容完整，实施方案合理、规范，可操作性强，完全满足采购文件要求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得8分；</w:t>
            </w:r>
          </w:p>
          <w:p w14:paraId="404FEA54">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2.供应商提供的绿化养护方案及措施内容较完整，实施方案</w:t>
            </w:r>
            <w:r>
              <w:rPr>
                <w:rFonts w:hint="eastAsia" w:asciiTheme="minorEastAsia" w:hAnsiTheme="minorEastAsia" w:eastAsiaTheme="minorEastAsia" w:cstheme="minorEastAsia"/>
                <w:snapToGrid w:val="0"/>
                <w:color w:val="000000"/>
                <w:spacing w:val="-13"/>
                <w:kern w:val="0"/>
                <w:sz w:val="24"/>
                <w:szCs w:val="24"/>
                <w:lang w:val="en-US" w:eastAsia="zh-CN" w:bidi="ar-SA"/>
              </w:rPr>
              <w:t>基本</w:t>
            </w:r>
            <w:r>
              <w:rPr>
                <w:rFonts w:hint="eastAsia" w:asciiTheme="minorEastAsia" w:hAnsiTheme="minorEastAsia" w:eastAsiaTheme="minorEastAsia" w:cstheme="minorEastAsia"/>
                <w:snapToGrid w:val="0"/>
                <w:color w:val="000000"/>
                <w:spacing w:val="-13"/>
                <w:kern w:val="0"/>
                <w:sz w:val="24"/>
                <w:szCs w:val="24"/>
                <w:lang w:val="en-US" w:eastAsia="en-US" w:bidi="ar-SA"/>
              </w:rPr>
              <w:t>合理，有</w:t>
            </w:r>
            <w:r>
              <w:rPr>
                <w:rFonts w:hint="eastAsia" w:asciiTheme="minorEastAsia" w:hAnsiTheme="minorEastAsia" w:eastAsiaTheme="minorEastAsia" w:cstheme="minorEastAsia"/>
                <w:snapToGrid w:val="0"/>
                <w:color w:val="000000"/>
                <w:spacing w:val="-13"/>
                <w:kern w:val="0"/>
                <w:sz w:val="24"/>
                <w:szCs w:val="24"/>
                <w:lang w:val="en-US" w:eastAsia="zh-CN" w:bidi="ar-SA"/>
              </w:rPr>
              <w:t>一定</w:t>
            </w:r>
            <w:r>
              <w:rPr>
                <w:rFonts w:hint="eastAsia" w:asciiTheme="minorEastAsia" w:hAnsiTheme="minorEastAsia" w:eastAsiaTheme="minorEastAsia" w:cstheme="minorEastAsia"/>
                <w:snapToGrid w:val="0"/>
                <w:color w:val="000000"/>
                <w:spacing w:val="-13"/>
                <w:kern w:val="0"/>
                <w:sz w:val="24"/>
                <w:szCs w:val="24"/>
                <w:lang w:val="en-US" w:eastAsia="en-US" w:bidi="ar-SA"/>
              </w:rPr>
              <w:t>可操作性，能满足采购文件要求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5</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0FA9C516">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.供应商提供的绿化养护方案及措施不全面，方案不合理、规范，不够可行，</w:t>
            </w:r>
            <w:r>
              <w:rPr>
                <w:rFonts w:hint="eastAsia" w:asciiTheme="minorEastAsia" w:hAnsiTheme="minorEastAsia" w:eastAsiaTheme="minorEastAsia" w:cstheme="minorEastAsia"/>
                <w:snapToGrid w:val="0"/>
                <w:color w:val="000000"/>
                <w:spacing w:val="-13"/>
                <w:kern w:val="0"/>
                <w:sz w:val="24"/>
                <w:szCs w:val="24"/>
                <w:lang w:val="en-US" w:eastAsia="zh-CN" w:bidi="ar-SA"/>
              </w:rPr>
              <w:t>难以满足采购文件要求的，</w:t>
            </w:r>
            <w:r>
              <w:rPr>
                <w:rFonts w:hint="eastAsia" w:asciiTheme="minorEastAsia" w:hAnsiTheme="minorEastAsia" w:eastAsiaTheme="minorEastAsia" w:cstheme="minorEastAsia"/>
                <w:snapToGrid w:val="0"/>
                <w:color w:val="000000"/>
                <w:spacing w:val="-13"/>
                <w:kern w:val="0"/>
                <w:sz w:val="24"/>
                <w:szCs w:val="24"/>
                <w:lang w:val="en-US" w:eastAsia="en-US" w:bidi="ar-SA"/>
              </w:rPr>
              <w:t>得2分；</w:t>
            </w:r>
          </w:p>
          <w:p w14:paraId="1D0DC070">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.缺项不得分。</w:t>
            </w:r>
          </w:p>
        </w:tc>
      </w:tr>
      <w:tr w14:paraId="1E46F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continue"/>
            <w:vAlign w:val="center"/>
          </w:tcPr>
          <w:p w14:paraId="53EAE72E">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81" w:type="dxa"/>
            <w:vMerge w:val="continue"/>
            <w:vAlign w:val="center"/>
          </w:tcPr>
          <w:p w14:paraId="5ACAD4E3">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73" w:type="dxa"/>
            <w:vAlign w:val="center"/>
          </w:tcPr>
          <w:p w14:paraId="44554653">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应急预案</w:t>
            </w:r>
          </w:p>
          <w:p w14:paraId="2B849B5F">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（7分）</w:t>
            </w:r>
          </w:p>
        </w:tc>
        <w:tc>
          <w:tcPr>
            <w:tcW w:w="5008" w:type="dxa"/>
            <w:vAlign w:val="top"/>
          </w:tcPr>
          <w:p w14:paraId="0C8C6ED0">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根据供应商针对本项目提供的关于重大活动、突发事件应急预案和保障措施的科学性、合理性、可行性进行评审：</w:t>
            </w:r>
          </w:p>
          <w:p w14:paraId="419179F4">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1.供应商提供的应急方案内容全面完整，方案合理、规范，可操作性强，完全满足采购文件要求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得7分；</w:t>
            </w:r>
          </w:p>
          <w:p w14:paraId="5FB7B6C3">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2.供应商提供的应急方案内容较全面，方案较为合理，有可操作性，</w:t>
            </w:r>
            <w:r>
              <w:rPr>
                <w:rFonts w:hint="eastAsia" w:asciiTheme="minorEastAsia" w:hAnsiTheme="minorEastAsia" w:eastAsiaTheme="minorEastAsia" w:cstheme="minorEastAsia"/>
                <w:snapToGrid w:val="0"/>
                <w:color w:val="000000"/>
                <w:spacing w:val="-13"/>
                <w:kern w:val="0"/>
                <w:sz w:val="24"/>
                <w:szCs w:val="24"/>
                <w:lang w:val="en-US" w:eastAsia="zh-CN" w:bidi="ar-SA"/>
              </w:rPr>
              <w:t>基本</w:t>
            </w:r>
            <w:r>
              <w:rPr>
                <w:rFonts w:hint="eastAsia" w:asciiTheme="minorEastAsia" w:hAnsiTheme="minorEastAsia" w:eastAsiaTheme="minorEastAsia" w:cstheme="minorEastAsia"/>
                <w:snapToGrid w:val="0"/>
                <w:color w:val="000000"/>
                <w:spacing w:val="-13"/>
                <w:kern w:val="0"/>
                <w:sz w:val="24"/>
                <w:szCs w:val="24"/>
                <w:lang w:val="en-US" w:eastAsia="en-US" w:bidi="ar-SA"/>
              </w:rPr>
              <w:t>能满足采购文件要求</w:t>
            </w:r>
            <w:r>
              <w:rPr>
                <w:rFonts w:hint="eastAsia" w:asciiTheme="minorEastAsia" w:hAnsiTheme="minorEastAsia" w:eastAsiaTheme="minorEastAsia" w:cstheme="minorEastAsia"/>
                <w:snapToGrid w:val="0"/>
                <w:color w:val="000000"/>
                <w:spacing w:val="-13"/>
                <w:kern w:val="0"/>
                <w:sz w:val="24"/>
                <w:szCs w:val="24"/>
                <w:lang w:val="en-US" w:eastAsia="zh-CN" w:bidi="ar-SA"/>
              </w:rPr>
              <w:t>的，</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5</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3F76204A">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.供应商提供的应急方案不够全面，内容不够完整、合理，可行</w:t>
            </w:r>
            <w:r>
              <w:rPr>
                <w:rFonts w:hint="eastAsia" w:asciiTheme="minorEastAsia" w:hAnsiTheme="minorEastAsia" w:eastAsiaTheme="minorEastAsia" w:cstheme="minorEastAsia"/>
                <w:snapToGrid w:val="0"/>
                <w:color w:val="000000"/>
                <w:spacing w:val="-13"/>
                <w:kern w:val="0"/>
                <w:sz w:val="24"/>
                <w:szCs w:val="24"/>
                <w:lang w:val="en-US" w:eastAsia="zh-CN" w:bidi="ar-SA"/>
              </w:rPr>
              <w:t>性差，无法满足采购文件要求的，</w:t>
            </w:r>
            <w:r>
              <w:rPr>
                <w:rFonts w:hint="eastAsia" w:asciiTheme="minorEastAsia" w:hAnsiTheme="minorEastAsia" w:eastAsiaTheme="minorEastAsia" w:cstheme="minorEastAsia"/>
                <w:snapToGrid w:val="0"/>
                <w:color w:val="000000"/>
                <w:spacing w:val="-13"/>
                <w:kern w:val="0"/>
                <w:sz w:val="24"/>
                <w:szCs w:val="24"/>
                <w:lang w:val="en-US" w:eastAsia="en-US" w:bidi="ar-SA"/>
              </w:rPr>
              <w:t>得2分；</w:t>
            </w:r>
          </w:p>
          <w:p w14:paraId="52BA68D4">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.缺项不得分。</w:t>
            </w:r>
          </w:p>
        </w:tc>
      </w:tr>
      <w:tr w14:paraId="1FB32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restart"/>
            <w:vAlign w:val="center"/>
          </w:tcPr>
          <w:p w14:paraId="72F97AF6">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kern w:val="0"/>
                <w:sz w:val="21"/>
                <w:szCs w:val="21"/>
                <w:lang w:val="en-US" w:eastAsia="zh-CN" w:bidi="ar-SA"/>
              </w:rPr>
            </w:pPr>
            <w:r>
              <w:rPr>
                <w:rFonts w:hint="eastAsia" w:asciiTheme="minorEastAsia" w:hAnsiTheme="minorEastAsia" w:eastAsiaTheme="minorEastAsia" w:cstheme="minorEastAsia"/>
                <w:sz w:val="24"/>
                <w:szCs w:val="24"/>
                <w:lang w:val="en-US" w:eastAsia="zh-CN"/>
              </w:rPr>
              <w:t>3</w:t>
            </w:r>
          </w:p>
        </w:tc>
        <w:tc>
          <w:tcPr>
            <w:tcW w:w="1581" w:type="dxa"/>
            <w:vMerge w:val="restart"/>
            <w:vAlign w:val="center"/>
          </w:tcPr>
          <w:p w14:paraId="33A98EC8">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
                <w:sz w:val="24"/>
                <w:szCs w:val="24"/>
                <w:lang w:val="en-US" w:eastAsia="zh-CN"/>
              </w:rPr>
              <w:t>综合部分（满分25分）</w:t>
            </w:r>
          </w:p>
        </w:tc>
        <w:tc>
          <w:tcPr>
            <w:tcW w:w="1073" w:type="dxa"/>
            <w:vAlign w:val="center"/>
          </w:tcPr>
          <w:p w14:paraId="52B45F63">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人员配备</w:t>
            </w:r>
            <w:r>
              <w:rPr>
                <w:rFonts w:hint="eastAsia" w:asciiTheme="minorEastAsia" w:hAnsiTheme="minorEastAsia" w:eastAsiaTheme="minorEastAsia" w:cstheme="minorEastAsia"/>
                <w:snapToGrid w:val="0"/>
                <w:color w:val="000000"/>
                <w:spacing w:val="-13"/>
                <w:kern w:val="0"/>
                <w:sz w:val="24"/>
                <w:szCs w:val="24"/>
                <w:lang w:val="en-US" w:eastAsia="zh-CN" w:bidi="ar-SA"/>
              </w:rPr>
              <w:t>（9分）</w:t>
            </w:r>
          </w:p>
        </w:tc>
        <w:tc>
          <w:tcPr>
            <w:tcW w:w="5008" w:type="dxa"/>
            <w:vAlign w:val="top"/>
          </w:tcPr>
          <w:p w14:paraId="0432863F">
            <w:pPr>
              <w:pStyle w:val="5"/>
              <w:keepNext w:val="0"/>
              <w:keepLines w:val="0"/>
              <w:widowControl/>
              <w:suppressLineNumbers w:val="0"/>
              <w:spacing w:before="0" w:beforeAutospacing="0" w:after="0" w:afterAutospacing="0"/>
              <w:ind w:left="0" w:right="0" w:firstLine="428" w:firstLineChars="200"/>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根据供应商拟投入本项目的人员安排、从业人员岗位分配、时间安排等方面进行评审：</w:t>
            </w:r>
          </w:p>
          <w:p w14:paraId="0FE04165">
            <w:pPr>
              <w:pStyle w:val="5"/>
              <w:keepNext w:val="0"/>
              <w:keepLines w:val="0"/>
              <w:widowControl/>
              <w:suppressLineNumbers w:val="0"/>
              <w:spacing w:before="0" w:beforeAutospacing="0" w:after="0" w:afterAutospacing="0"/>
              <w:ind w:left="0" w:right="0" w:firstLine="428" w:firstLineChars="200"/>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1.人员安排合理，配备专门服务团队，组织架构完整、人员分工明确、完全满足采购需求得9分；</w:t>
            </w:r>
          </w:p>
          <w:p w14:paraId="3E191630">
            <w:pPr>
              <w:pStyle w:val="5"/>
              <w:keepNext w:val="0"/>
              <w:keepLines w:val="0"/>
              <w:widowControl/>
              <w:suppressLineNumbers w:val="0"/>
              <w:spacing w:before="0" w:beforeAutospacing="0" w:after="0" w:afterAutospacing="0"/>
              <w:ind w:left="0" w:right="0" w:firstLine="428" w:firstLineChars="200"/>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2.人员安排较合理，分工较明确、可行，基本满足采购需求得6分；</w:t>
            </w:r>
          </w:p>
          <w:p w14:paraId="01F7FB34">
            <w:pPr>
              <w:pStyle w:val="5"/>
              <w:keepNext w:val="0"/>
              <w:keepLines w:val="0"/>
              <w:widowControl/>
              <w:suppressLineNumbers w:val="0"/>
              <w:spacing w:before="0" w:beforeAutospacing="0" w:after="0" w:afterAutospacing="0"/>
              <w:ind w:left="0" w:right="0" w:firstLine="428" w:firstLineChars="200"/>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3.人员安排及分工缺乏针对性，不能完全满足采购需求得4分；</w:t>
            </w:r>
          </w:p>
          <w:p w14:paraId="6CCD6499">
            <w:pPr>
              <w:pStyle w:val="5"/>
              <w:keepNext w:val="0"/>
              <w:keepLines w:val="0"/>
              <w:widowControl/>
              <w:suppressLineNumbers w:val="0"/>
              <w:spacing w:before="0" w:beforeAutospacing="0" w:after="0" w:afterAutospacing="0"/>
              <w:ind w:left="0" w:right="0" w:firstLine="428" w:firstLineChars="200"/>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4.人员安排不够合理，分工不够明确、无法满足采购需求得2分；</w:t>
            </w:r>
          </w:p>
          <w:p w14:paraId="4A15B9E1">
            <w:pPr>
              <w:pStyle w:val="5"/>
              <w:keepNext w:val="0"/>
              <w:keepLines w:val="0"/>
              <w:widowControl/>
              <w:suppressLineNumbers w:val="0"/>
              <w:spacing w:before="0" w:beforeAutospacing="0" w:after="0" w:afterAutospacing="0"/>
              <w:ind w:left="0" w:right="0" w:firstLine="428" w:firstLineChars="200"/>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5.缺项不得分。</w:t>
            </w:r>
          </w:p>
        </w:tc>
      </w:tr>
      <w:tr w14:paraId="3DF36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continue"/>
            <w:vAlign w:val="center"/>
          </w:tcPr>
          <w:p w14:paraId="3B30DCB0">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81" w:type="dxa"/>
            <w:vMerge w:val="continue"/>
            <w:shd w:val="clear" w:color="auto" w:fill="auto"/>
            <w:vAlign w:val="top"/>
          </w:tcPr>
          <w:p w14:paraId="403E54ED">
            <w:pPr>
              <w:pStyle w:val="27"/>
              <w:keepNext w:val="0"/>
              <w:keepLines w:val="0"/>
              <w:pageBreakBefore w:val="0"/>
              <w:kinsoku/>
              <w:wordWrap w:val="0"/>
              <w:overflowPunct/>
              <w:topLinePunct w:val="0"/>
              <w:bidi w:val="0"/>
              <w:spacing w:before="33" w:line="235" w:lineRule="auto"/>
              <w:ind w:left="76" w:leftChars="0" w:right="23" w:rightChars="0" w:firstLine="2" w:firstLineChars="0"/>
              <w:jc w:val="both"/>
              <w:rPr>
                <w:rFonts w:hint="default" w:asciiTheme="minorEastAsia" w:hAnsiTheme="minorEastAsia" w:eastAsiaTheme="minorEastAsia" w:cstheme="minorEastAsia"/>
                <w:snapToGrid w:val="0"/>
                <w:color w:val="000000"/>
                <w:spacing w:val="-13"/>
                <w:kern w:val="0"/>
                <w:sz w:val="24"/>
                <w:szCs w:val="24"/>
                <w:lang w:val="en-US" w:eastAsia="zh-CN" w:bidi="ar-SA"/>
              </w:rPr>
            </w:pPr>
          </w:p>
        </w:tc>
        <w:tc>
          <w:tcPr>
            <w:tcW w:w="1073" w:type="dxa"/>
            <w:vAlign w:val="center"/>
          </w:tcPr>
          <w:p w14:paraId="0F8D9509">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业绩</w:t>
            </w:r>
          </w:p>
          <w:p w14:paraId="0E296D2D">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（6分）</w:t>
            </w:r>
          </w:p>
        </w:tc>
        <w:tc>
          <w:tcPr>
            <w:tcW w:w="5008" w:type="dxa"/>
            <w:vAlign w:val="top"/>
          </w:tcPr>
          <w:p w14:paraId="60D469C6">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供应商提供2022年1月1日以来类似（物业服务类）项目业绩的，每提供一份业绩合同得2分，本项最多得</w:t>
            </w:r>
            <w:r>
              <w:rPr>
                <w:rFonts w:hint="eastAsia" w:asciiTheme="minorEastAsia" w:hAnsiTheme="minorEastAsia" w:eastAsiaTheme="minorEastAsia" w:cstheme="minorEastAsia"/>
                <w:snapToGrid w:val="0"/>
                <w:color w:val="000000"/>
                <w:spacing w:val="-13"/>
                <w:kern w:val="0"/>
                <w:sz w:val="24"/>
                <w:szCs w:val="24"/>
                <w:lang w:val="en-US" w:eastAsia="zh-CN" w:bidi="ar-SA"/>
              </w:rPr>
              <w:t>6</w:t>
            </w:r>
            <w:r>
              <w:rPr>
                <w:rFonts w:hint="eastAsia" w:asciiTheme="minorEastAsia" w:hAnsiTheme="minorEastAsia" w:eastAsiaTheme="minorEastAsia" w:cstheme="minorEastAsia"/>
                <w:snapToGrid w:val="0"/>
                <w:color w:val="000000"/>
                <w:spacing w:val="-13"/>
                <w:kern w:val="0"/>
                <w:sz w:val="24"/>
                <w:szCs w:val="24"/>
                <w:lang w:val="en-US" w:eastAsia="en-US" w:bidi="ar-SA"/>
              </w:rPr>
              <w:t>分。（时间以合同签订时间为准）</w:t>
            </w:r>
          </w:p>
        </w:tc>
      </w:tr>
      <w:tr w14:paraId="77F95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continue"/>
            <w:vAlign w:val="center"/>
          </w:tcPr>
          <w:p w14:paraId="0768C551">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81" w:type="dxa"/>
            <w:vMerge w:val="continue"/>
            <w:shd w:val="clear" w:color="auto" w:fill="auto"/>
            <w:vAlign w:val="top"/>
          </w:tcPr>
          <w:p w14:paraId="667358D4">
            <w:pPr>
              <w:pStyle w:val="27"/>
              <w:keepNext w:val="0"/>
              <w:keepLines w:val="0"/>
              <w:pageBreakBefore w:val="0"/>
              <w:kinsoku/>
              <w:wordWrap w:val="0"/>
              <w:overflowPunct/>
              <w:topLinePunct w:val="0"/>
              <w:bidi w:val="0"/>
              <w:spacing w:before="33" w:line="235" w:lineRule="auto"/>
              <w:ind w:left="76" w:leftChars="0" w:right="23" w:rightChars="0" w:firstLine="2" w:firstLineChars="0"/>
              <w:jc w:val="both"/>
              <w:rPr>
                <w:rFonts w:hint="default" w:asciiTheme="minorEastAsia" w:hAnsiTheme="minorEastAsia" w:eastAsiaTheme="minorEastAsia" w:cstheme="minorEastAsia"/>
                <w:snapToGrid w:val="0"/>
                <w:color w:val="000000"/>
                <w:spacing w:val="-13"/>
                <w:kern w:val="0"/>
                <w:sz w:val="24"/>
                <w:szCs w:val="24"/>
                <w:lang w:val="en-US" w:eastAsia="zh-CN" w:bidi="ar-SA"/>
              </w:rPr>
            </w:pPr>
          </w:p>
        </w:tc>
        <w:tc>
          <w:tcPr>
            <w:tcW w:w="1073" w:type="dxa"/>
            <w:vAlign w:val="center"/>
          </w:tcPr>
          <w:p w14:paraId="0A337FD8">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服务承诺</w:t>
            </w:r>
            <w:r>
              <w:rPr>
                <w:rFonts w:hint="eastAsia" w:asciiTheme="minorEastAsia" w:hAnsiTheme="minorEastAsia" w:eastAsiaTheme="minorEastAsia" w:cstheme="minorEastAsia"/>
                <w:snapToGrid w:val="0"/>
                <w:color w:val="000000"/>
                <w:spacing w:val="-13"/>
                <w:kern w:val="0"/>
                <w:sz w:val="24"/>
                <w:szCs w:val="24"/>
                <w:lang w:val="en-US" w:eastAsia="zh-CN" w:bidi="ar-SA"/>
              </w:rPr>
              <w:t>（8分）</w:t>
            </w:r>
          </w:p>
        </w:tc>
        <w:tc>
          <w:tcPr>
            <w:tcW w:w="5008" w:type="dxa"/>
            <w:vAlign w:val="top"/>
          </w:tcPr>
          <w:p w14:paraId="30867239">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评委根据供应商针对项目的特点和要求，结合自身的条件，有利于提高服务质量等方面的承诺进行评分：</w:t>
            </w:r>
          </w:p>
          <w:p w14:paraId="2C2E2054">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1.方案详细，科学合理、可操作性强的</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eastAsia" w:asciiTheme="minorEastAsia" w:hAnsiTheme="minorEastAsia" w:eastAsiaTheme="minorEastAsia" w:cstheme="minorEastAsia"/>
                <w:snapToGrid w:val="0"/>
                <w:color w:val="000000"/>
                <w:spacing w:val="-13"/>
                <w:kern w:val="0"/>
                <w:sz w:val="24"/>
                <w:szCs w:val="24"/>
                <w:lang w:val="en-US" w:eastAsia="en-US" w:bidi="ar-SA"/>
              </w:rPr>
              <w:t>得8分；</w:t>
            </w:r>
          </w:p>
          <w:p w14:paraId="78A58298">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r>
              <w:rPr>
                <w:rFonts w:hint="eastAsia" w:asciiTheme="minorEastAsia" w:hAnsiTheme="minorEastAsia" w:eastAsiaTheme="minorEastAsia" w:cstheme="minorEastAsia"/>
                <w:snapToGrid w:val="0"/>
                <w:color w:val="000000"/>
                <w:spacing w:val="-13"/>
                <w:kern w:val="0"/>
                <w:sz w:val="24"/>
                <w:szCs w:val="24"/>
                <w:lang w:val="en-US" w:eastAsia="en-US" w:bidi="ar-SA"/>
              </w:rPr>
              <w:t>.方案较详细，</w:t>
            </w:r>
            <w:r>
              <w:rPr>
                <w:rFonts w:hint="eastAsia" w:asciiTheme="minorEastAsia" w:hAnsiTheme="minorEastAsia" w:eastAsiaTheme="minorEastAsia" w:cstheme="minorEastAsia"/>
                <w:snapToGrid w:val="0"/>
                <w:color w:val="000000"/>
                <w:spacing w:val="-13"/>
                <w:kern w:val="0"/>
                <w:sz w:val="24"/>
                <w:szCs w:val="24"/>
                <w:lang w:val="en-US" w:eastAsia="zh-CN" w:bidi="ar-SA"/>
              </w:rPr>
              <w:t>具备</w:t>
            </w:r>
            <w:r>
              <w:rPr>
                <w:rFonts w:hint="eastAsia" w:asciiTheme="minorEastAsia" w:hAnsiTheme="minorEastAsia" w:eastAsiaTheme="minorEastAsia" w:cstheme="minorEastAsia"/>
                <w:snapToGrid w:val="0"/>
                <w:color w:val="000000"/>
                <w:spacing w:val="-13"/>
                <w:kern w:val="0"/>
                <w:sz w:val="24"/>
                <w:szCs w:val="24"/>
                <w:lang w:val="en-US" w:eastAsia="en-US" w:bidi="ar-SA"/>
              </w:rPr>
              <w:t>科学性、合理性</w:t>
            </w:r>
            <w:r>
              <w:rPr>
                <w:rFonts w:hint="eastAsia" w:asciiTheme="minorEastAsia" w:hAnsiTheme="minorEastAsia" w:eastAsiaTheme="minorEastAsia" w:cstheme="minorEastAsia"/>
                <w:snapToGrid w:val="0"/>
                <w:color w:val="000000"/>
                <w:spacing w:val="-13"/>
                <w:kern w:val="0"/>
                <w:sz w:val="24"/>
                <w:szCs w:val="24"/>
                <w:lang w:val="en-US" w:eastAsia="zh-CN" w:bidi="ar-SA"/>
              </w:rPr>
              <w:t>，能够提升项目服务质量</w:t>
            </w:r>
            <w:r>
              <w:rPr>
                <w:rFonts w:hint="eastAsia" w:asciiTheme="minorEastAsia" w:hAnsiTheme="minorEastAsia" w:eastAsiaTheme="minorEastAsia" w:cstheme="minorEastAsia"/>
                <w:snapToGrid w:val="0"/>
                <w:color w:val="000000"/>
                <w:spacing w:val="-13"/>
                <w:kern w:val="0"/>
                <w:sz w:val="24"/>
                <w:szCs w:val="24"/>
                <w:lang w:val="en-US" w:eastAsia="en-US" w:bidi="ar-SA"/>
              </w:rPr>
              <w:t>的</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eastAsia" w:asciiTheme="minorEastAsia" w:hAnsiTheme="minorEastAsia" w:eastAsiaTheme="minorEastAsia" w:cstheme="minorEastAsia"/>
                <w:snapToGrid w:val="0"/>
                <w:color w:val="000000"/>
                <w:spacing w:val="-13"/>
                <w:kern w:val="0"/>
                <w:sz w:val="24"/>
                <w:szCs w:val="24"/>
                <w:lang w:val="en-US" w:eastAsia="en-US" w:bidi="ar-SA"/>
              </w:rPr>
              <w:t>得</w:t>
            </w:r>
            <w:r>
              <w:rPr>
                <w:rFonts w:hint="eastAsia" w:asciiTheme="minorEastAsia" w:hAnsiTheme="minorEastAsia" w:eastAsiaTheme="minorEastAsia" w:cstheme="minorEastAsia"/>
                <w:snapToGrid w:val="0"/>
                <w:color w:val="000000"/>
                <w:spacing w:val="-13"/>
                <w:kern w:val="0"/>
                <w:sz w:val="24"/>
                <w:szCs w:val="24"/>
                <w:lang w:val="en-US" w:eastAsia="zh-CN" w:bidi="ar-SA"/>
              </w:rPr>
              <w:t>5</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3A94D996">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.方案</w:t>
            </w:r>
            <w:r>
              <w:rPr>
                <w:rFonts w:hint="eastAsia" w:asciiTheme="minorEastAsia" w:hAnsiTheme="minorEastAsia" w:eastAsiaTheme="minorEastAsia" w:cstheme="minorEastAsia"/>
                <w:snapToGrid w:val="0"/>
                <w:color w:val="000000"/>
                <w:spacing w:val="-13"/>
                <w:kern w:val="0"/>
                <w:sz w:val="24"/>
                <w:szCs w:val="24"/>
                <w:lang w:val="en-US" w:eastAsia="zh-CN" w:bidi="ar-SA"/>
              </w:rPr>
              <w:t>内容粗略</w:t>
            </w:r>
            <w:r>
              <w:rPr>
                <w:rFonts w:hint="eastAsia" w:asciiTheme="minorEastAsia" w:hAnsiTheme="minorEastAsia" w:eastAsiaTheme="minorEastAsia" w:cstheme="minorEastAsia"/>
                <w:snapToGrid w:val="0"/>
                <w:color w:val="000000"/>
                <w:spacing w:val="-13"/>
                <w:kern w:val="0"/>
                <w:sz w:val="24"/>
                <w:szCs w:val="24"/>
                <w:lang w:val="en-US" w:eastAsia="en-US" w:bidi="ar-SA"/>
              </w:rPr>
              <w:t>，不</w:t>
            </w:r>
            <w:r>
              <w:rPr>
                <w:rFonts w:hint="eastAsia" w:asciiTheme="minorEastAsia" w:hAnsiTheme="minorEastAsia" w:eastAsiaTheme="minorEastAsia" w:cstheme="minorEastAsia"/>
                <w:snapToGrid w:val="0"/>
                <w:color w:val="000000"/>
                <w:spacing w:val="-13"/>
                <w:kern w:val="0"/>
                <w:sz w:val="24"/>
                <w:szCs w:val="24"/>
                <w:lang w:val="en-US" w:eastAsia="zh-CN" w:bidi="ar-SA"/>
              </w:rPr>
              <w:t>具备</w:t>
            </w:r>
            <w:r>
              <w:rPr>
                <w:rFonts w:hint="eastAsia" w:asciiTheme="minorEastAsia" w:hAnsiTheme="minorEastAsia" w:eastAsiaTheme="minorEastAsia" w:cstheme="minorEastAsia"/>
                <w:snapToGrid w:val="0"/>
                <w:color w:val="000000"/>
                <w:spacing w:val="-13"/>
                <w:kern w:val="0"/>
                <w:sz w:val="24"/>
                <w:szCs w:val="24"/>
                <w:lang w:val="en-US" w:eastAsia="en-US" w:bidi="ar-SA"/>
              </w:rPr>
              <w:t>科学合理</w:t>
            </w:r>
            <w:r>
              <w:rPr>
                <w:rFonts w:hint="eastAsia" w:asciiTheme="minorEastAsia" w:hAnsiTheme="minorEastAsia" w:eastAsiaTheme="minorEastAsia" w:cstheme="minorEastAsia"/>
                <w:snapToGrid w:val="0"/>
                <w:color w:val="000000"/>
                <w:spacing w:val="-13"/>
                <w:kern w:val="0"/>
                <w:sz w:val="24"/>
                <w:szCs w:val="24"/>
                <w:lang w:val="en-US" w:eastAsia="zh-CN" w:bidi="ar-SA"/>
              </w:rPr>
              <w:t>性</w:t>
            </w: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可操作性差</w:t>
            </w:r>
            <w:r>
              <w:rPr>
                <w:rFonts w:hint="eastAsia" w:asciiTheme="minorEastAsia" w:hAnsiTheme="minorEastAsia" w:eastAsiaTheme="minorEastAsia" w:cstheme="minorEastAsia"/>
                <w:snapToGrid w:val="0"/>
                <w:color w:val="000000"/>
                <w:spacing w:val="-13"/>
                <w:kern w:val="0"/>
                <w:sz w:val="24"/>
                <w:szCs w:val="24"/>
                <w:lang w:val="en-US" w:eastAsia="en-US" w:bidi="ar-SA"/>
              </w:rPr>
              <w:t>的</w:t>
            </w:r>
            <w:r>
              <w:rPr>
                <w:rFonts w:hint="eastAsia" w:asciiTheme="minorEastAsia" w:hAnsiTheme="minorEastAsia" w:eastAsiaTheme="minorEastAsia" w:cstheme="minorEastAsia"/>
                <w:snapToGrid w:val="0"/>
                <w:color w:val="000000"/>
                <w:spacing w:val="-13"/>
                <w:kern w:val="0"/>
                <w:sz w:val="24"/>
                <w:szCs w:val="24"/>
                <w:lang w:val="en-US" w:eastAsia="zh-CN" w:bidi="ar-SA"/>
              </w:rPr>
              <w:t>，</w:t>
            </w:r>
            <w:r>
              <w:rPr>
                <w:rFonts w:hint="eastAsia" w:asciiTheme="minorEastAsia" w:hAnsiTheme="minorEastAsia" w:eastAsiaTheme="minorEastAsia" w:cstheme="minorEastAsia"/>
                <w:snapToGrid w:val="0"/>
                <w:color w:val="000000"/>
                <w:spacing w:val="-13"/>
                <w:kern w:val="0"/>
                <w:sz w:val="24"/>
                <w:szCs w:val="24"/>
                <w:lang w:val="en-US" w:eastAsia="en-US" w:bidi="ar-SA"/>
              </w:rPr>
              <w:t>得2分；</w:t>
            </w:r>
          </w:p>
          <w:p w14:paraId="55D2D420">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.缺项不得分。</w:t>
            </w:r>
          </w:p>
        </w:tc>
      </w:tr>
      <w:tr w14:paraId="3DE03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673" w:type="dxa"/>
            <w:vMerge w:val="continue"/>
            <w:vAlign w:val="center"/>
          </w:tcPr>
          <w:p w14:paraId="17F0BC06">
            <w:pPr>
              <w:pStyle w:val="27"/>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p>
        </w:tc>
        <w:tc>
          <w:tcPr>
            <w:tcW w:w="1581" w:type="dxa"/>
            <w:vMerge w:val="continue"/>
            <w:shd w:val="clear" w:color="auto" w:fill="auto"/>
            <w:vAlign w:val="top"/>
          </w:tcPr>
          <w:p w14:paraId="6C01D653">
            <w:pPr>
              <w:pStyle w:val="27"/>
              <w:keepNext w:val="0"/>
              <w:keepLines w:val="0"/>
              <w:pageBreakBefore w:val="0"/>
              <w:kinsoku/>
              <w:wordWrap w:val="0"/>
              <w:overflowPunct/>
              <w:topLinePunct w:val="0"/>
              <w:bidi w:val="0"/>
              <w:spacing w:before="33" w:line="235" w:lineRule="auto"/>
              <w:ind w:left="76" w:leftChars="0" w:right="23" w:rightChars="0" w:firstLine="2" w:firstLineChars="0"/>
              <w:jc w:val="both"/>
              <w:rPr>
                <w:rFonts w:hint="default" w:asciiTheme="minorEastAsia" w:hAnsiTheme="minorEastAsia" w:eastAsiaTheme="minorEastAsia" w:cstheme="minorEastAsia"/>
                <w:snapToGrid w:val="0"/>
                <w:color w:val="000000"/>
                <w:spacing w:val="-13"/>
                <w:kern w:val="0"/>
                <w:sz w:val="24"/>
                <w:szCs w:val="24"/>
                <w:lang w:val="en-US" w:eastAsia="zh-CN" w:bidi="ar-SA"/>
              </w:rPr>
            </w:pPr>
          </w:p>
        </w:tc>
        <w:tc>
          <w:tcPr>
            <w:tcW w:w="1073" w:type="dxa"/>
            <w:vAlign w:val="center"/>
          </w:tcPr>
          <w:p w14:paraId="11EA0632">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信用评价</w:t>
            </w:r>
            <w:r>
              <w:rPr>
                <w:rFonts w:hint="eastAsia" w:asciiTheme="minorEastAsia" w:hAnsiTheme="minorEastAsia" w:eastAsiaTheme="minorEastAsia" w:cstheme="minorEastAsia"/>
                <w:snapToGrid w:val="0"/>
                <w:color w:val="000000"/>
                <w:spacing w:val="-13"/>
                <w:kern w:val="0"/>
                <w:sz w:val="24"/>
                <w:szCs w:val="24"/>
                <w:lang w:val="en-US" w:eastAsia="zh-CN" w:bidi="ar-SA"/>
              </w:rPr>
              <w:t>（2分）</w:t>
            </w:r>
          </w:p>
        </w:tc>
        <w:tc>
          <w:tcPr>
            <w:tcW w:w="5008" w:type="dxa"/>
            <w:vAlign w:val="top"/>
          </w:tcPr>
          <w:p w14:paraId="7601B9C2">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投标人在参加南阳市本级的政府采购活动时，享受政策支持，在采用综合评分法的项目中，诚信评价为满分的得2分，90-99分(不含90分)之间得1分，90分以下的不得分;投标人可在公告发布之日到投标截止期间，登录“南阳市政府采购信用管理系统”在线打印《南阳市政府采购供应商信用记录表》，作为投标(响应)文件的组成部分提交，评审时作为享受政策支持的依据。</w:t>
            </w:r>
          </w:p>
        </w:tc>
      </w:tr>
      <w:tr w14:paraId="4538B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254" w:type="dxa"/>
            <w:gridSpan w:val="2"/>
            <w:vAlign w:val="top"/>
          </w:tcPr>
          <w:p w14:paraId="584842BD">
            <w:pPr>
              <w:keepNext w:val="0"/>
              <w:keepLines w:val="0"/>
              <w:pageBreakBefore w:val="0"/>
              <w:kinsoku/>
              <w:wordWrap w:val="0"/>
              <w:overflowPunct/>
              <w:topLinePunct w:val="0"/>
              <w:bidi w:val="0"/>
              <w:spacing w:before="42" w:line="206" w:lineRule="auto"/>
              <w:ind w:left="93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1073" w:type="dxa"/>
            <w:vAlign w:val="top"/>
          </w:tcPr>
          <w:p w14:paraId="2576690B">
            <w:pPr>
              <w:pStyle w:val="27"/>
              <w:keepNext w:val="0"/>
              <w:keepLines w:val="0"/>
              <w:pageBreakBefore w:val="0"/>
              <w:kinsoku/>
              <w:wordWrap w:val="0"/>
              <w:overflowPunct/>
              <w:topLinePunct w:val="0"/>
              <w:bidi w:val="0"/>
              <w:spacing w:before="59" w:line="202" w:lineRule="auto"/>
              <w:ind w:left="26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5008" w:type="dxa"/>
            <w:vAlign w:val="top"/>
          </w:tcPr>
          <w:p w14:paraId="367577E3">
            <w:pPr>
              <w:pStyle w:val="2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1AEFB7A8">
      <w:pPr>
        <w:pStyle w:val="16"/>
        <w:rPr>
          <w:rFonts w:hint="default"/>
          <w:lang w:val="en-US" w:eastAsia="zh-CN"/>
        </w:rPr>
      </w:pPr>
    </w:p>
    <w:p w14:paraId="490E1230">
      <w:pPr>
        <w:keepNext w:val="0"/>
        <w:keepLines w:val="0"/>
        <w:pageBreakBefore w:val="0"/>
        <w:widowControl/>
        <w:kinsoku/>
        <w:wordWrap w:val="0"/>
        <w:overflowPunct/>
        <w:topLinePunct w:val="0"/>
        <w:autoSpaceDE w:val="0"/>
        <w:autoSpaceDN w:val="0"/>
        <w:bidi w:val="0"/>
        <w:adjustRightInd w:val="0"/>
        <w:snapToGrid w:val="0"/>
        <w:spacing w:line="360" w:lineRule="auto"/>
        <w:ind w:firstLine="420" w:firstLineChars="200"/>
        <w:jc w:val="both"/>
        <w:textAlignment w:val="baseline"/>
        <w:rPr>
          <w:rFonts w:hint="eastAsia" w:asciiTheme="minorEastAsia" w:hAnsiTheme="minorEastAsia" w:eastAsiaTheme="minorEastAsia" w:cstheme="minorEastAsia"/>
          <w:sz w:val="21"/>
          <w:szCs w:val="21"/>
        </w:rPr>
      </w:pPr>
    </w:p>
    <w:p w14:paraId="2949A70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14:paraId="355D4BBE">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14:paraId="03782D05">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中标人被正式确定后，将在“河南省政府采购网”和“全国公共资源交易平台（河南省</w:t>
      </w:r>
      <w:r>
        <w:rPr>
          <w:rFonts w:hint="eastAsia" w:ascii="微软雅黑" w:hAnsi="微软雅黑" w:eastAsia="微软雅黑" w:cs="微软雅黑"/>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南阳市）”上公告中标结果，同时向中标人发出《中标通知书》。</w:t>
      </w:r>
    </w:p>
    <w:p w14:paraId="0920E6C3">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14:paraId="61E530F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14:paraId="1197CAFB">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14:paraId="5D70EC38">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2.1中标供应商打印《中标通知书》后及时与采购人签订政府采购合同。合同签订后，采购人应通过“河南省电子化政府采购系统”(www.hngp.gov.cn)合同管理栏目上传合同原件扫描件完成备案。</w:t>
      </w:r>
    </w:p>
    <w:p w14:paraId="0EB4C2F8">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2.2招标文件、投标文件、答疑及澄清文件，均为签订合同的依据。</w:t>
      </w:r>
    </w:p>
    <w:p w14:paraId="57D32433">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5AE3F7CD">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14:paraId="559076D2">
      <w:pPr>
        <w:pStyle w:val="8"/>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04D4DC45">
      <w:pPr>
        <w:pStyle w:val="8"/>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15628BE2">
      <w:pPr>
        <w:pStyle w:val="8"/>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372C0885">
      <w:pPr>
        <w:pStyle w:val="8"/>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065B682D">
      <w:pPr>
        <w:pStyle w:val="8"/>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1604BB80">
      <w:pPr>
        <w:pStyle w:val="8"/>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00669C5E">
      <w:pPr>
        <w:pStyle w:val="8"/>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580FB5B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14:paraId="3F00B84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14:paraId="3FFF3AE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14:paraId="1668768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14:paraId="1D1CA5E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14:paraId="60DFD29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14:paraId="5E1DCB1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14:paraId="7E2F3CFC">
      <w:pPr>
        <w:pStyle w:val="16"/>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194712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FAA830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7655B35">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970D298">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B6383E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5E89698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2F2A53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428573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2F738C1">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870B57A">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818CBF5">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DE71AC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2B51A30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75E08180">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3962BA5D">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35492DC4">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70765A64">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39A72F17">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2A8E5545">
      <w:pPr>
        <w:pStyle w:val="25"/>
        <w:keepNext w:val="0"/>
        <w:keepLines w:val="0"/>
        <w:pageBreakBefore w:val="0"/>
        <w:kinsoku/>
        <w:wordWrap w:val="0"/>
        <w:overflowPunct/>
        <w:topLinePunct w:val="0"/>
        <w:bidi w:val="0"/>
        <w:jc w:val="both"/>
        <w:rPr>
          <w:rFonts w:hint="eastAsia"/>
          <w:lang w:val="en-US" w:eastAsia="zh-CN"/>
        </w:rPr>
        <w:sectPr>
          <w:footerReference r:id="rId7" w:type="default"/>
          <w:pgSz w:w="11907" w:h="16840"/>
          <w:pgMar w:top="1440" w:right="1800" w:bottom="1440" w:left="1800" w:header="878" w:footer="886" w:gutter="0"/>
          <w:pgNumType w:fmt="decimal" w:start="1"/>
          <w:cols w:space="720" w:num="1"/>
        </w:sectPr>
      </w:pPr>
    </w:p>
    <w:p w14:paraId="6B0EB3F6">
      <w:pPr>
        <w:pStyle w:val="9"/>
        <w:keepNext w:val="0"/>
        <w:keepLines w:val="0"/>
        <w:pageBreakBefore w:val="0"/>
        <w:kinsoku/>
        <w:wordWrap w:val="0"/>
        <w:overflowPunct/>
        <w:topLinePunct w:val="0"/>
        <w:bidi w:val="0"/>
        <w:spacing w:before="353" w:line="219" w:lineRule="auto"/>
        <w:ind w:left="2294"/>
        <w:jc w:val="both"/>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政府采购合同（草案）</w:t>
      </w:r>
    </w:p>
    <w:p w14:paraId="521FF426">
      <w:pPr>
        <w:pStyle w:val="25"/>
        <w:jc w:val="both"/>
        <w:rPr>
          <w:rFonts w:hint="eastAsia"/>
        </w:rPr>
      </w:pPr>
    </w:p>
    <w:p w14:paraId="43A24D60">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053E5C39">
      <w:pPr>
        <w:jc w:val="center"/>
        <w:rPr>
          <w:rFonts w:hint="eastAsia" w:ascii="仿宋" w:hAnsi="仿宋" w:eastAsia="仿宋"/>
          <w:b/>
          <w:bCs/>
          <w:sz w:val="32"/>
        </w:rPr>
      </w:pPr>
      <w:r>
        <w:rPr>
          <w:rFonts w:hint="eastAsia" w:ascii="仿宋" w:hAnsi="仿宋" w:eastAsia="仿宋"/>
          <w:b/>
          <w:bCs/>
          <w:sz w:val="32"/>
        </w:rPr>
        <w:t>南阳市</w:t>
      </w:r>
      <w:r>
        <w:rPr>
          <w:rFonts w:hint="eastAsia" w:ascii="仿宋" w:hAnsi="仿宋" w:eastAsia="仿宋"/>
          <w:b/>
          <w:bCs/>
          <w:sz w:val="32"/>
          <w:lang w:val="en-US" w:eastAsia="zh-CN"/>
        </w:rPr>
        <w:t>第二中学校</w:t>
      </w:r>
      <w:r>
        <w:rPr>
          <w:rFonts w:hint="eastAsia" w:ascii="仿宋" w:hAnsi="仿宋" w:eastAsia="仿宋"/>
          <w:b/>
          <w:bCs/>
          <w:sz w:val="32"/>
        </w:rPr>
        <w:t>物业管理服务合同</w:t>
      </w:r>
    </w:p>
    <w:p w14:paraId="47C3E8D8">
      <w:pPr>
        <w:jc w:val="left"/>
        <w:rPr>
          <w:rFonts w:hint="eastAsia" w:ascii="仿宋" w:hAnsi="仿宋" w:eastAsia="仿宋"/>
          <w:b/>
          <w:bCs/>
          <w:sz w:val="32"/>
        </w:rPr>
      </w:pPr>
    </w:p>
    <w:p w14:paraId="75D5AFBE">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项目编号：</w:t>
      </w:r>
    </w:p>
    <w:p w14:paraId="0D9D83B0">
      <w:pPr>
        <w:ind w:firstLine="640" w:firstLineChars="200"/>
        <w:jc w:val="left"/>
        <w:rPr>
          <w:rFonts w:hint="eastAsia" w:ascii="仿宋" w:hAnsi="仿宋" w:eastAsia="仿宋"/>
          <w:b/>
          <w:bCs/>
          <w:sz w:val="32"/>
          <w:lang w:val="en-US" w:eastAsia="zh-CN"/>
        </w:rPr>
      </w:pPr>
      <w:r>
        <w:rPr>
          <w:rFonts w:hint="eastAsia" w:ascii="仿宋" w:hAnsi="仿宋" w:eastAsia="仿宋" w:cs="仿宋"/>
          <w:b w:val="0"/>
          <w:bCs w:val="0"/>
          <w:sz w:val="32"/>
        </w:rPr>
        <w:t>甲方：</w:t>
      </w:r>
      <w:r>
        <w:rPr>
          <w:rFonts w:hint="eastAsia" w:ascii="仿宋" w:hAnsi="仿宋" w:eastAsia="仿宋"/>
          <w:b/>
          <w:bCs/>
          <w:sz w:val="32"/>
        </w:rPr>
        <w:t>南阳市</w:t>
      </w:r>
      <w:r>
        <w:rPr>
          <w:rFonts w:hint="eastAsia" w:ascii="仿宋" w:hAnsi="仿宋" w:eastAsia="仿宋"/>
          <w:b/>
          <w:bCs/>
          <w:sz w:val="32"/>
          <w:lang w:val="en-US" w:eastAsia="zh-CN"/>
        </w:rPr>
        <w:t>第二中学校</w:t>
      </w:r>
    </w:p>
    <w:p w14:paraId="36072C0D">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乙方：</w:t>
      </w:r>
    </w:p>
    <w:p w14:paraId="2E740D89">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lang w:val="en-US" w:eastAsia="zh-CN"/>
        </w:rPr>
        <w:t>根据《中华人民共和国政府采购法》及相关法律法规、按照平等、自愿、公平和诚实守信的原则,经</w:t>
      </w:r>
      <w:r>
        <w:rPr>
          <w:rFonts w:hint="eastAsia" w:ascii="仿宋" w:hAnsi="仿宋" w:eastAsia="仿宋"/>
          <w:b/>
          <w:bCs/>
          <w:sz w:val="32"/>
        </w:rPr>
        <w:t>南阳市</w:t>
      </w:r>
      <w:r>
        <w:rPr>
          <w:rFonts w:hint="eastAsia" w:ascii="仿宋" w:hAnsi="仿宋" w:eastAsia="仿宋"/>
          <w:b/>
          <w:bCs/>
          <w:sz w:val="32"/>
          <w:lang w:val="en-US" w:eastAsia="zh-CN"/>
        </w:rPr>
        <w:t>第二中学校</w:t>
      </w:r>
      <w:r>
        <w:rPr>
          <w:rFonts w:hint="eastAsia" w:ascii="仿宋" w:hAnsi="仿宋" w:eastAsia="仿宋" w:cs="仿宋"/>
          <w:b w:val="0"/>
          <w:bCs w:val="0"/>
          <w:sz w:val="32"/>
          <w:lang w:val="en-US" w:eastAsia="zh-CN"/>
        </w:rPr>
        <w:t>(以下简称甲方)和(以下简称乙方)协商一致，约定以下合同条款，共同遵守，全面履行。</w:t>
      </w:r>
    </w:p>
    <w:p w14:paraId="52BD65C0">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一、合同金额</w:t>
      </w:r>
    </w:p>
    <w:p w14:paraId="5568ADA9">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合同金额为(大写</w:t>
      </w:r>
      <w:r>
        <w:rPr>
          <w:rFonts w:hint="eastAsia" w:ascii="仿宋" w:hAnsi="仿宋" w:eastAsia="仿宋" w:cs="仿宋"/>
          <w:b w:val="0"/>
          <w:bCs w:val="0"/>
          <w:sz w:val="32"/>
          <w:lang w:val="en-US" w:eastAsia="zh-CN"/>
        </w:rPr>
        <w:t xml:space="preserve">            </w:t>
      </w:r>
      <w:r>
        <w:rPr>
          <w:rFonts w:hint="eastAsia" w:ascii="仿宋" w:hAnsi="仿宋" w:eastAsia="仿宋" w:cs="仿宋"/>
          <w:b w:val="0"/>
          <w:bCs w:val="0"/>
          <w:sz w:val="32"/>
        </w:rPr>
        <w:t>):(</w:t>
      </w:r>
      <w:r>
        <w:rPr>
          <w:rFonts w:hint="eastAsia" w:ascii="宋体" w:hAnsi="宋体" w:eastAsia="宋体" w:cs="宋体"/>
          <w:b w:val="0"/>
          <w:bCs w:val="0"/>
          <w:sz w:val="32"/>
        </w:rPr>
        <w:t>¥</w:t>
      </w:r>
      <w:r>
        <w:rPr>
          <w:rFonts w:hint="eastAsia" w:ascii="宋体" w:hAnsi="宋体" w:eastAsia="宋体" w:cs="宋体"/>
          <w:b w:val="0"/>
          <w:bCs w:val="0"/>
          <w:sz w:val="32"/>
          <w:lang w:val="en-US" w:eastAsia="zh-CN"/>
        </w:rPr>
        <w:t xml:space="preserve">   </w:t>
      </w:r>
      <w:r>
        <w:rPr>
          <w:rFonts w:hint="eastAsia" w:ascii="仿宋" w:hAnsi="仿宋" w:eastAsia="仿宋" w:cs="仿宋"/>
          <w:b w:val="0"/>
          <w:bCs w:val="0"/>
          <w:sz w:val="32"/>
          <w:lang w:val="en-US" w:eastAsia="zh-CN"/>
        </w:rPr>
        <w:t xml:space="preserve">  </w:t>
      </w:r>
      <w:r>
        <w:rPr>
          <w:rFonts w:hint="eastAsia" w:ascii="仿宋" w:hAnsi="仿宋" w:eastAsia="仿宋" w:cs="仿宋"/>
          <w:b w:val="0"/>
          <w:bCs w:val="0"/>
          <w:sz w:val="32"/>
        </w:rPr>
        <w:t>)。</w:t>
      </w:r>
    </w:p>
    <w:p w14:paraId="04CC2731">
      <w:pPr>
        <w:ind w:firstLine="640" w:firstLineChars="200"/>
        <w:jc w:val="left"/>
        <w:rPr>
          <w:rFonts w:hint="eastAsia" w:ascii="仿宋" w:hAnsi="仿宋" w:eastAsia="仿宋" w:cs="仿宋"/>
          <w:b w:val="0"/>
          <w:bCs w:val="0"/>
          <w:sz w:val="32"/>
          <w:lang w:val="en-US" w:eastAsia="zh-CN"/>
        </w:rPr>
      </w:pPr>
      <w:r>
        <w:rPr>
          <w:rFonts w:hint="eastAsia" w:ascii="仿宋" w:hAnsi="仿宋" w:eastAsia="仿宋" w:cs="仿宋"/>
          <w:b w:val="0"/>
          <w:bCs w:val="0"/>
          <w:sz w:val="32"/>
        </w:rPr>
        <w:t>二、服务范围</w:t>
      </w:r>
    </w:p>
    <w:p w14:paraId="7040C606">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乙方提供以下服务：</w:t>
      </w:r>
    </w:p>
    <w:p w14:paraId="260E7636">
      <w:pPr>
        <w:numPr>
          <w:ilvl w:val="0"/>
          <w:numId w:val="2"/>
        </w:num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服务区域</w:t>
      </w:r>
    </w:p>
    <w:p w14:paraId="1D836CCE">
      <w:pPr>
        <w:ind w:firstLine="640" w:firstLineChars="200"/>
        <w:jc w:val="left"/>
        <w:rPr>
          <w:rFonts w:hint="default" w:ascii="仿宋" w:hAnsi="仿宋" w:eastAsia="仿宋" w:cs="仿宋"/>
          <w:b w:val="0"/>
          <w:bCs w:val="0"/>
          <w:sz w:val="32"/>
          <w:lang w:val="en-US" w:eastAsia="zh-CN"/>
        </w:rPr>
      </w:pPr>
      <w:r>
        <w:rPr>
          <w:rFonts w:hint="eastAsia" w:ascii="仿宋" w:hAnsi="仿宋" w:eastAsia="仿宋" w:cs="仿宋"/>
          <w:b w:val="0"/>
          <w:bCs w:val="0"/>
          <w:sz w:val="32"/>
          <w:lang w:val="en-US" w:eastAsia="zh-CN"/>
        </w:rPr>
        <w:t>1、保洁：（1）七全校区保洁范围包括：：</w:t>
      </w:r>
      <w:r>
        <w:rPr>
          <w:rFonts w:hint="default" w:ascii="仿宋" w:hAnsi="仿宋" w:eastAsia="仿宋" w:cs="仿宋"/>
          <w:b w:val="0"/>
          <w:bCs w:val="0"/>
          <w:sz w:val="32"/>
          <w:lang w:val="en-US" w:eastAsia="zh-CN"/>
        </w:rPr>
        <w:t>①</w:t>
      </w:r>
      <w:r>
        <w:rPr>
          <w:rFonts w:hint="eastAsia" w:ascii="仿宋" w:hAnsi="仿宋" w:eastAsia="仿宋" w:cs="仿宋"/>
          <w:b w:val="0"/>
          <w:bCs w:val="0"/>
          <w:sz w:val="32"/>
          <w:lang w:eastAsia="zh-CN"/>
        </w:rPr>
        <w:t>院</w:t>
      </w:r>
      <w:r>
        <w:rPr>
          <w:rFonts w:hint="eastAsia" w:ascii="仿宋" w:hAnsi="仿宋" w:eastAsia="仿宋" w:cs="仿宋"/>
          <w:b w:val="0"/>
          <w:bCs w:val="0"/>
          <w:sz w:val="32"/>
          <w:lang w:val="en-US" w:eastAsia="zh-CN"/>
        </w:rPr>
        <w:t>内清扫（除食堂北、南、西马路道牙上面）；</w:t>
      </w:r>
      <w:r>
        <w:rPr>
          <w:rFonts w:hint="default" w:ascii="仿宋" w:hAnsi="仿宋" w:eastAsia="仿宋" w:cs="仿宋"/>
          <w:b w:val="0"/>
          <w:bCs w:val="0"/>
          <w:sz w:val="32"/>
          <w:lang w:val="en-US" w:eastAsia="zh-CN"/>
        </w:rPr>
        <w:t>②</w:t>
      </w:r>
      <w:r>
        <w:rPr>
          <w:rFonts w:hint="eastAsia" w:ascii="仿宋" w:hAnsi="仿宋" w:eastAsia="仿宋" w:cs="仿宋"/>
          <w:b w:val="0"/>
          <w:bCs w:val="0"/>
          <w:sz w:val="32"/>
          <w:lang w:val="en-US" w:eastAsia="zh-CN"/>
        </w:rPr>
        <w:t>1#、2#教学楼：卫生间、茶水炉；1#、2#、3#教学楼：一楼连廊；</w:t>
      </w:r>
      <w:r>
        <w:rPr>
          <w:rFonts w:hint="default" w:ascii="仿宋" w:hAnsi="仿宋" w:eastAsia="仿宋" w:cs="仿宋"/>
          <w:b w:val="0"/>
          <w:bCs w:val="0"/>
          <w:sz w:val="32"/>
          <w:lang w:val="en-US" w:eastAsia="zh-CN"/>
        </w:rPr>
        <w:t>③</w:t>
      </w:r>
      <w:r>
        <w:rPr>
          <w:rFonts w:hint="eastAsia" w:ascii="仿宋" w:hAnsi="仿宋" w:eastAsia="仿宋" w:cs="仿宋"/>
          <w:b w:val="0"/>
          <w:bCs w:val="0"/>
          <w:sz w:val="32"/>
          <w:lang w:val="en-US" w:eastAsia="zh-CN"/>
        </w:rPr>
        <w:t>图文信息楼：大厅、卫生间、走廊、楼梯、电梯；3楼走廊、楼梯、卫生间；④国际部楼：走廊、步梯、卫生间；⑤实验楼：一楼走廊、连廊。⑥艺体楼：一楼走廊。⑦</w:t>
      </w:r>
      <w:r>
        <w:rPr>
          <w:rFonts w:hint="eastAsia" w:ascii="仿宋" w:hAnsi="仿宋" w:eastAsia="仿宋" w:cs="仿宋"/>
          <w:b w:val="0"/>
          <w:bCs w:val="0"/>
          <w:sz w:val="32"/>
        </w:rPr>
        <w:t>宣传</w:t>
      </w:r>
      <w:r>
        <w:rPr>
          <w:rFonts w:hint="eastAsia" w:ascii="仿宋" w:hAnsi="仿宋" w:eastAsia="仿宋" w:cs="仿宋"/>
          <w:b w:val="0"/>
          <w:bCs w:val="0"/>
          <w:sz w:val="32"/>
          <w:lang w:val="en-US" w:eastAsia="zh-CN"/>
        </w:rPr>
        <w:t>栏</w:t>
      </w:r>
      <w:r>
        <w:rPr>
          <w:rFonts w:hint="eastAsia" w:ascii="仿宋" w:hAnsi="仿宋" w:eastAsia="仿宋" w:cs="仿宋"/>
          <w:b w:val="0"/>
          <w:bCs w:val="0"/>
          <w:sz w:val="32"/>
        </w:rPr>
        <w:t>、信报箱、垃圾筒、消防设施</w:t>
      </w:r>
      <w:r>
        <w:rPr>
          <w:rFonts w:hint="eastAsia" w:ascii="仿宋" w:hAnsi="仿宋" w:eastAsia="仿宋" w:cs="仿宋"/>
          <w:b w:val="0"/>
          <w:bCs w:val="0"/>
          <w:sz w:val="32"/>
          <w:lang w:eastAsia="zh-CN"/>
        </w:rPr>
        <w:t>。</w:t>
      </w:r>
      <w:r>
        <w:rPr>
          <w:rFonts w:hint="eastAsia" w:ascii="仿宋" w:hAnsi="仿宋" w:eastAsia="仿宋" w:cs="仿宋"/>
          <w:sz w:val="32"/>
          <w:szCs w:val="32"/>
          <w:u w:val="none"/>
          <w:lang w:val="en-US" w:eastAsia="zh-CN"/>
        </w:rPr>
        <w:t>⑧教研楼。</w:t>
      </w:r>
      <w:r>
        <w:rPr>
          <w:rFonts w:hint="eastAsia" w:ascii="仿宋" w:hAnsi="仿宋" w:eastAsia="仿宋" w:cs="仿宋"/>
          <w:b w:val="0"/>
          <w:bCs w:val="0"/>
          <w:sz w:val="32"/>
          <w:lang w:val="en-US" w:eastAsia="zh-CN"/>
        </w:rPr>
        <w:t>不用的楼层每月保洁一次。</w:t>
      </w:r>
    </w:p>
    <w:p w14:paraId="20BA5E00">
      <w:pPr>
        <w:ind w:firstLine="640" w:firstLineChars="200"/>
        <w:jc w:val="left"/>
        <w:rPr>
          <w:rFonts w:hint="eastAsia" w:ascii="仿宋" w:hAnsi="仿宋" w:eastAsia="仿宋" w:cs="仿宋"/>
          <w:b w:val="0"/>
          <w:bCs w:val="0"/>
          <w:sz w:val="32"/>
          <w:lang w:val="en-US" w:eastAsia="zh-CN"/>
        </w:rPr>
      </w:pPr>
      <w:r>
        <w:rPr>
          <w:rFonts w:hint="eastAsia" w:ascii="仿宋" w:hAnsi="仿宋" w:eastAsia="仿宋" w:cs="仿宋"/>
          <w:b w:val="0"/>
          <w:bCs w:val="0"/>
          <w:sz w:val="32"/>
          <w:lang w:val="en-US" w:eastAsia="zh-CN"/>
        </w:rPr>
        <w:t>（2）中州路校区保洁范围包括：南、北教学楼连廊卫生间；办公楼6个卫生间及楼梯连廊；科技楼：1-12楼卫生间及7-12楼走廊；</w:t>
      </w:r>
      <w:r>
        <w:rPr>
          <w:rFonts w:hint="eastAsia" w:ascii="仿宋" w:hAnsi="仿宋" w:eastAsia="仿宋" w:cs="仿宋"/>
          <w:color w:val="000000"/>
          <w:kern w:val="0"/>
          <w:sz w:val="32"/>
          <w:szCs w:val="32"/>
          <w:highlight w:val="none"/>
          <w:lang w:val="en-US" w:eastAsia="zh-CN" w:bidi="ar"/>
        </w:rPr>
        <w:t>单身楼及医务楼、图书楼。</w:t>
      </w:r>
    </w:p>
    <w:p w14:paraId="144A6876">
      <w:pPr>
        <w:ind w:firstLine="640" w:firstLineChars="200"/>
        <w:jc w:val="left"/>
        <w:rPr>
          <w:rFonts w:hint="eastAsia" w:ascii="仿宋" w:hAnsi="仿宋" w:eastAsia="仿宋" w:cs="仿宋"/>
          <w:b w:val="0"/>
          <w:bCs w:val="0"/>
          <w:sz w:val="32"/>
          <w:lang w:val="en-US" w:eastAsia="zh-CN"/>
        </w:rPr>
      </w:pPr>
      <w:r>
        <w:rPr>
          <w:rFonts w:hint="eastAsia" w:ascii="仿宋" w:hAnsi="仿宋" w:eastAsia="仿宋" w:cs="仿宋"/>
          <w:b w:val="0"/>
          <w:bCs w:val="0"/>
          <w:sz w:val="32"/>
          <w:lang w:val="en-US" w:eastAsia="zh-CN"/>
        </w:rPr>
        <w:t>2、水电：中州路、七全校区水电工作任务范围：负责两个校区的正常供电、供水。需要24小时值班、巡检。（1）七全校区：南北两个校园所有范围内的水电供应，及所有建筑内外水电的日常维修。（2）中州路校区内全部公共区域教学楼、实验楼、科技楼、办公楼、学生公寓、单身楼、图书楼、食堂的所有建筑内外日常水电维修；家属区公共范围内水电维修（不包括居民自有房屋内水电）。</w:t>
      </w:r>
    </w:p>
    <w:p w14:paraId="398B3D72">
      <w:pPr>
        <w:pStyle w:val="12"/>
        <w:numPr>
          <w:ilvl w:val="0"/>
          <w:numId w:val="0"/>
        </w:numPr>
        <w:ind w:firstLine="640" w:firstLineChars="200"/>
        <w:rPr>
          <w:rFonts w:hint="eastAsia" w:ascii="仿宋" w:hAnsi="仿宋" w:eastAsia="仿宋" w:cs="仿宋"/>
          <w:b w:val="0"/>
          <w:bCs w:val="0"/>
          <w:kern w:val="2"/>
          <w:sz w:val="32"/>
          <w:lang w:val="en-US" w:eastAsia="zh-CN" w:bidi="ar-SA"/>
        </w:rPr>
      </w:pPr>
      <w:r>
        <w:rPr>
          <w:rFonts w:hint="eastAsia" w:ascii="仿宋" w:hAnsi="仿宋" w:eastAsia="仿宋" w:cs="仿宋"/>
          <w:b w:val="0"/>
          <w:bCs w:val="0"/>
          <w:kern w:val="2"/>
          <w:sz w:val="32"/>
          <w:lang w:val="en-US" w:eastAsia="zh-CN" w:bidi="ar-SA"/>
        </w:rPr>
        <w:t>3、绿化：</w:t>
      </w:r>
    </w:p>
    <w:p w14:paraId="3E3C64D9">
      <w:pPr>
        <w:pStyle w:val="12"/>
        <w:numPr>
          <w:ilvl w:val="0"/>
          <w:numId w:val="0"/>
        </w:numPr>
        <w:ind w:firstLine="640" w:firstLineChars="200"/>
        <w:rPr>
          <w:rFonts w:hint="eastAsia" w:ascii="仿宋" w:hAnsi="仿宋" w:eastAsia="仿宋" w:cs="仿宋"/>
          <w:b w:val="0"/>
          <w:bCs w:val="0"/>
          <w:kern w:val="2"/>
          <w:sz w:val="32"/>
          <w:lang w:val="en-US" w:eastAsia="zh-CN" w:bidi="ar-SA"/>
        </w:rPr>
      </w:pPr>
      <w:r>
        <w:rPr>
          <w:rFonts w:hint="eastAsia" w:ascii="仿宋" w:hAnsi="仿宋" w:eastAsia="仿宋" w:cs="仿宋"/>
          <w:b w:val="0"/>
          <w:bCs w:val="0"/>
          <w:kern w:val="2"/>
          <w:sz w:val="32"/>
          <w:lang w:val="en-US" w:eastAsia="zh-CN" w:bidi="ar-SA"/>
        </w:rPr>
        <w:t>（1）区域：七全校区、中州路校区（包含食堂房顶绿植）树木、花草等所有绿植。</w:t>
      </w:r>
    </w:p>
    <w:p w14:paraId="4770D092">
      <w:pPr>
        <w:pStyle w:val="12"/>
        <w:numPr>
          <w:ilvl w:val="0"/>
          <w:numId w:val="0"/>
        </w:numPr>
        <w:ind w:firstLine="640" w:firstLineChars="200"/>
        <w:rPr>
          <w:rFonts w:hint="eastAsia" w:ascii="仿宋" w:hAnsi="仿宋" w:eastAsia="仿宋" w:cs="仿宋"/>
          <w:b w:val="0"/>
          <w:bCs w:val="0"/>
          <w:kern w:val="2"/>
          <w:sz w:val="32"/>
          <w:lang w:val="en-US" w:eastAsia="zh-CN" w:bidi="ar-SA"/>
        </w:rPr>
      </w:pPr>
      <w:r>
        <w:rPr>
          <w:rFonts w:hint="eastAsia" w:ascii="仿宋" w:hAnsi="仿宋" w:eastAsia="仿宋" w:cs="仿宋"/>
          <w:b w:val="0"/>
          <w:bCs w:val="0"/>
          <w:kern w:val="2"/>
          <w:sz w:val="32"/>
          <w:lang w:val="en-US" w:eastAsia="zh-CN" w:bidi="ar-SA"/>
        </w:rPr>
        <w:t>（2）任务：日常维护：浇水、除杂草及非绿化种植树木、打药、清理枯枝叶、修剪、补种、栽种绿植、清理绿化带内垃圾。保证绿植正常生长，不出现干枯死亡现象。</w:t>
      </w:r>
    </w:p>
    <w:p w14:paraId="5B91E8E0">
      <w:pPr>
        <w:numPr>
          <w:ilvl w:val="0"/>
          <w:numId w:val="0"/>
        </w:numPr>
        <w:rPr>
          <w:rFonts w:hint="eastAsia" w:ascii="仿宋" w:hAnsi="仿宋" w:eastAsia="仿宋" w:cs="仿宋"/>
          <w:b w:val="0"/>
          <w:bCs w:val="0"/>
          <w:kern w:val="2"/>
          <w:sz w:val="32"/>
          <w:lang w:val="en-US" w:eastAsia="zh-CN" w:bidi="ar-SA"/>
        </w:rPr>
      </w:pPr>
      <w:r>
        <w:rPr>
          <w:rFonts w:hint="eastAsia" w:ascii="仿宋" w:hAnsi="仿宋" w:eastAsia="仿宋" w:cs="仿宋"/>
          <w:b w:val="0"/>
          <w:bCs w:val="0"/>
          <w:kern w:val="2"/>
          <w:sz w:val="32"/>
          <w:lang w:val="en-US" w:eastAsia="zh-CN" w:bidi="ar-SA"/>
        </w:rPr>
        <w:t>4、勤杂：</w:t>
      </w:r>
    </w:p>
    <w:p w14:paraId="32F320FB">
      <w:pPr>
        <w:pStyle w:val="12"/>
        <w:ind w:left="0" w:leftChars="0" w:firstLine="0" w:firstLineChars="0"/>
        <w:rPr>
          <w:rFonts w:hint="default" w:ascii="仿宋" w:hAnsi="仿宋" w:eastAsia="仿宋" w:cs="仿宋"/>
          <w:b w:val="0"/>
          <w:bCs w:val="0"/>
          <w:kern w:val="2"/>
          <w:sz w:val="32"/>
          <w:lang w:val="en-US" w:eastAsia="zh-CN" w:bidi="ar-SA"/>
        </w:rPr>
      </w:pPr>
      <w:r>
        <w:rPr>
          <w:rFonts w:hint="eastAsia" w:ascii="仿宋" w:hAnsi="仿宋" w:eastAsia="仿宋" w:cs="仿宋"/>
          <w:b w:val="0"/>
          <w:bCs w:val="0"/>
          <w:kern w:val="2"/>
          <w:sz w:val="32"/>
          <w:lang w:val="en-US" w:eastAsia="zh-CN" w:bidi="ar-SA"/>
        </w:rPr>
        <w:t>（1）中州路校区：</w:t>
      </w:r>
    </w:p>
    <w:p w14:paraId="7F8EB2CD">
      <w:pPr>
        <w:numPr>
          <w:ilvl w:val="0"/>
          <w:numId w:val="0"/>
        </w:numPr>
        <w:rPr>
          <w:rFonts w:hint="eastAsia" w:ascii="仿宋" w:hAnsi="仿宋" w:eastAsia="仿宋" w:cs="仿宋"/>
          <w:b w:val="0"/>
          <w:bCs w:val="0"/>
          <w:kern w:val="2"/>
          <w:sz w:val="32"/>
          <w:lang w:val="en-US" w:eastAsia="zh-CN" w:bidi="ar-SA"/>
        </w:rPr>
      </w:pPr>
      <w:r>
        <w:rPr>
          <w:rFonts w:hint="default" w:ascii="仿宋" w:hAnsi="仿宋" w:eastAsia="仿宋" w:cs="仿宋"/>
          <w:b w:val="0"/>
          <w:bCs w:val="0"/>
          <w:kern w:val="2"/>
          <w:sz w:val="32"/>
          <w:lang w:val="en-US" w:eastAsia="zh-CN" w:bidi="ar-SA"/>
        </w:rPr>
        <w:t>①</w:t>
      </w:r>
      <w:r>
        <w:rPr>
          <w:rFonts w:hint="eastAsia" w:ascii="仿宋" w:hAnsi="仿宋" w:eastAsia="仿宋" w:cs="仿宋"/>
          <w:b w:val="0"/>
          <w:bCs w:val="0"/>
          <w:kern w:val="2"/>
          <w:sz w:val="32"/>
          <w:lang w:val="en-US" w:eastAsia="zh-CN" w:bidi="ar-SA"/>
        </w:rPr>
        <w:t xml:space="preserve">每天负责学校各项杂活零工，清理学校6栋家属楼的垃圾桶，单身楼卫生，负责校园垃圾清运和卫生保洁。    </w:t>
      </w:r>
    </w:p>
    <w:p w14:paraId="639348C8">
      <w:pPr>
        <w:numPr>
          <w:ilvl w:val="0"/>
          <w:numId w:val="0"/>
        </w:numPr>
        <w:rPr>
          <w:rFonts w:hint="default" w:ascii="仿宋" w:hAnsi="仿宋" w:eastAsia="仿宋" w:cs="仿宋"/>
          <w:b w:val="0"/>
          <w:bCs w:val="0"/>
          <w:kern w:val="2"/>
          <w:sz w:val="32"/>
          <w:lang w:val="en-US" w:eastAsia="zh-CN" w:bidi="ar-SA"/>
        </w:rPr>
      </w:pPr>
      <w:r>
        <w:rPr>
          <w:rFonts w:hint="default" w:ascii="仿宋" w:hAnsi="仿宋" w:eastAsia="仿宋" w:cs="仿宋"/>
          <w:b w:val="0"/>
          <w:bCs w:val="0"/>
          <w:kern w:val="2"/>
          <w:sz w:val="32"/>
          <w:lang w:val="en-US" w:eastAsia="zh-CN" w:bidi="ar-SA"/>
        </w:rPr>
        <w:t>②</w:t>
      </w:r>
      <w:r>
        <w:rPr>
          <w:rFonts w:hint="eastAsia" w:ascii="仿宋" w:hAnsi="仿宋" w:eastAsia="仿宋" w:cs="仿宋"/>
          <w:b w:val="0"/>
          <w:bCs w:val="0"/>
          <w:kern w:val="2"/>
          <w:sz w:val="32"/>
          <w:lang w:val="en-US" w:eastAsia="zh-CN" w:bidi="ar-SA"/>
        </w:rPr>
        <w:t xml:space="preserve">日常校园维修：门窗木工、玻璃、教室门口班级番号牌、各种门及门锁的维修：大型考试期间钟表挂、收等日杂工作，                                  </w:t>
      </w:r>
    </w:p>
    <w:p w14:paraId="259D5F47">
      <w:pPr>
        <w:pStyle w:val="12"/>
        <w:numPr>
          <w:ilvl w:val="0"/>
          <w:numId w:val="0"/>
        </w:numPr>
        <w:rPr>
          <w:rFonts w:hint="default" w:ascii="仿宋" w:hAnsi="仿宋" w:eastAsia="仿宋" w:cs="仿宋"/>
          <w:b w:val="0"/>
          <w:bCs w:val="0"/>
          <w:kern w:val="2"/>
          <w:sz w:val="32"/>
          <w:lang w:val="en-US" w:eastAsia="zh-CN" w:bidi="ar-SA"/>
        </w:rPr>
      </w:pPr>
      <w:r>
        <w:rPr>
          <w:rFonts w:hint="eastAsia" w:ascii="仿宋" w:hAnsi="仿宋" w:eastAsia="仿宋" w:cs="仿宋"/>
          <w:b w:val="0"/>
          <w:bCs w:val="0"/>
          <w:kern w:val="2"/>
          <w:sz w:val="32"/>
          <w:lang w:val="en-US" w:eastAsia="zh-CN" w:bidi="ar-SA"/>
        </w:rPr>
        <w:t xml:space="preserve">（2）七全校区：负责各项杂活及后勤各项维修杂务。                 </w:t>
      </w:r>
    </w:p>
    <w:p w14:paraId="7BD841D6">
      <w:pPr>
        <w:widowControl/>
        <w:numPr>
          <w:ilvl w:val="0"/>
          <w:numId w:val="0"/>
        </w:numPr>
        <w:tabs>
          <w:tab w:val="left" w:pos="0"/>
        </w:tabs>
        <w:snapToGrid w:val="0"/>
        <w:spacing w:line="360" w:lineRule="auto"/>
        <w:ind w:firstLine="640" w:firstLineChars="200"/>
        <w:outlineLvl w:val="1"/>
        <w:rPr>
          <w:rFonts w:hint="eastAsia" w:ascii="仿宋" w:hAnsi="仿宋" w:eastAsia="仿宋" w:cs="仿宋"/>
          <w:b w:val="0"/>
          <w:bCs w:val="0"/>
          <w:kern w:val="2"/>
          <w:sz w:val="32"/>
          <w:lang w:val="en-US" w:eastAsia="zh-CN" w:bidi="ar-SA"/>
        </w:rPr>
      </w:pPr>
      <w:r>
        <w:rPr>
          <w:rFonts w:hint="eastAsia" w:ascii="仿宋" w:hAnsi="仿宋" w:eastAsia="仿宋" w:cs="仿宋"/>
          <w:b w:val="0"/>
          <w:bCs w:val="0"/>
          <w:kern w:val="2"/>
          <w:sz w:val="32"/>
          <w:lang w:val="en-US" w:eastAsia="zh-CN" w:bidi="ar-SA"/>
        </w:rPr>
        <w:t>在特殊时期或特殊情况下，因工作需要甲方临时安排的小型突击工作。</w:t>
      </w:r>
    </w:p>
    <w:p w14:paraId="7EE7F635">
      <w:pPr>
        <w:ind w:firstLine="320" w:firstLineChars="100"/>
        <w:jc w:val="left"/>
        <w:rPr>
          <w:rFonts w:hint="eastAsia" w:ascii="仿宋" w:hAnsi="仿宋" w:eastAsia="仿宋" w:cs="仿宋"/>
          <w:b w:val="0"/>
          <w:bCs w:val="0"/>
          <w:sz w:val="32"/>
        </w:rPr>
      </w:pPr>
      <w:r>
        <w:rPr>
          <w:rFonts w:hint="eastAsia" w:ascii="仿宋" w:hAnsi="仿宋" w:eastAsia="仿宋" w:cs="仿宋"/>
          <w:b w:val="0"/>
          <w:bCs w:val="0"/>
          <w:sz w:val="32"/>
        </w:rPr>
        <w:t>(二)保洁管理服务范围与内容</w:t>
      </w:r>
    </w:p>
    <w:p w14:paraId="5C5E6004">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1.服务区域内全部环境的卫生保洁、环境消毒工作；</w:t>
      </w:r>
    </w:p>
    <w:p w14:paraId="0CE5EC0D">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2.服务区域内供电、照明、电梯、消防、供排水等各类系统全部设施的管护、使用、维保和一般故障排除等工作。</w:t>
      </w:r>
    </w:p>
    <w:p w14:paraId="1DA8817F">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w:t>
      </w:r>
      <w:r>
        <w:rPr>
          <w:rFonts w:hint="eastAsia" w:ascii="仿宋" w:hAnsi="仿宋" w:eastAsia="仿宋" w:cs="仿宋"/>
          <w:b w:val="0"/>
          <w:bCs w:val="0"/>
          <w:sz w:val="32"/>
          <w:lang w:val="en-US" w:eastAsia="zh-CN"/>
        </w:rPr>
        <w:t>三</w:t>
      </w:r>
      <w:r>
        <w:rPr>
          <w:rFonts w:hint="eastAsia" w:ascii="仿宋" w:hAnsi="仿宋" w:eastAsia="仿宋" w:cs="仿宋"/>
          <w:b w:val="0"/>
          <w:bCs w:val="0"/>
          <w:sz w:val="32"/>
        </w:rPr>
        <w:t>)维护维修服务范围与内容</w:t>
      </w:r>
    </w:p>
    <w:p w14:paraId="61652625">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1.服务区域内各类保障日常办公设施的日常维护维修工作；</w:t>
      </w:r>
    </w:p>
    <w:p w14:paraId="646335EC">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2.服务区域内水、电、管、网等设施设备的管护、操作、保养、维修等工作。</w:t>
      </w:r>
    </w:p>
    <w:p w14:paraId="1E728C3B">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三、服务人员及岗位职责</w:t>
      </w:r>
    </w:p>
    <w:p w14:paraId="7344ECAA">
      <w:pPr>
        <w:ind w:firstLine="640" w:firstLineChars="200"/>
        <w:jc w:val="left"/>
        <w:rPr>
          <w:rFonts w:hint="default" w:ascii="仿宋" w:hAnsi="仿宋" w:eastAsia="仿宋" w:cs="仿宋"/>
          <w:b w:val="0"/>
          <w:bCs w:val="0"/>
          <w:sz w:val="32"/>
          <w:lang w:val="en-US" w:eastAsia="zh-CN"/>
        </w:rPr>
      </w:pPr>
      <w:r>
        <w:rPr>
          <w:rFonts w:hint="eastAsia" w:ascii="仿宋" w:hAnsi="仿宋" w:eastAsia="仿宋" w:cs="仿宋"/>
          <w:b w:val="0"/>
          <w:bCs w:val="0"/>
          <w:sz w:val="32"/>
          <w:lang w:val="en-US" w:eastAsia="zh-CN"/>
        </w:rPr>
        <w:t>1</w:t>
      </w:r>
      <w:r>
        <w:rPr>
          <w:rFonts w:hint="eastAsia" w:ascii="仿宋" w:hAnsi="仿宋" w:eastAsia="仿宋" w:cs="仿宋"/>
          <w:b w:val="0"/>
          <w:bCs w:val="0"/>
          <w:sz w:val="32"/>
        </w:rPr>
        <w:t>.保洁服务人员配备(按</w:t>
      </w:r>
      <w:r>
        <w:rPr>
          <w:rFonts w:hint="eastAsia" w:ascii="仿宋" w:hAnsi="仿宋" w:eastAsia="仿宋" w:cs="仿宋"/>
          <w:b w:val="0"/>
          <w:bCs w:val="0"/>
          <w:sz w:val="32"/>
          <w:lang w:val="en-US" w:eastAsia="zh-CN"/>
        </w:rPr>
        <w:t>不低于13人配备）</w:t>
      </w:r>
    </w:p>
    <w:p w14:paraId="56B0ED4D">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负责服务区域和特定区域卫生清洁、环境消毒工作，安排专人每周至少一次对办公区进行消杀。84消毒液、洁厕剂、污物袋等保洁消耗物品及所有保洁工具，由乙方负责保障，费用乙方承担。</w:t>
      </w:r>
    </w:p>
    <w:p w14:paraId="65343821">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①</w:t>
      </w:r>
      <w:r>
        <w:rPr>
          <w:rFonts w:hint="eastAsia" w:ascii="仿宋" w:hAnsi="仿宋" w:eastAsia="仿宋" w:cs="仿宋"/>
          <w:b w:val="0"/>
          <w:bCs w:val="0"/>
          <w:sz w:val="32"/>
          <w:lang w:val="en-US" w:eastAsia="zh-CN"/>
        </w:rPr>
        <w:t>本部办公楼</w:t>
      </w:r>
      <w:r>
        <w:rPr>
          <w:rFonts w:hint="eastAsia" w:ascii="仿宋" w:hAnsi="仿宋" w:eastAsia="仿宋" w:cs="仿宋"/>
          <w:b w:val="0"/>
          <w:bCs w:val="0"/>
          <w:sz w:val="32"/>
        </w:rPr>
        <w:t>楼梯清洁</w:t>
      </w:r>
    </w:p>
    <w:p w14:paraId="3BA62B94">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每天上午、下午上班前各打扫一遍。保证扶手光洁如新，楼梯上无污渍、杂物，不留死角。并在上班期间巡视，捡拾随意丢弃的杂物，随时进行局部保洁，经常保持楼道及电梯内的清洁。</w:t>
      </w:r>
    </w:p>
    <w:p w14:paraId="65365166">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②卫生间的清洁</w:t>
      </w:r>
    </w:p>
    <w:p w14:paraId="5D407ECB">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地面用干净的拖布拖擦，便池用高效清洁剂刷洗。每天刷洗两次，可视情况予以增减。夏季每天喷洒空气清新剂一次，清洁时间在早、午上班前或下午下班后进行。保证卫生间地面干净；便池清洁、无污点、无异味，办公楼上下管道畅通无阻，遇到特殊情况及时处理。</w:t>
      </w:r>
    </w:p>
    <w:p w14:paraId="15738D3A">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③公共区域的清洁</w:t>
      </w:r>
    </w:p>
    <w:p w14:paraId="1324F8BD">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平时经常巡捡维护，院内道路和地面每天清扫并随时保持清洁。</w:t>
      </w:r>
    </w:p>
    <w:p w14:paraId="4D1F2D41">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2.水电维修人员(按</w:t>
      </w:r>
      <w:r>
        <w:rPr>
          <w:rFonts w:hint="eastAsia" w:ascii="仿宋" w:hAnsi="仿宋" w:eastAsia="仿宋" w:cs="仿宋"/>
          <w:b w:val="0"/>
          <w:bCs w:val="0"/>
          <w:sz w:val="32"/>
          <w:lang w:val="en-US" w:eastAsia="zh-CN"/>
        </w:rPr>
        <w:t>不低于4人配备）</w:t>
      </w:r>
    </w:p>
    <w:p w14:paraId="519709BD">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负责</w:t>
      </w:r>
      <w:r>
        <w:rPr>
          <w:rFonts w:hint="eastAsia" w:ascii="仿宋" w:hAnsi="仿宋" w:eastAsia="仿宋" w:cs="仿宋"/>
          <w:b w:val="0"/>
          <w:bCs w:val="0"/>
          <w:sz w:val="32"/>
          <w:lang w:val="en-US" w:eastAsia="zh-CN"/>
        </w:rPr>
        <w:t>区域内</w:t>
      </w:r>
      <w:r>
        <w:rPr>
          <w:rFonts w:hint="eastAsia" w:ascii="仿宋" w:hAnsi="仿宋" w:eastAsia="仿宋" w:cs="仿宋"/>
          <w:b w:val="0"/>
          <w:bCs w:val="0"/>
          <w:sz w:val="32"/>
        </w:rPr>
        <w:t>供水、供电设备及灯、管、线的日常管理和维护</w:t>
      </w:r>
      <w:r>
        <w:rPr>
          <w:rFonts w:hint="eastAsia" w:ascii="仿宋" w:hAnsi="仿宋" w:eastAsia="仿宋" w:cs="仿宋"/>
          <w:b w:val="0"/>
          <w:bCs w:val="0"/>
          <w:sz w:val="32"/>
          <w:lang w:eastAsia="zh-CN"/>
        </w:rPr>
        <w:t>，</w:t>
      </w:r>
      <w:r>
        <w:rPr>
          <w:rFonts w:hint="eastAsia" w:ascii="仿宋" w:hAnsi="仿宋" w:eastAsia="仿宋" w:cs="仿宋"/>
          <w:b w:val="0"/>
          <w:bCs w:val="0"/>
          <w:sz w:val="32"/>
        </w:rPr>
        <w:t>水电故障要及时回应，第一时间安排人员维修。</w:t>
      </w:r>
    </w:p>
    <w:p w14:paraId="7AAE5B78">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对配电室、配水室及水电管网、上下水管道经常检查，确保上下水管道无堵塞，尤其是对下水口经常进行清理和打扫。遇有阴雨天气，对重点部位进行专人巡查看护，设备正常运行无事故。检查一次，发现问题及时处理。</w:t>
      </w:r>
    </w:p>
    <w:p w14:paraId="3030D64C">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水电设备管理人员，必须符合国家规定的有上岗资格且有三级以上(水电专业)资格证书。</w:t>
      </w:r>
    </w:p>
    <w:p w14:paraId="5862F4C2">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水电管理人员必须政治可靠，责任心强，业务熟练，上班佩戴水、电工标记；除应遵守乙方的管理规定外，应服从甲方管理，遵守甲方的管理规定。乙方人员不遵守甲方安排的，甲方有权要求乙方重新调换人员。</w:t>
      </w:r>
    </w:p>
    <w:p w14:paraId="232DB80D">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水电管理人员必须对各项设备按时保养维护，严格按操作规程进行操作，确保设备良好运行。配电室内经常打扫，保持清洁整齐。确保无鼠虫进入室内损坏线路。如遇大的事故，及时上报双方领导，共同分析原因，属甲方设备造成的事故，由甲方承担维修费用；因乙方工人操作失误造成的事故，乙方承担维修费用，并追究责任人的责任。</w:t>
      </w:r>
    </w:p>
    <w:p w14:paraId="7245AE0B">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维修所需材料，乙方提供维修项目清单，甲方依据清单提供材料，乙方应做好材料使用登记和维修记录，并由甲方相关人员签字确认。凡因水电管理人员维修不及时被投诉的，每次罚款50元。违规操作设备造成设备损坏的，由乙方赔偿损失，并对相关责任人予以辞退。</w:t>
      </w:r>
    </w:p>
    <w:p w14:paraId="4B728DFF">
      <w:pPr>
        <w:pStyle w:val="2"/>
        <w:tabs>
          <w:tab w:val="left" w:pos="0"/>
        </w:tabs>
        <w:rPr>
          <w:rFonts w:hint="eastAsia"/>
        </w:rPr>
      </w:pPr>
    </w:p>
    <w:p w14:paraId="2153CD2A">
      <w:pPr>
        <w:ind w:firstLine="320" w:firstLineChars="100"/>
        <w:jc w:val="left"/>
        <w:rPr>
          <w:rFonts w:hint="eastAsia" w:ascii="仿宋" w:hAnsi="仿宋" w:eastAsia="仿宋" w:cs="仿宋"/>
          <w:b w:val="0"/>
          <w:bCs w:val="0"/>
          <w:sz w:val="32"/>
        </w:rPr>
      </w:pPr>
      <w:r>
        <w:rPr>
          <w:rFonts w:hint="eastAsia" w:ascii="仿宋" w:hAnsi="仿宋" w:eastAsia="仿宋" w:cs="仿宋"/>
          <w:b w:val="0"/>
          <w:bCs w:val="0"/>
          <w:sz w:val="32"/>
          <w:lang w:val="en-US" w:eastAsia="zh-CN"/>
        </w:rPr>
        <w:t>3</w:t>
      </w:r>
      <w:r>
        <w:rPr>
          <w:rFonts w:hint="eastAsia" w:ascii="仿宋" w:hAnsi="仿宋" w:eastAsia="仿宋" w:cs="仿宋"/>
          <w:b w:val="0"/>
          <w:bCs w:val="0"/>
          <w:sz w:val="32"/>
        </w:rPr>
        <w:t>.绿化服务人员(按</w:t>
      </w:r>
      <w:r>
        <w:rPr>
          <w:rFonts w:hint="eastAsia" w:ascii="仿宋" w:hAnsi="仿宋" w:eastAsia="仿宋" w:cs="仿宋"/>
          <w:b w:val="0"/>
          <w:bCs w:val="0"/>
          <w:sz w:val="32"/>
          <w:lang w:val="en-US" w:eastAsia="zh-CN"/>
        </w:rPr>
        <w:t>不低于3人配备）</w:t>
      </w:r>
    </w:p>
    <w:p w14:paraId="32221A30">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负责院内的绿化养护，保证院内干净、整洁。保证院内绿化草木、树木正常生长，树茂叶绿，无病虫害，无杂草。</w:t>
      </w:r>
    </w:p>
    <w:p w14:paraId="6E5CB3F2">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绿化服务人员要增强责任心，确保负责范围内花草树木生长旺盛，凡出现非正常枯萎或死亡的，乙方负责更换(费用乙方承担),甲方视情况对乙方每次罚款10-50元。</w:t>
      </w:r>
    </w:p>
    <w:p w14:paraId="5F25D380">
      <w:pPr>
        <w:ind w:firstLine="320" w:firstLineChars="100"/>
        <w:jc w:val="left"/>
        <w:rPr>
          <w:rFonts w:hint="eastAsia" w:ascii="仿宋" w:hAnsi="仿宋" w:eastAsia="仿宋" w:cs="仿宋"/>
          <w:b w:val="0"/>
          <w:bCs w:val="0"/>
          <w:sz w:val="32"/>
        </w:rPr>
      </w:pPr>
      <w:r>
        <w:rPr>
          <w:rFonts w:hint="eastAsia" w:ascii="仿宋" w:hAnsi="仿宋" w:eastAsia="仿宋" w:cs="仿宋"/>
          <w:b w:val="0"/>
          <w:bCs w:val="0"/>
          <w:sz w:val="32"/>
          <w:lang w:val="en-US" w:eastAsia="zh-CN"/>
        </w:rPr>
        <w:t>4</w:t>
      </w:r>
      <w:r>
        <w:rPr>
          <w:rFonts w:hint="eastAsia" w:ascii="仿宋" w:hAnsi="仿宋" w:eastAsia="仿宋" w:cs="仿宋"/>
          <w:b w:val="0"/>
          <w:bCs w:val="0"/>
          <w:sz w:val="32"/>
        </w:rPr>
        <w:t>.</w:t>
      </w:r>
      <w:r>
        <w:rPr>
          <w:rFonts w:hint="eastAsia" w:ascii="仿宋" w:hAnsi="仿宋" w:eastAsia="仿宋" w:cs="仿宋"/>
          <w:sz w:val="32"/>
          <w:szCs w:val="32"/>
          <w:u w:val="none"/>
          <w:lang w:val="en-US" w:eastAsia="zh-CN"/>
        </w:rPr>
        <w:t>勤杂及管理</w:t>
      </w:r>
      <w:r>
        <w:rPr>
          <w:rFonts w:hint="eastAsia" w:ascii="仿宋" w:hAnsi="仿宋" w:eastAsia="仿宋" w:cs="仿宋"/>
          <w:b w:val="0"/>
          <w:bCs w:val="0"/>
          <w:sz w:val="32"/>
        </w:rPr>
        <w:t>(按</w:t>
      </w:r>
      <w:r>
        <w:rPr>
          <w:rFonts w:hint="eastAsia" w:ascii="仿宋" w:hAnsi="仿宋" w:eastAsia="仿宋" w:cs="仿宋"/>
          <w:b w:val="0"/>
          <w:bCs w:val="0"/>
          <w:sz w:val="32"/>
          <w:lang w:val="en-US" w:eastAsia="zh-CN"/>
        </w:rPr>
        <w:t>不低于5人配备）</w:t>
      </w:r>
    </w:p>
    <w:p w14:paraId="3F623D7A">
      <w:pPr>
        <w:ind w:firstLine="640" w:firstLineChars="200"/>
        <w:jc w:val="left"/>
        <w:rPr>
          <w:rFonts w:hint="eastAsia" w:ascii="仿宋" w:hAnsi="仿宋" w:eastAsia="仿宋" w:cs="仿宋"/>
          <w:b w:val="0"/>
          <w:bCs w:val="0"/>
          <w:sz w:val="32"/>
          <w:lang w:val="en-US" w:eastAsia="zh-CN"/>
        </w:rPr>
      </w:pPr>
      <w:r>
        <w:rPr>
          <w:rFonts w:hint="eastAsia" w:ascii="仿宋" w:hAnsi="仿宋" w:eastAsia="仿宋" w:cs="仿宋"/>
          <w:sz w:val="32"/>
          <w:szCs w:val="32"/>
          <w:u w:val="none"/>
          <w:lang w:val="en-US" w:eastAsia="zh-CN"/>
        </w:rPr>
        <w:t>负责各项杂活及后勤各项维修杂务。</w:t>
      </w:r>
    </w:p>
    <w:p w14:paraId="2B5B9434">
      <w:pPr>
        <w:ind w:firstLine="320" w:firstLineChars="100"/>
        <w:jc w:val="left"/>
        <w:rPr>
          <w:rFonts w:hint="eastAsia" w:ascii="仿宋" w:hAnsi="仿宋" w:eastAsia="仿宋" w:cs="仿宋"/>
          <w:b w:val="0"/>
          <w:bCs w:val="0"/>
          <w:sz w:val="32"/>
        </w:rPr>
      </w:pPr>
      <w:r>
        <w:rPr>
          <w:rFonts w:hint="eastAsia" w:ascii="仿宋" w:hAnsi="仿宋" w:eastAsia="仿宋" w:cs="仿宋"/>
          <w:b w:val="0"/>
          <w:bCs w:val="0"/>
          <w:sz w:val="32"/>
        </w:rPr>
        <w:t>三、甲方乙方的权利和义务</w:t>
      </w:r>
    </w:p>
    <w:p w14:paraId="4ED6FAB9">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1.甲方的权利和义务</w:t>
      </w:r>
    </w:p>
    <w:p w14:paraId="11EE2078">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①甲方有对乙方提出改进服务意见的权利，监督乙方工作。</w:t>
      </w:r>
    </w:p>
    <w:p w14:paraId="266FDA80">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②甲方负责协助乙方做好一切外部事物的处理与协调工作。</w:t>
      </w:r>
    </w:p>
    <w:p w14:paraId="1D882360">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③乙方在工作中需要甲方工作人员协助的，甲方应积极配合。</w:t>
      </w:r>
    </w:p>
    <w:p w14:paraId="0F05BC38">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2.乙方的权利和义务</w:t>
      </w:r>
    </w:p>
    <w:p w14:paraId="2ABF85F9">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①乙方应根据有关法律法规及本合同约定，制定具体服务管理制度。</w:t>
      </w:r>
    </w:p>
    <w:p w14:paraId="24FFD353">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②乙方应接受甲方的监督和考核，遵守甲方的规章制度，根据合同约定，服从甲方安排。</w:t>
      </w:r>
    </w:p>
    <w:p w14:paraId="6FDD9FBE">
      <w:pPr>
        <w:ind w:firstLine="640" w:firstLineChars="200"/>
        <w:jc w:val="left"/>
        <w:rPr>
          <w:rFonts w:hint="eastAsia" w:ascii="仿宋" w:hAnsi="仿宋" w:eastAsia="仿宋" w:cs="仿宋"/>
          <w:b w:val="0"/>
          <w:bCs w:val="0"/>
          <w:sz w:val="32"/>
          <w:lang w:val="en-US" w:eastAsia="zh-CN"/>
        </w:rPr>
      </w:pPr>
      <w:r>
        <w:rPr>
          <w:rFonts w:hint="eastAsia" w:ascii="仿宋" w:hAnsi="仿宋" w:eastAsia="仿宋" w:cs="仿宋"/>
          <w:b w:val="0"/>
          <w:bCs w:val="0"/>
          <w:sz w:val="32"/>
        </w:rPr>
        <w:t>③在</w:t>
      </w:r>
      <w:r>
        <w:rPr>
          <w:rFonts w:hint="eastAsia" w:ascii="仿宋" w:hAnsi="仿宋" w:eastAsia="仿宋" w:cs="仿宋"/>
          <w:b w:val="0"/>
          <w:bCs w:val="0"/>
          <w:sz w:val="32"/>
          <w:lang w:val="en-US" w:eastAsia="zh-CN"/>
        </w:rPr>
        <w:t>合同服务期限内及</w:t>
      </w:r>
      <w:r>
        <w:rPr>
          <w:rFonts w:hint="eastAsia" w:ascii="仿宋" w:hAnsi="仿宋" w:eastAsia="仿宋" w:cs="仿宋"/>
          <w:b w:val="0"/>
          <w:bCs w:val="0"/>
          <w:sz w:val="32"/>
        </w:rPr>
        <w:t>工作区域内</w:t>
      </w:r>
      <w:r>
        <w:rPr>
          <w:rFonts w:hint="eastAsia" w:ascii="仿宋" w:hAnsi="仿宋" w:eastAsia="仿宋" w:cs="仿宋"/>
          <w:b w:val="0"/>
          <w:bCs w:val="0"/>
          <w:sz w:val="32"/>
          <w:lang w:eastAsia="zh-CN"/>
        </w:rPr>
        <w:t>，</w:t>
      </w:r>
      <w:r>
        <w:rPr>
          <w:rFonts w:hint="eastAsia" w:ascii="仿宋" w:hAnsi="仿宋" w:eastAsia="仿宋" w:cs="仿宋"/>
          <w:b w:val="0"/>
          <w:bCs w:val="0"/>
          <w:sz w:val="32"/>
        </w:rPr>
        <w:t>乙方人员提供管理服务过程中，因乙方人员的故意或过失，造成甲乙双方或任何第三方的人身损害或财产损失，乙方承担一切法律责任与赔偿</w:t>
      </w:r>
      <w:r>
        <w:rPr>
          <w:rFonts w:hint="eastAsia" w:ascii="仿宋" w:hAnsi="仿宋" w:eastAsia="仿宋" w:cs="仿宋"/>
          <w:b w:val="0"/>
          <w:bCs w:val="0"/>
          <w:sz w:val="32"/>
          <w:lang w:val="en-US" w:eastAsia="zh-CN"/>
        </w:rPr>
        <w:t>责任</w:t>
      </w:r>
      <w:r>
        <w:rPr>
          <w:rFonts w:hint="eastAsia" w:ascii="仿宋" w:hAnsi="仿宋" w:eastAsia="仿宋" w:cs="仿宋"/>
          <w:b w:val="0"/>
          <w:bCs w:val="0"/>
          <w:sz w:val="32"/>
        </w:rPr>
        <w:t>。</w:t>
      </w:r>
    </w:p>
    <w:p w14:paraId="4581E911">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四、服务期限</w:t>
      </w:r>
    </w:p>
    <w:p w14:paraId="4E6A12A2">
      <w:pPr>
        <w:ind w:firstLine="640" w:firstLineChars="200"/>
        <w:jc w:val="left"/>
        <w:rPr>
          <w:rFonts w:hint="eastAsia" w:ascii="仿宋" w:hAnsi="仿宋" w:eastAsia="仿宋" w:cs="仿宋"/>
          <w:b w:val="0"/>
          <w:bCs w:val="0"/>
          <w:sz w:val="32"/>
          <w:highlight w:val="none"/>
        </w:rPr>
      </w:pPr>
      <w:r>
        <w:rPr>
          <w:rFonts w:hint="eastAsia" w:ascii="仿宋" w:hAnsi="仿宋" w:eastAsia="仿宋" w:cs="仿宋"/>
          <w:b w:val="0"/>
          <w:bCs w:val="0"/>
          <w:sz w:val="32"/>
          <w:highlight w:val="none"/>
        </w:rPr>
        <w:t>委托服务期限自       年    月     日至       年       月      日止。</w:t>
      </w:r>
      <w:r>
        <w:rPr>
          <w:rFonts w:hint="eastAsia" w:ascii="仿宋" w:hAnsi="仿宋" w:eastAsia="仿宋" w:cs="仿宋"/>
          <w:b w:val="0"/>
          <w:bCs w:val="0"/>
          <w:sz w:val="32"/>
          <w:highlight w:val="none"/>
          <w:lang w:val="en-US" w:eastAsia="zh-CN"/>
        </w:rPr>
        <w:t>每年</w:t>
      </w:r>
      <w:r>
        <w:rPr>
          <w:rFonts w:hint="eastAsia" w:ascii="仿宋" w:hAnsi="仿宋" w:eastAsia="仿宋" w:cs="仿宋"/>
          <w:b w:val="0"/>
          <w:bCs w:val="0"/>
          <w:sz w:val="32"/>
          <w:highlight w:val="none"/>
        </w:rPr>
        <w:t>合同到期</w:t>
      </w:r>
      <w:r>
        <w:rPr>
          <w:rFonts w:hint="eastAsia" w:ascii="仿宋" w:hAnsi="仿宋" w:eastAsia="仿宋" w:cs="仿宋"/>
          <w:b w:val="0"/>
          <w:bCs w:val="0"/>
          <w:sz w:val="32"/>
          <w:highlight w:val="none"/>
          <w:lang w:val="en-US" w:eastAsia="zh-CN"/>
        </w:rPr>
        <w:t>后</w:t>
      </w:r>
      <w:r>
        <w:rPr>
          <w:rFonts w:hint="eastAsia" w:ascii="仿宋" w:hAnsi="仿宋" w:eastAsia="仿宋" w:cs="仿宋"/>
          <w:b w:val="0"/>
          <w:bCs w:val="0"/>
          <w:sz w:val="32"/>
          <w:highlight w:val="none"/>
        </w:rPr>
        <w:t>，服务良好</w:t>
      </w:r>
      <w:r>
        <w:rPr>
          <w:rFonts w:hint="eastAsia" w:ascii="仿宋" w:hAnsi="仿宋" w:eastAsia="仿宋" w:cs="仿宋"/>
          <w:b w:val="0"/>
          <w:bCs w:val="0"/>
          <w:sz w:val="32"/>
          <w:highlight w:val="none"/>
          <w:lang w:eastAsia="zh-CN"/>
        </w:rPr>
        <w:t>、</w:t>
      </w:r>
      <w:r>
        <w:rPr>
          <w:rFonts w:hint="eastAsia" w:ascii="仿宋" w:hAnsi="仿宋" w:eastAsia="仿宋" w:cs="仿宋"/>
          <w:b w:val="0"/>
          <w:bCs w:val="0"/>
          <w:sz w:val="32"/>
          <w:highlight w:val="none"/>
          <w:lang w:val="en-US" w:eastAsia="zh-CN"/>
        </w:rPr>
        <w:t>考核合格</w:t>
      </w:r>
      <w:r>
        <w:rPr>
          <w:rFonts w:hint="eastAsia" w:ascii="仿宋" w:hAnsi="仿宋" w:eastAsia="仿宋" w:cs="仿宋"/>
          <w:b w:val="0"/>
          <w:bCs w:val="0"/>
          <w:sz w:val="32"/>
          <w:highlight w:val="none"/>
        </w:rPr>
        <w:t>，可续签</w:t>
      </w:r>
      <w:r>
        <w:rPr>
          <w:rFonts w:hint="eastAsia" w:ascii="仿宋" w:hAnsi="仿宋" w:eastAsia="仿宋" w:cs="仿宋"/>
          <w:b w:val="0"/>
          <w:bCs w:val="0"/>
          <w:sz w:val="32"/>
          <w:highlight w:val="none"/>
          <w:lang w:val="en-US" w:eastAsia="zh-CN"/>
        </w:rPr>
        <w:t>下一年合同，直至三年结束。如果当年考核不合格，则不再续签下一年合同，合约结束。</w:t>
      </w:r>
      <w:r>
        <w:rPr>
          <w:rFonts w:hint="eastAsia" w:ascii="仿宋" w:hAnsi="仿宋" w:eastAsia="仿宋" w:cs="仿宋"/>
          <w:b w:val="0"/>
          <w:bCs w:val="0"/>
          <w:sz w:val="32"/>
          <w:highlight w:val="none"/>
        </w:rPr>
        <w:t>未尽事宜，双方可协商增补条款或细则。</w:t>
      </w:r>
    </w:p>
    <w:p w14:paraId="68970862">
      <w:pPr>
        <w:ind w:firstLine="640" w:firstLineChars="200"/>
        <w:jc w:val="left"/>
        <w:rPr>
          <w:rFonts w:hint="eastAsia" w:ascii="仿宋" w:hAnsi="仿宋" w:eastAsia="仿宋" w:cs="仿宋"/>
          <w:b w:val="0"/>
          <w:bCs w:val="0"/>
          <w:sz w:val="32"/>
          <w:highlight w:val="none"/>
        </w:rPr>
      </w:pPr>
      <w:r>
        <w:rPr>
          <w:rFonts w:hint="eastAsia" w:ascii="仿宋" w:hAnsi="仿宋" w:eastAsia="仿宋" w:cs="仿宋"/>
          <w:b w:val="0"/>
          <w:bCs w:val="0"/>
          <w:sz w:val="32"/>
          <w:highlight w:val="none"/>
        </w:rPr>
        <w:t>五、付款方式</w:t>
      </w:r>
    </w:p>
    <w:p w14:paraId="0583D0AD">
      <w:pPr>
        <w:ind w:firstLine="640" w:firstLineChars="200"/>
        <w:jc w:val="left"/>
        <w:rPr>
          <w:rFonts w:hint="eastAsia" w:ascii="仿宋" w:hAnsi="仿宋" w:eastAsia="仿宋" w:cs="仿宋"/>
          <w:b w:val="0"/>
          <w:bCs w:val="0"/>
          <w:sz w:val="32"/>
          <w:highlight w:val="none"/>
        </w:rPr>
      </w:pPr>
      <w:r>
        <w:rPr>
          <w:rFonts w:hint="eastAsia" w:ascii="仿宋" w:hAnsi="仿宋" w:eastAsia="仿宋" w:cs="仿宋"/>
          <w:b w:val="0"/>
          <w:bCs w:val="0"/>
          <w:sz w:val="32"/>
          <w:highlight w:val="none"/>
        </w:rPr>
        <w:t>本合同以人民币付款，每</w:t>
      </w:r>
      <w:r>
        <w:rPr>
          <w:rFonts w:hint="eastAsia" w:ascii="仿宋" w:hAnsi="仿宋" w:eastAsia="仿宋" w:cs="仿宋"/>
          <w:b w:val="0"/>
          <w:bCs w:val="0"/>
          <w:sz w:val="32"/>
          <w:highlight w:val="none"/>
          <w:lang w:val="en-US" w:eastAsia="zh-CN"/>
        </w:rPr>
        <w:t>季度</w:t>
      </w:r>
      <w:r>
        <w:rPr>
          <w:rFonts w:hint="eastAsia" w:ascii="仿宋" w:hAnsi="仿宋" w:eastAsia="仿宋" w:cs="仿宋"/>
          <w:b w:val="0"/>
          <w:bCs w:val="0"/>
          <w:sz w:val="32"/>
          <w:highlight w:val="none"/>
        </w:rPr>
        <w:t>结算一次，(大写):</w:t>
      </w:r>
      <w:r>
        <w:rPr>
          <w:rFonts w:hint="eastAsia" w:ascii="仿宋" w:hAnsi="仿宋" w:eastAsia="仿宋" w:cs="仿宋"/>
          <w:b w:val="0"/>
          <w:bCs w:val="0"/>
          <w:sz w:val="32"/>
          <w:highlight w:val="none"/>
          <w:lang w:val="en-US" w:eastAsia="zh-CN"/>
        </w:rPr>
        <w:t xml:space="preserve">     </w:t>
      </w:r>
      <w:r>
        <w:rPr>
          <w:rFonts w:hint="eastAsia" w:ascii="仿宋" w:hAnsi="仿宋" w:eastAsia="仿宋" w:cs="仿宋"/>
          <w:b w:val="0"/>
          <w:bCs w:val="0"/>
          <w:sz w:val="32"/>
          <w:highlight w:val="none"/>
        </w:rPr>
        <w:t>(¥</w:t>
      </w:r>
      <w:r>
        <w:rPr>
          <w:rFonts w:hint="eastAsia" w:ascii="仿宋" w:hAnsi="仿宋" w:eastAsia="仿宋" w:cs="仿宋"/>
          <w:b w:val="0"/>
          <w:bCs w:val="0"/>
          <w:sz w:val="32"/>
          <w:highlight w:val="none"/>
          <w:lang w:val="en-US" w:eastAsia="zh-CN"/>
        </w:rPr>
        <w:t xml:space="preserve">  </w:t>
      </w:r>
      <w:r>
        <w:rPr>
          <w:rFonts w:hint="eastAsia" w:ascii="仿宋" w:hAnsi="仿宋" w:eastAsia="仿宋" w:cs="仿宋"/>
          <w:b w:val="0"/>
          <w:bCs w:val="0"/>
          <w:sz w:val="32"/>
          <w:highlight w:val="none"/>
        </w:rPr>
        <w:t>)。支付方式：甲方依据乙方开具发票对公转账。</w:t>
      </w:r>
    </w:p>
    <w:p w14:paraId="7A5EC338">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lang w:val="en-US" w:eastAsia="en-US"/>
        </w:rPr>
        <w:t>六、</w:t>
      </w:r>
      <w:r>
        <w:rPr>
          <w:rFonts w:hint="eastAsia" w:ascii="仿宋" w:hAnsi="仿宋" w:eastAsia="仿宋" w:cs="仿宋"/>
          <w:b w:val="0"/>
          <w:bCs w:val="0"/>
          <w:sz w:val="32"/>
        </w:rPr>
        <w:t>违约责任</w:t>
      </w:r>
    </w:p>
    <w:p w14:paraId="4605FD6D">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1.甲方违反本合同的约定，使乙方不能完成服务目标，乙方有权要求甲方在一定期限内解决，逾期未解决的乙方有权终止合同；造成乙方经济损失的，甲方应给予乙方经济赔偿。</w:t>
      </w:r>
    </w:p>
    <w:p w14:paraId="57C277E6">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2.乙方违反本合同的约定，不能完成服务目标，甲方有权要求乙方限期整改，逾期未整改或不能达到服务目标，甲方有权单方终止合同；造成甲方经济损失的，乙方应给予甲方经济赔偿。</w:t>
      </w:r>
    </w:p>
    <w:p w14:paraId="1BF73EDD">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3.甲乙双方任何一方无法律依据提前终止本合同的，违约方应赔偿对方百分之十的违约金，造成对方经济损失的，应给予经济赔偿。</w:t>
      </w:r>
    </w:p>
    <w:p w14:paraId="6C152967">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七、不可抗力</w:t>
      </w:r>
    </w:p>
    <w:p w14:paraId="4EC13CF6">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任何一方由于不可抗力原因不能履行合同时，应在不可抗力事件结束后2日内向对方通报，以减轻可能给对方造成的损失，在取得有关机构的不可抗力证明或双方谅解确认后，允许延期履行或修订合同，并根据情况可部分或全部免于承担违约责任</w:t>
      </w:r>
    </w:p>
    <w:p w14:paraId="2E674C83">
      <w:pPr>
        <w:ind w:firstLine="640" w:firstLineChars="200"/>
        <w:jc w:val="left"/>
        <w:rPr>
          <w:rFonts w:hint="default" w:ascii="仿宋" w:hAnsi="仿宋" w:eastAsia="仿宋" w:cs="仿宋"/>
          <w:b w:val="0"/>
          <w:bCs w:val="0"/>
          <w:sz w:val="32"/>
          <w:lang w:val="en-US" w:eastAsia="zh-CN"/>
        </w:rPr>
      </w:pPr>
      <w:r>
        <w:rPr>
          <w:rFonts w:hint="eastAsia" w:ascii="仿宋" w:hAnsi="仿宋" w:eastAsia="仿宋" w:cs="仿宋"/>
          <w:b w:val="0"/>
          <w:bCs w:val="0"/>
          <w:sz w:val="32"/>
        </w:rPr>
        <w:t>八、税费</w:t>
      </w:r>
      <w:r>
        <w:rPr>
          <w:rFonts w:hint="eastAsia" w:ascii="仿宋" w:hAnsi="仿宋" w:eastAsia="仿宋" w:cs="仿宋"/>
          <w:b w:val="0"/>
          <w:bCs w:val="0"/>
          <w:sz w:val="32"/>
          <w:lang w:eastAsia="zh-CN"/>
        </w:rPr>
        <w:t>、</w:t>
      </w:r>
      <w:r>
        <w:rPr>
          <w:rFonts w:hint="eastAsia" w:ascii="仿宋" w:hAnsi="仿宋" w:eastAsia="仿宋" w:cs="仿宋"/>
          <w:b w:val="0"/>
          <w:bCs w:val="0"/>
          <w:sz w:val="32"/>
          <w:lang w:val="en-US" w:eastAsia="zh-CN"/>
        </w:rPr>
        <w:t>保险</w:t>
      </w:r>
    </w:p>
    <w:p w14:paraId="296F790E">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本合同执行有关的一切税费</w:t>
      </w:r>
      <w:r>
        <w:rPr>
          <w:rFonts w:hint="eastAsia" w:ascii="仿宋" w:hAnsi="仿宋" w:eastAsia="仿宋" w:cs="仿宋"/>
          <w:b w:val="0"/>
          <w:bCs w:val="0"/>
          <w:sz w:val="32"/>
          <w:lang w:eastAsia="zh-CN"/>
        </w:rPr>
        <w:t>、</w:t>
      </w:r>
      <w:r>
        <w:rPr>
          <w:rFonts w:hint="eastAsia" w:ascii="仿宋" w:hAnsi="仿宋" w:eastAsia="仿宋" w:cs="仿宋"/>
          <w:b w:val="0"/>
          <w:bCs w:val="0"/>
          <w:sz w:val="32"/>
          <w:lang w:val="en-US" w:eastAsia="zh-CN"/>
        </w:rPr>
        <w:t>保险</w:t>
      </w:r>
      <w:r>
        <w:rPr>
          <w:rFonts w:hint="eastAsia" w:ascii="仿宋" w:hAnsi="仿宋" w:eastAsia="仿宋" w:cs="仿宋"/>
          <w:b w:val="0"/>
          <w:bCs w:val="0"/>
          <w:sz w:val="32"/>
        </w:rPr>
        <w:t>均由乙方负担。</w:t>
      </w:r>
    </w:p>
    <w:p w14:paraId="5F3F3BF7">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九、其他事项</w:t>
      </w:r>
    </w:p>
    <w:p w14:paraId="4E54CE0D">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1.合同执行期内，甲乙双方均不得随意变更或解除合同。合同如有未尽事宜，须经双方共同协商，做出补充规定，补充规定与本合同具有同等效力，也可按照《</w:t>
      </w:r>
      <w:r>
        <w:rPr>
          <w:rFonts w:hint="eastAsia" w:ascii="仿宋" w:hAnsi="仿宋" w:eastAsia="仿宋" w:cs="仿宋"/>
          <w:b w:val="0"/>
          <w:bCs w:val="0"/>
          <w:sz w:val="32"/>
          <w:lang w:val="en-US" w:eastAsia="zh-CN"/>
        </w:rPr>
        <w:t>中华人民共和国</w:t>
      </w:r>
      <w:r>
        <w:rPr>
          <w:rFonts w:hint="eastAsia" w:ascii="仿宋" w:hAnsi="仿宋" w:eastAsia="仿宋" w:cs="仿宋"/>
          <w:b w:val="0"/>
          <w:bCs w:val="0"/>
          <w:sz w:val="32"/>
        </w:rPr>
        <w:t>民法典》的规定执行。</w:t>
      </w:r>
    </w:p>
    <w:p w14:paraId="31A8A9FC">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2.本合同执行期间，如遇不可抗力，致使合同无法履行时，双方按有关法律规定及时协商处理。</w:t>
      </w:r>
    </w:p>
    <w:p w14:paraId="420D2779">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3.本合同如发生纠纷，当事人双方应当及时协商解决，协商不成时，任何一方均可向合同签订地有管辖权的人民法院起诉。</w:t>
      </w:r>
    </w:p>
    <w:p w14:paraId="245C3CC2">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4.甲乙双方必须严格按照磋商文件、响应文件及有关承诺签订采购合同，不得擅自变更，合同风险由双方自行承担。</w:t>
      </w:r>
    </w:p>
    <w:p w14:paraId="1ACE0F8E">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十、合同生效</w:t>
      </w:r>
    </w:p>
    <w:p w14:paraId="695DD813">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1.本合同在甲乙双方法人代表或其授权代表签字盖章后生效。</w:t>
      </w:r>
    </w:p>
    <w:p w14:paraId="64D8A696">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2.合同一式两份，甲乙双方各壹份。</w:t>
      </w:r>
    </w:p>
    <w:p w14:paraId="11856261">
      <w:pPr>
        <w:ind w:firstLine="640" w:firstLineChars="200"/>
        <w:jc w:val="left"/>
        <w:rPr>
          <w:rFonts w:hint="eastAsia" w:ascii="仿宋" w:hAnsi="仿宋" w:eastAsia="仿宋" w:cs="仿宋"/>
          <w:b w:val="0"/>
          <w:bCs w:val="0"/>
          <w:sz w:val="32"/>
        </w:rPr>
      </w:pPr>
    </w:p>
    <w:p w14:paraId="1F0E7E07">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甲   方：                         乙    方：</w:t>
      </w:r>
    </w:p>
    <w:p w14:paraId="22A08B98">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单位名称（盖章）：                单位名称（盖章）：</w:t>
      </w:r>
    </w:p>
    <w:p w14:paraId="04769FF3">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单位地址：                        单位地址：</w:t>
      </w:r>
    </w:p>
    <w:p w14:paraId="5BC94158">
      <w:pPr>
        <w:ind w:firstLine="640" w:firstLineChars="200"/>
        <w:jc w:val="left"/>
        <w:rPr>
          <w:rFonts w:hint="eastAsia" w:ascii="仿宋" w:hAnsi="仿宋" w:eastAsia="仿宋" w:cs="仿宋"/>
          <w:b w:val="0"/>
          <w:bCs w:val="0"/>
          <w:sz w:val="32"/>
          <w:lang w:val="en-US" w:eastAsia="zh-CN"/>
        </w:rPr>
      </w:pPr>
      <w:r>
        <w:rPr>
          <w:rFonts w:hint="eastAsia" w:ascii="仿宋" w:hAnsi="仿宋" w:eastAsia="仿宋" w:cs="仿宋"/>
          <w:b w:val="0"/>
          <w:bCs w:val="0"/>
          <w:sz w:val="32"/>
        </w:rPr>
        <w:t>法定代表人或</w:t>
      </w:r>
      <w:r>
        <w:rPr>
          <w:rFonts w:hint="eastAsia" w:ascii="仿宋" w:hAnsi="仿宋" w:eastAsia="仿宋" w:cs="仿宋"/>
          <w:b w:val="0"/>
          <w:bCs w:val="0"/>
          <w:sz w:val="32"/>
          <w:lang w:val="en-US" w:eastAsia="zh-CN"/>
        </w:rPr>
        <w:t xml:space="preserve">                      </w:t>
      </w:r>
      <w:r>
        <w:rPr>
          <w:rFonts w:hint="eastAsia" w:ascii="仿宋" w:hAnsi="仿宋" w:eastAsia="仿宋" w:cs="仿宋"/>
          <w:b w:val="0"/>
          <w:bCs w:val="0"/>
          <w:sz w:val="32"/>
        </w:rPr>
        <w:t>法定代表人或</w:t>
      </w:r>
    </w:p>
    <w:p w14:paraId="19D1B182">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 xml:space="preserve">授权代表（签名）：        </w:t>
      </w:r>
      <w:r>
        <w:rPr>
          <w:rFonts w:hint="eastAsia" w:ascii="仿宋" w:hAnsi="仿宋" w:eastAsia="仿宋" w:cs="仿宋"/>
          <w:b w:val="0"/>
          <w:bCs w:val="0"/>
          <w:sz w:val="32"/>
          <w:lang w:val="en-US" w:eastAsia="zh-CN"/>
        </w:rPr>
        <w:t xml:space="preserve">        </w:t>
      </w:r>
      <w:r>
        <w:rPr>
          <w:rFonts w:hint="eastAsia" w:ascii="仿宋" w:hAnsi="仿宋" w:eastAsia="仿宋" w:cs="仿宋"/>
          <w:b w:val="0"/>
          <w:bCs w:val="0"/>
          <w:sz w:val="32"/>
        </w:rPr>
        <w:t>授权代表（签名）：</w:t>
      </w:r>
    </w:p>
    <w:p w14:paraId="56ADC0B0">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联 系 人：                        联 系 人：</w:t>
      </w:r>
    </w:p>
    <w:p w14:paraId="33BAA2DE">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电    话：                        电    话：</w:t>
      </w:r>
    </w:p>
    <w:p w14:paraId="4E07BD20">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传    真：                        传    真：</w:t>
      </w:r>
    </w:p>
    <w:p w14:paraId="3FC25A91">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邮政编码：                        邮政编码：</w:t>
      </w:r>
    </w:p>
    <w:p w14:paraId="1CAB9FFB">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 xml:space="preserve">开户银行：                       </w:t>
      </w:r>
      <w:r>
        <w:rPr>
          <w:rFonts w:hint="eastAsia" w:ascii="仿宋" w:hAnsi="仿宋" w:eastAsia="仿宋" w:cs="仿宋"/>
          <w:b w:val="0"/>
          <w:bCs w:val="0"/>
          <w:sz w:val="32"/>
          <w:lang w:val="en-US" w:eastAsia="zh-CN"/>
        </w:rPr>
        <w:t xml:space="preserve"> </w:t>
      </w:r>
      <w:r>
        <w:rPr>
          <w:rFonts w:hint="eastAsia" w:ascii="仿宋" w:hAnsi="仿宋" w:eastAsia="仿宋" w:cs="仿宋"/>
          <w:b w:val="0"/>
          <w:bCs w:val="0"/>
          <w:sz w:val="32"/>
        </w:rPr>
        <w:t>开户银行：</w:t>
      </w:r>
    </w:p>
    <w:p w14:paraId="10D431D6">
      <w:pPr>
        <w:ind w:firstLine="640" w:firstLineChars="200"/>
        <w:jc w:val="left"/>
        <w:rPr>
          <w:rFonts w:hint="eastAsia" w:ascii="仿宋" w:hAnsi="仿宋" w:eastAsia="仿宋" w:cs="仿宋"/>
          <w:b w:val="0"/>
          <w:bCs w:val="0"/>
          <w:sz w:val="32"/>
        </w:rPr>
      </w:pPr>
      <w:r>
        <w:rPr>
          <w:rFonts w:hint="eastAsia" w:ascii="仿宋" w:hAnsi="仿宋" w:eastAsia="仿宋" w:cs="仿宋"/>
          <w:b w:val="0"/>
          <w:bCs w:val="0"/>
          <w:sz w:val="32"/>
        </w:rPr>
        <w:t>账    号：                        账    号：</w:t>
      </w:r>
    </w:p>
    <w:p w14:paraId="29B5241E">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0BBB558F">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32A128E1">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269847E5">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08B28238"/>
    <w:p w14:paraId="17AC2FE6">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sectPr>
          <w:headerReference r:id="rId8" w:type="default"/>
          <w:footerReference r:id="rId9" w:type="default"/>
          <w:pgSz w:w="11907" w:h="16840"/>
          <w:pgMar w:top="1440" w:right="1800" w:bottom="1440" w:left="1800" w:header="878" w:footer="886" w:gutter="0"/>
          <w:pgNumType w:fmt="decimal"/>
          <w:cols w:space="720" w:num="1"/>
        </w:sectPr>
      </w:pPr>
    </w:p>
    <w:p w14:paraId="48167E15">
      <w:pPr>
        <w:pStyle w:val="9"/>
        <w:keepNext w:val="0"/>
        <w:keepLines w:val="0"/>
        <w:pageBreakBefore w:val="0"/>
        <w:kinsoku/>
        <w:wordWrap w:val="0"/>
        <w:overflowPunct/>
        <w:topLinePunct w:val="0"/>
        <w:bidi w:val="0"/>
        <w:spacing w:before="353" w:line="219" w:lineRule="auto"/>
        <w:ind w:left="2654"/>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14:paraId="35029816">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14:paraId="7D0193BB">
      <w:pPr>
        <w:pStyle w:val="9"/>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14:paraId="2E6CA8E5">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22A69597">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14:paraId="017FDD94">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sectPr>
          <w:headerReference r:id="rId10" w:type="default"/>
          <w:footerReference r:id="rId11" w:type="default"/>
          <w:pgSz w:w="11907" w:h="16840"/>
          <w:pgMar w:top="1440" w:right="1800" w:bottom="1440" w:left="1800" w:header="878" w:footer="886" w:gutter="0"/>
          <w:pgNumType w:fmt="decimal"/>
          <w:cols w:space="720" w:num="1"/>
        </w:sectPr>
      </w:pPr>
    </w:p>
    <w:p w14:paraId="5EF88FFC">
      <w:pPr>
        <w:pStyle w:val="9"/>
        <w:keepNext w:val="0"/>
        <w:keepLines w:val="0"/>
        <w:pageBreakBefore w:val="0"/>
        <w:kinsoku/>
        <w:wordWrap w:val="0"/>
        <w:overflowPunct/>
        <w:topLinePunct w:val="0"/>
        <w:bidi w:val="0"/>
        <w:spacing w:before="78" w:line="360" w:lineRule="auto"/>
        <w:ind w:left="13"/>
        <w:jc w:val="both"/>
        <w:outlineLvl w:val="2"/>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14:paraId="5D04E1E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1.开标一览表</w:t>
      </w:r>
    </w:p>
    <w:p w14:paraId="2803D90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008E99A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20"/>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57BB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CFFFEA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34052E9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0F98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6C7FE9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332A46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03DC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EEEAB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454F333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38DD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0C0F48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2D0A404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5F80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A03D79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22014B2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278A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EE497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7BE5FD7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0C14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F9156E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0D3415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27BF6DD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14:paraId="650EE40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14:paraId="064632D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14:paraId="5157F2A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0A70A5D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6B4003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03FA1A2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2D64991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4636950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4CD7E8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680D1BD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14:paraId="78C44AD4">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14:paraId="3290BD1B">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26262BB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33A8B78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46D46D2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65909A6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40939DE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0A557D5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1B76996B">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6C7B857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2666E64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3C00A51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1507E9D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7F1D59E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74F674E6">
      <w:pPr>
        <w:pStyle w:val="2"/>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14:paraId="51A947F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679D4A9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14:paraId="33F8787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2CEA02B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0315F8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2FAB5EC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7CF16B8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60BA5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5B2BABE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605C62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57FFCD9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4FA63C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05E825E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30086A5">
      <w:pPr>
        <w:keepNext w:val="0"/>
        <w:keepLines w:val="0"/>
        <w:pageBreakBefore w:val="0"/>
        <w:kinsoku/>
        <w:wordWrap w:val="0"/>
        <w:overflowPunct/>
        <w:topLinePunct w:val="0"/>
        <w:bidi w:val="0"/>
        <w:spacing w:line="360" w:lineRule="auto"/>
        <w:jc w:val="both"/>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14:paraId="78047E0D">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75D00018">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1194B527">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07E83430">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6BBEC921">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792AAC0E">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6D11A9C3">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19985A2A">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1E1DF487">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2ABC3367">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6E78CD2E">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495C2DEB">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1D0501A6">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46FE574F">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0F74B1E8">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14:paraId="2DF71844">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7271BECC">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A8A7CE0">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14:paraId="5A81950D">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12" w:type="default"/>
          <w:footerReference r:id="rId13"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9"/>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14:paraId="0643769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0D2D12A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14:paraId="30B8D10A">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14:paraId="01A732E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14:paraId="431AD1EB">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3FD5FC79">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5E0F378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1548FBB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5C216D7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4B9DE35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57D2896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14:paraId="3FD7E72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5F93C1A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1980C8C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14:paraId="2E5274E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14:paraId="4F486A9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14:paraId="2CC78B53">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883CC2A">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1C4AD8F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3E370D32">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065790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B93EC8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2E5D64C">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14:paraId="09667F9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14:paraId="683F2FA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14:paraId="2D18DE3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14:paraId="173CB06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14:paraId="56F4FF6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14:paraId="0A86E2C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FF8EDD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44E86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DA703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0EFF90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27E0F2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4B596D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8DBB68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D28FA2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0FDB76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E67F90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09A9D9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739E59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71ADF4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764AC8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EC15BE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617C9D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62B263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AADA31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9F6AD2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14:paraId="709FB0BA">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14:paraId="6613C52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6BC4B89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12DA203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491F3ED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673FB06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3B77AD9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2BF2D1B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14CDA18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14:paraId="3B7A14C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14:paraId="7B38598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14:paraId="1CBAA705">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355562E">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0F27C53A">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250E4DC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14:paraId="2E67842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12.其他资格证明</w:t>
      </w:r>
    </w:p>
    <w:p w14:paraId="1FFAFDB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E143EE9">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31A9E825">
      <w:pPr>
        <w:pStyle w:val="9"/>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14:paraId="68D9ECB1">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4F384EA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7877B27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48F7921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22C9026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13C6A4B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3EF52B0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21C09D9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3E05A64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286DDE6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1D0785B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1CF25F15">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68DD3DF5">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10A8917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0E563164">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79F2582A">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7BBCC484">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0F02C34A">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66B2AAC8">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6F5DEF4">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3E3E5588">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4587CE2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14:paraId="13733BB2">
      <w:pPr>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br w:type="page"/>
      </w:r>
    </w:p>
    <w:p w14:paraId="6B5177B3">
      <w:pPr>
        <w:pStyle w:val="16"/>
        <w:numPr>
          <w:ilvl w:val="0"/>
          <w:numId w:val="0"/>
        </w:numPr>
        <w:kinsoku w:val="0"/>
        <w:autoSpaceDE w:val="0"/>
        <w:autoSpaceDN w:val="0"/>
        <w:adjustRightInd w:val="0"/>
        <w:snapToGrid w:val="0"/>
        <w:spacing w:line="240" w:lineRule="auto"/>
        <w:jc w:val="left"/>
        <w:textAlignment w:val="baseline"/>
        <w:rPr>
          <w:rFonts w:hint="eastAsia"/>
          <w:lang w:val="zh-CN" w:eastAsia="zh-CN"/>
        </w:rPr>
        <w:sectPr>
          <w:headerReference r:id="rId14" w:type="default"/>
          <w:footerReference r:id="rId15" w:type="default"/>
          <w:pgSz w:w="11907" w:h="16840"/>
          <w:pgMar w:top="1440" w:right="1800" w:bottom="1440" w:left="1800" w:header="878" w:footer="886" w:gutter="0"/>
          <w:pgNumType w:fmt="decimal"/>
          <w:cols w:space="720" w:num="1"/>
        </w:sectPr>
      </w:pPr>
    </w:p>
    <w:p w14:paraId="0FFDE2A3">
      <w:pPr>
        <w:keepNext w:val="0"/>
        <w:keepLines w:val="0"/>
        <w:pageBreakBefore w:val="0"/>
        <w:numPr>
          <w:ilvl w:val="0"/>
          <w:numId w:val="0"/>
        </w:numPr>
        <w:kinsoku/>
        <w:wordWrap w:val="0"/>
        <w:overflowPunct/>
        <w:topLinePunct w:val="0"/>
        <w:bidi w:val="0"/>
        <w:spacing w:line="360" w:lineRule="auto"/>
        <w:jc w:val="both"/>
        <w:rPr>
          <w:rFonts w:hint="default"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二、方案部分（暗标）</w:t>
      </w:r>
    </w:p>
    <w:p w14:paraId="2588AF9A">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1.整体服务方案</w:t>
      </w:r>
    </w:p>
    <w:p w14:paraId="56549856">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2.拟投入设备</w:t>
      </w:r>
    </w:p>
    <w:p w14:paraId="103849CD">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3.项目管理制度</w:t>
      </w:r>
    </w:p>
    <w:p w14:paraId="7293456D">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4.环境卫生管理方案</w:t>
      </w:r>
    </w:p>
    <w:p w14:paraId="570FA84A">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5.水电维修方案</w:t>
      </w:r>
    </w:p>
    <w:p w14:paraId="1D0E964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6.绿化养护方案及措施</w:t>
      </w:r>
    </w:p>
    <w:p w14:paraId="51400FB9">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eastAsia="zh-CN"/>
        </w:rPr>
      </w:pPr>
      <w:r>
        <w:rPr>
          <w:rFonts w:hint="eastAsia" w:asciiTheme="minorEastAsia" w:hAnsiTheme="minorEastAsia" w:eastAsiaTheme="minorEastAsia" w:cstheme="minorEastAsia"/>
          <w:b/>
          <w:bCs w:val="0"/>
          <w:sz w:val="24"/>
          <w:szCs w:val="24"/>
          <w:lang w:val="en-US" w:eastAsia="zh-CN"/>
        </w:rPr>
        <w:t>7.应急预案</w:t>
      </w:r>
    </w:p>
    <w:p w14:paraId="1FC2D36D">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BF2F95E">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735F587">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F430CF4">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645B033">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E7A4352">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DDBDB63">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9D7B455">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FC8EE1E">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220D94F">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B5D7733">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BA005B3">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E2EAA46">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B65DB58">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EA60100">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9F0F82E">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DB15D7C">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13DE4AB">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0871F6B">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3604A79">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E66F35E">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B89490C">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0BAC425">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D348B48">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A2B402B">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BD92810">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3558DEC">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C88735E">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4BC9618">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5F7C5AA">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90CD33A">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0BDAC08">
      <w:pPr>
        <w:pStyle w:val="16"/>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FA69008">
      <w:pPr>
        <w:pStyle w:val="16"/>
        <w:rPr>
          <w:rFonts w:hint="default"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t>三、商务文件格式</w:t>
      </w:r>
    </w:p>
    <w:p w14:paraId="52C047B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14:paraId="2C34796E">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14:paraId="1B52C02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217C4F9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14:paraId="1C6C35F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14:paraId="1C76161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技术文件第1至</w:t>
      </w:r>
      <w:r>
        <w:rPr>
          <w:rFonts w:hint="eastAsia" w:asciiTheme="minorEastAsia" w:hAnsiTheme="minorEastAsia" w:eastAsiaTheme="minorEastAsia" w:cstheme="minorEastAsia"/>
          <w:b w:val="0"/>
          <w:bCs w:val="0"/>
          <w:sz w:val="24"/>
          <w:szCs w:val="24"/>
          <w:u w:val="single"/>
          <w:lang w:val="en-US" w:eastAsia="zh-CN"/>
        </w:rPr>
        <w:t xml:space="preserve">   项</w:t>
      </w:r>
      <w:r>
        <w:rPr>
          <w:rFonts w:hint="eastAsia" w:asciiTheme="minorEastAsia" w:hAnsiTheme="minorEastAsia" w:eastAsiaTheme="minorEastAsia" w:cstheme="minorEastAsia"/>
          <w:b w:val="0"/>
          <w:bCs w:val="0"/>
          <w:sz w:val="24"/>
          <w:szCs w:val="24"/>
          <w:u w:val="none"/>
          <w:lang w:val="en-US" w:eastAsia="zh-CN"/>
        </w:rPr>
        <w:t>，</w:t>
      </w:r>
      <w:r>
        <w:rPr>
          <w:rFonts w:hint="eastAsia" w:asciiTheme="minorEastAsia" w:hAnsiTheme="minorEastAsia" w:eastAsiaTheme="minorEastAsia" w:cstheme="minorEastAsia"/>
          <w:b w:val="0"/>
          <w:bCs w:val="0"/>
          <w:sz w:val="24"/>
          <w:szCs w:val="24"/>
          <w:lang w:eastAsia="zh-CN"/>
        </w:rPr>
        <w:t>商务文件第1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14:paraId="2602961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14:paraId="2266B13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14:paraId="2AA3AD3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14:paraId="0149701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14:paraId="0E56314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14:paraId="618E8FE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14:paraId="4F66D44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14:paraId="41BF2ED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14:paraId="244A4D4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14:paraId="0A1F8EB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14:paraId="0EBE293D">
      <w:pPr>
        <w:keepNext w:val="0"/>
        <w:keepLines w:val="0"/>
        <w:pageBreakBefore w:val="0"/>
        <w:kinsoku/>
        <w:wordWrap w:val="0"/>
        <w:overflowPunct/>
        <w:topLinePunct w:val="0"/>
        <w:bidi w:val="0"/>
        <w:spacing w:line="360" w:lineRule="auto"/>
        <w:ind w:firstLine="604" w:firstLineChars="252"/>
        <w:jc w:val="both"/>
        <w:rPr>
          <w:rFonts w:hint="default" w:asciiTheme="minorEastAsia" w:hAnsiTheme="minorEastAsia" w:eastAsiaTheme="minorEastAsia" w:cstheme="minorEastAsia"/>
          <w:b w:val="0"/>
          <w:bCs w:val="0"/>
          <w:sz w:val="24"/>
          <w:szCs w:val="24"/>
          <w:lang w:val="en-US" w:eastAsia="zh-CN"/>
        </w:rPr>
        <w:sectPr>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none"/>
          <w:lang w:val="en-US" w:eastAsia="zh-CN"/>
        </w:rPr>
        <w:t>日</w:t>
      </w:r>
    </w:p>
    <w:p w14:paraId="3507815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5451BEC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商务偏差表格式</w:t>
      </w:r>
    </w:p>
    <w:p w14:paraId="15F14D28">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3CEDAF2E">
      <w:pPr>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23FD8D6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4C39C5A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68EB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14:paraId="56AAA0F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15C0BA0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6D5369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5AAF8A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2FE63B7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28F0B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0A20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58721A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DFE27E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FA33C7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0696AA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252D4F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62E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FD20D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4E5E86A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5BFB92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9F6626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48463F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B19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A70AE6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974AA6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C6D52B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76405B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3D54C8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C9E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8B1391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192DAA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562AD5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AF7849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ABC8F8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CCB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40C7D1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8B64D5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D6258B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F0FDC4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9DA3F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25D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EE88BB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16D87D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C7C625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C236B3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0B8533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F74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3F36E9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064C27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6227C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0948F9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B897D1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DBC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0C0C36F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6F1B14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411C81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DA1600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71CEF7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301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5C97E9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4926721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DE90C0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C741B0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4917E0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E1F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001A74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99618E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B90BC8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98F59E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92AE21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33A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725AB3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AB877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698C85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5CFB6B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6F06EA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01C2C26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756A149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12B1CFFC">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D587AA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47EE79F1">
      <w:pPr>
        <w:keepNext w:val="0"/>
        <w:keepLines w:val="0"/>
        <w:pageBreakBefore w:val="0"/>
        <w:numPr>
          <w:ilvl w:val="0"/>
          <w:numId w:val="0"/>
        </w:numPr>
        <w:kinsoku/>
        <w:wordWrap w:val="0"/>
        <w:overflowPunct/>
        <w:topLinePunct w:val="0"/>
        <w:bidi w:val="0"/>
        <w:spacing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3.项目人员配备</w:t>
      </w:r>
    </w:p>
    <w:p w14:paraId="75437A51">
      <w:pPr>
        <w:keepNext w:val="0"/>
        <w:keepLines w:val="0"/>
        <w:pageBreakBefore w:val="0"/>
        <w:numPr>
          <w:ilvl w:val="0"/>
          <w:numId w:val="0"/>
        </w:numPr>
        <w:kinsoku/>
        <w:wordWrap w:val="0"/>
        <w:overflowPunct/>
        <w:topLinePunct w:val="0"/>
        <w:bidi w:val="0"/>
        <w:spacing w:line="360" w:lineRule="auto"/>
        <w:jc w:val="both"/>
        <w:rPr>
          <w:rFonts w:hint="default" w:ascii="宋体" w:hAnsi="宋体"/>
          <w:b/>
          <w:sz w:val="24"/>
          <w:szCs w:val="24"/>
          <w:lang w:val="en-US" w:eastAsia="zh-CN"/>
        </w:rPr>
      </w:pPr>
      <w:r>
        <w:rPr>
          <w:rFonts w:hint="eastAsia" w:ascii="宋体" w:hAnsi="宋体"/>
          <w:b/>
          <w:sz w:val="24"/>
          <w:szCs w:val="24"/>
          <w:lang w:val="en-US" w:eastAsia="zh-CN"/>
        </w:rPr>
        <w:t>4.</w:t>
      </w:r>
      <w:r>
        <w:rPr>
          <w:rFonts w:hint="eastAsia" w:asciiTheme="minorEastAsia" w:hAnsiTheme="minorEastAsia" w:eastAsiaTheme="minorEastAsia" w:cstheme="minorEastAsia"/>
          <w:b/>
          <w:sz w:val="24"/>
          <w:szCs w:val="24"/>
          <w:lang w:eastAsia="zh-CN"/>
        </w:rPr>
        <w:t>投标人业绩</w:t>
      </w:r>
    </w:p>
    <w:p w14:paraId="48C66D9A">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5.服务承诺</w:t>
      </w:r>
    </w:p>
    <w:p w14:paraId="3FB36CE8">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778D8753">
      <w:pPr>
        <w:pStyle w:val="9"/>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eastAsia="Arial" w:cs="Arial"/>
          <w:b/>
          <w:snapToGrid w:val="0"/>
          <w:color w:val="000000"/>
          <w:kern w:val="0"/>
          <w:sz w:val="24"/>
          <w:szCs w:val="24"/>
          <w:lang w:val="en-US" w:eastAsia="zh-CN" w:bidi="ar-SA"/>
        </w:rPr>
        <w:t>6</w:t>
      </w:r>
      <w:r>
        <w:rPr>
          <w:rFonts w:hint="eastAsia" w:ascii="宋体" w:hAnsi="宋体" w:eastAsia="Arial" w:cs="Arial"/>
          <w:b/>
          <w:snapToGrid w:val="0"/>
          <w:color w:val="000000"/>
          <w:kern w:val="0"/>
          <w:sz w:val="24"/>
          <w:szCs w:val="24"/>
          <w:lang w:val="en-US" w:eastAsia="zh-CN" w:bidi="ar-SA"/>
        </w:rPr>
        <w:t>.中小企业、监狱企业或残疾人福利性单位声明函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14:paraId="7051258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807ED72">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中小企业声明函（服务）格式</w:t>
      </w:r>
    </w:p>
    <w:p w14:paraId="38574E0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C6CCF2C">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14:paraId="0014CEBE">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14:paraId="7A9D46FA">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14:paraId="682FC609">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14:paraId="4D016CE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A5D51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0305238F">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24" w:firstLineChars="200"/>
        <w:jc w:val="both"/>
        <w:textAlignment w:val="baseline"/>
        <w:rPr>
          <w:rFonts w:hint="eastAsia" w:asciiTheme="minorEastAsia" w:hAnsiTheme="minorEastAsia" w:eastAsiaTheme="minorEastAsia" w:cstheme="minorEastAsia"/>
          <w:spacing w:val="11"/>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w:t>
      </w:r>
      <w:r>
        <w:rPr>
          <w:rFonts w:hint="eastAsia" w:asciiTheme="minorEastAsia" w:hAnsiTheme="minorEastAsia" w:eastAsiaTheme="minorEastAsia" w:cstheme="minorEastAsia"/>
          <w:spacing w:val="10"/>
          <w:position w:val="17"/>
          <w:sz w:val="24"/>
          <w:szCs w:val="24"/>
          <w:lang w:val="en-US" w:eastAsia="zh-CN"/>
        </w:rPr>
        <w:t>不存在与大企业的负责让你为同一人的情形。</w:t>
      </w:r>
    </w:p>
    <w:p w14:paraId="6C89B093">
      <w:pPr>
        <w:pStyle w:val="9"/>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14:paraId="1462FE1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30E58C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487BBDF6">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14:paraId="5BAFA28E">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B6050D8">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14:paraId="4C374D6C">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14:paraId="13B750C8">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14:paraId="112C3FED">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12F395B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C9093D4">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6D563C82">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5EC81C3A">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4DF0996A">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300C37E9">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6F4A911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1B1D31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E4CB47F">
      <w:pPr>
        <w:pStyle w:val="9"/>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4F13BF46">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00D54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4209AE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48B89CF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5E3696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7836C78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2107B6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31F01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55E520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DF09AA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C027B9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F09957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122D04C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77C2399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C70473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57D9394E">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0B279E8B">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4C86BB29">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FF0DF3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7.招标文件要求的其它材料及投标人认为有必要提供的材料</w:t>
      </w:r>
    </w:p>
    <w:sectPr>
      <w:headerReference r:id="rId16" w:type="default"/>
      <w:footerReference r:id="rId17"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2C20B">
    <w:pPr>
      <w:spacing w:line="189" w:lineRule="auto"/>
      <w:rPr>
        <w:rFonts w:ascii="Arial" w:hAnsi="Arial" w:eastAsia="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C252D">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33BBF">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D33BBF">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8F2AB">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571DC">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D1571DC">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9A688">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B2868">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3CB2868">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2658B">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FADF83">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4FADF83">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33132">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E207E">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A2E207E">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57477">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E62247">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5E62247">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99FCE">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0006B">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47761">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7365B">
    <w:pPr>
      <w:pStyle w:val="15"/>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97A73">
    <w:pPr>
      <w:pStyle w:val="1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8FE28">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A00357"/>
    <w:multiLevelType w:val="singleLevel"/>
    <w:tmpl w:val="14A00357"/>
    <w:lvl w:ilvl="0" w:tentative="0">
      <w:start w:val="1"/>
      <w:numFmt w:val="chineseCounting"/>
      <w:lvlText w:val="(%1)"/>
      <w:lvlJc w:val="left"/>
      <w:pPr>
        <w:tabs>
          <w:tab w:val="left" w:pos="312"/>
        </w:tabs>
      </w:pPr>
      <w:rPr>
        <w:rFonts w:hint="eastAsia"/>
      </w:rPr>
    </w:lvl>
  </w:abstractNum>
  <w:abstractNum w:abstractNumId="1">
    <w:nsid w:val="5D7BE5FA"/>
    <w:multiLevelType w:val="singleLevel"/>
    <w:tmpl w:val="5D7BE5F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NDVhOGJiNDg2ZjdhYjQwZGI4MzFmNWUxMWY5NTYwNzYifQ=="/>
  </w:docVars>
  <w:rsids>
    <w:rsidRoot w:val="00000000"/>
    <w:rsid w:val="00621C19"/>
    <w:rsid w:val="0096273C"/>
    <w:rsid w:val="00D24FF0"/>
    <w:rsid w:val="014E35A1"/>
    <w:rsid w:val="01C02D71"/>
    <w:rsid w:val="023E759B"/>
    <w:rsid w:val="027730B6"/>
    <w:rsid w:val="02FA03F5"/>
    <w:rsid w:val="03217B69"/>
    <w:rsid w:val="03C26B83"/>
    <w:rsid w:val="03CC315E"/>
    <w:rsid w:val="03DF5A69"/>
    <w:rsid w:val="044921B6"/>
    <w:rsid w:val="046E59EF"/>
    <w:rsid w:val="050D556D"/>
    <w:rsid w:val="05234F67"/>
    <w:rsid w:val="05545C1C"/>
    <w:rsid w:val="055748A3"/>
    <w:rsid w:val="059A3EA8"/>
    <w:rsid w:val="06593C39"/>
    <w:rsid w:val="06787E06"/>
    <w:rsid w:val="06AF4861"/>
    <w:rsid w:val="06B0495B"/>
    <w:rsid w:val="06C93A28"/>
    <w:rsid w:val="06E37C8B"/>
    <w:rsid w:val="076721B4"/>
    <w:rsid w:val="08CB596A"/>
    <w:rsid w:val="092D385C"/>
    <w:rsid w:val="09684744"/>
    <w:rsid w:val="09A129E2"/>
    <w:rsid w:val="09CC6764"/>
    <w:rsid w:val="09E3271C"/>
    <w:rsid w:val="0A29644D"/>
    <w:rsid w:val="0A437032"/>
    <w:rsid w:val="0A633B33"/>
    <w:rsid w:val="0AB46C2A"/>
    <w:rsid w:val="0ABC7CF1"/>
    <w:rsid w:val="0ABE6FC5"/>
    <w:rsid w:val="0AD86A92"/>
    <w:rsid w:val="0B3B7AF5"/>
    <w:rsid w:val="0B3C24F6"/>
    <w:rsid w:val="0BC76E66"/>
    <w:rsid w:val="0BF0521B"/>
    <w:rsid w:val="0CB101B0"/>
    <w:rsid w:val="0CBD4DA7"/>
    <w:rsid w:val="0CF900A3"/>
    <w:rsid w:val="0D9A718E"/>
    <w:rsid w:val="0DA859D3"/>
    <w:rsid w:val="0DD30B7C"/>
    <w:rsid w:val="0E307EEE"/>
    <w:rsid w:val="0EE83F9D"/>
    <w:rsid w:val="0F0D035A"/>
    <w:rsid w:val="0FB87AA7"/>
    <w:rsid w:val="0FE34B24"/>
    <w:rsid w:val="102C0845"/>
    <w:rsid w:val="104F3F68"/>
    <w:rsid w:val="10B145AD"/>
    <w:rsid w:val="115A7068"/>
    <w:rsid w:val="11620280"/>
    <w:rsid w:val="117D2D56"/>
    <w:rsid w:val="11B43A6A"/>
    <w:rsid w:val="11B5429E"/>
    <w:rsid w:val="121A79BB"/>
    <w:rsid w:val="122675E2"/>
    <w:rsid w:val="12417927"/>
    <w:rsid w:val="126E021D"/>
    <w:rsid w:val="126F5143"/>
    <w:rsid w:val="12C549DA"/>
    <w:rsid w:val="12D9220E"/>
    <w:rsid w:val="12FD5FFB"/>
    <w:rsid w:val="1380268A"/>
    <w:rsid w:val="13C5707D"/>
    <w:rsid w:val="13F07810"/>
    <w:rsid w:val="1446371A"/>
    <w:rsid w:val="146A5814"/>
    <w:rsid w:val="14EC3DCF"/>
    <w:rsid w:val="15037E2D"/>
    <w:rsid w:val="156B2323"/>
    <w:rsid w:val="15AC3C0A"/>
    <w:rsid w:val="15B05882"/>
    <w:rsid w:val="15E04F64"/>
    <w:rsid w:val="164A7458"/>
    <w:rsid w:val="16F45CE8"/>
    <w:rsid w:val="16FC049F"/>
    <w:rsid w:val="174C193E"/>
    <w:rsid w:val="179B0D80"/>
    <w:rsid w:val="17B27393"/>
    <w:rsid w:val="17E20058"/>
    <w:rsid w:val="183D23CB"/>
    <w:rsid w:val="18510AEB"/>
    <w:rsid w:val="18610CDC"/>
    <w:rsid w:val="19161B44"/>
    <w:rsid w:val="19D46BD3"/>
    <w:rsid w:val="19E260C0"/>
    <w:rsid w:val="1A464AA0"/>
    <w:rsid w:val="1A6B22E0"/>
    <w:rsid w:val="1A9F789A"/>
    <w:rsid w:val="1AAC0209"/>
    <w:rsid w:val="1AC47924"/>
    <w:rsid w:val="1AF57E02"/>
    <w:rsid w:val="1B4F168F"/>
    <w:rsid w:val="1B6F0841"/>
    <w:rsid w:val="1D391455"/>
    <w:rsid w:val="1D72498F"/>
    <w:rsid w:val="1D9D7C75"/>
    <w:rsid w:val="1E0754FF"/>
    <w:rsid w:val="1E2712E1"/>
    <w:rsid w:val="1E7249AF"/>
    <w:rsid w:val="1F8737CC"/>
    <w:rsid w:val="1FE61854"/>
    <w:rsid w:val="1FF31541"/>
    <w:rsid w:val="20F10837"/>
    <w:rsid w:val="210939CE"/>
    <w:rsid w:val="212D6A29"/>
    <w:rsid w:val="217E2260"/>
    <w:rsid w:val="21DC7625"/>
    <w:rsid w:val="21E33D7D"/>
    <w:rsid w:val="22937C80"/>
    <w:rsid w:val="22E737AC"/>
    <w:rsid w:val="23C6058D"/>
    <w:rsid w:val="23D34A58"/>
    <w:rsid w:val="245B6F27"/>
    <w:rsid w:val="24C8734D"/>
    <w:rsid w:val="24E94D19"/>
    <w:rsid w:val="25052271"/>
    <w:rsid w:val="255045B2"/>
    <w:rsid w:val="256253DA"/>
    <w:rsid w:val="25722260"/>
    <w:rsid w:val="257A4289"/>
    <w:rsid w:val="25A83616"/>
    <w:rsid w:val="25D07317"/>
    <w:rsid w:val="260373D2"/>
    <w:rsid w:val="263A5FE5"/>
    <w:rsid w:val="265713EE"/>
    <w:rsid w:val="266177F8"/>
    <w:rsid w:val="26734FA1"/>
    <w:rsid w:val="267811A0"/>
    <w:rsid w:val="27EF7E63"/>
    <w:rsid w:val="27F6032D"/>
    <w:rsid w:val="2944096C"/>
    <w:rsid w:val="29462E99"/>
    <w:rsid w:val="29C94933"/>
    <w:rsid w:val="29EF5E58"/>
    <w:rsid w:val="2A5E573D"/>
    <w:rsid w:val="2A870159"/>
    <w:rsid w:val="2ABA04F6"/>
    <w:rsid w:val="2AD7512C"/>
    <w:rsid w:val="2B296C36"/>
    <w:rsid w:val="2B32017A"/>
    <w:rsid w:val="2B4C1378"/>
    <w:rsid w:val="2BD35370"/>
    <w:rsid w:val="2CA1464D"/>
    <w:rsid w:val="2CB368C6"/>
    <w:rsid w:val="2CD12A5A"/>
    <w:rsid w:val="2CE542E8"/>
    <w:rsid w:val="2D4C797B"/>
    <w:rsid w:val="2D854259"/>
    <w:rsid w:val="2DD5743D"/>
    <w:rsid w:val="2DF6291A"/>
    <w:rsid w:val="2E037ECE"/>
    <w:rsid w:val="2E123636"/>
    <w:rsid w:val="2EDE4089"/>
    <w:rsid w:val="2F795793"/>
    <w:rsid w:val="2F7E5B21"/>
    <w:rsid w:val="2FAF3423"/>
    <w:rsid w:val="305F18E8"/>
    <w:rsid w:val="311741D6"/>
    <w:rsid w:val="3119309A"/>
    <w:rsid w:val="312A5594"/>
    <w:rsid w:val="312C625F"/>
    <w:rsid w:val="31C81974"/>
    <w:rsid w:val="32230959"/>
    <w:rsid w:val="3322495F"/>
    <w:rsid w:val="337450B5"/>
    <w:rsid w:val="344C700B"/>
    <w:rsid w:val="34C22FEC"/>
    <w:rsid w:val="34EB0670"/>
    <w:rsid w:val="34F86C33"/>
    <w:rsid w:val="357D65D2"/>
    <w:rsid w:val="36266C69"/>
    <w:rsid w:val="36B765C5"/>
    <w:rsid w:val="374E72FE"/>
    <w:rsid w:val="37512649"/>
    <w:rsid w:val="37C036A0"/>
    <w:rsid w:val="37D664EB"/>
    <w:rsid w:val="37E776C2"/>
    <w:rsid w:val="383C09C6"/>
    <w:rsid w:val="38704382"/>
    <w:rsid w:val="388B2F38"/>
    <w:rsid w:val="399D1B1E"/>
    <w:rsid w:val="3A046503"/>
    <w:rsid w:val="3A386160"/>
    <w:rsid w:val="3B35724B"/>
    <w:rsid w:val="3BB63ADA"/>
    <w:rsid w:val="3BDC4EDA"/>
    <w:rsid w:val="3C37498E"/>
    <w:rsid w:val="3C860462"/>
    <w:rsid w:val="3C94450B"/>
    <w:rsid w:val="3CD83A9C"/>
    <w:rsid w:val="3D051AB3"/>
    <w:rsid w:val="3D13022E"/>
    <w:rsid w:val="3D9C0E9C"/>
    <w:rsid w:val="3DDE7B24"/>
    <w:rsid w:val="3E233D5C"/>
    <w:rsid w:val="3E353902"/>
    <w:rsid w:val="3E60285C"/>
    <w:rsid w:val="3E7A6E5F"/>
    <w:rsid w:val="3E807399"/>
    <w:rsid w:val="3E923BF9"/>
    <w:rsid w:val="3ED454B4"/>
    <w:rsid w:val="3F0A4EA1"/>
    <w:rsid w:val="3F487C50"/>
    <w:rsid w:val="3F814E1B"/>
    <w:rsid w:val="3FC65745"/>
    <w:rsid w:val="3FCE3BC4"/>
    <w:rsid w:val="40274071"/>
    <w:rsid w:val="405D1A2A"/>
    <w:rsid w:val="407F405E"/>
    <w:rsid w:val="409370B0"/>
    <w:rsid w:val="40D41902"/>
    <w:rsid w:val="410F0A26"/>
    <w:rsid w:val="41884B35"/>
    <w:rsid w:val="423849B8"/>
    <w:rsid w:val="435F746A"/>
    <w:rsid w:val="4372309F"/>
    <w:rsid w:val="44093E52"/>
    <w:rsid w:val="444E5D13"/>
    <w:rsid w:val="4452653F"/>
    <w:rsid w:val="446F3136"/>
    <w:rsid w:val="44790C24"/>
    <w:rsid w:val="453A628D"/>
    <w:rsid w:val="45CF0C25"/>
    <w:rsid w:val="45DD7715"/>
    <w:rsid w:val="46D13EAE"/>
    <w:rsid w:val="47503B46"/>
    <w:rsid w:val="476F2CBE"/>
    <w:rsid w:val="47C562E2"/>
    <w:rsid w:val="47C81344"/>
    <w:rsid w:val="480A1F47"/>
    <w:rsid w:val="483B0352"/>
    <w:rsid w:val="488A3088"/>
    <w:rsid w:val="48DF1625"/>
    <w:rsid w:val="48F078C5"/>
    <w:rsid w:val="49320965"/>
    <w:rsid w:val="49AC2E6D"/>
    <w:rsid w:val="4A3F3154"/>
    <w:rsid w:val="4A4562D3"/>
    <w:rsid w:val="4A52328E"/>
    <w:rsid w:val="4A6A5660"/>
    <w:rsid w:val="4B050440"/>
    <w:rsid w:val="4B227F62"/>
    <w:rsid w:val="4B6545C2"/>
    <w:rsid w:val="4BBC369E"/>
    <w:rsid w:val="4CEC4659"/>
    <w:rsid w:val="4D493511"/>
    <w:rsid w:val="4DF21FC2"/>
    <w:rsid w:val="4DF932EA"/>
    <w:rsid w:val="4E201C1D"/>
    <w:rsid w:val="4E3B35B6"/>
    <w:rsid w:val="4E473770"/>
    <w:rsid w:val="4E7A34EC"/>
    <w:rsid w:val="4E861641"/>
    <w:rsid w:val="4FAB04B3"/>
    <w:rsid w:val="4FB426AD"/>
    <w:rsid w:val="4FEE2DC9"/>
    <w:rsid w:val="51346287"/>
    <w:rsid w:val="51850890"/>
    <w:rsid w:val="519F1DA4"/>
    <w:rsid w:val="51C80FDD"/>
    <w:rsid w:val="525210BA"/>
    <w:rsid w:val="52A90328"/>
    <w:rsid w:val="52DC3333"/>
    <w:rsid w:val="53036690"/>
    <w:rsid w:val="53376A7B"/>
    <w:rsid w:val="533D001D"/>
    <w:rsid w:val="537441A1"/>
    <w:rsid w:val="53AA13EB"/>
    <w:rsid w:val="53B1020C"/>
    <w:rsid w:val="54065481"/>
    <w:rsid w:val="557169CF"/>
    <w:rsid w:val="557D5D2A"/>
    <w:rsid w:val="55A41C2D"/>
    <w:rsid w:val="56682D63"/>
    <w:rsid w:val="56905D0D"/>
    <w:rsid w:val="56FA50E4"/>
    <w:rsid w:val="56FB4C08"/>
    <w:rsid w:val="574153BB"/>
    <w:rsid w:val="589A668A"/>
    <w:rsid w:val="58AC00F0"/>
    <w:rsid w:val="58C46E3D"/>
    <w:rsid w:val="58D971B2"/>
    <w:rsid w:val="59042C0B"/>
    <w:rsid w:val="59272568"/>
    <w:rsid w:val="59576FB6"/>
    <w:rsid w:val="59BC1D1A"/>
    <w:rsid w:val="59C142A0"/>
    <w:rsid w:val="59C641E6"/>
    <w:rsid w:val="59D65347"/>
    <w:rsid w:val="5A2E3043"/>
    <w:rsid w:val="5A9763C3"/>
    <w:rsid w:val="5A9920D7"/>
    <w:rsid w:val="5AEA63E6"/>
    <w:rsid w:val="5B2C7B17"/>
    <w:rsid w:val="5BCB0AF4"/>
    <w:rsid w:val="5C2D5181"/>
    <w:rsid w:val="5C9B1B86"/>
    <w:rsid w:val="5CA02E79"/>
    <w:rsid w:val="5CEA5B79"/>
    <w:rsid w:val="5D150553"/>
    <w:rsid w:val="5D3550FB"/>
    <w:rsid w:val="5D8B5473"/>
    <w:rsid w:val="5D902A97"/>
    <w:rsid w:val="5E3606EF"/>
    <w:rsid w:val="5EDA32DC"/>
    <w:rsid w:val="5F321771"/>
    <w:rsid w:val="5F3A0F0C"/>
    <w:rsid w:val="5F412CC2"/>
    <w:rsid w:val="5FBA6598"/>
    <w:rsid w:val="5FE2771E"/>
    <w:rsid w:val="600E6D7C"/>
    <w:rsid w:val="607F1E09"/>
    <w:rsid w:val="60BD2923"/>
    <w:rsid w:val="618C2692"/>
    <w:rsid w:val="622D31D4"/>
    <w:rsid w:val="62A74B0A"/>
    <w:rsid w:val="62E015B0"/>
    <w:rsid w:val="63510510"/>
    <w:rsid w:val="639D4CC6"/>
    <w:rsid w:val="642053CC"/>
    <w:rsid w:val="646A5DEF"/>
    <w:rsid w:val="646F5EF6"/>
    <w:rsid w:val="65785E0F"/>
    <w:rsid w:val="658A75F4"/>
    <w:rsid w:val="65CF7A95"/>
    <w:rsid w:val="66A23F66"/>
    <w:rsid w:val="672526A7"/>
    <w:rsid w:val="680D3662"/>
    <w:rsid w:val="68222C97"/>
    <w:rsid w:val="68333F9A"/>
    <w:rsid w:val="683858D3"/>
    <w:rsid w:val="68645FE7"/>
    <w:rsid w:val="69413090"/>
    <w:rsid w:val="69855FCD"/>
    <w:rsid w:val="69BC17E8"/>
    <w:rsid w:val="69DD77FF"/>
    <w:rsid w:val="6AE37CE3"/>
    <w:rsid w:val="6B0625EA"/>
    <w:rsid w:val="6B5442BA"/>
    <w:rsid w:val="6C593408"/>
    <w:rsid w:val="6C68544B"/>
    <w:rsid w:val="6C785167"/>
    <w:rsid w:val="6D0715D4"/>
    <w:rsid w:val="6DDB2C74"/>
    <w:rsid w:val="6E0E0C0F"/>
    <w:rsid w:val="6E5F44EB"/>
    <w:rsid w:val="6E8E7670"/>
    <w:rsid w:val="6EEB0447"/>
    <w:rsid w:val="6F900FF5"/>
    <w:rsid w:val="6FAF3250"/>
    <w:rsid w:val="6FC71762"/>
    <w:rsid w:val="70312E6C"/>
    <w:rsid w:val="703F6560"/>
    <w:rsid w:val="70447D0C"/>
    <w:rsid w:val="70725ED5"/>
    <w:rsid w:val="70B362F9"/>
    <w:rsid w:val="70FC3328"/>
    <w:rsid w:val="71653340"/>
    <w:rsid w:val="71F347D3"/>
    <w:rsid w:val="71FC098F"/>
    <w:rsid w:val="72415D05"/>
    <w:rsid w:val="7296241B"/>
    <w:rsid w:val="732A300A"/>
    <w:rsid w:val="73803FEB"/>
    <w:rsid w:val="73CE2CA8"/>
    <w:rsid w:val="743A4414"/>
    <w:rsid w:val="747F7695"/>
    <w:rsid w:val="748C5DD6"/>
    <w:rsid w:val="754A398B"/>
    <w:rsid w:val="75857AA3"/>
    <w:rsid w:val="758D5DE2"/>
    <w:rsid w:val="75943299"/>
    <w:rsid w:val="76017BAF"/>
    <w:rsid w:val="767A5F36"/>
    <w:rsid w:val="76837B47"/>
    <w:rsid w:val="76B97261"/>
    <w:rsid w:val="772D4414"/>
    <w:rsid w:val="7744228A"/>
    <w:rsid w:val="77846D70"/>
    <w:rsid w:val="781E668F"/>
    <w:rsid w:val="788C166D"/>
    <w:rsid w:val="78AC0934"/>
    <w:rsid w:val="78BD4DDD"/>
    <w:rsid w:val="78E700F4"/>
    <w:rsid w:val="78EE7B24"/>
    <w:rsid w:val="7907377A"/>
    <w:rsid w:val="792E7F96"/>
    <w:rsid w:val="793B1352"/>
    <w:rsid w:val="79AB21E7"/>
    <w:rsid w:val="79CC501C"/>
    <w:rsid w:val="79F12DE4"/>
    <w:rsid w:val="7B0E17E2"/>
    <w:rsid w:val="7B3E48AE"/>
    <w:rsid w:val="7C6203C7"/>
    <w:rsid w:val="7CB47DAA"/>
    <w:rsid w:val="7D076A17"/>
    <w:rsid w:val="7D462131"/>
    <w:rsid w:val="7DC974CD"/>
    <w:rsid w:val="7E4B00B1"/>
    <w:rsid w:val="7EA62275"/>
    <w:rsid w:val="7F034C8E"/>
    <w:rsid w:val="7F235328"/>
    <w:rsid w:val="7F640382"/>
    <w:rsid w:val="7FB30C7B"/>
    <w:rsid w:val="7FB346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5">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paragraph" w:styleId="7">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rPr>
      <w:kern w:val="2"/>
      <w:sz w:val="28"/>
      <w:lang w:eastAsia="zh-CN" w:bidi="ar-SA"/>
    </w:rPr>
  </w:style>
  <w:style w:type="paragraph" w:styleId="3">
    <w:name w:val="Body Text Indent"/>
    <w:basedOn w:val="1"/>
    <w:next w:val="4"/>
    <w:qFormat/>
    <w:uiPriority w:val="99"/>
    <w:pPr>
      <w:spacing w:after="120" w:afterLines="0"/>
      <w:ind w:left="420" w:leftChars="200"/>
    </w:pPr>
    <w:rPr>
      <w:kern w:val="2"/>
      <w:sz w:val="21"/>
      <w:lang w:eastAsia="zh-CN" w:bidi="ar-SA"/>
    </w:rPr>
  </w:style>
  <w:style w:type="paragraph" w:customStyle="1" w:styleId="4">
    <w:name w:val="Default"/>
    <w:next w:val="1"/>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styleId="8">
    <w:name w:val="annotation text"/>
    <w:basedOn w:val="1"/>
    <w:qFormat/>
    <w:uiPriority w:val="0"/>
    <w:pPr>
      <w:jc w:val="left"/>
    </w:pPr>
  </w:style>
  <w:style w:type="paragraph" w:styleId="9">
    <w:name w:val="Body Text"/>
    <w:basedOn w:val="1"/>
    <w:next w:val="1"/>
    <w:qFormat/>
    <w:uiPriority w:val="0"/>
    <w:rPr>
      <w:rFonts w:ascii="宋体" w:hAnsi="宋体" w:eastAsia="宋体" w:cs="宋体"/>
      <w:sz w:val="31"/>
      <w:szCs w:val="31"/>
      <w:lang w:val="en-US" w:eastAsia="en-US" w:bidi="ar-SA"/>
    </w:rPr>
  </w:style>
  <w:style w:type="paragraph" w:styleId="10">
    <w:name w:val="Plain Text"/>
    <w:basedOn w:val="1"/>
    <w:qFormat/>
    <w:uiPriority w:val="0"/>
    <w:rPr>
      <w:rFonts w:ascii="宋体" w:hAnsi="Courier New" w:cs="Courier New"/>
      <w:szCs w:val="21"/>
    </w:rPr>
  </w:style>
  <w:style w:type="paragraph" w:styleId="11">
    <w:name w:val="Date"/>
    <w:basedOn w:val="1"/>
    <w:next w:val="1"/>
    <w:qFormat/>
    <w:uiPriority w:val="0"/>
    <w:rPr>
      <w:kern w:val="2"/>
      <w:sz w:val="21"/>
      <w:lang w:eastAsia="zh-CN" w:bidi="ar-SA"/>
    </w:rPr>
  </w:style>
  <w:style w:type="paragraph" w:styleId="12">
    <w:name w:val="Body Text Indent 2"/>
    <w:basedOn w:val="1"/>
    <w:qFormat/>
    <w:uiPriority w:val="99"/>
    <w:pPr>
      <w:ind w:firstLine="570"/>
    </w:pPr>
    <w:rPr>
      <w:sz w:val="32"/>
    </w:rPr>
  </w:style>
  <w:style w:type="paragraph" w:styleId="13">
    <w:name w:val="footer"/>
    <w:basedOn w:val="1"/>
    <w:qFormat/>
    <w:uiPriority w:val="0"/>
    <w:pPr>
      <w:tabs>
        <w:tab w:val="center" w:pos="4153"/>
        <w:tab w:val="right" w:pos="8306"/>
      </w:tabs>
      <w:snapToGrid w:val="0"/>
      <w:jc w:val="left"/>
    </w:pPr>
    <w:rPr>
      <w:sz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footnote text"/>
    <w:basedOn w:val="1"/>
    <w:qFormat/>
    <w:uiPriority w:val="0"/>
    <w:pPr>
      <w:snapToGrid w:val="0"/>
      <w:jc w:val="left"/>
    </w:pPr>
    <w:rPr>
      <w:sz w:val="18"/>
      <w:szCs w:val="18"/>
    </w:rPr>
  </w:style>
  <w:style w:type="paragraph" w:styleId="17">
    <w:name w:val="Body Text 2"/>
    <w:basedOn w:val="1"/>
    <w:qFormat/>
    <w:uiPriority w:val="0"/>
    <w:pPr>
      <w:spacing w:after="120" w:line="480" w:lineRule="auto"/>
    </w:pPr>
    <w:rPr>
      <w:rFonts w:ascii="Tahoma" w:hAnsi="Tahoma"/>
    </w:rPr>
  </w:style>
  <w:style w:type="paragraph" w:styleId="18">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2">
    <w:name w:val="FollowedHyperlink"/>
    <w:basedOn w:val="21"/>
    <w:qFormat/>
    <w:uiPriority w:val="0"/>
    <w:rPr>
      <w:color w:val="444444"/>
      <w:sz w:val="16"/>
      <w:szCs w:val="16"/>
      <w:u w:val="none"/>
    </w:rPr>
  </w:style>
  <w:style w:type="character" w:styleId="23">
    <w:name w:val="Hyperlink"/>
    <w:basedOn w:val="21"/>
    <w:qFormat/>
    <w:uiPriority w:val="0"/>
    <w:rPr>
      <w:color w:val="0000FF"/>
      <w:u w:val="single"/>
    </w:rPr>
  </w:style>
  <w:style w:type="paragraph" w:customStyle="1" w:styleId="2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5">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Arial" w:hAnsi="Arial" w:eastAsia="Arial" w:cs="Arial"/>
      <w:sz w:val="21"/>
      <w:szCs w:val="21"/>
      <w:lang w:val="en-US" w:eastAsia="en-US" w:bidi="ar-SA"/>
    </w:rPr>
  </w:style>
  <w:style w:type="paragraph" w:customStyle="1" w:styleId="28">
    <w:name w:val="Char Char10 Char Char Char Char"/>
    <w:basedOn w:val="1"/>
    <w:next w:val="29"/>
    <w:qFormat/>
    <w:uiPriority w:val="99"/>
    <w:pPr>
      <w:autoSpaceDE w:val="0"/>
      <w:autoSpaceDN w:val="0"/>
      <w:jc w:val="left"/>
    </w:pPr>
    <w:rPr>
      <w:rFonts w:ascii="宋体" w:hAnsi="宋体" w:cs="宋体"/>
      <w:lang w:val="zh-CN" w:bidi="zh-CN"/>
    </w:rPr>
  </w:style>
  <w:style w:type="paragraph" w:customStyle="1" w:styleId="29">
    <w:name w:val="xl87"/>
    <w:basedOn w:val="1"/>
    <w:next w:val="30"/>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30">
    <w:name w:val="xl72"/>
    <w:basedOn w:val="1"/>
    <w:next w:val="1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31">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32">
    <w:name w:val="hover18"/>
    <w:basedOn w:val="21"/>
    <w:qFormat/>
    <w:uiPriority w:val="0"/>
  </w:style>
  <w:style w:type="paragraph" w:customStyle="1" w:styleId="33">
    <w:name w:val="列出段落1"/>
    <w:basedOn w:val="1"/>
    <w:qFormat/>
    <w:uiPriority w:val="0"/>
    <w:pPr>
      <w:ind w:firstLine="420" w:firstLineChars="200"/>
    </w:pPr>
    <w:rPr>
      <w:szCs w:val="21"/>
    </w:rPr>
  </w:style>
  <w:style w:type="paragraph" w:customStyle="1" w:styleId="34">
    <w:name w:val="样式1"/>
    <w:basedOn w:val="1"/>
    <w:qFormat/>
    <w:uiPriority w:val="0"/>
    <w:pPr>
      <w:spacing w:line="240" w:lineRule="auto"/>
      <w:jc w:val="both"/>
    </w:pPr>
    <w:rPr>
      <w:rFonts w:asci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58</Pages>
  <Words>9809</Words>
  <Characters>10459</Characters>
  <TotalTime>18</TotalTime>
  <ScaleCrop>false</ScaleCrop>
  <LinksUpToDate>false</LinksUpToDate>
  <CharactersWithSpaces>10817</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JJoey</cp:lastModifiedBy>
  <cp:lastPrinted>2024-04-07T03:01:00Z</cp:lastPrinted>
  <dcterms:modified xsi:type="dcterms:W3CDTF">2025-09-30T01:23:35Z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2052-12.1.0.22529</vt:lpwstr>
  </property>
  <property fmtid="{D5CDD505-2E9C-101B-9397-08002B2CF9AE}" pid="5" name="ICV">
    <vt:lpwstr>D90ED0F552C84C8FA3875C7D387568E5_13</vt:lpwstr>
  </property>
  <property fmtid="{D5CDD505-2E9C-101B-9397-08002B2CF9AE}" pid="6" name="KSOTemplateDocerSaveRecord">
    <vt:lpwstr>eyJoZGlkIjoiYTUyM2UwYjBmYzc3YmM3ZjI1ODg2NTk3ZGJhZGNiNGIiLCJ1c2VySWQiOiI0MTY3MTE2MDgifQ==</vt:lpwstr>
  </property>
</Properties>
</file>