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F6D0E">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44DCFE7D">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5E4C7245">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10B75075">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2D561540">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04DC34E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1DCFC0F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5CC72C4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0629D49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47B9F9D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南阳市粮食和物资储备局南阳市粮食   </w:t>
      </w:r>
      <w:r>
        <w:rPr>
          <w:rFonts w:hint="eastAsia" w:asciiTheme="minorEastAsia" w:hAnsiTheme="minorEastAsia" w:eastAsiaTheme="minorEastAsia" w:cstheme="minorEastAsia"/>
          <w:b/>
          <w:bCs/>
          <w:spacing w:val="-17"/>
          <w:sz w:val="32"/>
          <w:szCs w:val="32"/>
          <w:u w:val="none"/>
          <w:lang w:val="en-US" w:eastAsia="zh-CN"/>
        </w:rPr>
        <w:t xml:space="preserve">                  </w:t>
      </w:r>
      <w:r>
        <w:rPr>
          <w:rFonts w:hint="eastAsia" w:asciiTheme="minorEastAsia" w:hAnsiTheme="minorEastAsia" w:eastAsiaTheme="minorEastAsia" w:cstheme="minorEastAsia"/>
          <w:b/>
          <w:bCs/>
          <w:spacing w:val="-17"/>
          <w:sz w:val="32"/>
          <w:szCs w:val="32"/>
          <w:u w:val="single"/>
          <w:lang w:val="en-US" w:eastAsia="zh-CN"/>
        </w:rPr>
        <w:t xml:space="preserve">  购销领域监管信息化建设二期项目    </w:t>
      </w:r>
    </w:p>
    <w:p w14:paraId="3BF5CF1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南阳政采公开-2025-60          </w:t>
      </w:r>
    </w:p>
    <w:p w14:paraId="0D8180D3">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南阳政采公开-2025-60-1         </w:t>
      </w:r>
    </w:p>
    <w:p w14:paraId="7475634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南阳市粮食和物资储备局         </w:t>
      </w:r>
    </w:p>
    <w:p w14:paraId="107FCC8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10EB7A6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3E174997">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65AADE1B">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001A8A7B">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607ED9EA">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1FEA9BF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6423044A">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50237BDE">
          <w:pPr>
            <w:pStyle w:val="6"/>
            <w:keepNext w:val="0"/>
            <w:keepLines w:val="0"/>
            <w:pageBreakBefore w:val="0"/>
            <w:kinsoku/>
            <w:wordWrap w:val="0"/>
            <w:overflowPunct/>
            <w:topLinePunct w:val="0"/>
            <w:bidi w:val="0"/>
            <w:jc w:val="both"/>
            <w:rPr>
              <w:rFonts w:hint="eastAsia"/>
              <w:shd w:val="clear" w:color="FFFFFF" w:fill="D9D9D9"/>
            </w:rPr>
          </w:pPr>
        </w:p>
        <w:p w14:paraId="4A963F79">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4F03B16B">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62EDA456">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4DA821F8">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1C41DC58">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3B8F3DBA">
          <w:pPr>
            <w:pStyle w:val="6"/>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64ADF385">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E512CAB">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56BD6CAC">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2E6E330">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6D59350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28EF038">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75F2B52">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435D2766">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615E1F2">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C03ABD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529DB7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8F8C51A">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70D67A2">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6548157">
      <w:pPr>
        <w:pStyle w:val="6"/>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625E193">
      <w:pPr>
        <w:pStyle w:val="6"/>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525411F">
      <w:pPr>
        <w:pStyle w:val="6"/>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254BC2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736BA1A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312211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093E2F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3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1.项目编号：南阳政采公开-2025-60</w:t>
      </w:r>
    </w:p>
    <w:p w14:paraId="5A83976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3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2.项目名称：南阳市粮食和物资储备局南阳市粮食购销领域监管信息化建设二期项目</w:t>
      </w:r>
    </w:p>
    <w:p w14:paraId="1B1738B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100.3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100.3 </w:t>
      </w:r>
      <w:r>
        <w:rPr>
          <w:rFonts w:hint="eastAsia" w:asciiTheme="minorEastAsia" w:hAnsiTheme="minorEastAsia" w:eastAsiaTheme="minorEastAsia" w:cstheme="minorEastAsia"/>
          <w:spacing w:val="-14"/>
          <w:sz w:val="24"/>
          <w:szCs w:val="24"/>
        </w:rPr>
        <w:t>万元</w:t>
      </w:r>
    </w:p>
    <w:p w14:paraId="3A859A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6ABE4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33B95A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7D9FFC0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784870C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602DD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6AEF434D">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南阳政采公开-2025-60</w:t>
            </w:r>
            <w:r>
              <w:rPr>
                <w:rFonts w:hint="eastAsia" w:asciiTheme="minorEastAsia" w:hAnsiTheme="minorEastAsia" w:eastAsiaTheme="minorEastAsia" w:cstheme="minorEastAsia"/>
                <w:sz w:val="24"/>
                <w:szCs w:val="24"/>
                <w:lang w:val="en-US" w:eastAsia="zh-CN"/>
              </w:rPr>
              <w:t>-1</w:t>
            </w:r>
          </w:p>
        </w:tc>
        <w:tc>
          <w:tcPr>
            <w:tcW w:w="4215" w:type="dxa"/>
            <w:vAlign w:val="top"/>
          </w:tcPr>
          <w:p w14:paraId="54FB08C6">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南阳市粮食和物资储备局南阳市粮食购销领域监管信息化建设二期项目</w:t>
            </w:r>
          </w:p>
        </w:tc>
        <w:tc>
          <w:tcPr>
            <w:tcW w:w="2321" w:type="dxa"/>
            <w:vAlign w:val="top"/>
          </w:tcPr>
          <w:p w14:paraId="62D44D9F">
            <w:pPr>
              <w:pStyle w:val="2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1003000</w:t>
            </w:r>
          </w:p>
        </w:tc>
      </w:tr>
    </w:tbl>
    <w:p w14:paraId="6121BB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w:t>
      </w:r>
    </w:p>
    <w:tbl>
      <w:tblPr>
        <w:tblStyle w:val="18"/>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14:paraId="1742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46" w:hRule="exact"/>
        </w:trPr>
        <w:tc>
          <w:tcPr>
            <w:tcW w:w="1632" w:type="dxa"/>
            <w:shd w:val="clear" w:color="000000" w:fill="FFFFFF"/>
            <w:noWrap w:val="0"/>
            <w:vAlign w:val="center"/>
          </w:tcPr>
          <w:p w14:paraId="5B15DD2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14:paraId="160D973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5D5C288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2052CB1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1789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EAA907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855" w:type="dxa"/>
            <w:shd w:val="clear" w:color="000000" w:fill="FFFFFF"/>
            <w:noWrap w:val="0"/>
            <w:vAlign w:val="center"/>
          </w:tcPr>
          <w:p w14:paraId="7128644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军供中心库</w:t>
            </w:r>
          </w:p>
        </w:tc>
        <w:tc>
          <w:tcPr>
            <w:tcW w:w="1365" w:type="dxa"/>
            <w:shd w:val="clear" w:color="000000" w:fill="FFFFFF"/>
            <w:noWrap w:val="0"/>
            <w:vAlign w:val="center"/>
          </w:tcPr>
          <w:p w14:paraId="2D235E1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67E77D1A">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5861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3EEA490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855" w:type="dxa"/>
            <w:shd w:val="clear" w:color="000000" w:fill="FFFFFF"/>
            <w:noWrap w:val="0"/>
            <w:vAlign w:val="center"/>
          </w:tcPr>
          <w:p w14:paraId="061484B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建设路库</w:t>
            </w:r>
          </w:p>
        </w:tc>
        <w:tc>
          <w:tcPr>
            <w:tcW w:w="1365" w:type="dxa"/>
            <w:shd w:val="clear" w:color="000000" w:fill="FFFFFF"/>
            <w:noWrap w:val="0"/>
            <w:vAlign w:val="center"/>
          </w:tcPr>
          <w:p w14:paraId="2D01796B">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416443A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0C05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5C0446D">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855" w:type="dxa"/>
            <w:shd w:val="clear" w:color="000000" w:fill="FFFFFF"/>
            <w:noWrap w:val="0"/>
            <w:vAlign w:val="center"/>
          </w:tcPr>
          <w:p w14:paraId="633AC63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油脂库</w:t>
            </w:r>
          </w:p>
        </w:tc>
        <w:tc>
          <w:tcPr>
            <w:tcW w:w="1365" w:type="dxa"/>
            <w:shd w:val="clear" w:color="000000" w:fill="FFFFFF"/>
            <w:noWrap w:val="0"/>
            <w:vAlign w:val="center"/>
          </w:tcPr>
          <w:p w14:paraId="3AB8483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57F4FBB6">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4E0F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379ACDB1">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855" w:type="dxa"/>
            <w:shd w:val="clear" w:color="000000" w:fill="FFFFFF"/>
            <w:noWrap w:val="0"/>
            <w:vAlign w:val="center"/>
          </w:tcPr>
          <w:p w14:paraId="1026C46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嘉升库</w:t>
            </w:r>
          </w:p>
        </w:tc>
        <w:tc>
          <w:tcPr>
            <w:tcW w:w="1365" w:type="dxa"/>
            <w:shd w:val="clear" w:color="000000" w:fill="FFFFFF"/>
            <w:noWrap w:val="0"/>
            <w:vAlign w:val="center"/>
          </w:tcPr>
          <w:p w14:paraId="72D8A51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5284F50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0CA8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FA739F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855" w:type="dxa"/>
            <w:shd w:val="clear" w:color="000000" w:fill="FFFFFF"/>
            <w:noWrap w:val="0"/>
            <w:vAlign w:val="center"/>
          </w:tcPr>
          <w:p w14:paraId="1CA2C4E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系统监控中心</w:t>
            </w:r>
          </w:p>
        </w:tc>
        <w:tc>
          <w:tcPr>
            <w:tcW w:w="1365" w:type="dxa"/>
            <w:shd w:val="clear" w:color="000000" w:fill="FFFFFF"/>
            <w:noWrap w:val="0"/>
            <w:vAlign w:val="center"/>
          </w:tcPr>
          <w:p w14:paraId="3A4EFF3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7BAD5D0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bl>
    <w:p w14:paraId="069B8DA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.合同履行期限：合同签订之日起60日内</w:t>
      </w:r>
      <w:r>
        <w:rPr>
          <w:rFonts w:hint="eastAsia" w:asciiTheme="minorEastAsia" w:hAnsiTheme="minorEastAsia" w:eastAsiaTheme="minorEastAsia" w:cstheme="minorEastAsia"/>
          <w:spacing w:val="-5"/>
          <w:sz w:val="24"/>
          <w:szCs w:val="24"/>
          <w:lang w:val="en-US" w:eastAsia="zh-CN"/>
        </w:rPr>
        <w:t>完成供货安装。</w:t>
      </w:r>
    </w:p>
    <w:p w14:paraId="32EF23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5131F9C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28E77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1862F9D3">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57AB3880">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726F22A6">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7BB118D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67B4C88A">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3140DA9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1DCCC08">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0F89E3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1D5D624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52CE687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5CA8103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34E49C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6AAD90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49BDAA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14369B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1838D6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45B13A7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2CDC7B2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D3D594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BCEDC2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83C95A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15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21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65C6CAA7">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2.地点：全国公共资源交易平台(河南省·南阳市)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29867AB5">
      <w:pPr>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宋体" w:hAnsi="宋体" w:eastAsia="宋体" w:cs="宋体"/>
          <w:spacing w:val="-4"/>
          <w:sz w:val="24"/>
          <w:szCs w:val="24"/>
          <w:lang w:val="en-US" w:eastAsia="zh-CN"/>
        </w:rPr>
        <w:t>使用普通电子交易系统，</w:t>
      </w:r>
      <w:r>
        <w:rPr>
          <w:rFonts w:hint="eastAsia" w:ascii="宋体" w:hAnsi="宋体" w:eastAsia="宋体" w:cs="宋体"/>
          <w:spacing w:val="-4"/>
          <w:sz w:val="24"/>
          <w:szCs w:val="24"/>
          <w:lang w:eastAsia="zh-CN"/>
        </w:rPr>
        <w:t>登录</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（https://ggzyjy.nanyang.gov.cn），注册后凭办理的企业身份认证锁（CA数字证书）登录会员系统按网上提示下载招标文件(*.nyzf格式)及资料（操作程序详见</w:t>
      </w:r>
      <w:r>
        <w:rPr>
          <w:rFonts w:hint="eastAsia" w:ascii="宋体" w:hAnsi="宋体" w:eastAsia="宋体" w:cs="宋体"/>
          <w:sz w:val="24"/>
          <w:szCs w:val="24"/>
        </w:rPr>
        <w:t>全国公共资源交易平台(河南省·南阳市)</w:t>
      </w:r>
      <w:r>
        <w:rPr>
          <w:rFonts w:hint="eastAsia" w:ascii="宋体" w:hAnsi="宋体" w:eastAsia="宋体" w:cs="宋体"/>
          <w:spacing w:val="-4"/>
          <w:sz w:val="24"/>
          <w:szCs w:val="24"/>
          <w:lang w:eastAsia="zh-CN"/>
        </w:rPr>
        <w:t>网站下载专区）</w:t>
      </w:r>
      <w:r>
        <w:rPr>
          <w:rFonts w:hint="eastAsia" w:ascii="宋体" w:hAnsi="宋体" w:eastAsia="宋体" w:cs="宋体"/>
          <w:snapToGrid w:val="0"/>
          <w:color w:val="000000"/>
          <w:kern w:val="0"/>
          <w:sz w:val="24"/>
          <w:szCs w:val="24"/>
          <w:lang w:val="en-US" w:eastAsia="zh-CN" w:bidi="ar-SA"/>
        </w:rPr>
        <w:t>，电子交易系统技术支持电话：0512-58188538，</w:t>
      </w:r>
      <w:r>
        <w:rPr>
          <w:rFonts w:hint="eastAsia" w:ascii="宋体" w:hAnsi="宋体" w:eastAsia="宋体" w:cs="宋体"/>
          <w:spacing w:val="-4"/>
          <w:sz w:val="24"/>
          <w:szCs w:val="24"/>
          <w:lang w:eastAsia="zh-CN"/>
        </w:rPr>
        <w:t>CA数字证书技术支持：https://ggzyjy.nanyang.gov.cn/ptdl/011009/single.html。</w:t>
      </w:r>
    </w:p>
    <w:p w14:paraId="765466B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36AEA1D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31909FC">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57155BBA">
      <w:pPr>
        <w:keepNext w:val="0"/>
        <w:keepLines w:val="0"/>
        <w:pageBreakBefore w:val="0"/>
        <w:widowControl/>
        <w:overflowPunct/>
        <w:topLinePunct w:val="0"/>
        <w:autoSpaceDE w:val="0"/>
        <w:autoSpaceDN w:val="0"/>
        <w:bidi w:val="0"/>
        <w:adjustRightInd w:val="0"/>
        <w:snapToGrid w:val="0"/>
        <w:spacing w:line="400" w:lineRule="exact"/>
        <w:ind w:firstLine="464" w:firstLineChars="200"/>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w:t>
      </w:r>
      <w:r>
        <w:rPr>
          <w:rFonts w:hint="eastAsia" w:ascii="宋体" w:hAnsi="宋体" w:eastAsia="宋体" w:cs="宋体"/>
          <w:sz w:val="24"/>
          <w:szCs w:val="24"/>
        </w:rPr>
        <w:t>全国公共资源交易平台(河南省·南阳市)</w:t>
      </w:r>
      <w:r>
        <w:rPr>
          <w:rFonts w:hint="eastAsia" w:asciiTheme="minorEastAsia" w:hAnsiTheme="minorEastAsia" w:eastAsiaTheme="minorEastAsia" w:cstheme="minorEastAsia"/>
          <w:spacing w:val="-4"/>
          <w:sz w:val="24"/>
          <w:szCs w:val="24"/>
          <w:lang w:eastAsia="zh-CN"/>
        </w:rPr>
        <w:t>“下载专区”中下载。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184115EC">
      <w:pPr>
        <w:keepNext w:val="0"/>
        <w:keepLines w:val="0"/>
        <w:pageBreakBefore w:val="0"/>
        <w:widowControl/>
        <w:shd w:val="clear" w:color="auto" w:fill="FFFFFF"/>
        <w:kinsoku/>
        <w:wordWrap w:val="0"/>
        <w:overflowPunct/>
        <w:topLinePunct w:val="0"/>
        <w:autoSpaceDE w:val="0"/>
        <w:autoSpaceDN w:val="0"/>
        <w:bidi w:val="0"/>
        <w:adjustRightInd w:val="0"/>
        <w:snapToGrid w:val="0"/>
        <w:spacing w:line="400" w:lineRule="exact"/>
        <w:ind w:firstLine="464" w:firstLineChars="200"/>
        <w:jc w:val="both"/>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76D034C7">
      <w:pPr>
        <w:pStyle w:val="23"/>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3D6ECD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85BE72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11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4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分（北</w:t>
      </w:r>
      <w:r>
        <w:rPr>
          <w:rFonts w:hint="eastAsia" w:asciiTheme="minorEastAsia" w:hAnsiTheme="minorEastAsia" w:eastAsiaTheme="minorEastAsia" w:cstheme="minorEastAsia"/>
          <w:spacing w:val="-15"/>
          <w:sz w:val="24"/>
          <w:szCs w:val="24"/>
        </w:rPr>
        <w:t>京时间）。</w:t>
      </w:r>
    </w:p>
    <w:p w14:paraId="656B9AE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16EF1E0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7"/>
          <w:sz w:val="24"/>
          <w:szCs w:val="24"/>
        </w:rPr>
        <w:t>地点</w:t>
      </w:r>
      <w:r>
        <w:rPr>
          <w:rFonts w:hint="eastAsia" w:asciiTheme="minorEastAsia" w:hAnsiTheme="minorEastAsia" w:eastAsiaTheme="minorEastAsia" w:cstheme="minorEastAsia"/>
          <w:spacing w:val="-17"/>
          <w:sz w:val="24"/>
          <w:szCs w:val="24"/>
          <w:lang w:eastAsia="zh-CN"/>
        </w:rPr>
        <w:t>：本项目使用不见面开标，投标人无需前往现场来参与投标。具体操作流程详见南阳市公共资源交易中心下载专区栏发布的南阳不见面开标-操作手册（投标人）。</w:t>
      </w:r>
    </w:p>
    <w:p w14:paraId="03F1B1C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951FCC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5DD37F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15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21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3A3BDBE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61C6C7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5AEC51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highlight w:val="red"/>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highlight w:val="none"/>
        </w:rPr>
        <w:t>本项目采用</w:t>
      </w:r>
      <w:r>
        <w:rPr>
          <w:rFonts w:hint="eastAsia" w:ascii="宋体" w:hAnsi="宋体" w:cs="宋体"/>
          <w:b/>
          <w:bCs/>
          <w:sz w:val="24"/>
          <w:szCs w:val="24"/>
          <w:highlight w:val="none"/>
        </w:rPr>
        <w:t>“暗标”评审</w:t>
      </w:r>
      <w:r>
        <w:rPr>
          <w:rFonts w:hint="eastAsia" w:ascii="宋体" w:hAnsi="宋体" w:cs="宋体"/>
          <w:sz w:val="24"/>
          <w:szCs w:val="24"/>
          <w:highlight w:val="none"/>
        </w:rPr>
        <w:t>。供应商应按照</w:t>
      </w:r>
      <w:r>
        <w:rPr>
          <w:rFonts w:hint="eastAsia" w:cs="宋体"/>
          <w:sz w:val="24"/>
          <w:szCs w:val="24"/>
          <w:highlight w:val="none"/>
          <w:lang w:val="en-US" w:eastAsia="zh-CN"/>
        </w:rPr>
        <w:t>招标</w:t>
      </w:r>
      <w:r>
        <w:rPr>
          <w:rFonts w:hint="eastAsia" w:ascii="宋体" w:hAnsi="宋体" w:cs="宋体"/>
          <w:sz w:val="24"/>
          <w:szCs w:val="24"/>
          <w:highlight w:val="none"/>
        </w:rPr>
        <w:t>文件要求制作投标文件。</w:t>
      </w:r>
    </w:p>
    <w:p w14:paraId="257089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0CDCE95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D5C0BE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5E7A00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名称：</w:t>
      </w:r>
      <w:r>
        <w:rPr>
          <w:rFonts w:hint="eastAsia" w:asciiTheme="minorEastAsia" w:hAnsiTheme="minorEastAsia" w:eastAsiaTheme="minorEastAsia" w:cstheme="minorEastAsia"/>
          <w:color w:val="auto"/>
          <w:spacing w:val="-15"/>
          <w:sz w:val="24"/>
          <w:szCs w:val="24"/>
          <w:lang w:eastAsia="zh-CN"/>
        </w:rPr>
        <w:t>南阳市粮食和物资储备局</w:t>
      </w:r>
    </w:p>
    <w:p w14:paraId="590930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地址：</w:t>
      </w:r>
      <w:r>
        <w:rPr>
          <w:rFonts w:hint="eastAsia" w:asciiTheme="minorEastAsia" w:hAnsiTheme="minorEastAsia" w:eastAsiaTheme="minorEastAsia" w:cstheme="minorEastAsia"/>
          <w:color w:val="auto"/>
          <w:spacing w:val="-15"/>
          <w:sz w:val="24"/>
          <w:szCs w:val="24"/>
          <w:lang w:eastAsia="zh-CN"/>
        </w:rPr>
        <w:t>南阳市人民路</w:t>
      </w:r>
      <w:r>
        <w:rPr>
          <w:rFonts w:hint="eastAsia" w:asciiTheme="minorEastAsia" w:hAnsiTheme="minorEastAsia" w:eastAsiaTheme="minorEastAsia" w:cstheme="minorEastAsia"/>
          <w:color w:val="auto"/>
          <w:spacing w:val="-15"/>
          <w:sz w:val="24"/>
          <w:szCs w:val="24"/>
          <w:lang w:val="en-US" w:eastAsia="zh-CN"/>
        </w:rPr>
        <w:t>175号粮业大厦</w:t>
      </w:r>
    </w:p>
    <w:p w14:paraId="737051F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联系人：张海科</w:t>
      </w:r>
    </w:p>
    <w:p w14:paraId="2063E0F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color w:val="auto"/>
          <w:spacing w:val="-15"/>
          <w:sz w:val="24"/>
          <w:szCs w:val="24"/>
        </w:rPr>
        <w:t>联系方式：</w:t>
      </w:r>
      <w:r>
        <w:rPr>
          <w:rFonts w:hint="eastAsia" w:asciiTheme="minorEastAsia" w:hAnsiTheme="minorEastAsia" w:eastAsiaTheme="minorEastAsia" w:cstheme="minorEastAsia"/>
          <w:color w:val="auto"/>
          <w:spacing w:val="-15"/>
          <w:sz w:val="24"/>
          <w:szCs w:val="24"/>
          <w:lang w:val="en-US" w:eastAsia="zh-CN"/>
        </w:rPr>
        <w:t>16637750253</w:t>
      </w:r>
    </w:p>
    <w:p w14:paraId="65B8BC0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00DDBB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300C1D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19B067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63BBDE9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联系方式：0377-61176178</w:t>
      </w:r>
    </w:p>
    <w:p w14:paraId="6217B45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0E1C31F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1"/>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7C9F6F05">
      <w:pPr>
        <w:pStyle w:val="6"/>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3A9557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780" w:firstLineChars="18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1D16EC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066" w:firstLineChars="19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u w:val="none"/>
          <w:lang w:val="en-US" w:eastAsia="zh-CN"/>
        </w:rPr>
        <w:t xml:space="preserve">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none"/>
          <w:lang w:val="en-US" w:eastAsia="zh-CN"/>
        </w:rPr>
        <w:t xml:space="preserve"> 10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none"/>
          <w:lang w:val="en-US" w:eastAsia="zh-CN"/>
        </w:rPr>
        <w:t xml:space="preserve"> 14</w:t>
      </w:r>
      <w:bookmarkStart w:id="0" w:name="_GoBack"/>
      <w:bookmarkEnd w:id="0"/>
      <w:r>
        <w:rPr>
          <w:rFonts w:hint="eastAsia" w:asciiTheme="minorEastAsia" w:hAnsiTheme="minorEastAsia" w:eastAsiaTheme="minorEastAsia" w:cstheme="minorEastAsia"/>
          <w:spacing w:val="-13"/>
          <w:sz w:val="24"/>
          <w:szCs w:val="24"/>
          <w:u w:val="none"/>
          <w:lang w:val="en-US" w:eastAsia="zh-CN"/>
        </w:rPr>
        <w:t xml:space="preserve"> </w:t>
      </w:r>
      <w:r>
        <w:rPr>
          <w:rFonts w:hint="eastAsia" w:asciiTheme="minorEastAsia" w:hAnsiTheme="minorEastAsia" w:eastAsiaTheme="minorEastAsia" w:cstheme="minorEastAsia"/>
          <w:spacing w:val="-13"/>
          <w:sz w:val="24"/>
          <w:szCs w:val="24"/>
        </w:rPr>
        <w:t>日</w:t>
      </w:r>
    </w:p>
    <w:p w14:paraId="5FD66C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844BD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D286BF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642F5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4A775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765B2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298CC9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ED5FAB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309F4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E2C2A4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55A116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1.采购货物需求一览表</w:t>
      </w:r>
    </w:p>
    <w:tbl>
      <w:tblPr>
        <w:tblStyle w:val="18"/>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14:paraId="1FF7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46" w:hRule="exact"/>
        </w:trPr>
        <w:tc>
          <w:tcPr>
            <w:tcW w:w="1632" w:type="dxa"/>
            <w:shd w:val="clear" w:color="000000" w:fill="FFFFFF"/>
            <w:noWrap w:val="0"/>
            <w:vAlign w:val="center"/>
          </w:tcPr>
          <w:p w14:paraId="77386FF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14:paraId="688B8D1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63330D0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728F0AC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33DB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6DA9A6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855" w:type="dxa"/>
            <w:shd w:val="clear" w:color="000000" w:fill="FFFFFF"/>
            <w:noWrap w:val="0"/>
            <w:vAlign w:val="center"/>
          </w:tcPr>
          <w:p w14:paraId="3CA20D7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军供中心库</w:t>
            </w:r>
          </w:p>
        </w:tc>
        <w:tc>
          <w:tcPr>
            <w:tcW w:w="1365" w:type="dxa"/>
            <w:shd w:val="clear" w:color="000000" w:fill="FFFFFF"/>
            <w:noWrap w:val="0"/>
            <w:vAlign w:val="center"/>
          </w:tcPr>
          <w:p w14:paraId="5BAEA96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21ACC7B3">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7B12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1C5B453F">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3855" w:type="dxa"/>
            <w:shd w:val="clear" w:color="000000" w:fill="FFFFFF"/>
            <w:noWrap w:val="0"/>
            <w:vAlign w:val="center"/>
          </w:tcPr>
          <w:p w14:paraId="794137E0">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建设路库</w:t>
            </w:r>
          </w:p>
        </w:tc>
        <w:tc>
          <w:tcPr>
            <w:tcW w:w="1365" w:type="dxa"/>
            <w:shd w:val="clear" w:color="000000" w:fill="FFFFFF"/>
            <w:noWrap w:val="0"/>
            <w:vAlign w:val="center"/>
          </w:tcPr>
          <w:p w14:paraId="7683E0A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73E063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6EA8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78548E3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3855" w:type="dxa"/>
            <w:shd w:val="clear" w:color="000000" w:fill="FFFFFF"/>
            <w:noWrap w:val="0"/>
            <w:vAlign w:val="center"/>
          </w:tcPr>
          <w:p w14:paraId="61C84A6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油脂库</w:t>
            </w:r>
          </w:p>
        </w:tc>
        <w:tc>
          <w:tcPr>
            <w:tcW w:w="1365" w:type="dxa"/>
            <w:shd w:val="clear" w:color="000000" w:fill="FFFFFF"/>
            <w:noWrap w:val="0"/>
            <w:vAlign w:val="center"/>
          </w:tcPr>
          <w:p w14:paraId="16E9131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53FB8F15">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r w14:paraId="68BD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5503FFC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3855" w:type="dxa"/>
            <w:shd w:val="clear" w:color="000000" w:fill="FFFFFF"/>
            <w:noWrap w:val="0"/>
            <w:vAlign w:val="center"/>
          </w:tcPr>
          <w:p w14:paraId="2984CF0E">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嘉升库</w:t>
            </w:r>
          </w:p>
        </w:tc>
        <w:tc>
          <w:tcPr>
            <w:tcW w:w="1365" w:type="dxa"/>
            <w:shd w:val="clear" w:color="000000" w:fill="FFFFFF"/>
            <w:noWrap w:val="0"/>
            <w:vAlign w:val="center"/>
          </w:tcPr>
          <w:p w14:paraId="4E214BE2">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17CCC8C9">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r w14:paraId="5B2F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36E404F7">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3855" w:type="dxa"/>
            <w:shd w:val="clear" w:color="000000" w:fill="FFFFFF"/>
            <w:noWrap w:val="0"/>
            <w:vAlign w:val="center"/>
          </w:tcPr>
          <w:p w14:paraId="1856104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系统监控中心</w:t>
            </w:r>
          </w:p>
        </w:tc>
        <w:tc>
          <w:tcPr>
            <w:tcW w:w="1365" w:type="dxa"/>
            <w:shd w:val="clear" w:color="000000" w:fill="FFFFFF"/>
            <w:noWrap w:val="0"/>
            <w:vAlign w:val="center"/>
          </w:tcPr>
          <w:p w14:paraId="7727FAC4">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套</w:t>
            </w:r>
          </w:p>
        </w:tc>
        <w:tc>
          <w:tcPr>
            <w:tcW w:w="1323" w:type="dxa"/>
            <w:shd w:val="clear" w:color="000000" w:fill="FFFFFF"/>
            <w:noWrap w:val="0"/>
            <w:vAlign w:val="center"/>
          </w:tcPr>
          <w:p w14:paraId="0F6D862C">
            <w:pPr>
              <w:keepNext w:val="0"/>
              <w:keepLines w:val="0"/>
              <w:pageBreakBefore w:val="0"/>
              <w:widowControl/>
              <w:tabs>
                <w:tab w:val="left" w:pos="0"/>
              </w:tabs>
              <w:kinsoku/>
              <w:wordWrap w:val="0"/>
              <w:overflowPunct/>
              <w:topLinePunct w:val="0"/>
              <w:autoSpaceDE w:val="0"/>
              <w:autoSpaceDN w:val="0"/>
              <w:bidi w:val="0"/>
              <w:adjustRightInd w:val="0"/>
              <w:snapToGrid w:val="0"/>
              <w:spacing w:line="360" w:lineRule="auto"/>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1</w:t>
            </w:r>
          </w:p>
        </w:tc>
      </w:tr>
    </w:tbl>
    <w:p w14:paraId="4D42272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2.货物技术要求</w:t>
      </w:r>
    </w:p>
    <w:tbl>
      <w:tblPr>
        <w:tblStyle w:val="18"/>
        <w:tblW w:w="9450" w:type="dxa"/>
        <w:jc w:val="center"/>
        <w:tblLayout w:type="fixed"/>
        <w:tblCellMar>
          <w:top w:w="32" w:type="dxa"/>
          <w:left w:w="64" w:type="dxa"/>
          <w:bottom w:w="32" w:type="dxa"/>
          <w:right w:w="64" w:type="dxa"/>
        </w:tblCellMar>
      </w:tblPr>
      <w:tblGrid>
        <w:gridCol w:w="648"/>
        <w:gridCol w:w="1687"/>
        <w:gridCol w:w="5171"/>
        <w:gridCol w:w="648"/>
        <w:gridCol w:w="648"/>
        <w:gridCol w:w="648"/>
      </w:tblGrid>
      <w:tr w14:paraId="1FB92836">
        <w:tblPrEx>
          <w:tblCellMar>
            <w:top w:w="32" w:type="dxa"/>
            <w:left w:w="64" w:type="dxa"/>
            <w:bottom w:w="32" w:type="dxa"/>
            <w:right w:w="64" w:type="dxa"/>
          </w:tblCellMar>
        </w:tblPrEx>
        <w:trPr>
          <w:trHeight w:val="0" w:hRule="atLeast"/>
          <w:tblHeader/>
          <w:jc w:val="center"/>
        </w:trPr>
        <w:tc>
          <w:tcPr>
            <w:tcW w:w="648" w:type="dxa"/>
            <w:tcBorders>
              <w:top w:val="single" w:color="000000" w:sz="4" w:space="0"/>
              <w:left w:val="single" w:color="000000" w:sz="4" w:space="0"/>
              <w:bottom w:val="nil"/>
              <w:right w:val="single" w:color="000000" w:sz="4" w:space="0"/>
            </w:tcBorders>
            <w:vAlign w:val="center"/>
          </w:tcPr>
          <w:p w14:paraId="2C6F893A">
            <w:pPr>
              <w:widowControl/>
              <w:snapToGrid w:val="0"/>
              <w:jc w:val="center"/>
              <w:textAlignment w:val="center"/>
              <w:rPr>
                <w:rFonts w:hint="eastAsia" w:ascii="宋体" w:hAnsi="宋体" w:eastAsia="宋体" w:cs="宋体"/>
                <w:b/>
                <w:color w:val="000000"/>
                <w:sz w:val="20"/>
                <w:szCs w:val="20"/>
                <w:lang w:eastAsia="zh-CN"/>
              </w:rPr>
            </w:pPr>
            <w:r>
              <w:rPr>
                <w:rFonts w:hint="eastAsia" w:ascii="宋体" w:hAnsi="宋体" w:eastAsia="宋体" w:cs="宋体"/>
                <w:b/>
                <w:color w:val="000000"/>
                <w:kern w:val="0"/>
                <w:sz w:val="20"/>
                <w:szCs w:val="20"/>
                <w:lang w:eastAsia="zh-CN" w:bidi="ar"/>
              </w:rPr>
              <w:t>序号</w:t>
            </w:r>
          </w:p>
        </w:tc>
        <w:tc>
          <w:tcPr>
            <w:tcW w:w="1687" w:type="dxa"/>
            <w:tcBorders>
              <w:top w:val="single" w:color="000000" w:sz="4" w:space="0"/>
              <w:left w:val="single" w:color="000000" w:sz="4" w:space="0"/>
              <w:bottom w:val="nil"/>
              <w:right w:val="single" w:color="000000" w:sz="4" w:space="0"/>
            </w:tcBorders>
            <w:vAlign w:val="center"/>
          </w:tcPr>
          <w:p w14:paraId="6BD5636F">
            <w:pPr>
              <w:widowControl/>
              <w:snapToGrid w:val="0"/>
              <w:jc w:val="center"/>
              <w:textAlignment w:val="center"/>
              <w:rPr>
                <w:rFonts w:hint="eastAsia" w:ascii="宋体" w:hAnsi="宋体" w:eastAsia="宋体" w:cs="宋体"/>
                <w:b/>
                <w:color w:val="000000"/>
                <w:sz w:val="20"/>
                <w:szCs w:val="20"/>
                <w:lang w:eastAsia="zh-CN"/>
              </w:rPr>
            </w:pPr>
            <w:r>
              <w:rPr>
                <w:rFonts w:hint="eastAsia" w:ascii="宋体" w:hAnsi="宋体" w:eastAsia="宋体" w:cs="宋体"/>
                <w:b/>
                <w:color w:val="000000"/>
                <w:kern w:val="0"/>
                <w:sz w:val="20"/>
                <w:szCs w:val="20"/>
                <w:lang w:eastAsia="zh-CN" w:bidi="ar"/>
              </w:rPr>
              <w:t>设备名称</w:t>
            </w:r>
          </w:p>
        </w:tc>
        <w:tc>
          <w:tcPr>
            <w:tcW w:w="5171" w:type="dxa"/>
            <w:tcBorders>
              <w:top w:val="single" w:color="000000" w:sz="4" w:space="0"/>
              <w:left w:val="single" w:color="000000" w:sz="4" w:space="0"/>
              <w:bottom w:val="nil"/>
              <w:right w:val="single" w:color="000000" w:sz="4" w:space="0"/>
            </w:tcBorders>
            <w:vAlign w:val="center"/>
          </w:tcPr>
          <w:p w14:paraId="2558D682">
            <w:pPr>
              <w:widowControl/>
              <w:snapToGrid w:val="0"/>
              <w:jc w:val="center"/>
              <w:textAlignment w:val="center"/>
              <w:rPr>
                <w:rFonts w:hint="eastAsia" w:ascii="宋体" w:hAnsi="宋体" w:eastAsia="宋体" w:cs="宋体"/>
                <w:b/>
                <w:color w:val="000000"/>
                <w:sz w:val="20"/>
                <w:szCs w:val="20"/>
                <w:lang w:eastAsia="zh-CN"/>
              </w:rPr>
            </w:pPr>
            <w:r>
              <w:rPr>
                <w:rFonts w:hint="eastAsia" w:ascii="宋体" w:hAnsi="宋体" w:eastAsia="宋体" w:cs="宋体"/>
                <w:b/>
                <w:color w:val="000000"/>
                <w:kern w:val="0"/>
                <w:sz w:val="20"/>
                <w:szCs w:val="20"/>
                <w:lang w:eastAsia="zh-CN" w:bidi="ar"/>
              </w:rPr>
              <w:t>参数要求</w:t>
            </w:r>
          </w:p>
        </w:tc>
        <w:tc>
          <w:tcPr>
            <w:tcW w:w="648" w:type="dxa"/>
            <w:tcBorders>
              <w:top w:val="single" w:color="000000" w:sz="4" w:space="0"/>
              <w:left w:val="single" w:color="000000" w:sz="4" w:space="0"/>
              <w:bottom w:val="nil"/>
              <w:right w:val="single" w:color="000000" w:sz="4" w:space="0"/>
            </w:tcBorders>
            <w:vAlign w:val="center"/>
          </w:tcPr>
          <w:p w14:paraId="74E05815">
            <w:pPr>
              <w:widowControl/>
              <w:snapToGrid w:val="0"/>
              <w:jc w:val="center"/>
              <w:textAlignment w:val="center"/>
              <w:rPr>
                <w:rFonts w:hint="eastAsia" w:ascii="宋体" w:hAnsi="宋体" w:eastAsia="宋体" w:cs="宋体"/>
                <w:b/>
                <w:color w:val="000000"/>
                <w:sz w:val="20"/>
                <w:szCs w:val="20"/>
                <w:lang w:eastAsia="zh-CN"/>
              </w:rPr>
            </w:pPr>
            <w:r>
              <w:rPr>
                <w:rFonts w:hint="eastAsia" w:ascii="宋体" w:hAnsi="宋体" w:eastAsia="宋体" w:cs="宋体"/>
                <w:b/>
                <w:color w:val="000000"/>
                <w:kern w:val="0"/>
                <w:sz w:val="20"/>
                <w:szCs w:val="20"/>
                <w:lang w:eastAsia="zh-CN" w:bidi="ar"/>
              </w:rPr>
              <w:t>单位</w:t>
            </w:r>
          </w:p>
        </w:tc>
        <w:tc>
          <w:tcPr>
            <w:tcW w:w="648" w:type="dxa"/>
            <w:tcBorders>
              <w:top w:val="single" w:color="000000" w:sz="4" w:space="0"/>
              <w:left w:val="single" w:color="000000" w:sz="4" w:space="0"/>
              <w:bottom w:val="nil"/>
              <w:right w:val="single" w:color="000000" w:sz="4" w:space="0"/>
            </w:tcBorders>
            <w:vAlign w:val="center"/>
          </w:tcPr>
          <w:p w14:paraId="2E680478">
            <w:pPr>
              <w:widowControl/>
              <w:snapToGrid w:val="0"/>
              <w:jc w:val="center"/>
              <w:textAlignment w:val="center"/>
              <w:rPr>
                <w:rFonts w:hint="eastAsia" w:ascii="宋体" w:hAnsi="宋体" w:eastAsia="宋体" w:cs="宋体"/>
                <w:b/>
                <w:color w:val="000000"/>
                <w:sz w:val="20"/>
                <w:szCs w:val="20"/>
                <w:lang w:eastAsia="zh-CN"/>
              </w:rPr>
            </w:pPr>
            <w:r>
              <w:rPr>
                <w:rFonts w:hint="eastAsia" w:ascii="宋体" w:hAnsi="宋体" w:eastAsia="宋体" w:cs="宋体"/>
                <w:b/>
                <w:color w:val="000000"/>
                <w:kern w:val="0"/>
                <w:sz w:val="20"/>
                <w:szCs w:val="20"/>
                <w:lang w:eastAsia="zh-CN" w:bidi="ar"/>
              </w:rPr>
              <w:t>数量</w:t>
            </w:r>
          </w:p>
        </w:tc>
        <w:tc>
          <w:tcPr>
            <w:tcW w:w="648" w:type="dxa"/>
            <w:tcBorders>
              <w:top w:val="single" w:color="000000" w:sz="4" w:space="0"/>
              <w:left w:val="single" w:color="000000" w:sz="4" w:space="0"/>
              <w:bottom w:val="nil"/>
              <w:right w:val="single" w:color="000000" w:sz="4" w:space="0"/>
            </w:tcBorders>
            <w:vAlign w:val="center"/>
          </w:tcPr>
          <w:p w14:paraId="63B2FF8C">
            <w:pPr>
              <w:widowControl/>
              <w:snapToGrid w:val="0"/>
              <w:jc w:val="center"/>
              <w:textAlignment w:val="center"/>
              <w:rPr>
                <w:rFonts w:hint="eastAsia" w:ascii="宋体" w:hAnsi="宋体" w:eastAsia="宋体" w:cs="宋体"/>
                <w:b/>
                <w:color w:val="000000"/>
                <w:sz w:val="20"/>
                <w:szCs w:val="20"/>
                <w:lang w:eastAsia="zh-CN"/>
              </w:rPr>
            </w:pPr>
            <w:r>
              <w:rPr>
                <w:rFonts w:hint="eastAsia" w:ascii="宋体" w:hAnsi="宋体" w:eastAsia="宋体" w:cs="宋体"/>
                <w:b/>
                <w:color w:val="000000"/>
                <w:kern w:val="0"/>
                <w:sz w:val="20"/>
                <w:szCs w:val="20"/>
                <w:lang w:eastAsia="zh-CN" w:bidi="ar"/>
              </w:rPr>
              <w:t>备注</w:t>
            </w:r>
          </w:p>
        </w:tc>
      </w:tr>
      <w:tr w14:paraId="6D0A3067">
        <w:tblPrEx>
          <w:tblCellMar>
            <w:top w:w="32" w:type="dxa"/>
            <w:left w:w="64" w:type="dxa"/>
            <w:bottom w:w="32" w:type="dxa"/>
            <w:right w:w="64" w:type="dxa"/>
          </w:tblCellMar>
        </w:tblPrEx>
        <w:trPr>
          <w:trHeight w:val="0" w:hRule="atLeast"/>
          <w:jc w:val="center"/>
        </w:trPr>
        <w:tc>
          <w:tcPr>
            <w:tcW w:w="9450" w:type="dxa"/>
            <w:gridSpan w:val="6"/>
            <w:tcBorders>
              <w:top w:val="single" w:color="000000" w:sz="4" w:space="0"/>
              <w:left w:val="single" w:color="000000" w:sz="4" w:space="0"/>
              <w:bottom w:val="single" w:color="000000" w:sz="4" w:space="0"/>
              <w:right w:val="single" w:color="000000" w:sz="4" w:space="0"/>
            </w:tcBorders>
            <w:shd w:val="clear" w:color="auto" w:fill="D0CECE"/>
            <w:vAlign w:val="center"/>
          </w:tcPr>
          <w:p w14:paraId="587F282C">
            <w:pPr>
              <w:widowControl/>
              <w:snapToGrid w:val="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一、军供中心库</w:t>
            </w:r>
          </w:p>
        </w:tc>
      </w:tr>
      <w:tr w14:paraId="4CF4FE0A">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1E9AA94B">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687" w:type="dxa"/>
            <w:tcBorders>
              <w:top w:val="single" w:color="000000" w:sz="4" w:space="0"/>
              <w:left w:val="single" w:color="000000" w:sz="4" w:space="0"/>
              <w:bottom w:val="single" w:color="000000" w:sz="4" w:space="0"/>
              <w:right w:val="single" w:color="000000" w:sz="4" w:space="0"/>
            </w:tcBorders>
            <w:vAlign w:val="center"/>
          </w:tcPr>
          <w:p w14:paraId="321A16D4">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仓内一体化防熏蒸球型云台摄像机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6ACC2C32">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 摄像机靶面尺寸不小于1/2.8英寸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视频分辨率与帧率不小于1920 × 1080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内置GPU芯片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支持25倍光学变倍，镜头最大焦距不小于120mm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支持白光、红外灯混合补光，在夜晚低照度环境下开启白光补光灯可识别30m出的人体轮廓，关闭白光补光灯可呈现黑白图像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最低照度可达彩色0.005 lx，黑白0.001 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当智能行为分析设置为区域入侵、越界入侵侦测、进入区域侦测、离开区域侦测、快速移动侦测时，可以对人、车、自行车、电瓶车、摩托车、三轮车等进行检测;样机支持行为分析触发后联动聚焦、联动目标跟踪、报警上传，上传FTP，发送邮件，联动录像，辅助输出等多种报警触发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★可响应平台下发的获取可视域信息指令 并可上传显示设备视场角、可视距离、安装位置、镜头指向方位等信息。其中样机视场角、可视距离能够随着样机镜头变倍而变化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水平旋转范围为360°连续旋转，垂直旋转范围为-15°~90°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支持2路报警输入，1路报警输出，支持1路音频输入和1路音频输出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 需要满足NEMA 4X、WF2、C5-M要求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需支持IP67防尘防水。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 设备需满足防熏蒸需求 </w:t>
            </w:r>
          </w:p>
        </w:tc>
        <w:tc>
          <w:tcPr>
            <w:tcW w:w="648" w:type="dxa"/>
            <w:tcBorders>
              <w:top w:val="single" w:color="000000" w:sz="4" w:space="0"/>
              <w:left w:val="single" w:color="000000" w:sz="4" w:space="0"/>
              <w:bottom w:val="single" w:color="000000" w:sz="4" w:space="0"/>
              <w:right w:val="single" w:color="000000" w:sz="4" w:space="0"/>
            </w:tcBorders>
            <w:vAlign w:val="center"/>
          </w:tcPr>
          <w:p w14:paraId="05F4FD8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6729FED7">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vAlign w:val="center"/>
          </w:tcPr>
          <w:p w14:paraId="2AD14EBB">
            <w:pPr>
              <w:snapToGrid w:val="0"/>
              <w:jc w:val="center"/>
              <w:rPr>
                <w:rFonts w:hint="eastAsia" w:ascii="宋体" w:hAnsi="宋体" w:eastAsia="宋体" w:cs="宋体"/>
                <w:color w:val="000000"/>
                <w:sz w:val="20"/>
                <w:szCs w:val="20"/>
              </w:rPr>
            </w:pPr>
          </w:p>
        </w:tc>
      </w:tr>
      <w:tr w14:paraId="2EC8D2D6">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66539218">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1687" w:type="dxa"/>
            <w:tcBorders>
              <w:top w:val="single" w:color="000000" w:sz="4" w:space="0"/>
              <w:left w:val="single" w:color="000000" w:sz="4" w:space="0"/>
              <w:bottom w:val="single" w:color="000000" w:sz="4" w:space="0"/>
              <w:right w:val="single" w:color="000000" w:sz="4" w:space="0"/>
            </w:tcBorders>
            <w:vAlign w:val="center"/>
          </w:tcPr>
          <w:p w14:paraId="77667ED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枪机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207EF37D">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分辨率设置为2560×1440@25fps，分辨力不小于1400TVL。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内置2.7~13.5mm镜头，支持电动变焦。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最低照度彩色不大于0.0002lx，黑白不大于0.0001lx。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同一静止场景相同图像质量下，设备在H.265编码方式时，开启智能编码功能和不开启智能编码相比，码率节约≥80%。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需具备智能分析抗干扰功能，当篮球、小狗、树摇晃等情况经过检测区域时，不会触发报警。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支持捕获、识别新能源汽车专用号牌。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信噪比不小于60dB。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在分辨率1920x1080@25fps，延时不大于70ms。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具备4颗补光灯，灯杯为鳞片状，补光灯开启后，正面不可见补光灯灯珠。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当补光灯打开时，补光亮度均匀，无波纹状、圆环状、麻点状、条纹状及不规则亮斑。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内置2个麦克风、1个扬声器。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具有1个RS485接口、1个报警输入接口、1个报警输出接口、1个音频输入接口、1个音频输出接口。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需支持IP67防尘防水。</w:t>
            </w:r>
          </w:p>
        </w:tc>
        <w:tc>
          <w:tcPr>
            <w:tcW w:w="648" w:type="dxa"/>
            <w:tcBorders>
              <w:top w:val="single" w:color="000000" w:sz="4" w:space="0"/>
              <w:left w:val="single" w:color="000000" w:sz="4" w:space="0"/>
              <w:bottom w:val="single" w:color="000000" w:sz="4" w:space="0"/>
              <w:right w:val="single" w:color="000000" w:sz="4" w:space="0"/>
            </w:tcBorders>
            <w:vAlign w:val="center"/>
          </w:tcPr>
          <w:p w14:paraId="344EF1F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4C5E2E29">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8</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034282D">
            <w:pPr>
              <w:snapToGrid w:val="0"/>
              <w:jc w:val="center"/>
              <w:rPr>
                <w:rFonts w:hint="eastAsia" w:ascii="宋体" w:hAnsi="宋体" w:eastAsia="宋体" w:cs="宋体"/>
                <w:color w:val="000000"/>
                <w:sz w:val="20"/>
                <w:szCs w:val="22"/>
              </w:rPr>
            </w:pPr>
          </w:p>
        </w:tc>
      </w:tr>
      <w:tr w14:paraId="6A18C90E">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7004D45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687" w:type="dxa"/>
            <w:tcBorders>
              <w:top w:val="single" w:color="000000" w:sz="4" w:space="0"/>
              <w:left w:val="single" w:color="000000" w:sz="4" w:space="0"/>
              <w:bottom w:val="single" w:color="000000" w:sz="4" w:space="0"/>
              <w:right w:val="single" w:color="000000" w:sz="4" w:space="0"/>
            </w:tcBorders>
            <w:vAlign w:val="center"/>
          </w:tcPr>
          <w:p w14:paraId="1A77B165">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硬盘录像机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2E7F6A29">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具有2个HDMI接口、2个VGA接口、2个RJ45 千兆网络接口；2个USB2.0接口、2个USB3.0接口、1个RS232接口、1个RS485接口（可接入RS485键盘）、1个eSata接口、1个CVBS接口；具有1路音频输入接口、2路音频输出接口、16路报警输入接口、4路报警输出接口、可内置9块SATA3.0接口硬盘。可选配报警板：增加5路报警输出（5-9路ALARM OUT）及1路直流12V输出接口（12V1A）;且第9路报警输出支持受控直流12V输出。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支持最大接入带宽320Mbps，最大存储带宽320Mbps，最大转发带宽256Mbps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可同时解码输出32路2MP、H.265编码、25fps、1920×1080格式的视频图像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支持4通道输出，包括HDMI1、HDMI2、VGA1、VGA2，各输出口均支持显示系统主菜单，且每路均可分别进行预览、回放、配置等操作；HDMI1和HDMI2支持同时4K（4096×2160）异源输出，单个HDMI接口最大支持8K（7680×4320）输出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可设置输出分辨率为1024×768/60Hz、1280×720/60Hz、1280×1024/60Hz、1600×1200/60Hz、1920×1080/60Hz、2560×1440/60Hz、4K(3840×2160)/30Hz、4K(3840×2160)/60Hz、4K(4096×2160)/30Hz、8K（7680×4320)/30Hz选项。可自适应显示器的最佳分辨率进行图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支持报警事件、异常事件计数提醒功能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支持4路视频流人脸识别，支持24路图片流人脸识别。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★人脸库建模成功率不低于 99.99%。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★支持32路人脸以图搜图，可从外部、人脸库、人脸检索结果、人员频次分析结果导入最多10张人脸样本照片并设置相似度（0～100）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★可接入非智能IPC、人脸抓拍机、客流相机实现客流统计功能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11、含1块6T监控专用硬盘</w:t>
            </w:r>
          </w:p>
        </w:tc>
        <w:tc>
          <w:tcPr>
            <w:tcW w:w="648" w:type="dxa"/>
            <w:tcBorders>
              <w:top w:val="single" w:color="000000" w:sz="4" w:space="0"/>
              <w:left w:val="single" w:color="000000" w:sz="4" w:space="0"/>
              <w:bottom w:val="single" w:color="000000" w:sz="4" w:space="0"/>
              <w:right w:val="single" w:color="000000" w:sz="4" w:space="0"/>
            </w:tcBorders>
            <w:vAlign w:val="center"/>
          </w:tcPr>
          <w:p w14:paraId="35630707">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4F128065">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648" w:type="dxa"/>
            <w:tcBorders>
              <w:top w:val="single" w:color="000000" w:sz="4" w:space="0"/>
              <w:left w:val="single" w:color="000000" w:sz="4" w:space="0"/>
              <w:bottom w:val="single" w:color="000000" w:sz="4" w:space="0"/>
              <w:right w:val="single" w:color="000000" w:sz="4" w:space="0"/>
            </w:tcBorders>
            <w:vAlign w:val="center"/>
          </w:tcPr>
          <w:p w14:paraId="754C8074">
            <w:pPr>
              <w:snapToGrid w:val="0"/>
              <w:jc w:val="center"/>
              <w:rPr>
                <w:rFonts w:hint="eastAsia" w:ascii="宋体" w:hAnsi="宋体" w:eastAsia="宋体" w:cs="宋体"/>
                <w:color w:val="000000"/>
                <w:sz w:val="20"/>
                <w:szCs w:val="18"/>
              </w:rPr>
            </w:pPr>
          </w:p>
        </w:tc>
      </w:tr>
      <w:tr w14:paraId="0D23D216">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7F1855C4">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687" w:type="dxa"/>
            <w:tcBorders>
              <w:top w:val="single" w:color="000000" w:sz="4" w:space="0"/>
              <w:left w:val="single" w:color="000000" w:sz="4" w:space="0"/>
              <w:bottom w:val="single" w:color="000000" w:sz="4" w:space="0"/>
              <w:right w:val="single" w:color="000000" w:sz="4" w:space="0"/>
            </w:tcBorders>
            <w:vAlign w:val="center"/>
          </w:tcPr>
          <w:p w14:paraId="6E506C94">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室外摄像机立杆</w:t>
            </w:r>
          </w:p>
        </w:tc>
        <w:tc>
          <w:tcPr>
            <w:tcW w:w="5171" w:type="dxa"/>
            <w:tcBorders>
              <w:top w:val="single" w:color="000000" w:sz="4" w:space="0"/>
              <w:left w:val="single" w:color="000000" w:sz="4" w:space="0"/>
              <w:bottom w:val="single" w:color="000000" w:sz="4" w:space="0"/>
              <w:right w:val="single" w:color="000000" w:sz="4" w:space="0"/>
            </w:tcBorders>
            <w:vAlign w:val="center"/>
          </w:tcPr>
          <w:p w14:paraId="71837442">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5米监控专用杆</w:t>
            </w:r>
          </w:p>
        </w:tc>
        <w:tc>
          <w:tcPr>
            <w:tcW w:w="648" w:type="dxa"/>
            <w:tcBorders>
              <w:top w:val="single" w:color="000000" w:sz="4" w:space="0"/>
              <w:left w:val="single" w:color="000000" w:sz="4" w:space="0"/>
              <w:bottom w:val="single" w:color="000000" w:sz="4" w:space="0"/>
              <w:right w:val="single" w:color="000000" w:sz="4" w:space="0"/>
            </w:tcBorders>
            <w:vAlign w:val="center"/>
          </w:tcPr>
          <w:p w14:paraId="0AF88FF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648" w:type="dxa"/>
            <w:tcBorders>
              <w:top w:val="single" w:color="000000" w:sz="4" w:space="0"/>
              <w:left w:val="single" w:color="000000" w:sz="4" w:space="0"/>
              <w:bottom w:val="single" w:color="000000" w:sz="4" w:space="0"/>
              <w:right w:val="single" w:color="000000" w:sz="4" w:space="0"/>
            </w:tcBorders>
            <w:vAlign w:val="center"/>
          </w:tcPr>
          <w:p w14:paraId="466C3592">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2</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0D21399E">
            <w:pPr>
              <w:snapToGrid w:val="0"/>
              <w:jc w:val="center"/>
              <w:rPr>
                <w:rFonts w:hint="eastAsia" w:ascii="宋体" w:hAnsi="宋体" w:eastAsia="宋体" w:cs="宋体"/>
                <w:color w:val="000000"/>
                <w:sz w:val="20"/>
                <w:szCs w:val="22"/>
              </w:rPr>
            </w:pPr>
          </w:p>
        </w:tc>
      </w:tr>
      <w:tr w14:paraId="1663A425">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23E06419">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5</w:t>
            </w:r>
          </w:p>
        </w:tc>
        <w:tc>
          <w:tcPr>
            <w:tcW w:w="1687" w:type="dxa"/>
            <w:tcBorders>
              <w:top w:val="single" w:color="000000" w:sz="4" w:space="0"/>
              <w:left w:val="single" w:color="000000" w:sz="4" w:space="0"/>
              <w:bottom w:val="single" w:color="000000" w:sz="4" w:space="0"/>
              <w:right w:val="single" w:color="000000" w:sz="4" w:space="0"/>
            </w:tcBorders>
            <w:vAlign w:val="center"/>
          </w:tcPr>
          <w:p w14:paraId="4B22D8D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补光灯</w:t>
            </w:r>
          </w:p>
        </w:tc>
        <w:tc>
          <w:tcPr>
            <w:tcW w:w="5171" w:type="dxa"/>
            <w:tcBorders>
              <w:top w:val="single" w:color="000000" w:sz="4" w:space="0"/>
              <w:left w:val="single" w:color="000000" w:sz="4" w:space="0"/>
              <w:bottom w:val="single" w:color="000000" w:sz="4" w:space="0"/>
              <w:right w:val="single" w:color="000000" w:sz="4" w:space="0"/>
            </w:tcBorders>
            <w:vAlign w:val="center"/>
          </w:tcPr>
          <w:p w14:paraId="126248DF">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色温：</w:t>
            </w:r>
            <w:r>
              <w:rPr>
                <w:rStyle w:val="34"/>
                <w:rFonts w:ascii="宋体" w:eastAsia="宋体"/>
                <w:sz w:val="20"/>
                <w:lang w:val="en-US" w:eastAsia="zh-CN" w:bidi="ar"/>
              </w:rPr>
              <w:t>5000K~7000K</w:t>
            </w:r>
            <w:r>
              <w:rPr>
                <w:rStyle w:val="34"/>
                <w:rFonts w:ascii="宋体" w:eastAsia="宋体"/>
                <w:sz w:val="20"/>
                <w:lang w:val="en-US" w:eastAsia="zh-CN" w:bidi="ar"/>
              </w:rPr>
              <w:br w:type="textWrapping"/>
            </w:r>
            <w:r>
              <w:rPr>
                <w:rStyle w:val="34"/>
                <w:rFonts w:ascii="宋体" w:eastAsia="宋体"/>
                <w:sz w:val="20"/>
                <w:lang w:val="en-US" w:eastAsia="zh-CN" w:bidi="ar"/>
              </w:rPr>
              <w:t>最佳补光距离：16m～25m</w:t>
            </w:r>
            <w:r>
              <w:rPr>
                <w:rStyle w:val="34"/>
                <w:rFonts w:ascii="宋体" w:eastAsia="宋体"/>
                <w:sz w:val="20"/>
                <w:lang w:val="en-US" w:eastAsia="zh-CN" w:bidi="ar"/>
              </w:rPr>
              <w:br w:type="textWrapping"/>
            </w:r>
            <w:r>
              <w:rPr>
                <w:rStyle w:val="34"/>
                <w:rFonts w:ascii="宋体" w:eastAsia="宋体"/>
                <w:sz w:val="20"/>
                <w:lang w:val="en-US" w:eastAsia="zh-CN" w:bidi="ar"/>
              </w:rPr>
              <w:t>发光角度：40°</w:t>
            </w:r>
            <w:r>
              <w:rPr>
                <w:rStyle w:val="34"/>
                <w:rFonts w:ascii="宋体" w:eastAsia="宋体"/>
                <w:sz w:val="20"/>
                <w:lang w:val="en-US" w:eastAsia="zh-CN" w:bidi="ar"/>
              </w:rPr>
              <w:br w:type="textWrapping"/>
            </w:r>
            <w:r>
              <w:rPr>
                <w:rStyle w:val="34"/>
                <w:rFonts w:ascii="宋体" w:eastAsia="宋体"/>
                <w:sz w:val="20"/>
                <w:lang w:val="en-US" w:eastAsia="zh-CN" w:bidi="ar"/>
              </w:rPr>
              <w:t>光源类型：原装进口大功率白光LED</w:t>
            </w:r>
            <w:r>
              <w:rPr>
                <w:rStyle w:val="34"/>
                <w:rFonts w:ascii="宋体" w:eastAsia="宋体"/>
                <w:sz w:val="20"/>
                <w:lang w:val="en-US" w:eastAsia="zh-CN" w:bidi="ar"/>
              </w:rPr>
              <w:br w:type="textWrapping"/>
            </w:r>
            <w:r>
              <w:rPr>
                <w:rStyle w:val="34"/>
                <w:rFonts w:ascii="宋体" w:eastAsia="宋体"/>
                <w:sz w:val="20"/>
                <w:lang w:val="en-US" w:eastAsia="zh-CN" w:bidi="ar"/>
              </w:rPr>
              <w:t>LED灯珠数量：16颗</w:t>
            </w:r>
            <w:r>
              <w:rPr>
                <w:rStyle w:val="34"/>
                <w:rFonts w:ascii="宋体" w:eastAsia="宋体"/>
                <w:sz w:val="20"/>
                <w:lang w:val="en-US" w:eastAsia="zh-CN" w:bidi="ar"/>
              </w:rPr>
              <w:br w:type="textWrapping"/>
            </w:r>
            <w:r>
              <w:rPr>
                <w:rStyle w:val="34"/>
                <w:rFonts w:ascii="宋体" w:eastAsia="宋体"/>
                <w:sz w:val="20"/>
                <w:lang w:val="en-US" w:eastAsia="zh-CN" w:bidi="ar"/>
              </w:rPr>
              <w:t>响应时间：≤20us</w:t>
            </w:r>
            <w:r>
              <w:rPr>
                <w:rStyle w:val="34"/>
                <w:rFonts w:ascii="宋体" w:eastAsia="宋体"/>
                <w:sz w:val="20"/>
                <w:lang w:val="en-US" w:eastAsia="zh-CN" w:bidi="ar"/>
              </w:rPr>
              <w:br w:type="textWrapping"/>
            </w:r>
            <w:r>
              <w:rPr>
                <w:rStyle w:val="34"/>
                <w:rFonts w:ascii="宋体" w:eastAsia="宋体"/>
                <w:sz w:val="20"/>
                <w:lang w:val="en-US" w:eastAsia="zh-CN" w:bidi="ar"/>
              </w:rPr>
              <w:t xml:space="preserve">日夜功能：支持环境亮度检测，低照度下自动开启 </w:t>
            </w:r>
            <w:r>
              <w:rPr>
                <w:rStyle w:val="34"/>
                <w:rFonts w:ascii="宋体" w:eastAsia="宋体"/>
                <w:sz w:val="20"/>
                <w:lang w:val="en-US" w:eastAsia="zh-CN" w:bidi="ar"/>
              </w:rPr>
              <w:br w:type="textWrapping"/>
            </w:r>
            <w:r>
              <w:rPr>
                <w:rStyle w:val="34"/>
                <w:rFonts w:ascii="宋体" w:eastAsia="宋体"/>
                <w:sz w:val="20"/>
                <w:lang w:val="en-US" w:eastAsia="zh-CN" w:bidi="ar"/>
              </w:rPr>
              <w:t>设计寿命：≥50000小时</w:t>
            </w:r>
            <w:r>
              <w:rPr>
                <w:rStyle w:val="34"/>
                <w:rFonts w:ascii="宋体" w:eastAsia="宋体"/>
                <w:sz w:val="20"/>
                <w:lang w:val="en-US" w:eastAsia="zh-CN" w:bidi="ar"/>
              </w:rPr>
              <w:br w:type="textWrapping"/>
            </w:r>
            <w:r>
              <w:rPr>
                <w:rStyle w:val="34"/>
                <w:rFonts w:ascii="宋体" w:eastAsia="宋体"/>
                <w:sz w:val="20"/>
                <w:lang w:val="en-US" w:eastAsia="zh-CN" w:bidi="ar"/>
              </w:rPr>
              <w:t>外壳材质：压铸铝</w:t>
            </w:r>
            <w:r>
              <w:rPr>
                <w:rStyle w:val="34"/>
                <w:rFonts w:ascii="宋体" w:eastAsia="宋体"/>
                <w:sz w:val="20"/>
                <w:lang w:val="en-US" w:eastAsia="zh-CN" w:bidi="ar"/>
              </w:rPr>
              <w:br w:type="textWrapping"/>
            </w:r>
            <w:r>
              <w:rPr>
                <w:rStyle w:val="34"/>
                <w:rFonts w:ascii="宋体" w:eastAsia="宋体"/>
                <w:sz w:val="20"/>
                <w:lang w:val="en-US" w:eastAsia="zh-CN" w:bidi="ar"/>
              </w:rPr>
              <w:t>电源：AC220V±20%，47Hz~63Hz</w:t>
            </w:r>
            <w:r>
              <w:rPr>
                <w:rStyle w:val="34"/>
                <w:rFonts w:ascii="宋体" w:eastAsia="宋体"/>
                <w:sz w:val="20"/>
                <w:lang w:val="en-US" w:eastAsia="zh-CN" w:bidi="ar"/>
              </w:rPr>
              <w:br w:type="textWrapping"/>
            </w:r>
            <w:r>
              <w:rPr>
                <w:rStyle w:val="34"/>
                <w:rFonts w:ascii="宋体" w:eastAsia="宋体"/>
                <w:sz w:val="20"/>
                <w:lang w:val="en-US" w:eastAsia="zh-CN" w:bidi="ar"/>
              </w:rPr>
              <w:t>功率：最大36W （实际功率与控制方式相关）</w:t>
            </w:r>
            <w:r>
              <w:rPr>
                <w:rStyle w:val="34"/>
                <w:rFonts w:ascii="宋体" w:eastAsia="宋体"/>
                <w:sz w:val="20"/>
                <w:lang w:val="en-US" w:eastAsia="zh-CN" w:bidi="ar"/>
              </w:rPr>
              <w:br w:type="textWrapping"/>
            </w:r>
            <w:r>
              <w:rPr>
                <w:rStyle w:val="34"/>
                <w:rFonts w:ascii="宋体" w:eastAsia="宋体"/>
                <w:sz w:val="20"/>
                <w:lang w:val="en-US" w:eastAsia="zh-CN" w:bidi="ar"/>
              </w:rPr>
              <w:t>工作环境：工作温度-40℃～+70℃，工作湿度10%～90%</w:t>
            </w:r>
            <w:r>
              <w:rPr>
                <w:rStyle w:val="34"/>
                <w:rFonts w:ascii="宋体" w:eastAsia="宋体"/>
                <w:sz w:val="20"/>
                <w:lang w:val="en-US" w:eastAsia="zh-CN" w:bidi="ar"/>
              </w:rPr>
              <w:br w:type="textWrapping"/>
            </w:r>
            <w:r>
              <w:rPr>
                <w:rStyle w:val="34"/>
                <w:rFonts w:ascii="宋体" w:eastAsia="宋体"/>
                <w:sz w:val="20"/>
                <w:lang w:val="en-US" w:eastAsia="zh-CN" w:bidi="ar"/>
              </w:rPr>
              <w:t>防护等级：IP66</w:t>
            </w:r>
            <w:r>
              <w:rPr>
                <w:rStyle w:val="34"/>
                <w:rFonts w:ascii="宋体" w:eastAsia="宋体"/>
                <w:sz w:val="20"/>
                <w:lang w:val="en-US" w:eastAsia="zh-CN" w:bidi="ar"/>
              </w:rPr>
              <w:br w:type="textWrapping"/>
            </w:r>
            <w:r>
              <w:rPr>
                <w:rStyle w:val="34"/>
                <w:rFonts w:ascii="宋体" w:eastAsia="宋体"/>
                <w:sz w:val="20"/>
                <w:lang w:val="en-US" w:eastAsia="zh-CN" w:bidi="ar"/>
              </w:rPr>
              <w:t>安装方式：侧装 （支架旋转角度-90°~+90°）</w:t>
            </w:r>
          </w:p>
        </w:tc>
        <w:tc>
          <w:tcPr>
            <w:tcW w:w="648" w:type="dxa"/>
            <w:tcBorders>
              <w:top w:val="single" w:color="000000" w:sz="4" w:space="0"/>
              <w:left w:val="single" w:color="000000" w:sz="4" w:space="0"/>
              <w:bottom w:val="single" w:color="000000" w:sz="4" w:space="0"/>
              <w:right w:val="single" w:color="000000" w:sz="4" w:space="0"/>
            </w:tcBorders>
            <w:vAlign w:val="center"/>
          </w:tcPr>
          <w:p w14:paraId="7DB5D169">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08EE1A38">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2</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F968626">
            <w:pPr>
              <w:snapToGrid w:val="0"/>
              <w:jc w:val="center"/>
              <w:rPr>
                <w:rFonts w:hint="eastAsia" w:ascii="宋体" w:hAnsi="宋体" w:eastAsia="宋体" w:cs="宋体"/>
                <w:color w:val="000000"/>
                <w:sz w:val="20"/>
                <w:szCs w:val="22"/>
              </w:rPr>
            </w:pPr>
          </w:p>
        </w:tc>
      </w:tr>
      <w:tr w14:paraId="6341F5A0">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15887271">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687" w:type="dxa"/>
            <w:tcBorders>
              <w:top w:val="single" w:color="000000" w:sz="4" w:space="0"/>
              <w:left w:val="single" w:color="000000" w:sz="4" w:space="0"/>
              <w:bottom w:val="single" w:color="000000" w:sz="4" w:space="0"/>
              <w:right w:val="single" w:color="000000" w:sz="4" w:space="0"/>
            </w:tcBorders>
            <w:vAlign w:val="center"/>
          </w:tcPr>
          <w:p w14:paraId="1113BCF2">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身份证阅读器</w:t>
            </w:r>
          </w:p>
        </w:tc>
        <w:tc>
          <w:tcPr>
            <w:tcW w:w="5171" w:type="dxa"/>
            <w:tcBorders>
              <w:top w:val="single" w:color="000000" w:sz="4" w:space="0"/>
              <w:left w:val="single" w:color="000000" w:sz="4" w:space="0"/>
              <w:bottom w:val="single" w:color="000000" w:sz="4" w:space="0"/>
              <w:right w:val="single" w:color="000000" w:sz="4" w:space="0"/>
            </w:tcBorders>
            <w:vAlign w:val="center"/>
          </w:tcPr>
          <w:p w14:paraId="06E5B840">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1.工作频率：不低于13.56MHZ，支持14443 type A/B标准；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2.内置公安部定制的专用安全模块，USB接口；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3.感应距离不低于50mm，供电方式 5V USB供电。</w:t>
            </w:r>
          </w:p>
        </w:tc>
        <w:tc>
          <w:tcPr>
            <w:tcW w:w="648" w:type="dxa"/>
            <w:tcBorders>
              <w:top w:val="single" w:color="000000" w:sz="4" w:space="0"/>
              <w:left w:val="single" w:color="000000" w:sz="4" w:space="0"/>
              <w:bottom w:val="single" w:color="000000" w:sz="4" w:space="0"/>
              <w:right w:val="single" w:color="000000" w:sz="4" w:space="0"/>
            </w:tcBorders>
            <w:vAlign w:val="center"/>
          </w:tcPr>
          <w:p w14:paraId="3C5F6121">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nil"/>
              <w:bottom w:val="single" w:color="000000" w:sz="4" w:space="0"/>
              <w:right w:val="single" w:color="000000" w:sz="4" w:space="0"/>
            </w:tcBorders>
            <w:vAlign w:val="center"/>
          </w:tcPr>
          <w:p w14:paraId="24972197">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4A3B19B4">
            <w:pPr>
              <w:snapToGrid w:val="0"/>
              <w:jc w:val="center"/>
              <w:rPr>
                <w:rFonts w:hint="eastAsia" w:ascii="宋体" w:hAnsi="宋体" w:eastAsia="宋体" w:cs="宋体"/>
                <w:color w:val="000000"/>
                <w:sz w:val="20"/>
                <w:szCs w:val="22"/>
              </w:rPr>
            </w:pPr>
          </w:p>
        </w:tc>
      </w:tr>
      <w:tr w14:paraId="76ECB033">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59FA9595">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687" w:type="dxa"/>
            <w:tcBorders>
              <w:top w:val="nil"/>
              <w:left w:val="single" w:color="000000" w:sz="4" w:space="0"/>
              <w:bottom w:val="single" w:color="000000" w:sz="4" w:space="0"/>
              <w:right w:val="single" w:color="000000" w:sz="4" w:space="0"/>
            </w:tcBorders>
            <w:vAlign w:val="center"/>
          </w:tcPr>
          <w:p w14:paraId="639FBFB3">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IC卡读写器</w:t>
            </w:r>
          </w:p>
        </w:tc>
        <w:tc>
          <w:tcPr>
            <w:tcW w:w="5171" w:type="dxa"/>
            <w:tcBorders>
              <w:top w:val="single" w:color="000000" w:sz="4" w:space="0"/>
              <w:left w:val="single" w:color="000000" w:sz="4" w:space="0"/>
              <w:bottom w:val="single" w:color="000000" w:sz="4" w:space="0"/>
              <w:right w:val="single" w:color="000000" w:sz="4" w:space="0"/>
            </w:tcBorders>
            <w:vAlign w:val="center"/>
          </w:tcPr>
          <w:p w14:paraId="21F231C8">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支持IC卡读卡、发卡，支持各种平台驱动开发包，能适应国产环境</w:t>
            </w:r>
          </w:p>
        </w:tc>
        <w:tc>
          <w:tcPr>
            <w:tcW w:w="648" w:type="dxa"/>
            <w:tcBorders>
              <w:top w:val="nil"/>
              <w:left w:val="single" w:color="000000" w:sz="4" w:space="0"/>
              <w:bottom w:val="single" w:color="000000" w:sz="4" w:space="0"/>
              <w:right w:val="single" w:color="000000" w:sz="4" w:space="0"/>
            </w:tcBorders>
            <w:vAlign w:val="center"/>
          </w:tcPr>
          <w:p w14:paraId="4A50265B">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nil"/>
              <w:left w:val="nil"/>
              <w:bottom w:val="single" w:color="000000" w:sz="4" w:space="0"/>
              <w:right w:val="single" w:color="000000" w:sz="4" w:space="0"/>
            </w:tcBorders>
            <w:vAlign w:val="center"/>
          </w:tcPr>
          <w:p w14:paraId="2C6D469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EB66BDA">
            <w:pPr>
              <w:snapToGrid w:val="0"/>
              <w:jc w:val="center"/>
              <w:rPr>
                <w:rFonts w:hint="eastAsia" w:ascii="宋体" w:hAnsi="宋体" w:eastAsia="宋体" w:cs="宋体"/>
                <w:color w:val="000000"/>
                <w:sz w:val="20"/>
                <w:szCs w:val="22"/>
              </w:rPr>
            </w:pPr>
          </w:p>
        </w:tc>
      </w:tr>
      <w:tr w14:paraId="0CA06273">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34E4FDF0">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8</w:t>
            </w:r>
          </w:p>
        </w:tc>
        <w:tc>
          <w:tcPr>
            <w:tcW w:w="1687" w:type="dxa"/>
            <w:tcBorders>
              <w:top w:val="nil"/>
              <w:left w:val="single" w:color="000000" w:sz="4" w:space="0"/>
              <w:bottom w:val="single" w:color="000000" w:sz="4" w:space="0"/>
              <w:right w:val="single" w:color="000000" w:sz="4" w:space="0"/>
            </w:tcBorders>
            <w:vAlign w:val="center"/>
          </w:tcPr>
          <w:p w14:paraId="15523B4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IC卡</w:t>
            </w:r>
          </w:p>
        </w:tc>
        <w:tc>
          <w:tcPr>
            <w:tcW w:w="5171" w:type="dxa"/>
            <w:tcBorders>
              <w:top w:val="single" w:color="000000" w:sz="4" w:space="0"/>
              <w:left w:val="single" w:color="000000" w:sz="4" w:space="0"/>
              <w:bottom w:val="single" w:color="000000" w:sz="4" w:space="0"/>
              <w:right w:val="single" w:color="000000" w:sz="4" w:space="0"/>
            </w:tcBorders>
            <w:vAlign w:val="center"/>
          </w:tcPr>
          <w:p w14:paraId="5EF2A716">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容量为8K位EEPROM;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分为16个扇区，每个扇区为4块，每块16个字节,以块为存取单位;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每个扇区有独立的一组密码及访问控制;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具有防冲突机制，支持多卡操作;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无电源，自带天线</w:t>
            </w:r>
          </w:p>
        </w:tc>
        <w:tc>
          <w:tcPr>
            <w:tcW w:w="648" w:type="dxa"/>
            <w:tcBorders>
              <w:top w:val="nil"/>
              <w:left w:val="single" w:color="000000" w:sz="4" w:space="0"/>
              <w:bottom w:val="single" w:color="000000" w:sz="4" w:space="0"/>
              <w:right w:val="single" w:color="000000" w:sz="4" w:space="0"/>
            </w:tcBorders>
            <w:vAlign w:val="center"/>
          </w:tcPr>
          <w:p w14:paraId="364E1923">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648" w:type="dxa"/>
            <w:tcBorders>
              <w:top w:val="nil"/>
              <w:left w:val="nil"/>
              <w:bottom w:val="single" w:color="000000" w:sz="4" w:space="0"/>
              <w:right w:val="single" w:color="000000" w:sz="4" w:space="0"/>
            </w:tcBorders>
            <w:vAlign w:val="center"/>
          </w:tcPr>
          <w:p w14:paraId="18A2E8C3">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039E304F">
            <w:pPr>
              <w:snapToGrid w:val="0"/>
              <w:jc w:val="center"/>
              <w:rPr>
                <w:rFonts w:hint="eastAsia" w:ascii="宋体" w:hAnsi="宋体" w:eastAsia="宋体" w:cs="宋体"/>
                <w:color w:val="000000"/>
                <w:sz w:val="20"/>
                <w:szCs w:val="22"/>
              </w:rPr>
            </w:pPr>
          </w:p>
        </w:tc>
      </w:tr>
      <w:tr w14:paraId="6695C87F">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7CE54DF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687" w:type="dxa"/>
            <w:tcBorders>
              <w:top w:val="nil"/>
              <w:left w:val="single" w:color="000000" w:sz="4" w:space="0"/>
              <w:bottom w:val="single" w:color="000000" w:sz="4" w:space="0"/>
              <w:right w:val="single" w:color="000000" w:sz="4" w:space="0"/>
            </w:tcBorders>
            <w:vAlign w:val="center"/>
          </w:tcPr>
          <w:p w14:paraId="2DA1671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银行卡读卡器</w:t>
            </w:r>
          </w:p>
        </w:tc>
        <w:tc>
          <w:tcPr>
            <w:tcW w:w="5171" w:type="dxa"/>
            <w:tcBorders>
              <w:top w:val="single" w:color="000000" w:sz="4" w:space="0"/>
              <w:left w:val="single" w:color="000000" w:sz="4" w:space="0"/>
              <w:bottom w:val="single" w:color="000000" w:sz="4" w:space="0"/>
              <w:right w:val="single" w:color="000000" w:sz="4" w:space="0"/>
            </w:tcBorders>
            <w:vAlign w:val="center"/>
          </w:tcPr>
          <w:p w14:paraId="3303300C">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用于读取客户银行卡信息，快速登记客户信息。</w:t>
            </w:r>
          </w:p>
        </w:tc>
        <w:tc>
          <w:tcPr>
            <w:tcW w:w="648" w:type="dxa"/>
            <w:tcBorders>
              <w:top w:val="nil"/>
              <w:left w:val="single" w:color="000000" w:sz="4" w:space="0"/>
              <w:bottom w:val="single" w:color="000000" w:sz="4" w:space="0"/>
              <w:right w:val="single" w:color="000000" w:sz="4" w:space="0"/>
            </w:tcBorders>
            <w:vAlign w:val="center"/>
          </w:tcPr>
          <w:p w14:paraId="5C9C09B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nil"/>
              <w:left w:val="nil"/>
              <w:bottom w:val="single" w:color="000000" w:sz="4" w:space="0"/>
              <w:right w:val="single" w:color="000000" w:sz="4" w:space="0"/>
            </w:tcBorders>
            <w:vAlign w:val="center"/>
          </w:tcPr>
          <w:p w14:paraId="4F92301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1D31338">
            <w:pPr>
              <w:snapToGrid w:val="0"/>
              <w:jc w:val="center"/>
              <w:rPr>
                <w:rFonts w:hint="eastAsia" w:ascii="宋体" w:hAnsi="宋体" w:eastAsia="宋体" w:cs="宋体"/>
                <w:color w:val="000000"/>
                <w:sz w:val="20"/>
                <w:szCs w:val="22"/>
              </w:rPr>
            </w:pPr>
          </w:p>
        </w:tc>
      </w:tr>
      <w:tr w14:paraId="5E47C823">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4D49BED9">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687" w:type="dxa"/>
            <w:tcBorders>
              <w:top w:val="single" w:color="000000" w:sz="4" w:space="0"/>
              <w:left w:val="single" w:color="000000" w:sz="4" w:space="0"/>
              <w:bottom w:val="single" w:color="000000" w:sz="4" w:space="0"/>
              <w:right w:val="single" w:color="000000" w:sz="4" w:space="0"/>
            </w:tcBorders>
            <w:vAlign w:val="center"/>
          </w:tcPr>
          <w:p w14:paraId="1946236A">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控制终端</w:t>
            </w:r>
          </w:p>
        </w:tc>
        <w:tc>
          <w:tcPr>
            <w:tcW w:w="5171" w:type="dxa"/>
            <w:tcBorders>
              <w:top w:val="single" w:color="000000" w:sz="4" w:space="0"/>
              <w:left w:val="single" w:color="000000" w:sz="4" w:space="0"/>
              <w:bottom w:val="single" w:color="000000" w:sz="4" w:space="0"/>
              <w:right w:val="single" w:color="000000" w:sz="4" w:space="0"/>
            </w:tcBorders>
            <w:vAlign w:val="center"/>
          </w:tcPr>
          <w:p w14:paraId="5F6EDB34">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硬件性能:CPU核数≥4核，主频≥3.3GHZ，内存≥8GB，硬盘≥512G SSD，支持1000Mbps以太网卡，≥23英寸显示器。</w:t>
            </w:r>
          </w:p>
        </w:tc>
        <w:tc>
          <w:tcPr>
            <w:tcW w:w="648" w:type="dxa"/>
            <w:tcBorders>
              <w:top w:val="nil"/>
              <w:left w:val="single" w:color="000000" w:sz="4" w:space="0"/>
              <w:bottom w:val="single" w:color="000000" w:sz="4" w:space="0"/>
              <w:right w:val="single" w:color="000000" w:sz="4" w:space="0"/>
            </w:tcBorders>
            <w:vAlign w:val="center"/>
          </w:tcPr>
          <w:p w14:paraId="266CC149">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5C71875B">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40D4066">
            <w:pPr>
              <w:snapToGrid w:val="0"/>
              <w:jc w:val="center"/>
              <w:rPr>
                <w:rFonts w:hint="eastAsia" w:ascii="宋体" w:hAnsi="宋体" w:eastAsia="宋体" w:cs="宋体"/>
                <w:color w:val="000000"/>
                <w:sz w:val="20"/>
                <w:szCs w:val="22"/>
              </w:rPr>
            </w:pPr>
          </w:p>
        </w:tc>
      </w:tr>
      <w:tr w14:paraId="74E99D25">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74BF5F90">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11</w:t>
            </w:r>
          </w:p>
        </w:tc>
        <w:tc>
          <w:tcPr>
            <w:tcW w:w="1687" w:type="dxa"/>
            <w:tcBorders>
              <w:top w:val="single" w:color="000000" w:sz="4" w:space="0"/>
              <w:left w:val="single" w:color="000000" w:sz="4" w:space="0"/>
              <w:bottom w:val="single" w:color="000000" w:sz="4" w:space="0"/>
              <w:right w:val="single" w:color="000000" w:sz="4" w:space="0"/>
            </w:tcBorders>
            <w:vAlign w:val="center"/>
          </w:tcPr>
          <w:p w14:paraId="5D95AA5B">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针式打印机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5E114E79">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用于打印结算单，平推式，24针，汉字超高速: 168汉字/秒，USB接口，复写能力≥5份。</w:t>
            </w:r>
          </w:p>
        </w:tc>
        <w:tc>
          <w:tcPr>
            <w:tcW w:w="648" w:type="dxa"/>
            <w:tcBorders>
              <w:top w:val="nil"/>
              <w:left w:val="single" w:color="000000" w:sz="4" w:space="0"/>
              <w:bottom w:val="single" w:color="000000" w:sz="4" w:space="0"/>
              <w:right w:val="single" w:color="000000" w:sz="4" w:space="0"/>
            </w:tcBorders>
            <w:vAlign w:val="center"/>
          </w:tcPr>
          <w:p w14:paraId="5993AB8A">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nil"/>
              <w:left w:val="nil"/>
              <w:bottom w:val="single" w:color="000000" w:sz="4" w:space="0"/>
              <w:right w:val="single" w:color="000000" w:sz="4" w:space="0"/>
            </w:tcBorders>
            <w:vAlign w:val="center"/>
          </w:tcPr>
          <w:p w14:paraId="6888D4A8">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F2BBDBB">
            <w:pPr>
              <w:snapToGrid w:val="0"/>
              <w:jc w:val="center"/>
              <w:rPr>
                <w:rFonts w:hint="eastAsia" w:ascii="宋体" w:hAnsi="宋体" w:eastAsia="宋体" w:cs="宋体"/>
                <w:color w:val="000000"/>
                <w:sz w:val="20"/>
                <w:szCs w:val="22"/>
              </w:rPr>
            </w:pPr>
          </w:p>
        </w:tc>
      </w:tr>
      <w:tr w14:paraId="20F7C9C0">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5B9C8C2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687" w:type="dxa"/>
            <w:tcBorders>
              <w:top w:val="single" w:color="000000" w:sz="4" w:space="0"/>
              <w:left w:val="single" w:color="000000" w:sz="4" w:space="0"/>
              <w:bottom w:val="single" w:color="000000" w:sz="4" w:space="0"/>
              <w:right w:val="single" w:color="000000" w:sz="4" w:space="0"/>
            </w:tcBorders>
            <w:vAlign w:val="center"/>
          </w:tcPr>
          <w:p w14:paraId="55EE9D5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测温分机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77DCA928">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规格:具有测温.测湿检测功能，电子防雷保护；防护箱采用304不锈钢材质。技术参数不低于：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1.分机工作环境湿度：10%RH～99%RH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2.检测温度范围：-20℃～125℃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3.检测湿度范围：0%RH～99%RH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4.分机抗雷击电压：不低于±4KV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5.温度检测误差：不高于±0.5℃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6.湿度检测误差: 不高于±3%RH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7.检测分机容量：，不低于512个测温点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8.具备TCP/IP通讯和无线通讯功能</w:t>
            </w:r>
          </w:p>
        </w:tc>
        <w:tc>
          <w:tcPr>
            <w:tcW w:w="648" w:type="dxa"/>
            <w:tcBorders>
              <w:top w:val="single" w:color="000000" w:sz="4" w:space="0"/>
              <w:left w:val="single" w:color="000000" w:sz="4" w:space="0"/>
              <w:bottom w:val="single" w:color="000000" w:sz="4" w:space="0"/>
              <w:right w:val="single" w:color="000000" w:sz="4" w:space="0"/>
            </w:tcBorders>
            <w:vAlign w:val="center"/>
          </w:tcPr>
          <w:p w14:paraId="5B1B37B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C0672F5">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8785B31">
            <w:pPr>
              <w:snapToGrid w:val="0"/>
              <w:jc w:val="center"/>
              <w:rPr>
                <w:rFonts w:hint="eastAsia" w:ascii="宋体" w:hAnsi="宋体" w:eastAsia="宋体" w:cs="宋体"/>
                <w:color w:val="000000"/>
                <w:sz w:val="20"/>
                <w:szCs w:val="22"/>
              </w:rPr>
            </w:pPr>
          </w:p>
        </w:tc>
      </w:tr>
      <w:tr w14:paraId="2BE1D70E">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2518A3C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1687" w:type="dxa"/>
            <w:tcBorders>
              <w:top w:val="single" w:color="000000" w:sz="4" w:space="0"/>
              <w:left w:val="single" w:color="000000" w:sz="4" w:space="0"/>
              <w:bottom w:val="single" w:color="000000" w:sz="4" w:space="0"/>
              <w:right w:val="single" w:color="000000" w:sz="4" w:space="0"/>
            </w:tcBorders>
            <w:vAlign w:val="center"/>
          </w:tcPr>
          <w:p w14:paraId="25BB9B6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仓内温湿度</w:t>
            </w:r>
          </w:p>
        </w:tc>
        <w:tc>
          <w:tcPr>
            <w:tcW w:w="5171" w:type="dxa"/>
            <w:tcBorders>
              <w:top w:val="single" w:color="000000" w:sz="4" w:space="0"/>
              <w:left w:val="single" w:color="000000" w:sz="4" w:space="0"/>
              <w:bottom w:val="single" w:color="000000" w:sz="4" w:space="0"/>
              <w:right w:val="single" w:color="000000" w:sz="4" w:space="0"/>
            </w:tcBorders>
            <w:vAlign w:val="center"/>
          </w:tcPr>
          <w:p w14:paraId="6B6DC8AD">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18B20，抗拉强度≥350公斤，镀锡铜导线截面积≥0.3MM2，传感器、导线完全密封，在熏蒸时能正常测温，高压聚乙烯护套。电缆所用的快速接头均为防熏蒸连接器，防护等级要求IP66以上。</w:t>
            </w:r>
          </w:p>
        </w:tc>
        <w:tc>
          <w:tcPr>
            <w:tcW w:w="648" w:type="dxa"/>
            <w:tcBorders>
              <w:top w:val="single" w:color="000000" w:sz="4" w:space="0"/>
              <w:left w:val="single" w:color="000000" w:sz="4" w:space="0"/>
              <w:bottom w:val="single" w:color="000000" w:sz="4" w:space="0"/>
              <w:right w:val="single" w:color="000000" w:sz="4" w:space="0"/>
            </w:tcBorders>
            <w:vAlign w:val="center"/>
          </w:tcPr>
          <w:p w14:paraId="1C84CAB5">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4C82A629">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025C5F2">
            <w:pPr>
              <w:snapToGrid w:val="0"/>
              <w:jc w:val="center"/>
              <w:rPr>
                <w:rFonts w:hint="eastAsia" w:ascii="宋体" w:hAnsi="宋体" w:eastAsia="宋体" w:cs="宋体"/>
                <w:color w:val="000000"/>
                <w:sz w:val="20"/>
                <w:szCs w:val="22"/>
              </w:rPr>
            </w:pPr>
          </w:p>
        </w:tc>
      </w:tr>
      <w:tr w14:paraId="593EB087">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207B46E7">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14</w:t>
            </w:r>
          </w:p>
        </w:tc>
        <w:tc>
          <w:tcPr>
            <w:tcW w:w="1687" w:type="dxa"/>
            <w:tcBorders>
              <w:top w:val="single" w:color="000000" w:sz="4" w:space="0"/>
              <w:left w:val="single" w:color="000000" w:sz="4" w:space="0"/>
              <w:bottom w:val="single" w:color="000000" w:sz="4" w:space="0"/>
              <w:right w:val="single" w:color="000000" w:sz="4" w:space="0"/>
            </w:tcBorders>
            <w:vAlign w:val="center"/>
          </w:tcPr>
          <w:p w14:paraId="4DEB6061">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仓外温湿度</w:t>
            </w:r>
          </w:p>
        </w:tc>
        <w:tc>
          <w:tcPr>
            <w:tcW w:w="5171" w:type="dxa"/>
            <w:tcBorders>
              <w:top w:val="single" w:color="000000" w:sz="4" w:space="0"/>
              <w:left w:val="single" w:color="000000" w:sz="4" w:space="0"/>
              <w:bottom w:val="single" w:color="000000" w:sz="4" w:space="0"/>
              <w:right w:val="single" w:color="000000" w:sz="4" w:space="0"/>
            </w:tcBorders>
            <w:vAlign w:val="center"/>
          </w:tcPr>
          <w:p w14:paraId="1DD5946A">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检测范围：-40℃～+85℃ ±0.5℃ 10%RH～99%RH ±3%RH</w:t>
            </w:r>
          </w:p>
        </w:tc>
        <w:tc>
          <w:tcPr>
            <w:tcW w:w="648" w:type="dxa"/>
            <w:tcBorders>
              <w:top w:val="single" w:color="000000" w:sz="4" w:space="0"/>
              <w:left w:val="single" w:color="000000" w:sz="4" w:space="0"/>
              <w:bottom w:val="single" w:color="000000" w:sz="4" w:space="0"/>
              <w:right w:val="single" w:color="000000" w:sz="4" w:space="0"/>
            </w:tcBorders>
            <w:vAlign w:val="center"/>
          </w:tcPr>
          <w:p w14:paraId="7825F9CF">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1CB9F631">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EC88784">
            <w:pPr>
              <w:snapToGrid w:val="0"/>
              <w:jc w:val="center"/>
              <w:rPr>
                <w:rFonts w:hint="eastAsia" w:ascii="宋体" w:hAnsi="宋体" w:eastAsia="宋体" w:cs="宋体"/>
                <w:color w:val="000000"/>
                <w:sz w:val="20"/>
                <w:szCs w:val="22"/>
              </w:rPr>
            </w:pPr>
          </w:p>
        </w:tc>
      </w:tr>
      <w:tr w14:paraId="1B69ED46">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4CB2CC64">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1687" w:type="dxa"/>
            <w:tcBorders>
              <w:top w:val="single" w:color="000000" w:sz="4" w:space="0"/>
              <w:left w:val="single" w:color="000000" w:sz="4" w:space="0"/>
              <w:bottom w:val="single" w:color="000000" w:sz="4" w:space="0"/>
              <w:right w:val="single" w:color="000000" w:sz="4" w:space="0"/>
            </w:tcBorders>
            <w:vAlign w:val="center"/>
          </w:tcPr>
          <w:p w14:paraId="2B0568C8">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测温电缆</w:t>
            </w:r>
          </w:p>
        </w:tc>
        <w:tc>
          <w:tcPr>
            <w:tcW w:w="5171" w:type="dxa"/>
            <w:tcBorders>
              <w:top w:val="single" w:color="000000" w:sz="4" w:space="0"/>
              <w:left w:val="single" w:color="000000" w:sz="4" w:space="0"/>
              <w:bottom w:val="single" w:color="000000" w:sz="4" w:space="0"/>
              <w:right w:val="single" w:color="000000" w:sz="4" w:space="0"/>
            </w:tcBorders>
            <w:vAlign w:val="center"/>
          </w:tcPr>
          <w:p w14:paraId="7A25E252">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检测范围：-40℃～+85℃ ±0.5℃ 10%RH～99%RH ±4%RH</w:t>
            </w:r>
          </w:p>
        </w:tc>
        <w:tc>
          <w:tcPr>
            <w:tcW w:w="648" w:type="dxa"/>
            <w:tcBorders>
              <w:top w:val="single" w:color="000000" w:sz="4" w:space="0"/>
              <w:left w:val="single" w:color="000000" w:sz="4" w:space="0"/>
              <w:bottom w:val="single" w:color="000000" w:sz="4" w:space="0"/>
              <w:right w:val="single" w:color="000000" w:sz="4" w:space="0"/>
            </w:tcBorders>
            <w:vAlign w:val="center"/>
          </w:tcPr>
          <w:p w14:paraId="69CB4D7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条</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9CF6174">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65</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02209CDD">
            <w:pPr>
              <w:snapToGrid w:val="0"/>
              <w:jc w:val="center"/>
              <w:rPr>
                <w:rFonts w:hint="eastAsia" w:ascii="宋体" w:hAnsi="宋体" w:eastAsia="宋体" w:cs="宋体"/>
                <w:color w:val="000000"/>
                <w:sz w:val="20"/>
                <w:szCs w:val="22"/>
              </w:rPr>
            </w:pPr>
          </w:p>
        </w:tc>
      </w:tr>
      <w:tr w14:paraId="2D38F953">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39225E97">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1687" w:type="dxa"/>
            <w:tcBorders>
              <w:top w:val="single" w:color="000000" w:sz="4" w:space="0"/>
              <w:left w:val="single" w:color="000000" w:sz="4" w:space="0"/>
              <w:bottom w:val="single" w:color="000000" w:sz="4" w:space="0"/>
              <w:right w:val="single" w:color="000000" w:sz="4" w:space="0"/>
            </w:tcBorders>
            <w:vAlign w:val="center"/>
          </w:tcPr>
          <w:p w14:paraId="7521237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网络服务器</w:t>
            </w:r>
          </w:p>
        </w:tc>
        <w:tc>
          <w:tcPr>
            <w:tcW w:w="5171" w:type="dxa"/>
            <w:tcBorders>
              <w:top w:val="single" w:color="000000" w:sz="4" w:space="0"/>
              <w:left w:val="single" w:color="000000" w:sz="4" w:space="0"/>
              <w:bottom w:val="single" w:color="000000" w:sz="4" w:space="0"/>
              <w:right w:val="single" w:color="000000" w:sz="4" w:space="0"/>
            </w:tcBorders>
            <w:vAlign w:val="center"/>
          </w:tcPr>
          <w:p w14:paraId="2BE34E7D">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highlight w:val="none"/>
                <w:u w:val="none"/>
                <w:lang w:val="en-US" w:eastAsia="zh-CN" w:bidi="ar"/>
              </w:rPr>
              <w:t>CPU：单处理器物理核心数≥8核，主频≥3.0 GHz，末级缓存容量≥16 MB，线程数≥16线程，支持内存的最高速率≥3200 MHz，通道数≥2，位宽≥64；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内存：配置64G DDR4，8根内存插槽；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硬盘：2块1.2T 10K SAS 硬盘（Raid1），前置最大可选支持12块3.5寸(兼容2.5寸)热插拔SATA/SAS硬盘，板载最大可选支持1个SATA M.2硬盘；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阵列卡：配置SAS_HBA卡（支持RAID 0/1/10）；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PCIE扩展：最大支持4个标准PCIE插槽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网口：标配板载2个千兆电口，支持选配10GbE SFP+等多种网络接口；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其他接口：标配1个IPMI RJ-45管理接口，位于机箱后部；7个USB 3.0接口 4个位于机箱后部，2个位于机箱前部，1个位于机箱内部；2个VGA接口 1个位于机箱前部，1个位于机箱后部；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电源：配置550W（1+1）高效铂金CRPS冗余电源；</w:t>
            </w:r>
          </w:p>
        </w:tc>
        <w:tc>
          <w:tcPr>
            <w:tcW w:w="648" w:type="dxa"/>
            <w:tcBorders>
              <w:top w:val="single" w:color="000000" w:sz="4" w:space="0"/>
              <w:left w:val="single" w:color="000000" w:sz="4" w:space="0"/>
              <w:bottom w:val="single" w:color="000000" w:sz="4" w:space="0"/>
              <w:right w:val="single" w:color="000000" w:sz="4" w:space="0"/>
            </w:tcBorders>
            <w:vAlign w:val="center"/>
          </w:tcPr>
          <w:p w14:paraId="7AC0388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6113430">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92F2D5A">
            <w:pPr>
              <w:snapToGrid w:val="0"/>
              <w:jc w:val="center"/>
              <w:rPr>
                <w:rFonts w:hint="eastAsia" w:ascii="宋体" w:hAnsi="宋体" w:eastAsia="宋体" w:cs="宋体"/>
                <w:color w:val="000000"/>
                <w:sz w:val="20"/>
                <w:szCs w:val="22"/>
              </w:rPr>
            </w:pPr>
          </w:p>
        </w:tc>
      </w:tr>
      <w:tr w14:paraId="0B6CB425">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4112F0CC">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17</w:t>
            </w:r>
          </w:p>
        </w:tc>
        <w:tc>
          <w:tcPr>
            <w:tcW w:w="1687" w:type="dxa"/>
            <w:tcBorders>
              <w:top w:val="single" w:color="000000" w:sz="4" w:space="0"/>
              <w:left w:val="single" w:color="000000" w:sz="4" w:space="0"/>
              <w:bottom w:val="single" w:color="000000" w:sz="4" w:space="0"/>
              <w:right w:val="single" w:color="000000" w:sz="4" w:space="0"/>
            </w:tcBorders>
            <w:vAlign w:val="center"/>
          </w:tcPr>
          <w:p w14:paraId="072A592D">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8口POE交换机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5BE84E8B">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 配置：可用千兆PoE电口数量≥8，千兆光口数量≥2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交换容量≥20Gbps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转发性能≥14.88Mpps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提供CQC认证证书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支持通过管理平台和手机APP对交换机进行远程控制和状态查看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支持通过管理平台和手机APP展示并管理交换机的拓扑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 支持通过管理平台和手机APP对交换机进行远程升级、远程重启功能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支持自适应802.3af/at供电标准，整机最大输出功率≥110W，支持POE 过载保护/过压保护功能，支持POE上电/下电功率管理功能，支持POE看门狗功能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 ★支持SNMP管理、LLDP功能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 支持链路聚合、QoS、STP/RSTP、端口镜像、端口隔离、风暴抑制功能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 ★浪涌（冲击）抗扰度符合GB/T17626.5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 支持工作温度范围为0℃-45℃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★支持64Bytes-1518Bytes下均能线速转发</w:t>
            </w:r>
          </w:p>
        </w:tc>
        <w:tc>
          <w:tcPr>
            <w:tcW w:w="648" w:type="dxa"/>
            <w:tcBorders>
              <w:top w:val="single" w:color="000000" w:sz="4" w:space="0"/>
              <w:left w:val="single" w:color="000000" w:sz="4" w:space="0"/>
              <w:bottom w:val="single" w:color="000000" w:sz="4" w:space="0"/>
              <w:right w:val="single" w:color="000000" w:sz="4" w:space="0"/>
            </w:tcBorders>
            <w:vAlign w:val="center"/>
          </w:tcPr>
          <w:p w14:paraId="428C904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DF770DE">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7947619">
            <w:pPr>
              <w:snapToGrid w:val="0"/>
              <w:jc w:val="center"/>
              <w:rPr>
                <w:rFonts w:hint="eastAsia" w:ascii="宋体" w:hAnsi="宋体" w:eastAsia="宋体" w:cs="宋体"/>
                <w:color w:val="000000"/>
                <w:sz w:val="20"/>
                <w:szCs w:val="22"/>
              </w:rPr>
            </w:pPr>
          </w:p>
        </w:tc>
      </w:tr>
      <w:tr w14:paraId="274622DC">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01E35DF5">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1687" w:type="dxa"/>
            <w:tcBorders>
              <w:top w:val="single" w:color="000000" w:sz="4" w:space="0"/>
              <w:left w:val="single" w:color="000000" w:sz="4" w:space="0"/>
              <w:bottom w:val="single" w:color="000000" w:sz="4" w:space="0"/>
              <w:right w:val="single" w:color="000000" w:sz="4" w:space="0"/>
            </w:tcBorders>
            <w:vAlign w:val="center"/>
          </w:tcPr>
          <w:p w14:paraId="733A3E14">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防火墙</w:t>
            </w:r>
          </w:p>
        </w:tc>
        <w:tc>
          <w:tcPr>
            <w:tcW w:w="5171" w:type="dxa"/>
            <w:tcBorders>
              <w:top w:val="single" w:color="000000" w:sz="4" w:space="0"/>
              <w:left w:val="single" w:color="000000" w:sz="4" w:space="0"/>
              <w:bottom w:val="single" w:color="000000" w:sz="4" w:space="0"/>
              <w:right w:val="single" w:color="000000" w:sz="4" w:space="0"/>
            </w:tcBorders>
            <w:vAlign w:val="center"/>
          </w:tcPr>
          <w:p w14:paraId="070BAE2F">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 网络层吞吐量≥2Gbps；IPS吞吐量≥1.2Gbps；AV吞吐量≥1Gbps；IPSec吞吐量≥800Mbps；IPSec 隧道数≥750；并发连接数≥200万；每秒新建连接数≥2万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1U标准机箱，配置≥10个千兆电口（1对bypass），≥2对Combo口；≥1个CON口；≥2个USB 3.0口；≥1个硬盘扩展槽位；交流单电源；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★支持GB/T 28181协议准入、GB35114协议准入、支持RTSP协议准入、支持SIP协议准入、支持ONVIF协议准入、支持HIKSDK协议准入、支持DAHUASDK协议准入、支持SSH协议准入、支持GA/T1400协议准入控制、支持Ehome协议准入控制、支持ISUP协议准入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支持NAT扩展和端口复用，可实现NAT地址的单个端口上建立多条会话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★支持外链检查防护，支持自定义外链特例防护动作，类型支持HTTP、HTTPS、FTP，支持记录日志或重置操作（提供公安部出具的权威检测报告证明）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★支持入站SmartDNS,能自动判断访问者的IP地址并解析出对应的IP地址,提升网站访问速度（提供公安部出具的权威检测报告证明）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★支持NetFlow技术，支持配置主动超时时间、源接口、模板刷新时间、数据包数量、企业字段等信息，实现对高速转发的IP数据流进行测试和统计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支持路由转发模式，其安全策略生效；支持透明传输模式，其安全策略生效；支持旁路模式、混合模式部署。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支持基于源、目的IP策略路由；支持基于接口的策略路由；支持基于协议和端口的策略路由；支持基于应用类型的策略路由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支持“多对一”的SNAT；支持“一对多”的DNAT；支持“多对多”的动态SNAT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产品具备中国网络安全审查技术与认证中心出具的《中国国家信息安全产品认证证书》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产品具备中国网络安全审查技术与认证中心出具的《网络关键设备和网络安全专用产品安全认证证书》</w:t>
            </w:r>
          </w:p>
        </w:tc>
        <w:tc>
          <w:tcPr>
            <w:tcW w:w="648" w:type="dxa"/>
            <w:tcBorders>
              <w:top w:val="single" w:color="000000" w:sz="4" w:space="0"/>
              <w:left w:val="single" w:color="000000" w:sz="4" w:space="0"/>
              <w:bottom w:val="single" w:color="000000" w:sz="4" w:space="0"/>
              <w:right w:val="single" w:color="000000" w:sz="4" w:space="0"/>
            </w:tcBorders>
            <w:vAlign w:val="center"/>
          </w:tcPr>
          <w:p w14:paraId="4D0CEE61">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FDC75D2">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8B310BE">
            <w:pPr>
              <w:snapToGrid w:val="0"/>
              <w:jc w:val="center"/>
              <w:rPr>
                <w:rFonts w:hint="eastAsia" w:ascii="宋体" w:hAnsi="宋体" w:eastAsia="宋体" w:cs="宋体"/>
                <w:color w:val="000000"/>
                <w:sz w:val="20"/>
                <w:szCs w:val="22"/>
              </w:rPr>
            </w:pPr>
          </w:p>
        </w:tc>
      </w:tr>
      <w:tr w14:paraId="153ACDD9">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32EEA94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1687" w:type="dxa"/>
            <w:tcBorders>
              <w:top w:val="single" w:color="000000" w:sz="4" w:space="0"/>
              <w:left w:val="single" w:color="000000" w:sz="4" w:space="0"/>
              <w:bottom w:val="single" w:color="000000" w:sz="4" w:space="0"/>
              <w:right w:val="single" w:color="000000" w:sz="4" w:space="0"/>
            </w:tcBorders>
            <w:vAlign w:val="center"/>
          </w:tcPr>
          <w:p w14:paraId="510320F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机柜</w:t>
            </w:r>
          </w:p>
        </w:tc>
        <w:tc>
          <w:tcPr>
            <w:tcW w:w="5171" w:type="dxa"/>
            <w:tcBorders>
              <w:top w:val="single" w:color="000000" w:sz="4" w:space="0"/>
              <w:left w:val="single" w:color="000000" w:sz="4" w:space="0"/>
              <w:bottom w:val="single" w:color="000000" w:sz="4" w:space="0"/>
              <w:right w:val="single" w:color="000000" w:sz="4" w:space="0"/>
            </w:tcBorders>
            <w:vAlign w:val="center"/>
          </w:tcPr>
          <w:p w14:paraId="112496A7">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22u服务器机柜</w:t>
            </w:r>
          </w:p>
        </w:tc>
        <w:tc>
          <w:tcPr>
            <w:tcW w:w="648" w:type="dxa"/>
            <w:tcBorders>
              <w:top w:val="single" w:color="000000" w:sz="4" w:space="0"/>
              <w:left w:val="single" w:color="000000" w:sz="4" w:space="0"/>
              <w:bottom w:val="single" w:color="000000" w:sz="4" w:space="0"/>
              <w:right w:val="single" w:color="000000" w:sz="4" w:space="0"/>
            </w:tcBorders>
            <w:vAlign w:val="center"/>
          </w:tcPr>
          <w:p w14:paraId="1C2870B8">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架</w:t>
            </w:r>
          </w:p>
        </w:tc>
        <w:tc>
          <w:tcPr>
            <w:tcW w:w="648" w:type="dxa"/>
            <w:tcBorders>
              <w:top w:val="single" w:color="000000" w:sz="4" w:space="0"/>
              <w:left w:val="single" w:color="000000" w:sz="4" w:space="0"/>
              <w:bottom w:val="single" w:color="000000" w:sz="4" w:space="0"/>
              <w:right w:val="single" w:color="000000" w:sz="4" w:space="0"/>
            </w:tcBorders>
            <w:vAlign w:val="center"/>
          </w:tcPr>
          <w:p w14:paraId="5936C4AB">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99CDF0B">
            <w:pPr>
              <w:snapToGrid w:val="0"/>
              <w:jc w:val="center"/>
              <w:rPr>
                <w:rFonts w:hint="eastAsia" w:ascii="宋体" w:hAnsi="宋体" w:eastAsia="宋体" w:cs="宋体"/>
                <w:color w:val="000000"/>
                <w:sz w:val="20"/>
                <w:szCs w:val="22"/>
              </w:rPr>
            </w:pPr>
          </w:p>
        </w:tc>
      </w:tr>
      <w:tr w14:paraId="0A6DB437">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7D739698">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20</w:t>
            </w:r>
          </w:p>
        </w:tc>
        <w:tc>
          <w:tcPr>
            <w:tcW w:w="1687" w:type="dxa"/>
            <w:tcBorders>
              <w:top w:val="single" w:color="000000" w:sz="4" w:space="0"/>
              <w:left w:val="single" w:color="000000" w:sz="4" w:space="0"/>
              <w:bottom w:val="single" w:color="000000" w:sz="4" w:space="0"/>
              <w:right w:val="single" w:color="000000" w:sz="4" w:space="0"/>
            </w:tcBorders>
            <w:vAlign w:val="center"/>
          </w:tcPr>
          <w:p w14:paraId="39EB4723">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数据对接服务费</w:t>
            </w:r>
          </w:p>
        </w:tc>
        <w:tc>
          <w:tcPr>
            <w:tcW w:w="5171" w:type="dxa"/>
            <w:tcBorders>
              <w:top w:val="single" w:color="000000" w:sz="4" w:space="0"/>
              <w:left w:val="single" w:color="000000" w:sz="4" w:space="0"/>
              <w:bottom w:val="single" w:color="000000" w:sz="4" w:space="0"/>
              <w:right w:val="single" w:color="000000" w:sz="4" w:space="0"/>
            </w:tcBorders>
            <w:vAlign w:val="center"/>
          </w:tcPr>
          <w:p w14:paraId="22E10CF0">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实现粮食购销子系统设备、仓储保管子系统、安全生产子系统等设备与智慧粮库系统信息化管理系统的集成，以及与省级监管平台的对接:按照《粮食购销领域监管信息化规范(2022年4月)》的要求实现视频监控和数据与省平台互联互通。</w:t>
            </w:r>
          </w:p>
        </w:tc>
        <w:tc>
          <w:tcPr>
            <w:tcW w:w="648" w:type="dxa"/>
            <w:tcBorders>
              <w:top w:val="single" w:color="000000" w:sz="4" w:space="0"/>
              <w:left w:val="single" w:color="000000" w:sz="4" w:space="0"/>
              <w:bottom w:val="single" w:color="000000" w:sz="4" w:space="0"/>
              <w:right w:val="single" w:color="000000" w:sz="4" w:space="0"/>
            </w:tcBorders>
            <w:vAlign w:val="center"/>
          </w:tcPr>
          <w:p w14:paraId="33F23B4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批</w:t>
            </w:r>
          </w:p>
        </w:tc>
        <w:tc>
          <w:tcPr>
            <w:tcW w:w="648" w:type="dxa"/>
            <w:tcBorders>
              <w:top w:val="single" w:color="000000" w:sz="4" w:space="0"/>
              <w:left w:val="single" w:color="000000" w:sz="4" w:space="0"/>
              <w:bottom w:val="single" w:color="000000" w:sz="4" w:space="0"/>
              <w:right w:val="single" w:color="000000" w:sz="4" w:space="0"/>
            </w:tcBorders>
            <w:vAlign w:val="center"/>
          </w:tcPr>
          <w:p w14:paraId="2717CA5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43E01905">
            <w:pPr>
              <w:snapToGrid w:val="0"/>
              <w:jc w:val="center"/>
              <w:rPr>
                <w:rFonts w:hint="eastAsia" w:ascii="宋体" w:hAnsi="宋体" w:eastAsia="宋体" w:cs="宋体"/>
                <w:color w:val="000000"/>
                <w:sz w:val="20"/>
                <w:szCs w:val="22"/>
              </w:rPr>
            </w:pPr>
          </w:p>
        </w:tc>
      </w:tr>
      <w:tr w14:paraId="7547DF6C">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30A316D4">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1687" w:type="dxa"/>
            <w:tcBorders>
              <w:top w:val="single" w:color="000000" w:sz="4" w:space="0"/>
              <w:left w:val="single" w:color="000000" w:sz="4" w:space="0"/>
              <w:bottom w:val="single" w:color="000000" w:sz="4" w:space="0"/>
              <w:right w:val="single" w:color="000000" w:sz="4" w:space="0"/>
            </w:tcBorders>
            <w:vAlign w:val="center"/>
          </w:tcPr>
          <w:p w14:paraId="5887B8F4">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互联网专线</w:t>
            </w:r>
          </w:p>
        </w:tc>
        <w:tc>
          <w:tcPr>
            <w:tcW w:w="5171" w:type="dxa"/>
            <w:tcBorders>
              <w:top w:val="single" w:color="000000" w:sz="4" w:space="0"/>
              <w:left w:val="single" w:color="000000" w:sz="4" w:space="0"/>
              <w:bottom w:val="single" w:color="000000" w:sz="4" w:space="0"/>
              <w:right w:val="single" w:color="000000" w:sz="4" w:space="0"/>
            </w:tcBorders>
            <w:vAlign w:val="center"/>
          </w:tcPr>
          <w:p w14:paraId="17A9FC2A">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含至少1个固定IP的线路，不低于20M</w:t>
            </w:r>
          </w:p>
        </w:tc>
        <w:tc>
          <w:tcPr>
            <w:tcW w:w="648" w:type="dxa"/>
            <w:tcBorders>
              <w:top w:val="single" w:color="000000" w:sz="4" w:space="0"/>
              <w:left w:val="single" w:color="000000" w:sz="4" w:space="0"/>
              <w:bottom w:val="single" w:color="000000" w:sz="4" w:space="0"/>
              <w:right w:val="single" w:color="000000" w:sz="4" w:space="0"/>
            </w:tcBorders>
            <w:vAlign w:val="center"/>
          </w:tcPr>
          <w:p w14:paraId="77752B9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条</w:t>
            </w:r>
          </w:p>
        </w:tc>
        <w:tc>
          <w:tcPr>
            <w:tcW w:w="648" w:type="dxa"/>
            <w:tcBorders>
              <w:top w:val="single" w:color="000000" w:sz="4" w:space="0"/>
              <w:left w:val="single" w:color="000000" w:sz="4" w:space="0"/>
              <w:bottom w:val="single" w:color="000000" w:sz="4" w:space="0"/>
              <w:right w:val="single" w:color="000000" w:sz="4" w:space="0"/>
            </w:tcBorders>
            <w:vAlign w:val="center"/>
          </w:tcPr>
          <w:p w14:paraId="1C001A5A">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89B351F">
            <w:pPr>
              <w:snapToGrid w:val="0"/>
              <w:jc w:val="center"/>
              <w:rPr>
                <w:rFonts w:hint="eastAsia" w:ascii="宋体" w:hAnsi="宋体" w:eastAsia="宋体" w:cs="宋体"/>
                <w:color w:val="000000"/>
                <w:sz w:val="20"/>
                <w:szCs w:val="22"/>
              </w:rPr>
            </w:pPr>
          </w:p>
        </w:tc>
      </w:tr>
      <w:tr w14:paraId="03912AD6">
        <w:tblPrEx>
          <w:tblCellMar>
            <w:top w:w="32" w:type="dxa"/>
            <w:left w:w="64" w:type="dxa"/>
            <w:bottom w:w="32" w:type="dxa"/>
            <w:right w:w="64" w:type="dxa"/>
          </w:tblCellMar>
        </w:tblPrEx>
        <w:trPr>
          <w:trHeight w:val="0" w:hRule="atLeast"/>
          <w:jc w:val="center"/>
        </w:trPr>
        <w:tc>
          <w:tcPr>
            <w:tcW w:w="9450" w:type="dxa"/>
            <w:gridSpan w:val="6"/>
            <w:tcBorders>
              <w:top w:val="single" w:color="000000" w:sz="4" w:space="0"/>
              <w:left w:val="single" w:color="000000" w:sz="4" w:space="0"/>
              <w:bottom w:val="single" w:color="000000" w:sz="4" w:space="0"/>
              <w:right w:val="single" w:color="000000" w:sz="4" w:space="0"/>
            </w:tcBorders>
            <w:shd w:val="clear" w:color="auto" w:fill="D0CECE"/>
            <w:vAlign w:val="center"/>
          </w:tcPr>
          <w:p w14:paraId="075C7CC5">
            <w:pPr>
              <w:widowControl/>
              <w:snapToGrid w:val="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二、建设路库</w:t>
            </w:r>
          </w:p>
        </w:tc>
      </w:tr>
      <w:tr w14:paraId="30ADA521">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59804C0A">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1687" w:type="dxa"/>
            <w:tcBorders>
              <w:top w:val="single" w:color="000000" w:sz="4" w:space="0"/>
              <w:left w:val="single" w:color="000000" w:sz="4" w:space="0"/>
              <w:bottom w:val="single" w:color="000000" w:sz="4" w:space="0"/>
              <w:right w:val="single" w:color="000000" w:sz="4" w:space="0"/>
            </w:tcBorders>
            <w:vAlign w:val="center"/>
          </w:tcPr>
          <w:p w14:paraId="787420A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仓内一体化防熏蒸球型云台摄像机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4908709E">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 摄像机靶面尺寸不小于1/2.8英寸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视频分辨率与帧率不小于1920 × 1080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内置GPU芯片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支持25倍光学变倍，镜头最大焦距不小于120mm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支持白光、红外灯混合补光，在夜晚低照度环境下开启白光补光灯可识别30m出的人体轮廓，关闭白光补光灯可呈现黑白图像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最低照度可达彩色0.005 lx，黑白0.001 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当智能行为分析设置为区域入侵、越界入侵侦测、进入区域侦测、离开区域侦测、快速移动侦测时，可以对人、车自行车、电瓶车、摩托车、三轮车等进行检测;样机支持行为分析触发后联动聚焦、联动目标跟踪、报警上传，上传FTP，发送邮件，联动录像，辅助输出等多种报警触发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★可响应平台下发的获取可视域信息指令 并可上传显示设备视场角、可视距离、安装位置、镜头指向方位等信息。其中样机视场角、可视距离能够随着样机镜头变倍而变化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水平旋转范围为360°连续旋转，垂直旋转范围为-15°~90°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支持2路报警输入，1路报警输出，支持1路音频输入和1路音频输出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 需要满足NEMA 4X、WF2、C5-M要求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需支持IP67防尘防水。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 设备需满足防熏蒸需求 </w:t>
            </w:r>
          </w:p>
        </w:tc>
        <w:tc>
          <w:tcPr>
            <w:tcW w:w="648" w:type="dxa"/>
            <w:tcBorders>
              <w:top w:val="single" w:color="000000" w:sz="4" w:space="0"/>
              <w:left w:val="single" w:color="000000" w:sz="4" w:space="0"/>
              <w:bottom w:val="single" w:color="000000" w:sz="4" w:space="0"/>
              <w:right w:val="single" w:color="000000" w:sz="4" w:space="0"/>
            </w:tcBorders>
            <w:vAlign w:val="center"/>
          </w:tcPr>
          <w:p w14:paraId="109147C3">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1F3FE8A8">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2</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3368164">
            <w:pPr>
              <w:snapToGrid w:val="0"/>
              <w:jc w:val="center"/>
              <w:rPr>
                <w:rFonts w:hint="eastAsia" w:ascii="宋体" w:hAnsi="宋体" w:eastAsia="宋体" w:cs="宋体"/>
                <w:color w:val="000000"/>
                <w:sz w:val="20"/>
                <w:szCs w:val="22"/>
              </w:rPr>
            </w:pPr>
          </w:p>
        </w:tc>
      </w:tr>
      <w:tr w14:paraId="0AF879DE">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309E2F52">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1687" w:type="dxa"/>
            <w:tcBorders>
              <w:top w:val="single" w:color="000000" w:sz="4" w:space="0"/>
              <w:left w:val="single" w:color="000000" w:sz="4" w:space="0"/>
              <w:bottom w:val="single" w:color="000000" w:sz="4" w:space="0"/>
              <w:right w:val="single" w:color="000000" w:sz="4" w:space="0"/>
            </w:tcBorders>
            <w:vAlign w:val="center"/>
          </w:tcPr>
          <w:p w14:paraId="5402A968">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枪机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799DBA93">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分辨率设置为2560×1440@25fps，分辨力不小于1400TVL。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内置2.7~13.5mm镜头，支持电动变焦。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最低照度彩色不大于0.0002lx，黑白不大于0.0001lx。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同一静止场景相同图像质量下，设备在H.265编码方式时，开启智能编码功能和不开启智能编码相比，码率节约≥80%。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需具备智能分析抗干扰功能，当篮球、小狗、树摇晃等情况经过检测区域时，不会触发报警。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支持捕获、识别新能源汽车专用号牌。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信噪比不小于60dB。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在分辨率1920x1080@25fps，延时不大于70ms。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具备4颗补光灯，灯杯为鳞片状，补光灯开启后，正面不可见补光灯灯珠。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当补光灯打开时，补光亮度均匀，无波纹状、圆环状、麻点状、条纹状及不规则亮斑。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内置2个麦克风、1个扬声器。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具有1个RS485接口、1个报警输入接口、1个报警输出接口、1个音频输入接口、1个音频输出接口。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需支持IP67防尘防水。</w:t>
            </w:r>
          </w:p>
        </w:tc>
        <w:tc>
          <w:tcPr>
            <w:tcW w:w="648" w:type="dxa"/>
            <w:tcBorders>
              <w:top w:val="single" w:color="000000" w:sz="4" w:space="0"/>
              <w:left w:val="single" w:color="000000" w:sz="4" w:space="0"/>
              <w:bottom w:val="single" w:color="000000" w:sz="4" w:space="0"/>
              <w:right w:val="single" w:color="000000" w:sz="4" w:space="0"/>
            </w:tcBorders>
            <w:vAlign w:val="center"/>
          </w:tcPr>
          <w:p w14:paraId="251F40CD">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165C64C5">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4</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5F227BA">
            <w:pPr>
              <w:snapToGrid w:val="0"/>
              <w:jc w:val="center"/>
              <w:rPr>
                <w:rFonts w:hint="eastAsia" w:ascii="宋体" w:hAnsi="宋体" w:eastAsia="宋体" w:cs="宋体"/>
                <w:color w:val="000000"/>
                <w:sz w:val="20"/>
                <w:szCs w:val="22"/>
              </w:rPr>
            </w:pPr>
          </w:p>
        </w:tc>
      </w:tr>
      <w:tr w14:paraId="0CFAAF83">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708C61B6">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3</w:t>
            </w:r>
          </w:p>
        </w:tc>
        <w:tc>
          <w:tcPr>
            <w:tcW w:w="1687" w:type="dxa"/>
            <w:tcBorders>
              <w:top w:val="single" w:color="000000" w:sz="4" w:space="0"/>
              <w:left w:val="single" w:color="000000" w:sz="4" w:space="0"/>
              <w:bottom w:val="single" w:color="000000" w:sz="4" w:space="0"/>
              <w:right w:val="single" w:color="000000" w:sz="4" w:space="0"/>
            </w:tcBorders>
            <w:vAlign w:val="center"/>
          </w:tcPr>
          <w:p w14:paraId="2B8B1B53">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硬盘录像机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37E5CD56">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具有2个HDMI接口、2个VGA接口、2个RJ45 千兆网络接口；2个USB2.0接口、2个USB3.0接口、1个RS232接口、1个RS485接口（可接入RS485键盘）、1个eSata接口、1个CVBS接口；具有1路音频输入接口、2路音频输出接口、16路报警输入接口、4路报警输出接口、可内置9块SATA3.0接口硬盘。可选配报警板：增加5路报警输出（5-9路ALARM OUT）及1路直流12V输出接口（12V1A）;且第9路报警输出支持受控直流12V输出。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支持最大接入带宽320Mbps，最大存储带宽320Mbps，最大转发带宽256Mbps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可同时解码输出32路2MP、H.265编码、25fps、1920×1080格式的视频图像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支持4通道输出，包括HDMI1、HDMI2、VGA1、VGA2，各输出口均支持显示系统主菜单，且每路均可分别进行预览、回放、配置等操作；HDMI1和HDMI2支持同时4K（4096×2160）异源输出，单个HDMI接口最大支持8K（7680×4320）输出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可设置输出分辨率为1024×768/60Hz、1280×720/60Hz、1280×1024/60Hz、1600×1200/60Hz、1920×1080/60Hz、2560×1440/60Hz、4K(3840×2160)/30Hz、4K(3840×2160)/60Hz、4K(4096×2160)/30Hz、8K（7680×4320)/30Hz选项。可自适应显示器的最佳分辨率进行图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支持报警事件、异常事件计数提醒功能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支持4路视频流人脸识别，支持24路图片流人脸识别。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★人脸库建模成功率不低于 99.99%。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★支持32路人脸以图搜图，可从外部、人脸库、人脸检索结果、人员频次分析结果导入最多10张人脸样本照片并设置相似度（0～100）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★可接入非智能IPC、人脸抓拍机、客流相机实现客流统计功能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11、含1块6T监控专用硬盘</w:t>
            </w:r>
          </w:p>
        </w:tc>
        <w:tc>
          <w:tcPr>
            <w:tcW w:w="648" w:type="dxa"/>
            <w:tcBorders>
              <w:top w:val="single" w:color="000000" w:sz="4" w:space="0"/>
              <w:left w:val="single" w:color="000000" w:sz="4" w:space="0"/>
              <w:bottom w:val="single" w:color="000000" w:sz="4" w:space="0"/>
              <w:right w:val="single" w:color="000000" w:sz="4" w:space="0"/>
            </w:tcBorders>
            <w:vAlign w:val="center"/>
          </w:tcPr>
          <w:p w14:paraId="4860EDA3">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1A234A4">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68CA301">
            <w:pPr>
              <w:snapToGrid w:val="0"/>
              <w:jc w:val="center"/>
              <w:rPr>
                <w:rFonts w:hint="eastAsia" w:ascii="宋体" w:hAnsi="宋体" w:eastAsia="宋体" w:cs="宋体"/>
                <w:color w:val="000000"/>
                <w:sz w:val="20"/>
                <w:szCs w:val="22"/>
              </w:rPr>
            </w:pPr>
          </w:p>
        </w:tc>
      </w:tr>
      <w:tr w14:paraId="45CB12D1">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3C630975">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4</w:t>
            </w:r>
          </w:p>
        </w:tc>
        <w:tc>
          <w:tcPr>
            <w:tcW w:w="1687" w:type="dxa"/>
            <w:tcBorders>
              <w:top w:val="single" w:color="000000" w:sz="4" w:space="0"/>
              <w:left w:val="single" w:color="000000" w:sz="4" w:space="0"/>
              <w:bottom w:val="single" w:color="000000" w:sz="4" w:space="0"/>
              <w:right w:val="single" w:color="000000" w:sz="4" w:space="0"/>
            </w:tcBorders>
            <w:vAlign w:val="center"/>
          </w:tcPr>
          <w:p w14:paraId="41804482">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8口POE交换机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3CC81B2E">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 配置：可用千兆PoE电口数量≥8，千兆光口数量≥2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交换容量≥20Gbps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转发性能≥14.88Mpps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提供CQC认证证书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支持通过管理平台和手机APP对交换机进行远程控制和状态查看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支持通过管理平台和手机APP展示并管理交换机的拓扑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 支持通过管理平台和手机APP对交换机进行远程升级、远程重启功能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支持自适应802.3af/at供电标准，整机最大输出功率≥110W，支持POE 过载保护/过压保护功能，支持POE上电/下电功率管理功能，支持POE看门狗功能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 ★支持SNMP管理、LLDP功能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 支持链路聚合、QoS、STP/RSTP、端口镜像、端口隔离、风暴抑制功能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 ★浪涌（冲击）抗扰度符合GB/T17626.5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 支持工作温度范围为0℃-45℃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★支持64Bytes-1518Bytes下均能线速转发</w:t>
            </w:r>
          </w:p>
        </w:tc>
        <w:tc>
          <w:tcPr>
            <w:tcW w:w="648" w:type="dxa"/>
            <w:tcBorders>
              <w:top w:val="single" w:color="000000" w:sz="4" w:space="0"/>
              <w:left w:val="single" w:color="000000" w:sz="4" w:space="0"/>
              <w:bottom w:val="single" w:color="000000" w:sz="4" w:space="0"/>
              <w:right w:val="single" w:color="000000" w:sz="4" w:space="0"/>
            </w:tcBorders>
            <w:vAlign w:val="center"/>
          </w:tcPr>
          <w:p w14:paraId="3299B027">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36D7AC0">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8FD9735">
            <w:pPr>
              <w:snapToGrid w:val="0"/>
              <w:jc w:val="center"/>
              <w:rPr>
                <w:rFonts w:hint="eastAsia" w:ascii="宋体" w:hAnsi="宋体" w:eastAsia="宋体" w:cs="宋体"/>
                <w:color w:val="000000"/>
                <w:sz w:val="20"/>
                <w:szCs w:val="22"/>
              </w:rPr>
            </w:pPr>
          </w:p>
        </w:tc>
      </w:tr>
      <w:tr w14:paraId="06230041">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3D5AD0E3">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5</w:t>
            </w:r>
          </w:p>
        </w:tc>
        <w:tc>
          <w:tcPr>
            <w:tcW w:w="1687" w:type="dxa"/>
            <w:tcBorders>
              <w:top w:val="single" w:color="000000" w:sz="4" w:space="0"/>
              <w:left w:val="single" w:color="000000" w:sz="4" w:space="0"/>
              <w:bottom w:val="single" w:color="000000" w:sz="4" w:space="0"/>
              <w:right w:val="single" w:color="000000" w:sz="4" w:space="0"/>
            </w:tcBorders>
            <w:vAlign w:val="center"/>
          </w:tcPr>
          <w:p w14:paraId="0C85E0B7">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测温分机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4CEDF2F7">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D0D0D"/>
                <w:kern w:val="0"/>
                <w:sz w:val="20"/>
                <w:szCs w:val="20"/>
                <w:u w:val="none"/>
                <w:lang w:val="en-US" w:eastAsia="zh-CN" w:bidi="ar"/>
              </w:rPr>
              <w:t>规格:具有测温.测湿检测功能，电子防雷保护；防护箱采用304不锈钢材质。技术参数不低于：</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1.分机工作环境湿度：10%RH～99%RH</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2.检测温度范围：-20℃～125℃</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3.检测湿度范围：0%RH～99%RH</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4.分机抗雷击电压：不低于±4KV</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5.温度检测误差：不高于±0.5℃</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6.湿度检测误差: 不高于±3%RH</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7.检测分机容量：不低于512个测温点</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8.具备TCP/IP通讯和无线通讯功能</w:t>
            </w:r>
          </w:p>
        </w:tc>
        <w:tc>
          <w:tcPr>
            <w:tcW w:w="648" w:type="dxa"/>
            <w:tcBorders>
              <w:top w:val="single" w:color="000000" w:sz="4" w:space="0"/>
              <w:left w:val="single" w:color="000000" w:sz="4" w:space="0"/>
              <w:bottom w:val="single" w:color="000000" w:sz="4" w:space="0"/>
              <w:right w:val="single" w:color="000000" w:sz="4" w:space="0"/>
            </w:tcBorders>
            <w:vAlign w:val="center"/>
          </w:tcPr>
          <w:p w14:paraId="0B55270A">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4B4B61E">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BFF38CF">
            <w:pPr>
              <w:snapToGrid w:val="0"/>
              <w:jc w:val="center"/>
              <w:rPr>
                <w:rFonts w:hint="eastAsia" w:ascii="宋体" w:hAnsi="宋体" w:eastAsia="宋体" w:cs="宋体"/>
                <w:color w:val="000000"/>
                <w:sz w:val="20"/>
                <w:szCs w:val="22"/>
              </w:rPr>
            </w:pPr>
          </w:p>
        </w:tc>
      </w:tr>
      <w:tr w14:paraId="50EF9223">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2A47DDFE">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6</w:t>
            </w:r>
          </w:p>
        </w:tc>
        <w:tc>
          <w:tcPr>
            <w:tcW w:w="1687" w:type="dxa"/>
            <w:tcBorders>
              <w:top w:val="single" w:color="000000" w:sz="4" w:space="0"/>
              <w:left w:val="single" w:color="000000" w:sz="4" w:space="0"/>
              <w:bottom w:val="single" w:color="000000" w:sz="4" w:space="0"/>
              <w:right w:val="single" w:color="000000" w:sz="4" w:space="0"/>
            </w:tcBorders>
            <w:vAlign w:val="center"/>
          </w:tcPr>
          <w:p w14:paraId="47809098">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仓内温湿度</w:t>
            </w:r>
          </w:p>
        </w:tc>
        <w:tc>
          <w:tcPr>
            <w:tcW w:w="5171" w:type="dxa"/>
            <w:tcBorders>
              <w:top w:val="single" w:color="000000" w:sz="4" w:space="0"/>
              <w:left w:val="single" w:color="000000" w:sz="4" w:space="0"/>
              <w:bottom w:val="single" w:color="000000" w:sz="4" w:space="0"/>
              <w:right w:val="single" w:color="000000" w:sz="4" w:space="0"/>
            </w:tcBorders>
            <w:vAlign w:val="center"/>
          </w:tcPr>
          <w:p w14:paraId="47706BB3">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D0D0D"/>
                <w:kern w:val="0"/>
                <w:sz w:val="20"/>
                <w:szCs w:val="20"/>
                <w:u w:val="none"/>
                <w:lang w:val="en-US" w:eastAsia="zh-CN" w:bidi="ar"/>
              </w:rPr>
              <w:t>18B20，抗拉强度≥350公斤，镀锡铜导线截面积≥0.3MM2，传感器、导线完全密封，在熏蒸时能正常测温，高压聚乙烯护套。电缆所用的快速接头均为防熏蒸连接器，防护等级要求IP66以上。</w:t>
            </w:r>
          </w:p>
        </w:tc>
        <w:tc>
          <w:tcPr>
            <w:tcW w:w="648" w:type="dxa"/>
            <w:tcBorders>
              <w:top w:val="single" w:color="000000" w:sz="4" w:space="0"/>
              <w:left w:val="single" w:color="000000" w:sz="4" w:space="0"/>
              <w:bottom w:val="single" w:color="000000" w:sz="4" w:space="0"/>
              <w:right w:val="single" w:color="000000" w:sz="4" w:space="0"/>
            </w:tcBorders>
            <w:vAlign w:val="center"/>
          </w:tcPr>
          <w:p w14:paraId="5F79CCB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70EF7AD">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07DAD9BA">
            <w:pPr>
              <w:snapToGrid w:val="0"/>
              <w:jc w:val="center"/>
              <w:rPr>
                <w:rFonts w:hint="eastAsia" w:ascii="宋体" w:hAnsi="宋体" w:eastAsia="宋体" w:cs="宋体"/>
                <w:color w:val="000000"/>
                <w:sz w:val="20"/>
                <w:szCs w:val="22"/>
              </w:rPr>
            </w:pPr>
          </w:p>
        </w:tc>
      </w:tr>
      <w:tr w14:paraId="30723535">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3E5BBF67">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7</w:t>
            </w:r>
          </w:p>
        </w:tc>
        <w:tc>
          <w:tcPr>
            <w:tcW w:w="1687" w:type="dxa"/>
            <w:tcBorders>
              <w:top w:val="single" w:color="000000" w:sz="4" w:space="0"/>
              <w:left w:val="single" w:color="000000" w:sz="4" w:space="0"/>
              <w:bottom w:val="single" w:color="000000" w:sz="4" w:space="0"/>
              <w:right w:val="single" w:color="000000" w:sz="4" w:space="0"/>
            </w:tcBorders>
            <w:vAlign w:val="center"/>
          </w:tcPr>
          <w:p w14:paraId="464A2B5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仓外温湿度</w:t>
            </w:r>
          </w:p>
        </w:tc>
        <w:tc>
          <w:tcPr>
            <w:tcW w:w="5171" w:type="dxa"/>
            <w:tcBorders>
              <w:top w:val="single" w:color="000000" w:sz="4" w:space="0"/>
              <w:left w:val="single" w:color="000000" w:sz="4" w:space="0"/>
              <w:bottom w:val="single" w:color="000000" w:sz="4" w:space="0"/>
              <w:right w:val="single" w:color="000000" w:sz="4" w:space="0"/>
            </w:tcBorders>
            <w:vAlign w:val="center"/>
          </w:tcPr>
          <w:p w14:paraId="2134EB31">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D0D0D"/>
                <w:kern w:val="0"/>
                <w:sz w:val="20"/>
                <w:szCs w:val="20"/>
                <w:u w:val="none"/>
                <w:lang w:val="en-US" w:eastAsia="zh-CN" w:bidi="ar"/>
              </w:rPr>
              <w:t>检测范围：-40℃～+85℃ ±0.5℃ 10%RH～99%RH ±3%RH</w:t>
            </w:r>
          </w:p>
        </w:tc>
        <w:tc>
          <w:tcPr>
            <w:tcW w:w="648" w:type="dxa"/>
            <w:tcBorders>
              <w:top w:val="single" w:color="000000" w:sz="4" w:space="0"/>
              <w:left w:val="single" w:color="000000" w:sz="4" w:space="0"/>
              <w:bottom w:val="single" w:color="000000" w:sz="4" w:space="0"/>
              <w:right w:val="single" w:color="000000" w:sz="4" w:space="0"/>
            </w:tcBorders>
            <w:vAlign w:val="center"/>
          </w:tcPr>
          <w:p w14:paraId="6F990EB2">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8F00758">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CC5B960">
            <w:pPr>
              <w:snapToGrid w:val="0"/>
              <w:jc w:val="center"/>
              <w:rPr>
                <w:rFonts w:hint="eastAsia" w:ascii="宋体" w:hAnsi="宋体" w:eastAsia="宋体" w:cs="宋体"/>
                <w:color w:val="000000"/>
                <w:sz w:val="20"/>
                <w:szCs w:val="22"/>
              </w:rPr>
            </w:pPr>
          </w:p>
        </w:tc>
      </w:tr>
      <w:tr w14:paraId="1788CC11">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119C8975">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8</w:t>
            </w:r>
          </w:p>
        </w:tc>
        <w:tc>
          <w:tcPr>
            <w:tcW w:w="1687" w:type="dxa"/>
            <w:tcBorders>
              <w:top w:val="single" w:color="000000" w:sz="4" w:space="0"/>
              <w:left w:val="single" w:color="000000" w:sz="4" w:space="0"/>
              <w:bottom w:val="single" w:color="000000" w:sz="4" w:space="0"/>
              <w:right w:val="single" w:color="000000" w:sz="4" w:space="0"/>
            </w:tcBorders>
            <w:vAlign w:val="center"/>
          </w:tcPr>
          <w:p w14:paraId="716A49A1">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测温电缆</w:t>
            </w:r>
          </w:p>
        </w:tc>
        <w:tc>
          <w:tcPr>
            <w:tcW w:w="5171" w:type="dxa"/>
            <w:tcBorders>
              <w:top w:val="single" w:color="000000" w:sz="4" w:space="0"/>
              <w:left w:val="single" w:color="000000" w:sz="4" w:space="0"/>
              <w:bottom w:val="single" w:color="000000" w:sz="4" w:space="0"/>
              <w:right w:val="single" w:color="000000" w:sz="4" w:space="0"/>
            </w:tcBorders>
            <w:vAlign w:val="center"/>
          </w:tcPr>
          <w:p w14:paraId="0DD9FEF7">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D0D0D"/>
                <w:kern w:val="0"/>
                <w:sz w:val="20"/>
                <w:szCs w:val="20"/>
                <w:u w:val="none"/>
                <w:lang w:val="en-US" w:eastAsia="zh-CN" w:bidi="ar"/>
              </w:rPr>
              <w:t>检测范围：-40℃～+85℃ ±0.5℃ 10%RH～99%RH ±3%RH</w:t>
            </w:r>
          </w:p>
        </w:tc>
        <w:tc>
          <w:tcPr>
            <w:tcW w:w="648" w:type="dxa"/>
            <w:tcBorders>
              <w:top w:val="single" w:color="000000" w:sz="4" w:space="0"/>
              <w:left w:val="single" w:color="000000" w:sz="4" w:space="0"/>
              <w:bottom w:val="single" w:color="000000" w:sz="4" w:space="0"/>
              <w:right w:val="single" w:color="000000" w:sz="4" w:space="0"/>
            </w:tcBorders>
            <w:vAlign w:val="center"/>
          </w:tcPr>
          <w:p w14:paraId="4693AC7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条</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A95AFFE">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156</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19BC345A">
            <w:pPr>
              <w:snapToGrid w:val="0"/>
              <w:jc w:val="center"/>
              <w:rPr>
                <w:rFonts w:hint="eastAsia" w:ascii="宋体" w:hAnsi="宋体" w:eastAsia="宋体" w:cs="宋体"/>
                <w:color w:val="000000"/>
                <w:sz w:val="20"/>
                <w:szCs w:val="22"/>
              </w:rPr>
            </w:pPr>
          </w:p>
        </w:tc>
      </w:tr>
      <w:tr w14:paraId="648136AB">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0EBA8EFA">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9</w:t>
            </w:r>
          </w:p>
        </w:tc>
        <w:tc>
          <w:tcPr>
            <w:tcW w:w="1687" w:type="dxa"/>
            <w:tcBorders>
              <w:top w:val="single" w:color="000000" w:sz="4" w:space="0"/>
              <w:left w:val="single" w:color="000000" w:sz="4" w:space="0"/>
              <w:bottom w:val="single" w:color="000000" w:sz="4" w:space="0"/>
              <w:right w:val="single" w:color="000000" w:sz="4" w:space="0"/>
            </w:tcBorders>
            <w:vAlign w:val="center"/>
          </w:tcPr>
          <w:p w14:paraId="7B18D80D">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数据对接服务费</w:t>
            </w:r>
          </w:p>
        </w:tc>
        <w:tc>
          <w:tcPr>
            <w:tcW w:w="5171" w:type="dxa"/>
            <w:tcBorders>
              <w:top w:val="single" w:color="000000" w:sz="4" w:space="0"/>
              <w:left w:val="single" w:color="000000" w:sz="4" w:space="0"/>
              <w:bottom w:val="single" w:color="000000" w:sz="4" w:space="0"/>
              <w:right w:val="single" w:color="000000" w:sz="4" w:space="0"/>
            </w:tcBorders>
            <w:vAlign w:val="center"/>
          </w:tcPr>
          <w:p w14:paraId="44BCA1D1">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实现粮食购销子系统设备、仓储保管子系统、安全生产子系统等设备与智慧粮库系统信息化管理系统的集成，以及与省级监管平台的对接:按照《粮食购销领域监管信息化规范(2022年4月)》的要求实现视频监控和数据与省平台互联互通。</w:t>
            </w:r>
          </w:p>
        </w:tc>
        <w:tc>
          <w:tcPr>
            <w:tcW w:w="648" w:type="dxa"/>
            <w:tcBorders>
              <w:top w:val="single" w:color="000000" w:sz="4" w:space="0"/>
              <w:left w:val="single" w:color="000000" w:sz="4" w:space="0"/>
              <w:bottom w:val="single" w:color="000000" w:sz="4" w:space="0"/>
              <w:right w:val="single" w:color="000000" w:sz="4" w:space="0"/>
            </w:tcBorders>
            <w:vAlign w:val="center"/>
          </w:tcPr>
          <w:p w14:paraId="66EBD4E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批</w:t>
            </w:r>
          </w:p>
        </w:tc>
        <w:tc>
          <w:tcPr>
            <w:tcW w:w="648" w:type="dxa"/>
            <w:tcBorders>
              <w:top w:val="single" w:color="000000" w:sz="4" w:space="0"/>
              <w:left w:val="single" w:color="000000" w:sz="4" w:space="0"/>
              <w:bottom w:val="single" w:color="000000" w:sz="4" w:space="0"/>
              <w:right w:val="single" w:color="000000" w:sz="4" w:space="0"/>
            </w:tcBorders>
            <w:vAlign w:val="center"/>
          </w:tcPr>
          <w:p w14:paraId="4D8D556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1E3DC65">
            <w:pPr>
              <w:snapToGrid w:val="0"/>
              <w:jc w:val="center"/>
              <w:rPr>
                <w:rFonts w:hint="eastAsia" w:ascii="宋体" w:hAnsi="宋体" w:eastAsia="宋体" w:cs="宋体"/>
                <w:color w:val="000000"/>
                <w:sz w:val="20"/>
                <w:szCs w:val="22"/>
              </w:rPr>
            </w:pPr>
          </w:p>
        </w:tc>
      </w:tr>
      <w:tr w14:paraId="1DFF9356">
        <w:tblPrEx>
          <w:tblCellMar>
            <w:top w:w="32" w:type="dxa"/>
            <w:left w:w="64" w:type="dxa"/>
            <w:bottom w:w="32" w:type="dxa"/>
            <w:right w:w="64" w:type="dxa"/>
          </w:tblCellMar>
        </w:tblPrEx>
        <w:trPr>
          <w:trHeight w:val="0" w:hRule="atLeast"/>
          <w:jc w:val="center"/>
        </w:trPr>
        <w:tc>
          <w:tcPr>
            <w:tcW w:w="9450" w:type="dxa"/>
            <w:gridSpan w:val="6"/>
            <w:tcBorders>
              <w:top w:val="single" w:color="000000" w:sz="4" w:space="0"/>
              <w:left w:val="single" w:color="000000" w:sz="4" w:space="0"/>
              <w:bottom w:val="single" w:color="000000" w:sz="4" w:space="0"/>
              <w:right w:val="single" w:color="000000" w:sz="4" w:space="0"/>
            </w:tcBorders>
            <w:shd w:val="clear" w:color="auto" w:fill="D0CECE"/>
            <w:vAlign w:val="center"/>
          </w:tcPr>
          <w:p w14:paraId="0F75806F">
            <w:pPr>
              <w:widowControl/>
              <w:snapToGrid w:val="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三、油脂库</w:t>
            </w:r>
          </w:p>
        </w:tc>
      </w:tr>
      <w:tr w14:paraId="4333B6E7">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55602555">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1687" w:type="dxa"/>
            <w:tcBorders>
              <w:top w:val="single" w:color="000000" w:sz="4" w:space="0"/>
              <w:left w:val="single" w:color="000000" w:sz="4" w:space="0"/>
              <w:bottom w:val="single" w:color="000000" w:sz="4" w:space="0"/>
              <w:right w:val="single" w:color="000000" w:sz="4" w:space="0"/>
            </w:tcBorders>
            <w:vAlign w:val="center"/>
          </w:tcPr>
          <w:p w14:paraId="7EEB3234">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仓内一体化防熏蒸球型云台摄像机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42FB566C">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 摄像机靶面尺寸不小于1/2.8英寸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视频分辨率与帧率不小于1920 × 1080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内置GPU芯片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支持25倍光学变倍，镜头最大焦距不小于120mm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支持白光、红外灯混合补光，在夜晚低照度环境下开启白光补光灯可识别30m出的人体轮廓，关闭白光补光灯可呈现黑白图像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最低照度可达彩色0.005 lx，黑白0.001 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当智能行为分析设置为区域入侵、越界入侵侦测、进入区域侦测、离开区域侦测、快速移动侦测时，可以对人、车自行车、电瓶车、摩托车、三轮车等进行检测;样机支持行为分析触发后联动聚焦、联动目标跟踪、报警上传，上传FTP，发送邮件，联动录像，辅助输出等多种报警触发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★可响应平台下发的获取可视域信息指令 并可上传显示设备视场角、可视距离、安装位置、镜头指向方位等信息。其中样机视场角、可视距离能够随着样机镜头变倍而变化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水平旋转范围为360°连续旋转，垂直旋转范围为-15°~90°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支持2路报警输入，1路报警输出，支持1路音频输入和1路音频输出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 需要满足NEMA 4X、WF2、C5-M要求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需支持IP67防尘防水。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13 设备需满足防熏蒸需求 </w:t>
            </w:r>
          </w:p>
        </w:tc>
        <w:tc>
          <w:tcPr>
            <w:tcW w:w="648" w:type="dxa"/>
            <w:tcBorders>
              <w:top w:val="single" w:color="000000" w:sz="4" w:space="0"/>
              <w:left w:val="single" w:color="000000" w:sz="4" w:space="0"/>
              <w:bottom w:val="single" w:color="000000" w:sz="4" w:space="0"/>
              <w:right w:val="single" w:color="000000" w:sz="4" w:space="0"/>
            </w:tcBorders>
            <w:vAlign w:val="center"/>
          </w:tcPr>
          <w:p w14:paraId="43EDE33B">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6D9AB00A">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3</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0D3086F">
            <w:pPr>
              <w:snapToGrid w:val="0"/>
              <w:jc w:val="center"/>
              <w:rPr>
                <w:rFonts w:hint="eastAsia" w:ascii="宋体" w:hAnsi="宋体" w:eastAsia="宋体" w:cs="宋体"/>
                <w:color w:val="000000"/>
                <w:sz w:val="20"/>
                <w:szCs w:val="22"/>
              </w:rPr>
            </w:pPr>
          </w:p>
        </w:tc>
      </w:tr>
      <w:tr w14:paraId="5AAA3D35">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2C221CDA">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1687" w:type="dxa"/>
            <w:tcBorders>
              <w:top w:val="single" w:color="000000" w:sz="4" w:space="0"/>
              <w:left w:val="single" w:color="000000" w:sz="4" w:space="0"/>
              <w:bottom w:val="single" w:color="000000" w:sz="4" w:space="0"/>
              <w:right w:val="single" w:color="000000" w:sz="4" w:space="0"/>
            </w:tcBorders>
            <w:vAlign w:val="center"/>
          </w:tcPr>
          <w:p w14:paraId="6E6296C4">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枪机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46BEDAD9">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分辨率设置为2560×1440@25fps，分辨力不小于1400TVL。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内置2.7~13.5mm镜头，支持电动变焦。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最低照度彩色不大于0.0002lx，黑白不大于0.0001lx。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同一静止场景相同图像质量下，设备在H.265编码方式时，开启智能编码功能和不开启智能编码相比，码率节约≥80%。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需具备智能分析抗干扰功能，当篮球、小狗、树摇晃等情况经过检测区域时，不会触发报警。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支持捕获、识别新能源汽车专用号牌。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信噪比不小于60dB。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在分辨率1920x1080@25fps，延时不大于70ms。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具备4颗补光灯，灯杯为鳞片状，补光灯开启后，正面不可见补光灯灯珠。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当补光灯打开时，补光亮度均匀，无波纹状、圆环状、麻点状、条纹状及不规则亮斑。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 内置2个麦克风、1个扬声器。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 具有1个RS485接口、1个报警输入接口、1个报警输出接口、1个音频输入接口、1个音频输出接口。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需支持IP67防尘防水。</w:t>
            </w:r>
          </w:p>
        </w:tc>
        <w:tc>
          <w:tcPr>
            <w:tcW w:w="648" w:type="dxa"/>
            <w:tcBorders>
              <w:top w:val="single" w:color="000000" w:sz="4" w:space="0"/>
              <w:left w:val="single" w:color="000000" w:sz="4" w:space="0"/>
              <w:bottom w:val="single" w:color="000000" w:sz="4" w:space="0"/>
              <w:right w:val="single" w:color="000000" w:sz="4" w:space="0"/>
            </w:tcBorders>
            <w:vAlign w:val="center"/>
          </w:tcPr>
          <w:p w14:paraId="5F5DAC05">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0D5825D6">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8</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8842149">
            <w:pPr>
              <w:snapToGrid w:val="0"/>
              <w:jc w:val="center"/>
              <w:rPr>
                <w:rFonts w:hint="eastAsia" w:ascii="宋体" w:hAnsi="宋体" w:eastAsia="宋体" w:cs="宋体"/>
                <w:color w:val="000000"/>
                <w:sz w:val="20"/>
                <w:szCs w:val="22"/>
              </w:rPr>
            </w:pPr>
          </w:p>
        </w:tc>
      </w:tr>
      <w:tr w14:paraId="1875A9BA">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158338E2">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3</w:t>
            </w:r>
          </w:p>
        </w:tc>
        <w:tc>
          <w:tcPr>
            <w:tcW w:w="1687" w:type="dxa"/>
            <w:tcBorders>
              <w:top w:val="single" w:color="000000" w:sz="4" w:space="0"/>
              <w:left w:val="single" w:color="000000" w:sz="4" w:space="0"/>
              <w:bottom w:val="single" w:color="000000" w:sz="4" w:space="0"/>
              <w:right w:val="single" w:color="000000" w:sz="4" w:space="0"/>
            </w:tcBorders>
            <w:vAlign w:val="center"/>
          </w:tcPr>
          <w:p w14:paraId="3944924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硬盘录像机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62FE110B">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具有2个HDMI接口、2个VGA接口、2个RJ45 千兆网络接口；2个USB2.0接口、2个USB3.0接口、1个RS232接口、1个RS485接口（可接入RS485键盘）、1个eSata接口、1个CVBS接口；具有1路音频输入接口、2路音频输出接口、16路报警输入接口、4路报警输出接口、可内置9块SATA3.0接口硬盘。可选配报警板：增加5路报警输出（5-9路ALARM OUT）及1路直流12V输出接口（12V1A）;且第9路报警输出支持受控直流12V输出。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支持最大接入带宽320Mbps，最大存储带宽320Mbps，最大转发带宽256Mbps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可同时解码输出32路2MP、H.265编码、25fps、1920×1080格式的视频图像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支持4通道输出，包括HDMI1、HDMI2、VGA1、VGA2，各输出口均支持显示系统主菜单，且每路均可分别进行预览、回放、配置等操作；HDMI1和HDMI2支持同时4K（4096×2160）异源输出，单个HDMI接口最大支持8K（7680×4320）输出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可设置输出分辨率为1024×768/60Hz、1280×720/60Hz、1280×1024/60Hz、1600×1200/60Hz、1920×1080/60Hz、2560×1440/60Hz、4K(3840×2160)/30Hz、4K(3840×2160)/60Hz、4K(4096×2160)/30Hz、8K（7680×4320)/30Hz选项。可自适应显示器的最佳分辨率进行图像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支持报警事件、异常事件计数提醒功能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支持4路视频流人脸识别，支持24路图片流人脸识别。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★人脸库建模成功率不低于 99.99%。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★支持32路人脸以图搜图，可从外部、人脸库、人脸检索结果、人员频次分析结果导入最多10张人脸样本照片并设置相似度（0～100）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 ★可接入非智能IPC、人脸抓拍机、客流相机实现客流统计功能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11、含1块6T监控专用硬盘</w:t>
            </w:r>
          </w:p>
        </w:tc>
        <w:tc>
          <w:tcPr>
            <w:tcW w:w="648" w:type="dxa"/>
            <w:tcBorders>
              <w:top w:val="single" w:color="000000" w:sz="4" w:space="0"/>
              <w:left w:val="single" w:color="000000" w:sz="4" w:space="0"/>
              <w:bottom w:val="single" w:color="000000" w:sz="4" w:space="0"/>
              <w:right w:val="single" w:color="000000" w:sz="4" w:space="0"/>
            </w:tcBorders>
            <w:vAlign w:val="center"/>
          </w:tcPr>
          <w:p w14:paraId="7B66B655">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AF67193">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09A0A543">
            <w:pPr>
              <w:snapToGrid w:val="0"/>
              <w:jc w:val="center"/>
              <w:rPr>
                <w:rFonts w:hint="eastAsia" w:ascii="宋体" w:hAnsi="宋体" w:eastAsia="宋体" w:cs="宋体"/>
                <w:color w:val="000000"/>
                <w:sz w:val="20"/>
                <w:szCs w:val="22"/>
              </w:rPr>
            </w:pPr>
          </w:p>
        </w:tc>
      </w:tr>
      <w:tr w14:paraId="15F1A011">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15E86CA0">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4</w:t>
            </w:r>
          </w:p>
        </w:tc>
        <w:tc>
          <w:tcPr>
            <w:tcW w:w="1687" w:type="dxa"/>
            <w:tcBorders>
              <w:top w:val="single" w:color="000000" w:sz="4" w:space="0"/>
              <w:left w:val="single" w:color="000000" w:sz="4" w:space="0"/>
              <w:bottom w:val="single" w:color="000000" w:sz="4" w:space="0"/>
              <w:right w:val="single" w:color="000000" w:sz="4" w:space="0"/>
            </w:tcBorders>
            <w:vAlign w:val="center"/>
          </w:tcPr>
          <w:p w14:paraId="768B7258">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防爆灯</w:t>
            </w:r>
          </w:p>
        </w:tc>
        <w:tc>
          <w:tcPr>
            <w:tcW w:w="5171" w:type="dxa"/>
            <w:tcBorders>
              <w:top w:val="single" w:color="000000" w:sz="4" w:space="0"/>
              <w:left w:val="single" w:color="000000" w:sz="4" w:space="0"/>
              <w:bottom w:val="single" w:color="000000" w:sz="4" w:space="0"/>
              <w:right w:val="single" w:color="000000" w:sz="4" w:space="0"/>
            </w:tcBorders>
            <w:vAlign w:val="center"/>
          </w:tcPr>
          <w:p w14:paraId="1C3AD23C">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D0D0D"/>
                <w:kern w:val="0"/>
                <w:sz w:val="20"/>
                <w:szCs w:val="20"/>
                <w:u w:val="none"/>
                <w:lang w:val="en-US" w:eastAsia="zh-CN" w:bidi="ar"/>
              </w:rPr>
              <w:t>产品名称:LED防爆灯</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外壳材质:压铸铝合金</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产品光源:LED光源</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产品电压:175-265V</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产品质保:5年</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产品特色:防尘防虫防爆</w:t>
            </w:r>
          </w:p>
        </w:tc>
        <w:tc>
          <w:tcPr>
            <w:tcW w:w="648" w:type="dxa"/>
            <w:tcBorders>
              <w:top w:val="single" w:color="000000" w:sz="4" w:space="0"/>
              <w:left w:val="single" w:color="000000" w:sz="4" w:space="0"/>
              <w:bottom w:val="single" w:color="000000" w:sz="4" w:space="0"/>
              <w:right w:val="single" w:color="000000" w:sz="4" w:space="0"/>
            </w:tcBorders>
            <w:vAlign w:val="center"/>
          </w:tcPr>
          <w:p w14:paraId="2620F48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9B5C03A">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32</w:t>
            </w:r>
          </w:p>
        </w:tc>
        <w:tc>
          <w:tcPr>
            <w:tcW w:w="648" w:type="dxa"/>
            <w:tcBorders>
              <w:top w:val="single" w:color="000000" w:sz="4" w:space="0"/>
              <w:left w:val="single" w:color="000000" w:sz="4" w:space="0"/>
              <w:bottom w:val="single" w:color="000000" w:sz="4" w:space="0"/>
              <w:right w:val="single" w:color="000000" w:sz="4" w:space="0"/>
            </w:tcBorders>
            <w:vAlign w:val="center"/>
          </w:tcPr>
          <w:p w14:paraId="16AFAFB2">
            <w:pPr>
              <w:snapToGrid w:val="0"/>
              <w:jc w:val="center"/>
              <w:rPr>
                <w:rFonts w:hint="eastAsia" w:ascii="宋体" w:hAnsi="宋体" w:eastAsia="宋体" w:cs="宋体"/>
                <w:color w:val="000000"/>
                <w:sz w:val="20"/>
                <w:szCs w:val="16"/>
              </w:rPr>
            </w:pPr>
          </w:p>
        </w:tc>
      </w:tr>
      <w:tr w14:paraId="6108BF13">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2A964E7A">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5</w:t>
            </w:r>
          </w:p>
        </w:tc>
        <w:tc>
          <w:tcPr>
            <w:tcW w:w="1687" w:type="dxa"/>
            <w:tcBorders>
              <w:top w:val="single" w:color="000000" w:sz="4" w:space="0"/>
              <w:left w:val="single" w:color="000000" w:sz="4" w:space="0"/>
              <w:bottom w:val="single" w:color="000000" w:sz="4" w:space="0"/>
              <w:right w:val="single" w:color="000000" w:sz="4" w:space="0"/>
            </w:tcBorders>
            <w:vAlign w:val="center"/>
          </w:tcPr>
          <w:p w14:paraId="715138A9">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测温分机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120C0832">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D0D0D"/>
                <w:kern w:val="0"/>
                <w:sz w:val="20"/>
                <w:szCs w:val="20"/>
                <w:u w:val="none"/>
                <w:lang w:val="en-US" w:eastAsia="zh-CN" w:bidi="ar"/>
              </w:rPr>
              <w:t>规格:具有测温.测湿检测功能，电子防雷保护；防护箱采用304不锈钢材质。技术参数不低于：</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1.分机工作环境湿度：10%RH～99%RH</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2.检测温度范围：-20℃～125℃</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3.检测湿度范围：0%RH～99%RH</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4.分机抗雷击电压：不低于±4KV</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5.温度检测误差：不高于±0.5℃</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6.湿度检测误差: 不高于±3%RH</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7.检测分机容量：，不低于512个测温点</w:t>
            </w:r>
            <w:r>
              <w:rPr>
                <w:rFonts w:hint="eastAsia" w:ascii="宋体" w:hAnsi="宋体" w:eastAsia="宋体" w:cs="宋体"/>
                <w:i w:val="0"/>
                <w:iCs w:val="0"/>
                <w:color w:val="0D0D0D"/>
                <w:kern w:val="0"/>
                <w:sz w:val="20"/>
                <w:szCs w:val="20"/>
                <w:u w:val="none"/>
                <w:lang w:val="en-US" w:eastAsia="zh-CN" w:bidi="ar"/>
              </w:rPr>
              <w:br w:type="textWrapping"/>
            </w:r>
            <w:r>
              <w:rPr>
                <w:rFonts w:hint="eastAsia" w:ascii="宋体" w:hAnsi="宋体" w:eastAsia="宋体" w:cs="宋体"/>
                <w:i w:val="0"/>
                <w:iCs w:val="0"/>
                <w:color w:val="0D0D0D"/>
                <w:kern w:val="0"/>
                <w:sz w:val="20"/>
                <w:szCs w:val="20"/>
                <w:u w:val="none"/>
                <w:lang w:val="en-US" w:eastAsia="zh-CN" w:bidi="ar"/>
              </w:rPr>
              <w:t>8.具备TCP/IP通讯和无线通讯功能</w:t>
            </w:r>
          </w:p>
        </w:tc>
        <w:tc>
          <w:tcPr>
            <w:tcW w:w="648" w:type="dxa"/>
            <w:tcBorders>
              <w:top w:val="single" w:color="000000" w:sz="4" w:space="0"/>
              <w:left w:val="single" w:color="000000" w:sz="4" w:space="0"/>
              <w:bottom w:val="single" w:color="000000" w:sz="4" w:space="0"/>
              <w:right w:val="single" w:color="000000" w:sz="4" w:space="0"/>
            </w:tcBorders>
            <w:vAlign w:val="center"/>
          </w:tcPr>
          <w:p w14:paraId="431D3047">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8B61173">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3</w:t>
            </w:r>
          </w:p>
        </w:tc>
        <w:tc>
          <w:tcPr>
            <w:tcW w:w="648" w:type="dxa"/>
            <w:tcBorders>
              <w:top w:val="single" w:color="000000" w:sz="4" w:space="0"/>
              <w:left w:val="single" w:color="000000" w:sz="4" w:space="0"/>
              <w:bottom w:val="single" w:color="000000" w:sz="4" w:space="0"/>
              <w:right w:val="single" w:color="000000" w:sz="4" w:space="0"/>
            </w:tcBorders>
            <w:vAlign w:val="center"/>
          </w:tcPr>
          <w:p w14:paraId="523A866E">
            <w:pPr>
              <w:snapToGrid w:val="0"/>
              <w:jc w:val="center"/>
              <w:rPr>
                <w:rFonts w:hint="eastAsia" w:ascii="宋体" w:hAnsi="宋体" w:eastAsia="宋体" w:cs="宋体"/>
                <w:color w:val="000000"/>
                <w:sz w:val="20"/>
                <w:szCs w:val="20"/>
              </w:rPr>
            </w:pPr>
          </w:p>
        </w:tc>
      </w:tr>
      <w:tr w14:paraId="1358B46C">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4C621EFE">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6</w:t>
            </w:r>
          </w:p>
        </w:tc>
        <w:tc>
          <w:tcPr>
            <w:tcW w:w="1687" w:type="dxa"/>
            <w:tcBorders>
              <w:top w:val="single" w:color="000000" w:sz="4" w:space="0"/>
              <w:left w:val="single" w:color="000000" w:sz="4" w:space="0"/>
              <w:bottom w:val="single" w:color="000000" w:sz="4" w:space="0"/>
              <w:right w:val="single" w:color="000000" w:sz="4" w:space="0"/>
            </w:tcBorders>
            <w:vAlign w:val="center"/>
          </w:tcPr>
          <w:p w14:paraId="49B1CD9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仓内温湿度</w:t>
            </w:r>
          </w:p>
        </w:tc>
        <w:tc>
          <w:tcPr>
            <w:tcW w:w="5171" w:type="dxa"/>
            <w:tcBorders>
              <w:top w:val="single" w:color="000000" w:sz="4" w:space="0"/>
              <w:left w:val="single" w:color="000000" w:sz="4" w:space="0"/>
              <w:bottom w:val="single" w:color="000000" w:sz="4" w:space="0"/>
              <w:right w:val="single" w:color="000000" w:sz="4" w:space="0"/>
            </w:tcBorders>
            <w:vAlign w:val="center"/>
          </w:tcPr>
          <w:p w14:paraId="4AE91BB8">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D0D0D"/>
                <w:kern w:val="0"/>
                <w:sz w:val="20"/>
                <w:szCs w:val="20"/>
                <w:u w:val="none"/>
                <w:lang w:val="en-US" w:eastAsia="zh-CN" w:bidi="ar"/>
              </w:rPr>
              <w:t>18B20，抗拉强度≥350公斤，镀锡铜导线截面积≥0.3MM2，传感器、导线完全密封，在熏蒸时能正常测温，高压聚乙烯护套。电缆所用的快速接头均为防熏蒸连接器，防护等级要求IP66以上。</w:t>
            </w:r>
          </w:p>
        </w:tc>
        <w:tc>
          <w:tcPr>
            <w:tcW w:w="648" w:type="dxa"/>
            <w:tcBorders>
              <w:top w:val="single" w:color="000000" w:sz="4" w:space="0"/>
              <w:left w:val="single" w:color="000000" w:sz="4" w:space="0"/>
              <w:bottom w:val="single" w:color="000000" w:sz="4" w:space="0"/>
              <w:right w:val="single" w:color="000000" w:sz="4" w:space="0"/>
            </w:tcBorders>
            <w:vAlign w:val="center"/>
          </w:tcPr>
          <w:p w14:paraId="23C91D03">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F88F2DF">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3</w:t>
            </w:r>
          </w:p>
        </w:tc>
        <w:tc>
          <w:tcPr>
            <w:tcW w:w="648" w:type="dxa"/>
            <w:tcBorders>
              <w:top w:val="single" w:color="000000" w:sz="4" w:space="0"/>
              <w:left w:val="single" w:color="000000" w:sz="4" w:space="0"/>
              <w:bottom w:val="single" w:color="000000" w:sz="4" w:space="0"/>
              <w:right w:val="single" w:color="000000" w:sz="4" w:space="0"/>
            </w:tcBorders>
            <w:vAlign w:val="center"/>
          </w:tcPr>
          <w:p w14:paraId="05B026A3">
            <w:pPr>
              <w:snapToGrid w:val="0"/>
              <w:jc w:val="center"/>
              <w:rPr>
                <w:rFonts w:hint="eastAsia" w:ascii="宋体" w:hAnsi="宋体" w:eastAsia="宋体" w:cs="宋体"/>
                <w:color w:val="000000"/>
                <w:sz w:val="20"/>
                <w:szCs w:val="20"/>
              </w:rPr>
            </w:pPr>
          </w:p>
        </w:tc>
      </w:tr>
      <w:tr w14:paraId="2A93BE33">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40A0795F">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7</w:t>
            </w:r>
          </w:p>
        </w:tc>
        <w:tc>
          <w:tcPr>
            <w:tcW w:w="1687" w:type="dxa"/>
            <w:tcBorders>
              <w:top w:val="single" w:color="000000" w:sz="4" w:space="0"/>
              <w:left w:val="single" w:color="000000" w:sz="4" w:space="0"/>
              <w:bottom w:val="single" w:color="000000" w:sz="4" w:space="0"/>
              <w:right w:val="single" w:color="000000" w:sz="4" w:space="0"/>
            </w:tcBorders>
            <w:vAlign w:val="center"/>
          </w:tcPr>
          <w:p w14:paraId="55C8D2C8">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仓外温湿度</w:t>
            </w:r>
          </w:p>
        </w:tc>
        <w:tc>
          <w:tcPr>
            <w:tcW w:w="5171" w:type="dxa"/>
            <w:tcBorders>
              <w:top w:val="single" w:color="000000" w:sz="4" w:space="0"/>
              <w:left w:val="single" w:color="000000" w:sz="4" w:space="0"/>
              <w:bottom w:val="single" w:color="000000" w:sz="4" w:space="0"/>
              <w:right w:val="single" w:color="000000" w:sz="4" w:space="0"/>
            </w:tcBorders>
            <w:vAlign w:val="center"/>
          </w:tcPr>
          <w:p w14:paraId="49CD34D7">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D0D0D"/>
                <w:kern w:val="0"/>
                <w:sz w:val="20"/>
                <w:szCs w:val="20"/>
                <w:u w:val="none"/>
                <w:lang w:val="en-US" w:eastAsia="zh-CN" w:bidi="ar"/>
              </w:rPr>
              <w:t>检测范围：-40℃～+85℃ ±0.5℃ 10%RH～99%RH ±3%RH</w:t>
            </w:r>
          </w:p>
        </w:tc>
        <w:tc>
          <w:tcPr>
            <w:tcW w:w="648" w:type="dxa"/>
            <w:tcBorders>
              <w:top w:val="single" w:color="000000" w:sz="4" w:space="0"/>
              <w:left w:val="single" w:color="000000" w:sz="4" w:space="0"/>
              <w:bottom w:val="single" w:color="000000" w:sz="4" w:space="0"/>
              <w:right w:val="single" w:color="000000" w:sz="4" w:space="0"/>
            </w:tcBorders>
            <w:vAlign w:val="center"/>
          </w:tcPr>
          <w:p w14:paraId="5AE41C45">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8A23A59">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648" w:type="dxa"/>
            <w:tcBorders>
              <w:top w:val="single" w:color="000000" w:sz="4" w:space="0"/>
              <w:left w:val="single" w:color="000000" w:sz="4" w:space="0"/>
              <w:bottom w:val="single" w:color="000000" w:sz="4" w:space="0"/>
              <w:right w:val="single" w:color="000000" w:sz="4" w:space="0"/>
            </w:tcBorders>
            <w:vAlign w:val="center"/>
          </w:tcPr>
          <w:p w14:paraId="6DC70827">
            <w:pPr>
              <w:snapToGrid w:val="0"/>
              <w:jc w:val="center"/>
              <w:rPr>
                <w:rFonts w:hint="eastAsia" w:ascii="宋体" w:hAnsi="宋体" w:eastAsia="宋体" w:cs="宋体"/>
                <w:color w:val="000000"/>
                <w:sz w:val="20"/>
                <w:szCs w:val="20"/>
              </w:rPr>
            </w:pPr>
          </w:p>
        </w:tc>
      </w:tr>
      <w:tr w14:paraId="4A48029B">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2C8844B2">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8</w:t>
            </w:r>
          </w:p>
        </w:tc>
        <w:tc>
          <w:tcPr>
            <w:tcW w:w="1687" w:type="dxa"/>
            <w:tcBorders>
              <w:top w:val="single" w:color="000000" w:sz="4" w:space="0"/>
              <w:left w:val="single" w:color="000000" w:sz="4" w:space="0"/>
              <w:bottom w:val="single" w:color="000000" w:sz="4" w:space="0"/>
              <w:right w:val="single" w:color="000000" w:sz="4" w:space="0"/>
            </w:tcBorders>
            <w:vAlign w:val="center"/>
          </w:tcPr>
          <w:p w14:paraId="4A20388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测温电缆</w:t>
            </w:r>
          </w:p>
        </w:tc>
        <w:tc>
          <w:tcPr>
            <w:tcW w:w="5171" w:type="dxa"/>
            <w:tcBorders>
              <w:top w:val="single" w:color="000000" w:sz="4" w:space="0"/>
              <w:left w:val="single" w:color="000000" w:sz="4" w:space="0"/>
              <w:bottom w:val="single" w:color="000000" w:sz="4" w:space="0"/>
              <w:right w:val="single" w:color="000000" w:sz="4" w:space="0"/>
            </w:tcBorders>
            <w:vAlign w:val="center"/>
          </w:tcPr>
          <w:p w14:paraId="16C833AC">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D0D0D"/>
                <w:kern w:val="0"/>
                <w:sz w:val="20"/>
                <w:szCs w:val="20"/>
                <w:u w:val="none"/>
                <w:lang w:val="en-US" w:eastAsia="zh-CN" w:bidi="ar"/>
              </w:rPr>
              <w:t>检测范围：-40℃～+85℃ ±0.5℃ 10%RH～99%RH ±4%RH</w:t>
            </w:r>
          </w:p>
        </w:tc>
        <w:tc>
          <w:tcPr>
            <w:tcW w:w="648" w:type="dxa"/>
            <w:tcBorders>
              <w:top w:val="single" w:color="000000" w:sz="4" w:space="0"/>
              <w:left w:val="single" w:color="000000" w:sz="4" w:space="0"/>
              <w:bottom w:val="single" w:color="000000" w:sz="4" w:space="0"/>
              <w:right w:val="single" w:color="000000" w:sz="4" w:space="0"/>
            </w:tcBorders>
            <w:vAlign w:val="center"/>
          </w:tcPr>
          <w:p w14:paraId="2F168A5A">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条</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84A2916">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166</w:t>
            </w:r>
          </w:p>
        </w:tc>
        <w:tc>
          <w:tcPr>
            <w:tcW w:w="648" w:type="dxa"/>
            <w:tcBorders>
              <w:top w:val="single" w:color="000000" w:sz="4" w:space="0"/>
              <w:left w:val="single" w:color="000000" w:sz="4" w:space="0"/>
              <w:bottom w:val="single" w:color="000000" w:sz="4" w:space="0"/>
              <w:right w:val="single" w:color="000000" w:sz="4" w:space="0"/>
            </w:tcBorders>
            <w:vAlign w:val="center"/>
          </w:tcPr>
          <w:p w14:paraId="7FD0B707">
            <w:pPr>
              <w:snapToGrid w:val="0"/>
              <w:jc w:val="center"/>
              <w:rPr>
                <w:rFonts w:hint="eastAsia" w:ascii="宋体" w:hAnsi="宋体" w:eastAsia="宋体" w:cs="宋体"/>
                <w:color w:val="000000"/>
                <w:sz w:val="20"/>
                <w:szCs w:val="20"/>
              </w:rPr>
            </w:pPr>
          </w:p>
        </w:tc>
      </w:tr>
      <w:tr w14:paraId="2081F348">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1085ACC3">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9</w:t>
            </w:r>
          </w:p>
        </w:tc>
        <w:tc>
          <w:tcPr>
            <w:tcW w:w="1687" w:type="dxa"/>
            <w:tcBorders>
              <w:top w:val="single" w:color="000000" w:sz="4" w:space="0"/>
              <w:left w:val="single" w:color="000000" w:sz="4" w:space="0"/>
              <w:bottom w:val="single" w:color="000000" w:sz="4" w:space="0"/>
              <w:right w:val="single" w:color="000000" w:sz="4" w:space="0"/>
            </w:tcBorders>
            <w:vAlign w:val="center"/>
          </w:tcPr>
          <w:p w14:paraId="28B0FDF3">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8口POE交换机</w:t>
            </w:r>
          </w:p>
        </w:tc>
        <w:tc>
          <w:tcPr>
            <w:tcW w:w="5171" w:type="dxa"/>
            <w:tcBorders>
              <w:top w:val="single" w:color="000000" w:sz="4" w:space="0"/>
              <w:left w:val="single" w:color="000000" w:sz="4" w:space="0"/>
              <w:bottom w:val="single" w:color="000000" w:sz="4" w:space="0"/>
              <w:right w:val="single" w:color="000000" w:sz="4" w:space="0"/>
            </w:tcBorders>
            <w:vAlign w:val="center"/>
          </w:tcPr>
          <w:p w14:paraId="4C58912E">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 配置：可用千兆PoE电口数量≥8，千兆光口数量≥2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 交换容量≥20Gbps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 转发性能≥14.88Mpps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提供CQC认证证书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支持通过管理平台和手机APP对交换机进行远程控制和状态查看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支持通过管理平台和手机APP展示并管理交换机的拓扑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 支持通过管理平台和手机APP对交换机进行远程升级、远程重启功能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支持自适应802.3af/at供电标准，整机最大输出功率≥110W，支持POE 过载保护/过压保护功能，支持POE上电/下电功率管理功能，支持POE看门狗功能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 ★支持SNMP管理、LLDP功能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10 支持链路聚合、QoS、STP/RSTP、端口镜像、端口隔离、风暴抑制功能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11 ★浪涌（冲击）抗扰度符合GB/T17626.5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12 支持工作温度范围为0℃-45℃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 ★支持64Bytes-1518Bytes下均能线速转发</w:t>
            </w:r>
          </w:p>
        </w:tc>
        <w:tc>
          <w:tcPr>
            <w:tcW w:w="648" w:type="dxa"/>
            <w:tcBorders>
              <w:top w:val="single" w:color="000000" w:sz="4" w:space="0"/>
              <w:left w:val="single" w:color="000000" w:sz="4" w:space="0"/>
              <w:bottom w:val="single" w:color="000000" w:sz="4" w:space="0"/>
              <w:right w:val="single" w:color="000000" w:sz="4" w:space="0"/>
            </w:tcBorders>
            <w:vAlign w:val="center"/>
          </w:tcPr>
          <w:p w14:paraId="1B3597E8">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A7C02D0">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648" w:type="dxa"/>
            <w:tcBorders>
              <w:top w:val="single" w:color="000000" w:sz="4" w:space="0"/>
              <w:left w:val="single" w:color="000000" w:sz="4" w:space="0"/>
              <w:bottom w:val="single" w:color="000000" w:sz="4" w:space="0"/>
              <w:right w:val="single" w:color="000000" w:sz="4" w:space="0"/>
            </w:tcBorders>
            <w:vAlign w:val="center"/>
          </w:tcPr>
          <w:p w14:paraId="253A09C0">
            <w:pPr>
              <w:snapToGrid w:val="0"/>
              <w:jc w:val="center"/>
              <w:rPr>
                <w:rFonts w:hint="eastAsia" w:ascii="宋体" w:hAnsi="宋体" w:eastAsia="宋体" w:cs="宋体"/>
                <w:color w:val="000000"/>
                <w:sz w:val="20"/>
                <w:szCs w:val="20"/>
              </w:rPr>
            </w:pPr>
          </w:p>
        </w:tc>
      </w:tr>
      <w:tr w14:paraId="6EEF87E2">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29502198">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10</w:t>
            </w:r>
          </w:p>
        </w:tc>
        <w:tc>
          <w:tcPr>
            <w:tcW w:w="1687" w:type="dxa"/>
            <w:tcBorders>
              <w:top w:val="single" w:color="000000" w:sz="4" w:space="0"/>
              <w:left w:val="single" w:color="000000" w:sz="4" w:space="0"/>
              <w:bottom w:val="single" w:color="000000" w:sz="4" w:space="0"/>
              <w:right w:val="single" w:color="000000" w:sz="4" w:space="0"/>
            </w:tcBorders>
            <w:vAlign w:val="center"/>
          </w:tcPr>
          <w:p w14:paraId="69F1A11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机柜</w:t>
            </w:r>
          </w:p>
        </w:tc>
        <w:tc>
          <w:tcPr>
            <w:tcW w:w="5171" w:type="dxa"/>
            <w:tcBorders>
              <w:top w:val="single" w:color="000000" w:sz="4" w:space="0"/>
              <w:left w:val="single" w:color="000000" w:sz="4" w:space="0"/>
              <w:bottom w:val="single" w:color="000000" w:sz="4" w:space="0"/>
              <w:right w:val="single" w:color="000000" w:sz="4" w:space="0"/>
            </w:tcBorders>
            <w:vAlign w:val="center"/>
          </w:tcPr>
          <w:p w14:paraId="57215565">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22u服务器机柜</w:t>
            </w:r>
          </w:p>
        </w:tc>
        <w:tc>
          <w:tcPr>
            <w:tcW w:w="648" w:type="dxa"/>
            <w:tcBorders>
              <w:top w:val="single" w:color="000000" w:sz="4" w:space="0"/>
              <w:left w:val="single" w:color="000000" w:sz="4" w:space="0"/>
              <w:bottom w:val="single" w:color="000000" w:sz="4" w:space="0"/>
              <w:right w:val="single" w:color="000000" w:sz="4" w:space="0"/>
            </w:tcBorders>
            <w:vAlign w:val="center"/>
          </w:tcPr>
          <w:p w14:paraId="3E5A553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00892B38">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648" w:type="dxa"/>
            <w:tcBorders>
              <w:top w:val="single" w:color="000000" w:sz="4" w:space="0"/>
              <w:left w:val="single" w:color="000000" w:sz="4" w:space="0"/>
              <w:bottom w:val="single" w:color="000000" w:sz="4" w:space="0"/>
              <w:right w:val="single" w:color="000000" w:sz="4" w:space="0"/>
            </w:tcBorders>
            <w:vAlign w:val="center"/>
          </w:tcPr>
          <w:p w14:paraId="01D9053E">
            <w:pPr>
              <w:snapToGrid w:val="0"/>
              <w:jc w:val="center"/>
              <w:rPr>
                <w:rFonts w:hint="eastAsia" w:ascii="宋体" w:hAnsi="宋体" w:eastAsia="宋体" w:cs="宋体"/>
                <w:color w:val="000000"/>
                <w:sz w:val="20"/>
                <w:szCs w:val="20"/>
              </w:rPr>
            </w:pPr>
          </w:p>
        </w:tc>
      </w:tr>
      <w:tr w14:paraId="682B2657">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0FD46335">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11</w:t>
            </w:r>
          </w:p>
        </w:tc>
        <w:tc>
          <w:tcPr>
            <w:tcW w:w="1687" w:type="dxa"/>
            <w:tcBorders>
              <w:top w:val="single" w:color="000000" w:sz="4" w:space="0"/>
              <w:left w:val="single" w:color="000000" w:sz="4" w:space="0"/>
              <w:bottom w:val="single" w:color="000000" w:sz="4" w:space="0"/>
              <w:right w:val="single" w:color="000000" w:sz="4" w:space="0"/>
            </w:tcBorders>
            <w:vAlign w:val="center"/>
          </w:tcPr>
          <w:p w14:paraId="0D6E3004">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数据对接服务费</w:t>
            </w:r>
          </w:p>
        </w:tc>
        <w:tc>
          <w:tcPr>
            <w:tcW w:w="5171" w:type="dxa"/>
            <w:tcBorders>
              <w:top w:val="single" w:color="000000" w:sz="4" w:space="0"/>
              <w:left w:val="single" w:color="000000" w:sz="4" w:space="0"/>
              <w:bottom w:val="single" w:color="000000" w:sz="4" w:space="0"/>
              <w:right w:val="single" w:color="000000" w:sz="4" w:space="0"/>
            </w:tcBorders>
            <w:vAlign w:val="center"/>
          </w:tcPr>
          <w:p w14:paraId="41086551">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实现粮食（油）购销子系统设备、仓储保管子系统、安全生产子系统等设备与智慧粮库系统信息化管理系统的集成，以及与省级监管平台的对接:按照《粮食购销领域监管信息化规范(2022年4月)》的要求实现视频监控和数据与省平台互联互通。</w:t>
            </w:r>
          </w:p>
        </w:tc>
        <w:tc>
          <w:tcPr>
            <w:tcW w:w="648" w:type="dxa"/>
            <w:tcBorders>
              <w:top w:val="single" w:color="000000" w:sz="4" w:space="0"/>
              <w:left w:val="single" w:color="000000" w:sz="4" w:space="0"/>
              <w:bottom w:val="single" w:color="000000" w:sz="4" w:space="0"/>
              <w:right w:val="single" w:color="000000" w:sz="4" w:space="0"/>
            </w:tcBorders>
            <w:vAlign w:val="center"/>
          </w:tcPr>
          <w:p w14:paraId="51E9512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批</w:t>
            </w:r>
          </w:p>
        </w:tc>
        <w:tc>
          <w:tcPr>
            <w:tcW w:w="648" w:type="dxa"/>
            <w:tcBorders>
              <w:top w:val="single" w:color="000000" w:sz="4" w:space="0"/>
              <w:left w:val="single" w:color="000000" w:sz="4" w:space="0"/>
              <w:bottom w:val="single" w:color="000000" w:sz="4" w:space="0"/>
              <w:right w:val="single" w:color="000000" w:sz="4" w:space="0"/>
            </w:tcBorders>
            <w:vAlign w:val="center"/>
          </w:tcPr>
          <w:p w14:paraId="5F9CC205">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vAlign w:val="center"/>
          </w:tcPr>
          <w:p w14:paraId="4771279A">
            <w:pPr>
              <w:snapToGrid w:val="0"/>
              <w:jc w:val="center"/>
              <w:rPr>
                <w:rFonts w:hint="eastAsia" w:ascii="宋体" w:hAnsi="宋体" w:eastAsia="宋体" w:cs="宋体"/>
                <w:color w:val="000000"/>
                <w:sz w:val="20"/>
                <w:szCs w:val="20"/>
              </w:rPr>
            </w:pPr>
          </w:p>
        </w:tc>
      </w:tr>
      <w:tr w14:paraId="220452F5">
        <w:tblPrEx>
          <w:tblCellMar>
            <w:top w:w="32" w:type="dxa"/>
            <w:left w:w="64" w:type="dxa"/>
            <w:bottom w:w="32" w:type="dxa"/>
            <w:right w:w="64" w:type="dxa"/>
          </w:tblCellMar>
        </w:tblPrEx>
        <w:trPr>
          <w:trHeight w:val="0" w:hRule="atLeast"/>
          <w:jc w:val="center"/>
        </w:trPr>
        <w:tc>
          <w:tcPr>
            <w:tcW w:w="9450" w:type="dxa"/>
            <w:gridSpan w:val="6"/>
            <w:tcBorders>
              <w:top w:val="single" w:color="000000" w:sz="4" w:space="0"/>
              <w:left w:val="single" w:color="000000" w:sz="4" w:space="0"/>
              <w:bottom w:val="single" w:color="000000" w:sz="4" w:space="0"/>
              <w:right w:val="single" w:color="000000" w:sz="4" w:space="0"/>
            </w:tcBorders>
            <w:shd w:val="clear" w:color="auto" w:fill="D0CECE"/>
            <w:vAlign w:val="center"/>
          </w:tcPr>
          <w:p w14:paraId="7E59B334">
            <w:pPr>
              <w:widowControl/>
              <w:snapToGrid w:val="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四、嘉升库</w:t>
            </w:r>
          </w:p>
        </w:tc>
      </w:tr>
      <w:tr w14:paraId="728448F8">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6E83933F">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687" w:type="dxa"/>
            <w:tcBorders>
              <w:top w:val="single" w:color="000000" w:sz="4" w:space="0"/>
              <w:left w:val="single" w:color="000000" w:sz="4" w:space="0"/>
              <w:bottom w:val="single" w:color="000000" w:sz="4" w:space="0"/>
              <w:right w:val="single" w:color="000000" w:sz="4" w:space="0"/>
            </w:tcBorders>
            <w:vAlign w:val="center"/>
          </w:tcPr>
          <w:p w14:paraId="049B917E">
            <w:pPr>
              <w:widowControl/>
              <w:snapToGrid w:val="0"/>
              <w:jc w:val="center"/>
              <w:textAlignment w:val="center"/>
              <w:rPr>
                <w:rFonts w:hint="eastAsia" w:ascii="宋体" w:hAnsi="宋体" w:eastAsia="宋体" w:cs="宋体"/>
                <w:color w:val="000000"/>
                <w:sz w:val="20"/>
                <w:szCs w:val="18"/>
              </w:rPr>
            </w:pPr>
            <w:r>
              <w:rPr>
                <w:rFonts w:hint="eastAsia" w:ascii="宋体" w:hAnsi="宋体" w:eastAsia="宋体" w:cs="宋体"/>
                <w:color w:val="000000"/>
                <w:kern w:val="0"/>
                <w:sz w:val="20"/>
                <w:szCs w:val="18"/>
                <w:lang w:bidi="ar"/>
              </w:rPr>
              <w:t>嘉升库库端设备集成</w:t>
            </w:r>
          </w:p>
        </w:tc>
        <w:tc>
          <w:tcPr>
            <w:tcW w:w="5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F2F33">
            <w:pPr>
              <w:keepNext w:val="0"/>
              <w:keepLines w:val="0"/>
              <w:widowControl/>
              <w:suppressLineNumbers w:val="0"/>
              <w:snapToGrid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实现粮食购销子系统设备、仓储保管子系统、安全生产子系统等设备与智慧粮库系统信息化管理系统的集成，以及与省级监管平台的对接:按照《粮食购销领域监管信息化规范(2022年4月)》的要求实现视频监控和数据与省平台互联互通。</w:t>
            </w:r>
          </w:p>
        </w:tc>
        <w:tc>
          <w:tcPr>
            <w:tcW w:w="648" w:type="dxa"/>
            <w:tcBorders>
              <w:top w:val="single" w:color="000000" w:sz="4" w:space="0"/>
              <w:left w:val="single" w:color="000000" w:sz="4" w:space="0"/>
              <w:bottom w:val="single" w:color="000000" w:sz="4" w:space="0"/>
              <w:right w:val="single" w:color="000000" w:sz="4" w:space="0"/>
            </w:tcBorders>
            <w:vAlign w:val="center"/>
          </w:tcPr>
          <w:p w14:paraId="64C24599">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批</w:t>
            </w:r>
          </w:p>
        </w:tc>
        <w:tc>
          <w:tcPr>
            <w:tcW w:w="648" w:type="dxa"/>
            <w:tcBorders>
              <w:top w:val="single" w:color="000000" w:sz="4" w:space="0"/>
              <w:left w:val="single" w:color="000000" w:sz="4" w:space="0"/>
              <w:bottom w:val="single" w:color="000000" w:sz="4" w:space="0"/>
              <w:right w:val="single" w:color="000000" w:sz="4" w:space="0"/>
            </w:tcBorders>
            <w:vAlign w:val="center"/>
          </w:tcPr>
          <w:p w14:paraId="4FE68518">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vAlign w:val="center"/>
          </w:tcPr>
          <w:p w14:paraId="5E9BA5AE">
            <w:pPr>
              <w:snapToGrid w:val="0"/>
              <w:jc w:val="center"/>
              <w:rPr>
                <w:rFonts w:hint="eastAsia" w:ascii="宋体" w:hAnsi="宋体" w:eastAsia="宋体" w:cs="宋体"/>
                <w:color w:val="000000"/>
                <w:sz w:val="20"/>
                <w:szCs w:val="20"/>
              </w:rPr>
            </w:pPr>
          </w:p>
        </w:tc>
      </w:tr>
      <w:tr w14:paraId="18E0B946">
        <w:tblPrEx>
          <w:tblCellMar>
            <w:top w:w="32" w:type="dxa"/>
            <w:left w:w="64" w:type="dxa"/>
            <w:bottom w:w="32" w:type="dxa"/>
            <w:right w:w="64" w:type="dxa"/>
          </w:tblCellMar>
        </w:tblPrEx>
        <w:trPr>
          <w:trHeight w:val="0" w:hRule="atLeast"/>
          <w:jc w:val="center"/>
        </w:trPr>
        <w:tc>
          <w:tcPr>
            <w:tcW w:w="9450" w:type="dxa"/>
            <w:gridSpan w:val="6"/>
            <w:tcBorders>
              <w:top w:val="single" w:color="000000" w:sz="4" w:space="0"/>
              <w:left w:val="single" w:color="000000" w:sz="4" w:space="0"/>
              <w:bottom w:val="single" w:color="000000" w:sz="4" w:space="0"/>
              <w:right w:val="single" w:color="000000" w:sz="4" w:space="0"/>
            </w:tcBorders>
            <w:shd w:val="clear" w:color="auto" w:fill="D0CECE"/>
            <w:vAlign w:val="center"/>
          </w:tcPr>
          <w:p w14:paraId="3ACA073C">
            <w:pPr>
              <w:widowControl/>
              <w:snapToGrid w:val="0"/>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五、系统监控中心</w:t>
            </w:r>
          </w:p>
        </w:tc>
      </w:tr>
      <w:tr w14:paraId="076F7AEA">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31416E5D">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1687" w:type="dxa"/>
            <w:tcBorders>
              <w:top w:val="single" w:color="000000" w:sz="4" w:space="0"/>
              <w:left w:val="single" w:color="000000" w:sz="4" w:space="0"/>
              <w:bottom w:val="single" w:color="000000" w:sz="4" w:space="0"/>
              <w:right w:val="single" w:color="000000" w:sz="4" w:space="0"/>
            </w:tcBorders>
            <w:vAlign w:val="center"/>
          </w:tcPr>
          <w:p w14:paraId="2339C0A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LED显示屏</w:t>
            </w:r>
          </w:p>
        </w:tc>
        <w:tc>
          <w:tcPr>
            <w:tcW w:w="5171" w:type="dxa"/>
            <w:tcBorders>
              <w:top w:val="single" w:color="000000" w:sz="4" w:space="0"/>
              <w:left w:val="single" w:color="000000" w:sz="4" w:space="0"/>
              <w:bottom w:val="single" w:color="000000" w:sz="4" w:space="0"/>
              <w:right w:val="single" w:color="000000" w:sz="4" w:space="0"/>
            </w:tcBorders>
            <w:vAlign w:val="center"/>
          </w:tcPr>
          <w:p w14:paraId="084F1BC1">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1、像素间距: ≤1.54mm，像素密度：≥422000点/m²; SMD 3in1。</w:t>
            </w:r>
          </w:p>
          <w:p w14:paraId="5026121C">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2、平整度≤0.04mm</w:t>
            </w:r>
          </w:p>
          <w:p w14:paraId="260E0077">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3、模组表面绝缘≥500ΜΩ： </w:t>
            </w:r>
          </w:p>
          <w:p w14:paraId="24049297">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4、泄露电流≤1.5mA/ m²</w:t>
            </w:r>
          </w:p>
          <w:p w14:paraId="35D9EE04">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5、水平视角≥160°，垂直视角≥150°;</w:t>
            </w:r>
          </w:p>
          <w:p w14:paraId="73355427">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6、亮度:≥500nits（CD/ m²）。支持手动/自动调节，0-100%调节；亮度均匀性≥99%：发光点中心距偏差:≤0.20%；</w:t>
            </w:r>
          </w:p>
          <w:p w14:paraId="3D439CF5">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7、对比度：≥5000：1; </w:t>
            </w:r>
          </w:p>
          <w:p w14:paraId="5BDE953C">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8、色温：3000K-18000K 可调。 </w:t>
            </w:r>
          </w:p>
          <w:p w14:paraId="26DDFEB3">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9、刷新频率：≥3840Hz; 换帧频率： 60HZ，支持120HZ等3D显示技术。</w:t>
            </w:r>
          </w:p>
          <w:p w14:paraId="60632F04">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10、像素失控率≤1/100000，无连续失控点；</w:t>
            </w:r>
          </w:p>
          <w:p w14:paraId="0BFA711D">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11、低亮高灰：100%亮度时，16bits灰度；20%亮度时，12bits灰度；</w:t>
            </w:r>
          </w:p>
          <w:p w14:paraId="11FBC967">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12、表面硬度≥4H</w:t>
            </w:r>
          </w:p>
          <w:p w14:paraId="21615B15">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13、LED灯珠推力：应满足不易因轻微碰撞而损伤，灯珠推力45°测试承受力不小于12N。</w:t>
            </w:r>
          </w:p>
          <w:p w14:paraId="3E5FFC91">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14、维护:支持前拆前维护以及后拆后维护；支持热拔插抢修。</w:t>
            </w:r>
          </w:p>
          <w:p w14:paraId="459EAA17">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15、采用PWM恒流驱动芯片，支持高刷新、高灰度、高亮度。</w:t>
            </w:r>
          </w:p>
          <w:p w14:paraId="7C41FEF2">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16、具有单点亮度、色度校正功能，校正后亮度损失≤10%</w:t>
            </w:r>
          </w:p>
          <w:p w14:paraId="73BDBA99">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17、低延时，支持全链路低延时，延时小于2帧。</w:t>
            </w:r>
          </w:p>
          <w:p w14:paraId="6062DEAF">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18、防护等级：防护等级达到IP6X；盐雾试验满足10级要求；； </w:t>
            </w:r>
          </w:p>
          <w:p w14:paraId="475C049F">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19、支持HDR3.0高图像动态技术； </w:t>
            </w:r>
          </w:p>
          <w:p w14:paraId="20750710">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20、峰值功耗≤330W/㎡ 平均功耗≤130 W/㎡，产品具有智能（黑屏）节电功能，开启智能节电功能比没有开启节能60%。</w:t>
            </w:r>
          </w:p>
          <w:p w14:paraId="65EB2A67">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21、软件亮暗线功能：软件具备一键调节亮、暗线功能。</w:t>
            </w:r>
          </w:p>
          <w:p w14:paraId="2EA9CE90">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23、防眩光功能：对比度高，色彩柔和，防止眩光影响可提升视觉光感。屏幕正面做亚黑处理，反光率≤1%。</w:t>
            </w:r>
          </w:p>
          <w:p w14:paraId="22B9AD9C">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24、LED 显示屏最大亮度（白色）亮度状态下，连续点亮 4小时，屏幕表面（LED模组）升温≤18K；</w:t>
            </w:r>
          </w:p>
          <w:p w14:paraId="1AFDC5DA">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25、支持 7*24 小时连续工作无故障，故障平均修复时间 MTTR≤15 分钟，平均失效间隔时间MTBF≥100000 小时；</w:t>
            </w:r>
          </w:p>
          <w:p w14:paraId="6D80EBB4">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26、信噪比：LED显示屏画面信噪比≥60dB。【观看显示屏1小时，眼睛基本无疲劳感；去除100%紫外线，消除80%摩尔纹】</w:t>
            </w:r>
          </w:p>
          <w:p w14:paraId="3EDDEF26">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27、PCB设计:PCB采用FR-4材质，灯驱合一，电路及表面处理采用多层盲孔设计及沉金工艺。</w:t>
            </w:r>
          </w:p>
          <w:p w14:paraId="5A7329E7">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28、噪音：屏前 1 米处，前后噪声声压＜9dB（A） ，</w:t>
            </w:r>
          </w:p>
          <w:p w14:paraId="493F6A35">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29、LED 显示屏支持高温、高湿工作，LED 显示屏支持在 40℃，90%RH湿度环境中，工作8小时，再回复到常温。试验中以及试验后产品外观结构和功能均正常；</w:t>
            </w:r>
          </w:p>
          <w:p w14:paraId="41318D4B">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30、除湿设计：长时间没有使用屏体，屏体自动切入除湿模式，使屏体从10%到100%亮度逐步显示，达到保护LED灯珠的得效果。 </w:t>
            </w:r>
          </w:p>
          <w:p w14:paraId="12DF7569">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31、LED 显示屏支持冷热冲击，LED 显示屏支持在高温 100℃，低温-40℃，高温和低温各保持 30min，中间转换时间不大于 5min 循环 100 次，常温下恢复2小时，外观结构和功能均正常工作； </w:t>
            </w:r>
          </w:p>
          <w:p w14:paraId="1D65866C">
            <w:pPr>
              <w:keepNext w:val="0"/>
              <w:keepLines w:val="0"/>
              <w:widowControl/>
              <w:suppressLineNumbers w:val="0"/>
              <w:shd w:val="clear"/>
              <w:snapToGrid w:val="0"/>
              <w:jc w:val="lef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32、光生物安全：产品符合光生物相关评估，符合无危害类（RGO）要求； </w:t>
            </w:r>
          </w:p>
          <w:p w14:paraId="2AB9C1A1">
            <w:pPr>
              <w:keepNext w:val="0"/>
              <w:keepLines w:val="0"/>
              <w:widowControl/>
              <w:suppressLineNumbers w:val="0"/>
              <w:shd w:val="clear"/>
              <w:snapToGrid w:val="0"/>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highlight w:val="none"/>
              </w:rPr>
              <w:t>33、阻燃（防火）：PCB的阻燃等级应达到 V-0级；模组底壳的阻燃等级应达到 V-0级。</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DD9E0AF">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1F7AA09">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 xml:space="preserve">8.75 </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77F4FA2">
            <w:pPr>
              <w:snapToGrid w:val="0"/>
              <w:jc w:val="center"/>
              <w:rPr>
                <w:rFonts w:hint="eastAsia" w:ascii="宋体" w:hAnsi="宋体" w:eastAsia="宋体" w:cs="宋体"/>
                <w:color w:val="000000"/>
                <w:sz w:val="20"/>
                <w:szCs w:val="22"/>
              </w:rPr>
            </w:pPr>
          </w:p>
        </w:tc>
      </w:tr>
      <w:tr w14:paraId="051D5408">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18374A18">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1687" w:type="dxa"/>
            <w:tcBorders>
              <w:top w:val="single" w:color="000000" w:sz="4" w:space="0"/>
              <w:left w:val="single" w:color="000000" w:sz="4" w:space="0"/>
              <w:bottom w:val="single" w:color="000000" w:sz="4" w:space="0"/>
              <w:right w:val="single" w:color="000000" w:sz="4" w:space="0"/>
            </w:tcBorders>
            <w:vAlign w:val="center"/>
          </w:tcPr>
          <w:p w14:paraId="33BC5D8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调音台</w:t>
            </w:r>
          </w:p>
        </w:tc>
        <w:tc>
          <w:tcPr>
            <w:tcW w:w="5171" w:type="dxa"/>
            <w:tcBorders>
              <w:top w:val="single" w:color="000000" w:sz="4" w:space="0"/>
              <w:left w:val="single" w:color="000000" w:sz="4" w:space="0"/>
              <w:bottom w:val="single" w:color="000000" w:sz="4" w:space="0"/>
              <w:right w:val="single" w:color="000000" w:sz="4" w:space="0"/>
            </w:tcBorders>
            <w:vAlign w:val="center"/>
          </w:tcPr>
          <w:p w14:paraId="58A3E717">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支持≥8路麦克风输入兼容6路线路输入接口，支持≥2路立体声输入接口，≥4路RCA输入，话筒接口幻象电源：+48V。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具有≥2组立体声输出、≥4路编组输出、≥4路辅助输出、≥1个耳机监听输出、≥1个接口双路效果输出 、≥1组控制室输出、≥1组主混音断点插入、≥6个断点插入。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内置≥24位DSP效果器，提供≥100种预设效果。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具备≥13个60mm行程的高精密碳膜推子。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内置USB声卡模块，支持连接电脑进行音乐播放和声音录音；内置MP3播放器，支持≥1个USB接口接U盘播放音乐。</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E7A91">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95EF4">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7786135">
            <w:pPr>
              <w:snapToGrid w:val="0"/>
              <w:jc w:val="center"/>
              <w:rPr>
                <w:rFonts w:hint="eastAsia" w:ascii="宋体" w:hAnsi="宋体" w:eastAsia="宋体" w:cs="宋体"/>
                <w:color w:val="000000"/>
                <w:sz w:val="20"/>
                <w:szCs w:val="22"/>
              </w:rPr>
            </w:pPr>
          </w:p>
        </w:tc>
      </w:tr>
      <w:tr w14:paraId="50C9A14B">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17480378">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3</w:t>
            </w:r>
          </w:p>
        </w:tc>
        <w:tc>
          <w:tcPr>
            <w:tcW w:w="1687" w:type="dxa"/>
            <w:tcBorders>
              <w:top w:val="single" w:color="000000" w:sz="4" w:space="0"/>
              <w:left w:val="single" w:color="000000" w:sz="4" w:space="0"/>
              <w:bottom w:val="single" w:color="000000" w:sz="4" w:space="0"/>
              <w:right w:val="single" w:color="000000" w:sz="4" w:space="0"/>
            </w:tcBorders>
            <w:vAlign w:val="center"/>
          </w:tcPr>
          <w:p w14:paraId="1BE0BDF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电源时序器</w:t>
            </w:r>
          </w:p>
        </w:tc>
        <w:tc>
          <w:tcPr>
            <w:tcW w:w="5171" w:type="dxa"/>
            <w:tcBorders>
              <w:top w:val="single" w:color="000000" w:sz="4" w:space="0"/>
              <w:left w:val="single" w:color="000000" w:sz="4" w:space="0"/>
              <w:bottom w:val="single" w:color="000000" w:sz="4" w:space="0"/>
              <w:right w:val="single" w:color="000000" w:sz="4" w:space="0"/>
            </w:tcBorders>
            <w:vAlign w:val="center"/>
          </w:tcPr>
          <w:p w14:paraId="6D75562C">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支持≥8通道电源时序打开/关闭，每路动作延时时间：≤1秒，支持远程控制（上电+24V直流信号）8通道电源时序打开/关闭—当电源开关处于off位置时有效。支持配置CH1和CH2通道为受控或不受控状态。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当远程控制有效时同时控制后板ALARM（报警）端口导通以起到级联控制ALARM（报警）功能。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单个通道最大负载功率≥2200W，所有通道负载总功率≥6000W。输出连接器：多用途电源插座。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具有一路及以上USB输出接口。</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9CFD9">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5F8A4">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14B7E0E4">
            <w:pPr>
              <w:snapToGrid w:val="0"/>
              <w:jc w:val="center"/>
              <w:rPr>
                <w:rFonts w:hint="eastAsia" w:ascii="宋体" w:hAnsi="宋体" w:eastAsia="宋体" w:cs="宋体"/>
                <w:color w:val="000000"/>
                <w:sz w:val="20"/>
                <w:szCs w:val="22"/>
              </w:rPr>
            </w:pPr>
          </w:p>
        </w:tc>
      </w:tr>
      <w:tr w14:paraId="7C762973">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4F44F95D">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4</w:t>
            </w:r>
          </w:p>
        </w:tc>
        <w:tc>
          <w:tcPr>
            <w:tcW w:w="1687" w:type="dxa"/>
            <w:tcBorders>
              <w:top w:val="single" w:color="000000" w:sz="4" w:space="0"/>
              <w:left w:val="single" w:color="000000" w:sz="4" w:space="0"/>
              <w:bottom w:val="single" w:color="000000" w:sz="4" w:space="0"/>
              <w:right w:val="single" w:color="000000" w:sz="4" w:space="0"/>
            </w:tcBorders>
            <w:vAlign w:val="center"/>
          </w:tcPr>
          <w:p w14:paraId="3670BEE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音箱</w:t>
            </w:r>
          </w:p>
        </w:tc>
        <w:tc>
          <w:tcPr>
            <w:tcW w:w="5171" w:type="dxa"/>
            <w:tcBorders>
              <w:top w:val="single" w:color="000000" w:sz="4" w:space="0"/>
              <w:left w:val="single" w:color="000000" w:sz="4" w:space="0"/>
              <w:bottom w:val="single" w:color="000000" w:sz="4" w:space="0"/>
              <w:right w:val="single" w:color="000000" w:sz="4" w:space="0"/>
            </w:tcBorders>
            <w:vAlign w:val="center"/>
          </w:tcPr>
          <w:p w14:paraId="27696FE3">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阻抗≤8Ω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频响等同或优于65Hz-20KHz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额定功率≥250W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灵敏度≥97dB/W/M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水平覆盖角≥80°，垂直覆盖角≥60°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高音≥1  4"压缩高音单元×1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低音≥10"低音×1</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B8AD4">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只</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738CA">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6</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54C12EE">
            <w:pPr>
              <w:snapToGrid w:val="0"/>
              <w:jc w:val="center"/>
              <w:rPr>
                <w:rFonts w:hint="eastAsia" w:ascii="宋体" w:hAnsi="宋体" w:eastAsia="宋体" w:cs="宋体"/>
                <w:color w:val="000000"/>
                <w:sz w:val="20"/>
                <w:szCs w:val="22"/>
              </w:rPr>
            </w:pPr>
          </w:p>
        </w:tc>
      </w:tr>
      <w:tr w14:paraId="70EDD681">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50F7CF9C">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5</w:t>
            </w:r>
          </w:p>
        </w:tc>
        <w:tc>
          <w:tcPr>
            <w:tcW w:w="1687" w:type="dxa"/>
            <w:tcBorders>
              <w:top w:val="single" w:color="000000" w:sz="4" w:space="0"/>
              <w:left w:val="single" w:color="000000" w:sz="4" w:space="0"/>
              <w:bottom w:val="single" w:color="000000" w:sz="4" w:space="0"/>
              <w:right w:val="single" w:color="000000" w:sz="4" w:space="0"/>
            </w:tcBorders>
            <w:vAlign w:val="center"/>
          </w:tcPr>
          <w:p w14:paraId="4ADEC5B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功放</w:t>
            </w:r>
          </w:p>
        </w:tc>
        <w:tc>
          <w:tcPr>
            <w:tcW w:w="51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4C4600">
            <w:pPr>
              <w:keepNext w:val="0"/>
              <w:keepLines w:val="0"/>
              <w:widowControl/>
              <w:suppressLineNumbers w:val="0"/>
              <w:snapToGrid w:val="0"/>
              <w:jc w:val="left"/>
              <w:textAlignment w:val="top"/>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标准≤1U机箱设计，采用D类数字功放设计方案。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标准XLR输入接口，和LINK输出口。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电源采用开关电源技术，效率高，有效的抑制电源谐波。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 内置智能削峰限幅器，支持开机软启动，防止开机时向电网吸收大电流，干扰其它用电设备。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具有：过压保护，欠压保护，过流保护，直流保护，输出短路保护，温控风扇等功能。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6.输出功率：立体声@8Ω：≥350W×2；立体声@4Ω：≥600W×2。</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868BF">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11366">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3</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D633BD9">
            <w:pPr>
              <w:snapToGrid w:val="0"/>
              <w:jc w:val="center"/>
              <w:rPr>
                <w:rFonts w:hint="eastAsia" w:ascii="宋体" w:hAnsi="宋体" w:eastAsia="宋体" w:cs="宋体"/>
                <w:color w:val="000000"/>
                <w:sz w:val="20"/>
                <w:szCs w:val="22"/>
              </w:rPr>
            </w:pPr>
          </w:p>
        </w:tc>
      </w:tr>
      <w:tr w14:paraId="3F4BF447">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1D6A7CAD">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6</w:t>
            </w:r>
          </w:p>
        </w:tc>
        <w:tc>
          <w:tcPr>
            <w:tcW w:w="1687" w:type="dxa"/>
            <w:tcBorders>
              <w:top w:val="single" w:color="000000" w:sz="4" w:space="0"/>
              <w:left w:val="single" w:color="000000" w:sz="4" w:space="0"/>
              <w:bottom w:val="single" w:color="000000" w:sz="4" w:space="0"/>
              <w:right w:val="single" w:color="000000" w:sz="4" w:space="0"/>
            </w:tcBorders>
            <w:vAlign w:val="center"/>
          </w:tcPr>
          <w:p w14:paraId="5F1CED7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反馈抑制器</w:t>
            </w:r>
          </w:p>
        </w:tc>
        <w:tc>
          <w:tcPr>
            <w:tcW w:w="51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DEFB6B">
            <w:pPr>
              <w:keepNext w:val="0"/>
              <w:keepLines w:val="0"/>
              <w:widowControl/>
              <w:suppressLineNumbers w:val="0"/>
              <w:snapToGrid w:val="0"/>
              <w:jc w:val="left"/>
              <w:textAlignment w:val="top"/>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基于啸叫检测门限更新法，具有移频+陷波反馈抑制功能，可以使用≥48个可编程陷波点。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前面板具有≥48个LED灯陷波状态指示灯（具有≥2×12个静态点和≥2×12个动态点）、≥2英寸IPS真彩显示屏、≥1个编码旋钮；后面板具有≥1个船形开关、≥2路XLR母座+2路TRS母座模拟输入、≥2路XLR公座+2路TRS母座模拟输出、≥1个RJ45接口。（提供设备接口图佐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设备具有编码旋钮和≥2.0英寸IPS屏幕，可用于控制和配置设备直通、场景。IPS屏幕能够显示IP地址，输入和输出通道的实时电平。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具有设备定位，PC客户端具有一键定位局域网内同类设备功能，被定位到的设备会在显示屏上显示定位信息。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设备具有统一集中控制功能，支持≥65535台设备通过软件集中控制。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支持多客户端数据同步，≥2个客户端以上连接混音器设备时，可实现多端数据同步。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反馈抑制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提供功能界面截图佐证）</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46752">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9ECCB">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0B3CDCE8">
            <w:pPr>
              <w:snapToGrid w:val="0"/>
              <w:jc w:val="center"/>
              <w:rPr>
                <w:rFonts w:hint="eastAsia" w:ascii="宋体" w:hAnsi="宋体" w:eastAsia="宋体" w:cs="宋体"/>
                <w:color w:val="000000"/>
                <w:sz w:val="20"/>
                <w:szCs w:val="22"/>
              </w:rPr>
            </w:pPr>
          </w:p>
        </w:tc>
      </w:tr>
      <w:tr w14:paraId="181758ED">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4D077B9F">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7</w:t>
            </w:r>
          </w:p>
        </w:tc>
        <w:tc>
          <w:tcPr>
            <w:tcW w:w="1687" w:type="dxa"/>
            <w:tcBorders>
              <w:top w:val="single" w:color="000000" w:sz="4" w:space="0"/>
              <w:left w:val="single" w:color="000000" w:sz="4" w:space="0"/>
              <w:bottom w:val="single" w:color="000000" w:sz="4" w:space="0"/>
              <w:right w:val="single" w:color="000000" w:sz="4" w:space="0"/>
            </w:tcBorders>
            <w:vAlign w:val="center"/>
          </w:tcPr>
          <w:p w14:paraId="649F179B">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音频处理器</w:t>
            </w:r>
          </w:p>
        </w:tc>
        <w:tc>
          <w:tcPr>
            <w:tcW w:w="5171" w:type="dxa"/>
            <w:tcBorders>
              <w:top w:val="single" w:color="000000" w:sz="4" w:space="0"/>
              <w:left w:val="single" w:color="000000" w:sz="4" w:space="0"/>
              <w:bottom w:val="single" w:color="000000" w:sz="4" w:space="0"/>
              <w:right w:val="nil"/>
            </w:tcBorders>
            <w:vAlign w:val="center"/>
          </w:tcPr>
          <w:p w14:paraId="72508A44">
            <w:pPr>
              <w:keepNext w:val="0"/>
              <w:keepLines w:val="0"/>
              <w:widowControl/>
              <w:suppressLineNumbers w:val="0"/>
              <w:snapToGrid w:val="0"/>
              <w:jc w:val="left"/>
              <w:textAlignment w:val="top"/>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后面板具有≥8路线路音频凤凰端子平衡输入接口（具有48V幻象供电）、≥8路线路音频凤凰端子平衡输出接口、≥1个拨码开关、≥1个RJ45接口、≥1个RS232接口、≥1个RS485接口、≥8个可编程GPIO控制接口、≥1个接地柱；前面板具有≥2.0英寸 IPS 真彩显示屏、≥1个编码旋钮、≥1个USB存储设备接口。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提供功能截图佐证）（需提供得到CMA或CNAS认可的检测机构出具的检测报告作为该技术参数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具有矩阵增益调节功能，每个输入通道参与混音的增益可调，增益调节范围等同或优于-72db到12db。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音频处理器具有跨平台软件，可运行的操作系统版本≥8种，包括Windows7/10/11、银河麒麟桌面操作系统（兆芯版）、银河麒麟桌面操作系统（飞腾版）、macOS系统、统信UOS、Ubuntu桌面版操作系统。（提供功能截图佐证）（需提供得到CMA或CNAS认可的检测机构出具的检测报告作为该技术参数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产品具有PC客户端、手机移动端、安卓平板端不同控制方式，可以通同时登入APP软件、PC客户端同时连接设备，并实现多端数据的同步。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设备具有编码旋钮和IPS屏幕，可用于控制和配置设备静音，增益，场景；IPS屏幕能够显示IP地址，输入和输出通道的实时电平。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具有设备定位功能，客户端一键定位局域网内同类设备，被定位的设备会显示定位信息。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设备具有统一集中控制功能，支持≥65535台设备通过软件集中控制。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提供功能截图佐证）（需提供得到CMA或CNAS认可的检测机构出具的检测报告作为该技术参数证明材料）</w:t>
            </w:r>
          </w:p>
        </w:tc>
        <w:tc>
          <w:tcPr>
            <w:tcW w:w="648" w:type="dxa"/>
            <w:tcBorders>
              <w:top w:val="single" w:color="000000" w:sz="4" w:space="0"/>
              <w:left w:val="single" w:color="000000" w:sz="4" w:space="0"/>
              <w:bottom w:val="single" w:color="000000" w:sz="4" w:space="0"/>
              <w:right w:val="single" w:color="000000" w:sz="4" w:space="0"/>
            </w:tcBorders>
            <w:vAlign w:val="center"/>
          </w:tcPr>
          <w:p w14:paraId="7AFC7A9C">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710EFE42">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CF5251E">
            <w:pPr>
              <w:snapToGrid w:val="0"/>
              <w:jc w:val="center"/>
              <w:rPr>
                <w:rFonts w:hint="eastAsia" w:ascii="宋体" w:hAnsi="宋体" w:eastAsia="宋体" w:cs="宋体"/>
                <w:color w:val="000000"/>
                <w:sz w:val="20"/>
                <w:szCs w:val="22"/>
              </w:rPr>
            </w:pPr>
          </w:p>
        </w:tc>
      </w:tr>
      <w:tr w14:paraId="31AECDC3">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531FBF76">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8</w:t>
            </w:r>
          </w:p>
        </w:tc>
        <w:tc>
          <w:tcPr>
            <w:tcW w:w="1687" w:type="dxa"/>
            <w:tcBorders>
              <w:top w:val="single" w:color="000000" w:sz="4" w:space="0"/>
              <w:left w:val="single" w:color="000000" w:sz="4" w:space="0"/>
              <w:bottom w:val="single" w:color="000000" w:sz="4" w:space="0"/>
              <w:right w:val="single" w:color="000000" w:sz="4" w:space="0"/>
            </w:tcBorders>
            <w:vAlign w:val="center"/>
          </w:tcPr>
          <w:p w14:paraId="383CE632">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一拖四无线会议话筒</w:t>
            </w:r>
          </w:p>
        </w:tc>
        <w:tc>
          <w:tcPr>
            <w:tcW w:w="5171" w:type="dxa"/>
            <w:tcBorders>
              <w:top w:val="single" w:color="000000" w:sz="4" w:space="0"/>
              <w:left w:val="single" w:color="000000" w:sz="4" w:space="0"/>
              <w:bottom w:val="single" w:color="000000" w:sz="4" w:space="0"/>
              <w:right w:val="nil"/>
            </w:tcBorders>
            <w:shd w:val="clear" w:color="FFFFFF" w:fill="FFFFFF"/>
            <w:vAlign w:val="center"/>
          </w:tcPr>
          <w:p w14:paraId="54205B80">
            <w:pPr>
              <w:keepNext w:val="0"/>
              <w:keepLines w:val="0"/>
              <w:widowControl/>
              <w:suppressLineNumbers w:val="0"/>
              <w:snapToGrid w:val="0"/>
              <w:jc w:val="left"/>
              <w:textAlignment w:val="top"/>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基于数字U段的传输技术，pi/4-DQPSK调制方式，采用国产主控芯片，传输距离≥80米，接收机具有≥4路平衡输出、≥1路非平衡混音输出；具有混响、均衡、智能静音、音频加密、功率调节功能。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具有≥1台接收主机、≥4台桌面式鹅颈咪杆发射机；频率范围等同或优于470MHz-510MHz、540MHz-590MHz、640MHz-690MHz、807MHz-830MHz四个频段使用。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★接收机前面板具有≥4个LCD 显示屏、≥4个编码旋钮、≥4个频率扫描实体按键、≥4个红外对频实体按键、≥1个电源开关按键、≥1个二合一指示灯（红外发射管+对频指示灯）；后面板具有≥1个LINE-OUT接口、≥4个XLR-OUT接口、≥4个BNC接口、≥1个DC接口。桌面式发射机具有≥1个TYPE-C 充电口、≥1个3.5mm耳麦输入接口、≥1个OLED显示屏、≥1个电源开关按键，≥1个触摸开关麦按键。（需提供得到CMA或CNAS认可的检测机构出具的检测报告作为该技术参数证明材料）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★具有多档位混响调节功能，混响效果≥15625个，效果占比、回响延时、混响幅度调节，三种音效各具有≥25档调节方式。（需提供得到CMA或CNAS认可的检测机构出具的检测报告作为该技术参数证明材料）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具有多频段均衡调节功能，均衡调节≥2197种，麦克风均衡器调节功能，具有高、中、低音三种调节档位，每种效果支持≥13档调节。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具有ID码防串扰功能，采用32位唯一ID码，用于接收和发射配对，收发ID码必须相同才能对码，能够有效防止相同频率的信号相互串台。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接收机具有≥4个2.2英寸的TFT-LCD显示屏；发射机具有≥0.96英寸OLED显示屏，能够显示频率信息、音频加密状态、功率挡位、静音状态、电量格数信息。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桌面式发射机配置≥1颗容量2550mAh的锂电池，使用时长≥15小时；设备电池孔位≥4个，电池具有扩展性，通过拓展连续使用时长≥60小时。（需提供得到CMA或CNAS认可的检测机构出具的检测报告作为该技术参数证明材料）</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1C267">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套</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7CD23">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2</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24F7803">
            <w:pPr>
              <w:snapToGrid w:val="0"/>
              <w:jc w:val="center"/>
              <w:rPr>
                <w:rFonts w:hint="eastAsia" w:ascii="宋体" w:hAnsi="宋体" w:eastAsia="宋体" w:cs="宋体"/>
                <w:color w:val="000000"/>
                <w:sz w:val="20"/>
                <w:szCs w:val="22"/>
              </w:rPr>
            </w:pPr>
          </w:p>
        </w:tc>
      </w:tr>
      <w:tr w14:paraId="2572D906">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05058995">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9</w:t>
            </w:r>
          </w:p>
        </w:tc>
        <w:tc>
          <w:tcPr>
            <w:tcW w:w="1687" w:type="dxa"/>
            <w:tcBorders>
              <w:top w:val="single" w:color="000000" w:sz="4" w:space="0"/>
              <w:left w:val="single" w:color="000000" w:sz="4" w:space="0"/>
              <w:bottom w:val="single" w:color="000000" w:sz="4" w:space="0"/>
              <w:right w:val="single" w:color="000000" w:sz="4" w:space="0"/>
            </w:tcBorders>
            <w:vAlign w:val="center"/>
          </w:tcPr>
          <w:p w14:paraId="112D2C66">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话筒天线放大器</w:t>
            </w:r>
          </w:p>
        </w:tc>
        <w:tc>
          <w:tcPr>
            <w:tcW w:w="5171" w:type="dxa"/>
            <w:tcBorders>
              <w:top w:val="single" w:color="000000" w:sz="4" w:space="0"/>
              <w:left w:val="single" w:color="000000" w:sz="4" w:space="0"/>
              <w:bottom w:val="single" w:color="000000" w:sz="4" w:space="0"/>
              <w:right w:val="single" w:color="000000" w:sz="4" w:space="0"/>
            </w:tcBorders>
            <w:vAlign w:val="center"/>
          </w:tcPr>
          <w:p w14:paraId="3867E0EA">
            <w:pPr>
              <w:keepNext w:val="0"/>
              <w:keepLines w:val="0"/>
              <w:widowControl/>
              <w:suppressLineNumbers w:val="0"/>
              <w:snapToGrid w:val="0"/>
              <w:jc w:val="left"/>
              <w:textAlignment w:val="top"/>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1 具备≥2个天线输入接口，支持接收天线信号，实现分配多路射频信号的效果。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具备放大射频信号，补偿因信号功率被分配至多个输出而造成的插入损耗。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具备≥2个天线级联接口，支持无限制级联分配器，可实现扩展无线话筒的目的。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具备≥4个直流电源输出接口，支持给≥4台接收机供电，减少适配器数量和免去繁琐布线。</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DCEC1">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套</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673EB">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30C32C6">
            <w:pPr>
              <w:snapToGrid w:val="0"/>
              <w:jc w:val="center"/>
              <w:rPr>
                <w:rFonts w:hint="eastAsia" w:ascii="宋体" w:hAnsi="宋体" w:eastAsia="宋体" w:cs="宋体"/>
                <w:color w:val="000000"/>
                <w:sz w:val="20"/>
                <w:szCs w:val="22"/>
              </w:rPr>
            </w:pPr>
          </w:p>
        </w:tc>
      </w:tr>
      <w:tr w14:paraId="131E5F50">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06FEC811">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10</w:t>
            </w:r>
          </w:p>
        </w:tc>
        <w:tc>
          <w:tcPr>
            <w:tcW w:w="1687" w:type="dxa"/>
            <w:tcBorders>
              <w:top w:val="single" w:color="000000" w:sz="4" w:space="0"/>
              <w:left w:val="single" w:color="000000" w:sz="4" w:space="0"/>
              <w:bottom w:val="single" w:color="000000" w:sz="4" w:space="0"/>
              <w:right w:val="single" w:color="000000" w:sz="4" w:space="0"/>
            </w:tcBorders>
            <w:vAlign w:val="center"/>
          </w:tcPr>
          <w:p w14:paraId="50A535AE">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面板</w:t>
            </w:r>
          </w:p>
        </w:tc>
        <w:tc>
          <w:tcPr>
            <w:tcW w:w="5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8D39D">
            <w:pPr>
              <w:keepNext w:val="0"/>
              <w:keepLines w:val="0"/>
              <w:widowControl/>
              <w:suppressLineNumbers w:val="0"/>
              <w:snapToGrid w:val="0"/>
              <w:jc w:val="left"/>
              <w:textAlignment w:val="top"/>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网络地插、强电地插</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D41BD">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批</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2EA37">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DA15E83">
            <w:pPr>
              <w:snapToGrid w:val="0"/>
              <w:jc w:val="center"/>
              <w:rPr>
                <w:rFonts w:hint="eastAsia" w:ascii="宋体" w:hAnsi="宋体" w:eastAsia="宋体" w:cs="宋体"/>
                <w:color w:val="000000"/>
                <w:sz w:val="20"/>
                <w:szCs w:val="22"/>
              </w:rPr>
            </w:pPr>
          </w:p>
        </w:tc>
      </w:tr>
      <w:tr w14:paraId="6DCFF1AB">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57C2F3E7">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11</w:t>
            </w:r>
          </w:p>
        </w:tc>
        <w:tc>
          <w:tcPr>
            <w:tcW w:w="1687" w:type="dxa"/>
            <w:tcBorders>
              <w:top w:val="single" w:color="000000" w:sz="4" w:space="0"/>
              <w:left w:val="single" w:color="000000" w:sz="4" w:space="0"/>
              <w:bottom w:val="single" w:color="000000" w:sz="4" w:space="0"/>
              <w:right w:val="single" w:color="000000" w:sz="4" w:space="0"/>
            </w:tcBorders>
            <w:vAlign w:val="center"/>
          </w:tcPr>
          <w:p w14:paraId="7B925FE0">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机柜</w:t>
            </w:r>
          </w:p>
        </w:tc>
        <w:tc>
          <w:tcPr>
            <w:tcW w:w="5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B7281">
            <w:pPr>
              <w:keepNext w:val="0"/>
              <w:keepLines w:val="0"/>
              <w:widowControl/>
              <w:suppressLineNumbers w:val="0"/>
              <w:snapToGrid w:val="0"/>
              <w:jc w:val="left"/>
              <w:textAlignment w:val="top"/>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22U</w:t>
            </w:r>
          </w:p>
        </w:tc>
        <w:tc>
          <w:tcPr>
            <w:tcW w:w="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66E5D">
            <w:pPr>
              <w:widowControl/>
              <w:snapToGrid w:val="0"/>
              <w:jc w:val="center"/>
              <w:textAlignment w:val="center"/>
              <w:rPr>
                <w:rFonts w:hint="eastAsia" w:ascii="宋体" w:hAnsi="微软雅黑" w:eastAsia="宋体" w:cs="微软雅黑"/>
                <w:color w:val="000000"/>
                <w:sz w:val="20"/>
                <w:szCs w:val="20"/>
              </w:rPr>
            </w:pPr>
            <w:r>
              <w:rPr>
                <w:rFonts w:hint="eastAsia" w:ascii="宋体" w:hAnsi="微软雅黑" w:eastAsia="宋体" w:cs="微软雅黑"/>
                <w:color w:val="000000"/>
                <w:kern w:val="0"/>
                <w:sz w:val="20"/>
                <w:szCs w:val="20"/>
                <w:lang w:bidi="ar"/>
              </w:rPr>
              <w:t>架</w:t>
            </w:r>
          </w:p>
        </w:tc>
        <w:tc>
          <w:tcPr>
            <w:tcW w:w="6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FA7D6">
            <w:pPr>
              <w:widowControl/>
              <w:snapToGrid w:val="0"/>
              <w:jc w:val="center"/>
              <w:textAlignment w:val="bottom"/>
              <w:rPr>
                <w:rFonts w:hint="eastAsia" w:ascii="宋体" w:hAnsi="宋体" w:eastAsia="宋体" w:cs="宋体"/>
                <w:color w:val="000000"/>
                <w:sz w:val="20"/>
                <w:szCs w:val="24"/>
              </w:rPr>
            </w:pPr>
            <w:r>
              <w:rPr>
                <w:rFonts w:hint="eastAsia" w:ascii="宋体" w:hAnsi="宋体" w:eastAsia="宋体" w:cs="宋体"/>
                <w:color w:val="000000"/>
                <w:kern w:val="0"/>
                <w:sz w:val="20"/>
                <w:szCs w:val="24"/>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F910A93">
            <w:pPr>
              <w:snapToGrid w:val="0"/>
              <w:jc w:val="center"/>
              <w:rPr>
                <w:rFonts w:hint="eastAsia" w:ascii="宋体" w:hAnsi="宋体" w:eastAsia="宋体" w:cs="宋体"/>
                <w:color w:val="000000"/>
                <w:sz w:val="20"/>
                <w:szCs w:val="22"/>
              </w:rPr>
            </w:pPr>
          </w:p>
        </w:tc>
      </w:tr>
      <w:tr w14:paraId="4716784D">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0775E007">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12</w:t>
            </w:r>
          </w:p>
        </w:tc>
        <w:tc>
          <w:tcPr>
            <w:tcW w:w="1687" w:type="dxa"/>
            <w:tcBorders>
              <w:top w:val="single" w:color="000000" w:sz="4" w:space="0"/>
              <w:left w:val="single" w:color="000000" w:sz="4" w:space="0"/>
              <w:bottom w:val="single" w:color="000000" w:sz="4" w:space="0"/>
              <w:right w:val="single" w:color="000000" w:sz="4" w:space="0"/>
            </w:tcBorders>
            <w:vAlign w:val="center"/>
          </w:tcPr>
          <w:p w14:paraId="63D726AC">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控制终端</w:t>
            </w:r>
          </w:p>
        </w:tc>
        <w:tc>
          <w:tcPr>
            <w:tcW w:w="5171" w:type="dxa"/>
            <w:tcBorders>
              <w:top w:val="single" w:color="000000" w:sz="4" w:space="0"/>
              <w:left w:val="single" w:color="000000" w:sz="4" w:space="0"/>
              <w:bottom w:val="single" w:color="000000" w:sz="4" w:space="0"/>
              <w:right w:val="single" w:color="000000" w:sz="4" w:space="0"/>
            </w:tcBorders>
            <w:vAlign w:val="center"/>
          </w:tcPr>
          <w:p w14:paraId="4DA932C3">
            <w:pPr>
              <w:keepNext w:val="0"/>
              <w:keepLines w:val="0"/>
              <w:widowControl/>
              <w:suppressLineNumbers w:val="0"/>
              <w:snapToGrid w:val="0"/>
              <w:jc w:val="left"/>
              <w:textAlignment w:val="center"/>
              <w:rPr>
                <w:rFonts w:hint="eastAsia" w:ascii="宋体" w:hAnsi="宋体" w:eastAsia="宋体" w:cs="宋体"/>
                <w:color w:val="000000"/>
                <w:sz w:val="20"/>
                <w:szCs w:val="20"/>
              </w:rPr>
            </w:pPr>
            <w:r>
              <w:rPr>
                <w:rFonts w:hint="eastAsia" w:ascii="宋体" w:hAnsi="宋体" w:eastAsia="宋体" w:cs="宋体"/>
                <w:i w:val="0"/>
                <w:iCs w:val="0"/>
                <w:color w:val="0D0D0D"/>
                <w:kern w:val="0"/>
                <w:sz w:val="20"/>
                <w:szCs w:val="20"/>
                <w:u w:val="none"/>
                <w:lang w:val="en-US" w:eastAsia="zh-CN" w:bidi="ar"/>
              </w:rPr>
              <w:t>硬件性能:CPU核数≥4核，主频≥3.3GHZ，内存≥8GB，硬盘≥512G SSD，支持1000Mbps以太网卡，≥23英寸显示器。</w:t>
            </w:r>
          </w:p>
        </w:tc>
        <w:tc>
          <w:tcPr>
            <w:tcW w:w="648" w:type="dxa"/>
            <w:tcBorders>
              <w:top w:val="nil"/>
              <w:left w:val="single" w:color="000000" w:sz="4" w:space="0"/>
              <w:bottom w:val="single" w:color="000000" w:sz="4" w:space="0"/>
              <w:right w:val="single" w:color="000000" w:sz="4" w:space="0"/>
            </w:tcBorders>
            <w:vAlign w:val="center"/>
          </w:tcPr>
          <w:p w14:paraId="691F9EFF">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53C276D9">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3B44BEEC">
            <w:pPr>
              <w:snapToGrid w:val="0"/>
              <w:jc w:val="center"/>
              <w:rPr>
                <w:rFonts w:hint="eastAsia" w:ascii="宋体" w:hAnsi="宋体" w:eastAsia="宋体" w:cs="宋体"/>
                <w:color w:val="000000"/>
                <w:sz w:val="20"/>
                <w:szCs w:val="22"/>
              </w:rPr>
            </w:pPr>
          </w:p>
        </w:tc>
      </w:tr>
      <w:tr w14:paraId="054DDA39">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21F53F07">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13</w:t>
            </w:r>
          </w:p>
        </w:tc>
        <w:tc>
          <w:tcPr>
            <w:tcW w:w="1687" w:type="dxa"/>
            <w:tcBorders>
              <w:top w:val="single" w:color="000000" w:sz="4" w:space="0"/>
              <w:left w:val="single" w:color="000000" w:sz="4" w:space="0"/>
              <w:bottom w:val="single" w:color="000000" w:sz="4" w:space="0"/>
              <w:right w:val="single" w:color="000000" w:sz="4" w:space="0"/>
            </w:tcBorders>
            <w:vAlign w:val="center"/>
          </w:tcPr>
          <w:p w14:paraId="6D2FB3E5">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显示设备</w:t>
            </w:r>
          </w:p>
        </w:tc>
        <w:tc>
          <w:tcPr>
            <w:tcW w:w="51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55321">
            <w:pPr>
              <w:keepNext w:val="0"/>
              <w:keepLines w:val="0"/>
              <w:widowControl/>
              <w:suppressLineNumbers w:val="0"/>
              <w:snapToGrid w:val="0"/>
              <w:jc w:val="left"/>
              <w:textAlignment w:val="top"/>
              <w:rPr>
                <w:rFonts w:hint="eastAsia" w:ascii="宋体" w:hAnsi="宋体" w:eastAsia="宋体" w:cs="宋体"/>
                <w:color w:val="000000"/>
                <w:sz w:val="20"/>
                <w:szCs w:val="20"/>
              </w:rPr>
            </w:pPr>
            <w:r>
              <w:rPr>
                <w:rFonts w:hint="eastAsia" w:ascii="宋体" w:hAnsi="宋体" w:eastAsia="宋体" w:cs="宋体"/>
                <w:i w:val="0"/>
                <w:iCs w:val="0"/>
                <w:color w:val="000000"/>
                <w:kern w:val="0"/>
                <w:sz w:val="20"/>
                <w:szCs w:val="20"/>
                <w:u w:val="none"/>
                <w:lang w:val="en-US" w:eastAsia="zh-CN" w:bidi="ar"/>
              </w:rPr>
              <w:t>98英寸144HZ 高刷 4K 4+64GB 超薄电视机</w:t>
            </w:r>
          </w:p>
        </w:tc>
        <w:tc>
          <w:tcPr>
            <w:tcW w:w="648" w:type="dxa"/>
            <w:tcBorders>
              <w:top w:val="nil"/>
              <w:left w:val="single" w:color="000000" w:sz="4" w:space="0"/>
              <w:bottom w:val="single" w:color="000000" w:sz="4" w:space="0"/>
              <w:right w:val="single" w:color="000000" w:sz="4" w:space="0"/>
            </w:tcBorders>
            <w:vAlign w:val="center"/>
          </w:tcPr>
          <w:p w14:paraId="0B263A6B">
            <w:pPr>
              <w:widowControl/>
              <w:snapToGrid w:val="0"/>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648" w:type="dxa"/>
            <w:tcBorders>
              <w:top w:val="single" w:color="000000" w:sz="4" w:space="0"/>
              <w:left w:val="single" w:color="000000" w:sz="4" w:space="0"/>
              <w:bottom w:val="single" w:color="000000" w:sz="4" w:space="0"/>
              <w:right w:val="single" w:color="000000" w:sz="4" w:space="0"/>
            </w:tcBorders>
            <w:vAlign w:val="center"/>
          </w:tcPr>
          <w:p w14:paraId="30B8F3A7">
            <w:pPr>
              <w:widowControl/>
              <w:snapToGrid w:val="0"/>
              <w:jc w:val="center"/>
              <w:textAlignment w:val="center"/>
              <w:rPr>
                <w:rFonts w:ascii="宋体" w:hAnsi="Times New Roman" w:eastAsia="宋体" w:cs="Times New Roman"/>
                <w:color w:val="000000"/>
                <w:sz w:val="20"/>
                <w:szCs w:val="20"/>
              </w:rPr>
            </w:pPr>
            <w:r>
              <w:rPr>
                <w:rFonts w:ascii="宋体" w:hAnsi="Times New Roman" w:eastAsia="宋体" w:cs="Times New Roman"/>
                <w:color w:val="000000"/>
                <w:kern w:val="0"/>
                <w:sz w:val="20"/>
                <w:szCs w:val="20"/>
                <w:lang w:bidi="ar"/>
              </w:rPr>
              <w:t>1</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7D7F836B">
            <w:pPr>
              <w:snapToGrid w:val="0"/>
              <w:jc w:val="center"/>
              <w:rPr>
                <w:rFonts w:hint="eastAsia" w:ascii="宋体" w:hAnsi="宋体" w:eastAsia="宋体" w:cs="宋体"/>
                <w:color w:val="000000"/>
                <w:sz w:val="20"/>
                <w:szCs w:val="22"/>
              </w:rPr>
            </w:pPr>
          </w:p>
        </w:tc>
      </w:tr>
      <w:tr w14:paraId="281BEA0A">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16EF7C57">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15</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7CE54BDB">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合计</w:t>
            </w:r>
          </w:p>
        </w:tc>
        <w:tc>
          <w:tcPr>
            <w:tcW w:w="5171" w:type="dxa"/>
            <w:tcBorders>
              <w:top w:val="single" w:color="000000" w:sz="4" w:space="0"/>
              <w:left w:val="single" w:color="000000" w:sz="4" w:space="0"/>
              <w:bottom w:val="single" w:color="000000" w:sz="4" w:space="0"/>
              <w:right w:val="nil"/>
            </w:tcBorders>
            <w:noWrap/>
            <w:vAlign w:val="center"/>
          </w:tcPr>
          <w:p w14:paraId="768BDA1A">
            <w:pPr>
              <w:widowControl/>
              <w:snapToGrid w:val="0"/>
              <w:jc w:val="left"/>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一+二+三+四+五</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519ED68">
            <w:pPr>
              <w:snapToGrid w:val="0"/>
              <w:jc w:val="center"/>
              <w:rPr>
                <w:rFonts w:hint="eastAsia" w:ascii="宋体" w:hAnsi="宋体" w:eastAsia="宋体" w:cs="宋体"/>
                <w:color w:val="000000"/>
                <w:sz w:val="20"/>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03703DC1">
            <w:pPr>
              <w:snapToGrid w:val="0"/>
              <w:jc w:val="center"/>
              <w:rPr>
                <w:rFonts w:hint="eastAsia" w:ascii="宋体" w:hAnsi="宋体" w:eastAsia="宋体" w:cs="宋体"/>
                <w:color w:val="000000"/>
                <w:sz w:val="20"/>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1C8B6ACB">
            <w:pPr>
              <w:snapToGrid w:val="0"/>
              <w:jc w:val="center"/>
              <w:rPr>
                <w:rFonts w:hint="eastAsia" w:ascii="宋体" w:hAnsi="宋体" w:eastAsia="宋体" w:cs="宋体"/>
                <w:color w:val="000000"/>
                <w:sz w:val="20"/>
                <w:szCs w:val="22"/>
              </w:rPr>
            </w:pPr>
          </w:p>
        </w:tc>
      </w:tr>
      <w:tr w14:paraId="7BD22DE8">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27F32C3F">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16</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28AE9569">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系统集成维护费</w:t>
            </w:r>
          </w:p>
        </w:tc>
        <w:tc>
          <w:tcPr>
            <w:tcW w:w="5171" w:type="dxa"/>
            <w:tcBorders>
              <w:top w:val="single" w:color="000000" w:sz="4" w:space="0"/>
              <w:left w:val="single" w:color="000000" w:sz="4" w:space="0"/>
              <w:bottom w:val="single" w:color="000000" w:sz="4" w:space="0"/>
              <w:right w:val="single" w:color="000000" w:sz="4" w:space="0"/>
            </w:tcBorders>
            <w:noWrap/>
            <w:vAlign w:val="center"/>
          </w:tcPr>
          <w:p w14:paraId="728041F1">
            <w:pPr>
              <w:widowControl/>
              <w:snapToGrid w:val="0"/>
              <w:jc w:val="left"/>
              <w:textAlignment w:val="center"/>
              <w:rPr>
                <w:rFonts w:hint="eastAsia" w:ascii="宋体" w:hAnsi="宋体" w:eastAsia="宋体" w:cs="宋体"/>
                <w:color w:val="000000"/>
                <w:sz w:val="20"/>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77A0E75">
            <w:pPr>
              <w:snapToGrid w:val="0"/>
              <w:jc w:val="center"/>
              <w:rPr>
                <w:rFonts w:hint="eastAsia" w:ascii="宋体" w:hAnsi="宋体" w:eastAsia="宋体" w:cs="宋体"/>
                <w:color w:val="000000"/>
                <w:sz w:val="20"/>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2BAB678">
            <w:pPr>
              <w:snapToGrid w:val="0"/>
              <w:jc w:val="center"/>
              <w:rPr>
                <w:rFonts w:hint="eastAsia" w:ascii="宋体" w:hAnsi="宋体" w:eastAsia="宋体" w:cs="宋体"/>
                <w:color w:val="000000"/>
                <w:sz w:val="20"/>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659266EC">
            <w:pPr>
              <w:snapToGrid w:val="0"/>
              <w:jc w:val="center"/>
              <w:rPr>
                <w:rFonts w:hint="eastAsia" w:ascii="宋体" w:hAnsi="宋体" w:eastAsia="宋体" w:cs="宋体"/>
                <w:color w:val="000000"/>
                <w:sz w:val="20"/>
                <w:szCs w:val="22"/>
              </w:rPr>
            </w:pPr>
          </w:p>
        </w:tc>
      </w:tr>
      <w:tr w14:paraId="2F7C1986">
        <w:tblPrEx>
          <w:tblCellMar>
            <w:top w:w="32" w:type="dxa"/>
            <w:left w:w="64" w:type="dxa"/>
            <w:bottom w:w="32" w:type="dxa"/>
            <w:right w:w="64" w:type="dxa"/>
          </w:tblCellMar>
        </w:tblPrEx>
        <w:trPr>
          <w:trHeight w:val="0" w:hRule="atLeast"/>
          <w:jc w:val="center"/>
        </w:trPr>
        <w:tc>
          <w:tcPr>
            <w:tcW w:w="648" w:type="dxa"/>
            <w:tcBorders>
              <w:top w:val="single" w:color="000000" w:sz="4" w:space="0"/>
              <w:left w:val="single" w:color="000000" w:sz="4" w:space="0"/>
              <w:bottom w:val="single" w:color="000000" w:sz="4" w:space="0"/>
              <w:right w:val="single" w:color="000000" w:sz="4" w:space="0"/>
            </w:tcBorders>
            <w:noWrap/>
            <w:vAlign w:val="center"/>
          </w:tcPr>
          <w:p w14:paraId="2EB91E8C">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17</w:t>
            </w:r>
          </w:p>
        </w:tc>
        <w:tc>
          <w:tcPr>
            <w:tcW w:w="1687" w:type="dxa"/>
            <w:tcBorders>
              <w:top w:val="single" w:color="000000" w:sz="4" w:space="0"/>
              <w:left w:val="single" w:color="000000" w:sz="4" w:space="0"/>
              <w:bottom w:val="single" w:color="000000" w:sz="4" w:space="0"/>
              <w:right w:val="single" w:color="000000" w:sz="4" w:space="0"/>
            </w:tcBorders>
            <w:noWrap/>
            <w:vAlign w:val="center"/>
          </w:tcPr>
          <w:p w14:paraId="56E157ED">
            <w:pPr>
              <w:widowControl/>
              <w:snapToGrid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kern w:val="0"/>
                <w:sz w:val="20"/>
                <w:szCs w:val="22"/>
                <w:lang w:bidi="ar"/>
              </w:rPr>
              <w:t>总计</w:t>
            </w:r>
          </w:p>
        </w:tc>
        <w:tc>
          <w:tcPr>
            <w:tcW w:w="5171" w:type="dxa"/>
            <w:tcBorders>
              <w:top w:val="single" w:color="000000" w:sz="4" w:space="0"/>
              <w:left w:val="single" w:color="000000" w:sz="4" w:space="0"/>
              <w:bottom w:val="single" w:color="000000" w:sz="4" w:space="0"/>
              <w:right w:val="nil"/>
            </w:tcBorders>
            <w:noWrap/>
            <w:vAlign w:val="center"/>
          </w:tcPr>
          <w:p w14:paraId="0AE30545">
            <w:pPr>
              <w:snapToGrid w:val="0"/>
              <w:jc w:val="left"/>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100.3万元</w:t>
            </w: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55158459">
            <w:pPr>
              <w:snapToGrid w:val="0"/>
              <w:jc w:val="center"/>
              <w:rPr>
                <w:rFonts w:hint="eastAsia" w:ascii="宋体" w:hAnsi="宋体" w:eastAsia="宋体" w:cs="宋体"/>
                <w:color w:val="000000"/>
                <w:sz w:val="20"/>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B670BBB">
            <w:pPr>
              <w:snapToGrid w:val="0"/>
              <w:jc w:val="center"/>
              <w:rPr>
                <w:rFonts w:hint="eastAsia" w:ascii="宋体" w:hAnsi="宋体" w:eastAsia="宋体" w:cs="宋体"/>
                <w:color w:val="000000"/>
                <w:sz w:val="20"/>
                <w:szCs w:val="22"/>
              </w:rPr>
            </w:pPr>
          </w:p>
        </w:tc>
        <w:tc>
          <w:tcPr>
            <w:tcW w:w="648" w:type="dxa"/>
            <w:tcBorders>
              <w:top w:val="single" w:color="000000" w:sz="4" w:space="0"/>
              <w:left w:val="single" w:color="000000" w:sz="4" w:space="0"/>
              <w:bottom w:val="single" w:color="000000" w:sz="4" w:space="0"/>
              <w:right w:val="single" w:color="000000" w:sz="4" w:space="0"/>
            </w:tcBorders>
            <w:noWrap/>
            <w:vAlign w:val="center"/>
          </w:tcPr>
          <w:p w14:paraId="2BAB7799">
            <w:pPr>
              <w:snapToGrid w:val="0"/>
              <w:jc w:val="center"/>
              <w:rPr>
                <w:rFonts w:hint="eastAsia" w:ascii="宋体" w:hAnsi="宋体" w:eastAsia="宋体" w:cs="宋体"/>
                <w:color w:val="000000"/>
                <w:sz w:val="20"/>
                <w:szCs w:val="22"/>
              </w:rPr>
            </w:pPr>
          </w:p>
        </w:tc>
      </w:tr>
    </w:tbl>
    <w:p w14:paraId="78C6F1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rPr>
      </w:pPr>
    </w:p>
    <w:p w14:paraId="34789E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4.</w:t>
      </w:r>
      <w:r>
        <w:rPr>
          <w:rFonts w:hint="eastAsia" w:asciiTheme="minorEastAsia" w:hAnsiTheme="minorEastAsia" w:eastAsiaTheme="minorEastAsia" w:cstheme="minorEastAsia"/>
          <w:color w:val="auto"/>
          <w:spacing w:val="-1"/>
          <w:sz w:val="24"/>
          <w:szCs w:val="24"/>
          <w:highlight w:val="none"/>
        </w:rPr>
        <w:t>核心产品</w:t>
      </w:r>
      <w:r>
        <w:rPr>
          <w:rFonts w:hint="eastAsia" w:asciiTheme="minorEastAsia" w:hAnsiTheme="minorEastAsia" w:eastAsiaTheme="minorEastAsia" w:cstheme="minorEastAsia"/>
          <w:color w:val="auto"/>
          <w:spacing w:val="-1"/>
          <w:sz w:val="24"/>
          <w:szCs w:val="24"/>
          <w:highlight w:val="none"/>
          <w:lang w:val="en-US" w:eastAsia="zh-CN"/>
        </w:rPr>
        <w:t>:</w:t>
      </w:r>
    </w:p>
    <w:p w14:paraId="32B19B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color w:val="auto"/>
          <w:spacing w:val="-1"/>
          <w:sz w:val="24"/>
          <w:szCs w:val="24"/>
          <w:highlight w:val="yellow"/>
          <w:lang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本项目/包为非单一产品采购项目，核心产品为</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u w:val="single"/>
          <w:lang w:val="en-US" w:eastAsia="zh-CN"/>
        </w:rPr>
        <w:t xml:space="preserve"> LED显示屏</w:t>
      </w:r>
      <w:r>
        <w:rPr>
          <w:rFonts w:hint="eastAsia" w:asciiTheme="minorEastAsia" w:hAnsiTheme="minorEastAsia" w:eastAsiaTheme="minorEastAsia" w:cstheme="minorEastAsia"/>
          <w:color w:val="auto"/>
          <w:spacing w:val="-1"/>
          <w:sz w:val="24"/>
          <w:szCs w:val="24"/>
          <w:highlight w:val="none"/>
          <w:lang w:val="en-US" w:eastAsia="zh-CN"/>
        </w:rPr>
        <w:t>,</w:t>
      </w:r>
      <w:r>
        <w:rPr>
          <w:rFonts w:hint="eastAsia" w:asciiTheme="minorEastAsia" w:hAnsiTheme="minorEastAsia" w:eastAsiaTheme="minorEastAsia" w:cstheme="minorEastAsia"/>
          <w:color w:val="auto"/>
          <w:spacing w:val="-1"/>
          <w:sz w:val="24"/>
          <w:szCs w:val="24"/>
          <w:highlight w:val="none"/>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color w:val="auto"/>
          <w:spacing w:val="-1"/>
          <w:sz w:val="24"/>
          <w:szCs w:val="24"/>
          <w:highlight w:val="none"/>
          <w:lang w:eastAsia="zh-CN"/>
        </w:rPr>
        <w:t>。</w:t>
      </w:r>
    </w:p>
    <w:p w14:paraId="500E3F85">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FF0000"/>
          <w:spacing w:val="-1"/>
          <w:sz w:val="24"/>
          <w:szCs w:val="24"/>
          <w:lang w:val="en-US" w:eastAsia="zh-CN"/>
        </w:rPr>
      </w:pPr>
    </w:p>
    <w:p w14:paraId="4994AE7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4EC82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3FDED1F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1.投标人所投产品必须是原厂、全新、正品，应符合中华人民共和国国家质量技术及国家安全环保标准。</w:t>
      </w:r>
    </w:p>
    <w:p w14:paraId="38F0D02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2.交货安装</w:t>
      </w:r>
      <w:r>
        <w:rPr>
          <w:rFonts w:hint="eastAsia" w:asciiTheme="minorEastAsia" w:hAnsiTheme="minorEastAsia" w:eastAsiaTheme="minorEastAsia" w:cstheme="minorEastAsia"/>
          <w:spacing w:val="-1"/>
          <w:sz w:val="24"/>
          <w:szCs w:val="24"/>
        </w:rPr>
        <w:t>时间</w:t>
      </w:r>
      <w:r>
        <w:rPr>
          <w:rFonts w:hint="eastAsia" w:asciiTheme="minorEastAsia" w:hAnsiTheme="minorEastAsia" w:eastAsiaTheme="minorEastAsia" w:cstheme="minorEastAsia"/>
          <w:spacing w:val="-1"/>
          <w:sz w:val="24"/>
          <w:szCs w:val="24"/>
          <w:lang w:eastAsia="zh-CN"/>
        </w:rPr>
        <w:t>：合同签订之日起60日内完成供货安装。</w:t>
      </w:r>
    </w:p>
    <w:p w14:paraId="4F74795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default"/>
          <w:lang w:val="en-US"/>
        </w:rPr>
      </w:pPr>
      <w:r>
        <w:rPr>
          <w:rFonts w:hint="eastAsia" w:asciiTheme="minorEastAsia" w:hAnsiTheme="minorEastAsia" w:eastAsiaTheme="minorEastAsia" w:cstheme="minorEastAsia"/>
          <w:spacing w:val="-1"/>
          <w:sz w:val="24"/>
          <w:szCs w:val="24"/>
          <w:lang w:val="en-US" w:eastAsia="zh-CN"/>
        </w:rPr>
        <w:t>3.交货安装地点：采购人指定地点。</w:t>
      </w:r>
    </w:p>
    <w:p w14:paraId="49AD52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4.付款方式：项目经采购人验收合格后，10个工作日内全部货款一次性付清。</w:t>
      </w:r>
    </w:p>
    <w:p w14:paraId="0712E84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5.</w:t>
      </w:r>
      <w:r>
        <w:rPr>
          <w:rFonts w:hint="eastAsia" w:asciiTheme="minorEastAsia" w:hAnsiTheme="minorEastAsia" w:eastAsiaTheme="minorEastAsia" w:cstheme="minorEastAsia"/>
          <w:spacing w:val="-8"/>
          <w:sz w:val="24"/>
          <w:szCs w:val="24"/>
        </w:rPr>
        <w:t>售后服务</w:t>
      </w:r>
      <w:r>
        <w:rPr>
          <w:rFonts w:hint="eastAsia" w:asciiTheme="minorEastAsia" w:hAnsiTheme="minorEastAsia" w:eastAsiaTheme="minorEastAsia" w:cstheme="minorEastAsia"/>
          <w:spacing w:val="-8"/>
          <w:sz w:val="24"/>
          <w:szCs w:val="24"/>
          <w:lang w:val="en-US" w:eastAsia="zh-CN"/>
        </w:rPr>
        <w:t>要求：质保期1年，质保期内供应商免费提供更换维修和售后服务。售后服务响应时间为1小时，常规问题12小时内解决。</w:t>
      </w:r>
    </w:p>
    <w:p w14:paraId="51F689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5"/>
          <w:sz w:val="24"/>
          <w:szCs w:val="24"/>
          <w:highlight w:val="none"/>
          <w:lang w:val="en-US" w:eastAsia="zh-CN"/>
        </w:rPr>
        <w:t>关于强制节能产品的要求。</w:t>
      </w:r>
    </w:p>
    <w:p w14:paraId="02A5C60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 xml:space="preserve">（1）强制采购的节能产品: LED显示屏、显示设备、控制终端、硬盘录像机、8口POE交换机、针式打印机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14:paraId="101B30E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default" w:asciiTheme="minorEastAsia" w:hAnsiTheme="minorEastAsia" w:eastAsiaTheme="minorEastAsia" w:cstheme="minorEastAsia"/>
          <w:color w:val="auto"/>
          <w:sz w:val="24"/>
          <w:szCs w:val="24"/>
          <w:highlight w:val="yellow"/>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（2）投标人所投产品如属于政府优先节能产品或环境标志产品，应提供处于有效期之内认证证书等相关证明，在评标时予以优先采购。</w:t>
      </w:r>
    </w:p>
    <w:p w14:paraId="009A1BF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.产品的交付与安装、调试、验收</w:t>
      </w:r>
    </w:p>
    <w:p w14:paraId="4D57607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（1）所有产品均由中标人免费送至指定地点并安装调试；</w:t>
      </w:r>
    </w:p>
    <w:p w14:paraId="28A9EA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（2）采购人按照招标要求及中标人的投标内容对所供货的数量和质量进行核对验收；</w:t>
      </w:r>
    </w:p>
    <w:p w14:paraId="4EFF5B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3）项目结束后，由采购人成立验收小组。直接参与项目采购活动的主要负责人不能作为验收工作的主要负责人，按照国家质量验收规范、招标要求及中标人的投标内容进行核对验收。验收合格后，由验收小组组成人员签署验收合格报告，并承担相应责任，该验收报告将作为付款的主要依据。</w:t>
      </w:r>
    </w:p>
    <w:p w14:paraId="009EAE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8.投标人应提供供货安装调试</w:t>
      </w:r>
      <w:r>
        <w:rPr>
          <w:rFonts w:hint="eastAsia" w:asciiTheme="minorEastAsia" w:hAnsiTheme="minorEastAsia" w:eastAsiaTheme="minorEastAsia" w:cstheme="minorEastAsia"/>
          <w:sz w:val="24"/>
          <w:szCs w:val="24"/>
          <w:highlight w:val="none"/>
          <w:lang w:val="en-US" w:eastAsia="zh-CN"/>
        </w:rPr>
        <w:t>方案、人员培训方案、质量保障措施、进度保障措施、应急预案。</w:t>
      </w:r>
    </w:p>
    <w:p w14:paraId="6A9A9B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9.投标人应提供</w:t>
      </w:r>
      <w:r>
        <w:rPr>
          <w:rFonts w:hint="eastAsia" w:asciiTheme="minorEastAsia" w:hAnsiTheme="minorEastAsia" w:eastAsiaTheme="minorEastAsia" w:cstheme="minorEastAsia"/>
          <w:sz w:val="24"/>
          <w:szCs w:val="24"/>
          <w:highlight w:val="none"/>
          <w:lang w:val="en-US" w:eastAsia="zh-CN"/>
        </w:rPr>
        <w:t>技术偏差表、主要设备技术指标及技术性能说明</w:t>
      </w:r>
    </w:p>
    <w:p w14:paraId="6051C905">
      <w:pPr>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outlineLvl w:val="9"/>
        <w:rPr>
          <w:rFonts w:hint="eastAsia"/>
          <w:lang w:val="en-US" w:eastAsia="zh-CN"/>
        </w:rPr>
      </w:pPr>
      <w:r>
        <w:rPr>
          <w:rFonts w:hint="eastAsia" w:asciiTheme="minorEastAsia" w:hAnsiTheme="minorEastAsia" w:eastAsiaTheme="minorEastAsia" w:cstheme="minorEastAsia"/>
          <w:spacing w:val="-1"/>
          <w:sz w:val="24"/>
          <w:szCs w:val="24"/>
          <w:lang w:val="en-US" w:eastAsia="zh-CN"/>
        </w:rPr>
        <w:t>10.</w:t>
      </w:r>
      <w:r>
        <w:rPr>
          <w:rFonts w:hint="eastAsia" w:asciiTheme="minorEastAsia" w:hAnsiTheme="minorEastAsia" w:eastAsiaTheme="minorEastAsia" w:cstheme="minorEastAsia"/>
          <w:color w:val="auto"/>
          <w:spacing w:val="-1"/>
          <w:sz w:val="24"/>
          <w:szCs w:val="24"/>
          <w:highlight w:val="none"/>
          <w:lang w:val="en-US" w:eastAsia="zh-CN"/>
        </w:rPr>
        <w:t>供应商在</w:t>
      </w:r>
      <w:r>
        <w:rPr>
          <w:rFonts w:hint="eastAsia" w:asciiTheme="minorEastAsia" w:hAnsiTheme="minorEastAsia" w:eastAsiaTheme="minorEastAsia" w:cstheme="minorEastAsia"/>
          <w:color w:val="auto"/>
          <w:spacing w:val="-1"/>
          <w:sz w:val="24"/>
          <w:szCs w:val="24"/>
          <w:highlight w:val="none"/>
        </w:rPr>
        <w:t>供货时需提供防火墙</w:t>
      </w: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rPr>
        <w:t>一拖四无线会议话筒</w:t>
      </w:r>
      <w:r>
        <w:rPr>
          <w:rFonts w:hint="eastAsia" w:asciiTheme="minorEastAsia" w:hAnsiTheme="minorEastAsia" w:eastAsiaTheme="minorEastAsia" w:cstheme="minorEastAsia"/>
          <w:color w:val="auto"/>
          <w:spacing w:val="-1"/>
          <w:sz w:val="24"/>
          <w:szCs w:val="24"/>
          <w:highlight w:val="none"/>
          <w:lang w:val="en-US" w:eastAsia="zh-CN"/>
        </w:rPr>
        <w:t>及</w:t>
      </w:r>
      <w:r>
        <w:rPr>
          <w:rFonts w:hint="eastAsia" w:asciiTheme="minorEastAsia" w:hAnsiTheme="minorEastAsia" w:eastAsiaTheme="minorEastAsia" w:cstheme="minorEastAsia"/>
          <w:color w:val="auto"/>
          <w:spacing w:val="-1"/>
          <w:sz w:val="24"/>
          <w:szCs w:val="24"/>
          <w:highlight w:val="none"/>
          <w:lang w:eastAsia="zh-CN"/>
        </w:rPr>
        <w:t>音频处理器</w:t>
      </w:r>
      <w:r>
        <w:rPr>
          <w:rFonts w:hint="eastAsia" w:asciiTheme="minorEastAsia" w:hAnsiTheme="minorEastAsia" w:eastAsiaTheme="minorEastAsia" w:cstheme="minorEastAsia"/>
          <w:color w:val="auto"/>
          <w:spacing w:val="-1"/>
          <w:sz w:val="24"/>
          <w:szCs w:val="24"/>
          <w:highlight w:val="none"/>
          <w:lang w:val="en-US" w:eastAsia="zh-CN"/>
        </w:rPr>
        <w:t>三项产品所需的相关</w:t>
      </w:r>
      <w:r>
        <w:rPr>
          <w:rFonts w:hint="eastAsia" w:asciiTheme="minorEastAsia" w:hAnsiTheme="minorEastAsia" w:eastAsiaTheme="minorEastAsia" w:cstheme="minorEastAsia"/>
          <w:color w:val="auto"/>
          <w:spacing w:val="-1"/>
          <w:sz w:val="24"/>
          <w:szCs w:val="24"/>
          <w:highlight w:val="none"/>
        </w:rPr>
        <w:t>产品检测报告。</w:t>
      </w:r>
    </w:p>
    <w:p w14:paraId="5D05A05A">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C9C1CA5">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D759BF0">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646112FB">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8"/>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699"/>
        <w:gridCol w:w="7188"/>
      </w:tblGrid>
      <w:tr w14:paraId="646AD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12" w:space="0"/>
              <w:left w:val="single" w:color="auto" w:sz="12" w:space="0"/>
              <w:bottom w:val="single" w:color="auto" w:sz="6" w:space="0"/>
              <w:right w:val="single" w:color="auto" w:sz="6" w:space="0"/>
            </w:tcBorders>
            <w:noWrap w:val="0"/>
            <w:vAlign w:val="center"/>
          </w:tcPr>
          <w:p w14:paraId="31AB617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188" w:type="dxa"/>
            <w:tcBorders>
              <w:top w:val="single" w:color="auto" w:sz="12" w:space="0"/>
              <w:left w:val="single" w:color="auto" w:sz="6" w:space="0"/>
              <w:bottom w:val="single" w:color="auto" w:sz="6" w:space="0"/>
              <w:right w:val="single" w:color="auto" w:sz="12" w:space="0"/>
            </w:tcBorders>
            <w:noWrap w:val="0"/>
            <w:vAlign w:val="center"/>
          </w:tcPr>
          <w:p w14:paraId="6739DE6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1DA26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7F81B8B5">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6EE9C92">
            <w:pPr>
              <w:pStyle w:val="25"/>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4C5A974F">
            <w:pPr>
              <w:pStyle w:val="25"/>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0BC8CE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34D45CC">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5F737C9D">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70C8D1DD">
            <w:pPr>
              <w:pStyle w:val="25"/>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7B744097">
            <w:pPr>
              <w:pStyle w:val="25"/>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8F62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1DA6F374">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0456B619">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389DAE11">
            <w:pPr>
              <w:pStyle w:val="25"/>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073DEADB">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26D1C9C4">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461B9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4EFF55DD">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1C492049">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4BE63AA4">
            <w:pPr>
              <w:pStyle w:val="25"/>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3B248FB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26F7D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856ECF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33B46AB">
            <w:pPr>
              <w:pStyle w:val="25"/>
              <w:keepNext w:val="0"/>
              <w:keepLines w:val="0"/>
              <w:pageBreakBefore w:val="0"/>
              <w:widowControl/>
              <w:numPr>
                <w:ilvl w:val="0"/>
                <w:numId w:val="1"/>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lang w:val="en-US" w:eastAsia="zh-CN" w:bidi="ar-SA"/>
              </w:rPr>
              <w:t xml:space="preserve"> 工业 </w:t>
            </w:r>
          </w:p>
          <w:p w14:paraId="6DD37E86">
            <w:pPr>
              <w:pStyle w:val="25"/>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0CE4BF56">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auto"/>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10 </w:t>
            </w:r>
            <w:r>
              <w:rPr>
                <w:rFonts w:hint="eastAsia" w:asciiTheme="minorEastAsia" w:hAnsiTheme="minorEastAsia" w:eastAsiaTheme="minorEastAsia" w:cstheme="minorEastAsia"/>
                <w:snapToGrid w:val="0"/>
                <w:color w:val="auto"/>
                <w:spacing w:val="29"/>
                <w:kern w:val="0"/>
                <w:sz w:val="24"/>
                <w:szCs w:val="24"/>
                <w:lang w:val="en-US" w:eastAsia="zh-CN" w:bidi="ar-SA"/>
              </w:rPr>
              <w:t>%。</w:t>
            </w:r>
          </w:p>
          <w:p w14:paraId="6C933CEC">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61C34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top"/>
          </w:tcPr>
          <w:p w14:paraId="19680C7E">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6290CD7">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188" w:type="dxa"/>
            <w:tcBorders>
              <w:top w:val="single" w:color="auto" w:sz="6" w:space="0"/>
              <w:left w:val="single" w:color="auto" w:sz="6" w:space="0"/>
              <w:bottom w:val="single" w:color="auto" w:sz="6" w:space="0"/>
              <w:right w:val="single" w:color="auto" w:sz="12" w:space="0"/>
            </w:tcBorders>
            <w:noWrap w:val="0"/>
            <w:vAlign w:val="top"/>
          </w:tcPr>
          <w:p w14:paraId="43F5A857">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019F5EB">
            <w:pPr>
              <w:pStyle w:val="25"/>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4C5CED0F">
            <w:pPr>
              <w:pStyle w:val="25"/>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47F7F9E3">
            <w:pPr>
              <w:pStyle w:val="25"/>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4B3035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F0B26B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FB4B91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100.3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73D7D1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1C8FF78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0C35A58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3D80D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140BF5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2169FA1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C250F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5CF37DD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14AEF36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11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4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72F90C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163C11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A50089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11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4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color w:val="auto"/>
                <w:spacing w:val="-15"/>
                <w:sz w:val="24"/>
                <w:szCs w:val="24"/>
              </w:rPr>
              <w:t>（北京时间）</w:t>
            </w:r>
          </w:p>
        </w:tc>
      </w:tr>
      <w:tr w14:paraId="5BF6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3B8A93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核心产品</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78CD8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FF0000"/>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LED显示屏</w:t>
            </w:r>
          </w:p>
        </w:tc>
      </w:tr>
      <w:tr w14:paraId="2A6FA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A78B4B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76CE8B9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p>
        </w:tc>
      </w:tr>
      <w:tr w14:paraId="7245E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71D95E0">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是否采用“暗标”评审</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674D1605">
            <w:pPr>
              <w:pStyle w:val="25"/>
              <w:keepNext w:val="0"/>
              <w:keepLines w:val="0"/>
              <w:pageBreakBefore w:val="0"/>
              <w:kinsoku/>
              <w:wordWrap w:val="0"/>
              <w:overflowPunct/>
              <w:topLinePunct w:val="0"/>
              <w:bidi w:val="0"/>
              <w:spacing w:line="223"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lang w:val="en-US" w:eastAsia="zh-CN"/>
              </w:rPr>
              <w:t>是，具体要求详见投标人须知</w:t>
            </w:r>
          </w:p>
        </w:tc>
      </w:tr>
      <w:tr w14:paraId="614235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290AA05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41258E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3E5FC3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699" w:type="dxa"/>
            <w:tcBorders>
              <w:top w:val="single" w:color="auto" w:sz="6" w:space="0"/>
              <w:left w:val="single" w:color="auto" w:sz="12" w:space="0"/>
              <w:bottom w:val="single" w:color="auto" w:sz="6" w:space="0"/>
              <w:right w:val="single" w:color="auto" w:sz="6" w:space="0"/>
            </w:tcBorders>
            <w:noWrap w:val="0"/>
            <w:vAlign w:val="center"/>
          </w:tcPr>
          <w:p w14:paraId="6AADDD4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188" w:type="dxa"/>
            <w:tcBorders>
              <w:top w:val="single" w:color="auto" w:sz="6" w:space="0"/>
              <w:left w:val="single" w:color="auto" w:sz="6" w:space="0"/>
              <w:bottom w:val="single" w:color="auto" w:sz="6" w:space="0"/>
              <w:right w:val="single" w:color="auto" w:sz="12" w:space="0"/>
            </w:tcBorders>
            <w:noWrap w:val="0"/>
            <w:vAlign w:val="center"/>
          </w:tcPr>
          <w:p w14:paraId="300670E0">
            <w:pPr>
              <w:pStyle w:val="25"/>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15861D6F">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63485E05">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32FBB641">
      <w:pPr>
        <w:pStyle w:val="6"/>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17EC5D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664185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5BEB27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71890B8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77FAFCC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1AA5421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100.3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387A8C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5EC814C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77E713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2EFC05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3E87744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4CBE49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3F7806B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31F403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473CBE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23747B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3B3706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4492DA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1D5C591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34422E7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55B9B62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2F955FD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1E3D5E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417E44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17A6DE2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49C20ED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07A357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3212E4C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5AD63AB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66D1E93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0AFBDA2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0ACC9B8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0B42A69">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7749EB1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5DB90A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3AA6B49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7E2FB39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00207A7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54AD92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90763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5DF85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41BFFD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0197C92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2D73253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24D177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53DFB22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153F42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340C54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6E86883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77313BF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29B62D8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07F2B30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133A902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466D9F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A3E806D">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B28B4E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683EBCA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3B88496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信息化产品 。</w:t>
      </w:r>
    </w:p>
    <w:p w14:paraId="54AF79F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6.4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安装调试及售后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45A55DAD">
      <w:pPr>
        <w:pStyle w:val="23"/>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3D81EF85">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379D1AD7">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179CA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1AD926A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4E4412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43B9737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5BA2EDBD">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775B3B4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248C83DC">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2791B8E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756F319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3F90B4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52914D8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A1E4B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2DF4EC9">
      <w:pPr>
        <w:keepNext w:val="0"/>
        <w:keepLines w:val="0"/>
        <w:pageBreakBefore w:val="0"/>
        <w:widowControl/>
        <w:overflowPunct/>
        <w:topLinePunct w:val="0"/>
        <w:autoSpaceDE w:val="0"/>
        <w:autoSpaceDN w:val="0"/>
        <w:bidi w:val="0"/>
        <w:adjustRightInd w:val="0"/>
        <w:snapToGrid w:val="0"/>
        <w:spacing w:line="400" w:lineRule="exact"/>
        <w:ind w:firstLine="450" w:firstLineChars="200"/>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”发布，请潜在投标供应商随时查询有关公告信息。若因潜在投标供应商没有及时查看到公告信息而造成的投标失误，责任自负。</w:t>
      </w:r>
    </w:p>
    <w:p w14:paraId="2440C198">
      <w:pPr>
        <w:pStyle w:val="6"/>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24C10E8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0ED87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38622D17">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CBB1D3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17989E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04C4E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34CC9E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3582A8A">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技术文件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《商务</w:t>
      </w:r>
      <w:r>
        <w:rPr>
          <w:rFonts w:hint="eastAsia" w:asciiTheme="minorEastAsia" w:hAnsiTheme="minorEastAsia" w:eastAsiaTheme="minorEastAsia" w:cstheme="minorEastAsia"/>
          <w:sz w:val="24"/>
          <w:szCs w:val="24"/>
          <w:lang w:val="en-US" w:eastAsia="zh-CN"/>
        </w:rPr>
        <w:t>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4804D070">
      <w:pPr>
        <w:pStyle w:val="33"/>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36C49022">
      <w:pPr>
        <w:pStyle w:val="33"/>
        <w:snapToGrid w:val="0"/>
        <w:spacing w:line="360" w:lineRule="auto"/>
        <w:ind w:firstLine="480" w:firstLineChars="200"/>
        <w:textAlignment w:val="auto"/>
        <w:rPr>
          <w:rFonts w:hint="eastAsia" w:hAnsi="宋体" w:cs="宋体"/>
          <w:sz w:val="24"/>
          <w:szCs w:val="24"/>
        </w:rPr>
      </w:pPr>
      <w:r>
        <w:rPr>
          <w:rFonts w:hint="eastAsia" w:asciiTheme="minorEastAsia" w:hAnsiTheme="minorEastAsia" w:eastAsiaTheme="minorEastAsia" w:cstheme="minorEastAsia"/>
          <w:sz w:val="24"/>
          <w:szCs w:val="24"/>
          <w:lang w:val="en-US" w:eastAsia="zh-CN"/>
        </w:rPr>
        <w:t>10.3</w:t>
      </w:r>
      <w:r>
        <w:rPr>
          <w:rFonts w:hint="eastAsia" w:hAnsi="宋体" w:cs="宋体"/>
          <w:sz w:val="24"/>
          <w:szCs w:val="24"/>
        </w:rPr>
        <w:t>投标文件应严格按照政府采购法律法规和招标文件要求，分开编制商务标和技术标，对能明显区分投标供应商的内容，应放入商务标；技术标中不能出现涉及投标供应商名称及相关提示内容的任何信息。</w:t>
      </w:r>
    </w:p>
    <w:p w14:paraId="6C74A0F1">
      <w:pPr>
        <w:pStyle w:val="33"/>
        <w:snapToGrid w:val="0"/>
        <w:spacing w:line="360" w:lineRule="auto"/>
        <w:ind w:firstLine="480"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10.4技术标文件制作要求：</w:t>
      </w:r>
    </w:p>
    <w:p w14:paraId="366B9A16">
      <w:pPr>
        <w:pStyle w:val="33"/>
        <w:snapToGrid w:val="0"/>
        <w:spacing w:line="360" w:lineRule="auto"/>
        <w:ind w:firstLine="480"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10.</w:t>
      </w:r>
      <w:r>
        <w:rPr>
          <w:rFonts w:hint="eastAsia" w:hAnsi="宋体" w:eastAsia="宋体" w:cs="宋体"/>
          <w:b/>
          <w:bCs/>
          <w:color w:val="auto"/>
          <w:sz w:val="24"/>
          <w:szCs w:val="24"/>
          <w:highlight w:val="none"/>
          <w:lang w:val="en-US" w:eastAsia="zh-CN"/>
        </w:rPr>
        <w:t>4</w:t>
      </w:r>
      <w:r>
        <w:rPr>
          <w:rFonts w:hint="eastAsia" w:hAnsi="宋体" w:cs="宋体"/>
          <w:b/>
          <w:bCs/>
          <w:color w:val="auto"/>
          <w:sz w:val="24"/>
          <w:szCs w:val="24"/>
          <w:highlight w:val="none"/>
        </w:rPr>
        <w:t>.1版面要求：A4纸张大小</w:t>
      </w:r>
      <w:r>
        <w:rPr>
          <w:rFonts w:hint="default" w:hAnsi="宋体" w:cs="宋体"/>
          <w:b/>
          <w:bCs/>
          <w:color w:val="auto"/>
          <w:sz w:val="24"/>
          <w:szCs w:val="24"/>
          <w:highlight w:val="none"/>
        </w:rPr>
        <w:t>，纵向排版</w:t>
      </w:r>
      <w:r>
        <w:rPr>
          <w:rFonts w:hint="eastAsia" w:hAnsi="宋体" w:cs="宋体"/>
          <w:b/>
          <w:bCs/>
          <w:color w:val="auto"/>
          <w:sz w:val="24"/>
          <w:szCs w:val="24"/>
          <w:highlight w:val="none"/>
        </w:rPr>
        <w:t xml:space="preserve">。 </w:t>
      </w:r>
    </w:p>
    <w:p w14:paraId="6A833E0F">
      <w:pPr>
        <w:pStyle w:val="33"/>
        <w:snapToGrid w:val="0"/>
        <w:spacing w:line="360" w:lineRule="auto"/>
        <w:ind w:firstLine="480"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10.</w:t>
      </w:r>
      <w:r>
        <w:rPr>
          <w:rFonts w:hint="eastAsia" w:hAnsi="宋体" w:eastAsia="宋体" w:cs="宋体"/>
          <w:b/>
          <w:bCs/>
          <w:color w:val="auto"/>
          <w:sz w:val="24"/>
          <w:szCs w:val="24"/>
          <w:highlight w:val="none"/>
          <w:lang w:val="en-US" w:eastAsia="zh-CN"/>
        </w:rPr>
        <w:t>4</w:t>
      </w:r>
      <w:r>
        <w:rPr>
          <w:rFonts w:hint="eastAsia" w:hAnsi="宋体" w:cs="宋体"/>
          <w:b/>
          <w:bCs/>
          <w:color w:val="auto"/>
          <w:sz w:val="24"/>
          <w:szCs w:val="24"/>
          <w:highlight w:val="none"/>
        </w:rPr>
        <w:t xml:space="preserve">.2颜色要求：所有文字、图表均为黑色。 </w:t>
      </w:r>
    </w:p>
    <w:p w14:paraId="3CD94263">
      <w:pPr>
        <w:pStyle w:val="33"/>
        <w:snapToGrid w:val="0"/>
        <w:spacing w:line="360" w:lineRule="auto"/>
        <w:ind w:firstLine="480"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10.</w:t>
      </w:r>
      <w:r>
        <w:rPr>
          <w:rFonts w:hint="eastAsia" w:hAnsi="宋体" w:eastAsia="宋体" w:cs="宋体"/>
          <w:b/>
          <w:bCs/>
          <w:color w:val="auto"/>
          <w:sz w:val="24"/>
          <w:szCs w:val="24"/>
          <w:highlight w:val="none"/>
          <w:lang w:val="en-US" w:eastAsia="zh-CN"/>
        </w:rPr>
        <w:t>4</w:t>
      </w:r>
      <w:r>
        <w:rPr>
          <w:rFonts w:hint="eastAsia" w:hAnsi="宋体" w:cs="宋体"/>
          <w:b/>
          <w:bCs/>
          <w:color w:val="auto"/>
          <w:sz w:val="24"/>
          <w:szCs w:val="24"/>
          <w:highlight w:val="none"/>
        </w:rPr>
        <w:t xml:space="preserve">.3字体要求：标题及正文部分所用文字均采用“宋体”四号“常规”字；图、表内的字体及字号不作要求；全部使用中文标点；所有字体均不得出现加粗、加色、倾斜、下划线等标记。 </w:t>
      </w:r>
    </w:p>
    <w:p w14:paraId="4CB79985">
      <w:pPr>
        <w:pStyle w:val="33"/>
        <w:snapToGrid w:val="0"/>
        <w:spacing w:line="360" w:lineRule="auto"/>
        <w:ind w:firstLine="480" w:firstLineChars="200"/>
        <w:textAlignment w:val="auto"/>
        <w:rPr>
          <w:rFonts w:hint="eastAsia" w:hAnsi="宋体" w:cs="宋体"/>
          <w:b/>
          <w:bCs/>
          <w:color w:val="auto"/>
          <w:sz w:val="24"/>
          <w:szCs w:val="24"/>
          <w:highlight w:val="none"/>
        </w:rPr>
      </w:pPr>
      <w:r>
        <w:rPr>
          <w:rFonts w:hint="eastAsia" w:hAnsi="宋体" w:cs="宋体"/>
          <w:b/>
          <w:bCs/>
          <w:color w:val="auto"/>
          <w:sz w:val="24"/>
          <w:szCs w:val="24"/>
          <w:highlight w:val="none"/>
        </w:rPr>
        <w:t>10.</w:t>
      </w:r>
      <w:r>
        <w:rPr>
          <w:rFonts w:hint="eastAsia" w:hAnsi="宋体" w:eastAsia="宋体" w:cs="宋体"/>
          <w:b/>
          <w:bCs/>
          <w:color w:val="auto"/>
          <w:sz w:val="24"/>
          <w:szCs w:val="24"/>
          <w:highlight w:val="none"/>
          <w:lang w:val="en-US" w:eastAsia="zh-CN"/>
        </w:rPr>
        <w:t>4</w:t>
      </w:r>
      <w:r>
        <w:rPr>
          <w:rFonts w:hint="eastAsia" w:hAnsi="宋体" w:cs="宋体"/>
          <w:b/>
          <w:bCs/>
          <w:color w:val="auto"/>
          <w:sz w:val="24"/>
          <w:szCs w:val="24"/>
          <w:highlight w:val="none"/>
        </w:rPr>
        <w:t>.4</w:t>
      </w:r>
      <w:r>
        <w:rPr>
          <w:rFonts w:hint="eastAsia" w:hAnsi="宋体" w:eastAsia="宋体" w:cs="宋体"/>
          <w:b/>
          <w:bCs/>
          <w:color w:val="auto"/>
          <w:sz w:val="24"/>
          <w:szCs w:val="24"/>
          <w:highlight w:val="none"/>
          <w:lang w:val="en-US" w:eastAsia="zh-CN"/>
        </w:rPr>
        <w:t xml:space="preserve"> </w:t>
      </w:r>
      <w:r>
        <w:rPr>
          <w:rFonts w:hint="eastAsia" w:hAnsi="宋体" w:cs="宋体"/>
          <w:b/>
          <w:bCs/>
          <w:color w:val="auto"/>
          <w:sz w:val="24"/>
          <w:szCs w:val="24"/>
          <w:highlight w:val="none"/>
        </w:rPr>
        <w:t>排版要求：页边距要求上</w:t>
      </w:r>
      <w:r>
        <w:rPr>
          <w:rFonts w:hint="eastAsia" w:hAnsi="宋体" w:eastAsia="宋体" w:cs="宋体"/>
          <w:b/>
          <w:bCs/>
          <w:color w:val="auto"/>
          <w:sz w:val="24"/>
          <w:szCs w:val="24"/>
          <w:highlight w:val="none"/>
          <w:lang w:eastAsia="zh-CN"/>
        </w:rPr>
        <w:t>、</w:t>
      </w:r>
      <w:r>
        <w:rPr>
          <w:rFonts w:hint="eastAsia" w:hAnsi="宋体" w:eastAsia="宋体" w:cs="宋体"/>
          <w:b/>
          <w:bCs/>
          <w:color w:val="auto"/>
          <w:sz w:val="24"/>
          <w:szCs w:val="24"/>
          <w:highlight w:val="none"/>
          <w:lang w:val="en-US" w:eastAsia="zh-CN"/>
        </w:rPr>
        <w:t>下</w:t>
      </w:r>
      <w:r>
        <w:rPr>
          <w:rFonts w:hint="eastAsia" w:hAnsi="宋体" w:cs="宋体"/>
          <w:b/>
          <w:bCs/>
          <w:color w:val="auto"/>
          <w:sz w:val="24"/>
          <w:szCs w:val="24"/>
          <w:highlight w:val="none"/>
        </w:rPr>
        <w:t>边距</w:t>
      </w:r>
      <w:r>
        <w:rPr>
          <w:rFonts w:hint="eastAsia" w:hAnsi="宋体" w:eastAsia="宋体" w:cs="宋体"/>
          <w:b/>
          <w:bCs/>
          <w:color w:val="auto"/>
          <w:sz w:val="24"/>
          <w:szCs w:val="24"/>
          <w:highlight w:val="none"/>
          <w:lang w:val="en-US" w:eastAsia="zh-CN"/>
        </w:rPr>
        <w:t>3</w:t>
      </w:r>
      <w:r>
        <w:rPr>
          <w:rFonts w:hint="eastAsia" w:hAnsi="宋体" w:cs="宋体"/>
          <w:b/>
          <w:bCs/>
          <w:color w:val="auto"/>
          <w:sz w:val="24"/>
          <w:szCs w:val="24"/>
          <w:highlight w:val="none"/>
        </w:rPr>
        <w:t>厘米，</w:t>
      </w:r>
      <w:r>
        <w:rPr>
          <w:rFonts w:hint="eastAsia" w:hAnsi="宋体" w:eastAsia="宋体" w:cs="宋体"/>
          <w:b/>
          <w:bCs/>
          <w:color w:val="auto"/>
          <w:sz w:val="24"/>
          <w:szCs w:val="24"/>
          <w:highlight w:val="none"/>
          <w:lang w:val="en-US" w:eastAsia="zh-CN"/>
        </w:rPr>
        <w:t>左、右页边距2厘米</w:t>
      </w:r>
      <w:r>
        <w:rPr>
          <w:rFonts w:hint="eastAsia" w:hAnsi="宋体" w:cs="宋体"/>
          <w:b/>
          <w:bCs/>
          <w:color w:val="auto"/>
          <w:sz w:val="24"/>
          <w:szCs w:val="24"/>
          <w:highlight w:val="none"/>
        </w:rPr>
        <w:t>；不得设置目录；正文行间距为固定值</w:t>
      </w:r>
      <w:r>
        <w:rPr>
          <w:rFonts w:hint="eastAsia" w:hAnsi="宋体" w:eastAsia="宋体" w:cs="宋体"/>
          <w:b/>
          <w:bCs/>
          <w:color w:val="auto"/>
          <w:sz w:val="24"/>
          <w:szCs w:val="24"/>
          <w:highlight w:val="none"/>
          <w:lang w:val="en-US" w:eastAsia="zh-CN"/>
        </w:rPr>
        <w:t>25</w:t>
      </w:r>
      <w:r>
        <w:rPr>
          <w:rFonts w:hint="eastAsia" w:hAnsi="宋体" w:cs="宋体"/>
          <w:b/>
          <w:bCs/>
          <w:color w:val="auto"/>
          <w:sz w:val="24"/>
          <w:szCs w:val="24"/>
          <w:highlight w:val="none"/>
        </w:rPr>
        <w:t>磅；文字内容（含正文标题、正文及表格标题）统一设为左对齐；首行缩进2字符，不得有空格；段落前后不设置空行；不得设置页眉、页脚和页码；图、表部分对齐形式统一设为居中对齐。</w:t>
      </w:r>
    </w:p>
    <w:p w14:paraId="0AC0C333">
      <w:pPr>
        <w:pStyle w:val="33"/>
        <w:snapToGrid w:val="0"/>
        <w:spacing w:line="360" w:lineRule="auto"/>
        <w:ind w:firstLine="490" w:firstLineChars="200"/>
        <w:textAlignment w:val="auto"/>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10.4.5 除满足上述各项要求外，技术“暗标”中不得出现任何行间插字或删除痕迹，构成投标文件的“技术暗标”的正文中不得出现投标人的名称和其它可识别投标人身份的字符、徽标、人员名称以及其他特殊标记等。</w:t>
      </w:r>
    </w:p>
    <w:p w14:paraId="206B8D96">
      <w:pPr>
        <w:pStyle w:val="33"/>
        <w:snapToGrid w:val="0"/>
        <w:spacing w:line="360" w:lineRule="auto"/>
        <w:ind w:firstLine="490" w:firstLineChars="200"/>
        <w:textAlignment w:val="auto"/>
        <w:rPr>
          <w:rFonts w:hint="default" w:hAnsi="宋体" w:cs="宋体"/>
          <w:b/>
          <w:bCs/>
          <w:sz w:val="24"/>
          <w:szCs w:val="24"/>
          <w:highlight w:val="red"/>
          <w:lang w:val="en-US"/>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10.4.6编写软件及版本要求:MicrosoftWord2007或以上。</w:t>
      </w:r>
    </w:p>
    <w:p w14:paraId="36CA1FD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7029F6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650859A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1208C41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32836D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投标人认为应附的其他材料。</w:t>
      </w:r>
    </w:p>
    <w:p w14:paraId="689D0E2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23BA9A3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49648A2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6E6063A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6C75510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CF300F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503924A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40257E3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5C861D2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F520C50">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0A23716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7AA47C2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123F644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46A96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44D1B61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57CD77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4EE589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1E20189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6784C60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7340EC0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768AE51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0E2CA9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043ACA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03501C1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13B309ED">
      <w:pPr>
        <w:pStyle w:val="6"/>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AA36103">
      <w:pPr>
        <w:pStyle w:val="13"/>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AA98FDC">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0D74AD8">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9CBEF65">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EAEF3BF">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D179FB8">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E3A433F">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3451796">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818A969">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625B4A6">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0153024">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3FAECF9">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0AAC1DD">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DB5B170">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5FC8AD8">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4DE0B82">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9C5A955">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819FF7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07185ED">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378B811">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1A5900A">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2668726">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5DDBE4B">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1CDA7A9F">
      <w:pPr>
        <w:pStyle w:val="6"/>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00F3BB58">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572630C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454A0A84">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5230742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5D3D6A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07B5246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6004269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577DD8A2">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650FBAF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524345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71773E4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11995F22">
      <w:pPr>
        <w:pStyle w:val="23"/>
        <w:rPr>
          <w:rFonts w:hint="eastAsia"/>
          <w:lang w:val="en-US" w:eastAsia="zh-CN"/>
        </w:rPr>
      </w:pPr>
    </w:p>
    <w:p w14:paraId="64B83E1E">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71D79EFC">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4"/>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09199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0D19D28D">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09523C7D">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6E0065FA">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174FE8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4EB82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08E0287B">
            <w:pPr>
              <w:pStyle w:val="25"/>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6D6C3F4F">
            <w:pPr>
              <w:pStyle w:val="25"/>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0AC2195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6602F161">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43D0E99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6E6DD2A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4F06CF7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54C0DBF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488510C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7AF7853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3F079DF1">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11852CC8">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0D823CFC">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112EF51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350D26AC">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3529F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580A2E58">
            <w:pPr>
              <w:pStyle w:val="25"/>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554C10A5">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43E7D2CF">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9F7AC48">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21556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115B8EA1">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F496F3E">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3FBFECF">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659B685">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CEBDBB3">
            <w:pPr>
              <w:pStyle w:val="25"/>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F860930">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72AC565B">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1C37EA7">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33FEDF60">
            <w:pPr>
              <w:pStyle w:val="25"/>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77518B4">
            <w:pPr>
              <w:pStyle w:val="25"/>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7FB8A94C">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E0BC9B7">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3E7C493">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02C4FA5">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3F7D8FF">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7E37FD3">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246D00E">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00B7BDA9">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11D31AC">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B1BC6B5">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0E82C279">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00E10C00">
            <w:pPr>
              <w:pStyle w:val="25"/>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1CFB5468">
            <w:pPr>
              <w:pStyle w:val="25"/>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03F2CCC2">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E188F32">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C66F6F">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3CD98A6">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06D413B">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1D97980">
            <w:pPr>
              <w:pStyle w:val="25"/>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80A4576">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325AAB">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2A45E0B4">
            <w:pPr>
              <w:pStyle w:val="25"/>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1C12805">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3482E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001B8AF6">
            <w:pPr>
              <w:pStyle w:val="25"/>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0697E2E9">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064B4E3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3F0CEC74">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69E2ECBD">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04AE4DE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1501A456">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2BACA20A">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7D28B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7DC5CC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1775234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3D288FA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275989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CF12B8A">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75A15FC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682ACB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5D6C7BE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08B49AE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69C095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788F990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46D00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685BBF2F">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655E661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14F9A78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w:t>
      </w:r>
    </w:p>
    <w:p w14:paraId="00B1836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确定其</w:t>
      </w:r>
      <w:r>
        <w:rPr>
          <w:rFonts w:hint="eastAsia" w:asciiTheme="minorEastAsia" w:hAnsiTheme="minorEastAsia" w:eastAsiaTheme="minorEastAsia" w:cstheme="minorEastAsia"/>
          <w:spacing w:val="-3"/>
          <w:sz w:val="24"/>
          <w:szCs w:val="24"/>
        </w:rPr>
        <w:t>是否满足招标文件的实质性要求。</w:t>
      </w:r>
    </w:p>
    <w:p w14:paraId="30FFA92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124171B6">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5676F92C">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4"/>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52AC7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46786BA8">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1B8149A6">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B71D35B">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125EC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21B06950">
            <w:pPr>
              <w:pStyle w:val="25"/>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37E4150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44DB46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7DE99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CA22C3">
            <w:pPr>
              <w:pStyle w:val="25"/>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54BB4037">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1322A319">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0C7E6C73">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3773F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016AE8B7">
            <w:pPr>
              <w:pStyle w:val="25"/>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0542AAF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7DFC14D">
            <w:pPr>
              <w:pStyle w:val="25"/>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18516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2FC94348">
            <w:pPr>
              <w:pStyle w:val="25"/>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2E6E4A3">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4E7A475A">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7821A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9148E8">
            <w:pPr>
              <w:pStyle w:val="25"/>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3D3ABFE4">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189938A3">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111E5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28614BA9">
            <w:pPr>
              <w:pStyle w:val="25"/>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03A9E15">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2EEBFB90">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42412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07D81052">
            <w:pPr>
              <w:pStyle w:val="25"/>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2F12F5F5">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1BF2B68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47C9B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846E3DF">
            <w:pPr>
              <w:pStyle w:val="25"/>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62D6B0EF">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482205EE">
            <w:pPr>
              <w:pStyle w:val="25"/>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1646CA9">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27AAC8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3BC27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0DA114EC">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3B9F3416">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tc>
        <w:tc>
          <w:tcPr>
            <w:tcW w:w="5791" w:type="dxa"/>
            <w:vAlign w:val="center"/>
          </w:tcPr>
          <w:p w14:paraId="0DFFEB6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7F2CA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06B3DD4B">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72DC29FC">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tc>
        <w:tc>
          <w:tcPr>
            <w:tcW w:w="5791" w:type="dxa"/>
            <w:vAlign w:val="center"/>
          </w:tcPr>
          <w:p w14:paraId="7E4A8431">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6FE7A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587F084C">
            <w:pPr>
              <w:pStyle w:val="25"/>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78638BD5">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6C64FAB5">
            <w:pPr>
              <w:pStyle w:val="25"/>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3B6F8DC1">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A45D63">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0E46D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0FF287A6">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87D1BB8">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6894C747">
            <w:pPr>
              <w:pStyle w:val="25"/>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5FA8070">
            <w:pPr>
              <w:pStyle w:val="25"/>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738DEA6">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66A7D8B6">
            <w:pPr>
              <w:pStyle w:val="25"/>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46CB07A">
            <w:pPr>
              <w:pStyle w:val="25"/>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00BA6654">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2874224F">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0810E123">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522AF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3182758">
            <w:pPr>
              <w:pStyle w:val="25"/>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59BF2BA0">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62B9367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345CB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363A38AE">
            <w:pPr>
              <w:pStyle w:val="25"/>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0E935D35">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4F444537">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6621B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7CD41592">
            <w:pPr>
              <w:pStyle w:val="25"/>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43C36F80">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243E8EAA">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4121EF70">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656E2BBE">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highlight w:val="none"/>
          <w:lang w:val="en-US" w:eastAsia="zh-CN"/>
        </w:rPr>
      </w:pPr>
      <w:r>
        <w:rPr>
          <w:rFonts w:hint="eastAsia" w:asciiTheme="minorEastAsia" w:hAnsiTheme="minorEastAsia" w:eastAsiaTheme="minorEastAsia" w:cstheme="minorEastAsia"/>
          <w:spacing w:val="2"/>
          <w:position w:val="17"/>
          <w:sz w:val="24"/>
          <w:szCs w:val="24"/>
          <w:lang w:val="en-US" w:eastAsia="zh-CN"/>
        </w:rPr>
        <w:t>☑</w:t>
      </w:r>
      <w:r>
        <w:rPr>
          <w:rFonts w:hint="eastAsia" w:asciiTheme="minorEastAsia" w:hAnsiTheme="minorEastAsia" w:eastAsiaTheme="minorEastAsia" w:cstheme="minorEastAsia"/>
          <w:spacing w:val="2"/>
          <w:position w:val="17"/>
          <w:sz w:val="24"/>
          <w:szCs w:val="24"/>
          <w:highlight w:val="none"/>
          <w:lang w:val="en-US" w:eastAsia="zh-CN"/>
        </w:rPr>
        <w:t>货物类，审查投标设备的供货安装调试方案、人员培训方案、质量保障措施、进度保障措施、应急预案等是否符合招标要求。</w:t>
      </w:r>
    </w:p>
    <w:p w14:paraId="30E300E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3C7E7C3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5F320FD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6FA67F6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0D5A2C4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6F40725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64CBB0D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CCA5B27">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146704E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027B06E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3B0249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566DCC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2A65E43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0DC39B1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422AE6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3C80E941">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5AA2B5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DE180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DA642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4911207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6BC143E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726409E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058744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7CAF53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049799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00EFA46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0A1E7CB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6576A1E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2EA08F4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8249022">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2034EB0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1131A1D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3A68681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13A4A64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603B2AC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27E2E21">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58D20DE2">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0F5EC8A3">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AAC3B1D">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2C881446">
      <w:pPr>
        <w:pStyle w:val="13"/>
        <w:ind w:firstLine="490" w:firstLineChars="200"/>
        <w:rPr>
          <w:rFonts w:hint="default" w:asciiTheme="minorEastAsia" w:hAnsiTheme="minorEastAsia" w:eastAsiaTheme="minorEastAsia" w:cstheme="minorEastAsia"/>
          <w:b/>
          <w:bCs/>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（10）</w:t>
      </w:r>
      <w:r>
        <w:rPr>
          <w:rFonts w:hint="default" w:asciiTheme="minorEastAsia" w:hAnsiTheme="minorEastAsia" w:eastAsiaTheme="minorEastAsia" w:cstheme="minorEastAsia"/>
          <w:b/>
          <w:bCs/>
          <w:snapToGrid w:val="0"/>
          <w:color w:val="auto"/>
          <w:spacing w:val="2"/>
          <w:kern w:val="0"/>
          <w:position w:val="17"/>
          <w:sz w:val="24"/>
          <w:szCs w:val="24"/>
          <w:highlight w:val="none"/>
          <w:lang w:val="en-US" w:eastAsia="zh-CN" w:bidi="ar-SA"/>
        </w:rPr>
        <w:t>未按</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w:t>
      </w:r>
      <w:r>
        <w:rPr>
          <w:rFonts w:hint="default" w:asciiTheme="minorEastAsia" w:hAnsiTheme="minorEastAsia" w:eastAsiaTheme="minorEastAsia" w:cstheme="minorEastAsia"/>
          <w:b/>
          <w:bCs/>
          <w:snapToGrid w:val="0"/>
          <w:color w:val="auto"/>
          <w:spacing w:val="2"/>
          <w:kern w:val="0"/>
          <w:position w:val="17"/>
          <w:sz w:val="24"/>
          <w:szCs w:val="24"/>
          <w:highlight w:val="none"/>
          <w:lang w:val="en-US" w:eastAsia="zh-CN" w:bidi="ar-SA"/>
        </w:rPr>
        <w:t>暗标</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w:t>
      </w:r>
      <w:r>
        <w:rPr>
          <w:rFonts w:hint="default" w:asciiTheme="minorEastAsia" w:hAnsiTheme="minorEastAsia" w:eastAsiaTheme="minorEastAsia" w:cstheme="minorEastAsia"/>
          <w:b/>
          <w:bCs/>
          <w:snapToGrid w:val="0"/>
          <w:color w:val="auto"/>
          <w:spacing w:val="2"/>
          <w:kern w:val="0"/>
          <w:position w:val="17"/>
          <w:sz w:val="24"/>
          <w:szCs w:val="24"/>
          <w:highlight w:val="none"/>
          <w:lang w:val="en-US" w:eastAsia="zh-CN" w:bidi="ar-SA"/>
        </w:rPr>
        <w:t>要求编写技术或方案部分的</w:t>
      </w:r>
      <w:r>
        <w:rPr>
          <w:rFonts w:hint="eastAsia" w:asciiTheme="minorEastAsia" w:hAnsiTheme="minorEastAsia" w:eastAsiaTheme="minorEastAsia" w:cstheme="minorEastAsia"/>
          <w:b/>
          <w:bCs/>
          <w:snapToGrid w:val="0"/>
          <w:color w:val="auto"/>
          <w:spacing w:val="2"/>
          <w:kern w:val="0"/>
          <w:position w:val="17"/>
          <w:sz w:val="24"/>
          <w:szCs w:val="24"/>
          <w:highlight w:val="none"/>
          <w:lang w:val="en-US" w:eastAsia="zh-CN" w:bidi="ar-SA"/>
        </w:rPr>
        <w:t>。</w:t>
      </w:r>
    </w:p>
    <w:p w14:paraId="18C94FB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6BDCC35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7054F697">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5A0AC85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303C2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5092BAA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2FCEEF94">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4721763">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3251E710">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6E1DA5BC">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35B06011">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p w14:paraId="56701E2F">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4"/>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8"/>
        <w:gridCol w:w="1268"/>
        <w:gridCol w:w="1055"/>
        <w:gridCol w:w="5294"/>
      </w:tblGrid>
      <w:tr w14:paraId="0FE94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18" w:type="dxa"/>
            <w:vAlign w:val="top"/>
          </w:tcPr>
          <w:p w14:paraId="5CFBC0E3">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268" w:type="dxa"/>
            <w:vAlign w:val="top"/>
          </w:tcPr>
          <w:p w14:paraId="5737F434">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55" w:type="dxa"/>
            <w:vAlign w:val="top"/>
          </w:tcPr>
          <w:p w14:paraId="35B4503C">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294" w:type="dxa"/>
            <w:vAlign w:val="top"/>
          </w:tcPr>
          <w:p w14:paraId="006F1921">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5EE63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18" w:type="dxa"/>
            <w:vAlign w:val="center"/>
          </w:tcPr>
          <w:p w14:paraId="695980E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5092EA8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4D1A811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76C9E84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6800E4F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25EE729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66E9172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3FCCD6D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69DF3EB6">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p w14:paraId="118FE62D">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7507137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6047D01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30C537B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45917EF8">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34E49A4D">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470FD9A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04195F1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4E80305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tc>
        <w:tc>
          <w:tcPr>
            <w:tcW w:w="1268" w:type="dxa"/>
            <w:vAlign w:val="center"/>
          </w:tcPr>
          <w:p w14:paraId="08E314FC">
            <w:pPr>
              <w:pStyle w:val="25"/>
              <w:keepNext w:val="0"/>
              <w:keepLines w:val="0"/>
              <w:pageBreakBefore w:val="0"/>
              <w:kinsoku/>
              <w:wordWrap w:val="0"/>
              <w:overflowPunct/>
              <w:topLinePunct w:val="0"/>
              <w:bidi w:val="0"/>
              <w:spacing w:line="295" w:lineRule="auto"/>
              <w:jc w:val="center"/>
              <w:rPr>
                <w:rFonts w:hint="eastAsia" w:asciiTheme="minorEastAsia" w:hAnsiTheme="minorEastAsia" w:eastAsiaTheme="minorEastAsia" w:cstheme="minorEastAsia"/>
                <w:sz w:val="24"/>
                <w:szCs w:val="24"/>
              </w:rPr>
            </w:pPr>
          </w:p>
          <w:p w14:paraId="48149543">
            <w:pPr>
              <w:pStyle w:val="25"/>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sz w:val="24"/>
                <w:szCs w:val="24"/>
              </w:rPr>
            </w:pPr>
          </w:p>
          <w:p w14:paraId="77727311">
            <w:pPr>
              <w:pStyle w:val="25"/>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sz w:val="24"/>
                <w:szCs w:val="24"/>
              </w:rPr>
            </w:pPr>
          </w:p>
          <w:p w14:paraId="7180DF6B">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5562047F">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7908E5E2">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61FFACE8">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部分（满分30分）</w:t>
            </w:r>
          </w:p>
          <w:p w14:paraId="4B18741B">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4263E452">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59C333AA">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72F9EBF8">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4C292A8B">
            <w:pPr>
              <w:keepNext w:val="0"/>
              <w:keepLines w:val="0"/>
              <w:pageBreakBefore w:val="0"/>
              <w:kinsoku/>
              <w:wordWrap w:val="0"/>
              <w:overflowPunct/>
              <w:topLinePunct w:val="0"/>
              <w:bidi w:val="0"/>
              <w:spacing w:before="78" w:line="219" w:lineRule="auto"/>
              <w:ind w:left="272"/>
              <w:jc w:val="center"/>
              <w:rPr>
                <w:rFonts w:hint="eastAsia" w:asciiTheme="minorEastAsia" w:hAnsiTheme="minorEastAsia" w:eastAsiaTheme="minorEastAsia" w:cstheme="minorEastAsia"/>
                <w:spacing w:val="-3"/>
                <w:sz w:val="24"/>
                <w:szCs w:val="24"/>
              </w:rPr>
            </w:pPr>
          </w:p>
          <w:p w14:paraId="37141D0A">
            <w:pPr>
              <w:keepNext w:val="0"/>
              <w:keepLines w:val="0"/>
              <w:pageBreakBefore w:val="0"/>
              <w:kinsoku/>
              <w:wordWrap w:val="0"/>
              <w:overflowPunct/>
              <w:topLinePunct w:val="0"/>
              <w:bidi w:val="0"/>
              <w:spacing w:before="78" w:line="219" w:lineRule="auto"/>
              <w:ind w:firstLine="234" w:firstLineChars="100"/>
              <w:jc w:val="center"/>
              <w:rPr>
                <w:rFonts w:hint="eastAsia" w:asciiTheme="minorEastAsia" w:hAnsiTheme="minorEastAsia" w:eastAsiaTheme="minorEastAsia" w:cstheme="minorEastAsia"/>
                <w:spacing w:val="-3"/>
                <w:sz w:val="24"/>
                <w:szCs w:val="24"/>
              </w:rPr>
            </w:pPr>
          </w:p>
          <w:p w14:paraId="219566F0">
            <w:pPr>
              <w:keepNext w:val="0"/>
              <w:keepLines w:val="0"/>
              <w:pageBreakBefore w:val="0"/>
              <w:kinsoku/>
              <w:wordWrap w:val="0"/>
              <w:overflowPunct/>
              <w:topLinePunct w:val="0"/>
              <w:bidi w:val="0"/>
              <w:spacing w:before="78" w:line="219" w:lineRule="auto"/>
              <w:ind w:firstLine="240" w:firstLineChars="100"/>
              <w:jc w:val="center"/>
              <w:rPr>
                <w:rFonts w:hint="eastAsia" w:asciiTheme="minorEastAsia" w:hAnsiTheme="minorEastAsia" w:eastAsiaTheme="minorEastAsia" w:cstheme="minorEastAsia"/>
                <w:sz w:val="24"/>
                <w:szCs w:val="24"/>
              </w:rPr>
            </w:pPr>
          </w:p>
        </w:tc>
        <w:tc>
          <w:tcPr>
            <w:tcW w:w="1055" w:type="dxa"/>
            <w:vAlign w:val="center"/>
          </w:tcPr>
          <w:p w14:paraId="43AEAC2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318C7CD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6179E60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24EFDB7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2C00928D">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3FBC5B54">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6798072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58A5D86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p>
          <w:p w14:paraId="12BFA00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投标报价</w:t>
            </w:r>
          </w:p>
          <w:p w14:paraId="4506DAD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（30分）</w:t>
            </w:r>
          </w:p>
        </w:tc>
        <w:tc>
          <w:tcPr>
            <w:tcW w:w="5294" w:type="dxa"/>
            <w:vAlign w:val="top"/>
          </w:tcPr>
          <w:p w14:paraId="56D6B347">
            <w:pPr>
              <w:keepNext w:val="0"/>
              <w:keepLines w:val="0"/>
              <w:pageBreakBefore w:val="0"/>
              <w:kinsoku/>
              <w:wordWrap w:val="0"/>
              <w:overflowPunct/>
              <w:topLinePunct w:val="0"/>
              <w:bidi w:val="0"/>
              <w:spacing w:before="191" w:line="235" w:lineRule="auto"/>
              <w:ind w:left="113" w:right="103" w:firstLine="52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满足招标文件要求且投标价格最低</w:t>
            </w:r>
            <w:r>
              <w:rPr>
                <w:rFonts w:hint="eastAsia" w:asciiTheme="minorEastAsia" w:hAnsiTheme="minorEastAsia" w:eastAsiaTheme="minorEastAsia" w:cstheme="minorEastAsia"/>
                <w:spacing w:val="-13"/>
                <w:sz w:val="24"/>
                <w:szCs w:val="24"/>
              </w:rPr>
              <w:t>的投标报价为评标基准价，其价格分</w:t>
            </w:r>
            <w:r>
              <w:rPr>
                <w:rFonts w:hint="eastAsia" w:asciiTheme="minorEastAsia" w:hAnsiTheme="minorEastAsia" w:eastAsiaTheme="minorEastAsia" w:cstheme="minorEastAsia"/>
                <w:spacing w:val="-6"/>
                <w:sz w:val="24"/>
                <w:szCs w:val="24"/>
              </w:rPr>
              <w:t>为满分。其他投标人的价格分统一按</w:t>
            </w:r>
            <w:r>
              <w:rPr>
                <w:rFonts w:hint="eastAsia" w:asciiTheme="minorEastAsia" w:hAnsiTheme="minorEastAsia" w:eastAsiaTheme="minorEastAsia" w:cstheme="minorEastAsia"/>
                <w:spacing w:val="-8"/>
                <w:sz w:val="24"/>
                <w:szCs w:val="24"/>
              </w:rPr>
              <w:t>照下列公式计算：</w:t>
            </w:r>
          </w:p>
          <w:p w14:paraId="32B2FC7E">
            <w:pPr>
              <w:pStyle w:val="25"/>
              <w:keepNext w:val="0"/>
              <w:keepLines w:val="0"/>
              <w:pageBreakBefore w:val="0"/>
              <w:kinsoku/>
              <w:wordWrap w:val="0"/>
              <w:overflowPunct/>
              <w:topLinePunct w:val="0"/>
              <w:bidi w:val="0"/>
              <w:spacing w:before="26" w:line="228" w:lineRule="auto"/>
              <w:ind w:left="111" w:right="103"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rPr>
              <w:t>投标报价得分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评标基准价/投标</w:t>
            </w:r>
            <w:r>
              <w:rPr>
                <w:rFonts w:hint="eastAsia" w:asciiTheme="minorEastAsia" w:hAnsiTheme="minorEastAsia" w:eastAsiaTheme="minorEastAsia" w:cstheme="minorEastAsia"/>
                <w:spacing w:val="-12"/>
                <w:sz w:val="24"/>
                <w:szCs w:val="24"/>
              </w:rPr>
              <w:t>报价）×</w:t>
            </w:r>
            <w:r>
              <w:rPr>
                <w:rFonts w:hint="eastAsia" w:asciiTheme="minorEastAsia" w:hAnsiTheme="minorEastAsia" w:eastAsiaTheme="minorEastAsia" w:cstheme="minorEastAsia"/>
                <w:spacing w:val="-12"/>
                <w:sz w:val="24"/>
                <w:szCs w:val="24"/>
                <w:lang w:val="en-US" w:eastAsia="zh-CN"/>
              </w:rPr>
              <w:t>30</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eastAsia="zh-CN"/>
              </w:rPr>
              <w:t>（分值计算保留小数点后两位，小数点后第三位“四舍五入”。）</w:t>
            </w:r>
          </w:p>
          <w:p w14:paraId="5CC9B648">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Theme="minorEastAsia" w:hAnsiTheme="minorEastAsia" w:eastAsiaTheme="minorEastAsia" w:cstheme="minorEastAsia"/>
                <w:color w:val="auto"/>
                <w:spacing w:val="-13"/>
                <w:sz w:val="24"/>
                <w:szCs w:val="24"/>
                <w:lang w:eastAsia="zh-CN"/>
              </w:rPr>
              <w:t>扣除</w:t>
            </w:r>
            <w:r>
              <w:rPr>
                <w:rFonts w:hint="eastAsia" w:asciiTheme="minorEastAsia" w:hAnsiTheme="minorEastAsia" w:eastAsiaTheme="minorEastAsia" w:cstheme="minorEastAsia"/>
                <w:color w:val="auto"/>
                <w:spacing w:val="-13"/>
                <w:sz w:val="24"/>
                <w:szCs w:val="24"/>
                <w:u w:val="single"/>
                <w:lang w:val="en-US" w:eastAsia="zh-CN"/>
              </w:rPr>
              <w:t xml:space="preserve"> 10 </w:t>
            </w:r>
            <w:r>
              <w:rPr>
                <w:rFonts w:hint="eastAsia" w:asciiTheme="minorEastAsia" w:hAnsiTheme="minorEastAsia" w:eastAsiaTheme="minorEastAsia" w:cstheme="minorEastAsia"/>
                <w:color w:val="auto"/>
                <w:spacing w:val="-13"/>
                <w:sz w:val="24"/>
                <w:szCs w:val="24"/>
                <w:lang w:eastAsia="zh-CN"/>
              </w:rPr>
              <w:t>%后参与评</w:t>
            </w:r>
            <w:r>
              <w:rPr>
                <w:rFonts w:hint="eastAsia" w:asciiTheme="minorEastAsia" w:hAnsiTheme="minorEastAsia" w:eastAsiaTheme="minorEastAsia" w:cstheme="minorEastAsia"/>
                <w:spacing w:val="-13"/>
                <w:sz w:val="24"/>
                <w:szCs w:val="24"/>
                <w:lang w:eastAsia="zh-CN"/>
              </w:rPr>
              <w:t>审。对于同时属于小微企业、监狱企业或残疾人福利性单位的，不重复进行投标报价扣除。（</w:t>
            </w:r>
            <w:r>
              <w:rPr>
                <w:rFonts w:hint="eastAsia" w:asciiTheme="minorEastAsia" w:hAnsiTheme="minorEastAsia" w:eastAsiaTheme="minorEastAsia" w:cstheme="minorEastAsia"/>
                <w:spacing w:val="-13"/>
                <w:sz w:val="24"/>
                <w:szCs w:val="24"/>
                <w:lang w:val="en-US" w:eastAsia="zh-CN"/>
              </w:rPr>
              <w:t>专门面向中小企业的项目除外</w:t>
            </w:r>
            <w:r>
              <w:rPr>
                <w:rFonts w:hint="eastAsia" w:asciiTheme="minorEastAsia" w:hAnsiTheme="minorEastAsia" w:eastAsiaTheme="minorEastAsia" w:cstheme="minorEastAsia"/>
                <w:spacing w:val="-13"/>
                <w:sz w:val="24"/>
                <w:szCs w:val="24"/>
                <w:lang w:eastAsia="zh-CN"/>
              </w:rPr>
              <w:t>）</w:t>
            </w:r>
          </w:p>
        </w:tc>
      </w:tr>
      <w:tr w14:paraId="3FD6F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restart"/>
            <w:vAlign w:val="center"/>
          </w:tcPr>
          <w:p w14:paraId="02D78ACC">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268" w:type="dxa"/>
            <w:vMerge w:val="restart"/>
            <w:vAlign w:val="center"/>
          </w:tcPr>
          <w:p w14:paraId="2B57F71D">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技术部分（满分35分）</w:t>
            </w:r>
          </w:p>
        </w:tc>
        <w:tc>
          <w:tcPr>
            <w:tcW w:w="1055" w:type="dxa"/>
            <w:vAlign w:val="center"/>
          </w:tcPr>
          <w:p w14:paraId="33DB724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设备供货安装调试方案</w:t>
            </w:r>
          </w:p>
          <w:p w14:paraId="4A53B7E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294" w:type="dxa"/>
            <w:vAlign w:val="top"/>
          </w:tcPr>
          <w:p w14:paraId="4908A88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根据投标人提供的设备供货安装调试方案进行打分（应包含：①工作人员配备方案，②制造安装流程说明及安装进度 计划，③供货、验货、安装调试、验收方案等内容，④ 确保按时交付、正常验收(包括出厂检验、到货检验等)， ⑤安装过程中与其他相关人员的协同配合等方面）</w:t>
            </w:r>
          </w:p>
          <w:p w14:paraId="250F88D2">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第一档：方案</w:t>
            </w:r>
            <w:r>
              <w:rPr>
                <w:rFonts w:hint="eastAsia" w:asciiTheme="minorEastAsia" w:hAnsiTheme="minorEastAsia" w:eastAsiaTheme="minorEastAsia" w:cstheme="minorEastAsia"/>
                <w:snapToGrid w:val="0"/>
                <w:color w:val="000000"/>
                <w:spacing w:val="-13"/>
                <w:kern w:val="0"/>
                <w:sz w:val="24"/>
                <w:szCs w:val="24"/>
                <w:lang w:val="en-US" w:eastAsia="zh-CN" w:bidi="ar-SA"/>
              </w:rPr>
              <w:t>完整</w:t>
            </w:r>
            <w:r>
              <w:rPr>
                <w:rFonts w:hint="default" w:asciiTheme="minorEastAsia" w:hAnsiTheme="minorEastAsia" w:eastAsiaTheme="minorEastAsia" w:cstheme="minorEastAsia"/>
                <w:snapToGrid w:val="0"/>
                <w:color w:val="000000"/>
                <w:spacing w:val="-13"/>
                <w:kern w:val="0"/>
                <w:sz w:val="24"/>
                <w:szCs w:val="24"/>
                <w:lang w:val="en-US" w:eastAsia="zh-CN" w:bidi="ar-SA"/>
              </w:rPr>
              <w:t>详细、</w:t>
            </w:r>
            <w:r>
              <w:rPr>
                <w:rFonts w:hint="eastAsia" w:asciiTheme="minorEastAsia" w:hAnsiTheme="minorEastAsia" w:eastAsiaTheme="minorEastAsia" w:cstheme="minorEastAsia"/>
                <w:snapToGrid w:val="0"/>
                <w:color w:val="000000"/>
                <w:spacing w:val="-13"/>
                <w:kern w:val="0"/>
                <w:sz w:val="24"/>
                <w:szCs w:val="24"/>
                <w:lang w:val="en-US" w:eastAsia="zh-CN" w:bidi="ar-SA"/>
              </w:rPr>
              <w:t>合理</w:t>
            </w:r>
            <w:r>
              <w:rPr>
                <w:rFonts w:hint="default" w:asciiTheme="minorEastAsia" w:hAnsiTheme="minorEastAsia" w:eastAsiaTheme="minorEastAsia" w:cstheme="minorEastAsia"/>
                <w:snapToGrid w:val="0"/>
                <w:color w:val="000000"/>
                <w:spacing w:val="-13"/>
                <w:kern w:val="0"/>
                <w:sz w:val="24"/>
                <w:szCs w:val="24"/>
                <w:lang w:val="en-US" w:eastAsia="zh-CN" w:bidi="ar-SA"/>
              </w:rPr>
              <w:t>可行、针对性</w:t>
            </w:r>
            <w:r>
              <w:rPr>
                <w:rFonts w:hint="eastAsia" w:asciiTheme="minorEastAsia" w:hAnsiTheme="minorEastAsia" w:eastAsiaTheme="minorEastAsia" w:cstheme="minorEastAsia"/>
                <w:snapToGrid w:val="0"/>
                <w:color w:val="000000"/>
                <w:spacing w:val="-13"/>
                <w:kern w:val="0"/>
                <w:sz w:val="24"/>
                <w:szCs w:val="24"/>
                <w:lang w:val="en-US" w:eastAsia="zh-CN" w:bidi="ar-SA"/>
              </w:rPr>
              <w:t>强</w:t>
            </w:r>
            <w:r>
              <w:rPr>
                <w:rFonts w:hint="default" w:asciiTheme="minorEastAsia" w:hAnsiTheme="minorEastAsia" w:eastAsiaTheme="minorEastAsia" w:cstheme="minorEastAsia"/>
                <w:snapToGrid w:val="0"/>
                <w:color w:val="000000"/>
                <w:spacing w:val="-13"/>
                <w:kern w:val="0"/>
                <w:sz w:val="24"/>
                <w:szCs w:val="24"/>
                <w:lang w:val="en-US" w:eastAsia="zh-CN" w:bidi="ar-SA"/>
              </w:rPr>
              <w:t>、计划得当，</w:t>
            </w:r>
            <w:r>
              <w:rPr>
                <w:rFonts w:hint="eastAsia" w:asciiTheme="minorEastAsia" w:hAnsiTheme="minorEastAsia" w:eastAsiaTheme="minorEastAsia" w:cstheme="minorEastAsia"/>
                <w:snapToGrid w:val="0"/>
                <w:color w:val="000000"/>
                <w:spacing w:val="-13"/>
                <w:kern w:val="0"/>
                <w:sz w:val="24"/>
                <w:szCs w:val="24"/>
                <w:lang w:val="en-US" w:eastAsia="zh-CN" w:bidi="ar-SA"/>
              </w:rPr>
              <w:t>紧扣采购需求，</w:t>
            </w:r>
            <w:r>
              <w:rPr>
                <w:rFonts w:hint="default" w:asciiTheme="minorEastAsia" w:hAnsiTheme="minorEastAsia" w:eastAsiaTheme="minorEastAsia" w:cstheme="minorEastAsia"/>
                <w:snapToGrid w:val="0"/>
                <w:color w:val="000000"/>
                <w:spacing w:val="-13"/>
                <w:kern w:val="0"/>
                <w:sz w:val="24"/>
                <w:szCs w:val="24"/>
                <w:lang w:val="en-US" w:eastAsia="zh-CN" w:bidi="ar-SA"/>
              </w:rPr>
              <w:t>能够很好地满足项目要求的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default" w:asciiTheme="minorEastAsia" w:hAnsiTheme="minorEastAsia" w:eastAsiaTheme="minorEastAsia" w:cstheme="minorEastAsia"/>
                <w:snapToGrid w:val="0"/>
                <w:color w:val="000000"/>
                <w:spacing w:val="-13"/>
                <w:kern w:val="0"/>
                <w:sz w:val="24"/>
                <w:szCs w:val="24"/>
                <w:lang w:val="en-US" w:eastAsia="zh-CN" w:bidi="ar-SA"/>
              </w:rPr>
              <w:t>得10分；</w:t>
            </w:r>
          </w:p>
          <w:p w14:paraId="202B9EF2">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第二档：方案</w:t>
            </w:r>
            <w:r>
              <w:rPr>
                <w:rFonts w:hint="eastAsia" w:asciiTheme="minorEastAsia" w:hAnsiTheme="minorEastAsia" w:eastAsiaTheme="minorEastAsia" w:cstheme="minorEastAsia"/>
                <w:snapToGrid w:val="0"/>
                <w:color w:val="000000"/>
                <w:spacing w:val="-13"/>
                <w:kern w:val="0"/>
                <w:sz w:val="24"/>
                <w:szCs w:val="24"/>
                <w:lang w:val="en-US" w:eastAsia="zh-CN" w:bidi="ar-SA"/>
              </w:rPr>
              <w:t>较完整</w:t>
            </w:r>
            <w:r>
              <w:rPr>
                <w:rFonts w:hint="default"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zh-CN" w:bidi="ar-SA"/>
              </w:rPr>
              <w:t>有一定针对性，各方面安排较为合理，</w:t>
            </w:r>
            <w:r>
              <w:rPr>
                <w:rFonts w:hint="default" w:asciiTheme="minorEastAsia" w:hAnsiTheme="minorEastAsia" w:eastAsiaTheme="minorEastAsia" w:cstheme="minorEastAsia"/>
                <w:snapToGrid w:val="0"/>
                <w:color w:val="000000"/>
                <w:spacing w:val="-13"/>
                <w:kern w:val="0"/>
                <w:sz w:val="24"/>
                <w:szCs w:val="24"/>
                <w:lang w:val="en-US" w:eastAsia="zh-CN" w:bidi="ar-SA"/>
              </w:rPr>
              <w:t>能够满足项目要求的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default" w:asciiTheme="minorEastAsia" w:hAnsiTheme="minorEastAsia" w:eastAsiaTheme="minorEastAsia" w:cstheme="minorEastAsia"/>
                <w:snapToGrid w:val="0"/>
                <w:color w:val="000000"/>
                <w:spacing w:val="-13"/>
                <w:kern w:val="0"/>
                <w:sz w:val="24"/>
                <w:szCs w:val="24"/>
                <w:lang w:val="en-US" w:eastAsia="zh-CN" w:bidi="ar-SA"/>
              </w:rPr>
              <w:t>得7分；</w:t>
            </w:r>
          </w:p>
          <w:p w14:paraId="3ED9ECF2">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第三档：方案笼统、</w:t>
            </w:r>
            <w:r>
              <w:rPr>
                <w:rFonts w:hint="eastAsia" w:asciiTheme="minorEastAsia" w:hAnsiTheme="minorEastAsia" w:eastAsiaTheme="minorEastAsia" w:cstheme="minorEastAsia"/>
                <w:snapToGrid w:val="0"/>
                <w:color w:val="000000"/>
                <w:spacing w:val="-13"/>
                <w:kern w:val="0"/>
                <w:sz w:val="24"/>
                <w:szCs w:val="24"/>
                <w:lang w:val="en-US" w:eastAsia="zh-CN" w:bidi="ar-SA"/>
              </w:rPr>
              <w:t>模糊，内容有</w:t>
            </w:r>
            <w:r>
              <w:rPr>
                <w:rFonts w:hint="default" w:asciiTheme="minorEastAsia" w:hAnsiTheme="minorEastAsia" w:eastAsiaTheme="minorEastAsia" w:cstheme="minorEastAsia"/>
                <w:snapToGrid w:val="0"/>
                <w:color w:val="000000"/>
                <w:spacing w:val="-13"/>
                <w:kern w:val="0"/>
                <w:sz w:val="24"/>
                <w:szCs w:val="24"/>
                <w:lang w:val="en-US" w:eastAsia="zh-CN" w:bidi="ar-SA"/>
              </w:rPr>
              <w:t>合理</w:t>
            </w:r>
            <w:r>
              <w:rPr>
                <w:rFonts w:hint="eastAsia" w:asciiTheme="minorEastAsia" w:hAnsiTheme="minorEastAsia" w:eastAsiaTheme="minorEastAsia" w:cstheme="minorEastAsia"/>
                <w:snapToGrid w:val="0"/>
                <w:color w:val="000000"/>
                <w:spacing w:val="-13"/>
                <w:kern w:val="0"/>
                <w:sz w:val="24"/>
                <w:szCs w:val="24"/>
                <w:lang w:val="en-US" w:eastAsia="zh-CN" w:bidi="ar-SA"/>
              </w:rPr>
              <w:t>性但不够详细</w:t>
            </w:r>
            <w:r>
              <w:rPr>
                <w:rFonts w:hint="default" w:asciiTheme="minorEastAsia" w:hAnsiTheme="minorEastAsia" w:eastAsiaTheme="minorEastAsia" w:cstheme="minorEastAsia"/>
                <w:snapToGrid w:val="0"/>
                <w:color w:val="000000"/>
                <w:spacing w:val="-13"/>
                <w:kern w:val="0"/>
                <w:sz w:val="24"/>
                <w:szCs w:val="24"/>
                <w:lang w:val="en-US" w:eastAsia="zh-CN" w:bidi="ar-SA"/>
              </w:rPr>
              <w:t>，基本满足项目要求的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default" w:asciiTheme="minorEastAsia" w:hAnsiTheme="minorEastAsia" w:eastAsiaTheme="minorEastAsia" w:cstheme="minorEastAsia"/>
                <w:snapToGrid w:val="0"/>
                <w:color w:val="000000"/>
                <w:spacing w:val="-13"/>
                <w:kern w:val="0"/>
                <w:sz w:val="24"/>
                <w:szCs w:val="24"/>
                <w:lang w:val="en-US" w:eastAsia="zh-CN" w:bidi="ar-SA"/>
              </w:rPr>
              <w:t>得4分；</w:t>
            </w:r>
          </w:p>
          <w:p w14:paraId="3E302E18">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第四档：有方案，但方案内容不完整（部分内容缺项），</w:t>
            </w:r>
            <w:r>
              <w:rPr>
                <w:rFonts w:hint="eastAsia" w:asciiTheme="minorEastAsia" w:hAnsiTheme="minorEastAsia" w:eastAsiaTheme="minorEastAsia" w:cstheme="minorEastAsia"/>
                <w:snapToGrid w:val="0"/>
                <w:color w:val="000000"/>
                <w:spacing w:val="-13"/>
                <w:kern w:val="0"/>
                <w:sz w:val="24"/>
                <w:szCs w:val="24"/>
                <w:lang w:val="en-US" w:eastAsia="zh-CN" w:bidi="ar-SA"/>
              </w:rPr>
              <w:t>且实际内容与本项目不符合的，</w:t>
            </w:r>
            <w:r>
              <w:rPr>
                <w:rFonts w:hint="default" w:asciiTheme="minorEastAsia" w:hAnsiTheme="minorEastAsia" w:eastAsiaTheme="minorEastAsia" w:cstheme="minorEastAsia"/>
                <w:snapToGrid w:val="0"/>
                <w:color w:val="000000"/>
                <w:spacing w:val="-13"/>
                <w:kern w:val="0"/>
                <w:sz w:val="24"/>
                <w:szCs w:val="24"/>
                <w:lang w:val="en-US" w:eastAsia="zh-CN" w:bidi="ar-SA"/>
              </w:rPr>
              <w:t>得1分；</w:t>
            </w:r>
          </w:p>
          <w:p w14:paraId="7F9ED5FF">
            <w:pPr>
              <w:pStyle w:val="25"/>
              <w:keepNext w:val="0"/>
              <w:keepLines w:val="0"/>
              <w:pageBreakBefore w:val="0"/>
              <w:kinsoku/>
              <w:wordWrap w:val="0"/>
              <w:overflowPunct/>
              <w:topLinePunct w:val="0"/>
              <w:bidi w:val="0"/>
              <w:spacing w:before="33" w:line="235" w:lineRule="auto"/>
              <w:ind w:left="76" w:right="23" w:firstLine="428" w:firstLineChars="200"/>
              <w:jc w:val="both"/>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default" w:asciiTheme="minorEastAsia" w:hAnsiTheme="minorEastAsia" w:eastAsiaTheme="minorEastAsia" w:cstheme="minorEastAsia"/>
                <w:snapToGrid w:val="0"/>
                <w:color w:val="000000"/>
                <w:spacing w:val="-13"/>
                <w:kern w:val="0"/>
                <w:sz w:val="24"/>
                <w:szCs w:val="24"/>
                <w:lang w:val="en-US" w:eastAsia="zh-CN" w:bidi="ar-SA"/>
              </w:rPr>
              <w:t>第五档：没有不得分。</w:t>
            </w:r>
          </w:p>
        </w:tc>
      </w:tr>
      <w:tr w14:paraId="10F61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continue"/>
            <w:vAlign w:val="center"/>
          </w:tcPr>
          <w:p w14:paraId="1751680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68" w:type="dxa"/>
            <w:vMerge w:val="continue"/>
            <w:vAlign w:val="center"/>
          </w:tcPr>
          <w:p w14:paraId="1041D2D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5" w:type="dxa"/>
            <w:vAlign w:val="center"/>
          </w:tcPr>
          <w:p w14:paraId="21E364B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人员培训方案</w:t>
            </w:r>
          </w:p>
          <w:p w14:paraId="07D9721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（8分）</w:t>
            </w:r>
          </w:p>
        </w:tc>
        <w:tc>
          <w:tcPr>
            <w:tcW w:w="5294" w:type="dxa"/>
            <w:vAlign w:val="top"/>
          </w:tcPr>
          <w:p w14:paraId="190C50E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根据投标人提供的人员培训方案进行打分（</w:t>
            </w:r>
            <w:r>
              <w:rPr>
                <w:rFonts w:hint="eastAsia" w:asciiTheme="minorEastAsia" w:hAnsiTheme="minorEastAsia" w:eastAsiaTheme="minorEastAsia" w:cstheme="minorEastAsia"/>
                <w:b w:val="0"/>
                <w:bCs w:val="0"/>
                <w:sz w:val="24"/>
                <w:szCs w:val="24"/>
              </w:rPr>
              <w:t>包括培训内容、培训计划等方面</w:t>
            </w:r>
            <w:r>
              <w:rPr>
                <w:rFonts w:hint="eastAsia" w:asciiTheme="minorEastAsia" w:hAnsiTheme="minorEastAsia" w:eastAsiaTheme="minorEastAsia" w:cstheme="minorEastAsia"/>
                <w:snapToGrid w:val="0"/>
                <w:color w:val="000000"/>
                <w:spacing w:val="-13"/>
                <w:kern w:val="0"/>
                <w:sz w:val="24"/>
                <w:szCs w:val="24"/>
                <w:lang w:val="en-US" w:eastAsia="zh-CN" w:bidi="ar-SA"/>
              </w:rPr>
              <w:t>）</w:t>
            </w:r>
          </w:p>
          <w:p w14:paraId="47AE716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第一档：对使用部门的人员有制定</w:t>
            </w:r>
            <w:r>
              <w:rPr>
                <w:rFonts w:hint="eastAsia" w:asciiTheme="minorEastAsia" w:hAnsiTheme="minorEastAsia" w:eastAsiaTheme="minorEastAsia" w:cstheme="minorEastAsia"/>
                <w:snapToGrid w:val="0"/>
                <w:color w:val="000000"/>
                <w:spacing w:val="-13"/>
                <w:kern w:val="0"/>
                <w:sz w:val="24"/>
                <w:szCs w:val="24"/>
                <w:lang w:val="en-US" w:eastAsia="zh-CN" w:bidi="ar-SA"/>
              </w:rPr>
              <w:t>科学的</w:t>
            </w:r>
            <w:r>
              <w:rPr>
                <w:rFonts w:hint="eastAsia" w:asciiTheme="minorEastAsia" w:hAnsiTheme="minorEastAsia" w:eastAsiaTheme="minorEastAsia" w:cstheme="minorEastAsia"/>
                <w:snapToGrid w:val="0"/>
                <w:color w:val="000000"/>
                <w:spacing w:val="-13"/>
                <w:kern w:val="0"/>
                <w:sz w:val="24"/>
                <w:szCs w:val="24"/>
                <w:lang w:val="en-US" w:eastAsia="en-US" w:bidi="ar-SA"/>
              </w:rPr>
              <w:t>培训计划，提供操作手册</w:t>
            </w:r>
            <w:r>
              <w:rPr>
                <w:rFonts w:hint="eastAsia" w:asciiTheme="minorEastAsia" w:hAnsiTheme="minorEastAsia" w:eastAsiaTheme="minorEastAsia" w:cstheme="minorEastAsia"/>
                <w:snapToGrid w:val="0"/>
                <w:color w:val="000000"/>
                <w:spacing w:val="-13"/>
                <w:kern w:val="0"/>
                <w:sz w:val="24"/>
                <w:szCs w:val="24"/>
                <w:lang w:val="en-US" w:eastAsia="zh-CN" w:bidi="ar-SA"/>
              </w:rPr>
              <w:t>内容详尽且</w:t>
            </w:r>
            <w:r>
              <w:rPr>
                <w:rFonts w:hint="eastAsia" w:asciiTheme="minorEastAsia" w:hAnsiTheme="minorEastAsia" w:eastAsiaTheme="minorEastAsia" w:cstheme="minorEastAsia"/>
                <w:snapToGrid w:val="0"/>
                <w:color w:val="000000"/>
                <w:spacing w:val="-13"/>
                <w:kern w:val="0"/>
                <w:sz w:val="24"/>
                <w:szCs w:val="24"/>
                <w:lang w:val="en-US" w:eastAsia="en-US" w:bidi="ar-SA"/>
              </w:rPr>
              <w:t>简单易懂，能很好的满足本项目要求的得8分；</w:t>
            </w:r>
          </w:p>
          <w:p w14:paraId="3BD913D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第二档：对使用部门的人员有培训计划，能够提供操作手册，</w:t>
            </w:r>
            <w:r>
              <w:rPr>
                <w:rFonts w:hint="eastAsia" w:asciiTheme="minorEastAsia" w:hAnsiTheme="minorEastAsia" w:eastAsiaTheme="minorEastAsia" w:cstheme="minorEastAsia"/>
                <w:snapToGrid w:val="0"/>
                <w:color w:val="000000"/>
                <w:spacing w:val="-13"/>
                <w:kern w:val="0"/>
                <w:sz w:val="24"/>
                <w:szCs w:val="24"/>
                <w:lang w:val="en-US" w:eastAsia="zh-CN" w:bidi="ar-SA"/>
              </w:rPr>
              <w:t>有助于</w:t>
            </w:r>
            <w:r>
              <w:rPr>
                <w:rFonts w:hint="eastAsia" w:asciiTheme="minorEastAsia" w:hAnsiTheme="minorEastAsia" w:eastAsiaTheme="minorEastAsia" w:cstheme="minorEastAsia"/>
                <w:snapToGrid w:val="0"/>
                <w:color w:val="000000"/>
                <w:spacing w:val="-13"/>
                <w:kern w:val="0"/>
                <w:sz w:val="24"/>
                <w:szCs w:val="24"/>
                <w:lang w:val="en-US" w:eastAsia="en-US" w:bidi="ar-SA"/>
              </w:rPr>
              <w:t>实践实施的得</w:t>
            </w:r>
            <w:r>
              <w:rPr>
                <w:rFonts w:hint="eastAsia" w:asciiTheme="minorEastAsia" w:hAnsiTheme="minorEastAsia" w:eastAsiaTheme="minorEastAsia" w:cstheme="minorEastAsia"/>
                <w:snapToGrid w:val="0"/>
                <w:color w:val="000000"/>
                <w:spacing w:val="-13"/>
                <w:kern w:val="0"/>
                <w:sz w:val="24"/>
                <w:szCs w:val="24"/>
                <w:lang w:val="en-US" w:eastAsia="zh-CN" w:bidi="ar-SA"/>
              </w:rPr>
              <w:t>5</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544A609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w:t>
            </w:r>
            <w:r>
              <w:rPr>
                <w:rFonts w:hint="eastAsia" w:asciiTheme="minorEastAsia" w:hAnsiTheme="minorEastAsia" w:eastAsiaTheme="minorEastAsia" w:cstheme="minorEastAsia"/>
                <w:snapToGrid w:val="0"/>
                <w:color w:val="000000"/>
                <w:spacing w:val="-13"/>
                <w:kern w:val="0"/>
                <w:sz w:val="24"/>
                <w:szCs w:val="24"/>
                <w:lang w:val="en-US" w:eastAsia="zh-CN" w:bidi="ar-SA"/>
              </w:rPr>
              <w:t>三</w:t>
            </w:r>
            <w:r>
              <w:rPr>
                <w:rFonts w:hint="eastAsia" w:asciiTheme="minorEastAsia" w:hAnsiTheme="minorEastAsia" w:eastAsiaTheme="minorEastAsia" w:cstheme="minorEastAsia"/>
                <w:snapToGrid w:val="0"/>
                <w:color w:val="000000"/>
                <w:spacing w:val="-13"/>
                <w:kern w:val="0"/>
                <w:sz w:val="24"/>
                <w:szCs w:val="24"/>
                <w:lang w:val="en-US" w:eastAsia="en-US" w:bidi="ar-SA"/>
              </w:rPr>
              <w:t>档：有人员培训方案，但内容与本项目实际不符，操作性</w:t>
            </w:r>
            <w:r>
              <w:rPr>
                <w:rFonts w:hint="eastAsia" w:asciiTheme="minorEastAsia" w:hAnsiTheme="minorEastAsia" w:eastAsiaTheme="minorEastAsia" w:cstheme="minorEastAsia"/>
                <w:snapToGrid w:val="0"/>
                <w:color w:val="000000"/>
                <w:spacing w:val="-13"/>
                <w:kern w:val="0"/>
                <w:sz w:val="24"/>
                <w:szCs w:val="24"/>
                <w:lang w:val="en-US" w:eastAsia="zh-CN" w:bidi="ar-SA"/>
              </w:rPr>
              <w:t>差</w:t>
            </w:r>
            <w:r>
              <w:rPr>
                <w:rFonts w:hint="eastAsia" w:asciiTheme="minorEastAsia" w:hAnsiTheme="minorEastAsia" w:eastAsiaTheme="minorEastAsia" w:cstheme="minorEastAsia"/>
                <w:snapToGrid w:val="0"/>
                <w:color w:val="000000"/>
                <w:spacing w:val="-13"/>
                <w:kern w:val="0"/>
                <w:sz w:val="24"/>
                <w:szCs w:val="24"/>
                <w:lang w:val="en-US" w:eastAsia="en-US" w:bidi="ar-SA"/>
              </w:rPr>
              <w:t>的得</w:t>
            </w:r>
            <w:r>
              <w:rPr>
                <w:rFonts w:hint="eastAsia" w:asciiTheme="minorEastAsia" w:hAnsiTheme="minorEastAsia" w:eastAsiaTheme="minorEastAsia" w:cstheme="minorEastAsia"/>
                <w:snapToGrid w:val="0"/>
                <w:color w:val="000000"/>
                <w:spacing w:val="-13"/>
                <w:kern w:val="0"/>
                <w:sz w:val="24"/>
                <w:szCs w:val="24"/>
                <w:lang w:val="en-US" w:eastAsia="zh-CN" w:bidi="ar-SA"/>
              </w:rPr>
              <w:t>2</w:t>
            </w:r>
            <w:r>
              <w:rPr>
                <w:rFonts w:hint="eastAsia" w:asciiTheme="minorEastAsia" w:hAnsiTheme="minorEastAsia" w:eastAsiaTheme="minorEastAsia" w:cstheme="minorEastAsia"/>
                <w:snapToGrid w:val="0"/>
                <w:color w:val="000000"/>
                <w:spacing w:val="-13"/>
                <w:kern w:val="0"/>
                <w:sz w:val="24"/>
                <w:szCs w:val="24"/>
                <w:lang w:val="en-US" w:eastAsia="en-US" w:bidi="ar-SA"/>
              </w:rPr>
              <w:t>分；</w:t>
            </w:r>
          </w:p>
          <w:p w14:paraId="2E578677">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w:t>
            </w:r>
            <w:r>
              <w:rPr>
                <w:rFonts w:hint="eastAsia" w:asciiTheme="minorEastAsia" w:hAnsiTheme="minorEastAsia" w:eastAsiaTheme="minorEastAsia" w:cstheme="minorEastAsia"/>
                <w:snapToGrid w:val="0"/>
                <w:color w:val="000000"/>
                <w:spacing w:val="-13"/>
                <w:kern w:val="0"/>
                <w:sz w:val="24"/>
                <w:szCs w:val="24"/>
                <w:lang w:val="en-US" w:eastAsia="zh-CN" w:bidi="ar-SA"/>
              </w:rPr>
              <w:t>四</w:t>
            </w:r>
            <w:r>
              <w:rPr>
                <w:rFonts w:hint="eastAsia" w:asciiTheme="minorEastAsia" w:hAnsiTheme="minorEastAsia" w:eastAsiaTheme="minorEastAsia" w:cstheme="minorEastAsia"/>
                <w:snapToGrid w:val="0"/>
                <w:color w:val="000000"/>
                <w:spacing w:val="-13"/>
                <w:kern w:val="0"/>
                <w:sz w:val="24"/>
                <w:szCs w:val="24"/>
                <w:lang w:val="en-US" w:eastAsia="en-US" w:bidi="ar-SA"/>
              </w:rPr>
              <w:t>档：</w:t>
            </w:r>
            <w:r>
              <w:rPr>
                <w:rFonts w:hint="eastAsia" w:asciiTheme="minorEastAsia" w:hAnsiTheme="minorEastAsia" w:eastAsiaTheme="minorEastAsia" w:cstheme="minorEastAsia"/>
                <w:snapToGrid w:val="0"/>
                <w:color w:val="000000"/>
                <w:spacing w:val="-13"/>
                <w:kern w:val="0"/>
                <w:sz w:val="24"/>
                <w:szCs w:val="24"/>
                <w:lang w:val="en-US" w:eastAsia="zh-CN" w:bidi="ar-SA"/>
              </w:rPr>
              <w:t>缺项</w:t>
            </w:r>
            <w:r>
              <w:rPr>
                <w:rFonts w:hint="eastAsia" w:asciiTheme="minorEastAsia" w:hAnsiTheme="minorEastAsia" w:eastAsiaTheme="minorEastAsia" w:cstheme="minorEastAsia"/>
                <w:snapToGrid w:val="0"/>
                <w:color w:val="000000"/>
                <w:spacing w:val="-13"/>
                <w:kern w:val="0"/>
                <w:sz w:val="24"/>
                <w:szCs w:val="24"/>
                <w:lang w:val="en-US" w:eastAsia="en-US" w:bidi="ar-SA"/>
              </w:rPr>
              <w:t>不得分。</w:t>
            </w:r>
          </w:p>
        </w:tc>
      </w:tr>
      <w:tr w14:paraId="48E5D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continue"/>
            <w:vAlign w:val="center"/>
          </w:tcPr>
          <w:p w14:paraId="69C3A6F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68" w:type="dxa"/>
            <w:vMerge w:val="continue"/>
            <w:vAlign w:val="center"/>
          </w:tcPr>
          <w:p w14:paraId="0E3F6A5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5" w:type="dxa"/>
            <w:vAlign w:val="center"/>
          </w:tcPr>
          <w:p w14:paraId="3AB8C2EC">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质量保障措施</w:t>
            </w:r>
          </w:p>
          <w:p w14:paraId="080AA6E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94" w:type="dxa"/>
            <w:vAlign w:val="top"/>
          </w:tcPr>
          <w:p w14:paraId="393C9D9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根据投标人提供的质量保障措施进行打分</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包括质量控制目标、质量保障计划、质量控制流程等方面）</w:t>
            </w:r>
          </w:p>
          <w:p w14:paraId="0FA3175B">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第一档：措施详细、合理、可行性强，能</w:t>
            </w:r>
            <w:r>
              <w:rPr>
                <w:rFonts w:hint="eastAsia" w:asciiTheme="minorEastAsia" w:hAnsiTheme="minorEastAsia" w:eastAsiaTheme="minorEastAsia" w:cstheme="minorEastAsia"/>
                <w:snapToGrid w:val="0"/>
                <w:color w:val="000000"/>
                <w:spacing w:val="-13"/>
                <w:kern w:val="0"/>
                <w:sz w:val="24"/>
                <w:szCs w:val="24"/>
                <w:lang w:val="en-US" w:eastAsia="zh-CN" w:bidi="ar-SA"/>
              </w:rPr>
              <w:t>帮助</w:t>
            </w:r>
            <w:r>
              <w:rPr>
                <w:rFonts w:hint="eastAsia" w:asciiTheme="minorEastAsia" w:hAnsiTheme="minorEastAsia" w:eastAsiaTheme="minorEastAsia" w:cstheme="minorEastAsia"/>
                <w:snapToGrid w:val="0"/>
                <w:color w:val="000000"/>
                <w:spacing w:val="-13"/>
                <w:kern w:val="0"/>
                <w:sz w:val="24"/>
                <w:szCs w:val="24"/>
                <w:lang w:val="en-US" w:eastAsia="en-US" w:bidi="ar-SA"/>
              </w:rPr>
              <w:t>项目保质保量</w:t>
            </w:r>
            <w:r>
              <w:rPr>
                <w:rFonts w:hint="eastAsia" w:asciiTheme="minorEastAsia" w:hAnsiTheme="minorEastAsia" w:eastAsiaTheme="minorEastAsia" w:cstheme="minorEastAsia"/>
                <w:snapToGrid w:val="0"/>
                <w:color w:val="000000"/>
                <w:spacing w:val="-13"/>
                <w:kern w:val="0"/>
                <w:sz w:val="24"/>
                <w:szCs w:val="24"/>
                <w:lang w:val="en-US" w:eastAsia="zh-CN" w:bidi="ar-SA"/>
              </w:rPr>
              <w:t>的</w:t>
            </w:r>
            <w:r>
              <w:rPr>
                <w:rFonts w:hint="eastAsia" w:asciiTheme="minorEastAsia" w:hAnsiTheme="minorEastAsia" w:eastAsiaTheme="minorEastAsia" w:cstheme="minorEastAsia"/>
                <w:snapToGrid w:val="0"/>
                <w:color w:val="000000"/>
                <w:spacing w:val="-13"/>
                <w:kern w:val="0"/>
                <w:sz w:val="24"/>
                <w:szCs w:val="24"/>
                <w:lang w:val="en-US" w:eastAsia="en-US" w:bidi="ar-SA"/>
              </w:rPr>
              <w:t>顺利实施的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得6分；</w:t>
            </w:r>
          </w:p>
          <w:p w14:paraId="1E7CB23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第二档：措施较为详细，可行性一般，基本能</w:t>
            </w:r>
            <w:r>
              <w:rPr>
                <w:rFonts w:hint="eastAsia" w:asciiTheme="minorEastAsia" w:hAnsiTheme="minorEastAsia" w:eastAsiaTheme="minorEastAsia" w:cstheme="minorEastAsia"/>
                <w:snapToGrid w:val="0"/>
                <w:color w:val="000000"/>
                <w:spacing w:val="-13"/>
                <w:kern w:val="0"/>
                <w:sz w:val="24"/>
                <w:szCs w:val="24"/>
                <w:lang w:val="en-US" w:eastAsia="zh-CN" w:bidi="ar-SA"/>
              </w:rPr>
              <w:t>使</w:t>
            </w:r>
            <w:r>
              <w:rPr>
                <w:rFonts w:hint="eastAsia" w:asciiTheme="minorEastAsia" w:hAnsiTheme="minorEastAsia" w:eastAsiaTheme="minorEastAsia" w:cstheme="minorEastAsia"/>
                <w:snapToGrid w:val="0"/>
                <w:color w:val="000000"/>
                <w:spacing w:val="-13"/>
                <w:kern w:val="0"/>
                <w:sz w:val="24"/>
                <w:szCs w:val="24"/>
                <w:lang w:val="en-US" w:eastAsia="en-US" w:bidi="ar-SA"/>
              </w:rPr>
              <w:t>项目顺利实施的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得3分；</w:t>
            </w:r>
          </w:p>
          <w:p w14:paraId="4E5AD1B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第三档：措施不够详细，操作性不强</w:t>
            </w:r>
            <w:r>
              <w:rPr>
                <w:rFonts w:hint="eastAsia" w:asciiTheme="minorEastAsia" w:hAnsiTheme="minorEastAsia" w:eastAsiaTheme="minorEastAsia" w:cstheme="minorEastAsia"/>
                <w:snapToGrid w:val="0"/>
                <w:color w:val="000000"/>
                <w:spacing w:val="-13"/>
                <w:kern w:val="0"/>
                <w:sz w:val="24"/>
                <w:szCs w:val="24"/>
                <w:lang w:val="en-US" w:eastAsia="zh-CN" w:bidi="ar-SA"/>
              </w:rPr>
              <w:t>，难以保证项目质量</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0430DA8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第四档：缺项不得分。</w:t>
            </w:r>
          </w:p>
        </w:tc>
      </w:tr>
      <w:tr w14:paraId="2E0A0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continue"/>
            <w:vAlign w:val="center"/>
          </w:tcPr>
          <w:p w14:paraId="03F0998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68" w:type="dxa"/>
            <w:vMerge w:val="continue"/>
            <w:vAlign w:val="center"/>
          </w:tcPr>
          <w:p w14:paraId="170B3785">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5" w:type="dxa"/>
            <w:vAlign w:val="center"/>
          </w:tcPr>
          <w:p w14:paraId="369F4A7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进度保障措施</w:t>
            </w:r>
          </w:p>
          <w:p w14:paraId="5125569D">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94" w:type="dxa"/>
            <w:vAlign w:val="top"/>
          </w:tcPr>
          <w:p w14:paraId="7498D186">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根据投标人提供的进度保障措施进行打分（包括进度规划、进度保障措施等方面）</w:t>
            </w:r>
          </w:p>
          <w:p w14:paraId="148F16B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第一档：措施详细、可行性强，</w:t>
            </w:r>
            <w:r>
              <w:rPr>
                <w:rFonts w:hint="eastAsia" w:asciiTheme="minorEastAsia" w:hAnsiTheme="minorEastAsia" w:eastAsiaTheme="minorEastAsia" w:cstheme="minorEastAsia"/>
                <w:snapToGrid w:val="0"/>
                <w:color w:val="000000"/>
                <w:spacing w:val="-13"/>
                <w:kern w:val="0"/>
                <w:sz w:val="24"/>
                <w:szCs w:val="24"/>
                <w:lang w:val="en-US" w:eastAsia="zh-CN" w:bidi="ar-SA"/>
              </w:rPr>
              <w:t>条理清晰，步骤明确，</w:t>
            </w:r>
            <w:r>
              <w:rPr>
                <w:rFonts w:hint="eastAsia" w:asciiTheme="minorEastAsia" w:hAnsiTheme="minorEastAsia" w:eastAsiaTheme="minorEastAsia" w:cstheme="minorEastAsia"/>
                <w:snapToGrid w:val="0"/>
                <w:color w:val="000000"/>
                <w:spacing w:val="-13"/>
                <w:kern w:val="0"/>
                <w:sz w:val="24"/>
                <w:szCs w:val="24"/>
                <w:lang w:val="en-US" w:eastAsia="en-US" w:bidi="ar-SA"/>
              </w:rPr>
              <w:t>能</w:t>
            </w:r>
            <w:r>
              <w:rPr>
                <w:rFonts w:hint="eastAsia" w:asciiTheme="minorEastAsia" w:hAnsiTheme="minorEastAsia" w:eastAsiaTheme="minorEastAsia" w:cstheme="minorEastAsia"/>
                <w:snapToGrid w:val="0"/>
                <w:color w:val="000000"/>
                <w:spacing w:val="-13"/>
                <w:kern w:val="0"/>
                <w:sz w:val="24"/>
                <w:szCs w:val="24"/>
                <w:lang w:val="en-US" w:eastAsia="zh-CN" w:bidi="ar-SA"/>
              </w:rPr>
              <w:t>确保</w:t>
            </w:r>
            <w:r>
              <w:rPr>
                <w:rFonts w:hint="eastAsia" w:asciiTheme="minorEastAsia" w:hAnsiTheme="minorEastAsia" w:eastAsiaTheme="minorEastAsia" w:cstheme="minorEastAsia"/>
                <w:snapToGrid w:val="0"/>
                <w:color w:val="000000"/>
                <w:spacing w:val="-13"/>
                <w:kern w:val="0"/>
                <w:sz w:val="24"/>
                <w:szCs w:val="24"/>
                <w:lang w:val="en-US" w:eastAsia="en-US" w:bidi="ar-SA"/>
              </w:rPr>
              <w:t>在规定的期限内顺利完成项目的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得6分；</w:t>
            </w:r>
          </w:p>
          <w:p w14:paraId="7F0104EC">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第二档：措施较为详细，可行性一般，基本能保证项目顺利实施的得3分；</w:t>
            </w:r>
          </w:p>
          <w:p w14:paraId="53B2B51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第三档：措施不够详细，操作性不强</w:t>
            </w:r>
            <w:r>
              <w:rPr>
                <w:rFonts w:hint="eastAsia" w:asciiTheme="minorEastAsia" w:hAnsiTheme="minorEastAsia" w:eastAsiaTheme="minorEastAsia" w:cstheme="minorEastAsia"/>
                <w:snapToGrid w:val="0"/>
                <w:color w:val="000000"/>
                <w:spacing w:val="-13"/>
                <w:kern w:val="0"/>
                <w:sz w:val="24"/>
                <w:szCs w:val="24"/>
                <w:lang w:val="en-US" w:eastAsia="zh-CN" w:bidi="ar-SA"/>
              </w:rPr>
              <w:t>，难以保证项目进度</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46C93F85">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第四档：缺项不得分。</w:t>
            </w:r>
          </w:p>
        </w:tc>
      </w:tr>
      <w:tr w14:paraId="6012D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continue"/>
            <w:vAlign w:val="center"/>
          </w:tcPr>
          <w:p w14:paraId="3D863F6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68" w:type="dxa"/>
            <w:vMerge w:val="continue"/>
            <w:vAlign w:val="center"/>
          </w:tcPr>
          <w:p w14:paraId="4F1E1C7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5" w:type="dxa"/>
            <w:vAlign w:val="center"/>
          </w:tcPr>
          <w:p w14:paraId="232ED79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应急预案</w:t>
            </w:r>
            <w:r>
              <w:rPr>
                <w:rFonts w:hint="eastAsia" w:asciiTheme="minorEastAsia" w:hAnsiTheme="minorEastAsia" w:eastAsiaTheme="minorEastAsia" w:cstheme="minorEastAsia"/>
                <w:snapToGrid w:val="0"/>
                <w:color w:val="000000"/>
                <w:spacing w:val="-13"/>
                <w:kern w:val="0"/>
                <w:sz w:val="24"/>
                <w:szCs w:val="24"/>
                <w:lang w:val="en-US" w:eastAsia="zh-CN" w:bidi="ar-SA"/>
              </w:rPr>
              <w:t>（5分）</w:t>
            </w:r>
          </w:p>
        </w:tc>
        <w:tc>
          <w:tcPr>
            <w:tcW w:w="5294" w:type="dxa"/>
            <w:vAlign w:val="top"/>
          </w:tcPr>
          <w:p w14:paraId="61B0A0E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根据投标人提供的应急预案进行打分（包含应急响应时间、突发情况制定的应急方案、极端情况处置方案等）</w:t>
            </w:r>
          </w:p>
          <w:p w14:paraId="7DC9DAD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第一档：方案完整、具体</w:t>
            </w:r>
            <w:r>
              <w:rPr>
                <w:rFonts w:hint="eastAsia" w:asciiTheme="minorEastAsia" w:hAnsiTheme="minorEastAsia" w:eastAsiaTheme="minorEastAsia" w:cstheme="minorEastAsia"/>
                <w:snapToGrid w:val="0"/>
                <w:color w:val="000000"/>
                <w:spacing w:val="-13"/>
                <w:kern w:val="0"/>
                <w:sz w:val="24"/>
                <w:szCs w:val="24"/>
                <w:lang w:val="en-US" w:eastAsia="zh-CN" w:bidi="ar-SA"/>
              </w:rPr>
              <w:t>，能够有效应对各类突发情况的，</w:t>
            </w:r>
            <w:r>
              <w:rPr>
                <w:rFonts w:hint="eastAsia" w:asciiTheme="minorEastAsia" w:hAnsiTheme="minorEastAsia" w:eastAsiaTheme="minorEastAsia" w:cstheme="minorEastAsia"/>
                <w:snapToGrid w:val="0"/>
                <w:color w:val="000000"/>
                <w:spacing w:val="-13"/>
                <w:kern w:val="0"/>
                <w:sz w:val="24"/>
                <w:szCs w:val="24"/>
                <w:lang w:val="en-US" w:eastAsia="en-US" w:bidi="ar-SA"/>
              </w:rPr>
              <w:t>得5分；</w:t>
            </w:r>
          </w:p>
          <w:p w14:paraId="24CF7A1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第二档：方案较为完整</w:t>
            </w:r>
            <w:r>
              <w:rPr>
                <w:rFonts w:hint="eastAsia" w:asciiTheme="minorEastAsia" w:hAnsiTheme="minorEastAsia" w:eastAsiaTheme="minorEastAsia" w:cstheme="minorEastAsia"/>
                <w:snapToGrid w:val="0"/>
                <w:color w:val="000000"/>
                <w:spacing w:val="-13"/>
                <w:kern w:val="0"/>
                <w:sz w:val="24"/>
                <w:szCs w:val="24"/>
                <w:lang w:val="en-US" w:eastAsia="zh-CN" w:bidi="ar-SA"/>
              </w:rPr>
              <w:t>，有对突发情况的各种实施对策</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得3分；</w:t>
            </w:r>
          </w:p>
          <w:p w14:paraId="1DA68D1D">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第三档：方案不够完整</w:t>
            </w:r>
            <w:r>
              <w:rPr>
                <w:rFonts w:hint="eastAsia" w:asciiTheme="minorEastAsia" w:hAnsiTheme="minorEastAsia" w:eastAsiaTheme="minorEastAsia" w:cstheme="minorEastAsia"/>
                <w:snapToGrid w:val="0"/>
                <w:color w:val="000000"/>
                <w:spacing w:val="-13"/>
                <w:kern w:val="0"/>
                <w:sz w:val="24"/>
                <w:szCs w:val="24"/>
                <w:lang w:val="en-US" w:eastAsia="zh-CN" w:bidi="ar-SA"/>
              </w:rPr>
              <w:t>，内容考虑不周全</w:t>
            </w:r>
            <w:r>
              <w:rPr>
                <w:rFonts w:hint="eastAsia" w:asciiTheme="minorEastAsia" w:hAnsiTheme="minorEastAsia" w:eastAsiaTheme="minorEastAsia" w:cstheme="minorEastAsia"/>
                <w:snapToGrid w:val="0"/>
                <w:color w:val="000000"/>
                <w:spacing w:val="-13"/>
                <w:kern w:val="0"/>
                <w:sz w:val="24"/>
                <w:szCs w:val="24"/>
                <w:lang w:val="en-US" w:eastAsia="en-US" w:bidi="ar-SA"/>
              </w:rPr>
              <w:t>的</w:t>
            </w:r>
            <w:r>
              <w:rPr>
                <w:rFonts w:hint="eastAsia" w:asciiTheme="minorEastAsia" w:hAnsiTheme="minorEastAsia" w:eastAsiaTheme="minorEastAsia" w:cstheme="minorEastAsia"/>
                <w:snapToGrid w:val="0"/>
                <w:color w:val="000000"/>
                <w:spacing w:val="-13"/>
                <w:kern w:val="0"/>
                <w:sz w:val="24"/>
                <w:szCs w:val="24"/>
                <w:lang w:val="en-US" w:eastAsia="zh-CN" w:bidi="ar-SA"/>
              </w:rPr>
              <w:t>，</w:t>
            </w:r>
            <w:r>
              <w:rPr>
                <w:rFonts w:hint="eastAsia" w:asciiTheme="minorEastAsia" w:hAnsiTheme="minorEastAsia" w:eastAsiaTheme="minorEastAsia" w:cstheme="minorEastAsia"/>
                <w:snapToGrid w:val="0"/>
                <w:color w:val="000000"/>
                <w:spacing w:val="-13"/>
                <w:kern w:val="0"/>
                <w:sz w:val="24"/>
                <w:szCs w:val="24"/>
                <w:lang w:val="en-US" w:eastAsia="en-US" w:bidi="ar-SA"/>
              </w:rPr>
              <w:t>得1分；</w:t>
            </w:r>
          </w:p>
          <w:p w14:paraId="38F8AEBE">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第四档：缺项不得分。</w:t>
            </w:r>
          </w:p>
        </w:tc>
      </w:tr>
      <w:tr w14:paraId="6B9E3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restart"/>
            <w:vAlign w:val="center"/>
          </w:tcPr>
          <w:p w14:paraId="02722FCD">
            <w:pPr>
              <w:pStyle w:val="25"/>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w:t>
            </w:r>
          </w:p>
        </w:tc>
        <w:tc>
          <w:tcPr>
            <w:tcW w:w="1268" w:type="dxa"/>
            <w:vMerge w:val="restart"/>
            <w:vAlign w:val="center"/>
          </w:tcPr>
          <w:p w14:paraId="6F8CB6F7">
            <w:pPr>
              <w:keepNext w:val="0"/>
              <w:keepLines w:val="0"/>
              <w:pageBreakBefore w:val="0"/>
              <w:kinsoku/>
              <w:wordWrap w:val="0"/>
              <w:overflowPunct/>
              <w:topLinePunct w:val="0"/>
              <w:bidi w:val="0"/>
              <w:spacing w:before="78" w:line="219" w:lineRule="auto"/>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商务部分（满分35分）</w:t>
            </w:r>
          </w:p>
        </w:tc>
        <w:tc>
          <w:tcPr>
            <w:tcW w:w="1055" w:type="dxa"/>
            <w:vAlign w:val="center"/>
          </w:tcPr>
          <w:p w14:paraId="09A41994">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技术参数（15分）</w:t>
            </w:r>
          </w:p>
        </w:tc>
        <w:tc>
          <w:tcPr>
            <w:tcW w:w="5294" w:type="dxa"/>
            <w:vAlign w:val="top"/>
          </w:tcPr>
          <w:p w14:paraId="7231F784">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根据文件中投标货物的技术参数、技术指标，每有一项不符合文件中“★”要求的扣</w:t>
            </w:r>
            <w:r>
              <w:rPr>
                <w:rFonts w:hint="eastAsia" w:asciiTheme="minorEastAsia" w:hAnsiTheme="minorEastAsia" w:eastAsiaTheme="minorEastAsia" w:cstheme="minorEastAsia"/>
                <w:snapToGrid w:val="0"/>
                <w:color w:val="000000"/>
                <w:spacing w:val="-13"/>
                <w:kern w:val="0"/>
                <w:sz w:val="24"/>
                <w:szCs w:val="24"/>
                <w:lang w:val="en-US" w:eastAsia="zh-CN" w:bidi="ar-SA"/>
              </w:rPr>
              <w:t>1</w:t>
            </w:r>
            <w:r>
              <w:rPr>
                <w:rFonts w:hint="eastAsia" w:asciiTheme="minorEastAsia" w:hAnsiTheme="minorEastAsia" w:eastAsiaTheme="minorEastAsia" w:cstheme="minorEastAsia"/>
                <w:snapToGrid w:val="0"/>
                <w:color w:val="000000"/>
                <w:spacing w:val="-13"/>
                <w:kern w:val="0"/>
                <w:sz w:val="24"/>
                <w:szCs w:val="24"/>
                <w:lang w:val="en-US" w:eastAsia="en-US" w:bidi="ar-SA"/>
              </w:rPr>
              <w:t>分，若超过</w:t>
            </w:r>
            <w:r>
              <w:rPr>
                <w:rFonts w:hint="eastAsia" w:asciiTheme="minorEastAsia" w:hAnsiTheme="minorEastAsia" w:eastAsiaTheme="minorEastAsia" w:cstheme="minorEastAsia"/>
                <w:snapToGrid w:val="0"/>
                <w:color w:val="000000"/>
                <w:spacing w:val="-13"/>
                <w:kern w:val="0"/>
                <w:sz w:val="24"/>
                <w:szCs w:val="24"/>
                <w:lang w:val="en-US" w:eastAsia="zh-CN" w:bidi="ar-SA"/>
              </w:rPr>
              <w:t>10</w:t>
            </w:r>
            <w:r>
              <w:rPr>
                <w:rFonts w:hint="eastAsia" w:asciiTheme="minorEastAsia" w:hAnsiTheme="minorEastAsia" w:eastAsiaTheme="minorEastAsia" w:cstheme="minorEastAsia"/>
                <w:snapToGrid w:val="0"/>
                <w:color w:val="000000"/>
                <w:spacing w:val="-13"/>
                <w:kern w:val="0"/>
                <w:sz w:val="24"/>
                <w:szCs w:val="24"/>
                <w:lang w:val="en-US" w:eastAsia="en-US" w:bidi="ar-SA"/>
              </w:rPr>
              <w:t>项不满足，此项按0分计算；每有一处非加“★”不满足扣</w:t>
            </w:r>
            <w:r>
              <w:rPr>
                <w:rFonts w:hint="eastAsia" w:asciiTheme="minorEastAsia" w:hAnsiTheme="minorEastAsia" w:eastAsiaTheme="minorEastAsia" w:cstheme="minorEastAsia"/>
                <w:snapToGrid w:val="0"/>
                <w:color w:val="000000"/>
                <w:spacing w:val="-13"/>
                <w:kern w:val="0"/>
                <w:sz w:val="24"/>
                <w:szCs w:val="24"/>
                <w:lang w:val="en-US" w:eastAsia="zh-CN" w:bidi="ar-SA"/>
              </w:rPr>
              <w:t>0.5</w:t>
            </w:r>
            <w:r>
              <w:rPr>
                <w:rFonts w:hint="eastAsia" w:asciiTheme="minorEastAsia" w:hAnsiTheme="minorEastAsia" w:eastAsiaTheme="minorEastAsia" w:cstheme="minorEastAsia"/>
                <w:snapToGrid w:val="0"/>
                <w:color w:val="000000"/>
                <w:spacing w:val="-13"/>
                <w:kern w:val="0"/>
                <w:sz w:val="24"/>
                <w:szCs w:val="24"/>
                <w:lang w:val="en-US" w:eastAsia="en-US" w:bidi="ar-SA"/>
              </w:rPr>
              <w:t>分。此项满分为15分，扣完为止；</w:t>
            </w:r>
          </w:p>
          <w:p w14:paraId="1790DCE9">
            <w:pPr>
              <w:pStyle w:val="25"/>
              <w:keepNext w:val="0"/>
              <w:keepLines w:val="0"/>
              <w:pageBreakBefore w:val="0"/>
              <w:kinsoku/>
              <w:wordWrap w:val="0"/>
              <w:overflowPunct/>
              <w:topLinePunct w:val="0"/>
              <w:bidi w:val="0"/>
              <w:spacing w:before="33" w:line="235" w:lineRule="auto"/>
              <w:ind w:left="76" w:right="23" w:firstLine="430"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b/>
                <w:bCs/>
                <w:snapToGrid w:val="0"/>
                <w:color w:val="000000"/>
                <w:spacing w:val="-13"/>
                <w:kern w:val="0"/>
                <w:sz w:val="24"/>
                <w:szCs w:val="24"/>
                <w:lang w:val="en-US" w:eastAsia="en-US" w:bidi="ar-SA"/>
              </w:rPr>
              <w:t>技术负偏离情形包含技术指标不满足要求及未按照参数要求中提供相应技术资料证明文件的情形。</w:t>
            </w:r>
          </w:p>
        </w:tc>
      </w:tr>
      <w:tr w14:paraId="7D9C5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continue"/>
            <w:vAlign w:val="center"/>
          </w:tcPr>
          <w:p w14:paraId="63C2839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68" w:type="dxa"/>
            <w:vMerge w:val="continue"/>
            <w:vAlign w:val="center"/>
          </w:tcPr>
          <w:p w14:paraId="53ACF8EF">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5" w:type="dxa"/>
            <w:vAlign w:val="center"/>
          </w:tcPr>
          <w:p w14:paraId="4183DFB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p>
          <w:p w14:paraId="07880E2F">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p>
          <w:p w14:paraId="42628DE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p>
          <w:p w14:paraId="4BB19D51">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p>
          <w:p w14:paraId="628F443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p>
          <w:p w14:paraId="6A4529C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p>
          <w:p w14:paraId="4EA6D834">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p>
          <w:p w14:paraId="6302424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p>
          <w:p w14:paraId="551F1455">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售后服务方案</w:t>
            </w:r>
          </w:p>
          <w:p w14:paraId="3742FA7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（10分）</w:t>
            </w:r>
          </w:p>
        </w:tc>
        <w:tc>
          <w:tcPr>
            <w:tcW w:w="5294" w:type="dxa"/>
            <w:vAlign w:val="top"/>
          </w:tcPr>
          <w:p w14:paraId="287C5568">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根据投标人提供的售后服务方案进行打分（包括常见性故障提供解决方案，质保期内与质保期外提供服务保障体系，运维支撑体系等方面）</w:t>
            </w:r>
          </w:p>
          <w:p w14:paraId="7CE9174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一档：服务方案、措施及承诺特别全面、合理、可行、可实施性强，有详细的设备退换货方案及措施，常见性故障解决方案合理、详细，售后服务保障体系和运维支撑体系健全，能很好的满足本项目要求的得10分；</w:t>
            </w:r>
          </w:p>
          <w:p w14:paraId="750069A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第二档：服务方案各方面安排较合理、可行，设备退换货方案及措施简单、可实践实施，常见性故障解决方案合理但简单，售后服务保障体系和运维支撑体系基本健全的得7分；</w:t>
            </w:r>
          </w:p>
          <w:p w14:paraId="3EA3A51F">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第三档：服务方案各方面安排较差、均为通用性的说明，设备退换货方案及措施简单、实践实施性差，常见性故障解决方案基本合理，售后服务保障体系和运维支撑体系基本不健全的得4分；</w:t>
            </w:r>
          </w:p>
          <w:p w14:paraId="170EFD5A">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第四档：有服务方案，但内容与本项目实际不符，无操作性的得1分；</w:t>
            </w:r>
          </w:p>
          <w:p w14:paraId="541B78C7">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第五档：完全不满足不得分。</w:t>
            </w:r>
          </w:p>
        </w:tc>
      </w:tr>
      <w:tr w14:paraId="06FF6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continue"/>
            <w:vAlign w:val="center"/>
          </w:tcPr>
          <w:p w14:paraId="1DBAC44B">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68" w:type="dxa"/>
            <w:vMerge w:val="continue"/>
            <w:vAlign w:val="center"/>
          </w:tcPr>
          <w:p w14:paraId="6193F61F">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5" w:type="dxa"/>
            <w:vAlign w:val="center"/>
          </w:tcPr>
          <w:p w14:paraId="6EA265F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业绩</w:t>
            </w:r>
          </w:p>
          <w:p w14:paraId="6C1D9F12">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（6分）</w:t>
            </w:r>
          </w:p>
        </w:tc>
        <w:tc>
          <w:tcPr>
            <w:tcW w:w="5294" w:type="dxa"/>
            <w:vAlign w:val="top"/>
          </w:tcPr>
          <w:p w14:paraId="5B0DD925">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提供投标人自2022年1月1日以来（以合同签订时间为准）的类似项目业绩。每提供1份合同业绩得2分，最高得6分。</w:t>
            </w:r>
          </w:p>
          <w:p w14:paraId="53FCB990">
            <w:pPr>
              <w:pStyle w:val="25"/>
              <w:keepNext w:val="0"/>
              <w:keepLines w:val="0"/>
              <w:pageBreakBefore w:val="0"/>
              <w:kinsoku/>
              <w:wordWrap w:val="0"/>
              <w:overflowPunct/>
              <w:topLinePunct w:val="0"/>
              <w:bidi w:val="0"/>
              <w:spacing w:before="33" w:line="235" w:lineRule="auto"/>
              <w:ind w:left="76" w:right="23" w:firstLine="430" w:firstLineChars="200"/>
              <w:jc w:val="both"/>
              <w:rPr>
                <w:rFonts w:hint="eastAsia" w:asciiTheme="minorEastAsia" w:hAnsiTheme="minorEastAsia" w:eastAsiaTheme="minorEastAsia" w:cstheme="minorEastAsia"/>
                <w:b/>
                <w:bCs/>
                <w:snapToGrid w:val="0"/>
                <w:color w:val="000000"/>
                <w:spacing w:val="-13"/>
                <w:kern w:val="0"/>
                <w:sz w:val="24"/>
                <w:szCs w:val="24"/>
                <w:lang w:val="en-US" w:eastAsia="en-US" w:bidi="ar-SA"/>
              </w:rPr>
            </w:pPr>
            <w:r>
              <w:rPr>
                <w:rFonts w:hint="eastAsia" w:asciiTheme="minorEastAsia" w:hAnsiTheme="minorEastAsia" w:eastAsiaTheme="minorEastAsia" w:cstheme="minorEastAsia"/>
                <w:b/>
                <w:bCs/>
                <w:snapToGrid w:val="0"/>
                <w:color w:val="000000"/>
                <w:spacing w:val="-13"/>
                <w:kern w:val="0"/>
                <w:sz w:val="24"/>
                <w:szCs w:val="24"/>
                <w:lang w:val="en-US" w:eastAsia="en-US" w:bidi="ar-SA"/>
              </w:rPr>
              <w:t>注：（1）提供完整的合同(合同内容必须包含合同首页、标的及金额所在页、合同签订时间、双方签字盖章页、详细的设备清单及验收单)。</w:t>
            </w:r>
          </w:p>
          <w:p w14:paraId="06661291">
            <w:pPr>
              <w:pStyle w:val="25"/>
              <w:keepNext w:val="0"/>
              <w:keepLines w:val="0"/>
              <w:pageBreakBefore w:val="0"/>
              <w:kinsoku/>
              <w:wordWrap w:val="0"/>
              <w:overflowPunct/>
              <w:topLinePunct w:val="0"/>
              <w:bidi w:val="0"/>
              <w:spacing w:before="33" w:line="235" w:lineRule="auto"/>
              <w:ind w:left="76" w:right="23" w:firstLine="430"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b/>
                <w:bCs/>
                <w:snapToGrid w:val="0"/>
                <w:color w:val="000000"/>
                <w:spacing w:val="-13"/>
                <w:kern w:val="0"/>
                <w:sz w:val="24"/>
                <w:szCs w:val="24"/>
                <w:lang w:val="en-US" w:eastAsia="en-US" w:bidi="ar-SA"/>
              </w:rPr>
              <w:t>（2）在投标文件中附清晰且完整的合同原件扫描件，否则不得分。</w:t>
            </w:r>
          </w:p>
        </w:tc>
      </w:tr>
      <w:tr w14:paraId="60CAA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continue"/>
            <w:vAlign w:val="center"/>
          </w:tcPr>
          <w:p w14:paraId="1FA2464E">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68" w:type="dxa"/>
            <w:vMerge w:val="continue"/>
            <w:vAlign w:val="center"/>
          </w:tcPr>
          <w:p w14:paraId="3B3C57B6">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5" w:type="dxa"/>
            <w:vAlign w:val="center"/>
          </w:tcPr>
          <w:p w14:paraId="1A64375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节能清单产品</w:t>
            </w:r>
          </w:p>
          <w:p w14:paraId="7DF10790">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（1分）</w:t>
            </w:r>
          </w:p>
        </w:tc>
        <w:tc>
          <w:tcPr>
            <w:tcW w:w="5294" w:type="dxa"/>
            <w:vAlign w:val="top"/>
          </w:tcPr>
          <w:p w14:paraId="1E509611">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所投产品如在“节能产品政府采购品目清单”内的非强制节能产品的，且具有在有效期内的《国家节能产品认证证书》并提供证书复印件的，每有一项加0.5分，最多加1分。投标人须提供“节能产品政府采购品目清单”及相应产品的《国家节能产品认证证书》。</w:t>
            </w:r>
          </w:p>
        </w:tc>
      </w:tr>
      <w:tr w14:paraId="4EC826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continue"/>
            <w:vAlign w:val="center"/>
          </w:tcPr>
          <w:p w14:paraId="67600546">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68" w:type="dxa"/>
            <w:vMerge w:val="continue"/>
            <w:vAlign w:val="center"/>
          </w:tcPr>
          <w:p w14:paraId="37816B45">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5" w:type="dxa"/>
            <w:vAlign w:val="center"/>
          </w:tcPr>
          <w:p w14:paraId="01844C63">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环保清单产品</w:t>
            </w:r>
          </w:p>
          <w:p w14:paraId="7D7ED56A">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（1分）</w:t>
            </w:r>
          </w:p>
        </w:tc>
        <w:tc>
          <w:tcPr>
            <w:tcW w:w="5294" w:type="dxa"/>
            <w:vAlign w:val="top"/>
          </w:tcPr>
          <w:p w14:paraId="3130FF1C">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所投产品如在“环境标志产品政府采购品目清单”内的产品的，且具有在有效期内的《中国环境标志产品认证证书》并提供证书复印件的，每有一项加0.5分，最多加1分。投标人须提供“环境标志产品政府采购品目清单”及相应产品的《中国环境标志产品认证证书》。</w:t>
            </w:r>
          </w:p>
        </w:tc>
      </w:tr>
      <w:tr w14:paraId="7157E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18" w:type="dxa"/>
            <w:vMerge w:val="continue"/>
            <w:vAlign w:val="center"/>
          </w:tcPr>
          <w:p w14:paraId="7A2B3627">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268" w:type="dxa"/>
            <w:vMerge w:val="continue"/>
            <w:vAlign w:val="center"/>
          </w:tcPr>
          <w:p w14:paraId="3F958439">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55" w:type="dxa"/>
            <w:vAlign w:val="center"/>
          </w:tcPr>
          <w:p w14:paraId="1564D509">
            <w:pPr>
              <w:pStyle w:val="25"/>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信用评价（2分）</w:t>
            </w:r>
          </w:p>
        </w:tc>
        <w:tc>
          <w:tcPr>
            <w:tcW w:w="5294" w:type="dxa"/>
            <w:vAlign w:val="top"/>
          </w:tcPr>
          <w:p w14:paraId="0CA68140">
            <w:pPr>
              <w:pStyle w:val="25"/>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支持的依据。</w:t>
            </w:r>
          </w:p>
        </w:tc>
      </w:tr>
      <w:tr w14:paraId="4CBA1F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86" w:type="dxa"/>
            <w:gridSpan w:val="2"/>
            <w:vAlign w:val="center"/>
          </w:tcPr>
          <w:p w14:paraId="5C5A9E15">
            <w:pPr>
              <w:keepNext w:val="0"/>
              <w:keepLines w:val="0"/>
              <w:pageBreakBefore w:val="0"/>
              <w:tabs>
                <w:tab w:val="center" w:pos="991"/>
              </w:tabs>
              <w:kinsoku/>
              <w:wordWrap w:val="0"/>
              <w:overflowPunct/>
              <w:topLinePunct w:val="0"/>
              <w:bidi w:val="0"/>
              <w:spacing w:before="42" w:line="206"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合计</w:t>
            </w:r>
          </w:p>
        </w:tc>
        <w:tc>
          <w:tcPr>
            <w:tcW w:w="1055" w:type="dxa"/>
            <w:vAlign w:val="center"/>
          </w:tcPr>
          <w:p w14:paraId="06C5548F">
            <w:pPr>
              <w:pStyle w:val="25"/>
              <w:keepNext w:val="0"/>
              <w:keepLines w:val="0"/>
              <w:pageBreakBefore w:val="0"/>
              <w:kinsoku/>
              <w:wordWrap w:val="0"/>
              <w:overflowPunct/>
              <w:topLinePunct w:val="0"/>
              <w:bidi w:val="0"/>
              <w:spacing w:before="59" w:line="20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294" w:type="dxa"/>
            <w:vAlign w:val="top"/>
          </w:tcPr>
          <w:p w14:paraId="611246CA">
            <w:pPr>
              <w:pStyle w:val="25"/>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0B19B9B3">
      <w:pPr>
        <w:pStyle w:val="13"/>
        <w:rPr>
          <w:rFonts w:hint="default"/>
          <w:lang w:val="en-US" w:eastAsia="zh-CN"/>
        </w:rPr>
      </w:pPr>
    </w:p>
    <w:p w14:paraId="1D7070C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3C26A479">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0D2C421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w:t>
      </w:r>
      <w:r>
        <w:rPr>
          <w:rFonts w:hint="eastAsia" w:ascii="微软雅黑" w:hAnsi="微软雅黑" w:eastAsia="微软雅黑" w:cs="微软雅黑"/>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南阳市）”上公告中标结果，同时向中标人发出《中标通知书》。</w:t>
      </w:r>
    </w:p>
    <w:p w14:paraId="7467E8D5">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3B4DA9A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129BD7E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4BCAB2C1">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1B3D8F21">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641DF5F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554FEA5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74E393D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1536758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4A104B9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499E2E2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261D4A3E">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3966C02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06C90CE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6A147CD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14361D7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304BF78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985C79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17F9AC7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2B2CF78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2064E41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3FC49CE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CF713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1F9FEF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FC55B0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1111D6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7E877DA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1BCE5A7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3F72AFD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EBEEFC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03D108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3EEF73CA">
      <w:pPr>
        <w:pStyle w:val="23"/>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5634DD3B">
      <w:pPr>
        <w:pStyle w:val="6"/>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34F553E">
      <w:pPr>
        <w:pStyle w:val="23"/>
        <w:jc w:val="both"/>
        <w:rPr>
          <w:rFonts w:hint="eastAsia"/>
        </w:rPr>
      </w:pPr>
    </w:p>
    <w:p w14:paraId="13640CF9">
      <w:pPr>
        <w:spacing w:before="240" w:beforeLines="100" w:after="240" w:afterLines="100" w:line="360" w:lineRule="auto"/>
        <w:ind w:right="-159"/>
        <w:jc w:val="center"/>
        <w:rPr>
          <w:rFonts w:hint="eastAsia" w:asciiTheme="minorEastAsia" w:hAnsiTheme="minorEastAsia" w:eastAsiaTheme="minorEastAsia"/>
          <w:sz w:val="24"/>
          <w:szCs w:val="24"/>
        </w:rPr>
      </w:pPr>
      <w:r>
        <w:rPr>
          <w:rFonts w:hint="eastAsia" w:asciiTheme="minorEastAsia" w:hAnsiTheme="minorEastAsia" w:eastAsiaTheme="minorEastAsia"/>
          <w:b/>
          <w:bCs/>
          <w:sz w:val="44"/>
          <w:szCs w:val="44"/>
        </w:rPr>
        <w:t>政府采购合同</w:t>
      </w:r>
    </w:p>
    <w:p w14:paraId="2F3F5EE7">
      <w:pPr>
        <w:spacing w:line="470" w:lineRule="exact"/>
        <w:ind w:right="-159" w:firstLine="504" w:firstLineChars="200"/>
        <w:rPr>
          <w:rFonts w:hint="eastAsia" w:asciiTheme="minorEastAsia" w:hAnsiTheme="minorEastAsia" w:eastAsiaTheme="minorEastAsia"/>
          <w:spacing w:val="6"/>
          <w:sz w:val="24"/>
          <w:szCs w:val="24"/>
          <w:u w:val="single"/>
        </w:rPr>
      </w:pPr>
      <w:r>
        <w:rPr>
          <w:rFonts w:hint="eastAsia" w:asciiTheme="minorEastAsia" w:hAnsiTheme="minorEastAsia" w:eastAsiaTheme="minorEastAsia"/>
          <w:spacing w:val="6"/>
          <w:sz w:val="24"/>
          <w:szCs w:val="24"/>
        </w:rPr>
        <w:t>甲方：</w:t>
      </w:r>
    </w:p>
    <w:p w14:paraId="7A90F596">
      <w:pPr>
        <w:spacing w:line="470" w:lineRule="exact"/>
        <w:ind w:right="-159" w:firstLine="504" w:firstLineChars="200"/>
        <w:rPr>
          <w:rFonts w:hint="eastAsia" w:asciiTheme="minorEastAsia" w:hAnsiTheme="minorEastAsia" w:eastAsiaTheme="minorEastAsia"/>
          <w:spacing w:val="6"/>
          <w:sz w:val="24"/>
          <w:szCs w:val="24"/>
        </w:rPr>
      </w:pPr>
    </w:p>
    <w:p w14:paraId="6974447E">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乙方：</w:t>
      </w:r>
    </w:p>
    <w:p w14:paraId="1FA4BF11">
      <w:pPr>
        <w:spacing w:line="470" w:lineRule="exact"/>
        <w:ind w:right="-159" w:firstLine="504"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spacing w:val="6"/>
          <w:sz w:val="24"/>
          <w:szCs w:val="24"/>
        </w:rPr>
        <w:t>根据《中华人民共和国政府采购法》、《中华人民共和国民法典》的规定，按照招标编号XXXXX项目公开招标的中标通知书、磋商文件、投标方投标文件的要求，经甲、乙双方协商，本着平等自愿、诚实信用的原则，签订本合同。</w:t>
      </w:r>
    </w:p>
    <w:p w14:paraId="170680E4">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一、供货产品的名称、商标、型号、制造厂商、数量、金额、交货时间</w:t>
      </w:r>
    </w:p>
    <w:p w14:paraId="45FCAE68">
      <w:pPr>
        <w:spacing w:line="470" w:lineRule="exact"/>
        <w:ind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1、合同总价：RMBXXXXX万元整（X佰X拾X万X仟元整）。</w:t>
      </w:r>
    </w:p>
    <w:p w14:paraId="407D26E8">
      <w:pPr>
        <w:spacing w:line="470" w:lineRule="exact"/>
        <w:ind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2、设备的清单及具体要求详见附件（乙方投标文件投标报价一览表）。</w:t>
      </w:r>
    </w:p>
    <w:p w14:paraId="7DA3E60F">
      <w:pPr>
        <w:spacing w:line="470" w:lineRule="exact"/>
        <w:ind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3、交货安装时间：合同签订后</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日历天内供货安装完毕。</w:t>
      </w:r>
    </w:p>
    <w:p w14:paraId="3FB40C1B">
      <w:pPr>
        <w:spacing w:line="470" w:lineRule="exact"/>
        <w:ind w:firstLine="504"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spacing w:val="6"/>
          <w:sz w:val="24"/>
          <w:szCs w:val="24"/>
        </w:rPr>
        <w:t>4、合同总价为包含设备硬件、预装软件、运输、保险、安装调试、售后服务、培训等一切费用在内的南阳市范围内规定的地点交货价，该价在合同履行期间固定不变。</w:t>
      </w:r>
    </w:p>
    <w:p w14:paraId="35B742BA">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二、货物产地及标准</w:t>
      </w:r>
    </w:p>
    <w:p w14:paraId="35BFB0A4">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1、货物为制造商全新的(原装)产品(含零部件、配件、随机工具等)，表面无划伤、无碰撞，无任何缺陷。</w:t>
      </w:r>
    </w:p>
    <w:p w14:paraId="3BA939F1">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2、标准</w:t>
      </w:r>
    </w:p>
    <w:p w14:paraId="015EF778">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本合同所指的货物应符合磋商文件要求、乙方投标产品所列出的配置、技术参数及各项要求，同时应符合中华人民共和国国家质量及国家安全环保标准。</w:t>
      </w:r>
    </w:p>
    <w:p w14:paraId="57E4BA9C">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3、进口产品必须具备原产地证明和商检部门的检验证明及合法进货渠道证明。</w:t>
      </w:r>
    </w:p>
    <w:p w14:paraId="5AC1673F">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4、国内制造的产品必须具备出厂合格证。</w:t>
      </w:r>
    </w:p>
    <w:p w14:paraId="17781CC4">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5、乙方应将所供货物的用户手册、保修手册、有关资料及配件、备品备件、随机工具等交付给甲方，甲方须知的重要资料应附有中文说明。</w:t>
      </w:r>
    </w:p>
    <w:p w14:paraId="69950798">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三、交货方式和交货地点</w:t>
      </w:r>
    </w:p>
    <w:p w14:paraId="7D3F07B7">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货物由乙方送货上门，交货地点为</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w:t>
      </w:r>
    </w:p>
    <w:p w14:paraId="4E71FEE2">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四、包装</w:t>
      </w:r>
    </w:p>
    <w:p w14:paraId="475B800D">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乙方交付的货物应为制造商原厂未拆封包装，包装箱号与设备出厂批号一致。</w:t>
      </w:r>
    </w:p>
    <w:p w14:paraId="3D146A48">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五、安装与调试</w:t>
      </w:r>
    </w:p>
    <w:p w14:paraId="6CB5293A">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乙方必须负责将设备安装并调试至甲方认可的最佳状态，甲方不承担设备安装、调试费用。</w:t>
      </w:r>
    </w:p>
    <w:p w14:paraId="00A46847">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六、验收方式、质量保证期及售后服务要求</w:t>
      </w:r>
    </w:p>
    <w:p w14:paraId="40033EEA">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1、验收时，乙方须提供合同约定产品中甲方指定产品的质量检测报告，质量检测报告应由地市级及以上国家质量技术管理部门出具。</w:t>
      </w:r>
    </w:p>
    <w:p w14:paraId="1C856BAA">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2、甲乙双方以本合同约定的产品技术参数、配置为标准进行验收，验收合格后由甲方签署验收证明文件。</w:t>
      </w:r>
    </w:p>
    <w:p w14:paraId="28B8E5C4">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3、质量保证期起始时间是：验收合格后甲方签署验收证明文件日期。</w:t>
      </w:r>
    </w:p>
    <w:p w14:paraId="5791ACFC">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4、货物质量保证期和免费维修期根据乙方在投标文件中的承诺和原装产品生产厂家的保质期承诺，质保期为XX年。质量保证期和免费维修期内，乙方对所供货无条件包修、包换、包退。</w:t>
      </w:r>
    </w:p>
    <w:p w14:paraId="37F44DEC">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5、质量保证期内，整机或零部件非人为因素不能使用而更换部分的质量保证期和免费维修期相应延长。</w:t>
      </w:r>
    </w:p>
    <w:p w14:paraId="1C36BFD2">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6、乙方负责向甲方提供现场操作及维修保养方面的培训。</w:t>
      </w:r>
    </w:p>
    <w:p w14:paraId="35A158E6">
      <w:pPr>
        <w:spacing w:line="470" w:lineRule="exact"/>
        <w:ind w:right="-159" w:firstLine="506" w:firstLineChars="200"/>
        <w:rPr>
          <w:rFonts w:hint="eastAsia" w:asciiTheme="minorEastAsia" w:hAnsiTheme="minorEastAsia" w:eastAsiaTheme="minorEastAsia"/>
          <w:b/>
          <w:spacing w:val="6"/>
          <w:sz w:val="24"/>
          <w:szCs w:val="24"/>
          <w:u w:val="single"/>
        </w:rPr>
      </w:pPr>
      <w:r>
        <w:rPr>
          <w:rFonts w:hint="eastAsia" w:asciiTheme="minorEastAsia" w:hAnsiTheme="minorEastAsia" w:eastAsiaTheme="minorEastAsia"/>
          <w:b/>
          <w:spacing w:val="6"/>
          <w:sz w:val="24"/>
          <w:szCs w:val="24"/>
        </w:rPr>
        <w:t>七、付款方式：</w:t>
      </w:r>
      <w:r>
        <w:rPr>
          <w:rFonts w:hint="eastAsia" w:asciiTheme="minorEastAsia" w:hAnsiTheme="minorEastAsia" w:eastAsiaTheme="minorEastAsia"/>
          <w:b/>
          <w:spacing w:val="6"/>
          <w:sz w:val="24"/>
          <w:szCs w:val="24"/>
          <w:u w:val="single"/>
        </w:rPr>
        <w:t xml:space="preserve">              。</w:t>
      </w:r>
    </w:p>
    <w:p w14:paraId="7B0ADE88">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八、违约责任</w:t>
      </w:r>
    </w:p>
    <w:p w14:paraId="36A88C6D">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1、乙方不能按本合同规定的交货时间交付货物，或在合同规定的交货时间内乙方交付的货物（包括安装、调试）达不到验收标准的，乙方须向采购单位支付本合同总价10%的违约金，甲方可向南阳市人民政府采购管理部门投诉。</w:t>
      </w:r>
    </w:p>
    <w:p w14:paraId="59B56E65">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2、乙方不能按本合同规定的交货时间交付货物，或在合同规定的交货时间内乙方交付的货物（包括安装、调试）达不到验收标准的，除乙方按照第八条第1款交纳违约金外，从逾期之日起乙方需另外每日按本合同总价2‰的数额向采购单位支付违约金；逾期十五日以上的，甲方有权终止合同，由此造成的甲方经济损失由乙方承担，甲方可南阳市人民政府采购管理部门投诉。</w:t>
      </w:r>
    </w:p>
    <w:p w14:paraId="627EEB71">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3、验收时，甲方如发现乙方交付的产品品种、型号、规格、质量一项或多项不符合合同约定的产品技术参数、配置等，除乙方按照第八条第1款及第2款交纳违约金外，乙方已交付的货物由甲方存留，直至在规定的时间内交付合同约定的产品，并达到验收标准；规定的时间到后，乙方交付的货物仍未达到合同约定的，甲方终止合同。</w:t>
      </w:r>
    </w:p>
    <w:p w14:paraId="3CE1AA56">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4、乙方不按其售后服务承诺响应甲方的服务请求的，乙方须向甲方支付合同总价10%的违约金。</w:t>
      </w:r>
    </w:p>
    <w:p w14:paraId="685E375E">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5、甲方不按合同规定接收货物，或无正当理由不按政府采购办的要求办理结算手续的，甲方须向乙方支付本合同总价10%的违约金，同时乙方可向南阳市人民政府采购管理部门投诉。</w:t>
      </w:r>
    </w:p>
    <w:p w14:paraId="629846D2">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九、提出异议的时间和方法</w:t>
      </w:r>
    </w:p>
    <w:p w14:paraId="4FDB61B5">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1、甲方在验收中如发现货物的品种、型号、规格、质量不符合约定的，应在妥善保管货物的同时，合理期间向乙方提出书面异议。</w:t>
      </w:r>
    </w:p>
    <w:p w14:paraId="7603E806">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2、乙方在接到甲方书面异议后，应在24小时内作出处理并予以书面说明；否则，即视为乙方默认了甲方提出的异议。</w:t>
      </w:r>
    </w:p>
    <w:p w14:paraId="2006E980">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3、甲方因违章操作、保管保养不善等自身因素造成质量问题的，不得提出异议。</w:t>
      </w:r>
    </w:p>
    <w:p w14:paraId="106CD4C6">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十、不可抗力</w:t>
      </w:r>
    </w:p>
    <w:p w14:paraId="4B4D375B">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任何一方由于不可抗力原因无法履行合同时，应在不可抗力事件结束后1日内向对方通报，以减轻可能给对方造成的损失；在取得有关机构的不可抗力证明或双方谅解确认后，允许延期履行或修订合同，并视情况免于承担部分或全部的违约责任。</w:t>
      </w:r>
    </w:p>
    <w:p w14:paraId="7DC2CD0A">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十一、争议的解决</w:t>
      </w:r>
    </w:p>
    <w:p w14:paraId="574F5E85">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1、合同履行过程中发生的任何争议，双方协商解决，如协商不能达成一致，向南阳市有管辖权的人民法院起诉。</w:t>
      </w:r>
    </w:p>
    <w:p w14:paraId="612362F8">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2、因货物质量问题发生的争议，统一由南阳市质量技术监督局鉴定，其鉴定为最终鉴定。货物符合质量技术标准的，鉴定费由甲方承担；货物不符合质量技术标准的，鉴定费由乙方承担。</w:t>
      </w:r>
    </w:p>
    <w:p w14:paraId="1AB3E28F">
      <w:pPr>
        <w:spacing w:line="470" w:lineRule="exact"/>
        <w:ind w:right="-159" w:firstLine="506" w:firstLineChars="200"/>
        <w:rPr>
          <w:rFonts w:hint="eastAsia" w:asciiTheme="minorEastAsia" w:hAnsiTheme="minorEastAsia" w:eastAsiaTheme="minorEastAsia"/>
          <w:b/>
          <w:spacing w:val="6"/>
          <w:sz w:val="24"/>
          <w:szCs w:val="24"/>
        </w:rPr>
      </w:pPr>
      <w:r>
        <w:rPr>
          <w:rFonts w:hint="eastAsia" w:asciiTheme="minorEastAsia" w:hAnsiTheme="minorEastAsia" w:eastAsiaTheme="minorEastAsia"/>
          <w:b/>
          <w:spacing w:val="6"/>
          <w:sz w:val="24"/>
          <w:szCs w:val="24"/>
        </w:rPr>
        <w:t>十二、其它</w:t>
      </w:r>
    </w:p>
    <w:p w14:paraId="58FCE604">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1、合同所有附件均为合同的有效组成部分，与合同具有同等的法律效力。合同附件包括: 项目标号XXXXXXXX，XXXXXXXXXXXXXXXXXXXXXXXXX项目的磋商文件、乙方投标文件及招标过程中形成的其他文件。</w:t>
      </w:r>
    </w:p>
    <w:p w14:paraId="6FD77A83">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2、本合同经甲乙双方法人代表或授权代理人签字盖章之日起生效。</w:t>
      </w:r>
    </w:p>
    <w:p w14:paraId="07398CE4">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3、本合同一式XX份：甲方持有XX份，乙方持有XX份，均具有同等法律效力。</w:t>
      </w:r>
    </w:p>
    <w:p w14:paraId="649BDE39">
      <w:pPr>
        <w:spacing w:line="470" w:lineRule="exact"/>
        <w:ind w:right="-159" w:firstLine="504" w:firstLineChars="200"/>
        <w:rPr>
          <w:rFonts w:hint="eastAsia" w:asciiTheme="minorEastAsia" w:hAnsiTheme="minorEastAsia" w:eastAsiaTheme="minorEastAsia"/>
          <w:spacing w:val="6"/>
          <w:sz w:val="24"/>
          <w:szCs w:val="24"/>
        </w:rPr>
      </w:pPr>
    </w:p>
    <w:tbl>
      <w:tblPr>
        <w:tblStyle w:val="18"/>
        <w:tblW w:w="4998" w:type="pct"/>
        <w:tblInd w:w="0" w:type="dxa"/>
        <w:tblLayout w:type="autofit"/>
        <w:tblCellMar>
          <w:top w:w="0" w:type="dxa"/>
          <w:left w:w="108" w:type="dxa"/>
          <w:bottom w:w="0" w:type="dxa"/>
          <w:right w:w="108" w:type="dxa"/>
        </w:tblCellMar>
      </w:tblPr>
      <w:tblGrid>
        <w:gridCol w:w="4989"/>
        <w:gridCol w:w="4296"/>
      </w:tblGrid>
      <w:tr w14:paraId="66E41A6A">
        <w:tblPrEx>
          <w:tblCellMar>
            <w:top w:w="0" w:type="dxa"/>
            <w:left w:w="108" w:type="dxa"/>
            <w:bottom w:w="0" w:type="dxa"/>
            <w:right w:w="108" w:type="dxa"/>
          </w:tblCellMar>
        </w:tblPrEx>
        <w:tc>
          <w:tcPr>
            <w:tcW w:w="2686" w:type="pct"/>
          </w:tcPr>
          <w:p w14:paraId="40BB031F">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 xml:space="preserve">甲方：(公章)  </w:t>
            </w:r>
          </w:p>
          <w:p w14:paraId="533C1706">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授权代理人：</w:t>
            </w:r>
          </w:p>
          <w:p w14:paraId="72EEA3A7">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日期：</w:t>
            </w:r>
          </w:p>
          <w:p w14:paraId="19C5CB84">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地址：</w:t>
            </w:r>
          </w:p>
          <w:p w14:paraId="30369588">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电话：</w:t>
            </w:r>
          </w:p>
          <w:p w14:paraId="4D919826">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传真：</w:t>
            </w:r>
          </w:p>
          <w:p w14:paraId="3EAF5BE7">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甲方开户行：</w:t>
            </w:r>
          </w:p>
          <w:p w14:paraId="79978EBB">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甲方账号：</w:t>
            </w:r>
          </w:p>
          <w:p w14:paraId="2503F9FC">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甲方账号名称：</w:t>
            </w:r>
          </w:p>
          <w:p w14:paraId="02C3BCE7">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甲方统一社会信用代码：</w:t>
            </w:r>
          </w:p>
        </w:tc>
        <w:tc>
          <w:tcPr>
            <w:tcW w:w="2313" w:type="pct"/>
          </w:tcPr>
          <w:p w14:paraId="636D3452">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乙方：(公章)</w:t>
            </w:r>
          </w:p>
          <w:p w14:paraId="3DC88F2D">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法定代表人(授权代理人)：</w:t>
            </w:r>
          </w:p>
          <w:p w14:paraId="390828D9">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日期：</w:t>
            </w:r>
          </w:p>
          <w:p w14:paraId="45FB5157">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地址：</w:t>
            </w:r>
          </w:p>
          <w:p w14:paraId="10F76116">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乙方手机：</w:t>
            </w:r>
          </w:p>
          <w:p w14:paraId="0C62F8DB">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传真：</w:t>
            </w:r>
          </w:p>
          <w:p w14:paraId="3D2DB1DB">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乙方开户行：</w:t>
            </w:r>
          </w:p>
          <w:p w14:paraId="5F6587D0">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乙方账号：</w:t>
            </w:r>
          </w:p>
          <w:p w14:paraId="386A2967">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乙方账号名称：</w:t>
            </w:r>
          </w:p>
          <w:p w14:paraId="61089A5E">
            <w:pPr>
              <w:spacing w:line="470" w:lineRule="exact"/>
              <w:ind w:right="-159" w:firstLine="504" w:firstLineChars="200"/>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乙方统一社会信用代码：</w:t>
            </w:r>
          </w:p>
        </w:tc>
      </w:tr>
    </w:tbl>
    <w:p w14:paraId="5ABB40A3">
      <w:pPr>
        <w:tabs>
          <w:tab w:val="left" w:pos="2520"/>
        </w:tabs>
        <w:spacing w:line="470" w:lineRule="exact"/>
        <w:ind w:firstLine="315" w:firstLineChars="150"/>
        <w:rPr>
          <w:rFonts w:hint="eastAsia" w:ascii="宋体" w:hAnsi="宋体" w:cs="宋体"/>
        </w:rPr>
        <w:sectPr>
          <w:footerReference r:id="rId7" w:type="default"/>
          <w:pgSz w:w="11907" w:h="16840"/>
          <w:pgMar w:top="1417" w:right="1417" w:bottom="1417" w:left="1417" w:header="964" w:footer="964" w:gutter="0"/>
          <w:pgNumType w:start="1"/>
          <w:cols w:space="720" w:num="1"/>
          <w:docGrid w:linePitch="310" w:charSpace="0"/>
        </w:sectPr>
      </w:pPr>
      <w:r>
        <w:rPr>
          <w:rFonts w:hint="eastAsia" w:ascii="宋体" w:hAnsi="宋体" w:cs="宋体"/>
          <w:b/>
        </w:rPr>
        <w:t>注：以上合同草案供采购人和成交单位参考，采购人和成交单位可自行增加或递减合同的相应条款和约束内容。</w:t>
      </w:r>
    </w:p>
    <w:p w14:paraId="3D1B5C70">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70F70D45">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66A6BCFD">
      <w:pPr>
        <w:pStyle w:val="6"/>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4E7EC0B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2EB86EA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73246F0E">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1C4A3D1E">
      <w:pPr>
        <w:pStyle w:val="6"/>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792CDC9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1E6FD8D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AEDBBE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8"/>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365B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4A4A5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87904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0D9B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3D9CF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A47237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01EC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3C394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3F728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3B5A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C71E65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0FBB9F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0581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31773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D539E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6D24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FF57CB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E10E9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05AC3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F091C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9C924F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4166B6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37562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53B44D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7DECA96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BC8AC3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p>
    <w:p w14:paraId="07407D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4B922365">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1A4658D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4F71DD9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52B834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67BF669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1D566C5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3E938A4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6625092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05497A3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1A69A49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6F265D0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542041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06CE0DB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6D2550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321EC1F1">
      <w:pPr>
        <w:pStyle w:val="17"/>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2FF78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08678F5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D99A4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6164910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49A53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72F9B6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0C7FAA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229A5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36CED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C81CE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A3C35F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8C4BCD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0F36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DAC1800">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5B7E878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DCFD2D4">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24004F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CBBA67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71A54A8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2DF2EB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2EF8A90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4637E7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99A5B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152A6C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37B6B92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11DEDD0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3E5CFE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38E40C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35F862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80D9E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5727C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644389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172F1E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0" w:type="default"/>
          <w:footerReference r:id="rId11"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7"/>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2DC959A6">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3944B3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1664349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6B5A1B3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0D45705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2FDD126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38E72FF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131104D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3CD3FC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17F80C5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2294E6E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F5B3E7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6AE0565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784E3F5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4A2D69C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17E3D17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0D10B0F6">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5661BCA">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4B6AF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DAD679D">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3F0B36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EFD4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56DEF89">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712C38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6EF04C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14B356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7A40A2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3D2C65F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2A4DB2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E3107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EF39A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08A06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35AAF7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1FF06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2A2A2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68B1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5E70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19F2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C9F4AB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226301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4091FB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CA9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13F540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F9FD47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FB771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2CB00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BCBE8C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A1E0D3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06E74C7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21D1F45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529E0EC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A08A10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7F37CEA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F45E9A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188588F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295D07C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318DA65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4E42F36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74CA64E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2282F7EC">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FEBE4EF">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5F21F60E">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4CE0E66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B6BD26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636B6BFA">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E47948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19096E91">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3F53E864">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50DD68C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5C143A6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0A4DA59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634AB37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F8C304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4C79ADF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01341AD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3CF3EC1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360C21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649952E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577EF14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9435F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0DF6B20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74FABE4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0EE9BF23">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0D1E640C">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441A30D6">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0F09A62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BFCB3D2">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397528F9">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B6C0D0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0388FA6C">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02BB8C3F">
      <w:pPr>
        <w:pStyle w:val="13"/>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2" w:type="default"/>
          <w:footerReference r:id="rId13" w:type="default"/>
          <w:pgSz w:w="11907" w:h="16840"/>
          <w:pgMar w:top="1440" w:right="1800" w:bottom="1440" w:left="1800" w:header="878" w:footer="886" w:gutter="0"/>
          <w:pgNumType w:fmt="decimal"/>
          <w:cols w:space="720" w:num="1"/>
        </w:sectPr>
      </w:pPr>
    </w:p>
    <w:p w14:paraId="17A5771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二、</w:t>
      </w:r>
      <w:r>
        <w:rPr>
          <w:rFonts w:hint="eastAsia" w:asciiTheme="minorEastAsia" w:hAnsiTheme="minorEastAsia" w:eastAsiaTheme="minorEastAsia" w:cstheme="minorEastAsia"/>
          <w:b/>
          <w:bCs w:val="0"/>
          <w:sz w:val="24"/>
          <w:szCs w:val="24"/>
          <w:highlight w:val="none"/>
          <w:lang w:val="en-US" w:eastAsia="zh-CN"/>
        </w:rPr>
        <w:t>技术格式（暗标）</w:t>
      </w:r>
    </w:p>
    <w:p w14:paraId="287F241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color w:val="000000"/>
          <w:sz w:val="24"/>
          <w:szCs w:val="24"/>
          <w:lang w:val="en-US" w:eastAsia="zh-CN"/>
        </w:rPr>
        <w:t>1.</w:t>
      </w:r>
      <w:r>
        <w:rPr>
          <w:rFonts w:hint="eastAsia" w:asciiTheme="minorEastAsia" w:hAnsiTheme="minorEastAsia" w:eastAsiaTheme="minorEastAsia" w:cstheme="minorEastAsia"/>
          <w:b/>
          <w:bCs w:val="0"/>
          <w:sz w:val="24"/>
          <w:szCs w:val="24"/>
          <w:lang w:eastAsia="zh-CN"/>
        </w:rPr>
        <w:t>设备供货安装调试方案</w:t>
      </w:r>
    </w:p>
    <w:p w14:paraId="572472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2.人员培训方案</w:t>
      </w:r>
    </w:p>
    <w:p w14:paraId="39672D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3.质量保障措施</w:t>
      </w:r>
    </w:p>
    <w:p w14:paraId="7018AF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4.进度保障措施</w:t>
      </w:r>
    </w:p>
    <w:p w14:paraId="55BE0BAA">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val="0"/>
          <w:color w:val="000000"/>
          <w:sz w:val="24"/>
          <w:szCs w:val="24"/>
          <w:lang w:val="en-US" w:eastAsia="zh-CN"/>
        </w:rPr>
      </w:pPr>
      <w:r>
        <w:rPr>
          <w:rFonts w:hint="eastAsia" w:asciiTheme="minorEastAsia" w:hAnsiTheme="minorEastAsia" w:eastAsiaTheme="minorEastAsia" w:cstheme="minorEastAsia"/>
          <w:b/>
          <w:bCs w:val="0"/>
          <w:sz w:val="24"/>
          <w:szCs w:val="24"/>
          <w:lang w:val="en-US" w:eastAsia="zh-CN"/>
        </w:rPr>
        <w:t>5.应急预案</w:t>
      </w:r>
    </w:p>
    <w:p w14:paraId="2D14A49D">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p>
    <w:p w14:paraId="2EDB4EA0">
      <w:pP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rPr>
        <w:br w:type="page"/>
      </w:r>
    </w:p>
    <w:p w14:paraId="1585C2F8">
      <w:pPr>
        <w:pStyle w:val="13"/>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07DC040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36C4038">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1523F9F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84F66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456AFA0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1C09706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22BD3DD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2D6EB76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5E333C3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53093AA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76C182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5CD5BE1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4E3A40E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010FB23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098C04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786BE6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68A133F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24569A89">
      <w:pPr>
        <w:keepNext w:val="0"/>
        <w:keepLines w:val="0"/>
        <w:pageBreakBefore w:val="0"/>
        <w:kinsoku/>
        <w:wordWrap w:val="0"/>
        <w:overflowPunct/>
        <w:topLinePunct w:val="0"/>
        <w:bidi w:val="0"/>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p>
    <w:p w14:paraId="11679497">
      <w:pPr>
        <w:keepNext w:val="0"/>
        <w:keepLines w:val="0"/>
        <w:pageBreakBefore w:val="0"/>
        <w:kinsoku/>
        <w:wordWrap w:val="0"/>
        <w:overflowPunct/>
        <w:topLinePunct w:val="0"/>
        <w:bidi w:val="0"/>
        <w:jc w:val="both"/>
        <w:rPr>
          <w:rFonts w:hint="eastAsia" w:ascii="宋体" w:hAnsi="宋体"/>
          <w:b/>
          <w:sz w:val="24"/>
          <w:szCs w:val="24"/>
        </w:rPr>
      </w:pPr>
    </w:p>
    <w:p w14:paraId="0F64943F">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8"/>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850"/>
        <w:gridCol w:w="709"/>
        <w:gridCol w:w="284"/>
        <w:gridCol w:w="566"/>
        <w:gridCol w:w="993"/>
        <w:gridCol w:w="1134"/>
        <w:gridCol w:w="141"/>
        <w:gridCol w:w="1418"/>
        <w:gridCol w:w="1843"/>
      </w:tblGrid>
      <w:tr w14:paraId="71C568B7">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392141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1FB857E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gridSpan w:val="2"/>
            <w:tcBorders>
              <w:top w:val="nil"/>
              <w:left w:val="nil"/>
              <w:bottom w:val="single" w:color="auto" w:sz="4" w:space="0"/>
              <w:right w:val="nil"/>
            </w:tcBorders>
            <w:noWrap w:val="0"/>
            <w:vAlign w:val="center"/>
          </w:tcPr>
          <w:p w14:paraId="0D599B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3"/>
            <w:tcBorders>
              <w:top w:val="nil"/>
              <w:left w:val="nil"/>
              <w:bottom w:val="single" w:color="auto" w:sz="4" w:space="0"/>
              <w:right w:val="nil"/>
            </w:tcBorders>
            <w:noWrap w:val="0"/>
            <w:vAlign w:val="center"/>
          </w:tcPr>
          <w:p w14:paraId="51D0D5A3">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3402" w:type="dxa"/>
            <w:gridSpan w:val="3"/>
            <w:tcBorders>
              <w:top w:val="nil"/>
              <w:left w:val="nil"/>
              <w:bottom w:val="single" w:color="auto" w:sz="4" w:space="0"/>
              <w:right w:val="nil"/>
            </w:tcBorders>
            <w:noWrap w:val="0"/>
            <w:vAlign w:val="center"/>
          </w:tcPr>
          <w:p w14:paraId="15B6BD1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3C4D05D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387E21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1F4C41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C35CE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06217D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14:paraId="20FCAAB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652327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311F730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93E0DB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45E0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5439ABB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35B4B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692A65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08CD3D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38AD8FA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671F58E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815860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691EC0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D9E58D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CE6D86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238F013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52C86C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FDD36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6E4C9E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0BC77D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1082A1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6150F6F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8C476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62C15EA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0E3FA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948B8C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4C3371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FF48A6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6474C4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04D09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C7DE5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35B192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51C75B9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446F41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2363FEA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8054A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90CF28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65D4F42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B30D44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E919D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2FC5BF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B2220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72CF0DA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65A6186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EF4845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39416DE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52B089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5AE719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7101BE5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6721F5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DE71A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DB0DC8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98C30C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0B5505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4161ACD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B2992C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7751653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19F10D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4643CB5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BD4601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7870EA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8345E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AA967D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12C9665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6C8A9CB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05C64E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5346C0A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925493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E12EDB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741A119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7D431B79">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9E32AB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8DE9C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A10EE3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559" w:type="dxa"/>
            <w:gridSpan w:val="2"/>
            <w:tcBorders>
              <w:top w:val="single" w:color="auto" w:sz="4" w:space="0"/>
              <w:left w:val="single" w:color="auto" w:sz="4" w:space="0"/>
              <w:bottom w:val="single" w:color="auto" w:sz="4" w:space="0"/>
              <w:right w:val="single" w:color="auto" w:sz="4" w:space="0"/>
            </w:tcBorders>
            <w:noWrap w:val="0"/>
            <w:vAlign w:val="bottom"/>
          </w:tcPr>
          <w:p w14:paraId="30B560D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gridSpan w:val="2"/>
            <w:tcBorders>
              <w:top w:val="single" w:color="auto" w:sz="4" w:space="0"/>
              <w:left w:val="single" w:color="auto" w:sz="4" w:space="0"/>
              <w:bottom w:val="single" w:color="auto" w:sz="4" w:space="0"/>
              <w:right w:val="single" w:color="auto" w:sz="4" w:space="0"/>
            </w:tcBorders>
            <w:noWrap w:val="0"/>
            <w:vAlign w:val="bottom"/>
          </w:tcPr>
          <w:p w14:paraId="4169E6F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95A9AB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gridSpan w:val="2"/>
            <w:tcBorders>
              <w:top w:val="single" w:color="auto" w:sz="4" w:space="0"/>
              <w:left w:val="single" w:color="auto" w:sz="4" w:space="0"/>
              <w:bottom w:val="single" w:color="auto" w:sz="4" w:space="0"/>
              <w:right w:val="single" w:color="auto" w:sz="4" w:space="0"/>
            </w:tcBorders>
            <w:noWrap w:val="0"/>
            <w:vAlign w:val="bottom"/>
          </w:tcPr>
          <w:p w14:paraId="598B6C3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FD78BD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1092F3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bl>
    <w:p w14:paraId="5A6F0ED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75AAF1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60FEB7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0E45F9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4AEC28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770D55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62095EA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675AB28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53C73C1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596007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270CD03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0175EE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val="en-US" w:eastAsia="zh-CN"/>
        </w:rPr>
      </w:pPr>
    </w:p>
    <w:p w14:paraId="27F53D46">
      <w:pPr>
        <w:keepNext w:val="0"/>
        <w:keepLines w:val="0"/>
        <w:pageBreakBefore w:val="0"/>
        <w:kinsoku/>
        <w:wordWrap w:val="0"/>
        <w:overflowPunct/>
        <w:topLinePunct w:val="0"/>
        <w:bidi w:val="0"/>
        <w:spacing w:line="360" w:lineRule="auto"/>
        <w:jc w:val="both"/>
        <w:rPr>
          <w:rFonts w:hint="eastAsia"/>
          <w:lang w:val="zh-CN" w:eastAsia="zh-CN"/>
        </w:rPr>
        <w:sectPr>
          <w:pgSz w:w="16840" w:h="11907" w:orient="landscape"/>
          <w:pgMar w:top="1800" w:right="1440" w:bottom="1800" w:left="1440" w:header="878" w:footer="886" w:gutter="0"/>
          <w:pgNumType w:fmt="decimal"/>
          <w:cols w:space="720" w:num="1"/>
        </w:sect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DE5C9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3.主要设备技术指标及技术性能说明</w:t>
      </w:r>
    </w:p>
    <w:p w14:paraId="030794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4.</w:t>
      </w:r>
      <w:r>
        <w:rPr>
          <w:rFonts w:hint="eastAsia" w:asciiTheme="minorEastAsia" w:hAnsiTheme="minorEastAsia" w:eastAsiaTheme="minorEastAsia" w:cstheme="minorEastAsia"/>
          <w:b/>
          <w:bCs w:val="0"/>
          <w:sz w:val="24"/>
          <w:szCs w:val="24"/>
          <w:lang w:eastAsia="zh-CN"/>
        </w:rPr>
        <w:t>技术偏差情况</w:t>
      </w:r>
    </w:p>
    <w:p w14:paraId="4701DE3A">
      <w:pPr>
        <w:pStyle w:val="6"/>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1ACECE2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79F3319E">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1E43432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54B2A213">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4D22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576306B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4C6F8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AC39EB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03B4A9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76B458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65018A0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6F78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3C772C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F74B9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044873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F3066D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B5905C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9EC628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E37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5AE09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E7883A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191306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52EEC3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554F1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A397A1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46C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57B371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E5DDF4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D1727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080F8A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5238F3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99205D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6A1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546069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7AA134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45285D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67D640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61F5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DD78C8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E04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E24F0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A87C3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99A930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86FFCE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BA0A26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296E51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8C2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DBCB39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C1F59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505D8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7DC6DA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A9FFE2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2793D4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954C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1B8252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CB2461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169477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4E9E4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BB711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06838B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F820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3CC0B2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AB779B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9CE0BC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11855C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58CEB2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BA5286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4417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BAF703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10E494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B2089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1484C1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BA873B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B25DB5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526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4E8C24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C0BCA0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F368A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77503B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2EC1F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60907F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ED6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A7EE6C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207123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8D82F1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4C68FF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8E610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CD4235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2F9E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FA8CCD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AC5F0C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9C505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792B3A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AC005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60E6CD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63B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758E94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256E2B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C8F128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7A9893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3DC2E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858F2F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889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B2E32E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D11DBE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BE17D1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14E9F1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81D3B7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55B4D3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979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B13986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6C5D82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7EDBB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C6E50C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22087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04BF6D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44F2FE5D">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150AF95D">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3CB27CF">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lang w:eastAsia="zh-CN"/>
        </w:rPr>
        <w:t>节能产品、环境标志产品明细表</w:t>
      </w:r>
    </w:p>
    <w:p w14:paraId="193ED1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529A31A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110"/>
        <w:gridCol w:w="1380"/>
        <w:gridCol w:w="780"/>
        <w:gridCol w:w="720"/>
        <w:gridCol w:w="705"/>
      </w:tblGrid>
      <w:tr w14:paraId="37C7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6D0F3A3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29F758B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4803397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2E2C574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76F294B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779499E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1604361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0C96A06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33FFB51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6688327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218BCFF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5CB4A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53270DA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0792678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01A5D1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3904E7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0416B2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837E92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C20A38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58E26D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3B42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3D46F0A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35C9B3A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C9C1CF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0A9D9B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3474A5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CCE5D4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59D392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85F823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82D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63D2AFA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27CBF4C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3282F40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B5CCA8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697A2E2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AFF8A1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167905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5600F8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1CE775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06BFCE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7E80DB5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1D922C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125"/>
        <w:gridCol w:w="1380"/>
        <w:gridCol w:w="750"/>
        <w:gridCol w:w="720"/>
        <w:gridCol w:w="705"/>
      </w:tblGrid>
      <w:tr w14:paraId="031EB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3CC2AEE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62EFBE5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071A8EB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2ACD9CC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0F73DC6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6790EC4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1F0C500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00F40DA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7CC324B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349AD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3FBD980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ECAF5D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ED7D1C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C46384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F04AB9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80D858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C0F5BB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5603D07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5D49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3BA9108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04B765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4A1286B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58DA42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11A80E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FBA856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9E28BA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D7864F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231B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6558C38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0732B7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31E2421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3BDC7E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70585E7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467429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82704E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4240A5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1F95F1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C15E7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668C4FC6">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2C4557E3">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786ED85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65428866">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36DB75F9">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1823DDD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14:paraId="23621831">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50FAE066">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05F619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E3E58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41CC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5FCEFE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606E8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03531B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0AD61F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683F9B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6A1D9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0B9B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8D5E0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F09AF0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6E5FC9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DE1225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FA9BB5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225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D0F2C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61AA37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A4BB3C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EC9895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DB7EF2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3E39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F17F7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E7C36F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91BDCF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9B214C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8D909B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158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ACA2EF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5EB112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97D1B6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6C4C7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A52474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598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AC37B2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98F1E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5FEBC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EF41C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416EB1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3DC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322A4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FE3A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430C74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FCDA1E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01C317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537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5299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3AD44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1B5C5B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DB4E5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F0CB22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4D3C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6849FB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7ECFD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E34495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C0558F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B304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11A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F933D6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8DCCD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4AA00D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188525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90B77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BD5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1CC04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0A5D46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F3C24C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7B9914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671A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084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BCB962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C137F5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0EF18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6B2124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ADBD6C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4A33BA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2A22EB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6BA1886">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9C6E76B">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4043C64">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7.售</w:t>
      </w:r>
      <w:r>
        <w:rPr>
          <w:rFonts w:hint="eastAsia" w:asciiTheme="minorEastAsia" w:hAnsiTheme="minorEastAsia" w:eastAsiaTheme="minorEastAsia" w:cstheme="minorEastAsia"/>
          <w:b/>
          <w:sz w:val="24"/>
          <w:szCs w:val="24"/>
          <w:lang w:eastAsia="zh-CN"/>
        </w:rPr>
        <w:t>后服务计划</w:t>
      </w:r>
    </w:p>
    <w:p w14:paraId="6FB67B0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lang w:eastAsia="zh-CN"/>
        </w:rPr>
        <w:t>投标人业绩</w:t>
      </w:r>
    </w:p>
    <w:p w14:paraId="3AB02A90">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kern w:val="0"/>
          <w:sz w:val="24"/>
          <w:szCs w:val="24"/>
          <w:lang w:val="en-US" w:eastAsia="zh-CN" w:bidi="ar-SA"/>
        </w:rPr>
        <w:t>9</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6F3E4FF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B586D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中小企业声明函格式</w:t>
      </w:r>
    </w:p>
    <w:p w14:paraId="30B151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FCC8D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46B27A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1FDBA9A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2D34CF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1B2514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38BF299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43DA6CF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7E09EC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33FF711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057D3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3321B0FE">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C1C76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6EB96EA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F5B8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00338429">
      <w:pPr>
        <w:pStyle w:val="23"/>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34E7228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1A286D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E0D54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4710BA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40980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20B856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15FA91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0AA193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CB1C3B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499C8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3FE3ABDF">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BA48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20B62A2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6F5036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ACCE34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AB3254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CF89AE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7FD9623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0CFF8A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565914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75F88A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62652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5E824CE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41ECF47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023455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021654A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2AD74B2F">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78C4D3FE">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7E2034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10.招标文件要求的其它材料及投标人认为有必要提供的材料</w:t>
      </w:r>
    </w:p>
    <w:sectPr>
      <w:headerReference r:id="rId14" w:type="default"/>
      <w:footerReference r:id="rId15"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99B38">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D900D6">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D900D6">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BE6D2">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002BD58">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IhPS7zTAQAAqAMAAA4AAAAAAAAAAQAgAAAA&#10;IgEAAGRycy9lMm9Eb2MueG1sUEsFBgAAAAAGAAYAWQEAAGcFAAAAAA==&#10;">
              <v:fill on="f" focussize="0,0"/>
              <v:stroke on="f" weight="1.25pt"/>
              <v:imagedata o:title=""/>
              <o:lock v:ext="edit" aspectratio="f"/>
              <v:textbox inset="0mm,0mm,0mm,0mm" style="mso-fit-shape-to-text:t;">
                <w:txbxContent>
                  <w:p w14:paraId="2002BD58">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B0C04">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DF5BA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FDF5BA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5214C">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BEC45">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EFBEC45">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45000">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3A8F3">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363A8F3">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617D9">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CC13C4">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ACC13C4">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4755E">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22C7B">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2B6AC">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9D065">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D4C69">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7BE5FA"/>
    <w:multiLevelType w:val="singleLevel"/>
    <w:tmpl w:val="5D7BE5F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621C19"/>
    <w:rsid w:val="0096273C"/>
    <w:rsid w:val="00D24FF0"/>
    <w:rsid w:val="014E35A1"/>
    <w:rsid w:val="01C02D71"/>
    <w:rsid w:val="023E759B"/>
    <w:rsid w:val="027730B6"/>
    <w:rsid w:val="02FA03F5"/>
    <w:rsid w:val="03217B69"/>
    <w:rsid w:val="032F04D8"/>
    <w:rsid w:val="03C26B83"/>
    <w:rsid w:val="03CC315E"/>
    <w:rsid w:val="03DF5A69"/>
    <w:rsid w:val="044921B6"/>
    <w:rsid w:val="04545D1C"/>
    <w:rsid w:val="046E59EF"/>
    <w:rsid w:val="050D556D"/>
    <w:rsid w:val="05234F67"/>
    <w:rsid w:val="05545C1C"/>
    <w:rsid w:val="055748A3"/>
    <w:rsid w:val="059A3EA8"/>
    <w:rsid w:val="06593C39"/>
    <w:rsid w:val="06787E06"/>
    <w:rsid w:val="06AF4861"/>
    <w:rsid w:val="06B0495B"/>
    <w:rsid w:val="06C93A28"/>
    <w:rsid w:val="06E37C8B"/>
    <w:rsid w:val="076721B4"/>
    <w:rsid w:val="08CB596A"/>
    <w:rsid w:val="08E43B13"/>
    <w:rsid w:val="092D385C"/>
    <w:rsid w:val="09684744"/>
    <w:rsid w:val="09A129E2"/>
    <w:rsid w:val="09CC6764"/>
    <w:rsid w:val="09E3271C"/>
    <w:rsid w:val="0A29644D"/>
    <w:rsid w:val="0A437032"/>
    <w:rsid w:val="0A633B33"/>
    <w:rsid w:val="0AB46C2A"/>
    <w:rsid w:val="0ABC7CF1"/>
    <w:rsid w:val="0ABE6FC5"/>
    <w:rsid w:val="0AD86A92"/>
    <w:rsid w:val="0ADB0F46"/>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B145AD"/>
    <w:rsid w:val="115A7068"/>
    <w:rsid w:val="11620280"/>
    <w:rsid w:val="117D2D56"/>
    <w:rsid w:val="11B43A6A"/>
    <w:rsid w:val="11B5429E"/>
    <w:rsid w:val="121A79BB"/>
    <w:rsid w:val="122675E2"/>
    <w:rsid w:val="12417927"/>
    <w:rsid w:val="126E021D"/>
    <w:rsid w:val="126F5143"/>
    <w:rsid w:val="12851EC3"/>
    <w:rsid w:val="12C14EC5"/>
    <w:rsid w:val="12C549DA"/>
    <w:rsid w:val="12D9220E"/>
    <w:rsid w:val="12FD5FFB"/>
    <w:rsid w:val="1380268A"/>
    <w:rsid w:val="13C5707D"/>
    <w:rsid w:val="13C92283"/>
    <w:rsid w:val="13F07810"/>
    <w:rsid w:val="1446371A"/>
    <w:rsid w:val="146A5814"/>
    <w:rsid w:val="14B30CFC"/>
    <w:rsid w:val="14EC3DCF"/>
    <w:rsid w:val="15037E2D"/>
    <w:rsid w:val="156B2323"/>
    <w:rsid w:val="15AC3C0A"/>
    <w:rsid w:val="15B05882"/>
    <w:rsid w:val="15E04F64"/>
    <w:rsid w:val="164A7458"/>
    <w:rsid w:val="16F45CE8"/>
    <w:rsid w:val="16FC049F"/>
    <w:rsid w:val="173B1161"/>
    <w:rsid w:val="174C193E"/>
    <w:rsid w:val="179B0D80"/>
    <w:rsid w:val="17B27393"/>
    <w:rsid w:val="17E20058"/>
    <w:rsid w:val="183D23CB"/>
    <w:rsid w:val="18441F7B"/>
    <w:rsid w:val="18510AEB"/>
    <w:rsid w:val="18610CDC"/>
    <w:rsid w:val="190546CB"/>
    <w:rsid w:val="19161B44"/>
    <w:rsid w:val="19D46BD3"/>
    <w:rsid w:val="19E260C0"/>
    <w:rsid w:val="1A464AA0"/>
    <w:rsid w:val="1A6B22E0"/>
    <w:rsid w:val="1A9F789A"/>
    <w:rsid w:val="1AAC0209"/>
    <w:rsid w:val="1AC47924"/>
    <w:rsid w:val="1AF57E02"/>
    <w:rsid w:val="1B4F168F"/>
    <w:rsid w:val="1B6F0841"/>
    <w:rsid w:val="1D162B4D"/>
    <w:rsid w:val="1D391455"/>
    <w:rsid w:val="1D72498F"/>
    <w:rsid w:val="1D9D7C75"/>
    <w:rsid w:val="1E0754FF"/>
    <w:rsid w:val="1E2712E1"/>
    <w:rsid w:val="1E7249AF"/>
    <w:rsid w:val="1EC333B5"/>
    <w:rsid w:val="1F8737CC"/>
    <w:rsid w:val="1FC41B50"/>
    <w:rsid w:val="1FE61854"/>
    <w:rsid w:val="1FF31541"/>
    <w:rsid w:val="20B66977"/>
    <w:rsid w:val="20F10837"/>
    <w:rsid w:val="210939CE"/>
    <w:rsid w:val="212D6A29"/>
    <w:rsid w:val="217E2260"/>
    <w:rsid w:val="21DC7625"/>
    <w:rsid w:val="21E33D7D"/>
    <w:rsid w:val="2208041A"/>
    <w:rsid w:val="22937C80"/>
    <w:rsid w:val="22E737AC"/>
    <w:rsid w:val="23C6058D"/>
    <w:rsid w:val="23D34A58"/>
    <w:rsid w:val="24C8734D"/>
    <w:rsid w:val="24E94D19"/>
    <w:rsid w:val="25052271"/>
    <w:rsid w:val="255045B2"/>
    <w:rsid w:val="256253DA"/>
    <w:rsid w:val="25722260"/>
    <w:rsid w:val="257A4289"/>
    <w:rsid w:val="259C22A5"/>
    <w:rsid w:val="25A83616"/>
    <w:rsid w:val="25D07317"/>
    <w:rsid w:val="260373D2"/>
    <w:rsid w:val="263A5FE5"/>
    <w:rsid w:val="265713EE"/>
    <w:rsid w:val="266177F8"/>
    <w:rsid w:val="26734FA1"/>
    <w:rsid w:val="267811A0"/>
    <w:rsid w:val="27EF7E63"/>
    <w:rsid w:val="27F6032D"/>
    <w:rsid w:val="280763A5"/>
    <w:rsid w:val="2944096C"/>
    <w:rsid w:val="29462E99"/>
    <w:rsid w:val="29C94933"/>
    <w:rsid w:val="29EF5E58"/>
    <w:rsid w:val="2A5E573D"/>
    <w:rsid w:val="2A870159"/>
    <w:rsid w:val="2ABA04F6"/>
    <w:rsid w:val="2AD7512C"/>
    <w:rsid w:val="2B296C36"/>
    <w:rsid w:val="2B32017A"/>
    <w:rsid w:val="2B4C1378"/>
    <w:rsid w:val="2B634913"/>
    <w:rsid w:val="2BD35370"/>
    <w:rsid w:val="2CA1464D"/>
    <w:rsid w:val="2CB368C6"/>
    <w:rsid w:val="2CE542E8"/>
    <w:rsid w:val="2D4C797B"/>
    <w:rsid w:val="2D854259"/>
    <w:rsid w:val="2DD5743D"/>
    <w:rsid w:val="2DF6291A"/>
    <w:rsid w:val="2E037ECE"/>
    <w:rsid w:val="2E123636"/>
    <w:rsid w:val="2EDE4089"/>
    <w:rsid w:val="2F795793"/>
    <w:rsid w:val="2F7E5B21"/>
    <w:rsid w:val="2FAF3423"/>
    <w:rsid w:val="305F18E8"/>
    <w:rsid w:val="30937A49"/>
    <w:rsid w:val="311741D6"/>
    <w:rsid w:val="31184B1D"/>
    <w:rsid w:val="3119309A"/>
    <w:rsid w:val="311F12DD"/>
    <w:rsid w:val="312A5594"/>
    <w:rsid w:val="312C625F"/>
    <w:rsid w:val="31C81974"/>
    <w:rsid w:val="32230959"/>
    <w:rsid w:val="3322495F"/>
    <w:rsid w:val="337450B5"/>
    <w:rsid w:val="344C700B"/>
    <w:rsid w:val="34C22FEC"/>
    <w:rsid w:val="34EB0670"/>
    <w:rsid w:val="34F86C33"/>
    <w:rsid w:val="357D65D2"/>
    <w:rsid w:val="36266C69"/>
    <w:rsid w:val="36B765C5"/>
    <w:rsid w:val="374E72FE"/>
    <w:rsid w:val="37512649"/>
    <w:rsid w:val="378400EB"/>
    <w:rsid w:val="37C036A0"/>
    <w:rsid w:val="37D664EB"/>
    <w:rsid w:val="37E776C2"/>
    <w:rsid w:val="382F62A9"/>
    <w:rsid w:val="383C09C6"/>
    <w:rsid w:val="385B0E4C"/>
    <w:rsid w:val="38704382"/>
    <w:rsid w:val="388B2F38"/>
    <w:rsid w:val="399D1B1E"/>
    <w:rsid w:val="3A046503"/>
    <w:rsid w:val="3A386160"/>
    <w:rsid w:val="3B35724B"/>
    <w:rsid w:val="3BB63ADA"/>
    <w:rsid w:val="3BDC4EDA"/>
    <w:rsid w:val="3C37498E"/>
    <w:rsid w:val="3C860462"/>
    <w:rsid w:val="3C94450B"/>
    <w:rsid w:val="3CD83A9C"/>
    <w:rsid w:val="3D051AB3"/>
    <w:rsid w:val="3D0D2931"/>
    <w:rsid w:val="3D13022E"/>
    <w:rsid w:val="3D9C0E9C"/>
    <w:rsid w:val="3DDE7B24"/>
    <w:rsid w:val="3E233D5C"/>
    <w:rsid w:val="3E353902"/>
    <w:rsid w:val="3E60285C"/>
    <w:rsid w:val="3E7A6E5F"/>
    <w:rsid w:val="3E807399"/>
    <w:rsid w:val="3E923BF9"/>
    <w:rsid w:val="3E941C4F"/>
    <w:rsid w:val="3EA3148D"/>
    <w:rsid w:val="3ED454B4"/>
    <w:rsid w:val="3F0A4EA1"/>
    <w:rsid w:val="3F487C50"/>
    <w:rsid w:val="3F814E1B"/>
    <w:rsid w:val="3FC65745"/>
    <w:rsid w:val="3FCE3BC4"/>
    <w:rsid w:val="40274071"/>
    <w:rsid w:val="405D1A2A"/>
    <w:rsid w:val="407F405E"/>
    <w:rsid w:val="409370B0"/>
    <w:rsid w:val="40D41902"/>
    <w:rsid w:val="410F0A26"/>
    <w:rsid w:val="41643E8E"/>
    <w:rsid w:val="41884B35"/>
    <w:rsid w:val="41EE72A3"/>
    <w:rsid w:val="423849B8"/>
    <w:rsid w:val="435F746A"/>
    <w:rsid w:val="4372309F"/>
    <w:rsid w:val="44093E52"/>
    <w:rsid w:val="444E5D13"/>
    <w:rsid w:val="446F3136"/>
    <w:rsid w:val="44790C24"/>
    <w:rsid w:val="453A628D"/>
    <w:rsid w:val="45CF0C25"/>
    <w:rsid w:val="45DD7715"/>
    <w:rsid w:val="47503B46"/>
    <w:rsid w:val="476F2CBE"/>
    <w:rsid w:val="47C562E2"/>
    <w:rsid w:val="47C81344"/>
    <w:rsid w:val="480A1F47"/>
    <w:rsid w:val="483B0352"/>
    <w:rsid w:val="488A3088"/>
    <w:rsid w:val="48A44DA9"/>
    <w:rsid w:val="48DF1625"/>
    <w:rsid w:val="48F078C5"/>
    <w:rsid w:val="49320965"/>
    <w:rsid w:val="49382AE4"/>
    <w:rsid w:val="49AC2E6D"/>
    <w:rsid w:val="4A3F3154"/>
    <w:rsid w:val="4A4562D3"/>
    <w:rsid w:val="4A52328E"/>
    <w:rsid w:val="4B050440"/>
    <w:rsid w:val="4B227F62"/>
    <w:rsid w:val="4B6545C2"/>
    <w:rsid w:val="4BBC369E"/>
    <w:rsid w:val="4CD60F91"/>
    <w:rsid w:val="4CEC4659"/>
    <w:rsid w:val="4D493511"/>
    <w:rsid w:val="4DF21FC2"/>
    <w:rsid w:val="4DF932EA"/>
    <w:rsid w:val="4E201C1D"/>
    <w:rsid w:val="4E3B35B6"/>
    <w:rsid w:val="4E473770"/>
    <w:rsid w:val="4E7A34EC"/>
    <w:rsid w:val="4E861641"/>
    <w:rsid w:val="4FAB04B3"/>
    <w:rsid w:val="4FB426AD"/>
    <w:rsid w:val="4FEE2DC9"/>
    <w:rsid w:val="4FFD050B"/>
    <w:rsid w:val="51346287"/>
    <w:rsid w:val="51850890"/>
    <w:rsid w:val="519F1DA4"/>
    <w:rsid w:val="525210BA"/>
    <w:rsid w:val="52A90328"/>
    <w:rsid w:val="52DC3333"/>
    <w:rsid w:val="53036690"/>
    <w:rsid w:val="53376A7B"/>
    <w:rsid w:val="533D001D"/>
    <w:rsid w:val="537441A1"/>
    <w:rsid w:val="53B1020C"/>
    <w:rsid w:val="54065481"/>
    <w:rsid w:val="557169CF"/>
    <w:rsid w:val="557D5D2A"/>
    <w:rsid w:val="55A41C2D"/>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667F53"/>
    <w:rsid w:val="5FE2771E"/>
    <w:rsid w:val="600E6D7C"/>
    <w:rsid w:val="60710045"/>
    <w:rsid w:val="607F1E09"/>
    <w:rsid w:val="60BD2923"/>
    <w:rsid w:val="618C2692"/>
    <w:rsid w:val="622D31D4"/>
    <w:rsid w:val="62A74B0A"/>
    <w:rsid w:val="62E015B0"/>
    <w:rsid w:val="63510510"/>
    <w:rsid w:val="639D4CC6"/>
    <w:rsid w:val="63E64CB7"/>
    <w:rsid w:val="63FC0E86"/>
    <w:rsid w:val="642053CC"/>
    <w:rsid w:val="646A5DEF"/>
    <w:rsid w:val="646F5EF6"/>
    <w:rsid w:val="649C7F73"/>
    <w:rsid w:val="65785E0F"/>
    <w:rsid w:val="658A75F4"/>
    <w:rsid w:val="65A77A9E"/>
    <w:rsid w:val="65CF7A95"/>
    <w:rsid w:val="663E3C02"/>
    <w:rsid w:val="66A23F66"/>
    <w:rsid w:val="672526A7"/>
    <w:rsid w:val="67966D54"/>
    <w:rsid w:val="680D3662"/>
    <w:rsid w:val="68222C97"/>
    <w:rsid w:val="68333F9A"/>
    <w:rsid w:val="683858D3"/>
    <w:rsid w:val="68645FE7"/>
    <w:rsid w:val="69413090"/>
    <w:rsid w:val="69855FCD"/>
    <w:rsid w:val="69BC17E8"/>
    <w:rsid w:val="69DD77FF"/>
    <w:rsid w:val="6AE37CE3"/>
    <w:rsid w:val="6B0625EA"/>
    <w:rsid w:val="6B5442BA"/>
    <w:rsid w:val="6C593408"/>
    <w:rsid w:val="6C68544B"/>
    <w:rsid w:val="6C6E6699"/>
    <w:rsid w:val="6C785167"/>
    <w:rsid w:val="6D0715D4"/>
    <w:rsid w:val="6D0953E8"/>
    <w:rsid w:val="6DDB2C74"/>
    <w:rsid w:val="6E0E0C0F"/>
    <w:rsid w:val="6E8E7670"/>
    <w:rsid w:val="6EEB0447"/>
    <w:rsid w:val="6FAF3250"/>
    <w:rsid w:val="6FC71762"/>
    <w:rsid w:val="70312E6C"/>
    <w:rsid w:val="703F6560"/>
    <w:rsid w:val="70447D0C"/>
    <w:rsid w:val="70725ED5"/>
    <w:rsid w:val="70B362F9"/>
    <w:rsid w:val="70DA1A4E"/>
    <w:rsid w:val="70FC3328"/>
    <w:rsid w:val="71653340"/>
    <w:rsid w:val="71F347D3"/>
    <w:rsid w:val="71FC098F"/>
    <w:rsid w:val="72415D05"/>
    <w:rsid w:val="7296241B"/>
    <w:rsid w:val="732A300A"/>
    <w:rsid w:val="733A5527"/>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7846D70"/>
    <w:rsid w:val="781E668F"/>
    <w:rsid w:val="788C166D"/>
    <w:rsid w:val="78AC0934"/>
    <w:rsid w:val="78BD4DDD"/>
    <w:rsid w:val="78E700F4"/>
    <w:rsid w:val="78EE7B24"/>
    <w:rsid w:val="7907377A"/>
    <w:rsid w:val="792E7F96"/>
    <w:rsid w:val="793B1352"/>
    <w:rsid w:val="79AB21E7"/>
    <w:rsid w:val="79CC501C"/>
    <w:rsid w:val="79F12DE4"/>
    <w:rsid w:val="7B0E17E2"/>
    <w:rsid w:val="7B3E48AE"/>
    <w:rsid w:val="7C6203C7"/>
    <w:rsid w:val="7CB47DAA"/>
    <w:rsid w:val="7D076A17"/>
    <w:rsid w:val="7D462131"/>
    <w:rsid w:val="7DC974CD"/>
    <w:rsid w:val="7E4B00B1"/>
    <w:rsid w:val="7E4B7C9A"/>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rPr>
      <w:rFonts w:ascii="宋体" w:hAnsi="宋体" w:eastAsia="宋体" w:cs="宋体"/>
      <w:sz w:val="31"/>
      <w:szCs w:val="31"/>
      <w:lang w:val="en-US" w:eastAsia="en-US" w:bidi="ar-SA"/>
    </w:rPr>
  </w:style>
  <w:style w:type="paragraph" w:styleId="7">
    <w:name w:val="Body Text Indent"/>
    <w:basedOn w:val="1"/>
    <w:qFormat/>
    <w:uiPriority w:val="99"/>
    <w:pPr>
      <w:spacing w:after="120" w:afterLines="0"/>
      <w:ind w:left="420" w:leftChars="200"/>
    </w:pPr>
    <w:rPr>
      <w:kern w:val="2"/>
      <w:sz w:val="21"/>
      <w:lang w:eastAsia="zh-CN" w:bidi="ar-SA"/>
    </w:rPr>
  </w:style>
  <w:style w:type="paragraph" w:styleId="8">
    <w:name w:val="Plain Text"/>
    <w:basedOn w:val="1"/>
    <w:qFormat/>
    <w:uiPriority w:val="0"/>
    <w:rPr>
      <w:rFonts w:ascii="宋体" w:hAnsi="Courier New" w:cs="Courier New"/>
      <w:szCs w:val="21"/>
    </w:rPr>
  </w:style>
  <w:style w:type="paragraph" w:styleId="9">
    <w:name w:val="Date"/>
    <w:basedOn w:val="1"/>
    <w:next w:val="1"/>
    <w:qFormat/>
    <w:uiPriority w:val="0"/>
    <w:rPr>
      <w:kern w:val="2"/>
      <w:sz w:val="21"/>
      <w:lang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envelope return"/>
    <w:basedOn w:val="1"/>
    <w:qFormat/>
    <w:uiPriority w:val="0"/>
    <w:pPr>
      <w:snapToGrid w:val="0"/>
    </w:pPr>
    <w:rPr>
      <w:rFonts w:ascii="Arial" w:hAnsi="Arial"/>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snapToGrid w:val="0"/>
      <w:jc w:val="left"/>
    </w:pPr>
    <w:rPr>
      <w:sz w:val="18"/>
      <w:szCs w:val="18"/>
    </w:rPr>
  </w:style>
  <w:style w:type="paragraph" w:styleId="14">
    <w:name w:val="Body Text 2"/>
    <w:basedOn w:val="1"/>
    <w:qFormat/>
    <w:uiPriority w:val="0"/>
    <w:pPr>
      <w:spacing w:after="120" w:line="480" w:lineRule="auto"/>
    </w:pPr>
    <w:rPr>
      <w:rFonts w:ascii="Tahoma" w:hAnsi="Tahoma"/>
    </w:rPr>
  </w:style>
  <w:style w:type="paragraph" w:styleId="15">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7"/>
    <w:next w:val="1"/>
    <w:qFormat/>
    <w:uiPriority w:val="0"/>
    <w:pPr>
      <w:ind w:firstLine="200" w:firstLineChars="200"/>
    </w:pPr>
    <w:rPr>
      <w:kern w:val="2"/>
      <w:sz w:val="28"/>
      <w:lang w:eastAsia="zh-CN" w:bidi="ar-SA"/>
    </w:rPr>
  </w:style>
  <w:style w:type="character" w:styleId="20">
    <w:name w:val="FollowedHyperlink"/>
    <w:basedOn w:val="19"/>
    <w:qFormat/>
    <w:uiPriority w:val="0"/>
    <w:rPr>
      <w:color w:val="444444"/>
      <w:sz w:val="16"/>
      <w:szCs w:val="16"/>
      <w:u w:val="none"/>
    </w:rPr>
  </w:style>
  <w:style w:type="character" w:styleId="21">
    <w:name w:val="Hyperlink"/>
    <w:basedOn w:val="19"/>
    <w:qFormat/>
    <w:uiPriority w:val="0"/>
    <w:rPr>
      <w:color w:val="0000FF"/>
      <w:u w:val="single"/>
    </w:r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自动更正"/>
    <w:qFormat/>
    <w:uiPriority w:val="99"/>
    <w:pPr>
      <w:widowControl w:val="0"/>
    </w:pPr>
    <w:rPr>
      <w:rFonts w:ascii="Times New Roman" w:hAnsi="Times New Roman" w:eastAsia="宋体" w:cs="Times New Roman"/>
      <w:kern w:val="2"/>
      <w:sz w:val="24"/>
      <w:szCs w:val="24"/>
      <w:lang w:val="en-US" w:eastAsia="zh-CN"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Arial" w:hAnsi="Arial" w:eastAsia="Arial" w:cs="Arial"/>
      <w:sz w:val="21"/>
      <w:szCs w:val="21"/>
      <w:lang w:val="en-US" w:eastAsia="en-US" w:bidi="ar-SA"/>
    </w:rPr>
  </w:style>
  <w:style w:type="paragraph" w:customStyle="1" w:styleId="26">
    <w:name w:val="Default"/>
    <w:next w:val="1"/>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7">
    <w:name w:val="Char Char10 Char Char Char Char"/>
    <w:basedOn w:val="1"/>
    <w:next w:val="28"/>
    <w:qFormat/>
    <w:uiPriority w:val="99"/>
    <w:pPr>
      <w:autoSpaceDE w:val="0"/>
      <w:autoSpaceDN w:val="0"/>
      <w:jc w:val="left"/>
    </w:pPr>
    <w:rPr>
      <w:rFonts w:ascii="宋体" w:hAnsi="宋体" w:cs="宋体"/>
      <w:lang w:val="zh-CN" w:bidi="zh-CN"/>
    </w:rPr>
  </w:style>
  <w:style w:type="paragraph" w:customStyle="1" w:styleId="28">
    <w:name w:val="xl87"/>
    <w:basedOn w:val="1"/>
    <w:next w:val="29"/>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9"/>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19"/>
    <w:qFormat/>
    <w:uiPriority w:val="0"/>
  </w:style>
  <w:style w:type="paragraph" w:customStyle="1" w:styleId="32">
    <w:name w:val="列出段落1"/>
    <w:basedOn w:val="1"/>
    <w:qFormat/>
    <w:uiPriority w:val="0"/>
    <w:pPr>
      <w:ind w:firstLine="420" w:firstLineChars="200"/>
    </w:pPr>
    <w:rPr>
      <w:szCs w:val="21"/>
    </w:rPr>
  </w:style>
  <w:style w:type="paragraph" w:customStyle="1" w:styleId="33">
    <w:name w:val="样式1"/>
    <w:basedOn w:val="1"/>
    <w:qFormat/>
    <w:uiPriority w:val="0"/>
    <w:pPr>
      <w:spacing w:line="240" w:lineRule="auto"/>
      <w:jc w:val="both"/>
    </w:pPr>
    <w:rPr>
      <w:rFonts w:ascii="宋体"/>
      <w:sz w:val="21"/>
      <w:szCs w:val="21"/>
    </w:rPr>
  </w:style>
  <w:style w:type="character" w:customStyle="1" w:styleId="34">
    <w:name w:val="font3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68</Pages>
  <Words>38555</Words>
  <Characters>42551</Characters>
  <TotalTime>15</TotalTime>
  <ScaleCrop>false</ScaleCrop>
  <LinksUpToDate>false</LinksUpToDate>
  <CharactersWithSpaces>43758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2025-10-13T09:15:30Z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15D959EAA37E4F8E88ECCDF288322F70_13</vt:lpwstr>
  </property>
  <property fmtid="{D5CDD505-2E9C-101B-9397-08002B2CF9AE}" pid="6" name="KSOTemplateDocerSaveRecord">
    <vt:lpwstr>eyJoZGlkIjoiYTUyM2UwYjBmYzc3YmM3ZjI1ODg2NTk3ZGJhZGNiNGIiLCJ1c2VySWQiOiI0MTY3MTE2MDgifQ==</vt:lpwstr>
  </property>
</Properties>
</file>