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BF92">
      <w:pPr>
        <w:kinsoku/>
        <w:wordWrap w:val="0"/>
        <w:spacing w:line="360" w:lineRule="auto"/>
        <w:jc w:val="both"/>
        <w:rPr>
          <w:rFonts w:hint="eastAsia" w:asciiTheme="minorEastAsia" w:hAnsiTheme="minorEastAsia" w:eastAsiaTheme="minorEastAsia" w:cstheme="minorEastAsia"/>
          <w:spacing w:val="-17"/>
          <w:sz w:val="48"/>
          <w:szCs w:val="48"/>
          <w:lang w:val="zh-CN" w:eastAsia="zh-CN"/>
        </w:rPr>
      </w:pPr>
    </w:p>
    <w:p w14:paraId="42BA8512">
      <w:pPr>
        <w:kinsoku/>
        <w:wordWrap w:val="0"/>
        <w:spacing w:line="360" w:lineRule="auto"/>
        <w:jc w:val="center"/>
        <w:rPr>
          <w:rFonts w:asciiTheme="minorEastAsia" w:hAnsiTheme="minorEastAsia" w:eastAsiaTheme="minorEastAsia" w:cstheme="minorEastAsia"/>
          <w:spacing w:val="-3"/>
          <w:sz w:val="52"/>
          <w:szCs w:val="52"/>
          <w:lang w:eastAsia="zh-CN"/>
        </w:rPr>
      </w:pPr>
      <w:r>
        <w:rPr>
          <w:rFonts w:hint="eastAsia" w:asciiTheme="minorEastAsia" w:hAnsiTheme="minorEastAsia" w:eastAsiaTheme="minorEastAsia" w:cstheme="minorEastAsia"/>
          <w:spacing w:val="-17"/>
          <w:sz w:val="48"/>
          <w:szCs w:val="48"/>
          <w:lang w:val="zh-CN" w:eastAsia="zh-CN"/>
        </w:rPr>
        <w:t>淅川县九重镇邹庄村草莓产业发展配套项目</w:t>
      </w:r>
    </w:p>
    <w:p w14:paraId="1611287E">
      <w:pPr>
        <w:kinsoku/>
        <w:wordWrap w:val="0"/>
        <w:spacing w:line="316"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lang w:eastAsia="zh-CN"/>
        </w:rPr>
      </w:pPr>
    </w:p>
    <w:p w14:paraId="1AC69849">
      <w:pPr>
        <w:kinsoku/>
        <w:wordWrap w:val="0"/>
        <w:spacing w:line="317" w:lineRule="auto"/>
        <w:jc w:val="both"/>
        <w:rPr>
          <w:rFonts w:asciiTheme="minorEastAsia" w:hAnsiTheme="minorEastAsia" w:eastAsiaTheme="minorEastAsia" w:cstheme="minorEastAsia"/>
          <w:lang w:eastAsia="zh-CN"/>
        </w:rPr>
      </w:pPr>
    </w:p>
    <w:p w14:paraId="6730910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379EF5D3">
      <w:pPr>
        <w:pStyle w:val="17"/>
        <w:ind w:left="0" w:leftChars="0" w:firstLine="0" w:firstLineChars="0"/>
        <w:rPr>
          <w:rFonts w:asciiTheme="minorEastAsia" w:hAnsiTheme="minorEastAsia" w:eastAsiaTheme="minorEastAsia" w:cstheme="minorEastAsia"/>
          <w:b/>
          <w:bCs/>
          <w:spacing w:val="-17"/>
          <w:sz w:val="36"/>
          <w:szCs w:val="36"/>
        </w:rPr>
      </w:pPr>
    </w:p>
    <w:p w14:paraId="62658BB7">
      <w:pPr>
        <w:rPr>
          <w:rFonts w:asciiTheme="minorEastAsia" w:hAnsiTheme="minorEastAsia" w:eastAsiaTheme="minorEastAsia" w:cstheme="minorEastAsia"/>
          <w:b/>
          <w:bCs/>
          <w:spacing w:val="-17"/>
          <w:sz w:val="36"/>
          <w:szCs w:val="36"/>
          <w:lang w:eastAsia="zh-CN"/>
        </w:rPr>
      </w:pPr>
    </w:p>
    <w:p w14:paraId="65B6153D">
      <w:pPr>
        <w:pStyle w:val="2"/>
        <w:ind w:firstLine="310"/>
        <w:rPr>
          <w:lang w:eastAsia="zh-CN"/>
        </w:rPr>
      </w:pPr>
    </w:p>
    <w:p w14:paraId="218BDC46">
      <w:pPr>
        <w:kinsoku/>
        <w:wordWrap w:val="0"/>
        <w:spacing w:line="360" w:lineRule="auto"/>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lang w:val="en-US" w:eastAsia="zh-CN"/>
        </w:rPr>
        <w:t>淅川县九重镇邹庄村草莓产业发展配套项目</w:t>
      </w:r>
    </w:p>
    <w:p w14:paraId="639DF944">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lang w:val="en-US" w:eastAsia="zh-CN"/>
        </w:rPr>
        <w:t>淅财招标采购-2025-199</w:t>
      </w:r>
    </w:p>
    <w:p w14:paraId="02ED9AE9">
      <w:pPr>
        <w:kinsoku/>
        <w:wordWrap w:val="0"/>
        <w:spacing w:line="360" w:lineRule="auto"/>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lang w:val="en-US" w:eastAsia="zh-CN"/>
        </w:rPr>
        <w:t>淅财招标采购-2025-199-1</w:t>
      </w:r>
    </w:p>
    <w:p w14:paraId="79010EE5">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采购人：淅川县</w:t>
      </w:r>
      <w:r>
        <w:rPr>
          <w:rFonts w:hint="eastAsia" w:asciiTheme="minorEastAsia" w:hAnsiTheme="minorEastAsia" w:eastAsiaTheme="minorEastAsia" w:cstheme="minorEastAsia"/>
          <w:b/>
          <w:bCs/>
          <w:spacing w:val="-17"/>
          <w:sz w:val="32"/>
          <w:szCs w:val="32"/>
          <w:lang w:val="en-US" w:eastAsia="zh-CN"/>
        </w:rPr>
        <w:t>九重</w:t>
      </w:r>
      <w:r>
        <w:rPr>
          <w:rFonts w:hint="eastAsia" w:asciiTheme="minorEastAsia" w:hAnsiTheme="minorEastAsia" w:eastAsiaTheme="minorEastAsia" w:cstheme="minorEastAsia"/>
          <w:b/>
          <w:bCs/>
          <w:spacing w:val="-17"/>
          <w:sz w:val="32"/>
          <w:szCs w:val="32"/>
          <w:lang w:eastAsia="zh-CN"/>
        </w:rPr>
        <w:t>镇人民政府</w:t>
      </w:r>
    </w:p>
    <w:p w14:paraId="7D29EC3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采购代理机构：淅川县盛淅工程咨询有限公司</w:t>
      </w:r>
    </w:p>
    <w:p w14:paraId="6D003CBB">
      <w:pPr>
        <w:pStyle w:val="2"/>
        <w:ind w:left="0" w:leftChars="0" w:firstLine="0" w:firstLineChars="0"/>
        <w:rPr>
          <w:rFonts w:hint="default"/>
          <w:lang w:val="en-US" w:eastAsia="zh-CN"/>
        </w:rPr>
      </w:pPr>
      <w:r>
        <w:rPr>
          <w:rFonts w:hint="eastAsia" w:asciiTheme="minorEastAsia" w:hAnsiTheme="minorEastAsia" w:eastAsiaTheme="minorEastAsia" w:cstheme="minorEastAsia"/>
          <w:b/>
          <w:bCs/>
          <w:spacing w:val="-17"/>
          <w:sz w:val="32"/>
          <w:szCs w:val="32"/>
          <w:lang w:val="en-US" w:eastAsia="zh-CN"/>
        </w:rPr>
        <w:t>日期：二〇二五年十一月</w:t>
      </w:r>
    </w:p>
    <w:p w14:paraId="0EBE6CB6">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spacing w:val="-17"/>
          <w:sz w:val="32"/>
          <w:szCs w:val="32"/>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1CAF29EE">
          <w:pPr>
            <w:pStyle w:val="3"/>
            <w:kinsoku/>
            <w:wordWrap w:val="0"/>
            <w:spacing w:before="353" w:line="222" w:lineRule="auto"/>
            <w:ind w:left="3716"/>
            <w:jc w:val="both"/>
            <w:rPr>
              <w:rFonts w:hint="eastAsia" w:asciiTheme="minorEastAsia" w:hAnsiTheme="minorEastAsia" w:eastAsiaTheme="minorEastAsia" w:cstheme="minorEastAsia"/>
              <w:sz w:val="21"/>
              <w:szCs w:val="21"/>
            </w:rPr>
          </w:pPr>
        </w:p>
        <w:p w14:paraId="2C6F4E5B">
          <w:pPr>
            <w:pStyle w:val="3"/>
            <w:kinsoku/>
            <w:wordWrap w:val="0"/>
            <w:spacing w:before="353" w:line="222" w:lineRule="auto"/>
            <w:ind w:left="3716"/>
            <w:jc w:val="both"/>
            <w:rPr>
              <w:rFonts w:hint="eastAsia" w:asciiTheme="minorEastAsia" w:hAnsiTheme="minorEastAsia" w:eastAsiaTheme="minorEastAsia" w:cstheme="minorEastAsia"/>
              <w:sz w:val="21"/>
              <w:szCs w:val="21"/>
            </w:rPr>
          </w:pPr>
        </w:p>
        <w:p w14:paraId="6E7B4B85">
          <w:pPr>
            <w:pStyle w:val="3"/>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rPr>
            <w:t>目录</w:t>
          </w:r>
        </w:p>
        <w:p w14:paraId="6E63607D">
          <w:pPr>
            <w:pStyle w:val="3"/>
            <w:kinsoku/>
            <w:wordWrap w:val="0"/>
            <w:jc w:val="both"/>
            <w:rPr>
              <w:shd w:val="clear" w:color="FFFFFF" w:fill="D9D9D9"/>
              <w:lang w:eastAsia="zh-CN"/>
            </w:rPr>
          </w:pPr>
        </w:p>
        <w:p w14:paraId="00729CA8">
          <w:pPr>
            <w:pStyle w:val="3"/>
            <w:kinsoku/>
            <w:wordWrap w:val="0"/>
            <w:spacing w:line="360" w:lineRule="auto"/>
            <w:jc w:val="both"/>
            <w:rPr>
              <w:sz w:val="28"/>
              <w:szCs w:val="28"/>
              <w:lang w:eastAsia="zh-CN"/>
            </w:rPr>
          </w:pPr>
          <w:r>
            <w:rPr>
              <w:rFonts w:hint="eastAsia"/>
              <w:sz w:val="28"/>
              <w:szCs w:val="28"/>
              <w:lang w:eastAsia="zh-CN"/>
            </w:rPr>
            <w:t>第一章公开招标公告</w:t>
          </w:r>
        </w:p>
        <w:p w14:paraId="3219A3E2">
          <w:pPr>
            <w:pStyle w:val="3"/>
            <w:kinsoku/>
            <w:wordWrap w:val="0"/>
            <w:spacing w:line="360" w:lineRule="auto"/>
            <w:jc w:val="both"/>
            <w:rPr>
              <w:sz w:val="28"/>
              <w:szCs w:val="28"/>
              <w:lang w:eastAsia="zh-CN"/>
            </w:rPr>
          </w:pPr>
          <w:r>
            <w:rPr>
              <w:rFonts w:hint="eastAsia"/>
              <w:sz w:val="28"/>
              <w:szCs w:val="28"/>
              <w:lang w:eastAsia="zh-CN"/>
            </w:rPr>
            <w:t>第二章采购需求</w:t>
          </w:r>
        </w:p>
        <w:p w14:paraId="2C5528F5">
          <w:pPr>
            <w:pStyle w:val="3"/>
            <w:kinsoku/>
            <w:wordWrap w:val="0"/>
            <w:spacing w:line="360" w:lineRule="auto"/>
            <w:jc w:val="both"/>
            <w:rPr>
              <w:sz w:val="28"/>
              <w:szCs w:val="28"/>
              <w:lang w:eastAsia="zh-CN"/>
            </w:rPr>
          </w:pPr>
          <w:r>
            <w:rPr>
              <w:rFonts w:hint="eastAsia"/>
              <w:sz w:val="28"/>
              <w:szCs w:val="28"/>
              <w:lang w:eastAsia="zh-CN"/>
            </w:rPr>
            <w:t>第三章投标人须知</w:t>
          </w:r>
        </w:p>
        <w:p w14:paraId="7A4AFCC3">
          <w:pPr>
            <w:pStyle w:val="3"/>
            <w:kinsoku/>
            <w:wordWrap w:val="0"/>
            <w:spacing w:line="360" w:lineRule="auto"/>
            <w:jc w:val="both"/>
            <w:rPr>
              <w:sz w:val="28"/>
              <w:szCs w:val="28"/>
              <w:lang w:eastAsia="zh-CN"/>
            </w:rPr>
          </w:pPr>
          <w:r>
            <w:rPr>
              <w:rFonts w:hint="eastAsia"/>
              <w:sz w:val="28"/>
              <w:szCs w:val="28"/>
              <w:lang w:eastAsia="zh-CN"/>
            </w:rPr>
            <w:t>第四章开、评标程序、评标方法和评标标准</w:t>
          </w:r>
        </w:p>
        <w:p w14:paraId="0D6AAD0C">
          <w:pPr>
            <w:pStyle w:val="3"/>
            <w:kinsoku/>
            <w:wordWrap w:val="0"/>
            <w:spacing w:line="360" w:lineRule="auto"/>
            <w:jc w:val="both"/>
            <w:rPr>
              <w:sz w:val="28"/>
              <w:szCs w:val="28"/>
              <w:lang w:eastAsia="zh-CN"/>
            </w:rPr>
          </w:pPr>
          <w:r>
            <w:rPr>
              <w:rFonts w:hint="eastAsia"/>
              <w:sz w:val="28"/>
              <w:szCs w:val="28"/>
              <w:lang w:eastAsia="zh-CN"/>
            </w:rPr>
            <w:t>第五章政府采购合同（草案）</w:t>
          </w:r>
        </w:p>
        <w:p w14:paraId="345DD5F1">
          <w:pPr>
            <w:pStyle w:val="3"/>
            <w:kinsoku/>
            <w:wordWrap w:val="0"/>
            <w:spacing w:line="360" w:lineRule="auto"/>
            <w:jc w:val="both"/>
            <w:rPr>
              <w:sz w:val="28"/>
              <w:szCs w:val="28"/>
              <w:lang w:eastAsia="zh-CN"/>
            </w:rPr>
          </w:pPr>
          <w:r>
            <w:rPr>
              <w:rFonts w:hint="eastAsia"/>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sz w:val="24"/>
          <w:szCs w:val="24"/>
          <w:lang w:eastAsia="zh-CN"/>
        </w:rPr>
      </w:pPr>
    </w:p>
    <w:p w14:paraId="510585EF">
      <w:pPr>
        <w:kinsoku/>
        <w:wordWrap w:val="0"/>
        <w:spacing w:line="219" w:lineRule="auto"/>
        <w:jc w:val="both"/>
        <w:rPr>
          <w:rFonts w:asciiTheme="minorEastAsia" w:hAnsiTheme="minorEastAsia" w:eastAsiaTheme="minorEastAsia" w:cstheme="minorEastAsia"/>
          <w:sz w:val="24"/>
          <w:szCs w:val="24"/>
          <w:lang w:eastAsia="zh-CN"/>
        </w:rPr>
      </w:pPr>
    </w:p>
    <w:p w14:paraId="036252F0">
      <w:pPr>
        <w:kinsoku/>
        <w:wordWrap w:val="0"/>
        <w:spacing w:line="219" w:lineRule="auto"/>
        <w:jc w:val="both"/>
        <w:rPr>
          <w:rFonts w:asciiTheme="minorEastAsia" w:hAnsiTheme="minorEastAsia" w:eastAsiaTheme="minorEastAsia" w:cstheme="minorEastAsia"/>
          <w:sz w:val="24"/>
          <w:szCs w:val="24"/>
          <w:lang w:eastAsia="zh-CN"/>
        </w:rPr>
      </w:pPr>
    </w:p>
    <w:p w14:paraId="1D46B2F7">
      <w:pPr>
        <w:kinsoku/>
        <w:wordWrap w:val="0"/>
        <w:spacing w:line="219" w:lineRule="auto"/>
        <w:jc w:val="both"/>
        <w:rPr>
          <w:rFonts w:asciiTheme="minorEastAsia" w:hAnsiTheme="minorEastAsia" w:eastAsiaTheme="minorEastAsia" w:cstheme="minorEastAsia"/>
          <w:sz w:val="24"/>
          <w:szCs w:val="24"/>
          <w:lang w:eastAsia="zh-CN"/>
        </w:rPr>
      </w:pPr>
    </w:p>
    <w:p w14:paraId="1DA559B8">
      <w:pPr>
        <w:kinsoku/>
        <w:wordWrap w:val="0"/>
        <w:spacing w:line="219" w:lineRule="auto"/>
        <w:jc w:val="both"/>
        <w:rPr>
          <w:rFonts w:asciiTheme="minorEastAsia" w:hAnsiTheme="minorEastAsia" w:eastAsiaTheme="minorEastAsia" w:cstheme="minorEastAsia"/>
          <w:sz w:val="24"/>
          <w:szCs w:val="24"/>
          <w:lang w:eastAsia="zh-CN"/>
        </w:rPr>
      </w:pPr>
    </w:p>
    <w:p w14:paraId="11AB60A8">
      <w:pPr>
        <w:kinsoku/>
        <w:wordWrap w:val="0"/>
        <w:spacing w:line="219" w:lineRule="auto"/>
        <w:jc w:val="both"/>
        <w:rPr>
          <w:rFonts w:asciiTheme="minorEastAsia" w:hAnsiTheme="minorEastAsia" w:eastAsiaTheme="minorEastAsia" w:cstheme="minorEastAsia"/>
          <w:sz w:val="24"/>
          <w:szCs w:val="24"/>
          <w:lang w:eastAsia="zh-CN"/>
        </w:rPr>
      </w:pPr>
    </w:p>
    <w:p w14:paraId="303EE8D1">
      <w:pPr>
        <w:kinsoku/>
        <w:wordWrap w:val="0"/>
        <w:spacing w:line="219" w:lineRule="auto"/>
        <w:jc w:val="both"/>
        <w:rPr>
          <w:rFonts w:asciiTheme="minorEastAsia" w:hAnsiTheme="minorEastAsia" w:eastAsiaTheme="minorEastAsia" w:cstheme="minorEastAsia"/>
          <w:sz w:val="24"/>
          <w:szCs w:val="24"/>
          <w:lang w:eastAsia="zh-CN"/>
        </w:rPr>
      </w:pPr>
    </w:p>
    <w:p w14:paraId="7D85CDE9">
      <w:pPr>
        <w:kinsoku/>
        <w:wordWrap w:val="0"/>
        <w:spacing w:line="219" w:lineRule="auto"/>
        <w:jc w:val="both"/>
        <w:rPr>
          <w:rFonts w:asciiTheme="minorEastAsia" w:hAnsiTheme="minorEastAsia" w:eastAsiaTheme="minorEastAsia" w:cstheme="minorEastAsia"/>
          <w:sz w:val="24"/>
          <w:szCs w:val="24"/>
          <w:lang w:eastAsia="zh-CN"/>
        </w:rPr>
      </w:pPr>
    </w:p>
    <w:p w14:paraId="1676F7C8">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1A2297FA">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837330">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39DCBDB7">
      <w:pPr>
        <w:pStyle w:val="31"/>
        <w:rPr>
          <w:rFonts w:asciiTheme="minorEastAsia" w:hAnsiTheme="minorEastAsia" w:eastAsiaTheme="minorEastAsia" w:cstheme="minorEastAsia"/>
          <w:spacing w:val="-1"/>
          <w:sz w:val="36"/>
          <w:szCs w:val="36"/>
          <w:lang w:eastAsia="zh-CN"/>
        </w:rPr>
      </w:pPr>
    </w:p>
    <w:p w14:paraId="3E2697F5">
      <w:pPr>
        <w:rPr>
          <w:lang w:eastAsia="zh-CN"/>
        </w:rPr>
      </w:pPr>
    </w:p>
    <w:p w14:paraId="31D9CFA8">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474CBA96">
      <w:pPr>
        <w:pStyle w:val="3"/>
        <w:kinsoku/>
        <w:wordWrap w:val="0"/>
        <w:spacing w:before="353" w:line="360" w:lineRule="auto"/>
        <w:jc w:val="both"/>
        <w:rPr>
          <w:rFonts w:asciiTheme="minorEastAsia" w:hAnsiTheme="minorEastAsia" w:eastAsiaTheme="minorEastAsia" w:cstheme="minorEastAsia"/>
          <w:spacing w:val="-1"/>
          <w:sz w:val="36"/>
          <w:szCs w:val="36"/>
          <w:lang w:eastAsia="zh-CN"/>
        </w:rPr>
      </w:pPr>
    </w:p>
    <w:p w14:paraId="353B951D">
      <w:pPr>
        <w:pStyle w:val="3"/>
        <w:keepNext w:val="0"/>
        <w:keepLines w:val="0"/>
        <w:pageBreakBefore w:val="0"/>
        <w:kinsoku/>
        <w:wordWrap w:val="0"/>
        <w:overflowPunct/>
        <w:topLinePunct w:val="0"/>
        <w:bidi w:val="0"/>
        <w:spacing w:before="353" w:line="600" w:lineRule="exact"/>
        <w:jc w:val="center"/>
        <w:rPr>
          <w:spacing w:val="-6"/>
          <w:sz w:val="36"/>
          <w:szCs w:val="36"/>
          <w:lang w:eastAsia="zh-CN"/>
        </w:rPr>
      </w:pPr>
      <w:r>
        <w:rPr>
          <w:rFonts w:hint="eastAsia" w:asciiTheme="minorEastAsia" w:hAnsiTheme="minorEastAsia" w:eastAsiaTheme="minorEastAsia" w:cstheme="minorEastAsia"/>
          <w:spacing w:val="-1"/>
          <w:sz w:val="36"/>
          <w:szCs w:val="36"/>
          <w:lang w:val="en-US" w:eastAsia="zh-CN"/>
        </w:rPr>
        <w:t>淅川县九重镇邹庄村草莓产业发展配套项目</w:t>
      </w:r>
      <w:r>
        <w:rPr>
          <w:rFonts w:hint="eastAsia" w:asciiTheme="minorEastAsia" w:hAnsiTheme="minorEastAsia" w:eastAsiaTheme="minorEastAsia" w:cstheme="minorEastAsia"/>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600" w:lineRule="exact"/>
        <w:rPr>
          <w:rFonts w:asciiTheme="minorEastAsia" w:hAnsiTheme="minorEastAsia" w:eastAsiaTheme="minorEastAsia" w:cstheme="minorEastAsia"/>
          <w:b/>
          <w:bCs/>
          <w:color w:val="333333"/>
          <w:shd w:val="clear" w:color="auto" w:fill="FFFFFF"/>
          <w:lang w:eastAsia="zh-CN"/>
        </w:rPr>
      </w:pPr>
      <w:r>
        <w:rPr>
          <w:rFonts w:hint="eastAsia" w:asciiTheme="minorEastAsia" w:hAnsiTheme="minorEastAsia" w:eastAsiaTheme="minorEastAsia" w:cstheme="minorEastAsia"/>
          <w:b/>
          <w:bCs/>
          <w:color w:val="333333"/>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lang w:eastAsia="zh-CN"/>
        </w:rPr>
        <w:t>淅川县九重镇人民政府</w:t>
      </w:r>
      <w:r>
        <w:rPr>
          <w:rFonts w:hint="eastAsia" w:asciiTheme="minorEastAsia" w:hAnsiTheme="minorEastAsia" w:eastAsiaTheme="minorEastAsia" w:cstheme="minorEastAsia"/>
          <w:lang w:val="en-US" w:eastAsia="zh-CN"/>
        </w:rPr>
        <w:t>淅川县九重镇邹庄村草莓产业发展配套项目</w:t>
      </w:r>
      <w:r>
        <w:rPr>
          <w:rFonts w:hint="eastAsia" w:asciiTheme="minorEastAsia" w:hAnsiTheme="minorEastAsia" w:eastAsiaTheme="minorEastAsia" w:cstheme="minorEastAsia"/>
          <w:lang w:eastAsia="zh-CN"/>
        </w:rPr>
        <w:t>的潜在投标人应在南阳市公共资源交易中心电子交易系统淅川区（http://ggzyjy.xichuan.gov.cn/</w:t>
      </w:r>
      <w:r>
        <w:rPr>
          <w:rFonts w:hint="eastAsia" w:asciiTheme="minorEastAsia" w:hAnsiTheme="minorEastAsia" w:eastAsiaTheme="minorEastAsia" w:cstheme="minorEastAsia"/>
          <w:highlight w:val="none"/>
          <w:lang w:eastAsia="zh-CN"/>
        </w:rPr>
        <w:t>）获取招标文件，并于</w:t>
      </w:r>
      <w:r>
        <w:rPr>
          <w:rFonts w:hint="eastAsia" w:asciiTheme="minorEastAsia" w:hAnsiTheme="minorEastAsia" w:eastAsiaTheme="minorEastAsia" w:cstheme="minorEastAsia"/>
          <w:color w:val="auto"/>
          <w:highlight w:val="yellow"/>
          <w:lang w:val="en-US" w:eastAsia="zh-CN"/>
        </w:rPr>
        <w:t>2025年12月2日9时00分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一、项目基本情况</w:t>
      </w:r>
    </w:p>
    <w:p w14:paraId="3679903F">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1、项目编号：</w:t>
      </w:r>
      <w:r>
        <w:rPr>
          <w:rFonts w:hint="eastAsia" w:asciiTheme="minorEastAsia" w:hAnsiTheme="minorEastAsia" w:eastAsiaTheme="minorEastAsia" w:cstheme="minorEastAsia"/>
          <w:lang w:val="en-US" w:eastAsia="zh-CN"/>
        </w:rPr>
        <w:t>淅财招标采购-2025-199</w:t>
      </w:r>
    </w:p>
    <w:p w14:paraId="292EE484">
      <w:pPr>
        <w:keepNext w:val="0"/>
        <w:keepLines w:val="0"/>
        <w:pageBreakBefore w:val="0"/>
        <w:widowControl/>
        <w:wordWrap/>
        <w:overflowPunct/>
        <w:topLinePunct w:val="0"/>
        <w:bidi w:val="0"/>
        <w:adjustRightInd/>
        <w:snapToGrid/>
        <w:spacing w:line="600" w:lineRule="exact"/>
        <w:ind w:firstLine="21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2、项目名称：淅川县九重镇邹庄村草莓产业发展配套项目</w:t>
      </w:r>
    </w:p>
    <w:p w14:paraId="660A68F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333333"/>
          <w:shd w:val="clear" w:color="auto" w:fill="FFFFFF"/>
          <w:lang w:eastAsia="zh-CN"/>
        </w:rPr>
      </w:pPr>
      <w:r>
        <w:rPr>
          <w:rFonts w:hint="eastAsia" w:asciiTheme="minorEastAsia" w:hAnsiTheme="minorEastAsia" w:eastAsiaTheme="minorEastAsia" w:cstheme="minorEastAsia"/>
          <w:lang w:eastAsia="zh-CN"/>
        </w:rPr>
        <w:t>3、采购方式：公开招标</w:t>
      </w:r>
    </w:p>
    <w:p w14:paraId="59B105E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color w:val="auto"/>
          <w:lang w:eastAsia="zh-CN"/>
        </w:rPr>
        <w:t>、预算金额：</w:t>
      </w:r>
      <w:r>
        <w:rPr>
          <w:rFonts w:hint="eastAsia" w:asciiTheme="minorEastAsia" w:hAnsiTheme="minorEastAsia" w:eastAsiaTheme="minorEastAsia" w:cstheme="minorEastAsia"/>
          <w:color w:val="auto"/>
          <w:lang w:val="en-US" w:eastAsia="zh-CN"/>
        </w:rPr>
        <w:t>2911673.32</w:t>
      </w:r>
      <w:r>
        <w:rPr>
          <w:rFonts w:hint="eastAsia" w:asciiTheme="minorEastAsia" w:hAnsiTheme="minorEastAsia" w:eastAsiaTheme="minorEastAsia" w:cstheme="minorEastAsia"/>
          <w:color w:val="auto"/>
          <w:lang w:eastAsia="zh-CN"/>
        </w:rPr>
        <w:t>元</w:t>
      </w:r>
    </w:p>
    <w:p w14:paraId="60BBFAC7">
      <w:pPr>
        <w:keepNext w:val="0"/>
        <w:keepLines w:val="0"/>
        <w:pageBreakBefore w:val="0"/>
        <w:widowControl/>
        <w:wordWrap/>
        <w:overflowPunct/>
        <w:topLinePunct w:val="0"/>
        <w:bidi w:val="0"/>
        <w:adjustRightInd/>
        <w:snapToGrid/>
        <w:spacing w:line="600" w:lineRule="exac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r>
        <w:rPr>
          <w:rFonts w:hint="eastAsia" w:asciiTheme="minorEastAsia" w:hAnsiTheme="minorEastAsia" w:eastAsiaTheme="minorEastAsia" w:cstheme="minorEastAsia"/>
          <w:color w:val="auto"/>
          <w:lang w:val="en-US" w:eastAsia="zh-CN"/>
        </w:rPr>
        <w:t>2911673.32</w:t>
      </w:r>
      <w:r>
        <w:rPr>
          <w:rFonts w:hint="eastAsia" w:asciiTheme="minorEastAsia" w:hAnsiTheme="minorEastAsia" w:eastAsiaTheme="minorEastAsia" w:cstheme="minorEastAsia"/>
          <w:color w:val="auto"/>
          <w:lang w:eastAsia="zh-CN"/>
        </w:rPr>
        <w:t>元</w:t>
      </w:r>
    </w:p>
    <w:tbl>
      <w:tblPr>
        <w:tblStyle w:val="18"/>
        <w:tblW w:w="50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1"/>
        <w:gridCol w:w="1316"/>
        <w:gridCol w:w="3514"/>
        <w:gridCol w:w="1475"/>
        <w:gridCol w:w="1555"/>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包预算</w:t>
            </w:r>
          </w:p>
          <w:p w14:paraId="2C625EB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包最高限价</w:t>
            </w:r>
          </w:p>
          <w:p w14:paraId="7D9EC8A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6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淅财招标采购-2025-199-1</w:t>
            </w:r>
          </w:p>
        </w:tc>
        <w:tc>
          <w:tcPr>
            <w:tcW w:w="2096" w:type="pct"/>
            <w:vAlign w:val="center"/>
          </w:tcPr>
          <w:p w14:paraId="2C1A314A">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淅川县九重镇邹庄村草莓产业发展配套项目第1标段</w:t>
            </w:r>
          </w:p>
        </w:tc>
        <w:tc>
          <w:tcPr>
            <w:tcW w:w="879" w:type="pct"/>
            <w:vAlign w:val="center"/>
          </w:tcPr>
          <w:p w14:paraId="2888CF35">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2911673.32  </w:t>
            </w:r>
          </w:p>
        </w:tc>
        <w:tc>
          <w:tcPr>
            <w:tcW w:w="927" w:type="pct"/>
            <w:vAlign w:val="center"/>
          </w:tcPr>
          <w:p w14:paraId="2E45BAA8">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2911673.32</w:t>
            </w:r>
          </w:p>
        </w:tc>
      </w:tr>
    </w:tbl>
    <w:p w14:paraId="06E7E108">
      <w:pPr>
        <w:pStyle w:val="41"/>
        <w:keepNext w:val="0"/>
        <w:keepLines w:val="0"/>
        <w:pageBreakBefore w:val="0"/>
        <w:widowControl/>
        <w:tabs>
          <w:tab w:val="left" w:pos="1191"/>
        </w:tabs>
        <w:wordWrap/>
        <w:overflowPunct/>
        <w:topLinePunct w:val="0"/>
        <w:bidi w:val="0"/>
        <w:adjustRightInd/>
        <w:snapToGrid/>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5、采购需求（包括但不限于标的的名称、数量、简要技术需求或服务要求等）：</w:t>
      </w:r>
    </w:p>
    <w:p w14:paraId="27E0C5E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sz w:val="22"/>
          <w:szCs w:val="22"/>
          <w:lang w:eastAsia="zh-CN"/>
        </w:rPr>
        <w:t>5.1、招标内容</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10丝PO膜、8丝PO膜、6丝PO膜、水泥板、卡簧、搅膜器、压膜绳、棚膜卡扣；</w:t>
      </w:r>
    </w:p>
    <w:p w14:paraId="372722A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5.4、</w:t>
      </w:r>
      <w:r>
        <w:rPr>
          <w:rFonts w:hint="eastAsia" w:asciiTheme="minorEastAsia" w:hAnsiTheme="minorEastAsia" w:eastAsiaTheme="minorEastAsia" w:cstheme="minorEastAsia"/>
          <w:color w:val="FF0000"/>
          <w:sz w:val="22"/>
          <w:szCs w:val="22"/>
          <w:lang w:eastAsia="zh-CN"/>
        </w:rPr>
        <w:t>供货期：合同签订后</w:t>
      </w:r>
      <w:r>
        <w:rPr>
          <w:rFonts w:hint="eastAsia" w:asciiTheme="minorEastAsia" w:hAnsiTheme="minorEastAsia" w:eastAsiaTheme="minorEastAsia" w:cstheme="minorEastAsia"/>
          <w:color w:val="FF0000"/>
          <w:sz w:val="22"/>
          <w:szCs w:val="22"/>
          <w:lang w:val="en-US" w:eastAsia="zh-CN"/>
        </w:rPr>
        <w:t xml:space="preserve"> 60 </w:t>
      </w:r>
      <w:r>
        <w:rPr>
          <w:rFonts w:hint="eastAsia" w:asciiTheme="minorEastAsia" w:hAnsiTheme="minorEastAsia" w:eastAsiaTheme="minorEastAsia" w:cstheme="minorEastAsia"/>
          <w:color w:val="FF0000"/>
          <w:sz w:val="22"/>
          <w:szCs w:val="22"/>
          <w:lang w:eastAsia="zh-CN"/>
        </w:rPr>
        <w:t>日历天</w:t>
      </w:r>
    </w:p>
    <w:p w14:paraId="6671027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p>
    <w:p w14:paraId="1AB3C30C">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6、合同履行期限：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eastAsia="zh-CN"/>
        </w:rPr>
        <w:t>同供货期</w:t>
      </w:r>
    </w:p>
    <w:p w14:paraId="549137DC">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7、本项目是否接受联合体投标：否</w:t>
      </w:r>
    </w:p>
    <w:p w14:paraId="3A0FE0F2">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asciiTheme="minorEastAsia" w:hAnsiTheme="minorEastAsia" w:eastAsiaTheme="minorEastAsia" w:cstheme="minorEastAsia"/>
          <w:sz w:val="22"/>
          <w:szCs w:val="22"/>
          <w:lang w:eastAsia="zh-CN"/>
        </w:rPr>
        <w:t>8、是否接受进口产品：否</w:t>
      </w:r>
    </w:p>
    <w:p w14:paraId="06E3B9AF">
      <w:pPr>
        <w:pStyle w:val="3"/>
        <w:keepNext w:val="0"/>
        <w:keepLines w:val="0"/>
        <w:pageBreakBefore w:val="0"/>
        <w:widowControl/>
        <w:wordWrap/>
        <w:overflowPunct/>
        <w:topLinePunct w:val="0"/>
        <w:bidi w:val="0"/>
        <w:spacing w:line="600" w:lineRule="exact"/>
        <w:ind w:firstLine="220" w:firstLineChars="100"/>
        <w:rPr>
          <w:rFonts w:hint="default" w:asciiTheme="minorEastAsia" w:hAnsiTheme="minorEastAsia" w:eastAsiaTheme="minorEastAsia" w:cstheme="minorEastAsia"/>
          <w:sz w:val="22"/>
          <w:szCs w:val="22"/>
          <w:lang w:val="en-US" w:eastAsia="zh-CN"/>
        </w:rPr>
      </w:pPr>
      <w:r>
        <w:rPr>
          <w:rFonts w:asciiTheme="minorEastAsia" w:hAnsiTheme="minorEastAsia" w:eastAsiaTheme="minorEastAsia" w:cstheme="minorEastAsia"/>
          <w:sz w:val="22"/>
          <w:szCs w:val="22"/>
          <w:lang w:eastAsia="zh-CN"/>
        </w:rPr>
        <w:t>9、</w:t>
      </w:r>
      <w:r>
        <w:rPr>
          <w:rFonts w:asciiTheme="minorEastAsia" w:hAnsiTheme="minorEastAsia" w:eastAsiaTheme="minorEastAsia" w:cstheme="minorEastAsia"/>
          <w:color w:val="FF0000"/>
          <w:sz w:val="22"/>
          <w:szCs w:val="22"/>
          <w:lang w:eastAsia="zh-CN"/>
        </w:rPr>
        <w:t>是否专门面向中小企业：</w:t>
      </w:r>
      <w:r>
        <w:rPr>
          <w:rFonts w:hint="eastAsia" w:asciiTheme="minorEastAsia" w:hAnsiTheme="minorEastAsia" w:eastAsiaTheme="minorEastAsia" w:cstheme="minorEastAsia"/>
          <w:color w:val="FF0000"/>
          <w:sz w:val="22"/>
          <w:szCs w:val="22"/>
          <w:lang w:val="en-US" w:eastAsia="zh-CN"/>
        </w:rPr>
        <w:t>是</w:t>
      </w:r>
    </w:p>
    <w:p w14:paraId="22D646A6">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2、落实政府采购政策满足的资格要求：</w:t>
      </w:r>
    </w:p>
    <w:p w14:paraId="0523A5A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本项目执行促进中小型企业发展政策（残疾人福利性企业、监狱企业视同小微企业）</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7"/>
      </w:tblGrid>
      <w:tr w14:paraId="2DEA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6D9E7C9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default" w:asciiTheme="minorEastAsia" w:hAnsiTheme="minorEastAsia" w:eastAsiaTheme="minorEastAsia" w:cstheme="minorEastAsia"/>
                <w:sz w:val="22"/>
                <w:szCs w:val="22"/>
                <w:lang w:val="en-US" w:eastAsia="zh-CN"/>
              </w:rPr>
              <w:t>3、本项目的特定资格要求</w:t>
            </w:r>
          </w:p>
        </w:tc>
      </w:tr>
      <w:tr w14:paraId="2514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8307" w:type="dxa"/>
            <w:shd w:val="clear" w:color="auto" w:fill="auto"/>
            <w:tcMar>
              <w:top w:w="0" w:type="dxa"/>
              <w:left w:w="0" w:type="dxa"/>
              <w:bottom w:w="0" w:type="dxa"/>
              <w:right w:w="0" w:type="dxa"/>
            </w:tcMar>
            <w:vAlign w:val="center"/>
          </w:tcPr>
          <w:p w14:paraId="2F5554E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default" w:asciiTheme="minorEastAsia" w:hAnsiTheme="minorEastAsia" w:eastAsiaTheme="minorEastAsia" w:cstheme="minorEastAsia"/>
                <w:color w:val="auto"/>
                <w:sz w:val="22"/>
                <w:szCs w:val="22"/>
                <w:lang w:val="en-US" w:eastAsia="zh-CN"/>
              </w:rPr>
              <w:t>3.1注册于中华人民共和国境内，具有独立承担民事责任能力，持有有效的营业执照；</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3.3具有履行合同所必需的设备和专业技术能力（提供承诺函，格式自拟）；</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3.5参加政府采购活动前三年内，在经营活动中没有重大违法记录</w:t>
            </w:r>
            <w:r>
              <w:rPr>
                <w:rFonts w:hint="eastAsia" w:asciiTheme="minorEastAsia" w:hAnsiTheme="minorEastAsia" w:eastAsiaTheme="minorEastAsia" w:cstheme="minorEastAsia"/>
                <w:color w:val="auto"/>
                <w:sz w:val="22"/>
                <w:szCs w:val="22"/>
                <w:lang w:val="en-US" w:eastAsia="zh-CN"/>
              </w:rPr>
              <w:t>。</w:t>
            </w:r>
          </w:p>
          <w:p w14:paraId="7F4E851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eastAsia="zh-CN"/>
              </w:rPr>
            </w:pPr>
            <w:r>
              <w:rPr>
                <w:rFonts w:hint="default" w:asciiTheme="minorEastAsia" w:hAnsiTheme="minorEastAsia" w:eastAsiaTheme="minorEastAsia" w:cstheme="minorEastAsia"/>
                <w:color w:val="auto"/>
                <w:sz w:val="22"/>
                <w:szCs w:val="22"/>
                <w:lang w:val="en-US" w:eastAsia="zh-CN"/>
              </w:rPr>
              <w:t>3.6投标人需提供无行贿犯罪记录承诺函（承诺对象包括：投标人、法定代表人、委托代理人）,并对其真实性负责，若承诺不实，造成的后果由投标人自行负责（格式自拟）；</w:t>
            </w:r>
          </w:p>
        </w:tc>
      </w:tr>
    </w:tbl>
    <w:p w14:paraId="4FEABBF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根据《关于在政府采购活动中查询及使用信用记录有关问题的通知》(财库(2016)125号)的规定，对列入失信被执行人、重大税收违法失信主体名单、政府</w:t>
      </w:r>
      <w:r>
        <w:rPr>
          <w:rFonts w:hint="eastAsia" w:asciiTheme="minorEastAsia" w:hAnsiTheme="minorEastAsia" w:eastAsiaTheme="minorEastAsia" w:cstheme="minorEastAsia"/>
          <w:color w:val="auto"/>
          <w:sz w:val="22"/>
          <w:szCs w:val="22"/>
          <w:lang w:val="en-US" w:eastAsia="zh-CN"/>
        </w:rPr>
        <w:t>采购</w:t>
      </w:r>
      <w:r>
        <w:rPr>
          <w:rFonts w:hint="eastAsia" w:asciiTheme="minorEastAsia" w:hAnsiTheme="minorEastAsia" w:eastAsiaTheme="minorEastAsia" w:cstheme="minorEastAsia"/>
          <w:color w:val="auto"/>
          <w:sz w:val="22"/>
          <w:szCs w:val="22"/>
          <w:lang w:eastAsia="zh-CN"/>
        </w:rPr>
        <w:t>严重违法失信行为记录名单的供应商，拒绝参与本项目政府采购活动【查询渠道:“信用中国”网站(www.creditchina.gov.cn)、中国政府采购网(www.ccgp.gov.cn)】，查询时间为发布公告之日起到投标截止时间;</w:t>
      </w:r>
    </w:p>
    <w:p w14:paraId="72D9ACF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lang w:eastAsia="zh-CN"/>
        </w:rPr>
        <w:t>本项目不接受联合体投标，不得分包转包。</w:t>
      </w:r>
    </w:p>
    <w:p w14:paraId="57124C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1BE98E7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lang w:eastAsia="zh-CN"/>
        </w:rPr>
        <w:t>本项目中标/成交结果公示时，同时公示中标/成交人诚信库信息，接受社会监督。</w:t>
      </w:r>
    </w:p>
    <w:p w14:paraId="4B8CC57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600" w:lineRule="exact"/>
        <w:ind w:right="255" w:firstLine="360"/>
        <w:jc w:val="left"/>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yellow"/>
          <w:lang w:val="en-US" w:eastAsia="zh-CN"/>
        </w:rPr>
        <w:t>2025年11月12日</w:t>
      </w:r>
      <w:r>
        <w:rPr>
          <w:rFonts w:hint="eastAsia" w:asciiTheme="minorEastAsia" w:hAnsiTheme="minorEastAsia" w:eastAsiaTheme="minorEastAsia" w:cstheme="minorEastAsia"/>
          <w:sz w:val="22"/>
          <w:szCs w:val="22"/>
          <w:highlight w:val="yellow"/>
          <w:lang w:eastAsia="zh-CN"/>
        </w:rPr>
        <w:t>至</w:t>
      </w:r>
      <w:r>
        <w:rPr>
          <w:rFonts w:hint="eastAsia" w:asciiTheme="minorEastAsia" w:hAnsiTheme="minorEastAsia" w:eastAsiaTheme="minorEastAsia" w:cstheme="minorEastAsia"/>
          <w:sz w:val="22"/>
          <w:szCs w:val="22"/>
          <w:highlight w:val="yellow"/>
          <w:lang w:val="en-US" w:eastAsia="zh-CN"/>
        </w:rPr>
        <w:t>2025</w:t>
      </w:r>
      <w:r>
        <w:rPr>
          <w:rFonts w:hint="eastAsia" w:asciiTheme="minorEastAsia" w:hAnsiTheme="minorEastAsia" w:eastAsiaTheme="minorEastAsia" w:cstheme="minorEastAsia"/>
          <w:sz w:val="22"/>
          <w:szCs w:val="22"/>
          <w:highlight w:val="yellow"/>
          <w:lang w:eastAsia="zh-CN"/>
        </w:rPr>
        <w:t>年</w:t>
      </w:r>
      <w:r>
        <w:rPr>
          <w:rFonts w:hint="eastAsia" w:asciiTheme="minorEastAsia" w:hAnsiTheme="minorEastAsia" w:eastAsiaTheme="minorEastAsia" w:cstheme="minorEastAsia"/>
          <w:sz w:val="22"/>
          <w:szCs w:val="22"/>
          <w:highlight w:val="yellow"/>
          <w:lang w:val="en-US" w:eastAsia="zh-CN"/>
        </w:rPr>
        <w:t>12</w:t>
      </w:r>
      <w:r>
        <w:rPr>
          <w:rFonts w:hint="eastAsia" w:asciiTheme="minorEastAsia" w:hAnsiTheme="minorEastAsia" w:eastAsiaTheme="minorEastAsia" w:cstheme="minorEastAsia"/>
          <w:sz w:val="22"/>
          <w:szCs w:val="22"/>
          <w:highlight w:val="yellow"/>
          <w:lang w:eastAsia="zh-CN"/>
        </w:rPr>
        <w:t>月</w:t>
      </w:r>
      <w:r>
        <w:rPr>
          <w:rFonts w:hint="eastAsia" w:asciiTheme="minorEastAsia" w:hAnsiTheme="minorEastAsia" w:eastAsiaTheme="minorEastAsia" w:cstheme="minorEastAsia"/>
          <w:sz w:val="22"/>
          <w:szCs w:val="22"/>
          <w:highlight w:val="yellow"/>
          <w:lang w:val="en-US" w:eastAsia="zh-CN"/>
        </w:rPr>
        <w:t>1</w:t>
      </w:r>
      <w:r>
        <w:rPr>
          <w:rFonts w:hint="eastAsia" w:asciiTheme="minorEastAsia" w:hAnsiTheme="minorEastAsia" w:eastAsiaTheme="minorEastAsia" w:cstheme="minorEastAsia"/>
          <w:sz w:val="22"/>
          <w:szCs w:val="22"/>
          <w:highlight w:val="yellow"/>
          <w:lang w:eastAsia="zh-CN"/>
        </w:rPr>
        <w:t>日，</w:t>
      </w:r>
      <w:r>
        <w:rPr>
          <w:rFonts w:hint="eastAsia" w:asciiTheme="minorEastAsia" w:hAnsiTheme="minorEastAsia" w:eastAsiaTheme="minorEastAsia" w:cstheme="minorEastAsia"/>
          <w:sz w:val="22"/>
          <w:szCs w:val="22"/>
          <w:highlight w:val="none"/>
          <w:lang w:eastAsia="zh-CN"/>
        </w:rPr>
        <w:t>每天上</w:t>
      </w:r>
      <w:r>
        <w:rPr>
          <w:rFonts w:hint="eastAsia" w:asciiTheme="minorEastAsia" w:hAnsiTheme="minorEastAsia" w:eastAsiaTheme="minorEastAsia" w:cstheme="minorEastAsia"/>
          <w:sz w:val="22"/>
          <w:szCs w:val="22"/>
          <w:lang w:eastAsia="zh-CN"/>
        </w:rPr>
        <w:t>午09:00至12:00，下午12:00至1</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lang w:eastAsia="zh-CN"/>
        </w:rPr>
        <w:t>0。</w:t>
      </w:r>
    </w:p>
    <w:p w14:paraId="67F651C3">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w:t>
      </w:r>
      <w:r>
        <w:rPr>
          <w:rFonts w:hint="eastAsia" w:asciiTheme="minorEastAsia" w:hAnsiTheme="minorEastAsia" w:eastAsiaTheme="minorEastAsia" w:cstheme="minorEastAsia"/>
          <w:sz w:val="22"/>
          <w:szCs w:val="22"/>
          <w:highlight w:val="yellow"/>
          <w:lang w:eastAsia="zh-CN"/>
        </w:rPr>
        <w:t>2025年</w:t>
      </w:r>
      <w:r>
        <w:rPr>
          <w:rFonts w:hint="eastAsia" w:asciiTheme="minorEastAsia" w:hAnsiTheme="minorEastAsia" w:eastAsiaTheme="minorEastAsia" w:cstheme="minorEastAsia"/>
          <w:sz w:val="22"/>
          <w:szCs w:val="22"/>
          <w:highlight w:val="yellow"/>
          <w:lang w:val="en-US" w:eastAsia="zh-CN"/>
        </w:rPr>
        <w:t>12</w:t>
      </w:r>
      <w:r>
        <w:rPr>
          <w:rFonts w:hint="eastAsia" w:asciiTheme="minorEastAsia" w:hAnsiTheme="minorEastAsia" w:eastAsiaTheme="minorEastAsia" w:cstheme="minorEastAsia"/>
          <w:sz w:val="22"/>
          <w:szCs w:val="22"/>
          <w:highlight w:val="yellow"/>
          <w:lang w:eastAsia="zh-CN"/>
        </w:rPr>
        <w:t>月</w:t>
      </w:r>
      <w:r>
        <w:rPr>
          <w:rFonts w:hint="eastAsia" w:asciiTheme="minorEastAsia" w:hAnsiTheme="minorEastAsia" w:eastAsiaTheme="minorEastAsia" w:cstheme="minorEastAsia"/>
          <w:sz w:val="22"/>
          <w:szCs w:val="22"/>
          <w:highlight w:val="yellow"/>
          <w:lang w:val="en-US" w:eastAsia="zh-CN"/>
        </w:rPr>
        <w:t>2</w:t>
      </w:r>
      <w:r>
        <w:rPr>
          <w:rFonts w:hint="eastAsia" w:asciiTheme="minorEastAsia" w:hAnsiTheme="minorEastAsia" w:eastAsiaTheme="minorEastAsia" w:cstheme="minorEastAsia"/>
          <w:sz w:val="22"/>
          <w:szCs w:val="22"/>
          <w:highlight w:val="yellow"/>
          <w:lang w:eastAsia="zh-CN"/>
        </w:rPr>
        <w:t>日</w:t>
      </w:r>
      <w:r>
        <w:rPr>
          <w:rFonts w:hint="eastAsia" w:asciiTheme="minorEastAsia" w:hAnsiTheme="minorEastAsia" w:eastAsiaTheme="minorEastAsia" w:cstheme="minorEastAsia"/>
          <w:sz w:val="22"/>
          <w:szCs w:val="22"/>
          <w:highlight w:val="yellow"/>
          <w:lang w:val="en-US" w:eastAsia="zh-CN"/>
        </w:rPr>
        <w:t xml:space="preserve">9 </w:t>
      </w:r>
      <w:r>
        <w:rPr>
          <w:rFonts w:hint="eastAsia" w:asciiTheme="minorEastAsia" w:hAnsiTheme="minorEastAsia" w:eastAsiaTheme="minorEastAsia" w:cstheme="minorEastAsia"/>
          <w:sz w:val="22"/>
          <w:szCs w:val="22"/>
          <w:highlight w:val="yellow"/>
          <w:lang w:eastAsia="zh-CN"/>
        </w:rPr>
        <w:t>时</w:t>
      </w:r>
      <w:r>
        <w:rPr>
          <w:rFonts w:hint="eastAsia" w:asciiTheme="minorEastAsia" w:hAnsiTheme="minorEastAsia" w:eastAsiaTheme="minorEastAsia" w:cstheme="minorEastAsia"/>
          <w:sz w:val="22"/>
          <w:szCs w:val="22"/>
          <w:highlight w:val="yellow"/>
          <w:lang w:val="en-US" w:eastAsia="zh-CN"/>
        </w:rPr>
        <w:t>00</w:t>
      </w:r>
      <w:r>
        <w:rPr>
          <w:rFonts w:hint="eastAsia" w:asciiTheme="minorEastAsia" w:hAnsiTheme="minorEastAsia" w:eastAsiaTheme="minorEastAsia" w:cstheme="minorEastAsia"/>
          <w:sz w:val="22"/>
          <w:szCs w:val="22"/>
          <w:highlight w:val="yellow"/>
          <w:lang w:eastAsia="zh-CN"/>
        </w:rPr>
        <w:t>分</w:t>
      </w:r>
      <w:r>
        <w:rPr>
          <w:rFonts w:hint="eastAsia" w:asciiTheme="minorEastAsia" w:hAnsiTheme="minorEastAsia" w:eastAsiaTheme="minorEastAsia" w:cstheme="minorEastAsia"/>
          <w:sz w:val="22"/>
          <w:szCs w:val="22"/>
          <w:lang w:eastAsia="zh-CN"/>
        </w:rPr>
        <w:t>（北京时间）</w:t>
      </w:r>
    </w:p>
    <w:p w14:paraId="2A31A0D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1.时间：</w:t>
      </w:r>
      <w:r>
        <w:rPr>
          <w:rFonts w:hint="eastAsia" w:asciiTheme="minorEastAsia" w:hAnsiTheme="minorEastAsia" w:eastAsiaTheme="minorEastAsia" w:cstheme="minorEastAsia"/>
          <w:sz w:val="22"/>
          <w:szCs w:val="22"/>
          <w:highlight w:val="yellow"/>
          <w:lang w:eastAsia="zh-CN"/>
        </w:rPr>
        <w:t>2025年</w:t>
      </w:r>
      <w:r>
        <w:rPr>
          <w:rFonts w:hint="eastAsia" w:asciiTheme="minorEastAsia" w:hAnsiTheme="minorEastAsia" w:eastAsiaTheme="minorEastAsia" w:cstheme="minorEastAsia"/>
          <w:sz w:val="22"/>
          <w:szCs w:val="22"/>
          <w:highlight w:val="yellow"/>
          <w:lang w:val="en-US" w:eastAsia="zh-CN"/>
        </w:rPr>
        <w:t>12</w:t>
      </w:r>
      <w:r>
        <w:rPr>
          <w:rFonts w:hint="eastAsia" w:asciiTheme="minorEastAsia" w:hAnsiTheme="minorEastAsia" w:eastAsiaTheme="minorEastAsia" w:cstheme="minorEastAsia"/>
          <w:sz w:val="22"/>
          <w:szCs w:val="22"/>
          <w:highlight w:val="yellow"/>
          <w:lang w:eastAsia="zh-CN"/>
        </w:rPr>
        <w:t>月</w:t>
      </w:r>
      <w:r>
        <w:rPr>
          <w:rFonts w:hint="eastAsia" w:asciiTheme="minorEastAsia" w:hAnsiTheme="minorEastAsia" w:eastAsiaTheme="minorEastAsia" w:cstheme="minorEastAsia"/>
          <w:sz w:val="22"/>
          <w:szCs w:val="22"/>
          <w:highlight w:val="yellow"/>
          <w:lang w:val="en-US" w:eastAsia="zh-CN"/>
        </w:rPr>
        <w:t>2</w:t>
      </w:r>
      <w:r>
        <w:rPr>
          <w:rFonts w:hint="eastAsia" w:asciiTheme="minorEastAsia" w:hAnsiTheme="minorEastAsia" w:eastAsiaTheme="minorEastAsia" w:cstheme="minorEastAsia"/>
          <w:sz w:val="22"/>
          <w:szCs w:val="22"/>
          <w:highlight w:val="yellow"/>
          <w:lang w:eastAsia="zh-CN"/>
        </w:rPr>
        <w:t>日</w:t>
      </w:r>
      <w:r>
        <w:rPr>
          <w:rFonts w:hint="eastAsia" w:asciiTheme="minorEastAsia" w:hAnsiTheme="minorEastAsia" w:eastAsiaTheme="minorEastAsia" w:cstheme="minorEastAsia"/>
          <w:sz w:val="22"/>
          <w:szCs w:val="22"/>
          <w:highlight w:val="yellow"/>
          <w:lang w:val="en-US" w:eastAsia="zh-CN"/>
        </w:rPr>
        <w:t xml:space="preserve">9 </w:t>
      </w:r>
      <w:r>
        <w:rPr>
          <w:rFonts w:hint="eastAsia" w:asciiTheme="minorEastAsia" w:hAnsiTheme="minorEastAsia" w:eastAsiaTheme="minorEastAsia" w:cstheme="minorEastAsia"/>
          <w:sz w:val="22"/>
          <w:szCs w:val="22"/>
          <w:highlight w:val="yellow"/>
          <w:lang w:eastAsia="zh-CN"/>
        </w:rPr>
        <w:t>时</w:t>
      </w:r>
      <w:r>
        <w:rPr>
          <w:rFonts w:hint="eastAsia" w:asciiTheme="minorEastAsia" w:hAnsiTheme="minorEastAsia" w:eastAsiaTheme="minorEastAsia" w:cstheme="minorEastAsia"/>
          <w:sz w:val="22"/>
          <w:szCs w:val="22"/>
          <w:highlight w:val="yellow"/>
          <w:lang w:val="en-US" w:eastAsia="zh-CN"/>
        </w:rPr>
        <w:t>00</w:t>
      </w:r>
      <w:r>
        <w:rPr>
          <w:rFonts w:hint="eastAsia" w:asciiTheme="minorEastAsia" w:hAnsiTheme="minorEastAsia" w:eastAsiaTheme="minorEastAsia" w:cstheme="minorEastAsia"/>
          <w:sz w:val="22"/>
          <w:szCs w:val="22"/>
          <w:highlight w:val="yellow"/>
          <w:lang w:eastAsia="zh-CN"/>
        </w:rPr>
        <w:t>分</w:t>
      </w:r>
      <w:r>
        <w:rPr>
          <w:rFonts w:hint="eastAsia" w:asciiTheme="minorEastAsia" w:hAnsiTheme="minorEastAsia" w:eastAsiaTheme="minorEastAsia" w:cstheme="minorEastAsia"/>
          <w:sz w:val="22"/>
          <w:szCs w:val="22"/>
          <w:highlight w:val="none"/>
          <w:lang w:eastAsia="zh-CN"/>
        </w:rPr>
        <w:t>（北京时间）</w:t>
      </w:r>
    </w:p>
    <w:p w14:paraId="3044A0B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sz w:val="22"/>
          <w:szCs w:val="22"/>
        </w:rPr>
        <w:t>附件：操作手册地址(下载专区中自行下载)、不见面开标大厅</w:t>
      </w:r>
      <w:r>
        <w:rPr>
          <w:rFonts w:hint="eastAsia" w:asciiTheme="minorEastAsia" w:hAnsiTheme="minorEastAsia" w:eastAsiaTheme="minorEastAsia" w:cstheme="minorEastAsia"/>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7、监督部</w:t>
      </w:r>
      <w:r>
        <w:rPr>
          <w:rFonts w:hint="eastAsia" w:asciiTheme="minorEastAsia" w:hAnsiTheme="minorEastAsia" w:eastAsiaTheme="minorEastAsia" w:cstheme="minorEastAsia"/>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八、凡对本次招标提出询问，请按照以下方式联系</w:t>
      </w:r>
    </w:p>
    <w:p w14:paraId="6177F98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eastAsia="zh-CN"/>
        </w:rPr>
        <w:t>招标人：淅川县九重镇人民政府</w:t>
      </w:r>
    </w:p>
    <w:p w14:paraId="6544CE9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 址：淅川县九重镇</w:t>
      </w:r>
    </w:p>
    <w:p w14:paraId="17BB395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郑先生</w:t>
      </w:r>
      <w:r>
        <w:rPr>
          <w:rFonts w:hint="eastAsia" w:asciiTheme="minorEastAsia" w:hAnsiTheme="minorEastAsia" w:eastAsiaTheme="minorEastAsia" w:cstheme="minorEastAsia"/>
          <w:sz w:val="22"/>
          <w:szCs w:val="22"/>
          <w:lang w:eastAsia="zh-CN"/>
        </w:rPr>
        <w:t>   </w:t>
      </w:r>
    </w:p>
    <w:p w14:paraId="226B1E4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电话：</w:t>
      </w:r>
      <w:r>
        <w:rPr>
          <w:rFonts w:hint="eastAsia" w:asciiTheme="minorEastAsia" w:hAnsiTheme="minorEastAsia" w:eastAsiaTheme="minorEastAsia" w:cstheme="minorEastAsia"/>
          <w:sz w:val="22"/>
          <w:szCs w:val="22"/>
          <w:lang w:val="en-US" w:eastAsia="zh-CN"/>
        </w:rPr>
        <w:t>16603777010</w:t>
      </w:r>
    </w:p>
    <w:p w14:paraId="6572C80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2.采购代理机构信息(如有)</w:t>
      </w:r>
    </w:p>
    <w:p w14:paraId="2693DBA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名称：淅川县盛淅工程咨询有限公司</w:t>
      </w:r>
    </w:p>
    <w:p w14:paraId="0BFA3EF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w:t>
      </w:r>
      <w:r>
        <w:rPr>
          <w:rFonts w:hint="eastAsia" w:asciiTheme="minorEastAsia" w:hAnsiTheme="minorEastAsia" w:eastAsiaTheme="minorEastAsia" w:cstheme="minorEastAsia"/>
          <w:sz w:val="22"/>
          <w:szCs w:val="22"/>
          <w:lang w:val="en-US" w:eastAsia="zh-CN"/>
        </w:rPr>
        <w:t>淅川县政通路</w:t>
      </w:r>
      <w:r>
        <w:rPr>
          <w:rFonts w:hint="eastAsia" w:ascii="宋体" w:hAnsi="宋体" w:eastAsia="宋体" w:cs="宋体"/>
          <w:snapToGrid/>
          <w:sz w:val="22"/>
          <w:szCs w:val="22"/>
          <w:lang w:val="en-US" w:eastAsia="zh-CN"/>
        </w:rPr>
        <w:t>盛世泽园淅兴公司2楼</w:t>
      </w:r>
    </w:p>
    <w:p w14:paraId="22A61FE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周先生</w:t>
      </w:r>
    </w:p>
    <w:p w14:paraId="6515C6BA">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联系方式：</w:t>
      </w:r>
      <w:r>
        <w:rPr>
          <w:rFonts w:hint="eastAsia" w:asciiTheme="minorEastAsia" w:hAnsiTheme="minorEastAsia" w:eastAsiaTheme="minorEastAsia" w:cstheme="minorEastAsia"/>
          <w:sz w:val="22"/>
          <w:szCs w:val="22"/>
          <w:lang w:val="en-US" w:eastAsia="zh-CN"/>
        </w:rPr>
        <w:t>18272777790</w:t>
      </w:r>
    </w:p>
    <w:p w14:paraId="5D31640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周先生</w:t>
      </w:r>
    </w:p>
    <w:p w14:paraId="39CE42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联系方式：</w:t>
      </w:r>
      <w:r>
        <w:rPr>
          <w:rFonts w:hint="eastAsia" w:asciiTheme="minorEastAsia" w:hAnsiTheme="minorEastAsia" w:eastAsiaTheme="minorEastAsia" w:cstheme="minorEastAsia"/>
          <w:sz w:val="22"/>
          <w:szCs w:val="22"/>
          <w:lang w:val="en-US" w:eastAsia="zh-CN"/>
        </w:rPr>
        <w:t>18272777790</w:t>
      </w:r>
    </w:p>
    <w:p w14:paraId="116B44B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p>
    <w:p w14:paraId="21DDAA82">
      <w:pPr>
        <w:keepNext w:val="0"/>
        <w:keepLines w:val="0"/>
        <w:pageBreakBefore w:val="0"/>
        <w:widowControl/>
        <w:wordWrap/>
        <w:overflowPunct/>
        <w:topLinePunct w:val="0"/>
        <w:bidi w:val="0"/>
        <w:spacing w:line="600" w:lineRule="exact"/>
        <w:rPr>
          <w:rFonts w:asciiTheme="minorEastAsia" w:hAnsiTheme="minorEastAsia" w:eastAsiaTheme="minorEastAsia" w:cstheme="minorEastAsia"/>
          <w:spacing w:val="-1"/>
          <w:sz w:val="36"/>
          <w:szCs w:val="36"/>
          <w:lang w:eastAsia="zh-CN"/>
        </w:rPr>
      </w:pPr>
    </w:p>
    <w:p w14:paraId="70AD57C8">
      <w:pPr>
        <w:pStyle w:val="3"/>
        <w:keepNext w:val="0"/>
        <w:keepLines w:val="0"/>
        <w:pageBreakBefore w:val="0"/>
        <w:kinsoku/>
        <w:wordWrap w:val="0"/>
        <w:overflowPunct/>
        <w:topLinePunct w:val="0"/>
        <w:bidi w:val="0"/>
        <w:spacing w:line="600" w:lineRule="exact"/>
        <w:jc w:val="center"/>
        <w:rPr>
          <w:rFonts w:hint="eastAsia" w:asciiTheme="minorEastAsia" w:hAnsiTheme="minorEastAsia" w:eastAsiaTheme="minorEastAsia" w:cstheme="minorEastAsia"/>
          <w:spacing w:val="-1"/>
          <w:sz w:val="36"/>
          <w:szCs w:val="36"/>
          <w:lang w:eastAsia="zh-CN"/>
        </w:rPr>
      </w:pPr>
    </w:p>
    <w:p w14:paraId="6BD4E1E8">
      <w:pPr>
        <w:pStyle w:val="3"/>
        <w:keepNext w:val="0"/>
        <w:keepLines w:val="0"/>
        <w:pageBreakBefore w:val="0"/>
        <w:kinsoku/>
        <w:wordWrap w:val="0"/>
        <w:overflowPunct/>
        <w:topLinePunct w:val="0"/>
        <w:bidi w:val="0"/>
        <w:spacing w:line="600" w:lineRule="exact"/>
        <w:jc w:val="center"/>
        <w:rPr>
          <w:rFonts w:hint="eastAsia" w:asciiTheme="minorEastAsia" w:hAnsiTheme="minorEastAsia" w:eastAsiaTheme="minorEastAsia" w:cstheme="minorEastAsia"/>
          <w:spacing w:val="-1"/>
          <w:sz w:val="36"/>
          <w:szCs w:val="36"/>
          <w:lang w:eastAsia="zh-CN"/>
        </w:rPr>
      </w:pPr>
    </w:p>
    <w:p w14:paraId="316A012F">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rPr>
        <w:t>第二章采购需求</w:t>
      </w:r>
    </w:p>
    <w:p w14:paraId="15494271">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15343086">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2.当采购项目涉及数据中心相关设备、运维服务时，采购需求应当符合《绿色数据中心政府采购需求标准（试行）》（财库〔2023〕7号）的有关要求。</w:t>
      </w:r>
    </w:p>
    <w:p w14:paraId="51417BA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3.当采购项目涉及政务信息系统时，采购需求应当符合《政务信息系统政府采购管理暂行办法》（财库〔2017〕210号）的相关要求。</w:t>
      </w:r>
    </w:p>
    <w:p w14:paraId="5BB8A4A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highlight w:val="yellow"/>
          <w:lang w:eastAsia="zh-CN"/>
        </w:rPr>
        <w:t>一、</w:t>
      </w:r>
      <w:r>
        <w:rPr>
          <w:rFonts w:hint="eastAsia" w:asciiTheme="minorEastAsia" w:hAnsiTheme="minorEastAsia" w:eastAsiaTheme="minorEastAsia" w:cstheme="minorEastAsia"/>
          <w:spacing w:val="1"/>
          <w:sz w:val="24"/>
          <w:szCs w:val="24"/>
          <w:highlight w:val="yellow"/>
          <w:lang w:val="en-US" w:eastAsia="zh-CN"/>
        </w:rPr>
        <w:t>本标段</w:t>
      </w:r>
      <w:r>
        <w:rPr>
          <w:rFonts w:hint="eastAsia" w:asciiTheme="minorEastAsia" w:hAnsiTheme="minorEastAsia" w:eastAsiaTheme="minorEastAsia" w:cstheme="minorEastAsia"/>
          <w:spacing w:val="1"/>
          <w:sz w:val="24"/>
          <w:szCs w:val="24"/>
          <w:highlight w:val="yellow"/>
          <w:lang w:eastAsia="zh-CN"/>
        </w:rPr>
        <w:t>采购内容及要求</w:t>
      </w:r>
    </w:p>
    <w:tbl>
      <w:tblPr>
        <w:tblStyle w:val="18"/>
        <w:tblW w:w="10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327"/>
        <w:gridCol w:w="1896"/>
        <w:gridCol w:w="1476"/>
        <w:gridCol w:w="952"/>
        <w:gridCol w:w="1120"/>
        <w:gridCol w:w="1060"/>
        <w:gridCol w:w="1060"/>
        <w:gridCol w:w="498"/>
        <w:gridCol w:w="498"/>
        <w:gridCol w:w="498"/>
      </w:tblGrid>
      <w:tr w14:paraId="4C92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0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项目名称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配置</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8"/>
                <w:szCs w:val="28"/>
                <w:u w:val="none"/>
                <w:lang w:val="en-US" w:eastAsia="zh-CN" w:bidi="ar"/>
              </w:rPr>
            </w:pPr>
            <w:r>
              <w:rPr>
                <w:rFonts w:hint="eastAsia" w:ascii="宋体" w:hAnsi="宋体" w:eastAsia="宋体" w:cs="宋体"/>
                <w:b/>
                <w:i w:val="0"/>
                <w:iCs w:val="0"/>
                <w:snapToGrid w:val="0"/>
                <w:color w:val="000000"/>
                <w:kern w:val="0"/>
                <w:sz w:val="28"/>
                <w:szCs w:val="28"/>
                <w:u w:val="none"/>
                <w:lang w:val="en-US" w:eastAsia="zh-CN" w:bidi="ar"/>
              </w:rPr>
              <w:t>数量</w:t>
            </w:r>
          </w:p>
          <w:p w14:paraId="5CFBB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w:t>
            </w:r>
            <w:r>
              <w:rPr>
                <w:rFonts w:ascii="宋体" w:hAnsi="宋体" w:eastAsia="宋体" w:cs="宋体"/>
                <w:b/>
                <w:i w:val="0"/>
                <w:iCs w:val="0"/>
                <w:snapToGrid w:val="0"/>
                <w:color w:val="000000"/>
                <w:kern w:val="0"/>
                <w:sz w:val="28"/>
                <w:szCs w:val="28"/>
                <w:u w:val="none"/>
                <w:lang w:val="en-US" w:eastAsia="zh-CN" w:bidi="ar"/>
              </w:rPr>
              <w:t>㎡</w:t>
            </w:r>
            <w:r>
              <w:rPr>
                <w:rFonts w:hint="eastAsia" w:ascii="宋体" w:hAnsi="宋体" w:eastAsia="宋体" w:cs="宋体"/>
                <w:b/>
                <w:i w:val="0"/>
                <w:iCs w:val="0"/>
                <w:snapToGrid w:val="0"/>
                <w:color w:val="000000"/>
                <w:kern w:val="0"/>
                <w:sz w:val="28"/>
                <w:szCs w:val="28"/>
                <w:u w:val="none"/>
                <w:lang w:val="en-US" w:eastAsia="zh-CN" w:bidi="ar"/>
              </w:rPr>
              <w:t>、个、米）</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重量/T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B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8"/>
                <w:szCs w:val="28"/>
                <w:u w:val="none"/>
                <w:lang w:val="en-US" w:eastAsia="zh-CN" w:bidi="ar"/>
              </w:rPr>
            </w:pPr>
            <w:r>
              <w:rPr>
                <w:rFonts w:hint="eastAsia" w:ascii="宋体" w:hAnsi="宋体" w:eastAsia="宋体" w:cs="宋体"/>
                <w:b/>
                <w:i w:val="0"/>
                <w:iCs w:val="0"/>
                <w:snapToGrid w:val="0"/>
                <w:color w:val="000000"/>
                <w:kern w:val="0"/>
                <w:sz w:val="28"/>
                <w:szCs w:val="28"/>
                <w:u w:val="none"/>
                <w:lang w:val="en-US" w:eastAsia="zh-CN" w:bidi="ar"/>
              </w:rPr>
              <w:t>材料费元</w:t>
            </w:r>
          </w:p>
          <w:p w14:paraId="24AE7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w:t>
            </w:r>
            <w:r>
              <w:rPr>
                <w:rFonts w:ascii="宋体" w:hAnsi="宋体" w:eastAsia="宋体" w:cs="宋体"/>
                <w:b/>
                <w:i w:val="0"/>
                <w:iCs w:val="0"/>
                <w:snapToGrid w:val="0"/>
                <w:color w:val="000000"/>
                <w:kern w:val="0"/>
                <w:sz w:val="28"/>
                <w:szCs w:val="28"/>
                <w:u w:val="none"/>
                <w:lang w:val="en-US" w:eastAsia="zh-CN" w:bidi="ar"/>
              </w:rPr>
              <w:t>㎡</w:t>
            </w:r>
            <w:r>
              <w:rPr>
                <w:rFonts w:hint="eastAsia" w:ascii="宋体" w:hAnsi="宋体" w:eastAsia="宋体" w:cs="宋体"/>
                <w:b/>
                <w:i w:val="0"/>
                <w:iCs w:val="0"/>
                <w:snapToGrid w:val="0"/>
                <w:color w:val="000000"/>
                <w:kern w:val="0"/>
                <w:sz w:val="28"/>
                <w:szCs w:val="28"/>
                <w:u w:val="none"/>
                <w:lang w:val="en-US" w:eastAsia="zh-CN" w:bidi="ar"/>
              </w:rPr>
              <w:t>、个、米）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F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8"/>
                <w:szCs w:val="28"/>
                <w:u w:val="none"/>
                <w:lang w:val="en-US" w:eastAsia="zh-CN" w:bidi="ar"/>
              </w:rPr>
            </w:pPr>
            <w:r>
              <w:rPr>
                <w:rFonts w:hint="eastAsia" w:ascii="宋体" w:hAnsi="宋体" w:eastAsia="宋体" w:cs="宋体"/>
                <w:b/>
                <w:i w:val="0"/>
                <w:iCs w:val="0"/>
                <w:snapToGrid w:val="0"/>
                <w:color w:val="000000"/>
                <w:kern w:val="0"/>
                <w:sz w:val="28"/>
                <w:szCs w:val="28"/>
                <w:u w:val="none"/>
                <w:lang w:val="en-US" w:eastAsia="zh-CN" w:bidi="ar"/>
              </w:rPr>
              <w:t>施工费元</w:t>
            </w:r>
          </w:p>
          <w:p w14:paraId="16509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w:t>
            </w:r>
            <w:r>
              <w:rPr>
                <w:rFonts w:ascii="宋体" w:hAnsi="宋体" w:eastAsia="宋体" w:cs="宋体"/>
                <w:b/>
                <w:i w:val="0"/>
                <w:iCs w:val="0"/>
                <w:snapToGrid w:val="0"/>
                <w:color w:val="000000"/>
                <w:kern w:val="0"/>
                <w:sz w:val="28"/>
                <w:szCs w:val="28"/>
                <w:u w:val="none"/>
                <w:lang w:val="en-US" w:eastAsia="zh-CN" w:bidi="ar"/>
              </w:rPr>
              <w:t>㎡</w:t>
            </w:r>
            <w:r>
              <w:rPr>
                <w:rFonts w:hint="eastAsia" w:ascii="宋体" w:hAnsi="宋体" w:eastAsia="宋体" w:cs="宋体"/>
                <w:b/>
                <w:i w:val="0"/>
                <w:iCs w:val="0"/>
                <w:snapToGrid w:val="0"/>
                <w:color w:val="000000"/>
                <w:kern w:val="0"/>
                <w:sz w:val="28"/>
                <w:szCs w:val="28"/>
                <w:u w:val="none"/>
                <w:lang w:val="en-US" w:eastAsia="zh-CN" w:bidi="ar"/>
              </w:rPr>
              <w:t>、个、米）</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综合单价</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E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金额</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1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备注</w:t>
            </w:r>
          </w:p>
        </w:tc>
      </w:tr>
      <w:tr w14:paraId="708F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D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FA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一期176个棚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195">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BAE">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711">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7A8C">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23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E5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B3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A3B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0EC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17E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4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CF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外膜15.5米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46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E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251430.34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63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D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25.15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98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EEB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D6F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2C2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F65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E64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5A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5A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二膜14.5米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25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51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231430.40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D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B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22.12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638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C3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EBE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2F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97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43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444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9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三膜13.5米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0E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8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215118.20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9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8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20.52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03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36A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22F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B5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09C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B88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D5E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B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四膜12.5米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CB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4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209052.16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4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5E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18.86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BF8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9E1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BE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9E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56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6F7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2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3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二期168个棚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967">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B6D">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2EB">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E7D">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51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91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59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DCB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20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99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1A9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外膜15.5米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B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66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193376.00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4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D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19.50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9E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D14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C8D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3A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EB0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B74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6B6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0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二膜14.5米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AC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1F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181239.68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7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5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18.50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3F4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71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BB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6D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6E3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EE0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D64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三膜13.5米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0B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0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169952.90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38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14.00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AB9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56B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2B5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87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EB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541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2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A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三期4个棚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5D2F">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C318">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3926">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A77A">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46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C5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53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66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EF8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091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AFD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7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外膜14米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DD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4760.00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B0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0B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0.50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EB6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D3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608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A3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E7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E92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A8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C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二膜13米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7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53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4420.00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8A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F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0.40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7A1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349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BF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45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CBD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2B6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76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水泥板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B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水泥预制长*宽*厚=1.6*0.5*0.1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05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D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5E3">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6F4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2B3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A2F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4B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3F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9C6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4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4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卡簧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底宽30mm</w:t>
            </w:r>
            <w:r>
              <w:rPr>
                <w:rFonts w:hint="eastAsia" w:ascii="宋体" w:hAnsi="宋体" w:eastAsia="宋体" w:cs="宋体"/>
                <w:i w:val="0"/>
                <w:iCs w:val="0"/>
                <w:snapToGrid w:val="0"/>
                <w:color w:val="000000"/>
                <w:kern w:val="0"/>
                <w:sz w:val="28"/>
                <w:szCs w:val="28"/>
                <w:u w:val="none"/>
                <w:lang w:val="en-US" w:eastAsia="zh-CN" w:bidi="ar"/>
              </w:rPr>
              <w:br w:type="textWrapping"/>
            </w:r>
            <w:r>
              <w:rPr>
                <w:rFonts w:hint="eastAsia" w:ascii="宋体" w:hAnsi="宋体" w:eastAsia="宋体" w:cs="宋体"/>
                <w:i w:val="0"/>
                <w:iCs w:val="0"/>
                <w:snapToGrid w:val="0"/>
                <w:color w:val="000000"/>
                <w:kern w:val="0"/>
                <w:sz w:val="28"/>
                <w:szCs w:val="28"/>
                <w:u w:val="none"/>
                <w:lang w:val="en-US" w:eastAsia="zh-CN" w:bidi="ar"/>
              </w:rPr>
              <w:t>高度11.5mm</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89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50000.00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2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314">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D93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9E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29B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448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F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547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D1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搅膜器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1CD">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57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500.00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3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77EF">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6E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029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13A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C26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A9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D22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54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压膜绳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尼龙绳，直径2公分</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72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150000.00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3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622C">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85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E3D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F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48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43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60D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3E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棚膜卡扣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41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聚乙烯塑料材质，25mm尺寸</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9C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50000.00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3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9ED">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58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61F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9A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77C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62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bl>
    <w:p w14:paraId="6AE9E0D8">
      <w:pPr>
        <w:pStyle w:val="31"/>
        <w:keepNext w:val="0"/>
        <w:keepLines w:val="0"/>
        <w:pageBreakBefore w:val="0"/>
        <w:overflowPunct/>
        <w:topLinePunct w:val="0"/>
        <w:bidi w:val="0"/>
        <w:spacing w:line="600" w:lineRule="exact"/>
        <w:rPr>
          <w:lang w:eastAsia="zh-CN"/>
        </w:rPr>
      </w:pPr>
    </w:p>
    <w:p w14:paraId="533AFFC3">
      <w:pPr>
        <w:pStyle w:val="3"/>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2699769E">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pacing w:val="-1"/>
          <w:sz w:val="24"/>
          <w:szCs w:val="24"/>
          <w:lang w:eastAsia="zh-CN"/>
        </w:rPr>
        <w:t>1.交货安装（服务）的时间（期限）：</w:t>
      </w:r>
      <w:r>
        <w:rPr>
          <w:rFonts w:hint="eastAsia" w:asciiTheme="minorEastAsia" w:hAnsiTheme="minorEastAsia" w:eastAsiaTheme="minorEastAsia" w:cstheme="minorEastAsia"/>
          <w:color w:val="FF0000"/>
          <w:spacing w:val="-1"/>
          <w:sz w:val="24"/>
          <w:szCs w:val="24"/>
          <w:lang w:eastAsia="zh-CN"/>
        </w:rPr>
        <w:t>合同签订后</w:t>
      </w:r>
      <w:r>
        <w:rPr>
          <w:rFonts w:hint="eastAsia" w:asciiTheme="minorEastAsia" w:hAnsiTheme="minorEastAsia" w:eastAsiaTheme="minorEastAsia" w:cstheme="minorEastAsia"/>
          <w:color w:val="FF0000"/>
          <w:spacing w:val="-1"/>
          <w:sz w:val="24"/>
          <w:szCs w:val="24"/>
          <w:lang w:val="en-US" w:eastAsia="zh-CN"/>
        </w:rPr>
        <w:t>60</w:t>
      </w:r>
      <w:r>
        <w:rPr>
          <w:rFonts w:hint="eastAsia" w:asciiTheme="minorEastAsia" w:hAnsiTheme="minorEastAsia" w:eastAsiaTheme="minorEastAsia" w:cstheme="minorEastAsia"/>
          <w:color w:val="FF0000"/>
          <w:spacing w:val="-1"/>
          <w:sz w:val="24"/>
          <w:szCs w:val="24"/>
          <w:lang w:eastAsia="zh-CN"/>
        </w:rPr>
        <w:t>日历天</w:t>
      </w:r>
    </w:p>
    <w:p w14:paraId="2C148C5B">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3839694F">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1FD13D3B">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4.售后服务要求（质保期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年</w:t>
      </w:r>
    </w:p>
    <w:p w14:paraId="51D7A22F">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关于强制节能产品的要求：无。</w:t>
      </w:r>
    </w:p>
    <w:p w14:paraId="401E9879">
      <w:pPr>
        <w:pStyle w:val="3"/>
        <w:keepNext w:val="0"/>
        <w:keepLines w:val="0"/>
        <w:pageBreakBefore w:val="0"/>
        <w:kinsoku/>
        <w:wordWrap w:val="0"/>
        <w:overflowPunct/>
        <w:topLinePunct w:val="0"/>
        <w:bidi w:val="0"/>
        <w:spacing w:line="600" w:lineRule="exact"/>
        <w:ind w:firstLine="46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7DB97D92">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w:t>
      </w:r>
    </w:p>
    <w:p w14:paraId="06B7D212">
      <w:pPr>
        <w:pStyle w:val="31"/>
        <w:keepNext w:val="0"/>
        <w:keepLines w:val="0"/>
        <w:pageBreakBefore w:val="0"/>
        <w:overflowPunct/>
        <w:topLinePunct w:val="0"/>
        <w:bidi w:val="0"/>
        <w:spacing w:line="600" w:lineRule="exact"/>
        <w:ind w:firstLine="480" w:firstLineChars="200"/>
        <w:rPr>
          <w:rFonts w:hint="eastAsia" w:eastAsia="宋体"/>
          <w:lang w:eastAsia="zh-CN"/>
        </w:rPr>
      </w:pPr>
      <w:r>
        <w:rPr>
          <w:rFonts w:hint="eastAsia"/>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1"/>
        <w:keepNext w:val="0"/>
        <w:keepLines w:val="0"/>
        <w:pageBreakBefore w:val="0"/>
        <w:overflowPunct/>
        <w:topLinePunct w:val="0"/>
        <w:bidi w:val="0"/>
        <w:spacing w:line="600" w:lineRule="exact"/>
        <w:ind w:firstLine="480" w:firstLineChars="200"/>
      </w:pPr>
      <w:r>
        <w:rPr>
          <w:rFonts w:hint="eastAsia"/>
        </w:rPr>
        <w:t>7.2验收方式：现场验收</w:t>
      </w:r>
    </w:p>
    <w:p w14:paraId="5A6C0FF7">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DB89F96">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FC7BC4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其他要求（如有）：无</w:t>
      </w:r>
    </w:p>
    <w:p w14:paraId="4CB46531">
      <w:pPr>
        <w:pStyle w:val="3"/>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70D2A8B9">
      <w:pPr>
        <w:pStyle w:val="3"/>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124AA750">
      <w:pPr>
        <w:keepNext w:val="0"/>
        <w:keepLines w:val="0"/>
        <w:pageBreakBefore w:val="0"/>
        <w:overflowPunct/>
        <w:topLinePunct w:val="0"/>
        <w:bidi w:val="0"/>
        <w:spacing w:line="600" w:lineRule="exact"/>
        <w:rPr>
          <w:rFonts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14:paraId="1AB8AF2F">
      <w:pPr>
        <w:pStyle w:val="3"/>
        <w:keepNext w:val="0"/>
        <w:keepLines w:val="0"/>
        <w:pageBreakBefore w:val="0"/>
        <w:kinsoku/>
        <w:wordWrap w:val="0"/>
        <w:overflowPunct/>
        <w:topLinePunct w:val="0"/>
        <w:bidi w:val="0"/>
        <w:spacing w:before="352" w:line="600" w:lineRule="exact"/>
        <w:jc w:val="center"/>
        <w:rPr>
          <w:rFonts w:asciiTheme="minorEastAsia" w:hAnsiTheme="minorEastAsia" w:eastAsiaTheme="minorEastAsia" w:cstheme="minorEastAsia"/>
          <w:spacing w:val="-1"/>
          <w:sz w:val="28"/>
          <w:szCs w:val="28"/>
          <w:lang w:eastAsia="zh-CN"/>
        </w:rPr>
      </w:pPr>
      <w:r>
        <w:rPr>
          <w:rFonts w:hint="eastAsia" w:asciiTheme="minorEastAsia" w:hAnsiTheme="minorEastAsia" w:eastAsiaTheme="minorEastAsia" w:cstheme="minorEastAsia"/>
          <w:spacing w:val="-1"/>
          <w:position w:val="24"/>
          <w:sz w:val="36"/>
          <w:szCs w:val="36"/>
          <w:lang w:eastAsia="zh-CN"/>
        </w:rPr>
        <w:t>第三章投标人须知</w:t>
      </w:r>
    </w:p>
    <w:p w14:paraId="5F412C55">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6A2B2A">
            <w:pPr>
              <w:pStyle w:val="34"/>
              <w:keepNext w:val="0"/>
              <w:keepLines w:val="0"/>
              <w:pageBreakBefore w:val="0"/>
              <w:kinsoku/>
              <w:wordWrap w:val="0"/>
              <w:overflowPunct/>
              <w:topLinePunct w:val="0"/>
              <w:bidi w:val="0"/>
              <w:spacing w:before="25"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eepNext w:val="0"/>
              <w:keepLines w:val="0"/>
              <w:pageBreakBefore w:val="0"/>
              <w:kinsoku/>
              <w:wordWrap w:val="0"/>
              <w:overflowPunct/>
              <w:topLinePunct w:val="0"/>
              <w:bidi w:val="0"/>
              <w:spacing w:before="37" w:line="600" w:lineRule="exact"/>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E14E7E9">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882CB1">
            <w:pPr>
              <w:pStyle w:val="34"/>
              <w:keepNext w:val="0"/>
              <w:keepLines w:val="0"/>
              <w:pageBreakBefore w:val="0"/>
              <w:kinsoku/>
              <w:wordWrap w:val="0"/>
              <w:overflowPunct/>
              <w:topLinePunct w:val="0"/>
              <w:bidi w:val="0"/>
              <w:spacing w:before="2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rPr>
            </w:pPr>
          </w:p>
          <w:p w14:paraId="04FF8B98">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48D17288">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□组织，考察时间：年月日点分</w:t>
            </w:r>
          </w:p>
          <w:p w14:paraId="615F678E">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526E4571">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□召开，召开时间：年月日点分</w:t>
            </w:r>
          </w:p>
          <w:p w14:paraId="4F350D4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4"/>
              <w:keepNext w:val="0"/>
              <w:keepLines w:val="0"/>
              <w:pageBreakBefore w:val="0"/>
              <w:numPr>
                <w:ilvl w:val="0"/>
                <w:numId w:val="1"/>
              </w:numPr>
              <w:kinsoku/>
              <w:wordWrap w:val="0"/>
              <w:overflowPunct/>
              <w:topLinePunct w:val="0"/>
              <w:bidi w:val="0"/>
              <w:spacing w:line="600" w:lineRule="exac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r>
              <w:rPr>
                <w:rFonts w:hint="eastAsia" w:asciiTheme="minorEastAsia" w:hAnsiTheme="minorEastAsia" w:eastAsiaTheme="minorEastAsia" w:cstheme="minorEastAsia"/>
                <w:color w:val="auto"/>
                <w:spacing w:val="14"/>
                <w:sz w:val="24"/>
                <w:szCs w:val="24"/>
                <w:highlight w:val="yellow"/>
                <w:u w:val="single"/>
                <w:lang w:val="en-US" w:eastAsia="zh-CN"/>
              </w:rPr>
              <w:t>工业</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p>
          <w:p w14:paraId="5A864CBE">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☑本项目专门面向中小企业采购。</w:t>
            </w:r>
          </w:p>
          <w:p w14:paraId="105EF227">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lang w:eastAsia="zh-CN"/>
              </w:rPr>
              <w:t>本项目小微企业价格折扣比例20%。</w:t>
            </w:r>
          </w:p>
          <w:p w14:paraId="65767D1A">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lang w:eastAsia="zh-CN"/>
              </w:rPr>
            </w:pPr>
          </w:p>
          <w:p w14:paraId="3EC9D94E">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eepNext w:val="0"/>
              <w:keepLines w:val="0"/>
              <w:pageBreakBefore w:val="0"/>
              <w:kinsoku/>
              <w:wordWrap w:val="0"/>
              <w:overflowPunct/>
              <w:topLinePunct w:val="0"/>
              <w:bidi w:val="0"/>
              <w:spacing w:before="40" w:line="600" w:lineRule="exact"/>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7C79835D">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12E9C200">
            <w:pPr>
              <w:pStyle w:val="34"/>
              <w:keepNext w:val="0"/>
              <w:keepLines w:val="0"/>
              <w:pageBreakBefore w:val="0"/>
              <w:kinsoku/>
              <w:wordWrap w:val="0"/>
              <w:overflowPunct/>
              <w:topLinePunct w:val="0"/>
              <w:bidi w:val="0"/>
              <w:spacing w:before="23"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6FB99112">
            <w:pPr>
              <w:pStyle w:val="34"/>
              <w:keepNext w:val="0"/>
              <w:keepLines w:val="0"/>
              <w:pageBreakBefore w:val="0"/>
              <w:kinsoku/>
              <w:wordWrap w:val="0"/>
              <w:overflowPunct/>
              <w:topLinePunct w:val="0"/>
              <w:bidi w:val="0"/>
              <w:spacing w:line="600"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7"/>
              <w:keepNext w:val="0"/>
              <w:keepLines w:val="0"/>
              <w:pageBreakBefore w:val="0"/>
              <w:overflowPunct/>
              <w:topLinePunct w:val="0"/>
              <w:bidi w:val="0"/>
              <w:spacing w:line="600" w:lineRule="exact"/>
              <w:ind w:left="0" w:leftChars="0" w:firstLine="0" w:firstLineChars="0"/>
              <w:rPr>
                <w:rFonts w:hint="default"/>
                <w:lang w:val="en-US" w:eastAsia="zh-CN"/>
              </w:rPr>
            </w:pPr>
            <w:r>
              <w:rPr>
                <w:rFonts w:hint="eastAsia" w:asciiTheme="minorEastAsia" w:hAnsiTheme="minorEastAsia" w:eastAsiaTheme="minorEastAsia" w:cstheme="minorEastAsia"/>
                <w:color w:val="FF0000"/>
                <w:spacing w:val="29"/>
                <w:sz w:val="24"/>
                <w:szCs w:val="24"/>
                <w:lang w:val="en-US" w:eastAsia="zh-CN"/>
              </w:rPr>
              <w:t>项目总预算2911673.32元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yellow"/>
                <w:lang w:eastAsia="zh-CN"/>
              </w:rPr>
              <w:t>2025年</w:t>
            </w:r>
            <w:r>
              <w:rPr>
                <w:rFonts w:hint="eastAsia" w:asciiTheme="minorEastAsia" w:hAnsiTheme="minorEastAsia" w:eastAsiaTheme="minorEastAsia" w:cstheme="minorEastAsia"/>
                <w:spacing w:val="14"/>
                <w:sz w:val="24"/>
                <w:szCs w:val="24"/>
                <w:highlight w:val="yellow"/>
                <w:lang w:val="en-US" w:eastAsia="zh-CN"/>
              </w:rPr>
              <w:t>12</w:t>
            </w:r>
            <w:r>
              <w:rPr>
                <w:rFonts w:hint="eastAsia" w:asciiTheme="minorEastAsia" w:hAnsiTheme="minorEastAsia" w:eastAsiaTheme="minorEastAsia" w:cstheme="minorEastAsia"/>
                <w:spacing w:val="14"/>
                <w:sz w:val="24"/>
                <w:szCs w:val="24"/>
                <w:highlight w:val="yellow"/>
                <w:lang w:eastAsia="zh-CN"/>
              </w:rPr>
              <w:t>月</w:t>
            </w:r>
            <w:r>
              <w:rPr>
                <w:rFonts w:hint="eastAsia" w:asciiTheme="minorEastAsia" w:hAnsiTheme="minorEastAsia" w:eastAsiaTheme="minorEastAsia" w:cstheme="minorEastAsia"/>
                <w:spacing w:val="14"/>
                <w:sz w:val="24"/>
                <w:szCs w:val="24"/>
                <w:highlight w:val="yellow"/>
                <w:lang w:val="en-US" w:eastAsia="zh-CN"/>
              </w:rPr>
              <w:t>2</w:t>
            </w:r>
            <w:r>
              <w:rPr>
                <w:rFonts w:hint="eastAsia" w:asciiTheme="minorEastAsia" w:hAnsiTheme="minorEastAsia" w:eastAsiaTheme="minorEastAsia" w:cstheme="minorEastAsia"/>
                <w:spacing w:val="14"/>
                <w:sz w:val="24"/>
                <w:szCs w:val="24"/>
                <w:highlight w:val="yellow"/>
                <w:lang w:eastAsia="zh-CN"/>
              </w:rPr>
              <w:t>日</w:t>
            </w:r>
            <w:r>
              <w:rPr>
                <w:rFonts w:hint="eastAsia" w:asciiTheme="minorEastAsia" w:hAnsiTheme="minorEastAsia" w:eastAsiaTheme="minorEastAsia" w:cstheme="minorEastAsia"/>
                <w:spacing w:val="14"/>
                <w:sz w:val="24"/>
                <w:szCs w:val="24"/>
                <w:highlight w:val="yellow"/>
                <w:lang w:val="en-US" w:eastAsia="zh-CN"/>
              </w:rPr>
              <w:t xml:space="preserve">9 </w:t>
            </w:r>
            <w:r>
              <w:rPr>
                <w:rFonts w:hint="eastAsia" w:asciiTheme="minorEastAsia" w:hAnsiTheme="minorEastAsia" w:eastAsiaTheme="minorEastAsia" w:cstheme="minorEastAsia"/>
                <w:spacing w:val="14"/>
                <w:sz w:val="24"/>
                <w:szCs w:val="24"/>
                <w:highlight w:val="yellow"/>
                <w:lang w:eastAsia="zh-CN"/>
              </w:rPr>
              <w:t>时</w:t>
            </w:r>
            <w:r>
              <w:rPr>
                <w:rFonts w:hint="eastAsia" w:asciiTheme="minorEastAsia" w:hAnsiTheme="minorEastAsia" w:eastAsiaTheme="minorEastAsia" w:cstheme="minorEastAsia"/>
                <w:spacing w:val="14"/>
                <w:sz w:val="24"/>
                <w:szCs w:val="24"/>
                <w:highlight w:val="yellow"/>
                <w:lang w:val="en-US" w:eastAsia="zh-CN"/>
              </w:rPr>
              <w:t>00</w:t>
            </w:r>
            <w:r>
              <w:rPr>
                <w:rFonts w:hint="eastAsia" w:asciiTheme="minorEastAsia" w:hAnsiTheme="minorEastAsia" w:eastAsiaTheme="minorEastAsia" w:cstheme="minorEastAsia"/>
                <w:spacing w:val="14"/>
                <w:sz w:val="24"/>
                <w:szCs w:val="24"/>
                <w:highlight w:val="yellow"/>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yellow"/>
                <w:lang w:eastAsia="zh-CN"/>
              </w:rPr>
              <w:t>2025年</w:t>
            </w:r>
            <w:r>
              <w:rPr>
                <w:rFonts w:hint="eastAsia" w:asciiTheme="minorEastAsia" w:hAnsiTheme="minorEastAsia" w:eastAsiaTheme="minorEastAsia" w:cstheme="minorEastAsia"/>
                <w:spacing w:val="14"/>
                <w:sz w:val="24"/>
                <w:szCs w:val="24"/>
                <w:highlight w:val="yellow"/>
                <w:lang w:val="en-US" w:eastAsia="zh-CN"/>
              </w:rPr>
              <w:t>12</w:t>
            </w:r>
            <w:r>
              <w:rPr>
                <w:rFonts w:hint="eastAsia" w:asciiTheme="minorEastAsia" w:hAnsiTheme="minorEastAsia" w:eastAsiaTheme="minorEastAsia" w:cstheme="minorEastAsia"/>
                <w:spacing w:val="14"/>
                <w:sz w:val="24"/>
                <w:szCs w:val="24"/>
                <w:highlight w:val="yellow"/>
                <w:lang w:eastAsia="zh-CN"/>
              </w:rPr>
              <w:t>月</w:t>
            </w:r>
            <w:r>
              <w:rPr>
                <w:rFonts w:hint="eastAsia" w:asciiTheme="minorEastAsia" w:hAnsiTheme="minorEastAsia" w:eastAsiaTheme="minorEastAsia" w:cstheme="minorEastAsia"/>
                <w:spacing w:val="14"/>
                <w:sz w:val="24"/>
                <w:szCs w:val="24"/>
                <w:highlight w:val="yellow"/>
                <w:lang w:val="en-US" w:eastAsia="zh-CN"/>
              </w:rPr>
              <w:t>2</w:t>
            </w:r>
            <w:r>
              <w:rPr>
                <w:rFonts w:hint="eastAsia" w:asciiTheme="minorEastAsia" w:hAnsiTheme="minorEastAsia" w:eastAsiaTheme="minorEastAsia" w:cstheme="minorEastAsia"/>
                <w:spacing w:val="14"/>
                <w:sz w:val="24"/>
                <w:szCs w:val="24"/>
                <w:highlight w:val="yellow"/>
                <w:lang w:eastAsia="zh-CN"/>
              </w:rPr>
              <w:t>日</w:t>
            </w:r>
            <w:r>
              <w:rPr>
                <w:rFonts w:hint="eastAsia" w:asciiTheme="minorEastAsia" w:hAnsiTheme="minorEastAsia" w:eastAsiaTheme="minorEastAsia" w:cstheme="minorEastAsia"/>
                <w:spacing w:val="14"/>
                <w:sz w:val="24"/>
                <w:szCs w:val="24"/>
                <w:highlight w:val="yellow"/>
                <w:lang w:val="en-US" w:eastAsia="zh-CN"/>
              </w:rPr>
              <w:t xml:space="preserve">9 </w:t>
            </w:r>
            <w:r>
              <w:rPr>
                <w:rFonts w:hint="eastAsia" w:asciiTheme="minorEastAsia" w:hAnsiTheme="minorEastAsia" w:eastAsiaTheme="minorEastAsia" w:cstheme="minorEastAsia"/>
                <w:spacing w:val="14"/>
                <w:sz w:val="24"/>
                <w:szCs w:val="24"/>
                <w:highlight w:val="yellow"/>
                <w:lang w:eastAsia="zh-CN"/>
              </w:rPr>
              <w:t>时</w:t>
            </w:r>
            <w:r>
              <w:rPr>
                <w:rFonts w:hint="eastAsia" w:asciiTheme="minorEastAsia" w:hAnsiTheme="minorEastAsia" w:eastAsiaTheme="minorEastAsia" w:cstheme="minorEastAsia"/>
                <w:spacing w:val="14"/>
                <w:sz w:val="24"/>
                <w:szCs w:val="24"/>
                <w:highlight w:val="yellow"/>
                <w:lang w:val="en-US" w:eastAsia="zh-CN"/>
              </w:rPr>
              <w:t>00</w:t>
            </w:r>
            <w:r>
              <w:rPr>
                <w:rFonts w:hint="eastAsia" w:asciiTheme="minorEastAsia" w:hAnsiTheme="minorEastAsia" w:eastAsiaTheme="minorEastAsia" w:cstheme="minorEastAsia"/>
                <w:spacing w:val="14"/>
                <w:sz w:val="24"/>
                <w:szCs w:val="24"/>
                <w:highlight w:val="yellow"/>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eepNext w:val="0"/>
              <w:keepLines w:val="0"/>
              <w:pageBreakBefore w:val="0"/>
              <w:kinsoku/>
              <w:wordWrap w:val="0"/>
              <w:overflowPunct/>
              <w:topLinePunct w:val="0"/>
              <w:bidi w:val="0"/>
              <w:spacing w:line="600" w:lineRule="exac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707E4B9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6F19465B">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4A1DAF7">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3"/>
        <w:keepNext w:val="0"/>
        <w:keepLines w:val="0"/>
        <w:pageBreakBefore w:val="0"/>
        <w:kinsoku/>
        <w:wordWrap w:val="0"/>
        <w:overflowPunct/>
        <w:topLinePunct w:val="0"/>
        <w:bidi w:val="0"/>
        <w:spacing w:before="91" w:line="60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投标人须知</w:t>
      </w:r>
    </w:p>
    <w:p w14:paraId="76161257">
      <w:pPr>
        <w:pStyle w:val="3"/>
        <w:keepNext w:val="0"/>
        <w:keepLines w:val="0"/>
        <w:pageBreakBefore w:val="0"/>
        <w:kinsoku/>
        <w:wordWrap w:val="0"/>
        <w:overflowPunct/>
        <w:topLinePunct w:val="0"/>
        <w:bidi w:val="0"/>
        <w:spacing w:before="268"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pacing w:val="-10"/>
          <w:sz w:val="24"/>
          <w:szCs w:val="24"/>
          <w:lang w:eastAsia="zh-CN"/>
        </w:rPr>
        <w:t>一、说明</w:t>
      </w:r>
    </w:p>
    <w:p w14:paraId="3E7A8F6A">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4B5C070">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562932A9">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74BB60C6">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84F321B">
      <w:pPr>
        <w:pStyle w:val="3"/>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color w:val="FF0000"/>
          <w:spacing w:val="7"/>
          <w:sz w:val="24"/>
          <w:szCs w:val="24"/>
          <w:lang w:eastAsia="zh-CN"/>
        </w:rPr>
        <w:t>1资金来源为财政性资金共</w:t>
      </w:r>
      <w:r>
        <w:rPr>
          <w:rFonts w:hint="eastAsia" w:asciiTheme="minorEastAsia" w:hAnsiTheme="minorEastAsia" w:eastAsiaTheme="minorEastAsia" w:cstheme="minorEastAsia"/>
          <w:color w:val="FF0000"/>
          <w:spacing w:val="7"/>
          <w:sz w:val="24"/>
          <w:szCs w:val="24"/>
          <w:lang w:val="en-US" w:eastAsia="zh-CN"/>
        </w:rPr>
        <w:t>2911673.32</w:t>
      </w:r>
      <w:r>
        <w:rPr>
          <w:rFonts w:hint="eastAsia" w:asciiTheme="minorEastAsia" w:hAnsiTheme="minorEastAsia" w:eastAsiaTheme="minorEastAsia" w:cstheme="minorEastAsia"/>
          <w:color w:val="FF0000"/>
          <w:spacing w:val="7"/>
          <w:sz w:val="24"/>
          <w:szCs w:val="24"/>
          <w:lang w:eastAsia="zh-CN"/>
        </w:rPr>
        <w:t>元</w:t>
      </w:r>
      <w:r>
        <w:rPr>
          <w:rFonts w:hint="eastAsia" w:asciiTheme="minorEastAsia" w:hAnsiTheme="minorEastAsia" w:eastAsiaTheme="minorEastAsia" w:cstheme="minorEastAsia"/>
          <w:color w:val="FF0000"/>
          <w:spacing w:val="-9"/>
          <w:sz w:val="24"/>
          <w:szCs w:val="24"/>
          <w:lang w:eastAsia="zh-CN"/>
        </w:rPr>
        <w:t>。</w:t>
      </w:r>
      <w:bookmarkStart w:id="0" w:name="_GoBack"/>
      <w:bookmarkEnd w:id="0"/>
    </w:p>
    <w:p w14:paraId="215DE0B5">
      <w:pPr>
        <w:pStyle w:val="3"/>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2.2项目属性见《投标人须知表》。</w:t>
      </w:r>
    </w:p>
    <w:p w14:paraId="0FA7FF5E">
      <w:pPr>
        <w:pStyle w:val="3"/>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24C807E4">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14:paraId="5D2541C4">
      <w:pPr>
        <w:pStyle w:val="3"/>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F7CAB25">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7276691">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66F532B7">
      <w:pPr>
        <w:pStyle w:val="3"/>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5ED93C4C">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9E060EB">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6B62BBD3">
      <w:pPr>
        <w:pStyle w:val="3"/>
        <w:keepNext w:val="0"/>
        <w:keepLines w:val="0"/>
        <w:pageBreakBefore w:val="0"/>
        <w:kinsoku/>
        <w:wordWrap w:val="0"/>
        <w:overflowPunct/>
        <w:topLinePunct w:val="0"/>
        <w:bidi w:val="0"/>
        <w:spacing w:line="600" w:lineRule="exact"/>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2D91D529">
      <w:pPr>
        <w:pStyle w:val="3"/>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DAC6D05">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542E0E9E">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0017D3">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A9E81BC">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E344A2C">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6E09026E">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7A184B2">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2AAEA9AB">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3DE82A62">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A6CC47A">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0FD80BBA">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7422E383">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2389285B">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0327C2B6">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06EFB55F">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7BBC61BD">
      <w:pPr>
        <w:pStyle w:val="6"/>
        <w:keepNext w:val="0"/>
        <w:keepLines w:val="0"/>
        <w:pageBreakBefore w:val="0"/>
        <w:shd w:val="clear" w:color="auto" w:fill="FFFFFF"/>
        <w:kinsoku/>
        <w:wordWrap w:val="0"/>
        <w:overflowPunct/>
        <w:topLinePunct w:val="0"/>
        <w:bidi w:val="0"/>
        <w:spacing w:beforeAutospacing="0" w:afterAutospacing="0" w:line="600" w:lineRule="exact"/>
        <w:ind w:firstLine="448" w:firstLineChars="200"/>
        <w:jc w:val="both"/>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0D05C93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63D0A4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77A4DEA">
      <w:pPr>
        <w:pStyle w:val="3"/>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B9BD755">
      <w:pPr>
        <w:pStyle w:val="3"/>
        <w:keepNext w:val="0"/>
        <w:keepLines w:val="0"/>
        <w:pageBreakBefore w:val="0"/>
        <w:kinsoku/>
        <w:wordWrap w:val="0"/>
        <w:overflowPunct/>
        <w:topLinePunct w:val="0"/>
        <w:bidi w:val="0"/>
        <w:spacing w:line="600" w:lineRule="exact"/>
        <w:ind w:firstLine="44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1010F1F">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645294CD">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B545EB2">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3834045">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A336296">
      <w:pPr>
        <w:pStyle w:val="3"/>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4FDD350">
      <w:pPr>
        <w:pStyle w:val="3"/>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3"/>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3D5BE391">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2C9F1C1">
      <w:pPr>
        <w:keepNext w:val="0"/>
        <w:keepLines w:val="0"/>
        <w:pageBreakBefore w:val="0"/>
        <w:kinsoku/>
        <w:wordWrap w:val="0"/>
        <w:overflowPunct/>
        <w:topLinePunct w:val="0"/>
        <w:bidi w:val="0"/>
        <w:spacing w:line="600" w:lineRule="exact"/>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6.2“监督管理部门”是指淅川县财政局</w:t>
      </w:r>
      <w:r>
        <w:rPr>
          <w:rFonts w:hint="eastAsia" w:asciiTheme="minorEastAsia" w:hAnsiTheme="minorEastAsia" w:eastAsiaTheme="minorEastAsia" w:cstheme="minorEastAsia"/>
          <w:spacing w:val="-2"/>
          <w:sz w:val="24"/>
          <w:szCs w:val="24"/>
          <w:lang w:eastAsia="zh-CN"/>
        </w:rPr>
        <w:t>。</w:t>
      </w:r>
    </w:p>
    <w:p w14:paraId="7A6A5C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6.3“货物”指投标人按招标文件规定，须向采购人提供的与本次招标相关的货物</w:t>
      </w:r>
    </w:p>
    <w:p w14:paraId="488AE28D">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6.4“服务”指招标文件规定投标人应承担的服务。</w:t>
      </w:r>
    </w:p>
    <w:p w14:paraId="384C9878">
      <w:pPr>
        <w:pStyle w:val="32"/>
        <w:keepNext w:val="0"/>
        <w:keepLines w:val="0"/>
        <w:pageBreakBefore w:val="0"/>
        <w:wordWrap w:val="0"/>
        <w:overflowPunct/>
        <w:topLinePunct w:val="0"/>
        <w:bidi w:val="0"/>
        <w:spacing w:line="600" w:lineRule="exact"/>
        <w:jc w:val="both"/>
        <w:rPr>
          <w:rFonts w:asciiTheme="minorEastAsia" w:hAnsiTheme="minorEastAsia" w:eastAsiaTheme="minorEastAsia" w:cstheme="minorEastAsia"/>
          <w:spacing w:val="-5"/>
          <w:sz w:val="28"/>
          <w:szCs w:val="28"/>
        </w:rPr>
      </w:pPr>
    </w:p>
    <w:p w14:paraId="05613C6E">
      <w:pPr>
        <w:pStyle w:val="3"/>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5"/>
          <w:sz w:val="28"/>
          <w:szCs w:val="28"/>
          <w:lang w:eastAsia="zh-CN"/>
        </w:rPr>
      </w:pPr>
    </w:p>
    <w:p w14:paraId="46FD4916">
      <w:pPr>
        <w:pStyle w:val="3"/>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rPr>
        <w:t>招标文件</w:t>
      </w:r>
    </w:p>
    <w:p w14:paraId="3AEA88DC">
      <w:pPr>
        <w:pStyle w:val="3"/>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453330C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67E97D8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第一章公开招标公告</w:t>
      </w:r>
    </w:p>
    <w:p w14:paraId="6CB6D481">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第二章采购需求</w:t>
      </w:r>
    </w:p>
    <w:p w14:paraId="38403777">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第三章投标人须知</w:t>
      </w:r>
    </w:p>
    <w:p w14:paraId="2B15449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第四章开、评标程序、评标方法和评标标准</w:t>
      </w:r>
    </w:p>
    <w:p w14:paraId="7DAAC853">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第五章政府采购合同（草案）</w:t>
      </w:r>
    </w:p>
    <w:p w14:paraId="7962062B">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第六章投标文件格式</w:t>
      </w:r>
    </w:p>
    <w:p w14:paraId="753A1709">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0912056F">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
          <w:sz w:val="28"/>
          <w:szCs w:val="28"/>
          <w:lang w:eastAsia="zh-CN"/>
        </w:rPr>
      </w:pPr>
    </w:p>
    <w:p w14:paraId="455163D5">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rPr>
        <w:t>三、投标文件的编制</w:t>
      </w:r>
    </w:p>
    <w:p w14:paraId="0B944CE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6F51C9A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79FCBFE7">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4C050C">
      <w:pPr>
        <w:keepNext w:val="0"/>
        <w:keepLines w:val="0"/>
        <w:pageBreakBefore w:val="0"/>
        <w:widowControl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0B1E23A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025DC16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eepNext w:val="0"/>
        <w:keepLines w:val="0"/>
        <w:pageBreakBefore w:val="0"/>
        <w:kinsoku/>
        <w:wordWrap w:val="0"/>
        <w:overflowPunct/>
        <w:topLinePunct w:val="0"/>
        <w:bidi w:val="0"/>
        <w:spacing w:line="600" w:lineRule="exact"/>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35317FC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7C24F642">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669D57E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74EE4882">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4F1A565">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5A66152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11C445C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0C20C2F3">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41EF7D84">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5BDC49C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5F856BE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13.2招标文件要求盖章的内容，一般通过CA或电子营业执照加盖电子签章。</w:t>
      </w:r>
    </w:p>
    <w:p w14:paraId="26E45E7D">
      <w:pPr>
        <w:keepNext w:val="0"/>
        <w:keepLines w:val="0"/>
        <w:pageBreakBefore w:val="0"/>
        <w:kinsoku/>
        <w:wordWrap w:val="0"/>
        <w:overflowPunct/>
        <w:topLinePunct w:val="0"/>
        <w:bidi w:val="0"/>
        <w:spacing w:line="600" w:lineRule="exact"/>
        <w:ind w:firstLine="420" w:firstLineChars="200"/>
        <w:jc w:val="both"/>
        <w:rPr>
          <w:rFonts w:asciiTheme="minorEastAsia" w:hAnsiTheme="minorEastAsia" w:eastAsiaTheme="minorEastAsia" w:cstheme="minorEastAsia"/>
          <w:lang w:eastAsia="zh-CN"/>
        </w:rPr>
      </w:pPr>
    </w:p>
    <w:p w14:paraId="68474751">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rPr>
        <w:t>四、投标文件的提交</w:t>
      </w:r>
    </w:p>
    <w:p w14:paraId="079BB1DF">
      <w:pPr>
        <w:keepNext w:val="0"/>
        <w:keepLines w:val="0"/>
        <w:pageBreakBefore w:val="0"/>
        <w:kinsoku/>
        <w:wordWrap w:val="0"/>
        <w:overflowPunct/>
        <w:topLinePunct w:val="0"/>
        <w:bidi w:val="0"/>
        <w:spacing w:line="600" w:lineRule="exact"/>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69ACE5A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14.2采购人及采购代理机构拒绝接受通过电子交易平台以外任何形式提交的投标文件。</w:t>
      </w:r>
    </w:p>
    <w:p w14:paraId="720F4C69">
      <w:pPr>
        <w:pStyle w:val="3"/>
        <w:keepNext w:val="0"/>
        <w:keepLines w:val="0"/>
        <w:pageBreakBefore w:val="0"/>
        <w:kinsoku/>
        <w:wordWrap w:val="0"/>
        <w:overflowPunct/>
        <w:topLinePunct w:val="0"/>
        <w:bidi w:val="0"/>
        <w:spacing w:line="600" w:lineRule="exact"/>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6125948E">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C87FCA6">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9463FF9">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E4EE92A">
      <w:pPr>
        <w:keepNext w:val="0"/>
        <w:keepLines w:val="0"/>
        <w:pageBreakBefore w:val="0"/>
        <w:overflowPunct/>
        <w:topLinePunct w:val="0"/>
        <w:bidi w:val="0"/>
        <w:spacing w:line="600" w:lineRule="exact"/>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br w:type="page"/>
      </w:r>
    </w:p>
    <w:p w14:paraId="43B58929">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第四章开、评标程序、评标方法和评标标准</w:t>
      </w:r>
    </w:p>
    <w:p w14:paraId="5DC60B99">
      <w:pPr>
        <w:pStyle w:val="3"/>
        <w:keepNext w:val="0"/>
        <w:keepLines w:val="0"/>
        <w:pageBreakBefore w:val="0"/>
        <w:kinsoku/>
        <w:wordWrap w:val="0"/>
        <w:overflowPunct/>
        <w:topLinePunct w:val="0"/>
        <w:bidi w:val="0"/>
        <w:spacing w:before="255" w:line="600" w:lineRule="exact"/>
        <w:ind w:left="3942"/>
        <w:jc w:val="both"/>
        <w:outlineLvl w:val="2"/>
        <w:rPr>
          <w:rFonts w:asciiTheme="minorEastAsia" w:hAnsiTheme="minorEastAsia" w:eastAsiaTheme="minorEastAsia" w:cstheme="minorEastAsia"/>
          <w:spacing w:val="-3"/>
          <w:sz w:val="24"/>
          <w:szCs w:val="24"/>
          <w:lang w:eastAsia="zh-CN"/>
        </w:rPr>
      </w:pPr>
    </w:p>
    <w:p w14:paraId="2AAA2B2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2338E9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5F8C8A5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5792B2E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7C4A47D6">
      <w:pPr>
        <w:pStyle w:val="3"/>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A5A7EBF">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BDD65D1">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3479E84">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1D6C36C0">
      <w:pPr>
        <w:pStyle w:val="3"/>
        <w:keepNext w:val="0"/>
        <w:keepLines w:val="0"/>
        <w:pageBreakBefore w:val="0"/>
        <w:kinsoku/>
        <w:wordWrap w:val="0"/>
        <w:overflowPunct/>
        <w:topLinePunct w:val="0"/>
        <w:bidi w:val="0"/>
        <w:spacing w:before="79" w:line="600" w:lineRule="exact"/>
        <w:jc w:val="center"/>
        <w:outlineLvl w:val="2"/>
        <w:rPr>
          <w:rFonts w:hint="eastAsia" w:asciiTheme="minorEastAsia" w:hAnsiTheme="minorEastAsia" w:eastAsiaTheme="minorEastAsia" w:cstheme="minorEastAsia"/>
          <w:spacing w:val="-1"/>
          <w:sz w:val="24"/>
          <w:szCs w:val="24"/>
        </w:rPr>
      </w:pPr>
    </w:p>
    <w:p w14:paraId="5D030989">
      <w:pPr>
        <w:pStyle w:val="3"/>
        <w:keepNext w:val="0"/>
        <w:keepLines w:val="0"/>
        <w:pageBreakBefore w:val="0"/>
        <w:kinsoku/>
        <w:wordWrap w:val="0"/>
        <w:overflowPunct/>
        <w:topLinePunct w:val="0"/>
        <w:bidi w:val="0"/>
        <w:spacing w:before="79" w:line="600" w:lineRule="exact"/>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tbl>
      <w:tblPr>
        <w:tblStyle w:val="19"/>
        <w:tblpPr w:leftFromText="180" w:rightFromText="180" w:vertAnchor="text" w:horzAnchor="page" w:tblpX="1758"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09"/>
        <w:gridCol w:w="3996"/>
        <w:gridCol w:w="2243"/>
      </w:tblGrid>
      <w:tr w14:paraId="311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shd w:val="clear" w:color="auto" w:fill="auto"/>
            <w:vAlign w:val="top"/>
          </w:tcPr>
          <w:p w14:paraId="34229DE7">
            <w:pPr>
              <w:keepNext w:val="0"/>
              <w:keepLines w:val="0"/>
              <w:pageBreakBefore w:val="0"/>
              <w:widowControl/>
              <w:kinsoku/>
              <w:wordWrap w:val="0"/>
              <w:overflowPunct/>
              <w:topLinePunct w:val="0"/>
              <w:autoSpaceDE w:val="0"/>
              <w:autoSpaceDN w:val="0"/>
              <w:bidi w:val="0"/>
              <w:adjustRightInd w:val="0"/>
              <w:snapToGrid w:val="0"/>
              <w:spacing w:before="119" w:line="222"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3"/>
                <w:sz w:val="21"/>
                <w:szCs w:val="21"/>
              </w:rPr>
              <w:t>序号</w:t>
            </w:r>
          </w:p>
        </w:tc>
        <w:tc>
          <w:tcPr>
            <w:tcW w:w="1609" w:type="dxa"/>
            <w:shd w:val="clear" w:color="auto" w:fill="auto"/>
            <w:vAlign w:val="top"/>
          </w:tcPr>
          <w:p w14:paraId="1E73B3EB">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4"/>
                <w:sz w:val="21"/>
                <w:szCs w:val="21"/>
              </w:rPr>
              <w:t>审查因素</w:t>
            </w:r>
          </w:p>
        </w:tc>
        <w:tc>
          <w:tcPr>
            <w:tcW w:w="3996" w:type="dxa"/>
            <w:shd w:val="clear" w:color="auto" w:fill="auto"/>
            <w:vAlign w:val="top"/>
          </w:tcPr>
          <w:p w14:paraId="78E8ED59">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4"/>
                <w:sz w:val="21"/>
                <w:szCs w:val="21"/>
              </w:rPr>
              <w:t>审查内容</w:t>
            </w:r>
          </w:p>
        </w:tc>
        <w:tc>
          <w:tcPr>
            <w:tcW w:w="2243" w:type="dxa"/>
            <w:shd w:val="clear" w:color="auto" w:fill="auto"/>
            <w:vAlign w:val="top"/>
          </w:tcPr>
          <w:p w14:paraId="25E3AE08">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zh-CN" w:bidi="ar-SA"/>
              </w:rPr>
            </w:pPr>
            <w:r>
              <w:rPr>
                <w:rFonts w:hint="eastAsia" w:ascii="黑体" w:hAnsi="黑体" w:eastAsia="黑体" w:cs="黑体"/>
                <w:spacing w:val="-2"/>
                <w:sz w:val="21"/>
                <w:szCs w:val="21"/>
                <w:lang w:eastAsia="zh-CN"/>
              </w:rPr>
              <w:t>备注</w:t>
            </w:r>
          </w:p>
        </w:tc>
      </w:tr>
      <w:tr w14:paraId="26A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4" w:type="dxa"/>
            <w:vAlign w:val="center"/>
          </w:tcPr>
          <w:p w14:paraId="503510C0">
            <w:pPr>
              <w:widowControl w:val="0"/>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1609" w:type="dxa"/>
            <w:vAlign w:val="center"/>
          </w:tcPr>
          <w:p w14:paraId="5BC8473D">
            <w:pPr>
              <w:widowControl w:val="0"/>
              <w:jc w:val="both"/>
              <w:rPr>
                <w:sz w:val="24"/>
                <w:szCs w:val="24"/>
                <w:vertAlign w:val="baseline"/>
              </w:rPr>
            </w:pPr>
            <w:r>
              <w:rPr>
                <w:rFonts w:hint="eastAsia" w:ascii="方正仿宋_GB2312" w:hAnsi="方正仿宋_GB2312" w:eastAsia="方正仿宋_GB2312" w:cs="方正仿宋_GB2312"/>
                <w:spacing w:val="-2"/>
                <w:sz w:val="21"/>
                <w:szCs w:val="21"/>
                <w:lang w:eastAsia="zh-CN"/>
              </w:rPr>
              <w:t>满足第一章《公开招标公告》投标人具备的资格要求</w:t>
            </w:r>
          </w:p>
        </w:tc>
        <w:tc>
          <w:tcPr>
            <w:tcW w:w="3996" w:type="dxa"/>
          </w:tcPr>
          <w:p w14:paraId="4169F9D6">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3.1注册于中华人民共和国境内，具有独立承担民事责任能力，持有有效的营业执照；</w:t>
            </w:r>
          </w:p>
          <w:p w14:paraId="7546686E">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7F37AFC8">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3.3具有履行合同所必需的设备和专业技术能力（提供承诺函，格式自拟）；</w:t>
            </w:r>
          </w:p>
          <w:p w14:paraId="4CE959D4">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3.4有依法缴纳税收和社会保障资金的良好记录（提供2025年以来任意一个月依法缴纳税收和社会保障资金的证明材料，依法免税或不需要缴纳社会保障资金的申请人应提供相应的证明文件）；</w:t>
            </w:r>
          </w:p>
          <w:p w14:paraId="3F0E8964">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3.5参加政府采购活动前三年内，在经营活动中没有重大违法记录。</w:t>
            </w:r>
          </w:p>
          <w:p w14:paraId="05186135">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3.6投标人需提供无行贿犯罪记录承诺函（承诺对象包括：投标人、法定代表人、委托代理人）,并对其真实性负责，若承诺不实，造成的后果由投标人自行负责（格式自拟）；</w:t>
            </w:r>
          </w:p>
          <w:p w14:paraId="2568FD1F">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3.7根据《关于在政府采购活动中查询及使用信用记录有关问题的通知》(财库(2016)125号)的规定，对列入失信被执行人、重大税收违法失信主体名单、政府采购严重违法失信行为记录名单的供应商，拒绝参与本项目政府采购活动【查询渠道:“信用中国”网站(www.creditchina.gov.cn)、中国政府采购网(www.ccgp.gov.cn)】，查询时间为发布公告之日起到投标截止时间;</w:t>
            </w:r>
          </w:p>
          <w:p w14:paraId="62EDD839">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3.8本项目不接受联合体投标，不得分包转包。</w:t>
            </w:r>
          </w:p>
          <w:p w14:paraId="0B71A97E">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3.9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61121483">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3.10本项目中标/成交结果公示时，同时公示中标/成交人诚信库信息，接受社会监督。</w:t>
            </w:r>
          </w:p>
          <w:p w14:paraId="720E9359">
            <w:pPr>
              <w:widowControl w:val="0"/>
              <w:jc w:val="both"/>
              <w:rPr>
                <w:sz w:val="24"/>
                <w:szCs w:val="24"/>
                <w:vertAlign w:val="baseline"/>
              </w:rPr>
            </w:pPr>
          </w:p>
        </w:tc>
        <w:tc>
          <w:tcPr>
            <w:tcW w:w="2243" w:type="dxa"/>
          </w:tcPr>
          <w:p w14:paraId="44A1E6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投标人为企业（包括合伙企业、个体工商户）的，应提供有效的营业执照；</w:t>
            </w:r>
          </w:p>
          <w:p w14:paraId="2379C53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投标人为事业单位的，应提供有效的事业单位法人证书；</w:t>
            </w:r>
          </w:p>
          <w:p w14:paraId="38DFA7D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投标人是非企业机构的，应提供有效的执业许可证、登记证书等证明文件；</w:t>
            </w:r>
          </w:p>
          <w:p w14:paraId="7C16B78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投标人是自然人的，应提供有效的自然人身份证明。</w:t>
            </w:r>
          </w:p>
          <w:p w14:paraId="42FD56F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p w14:paraId="4BA1AECF">
            <w:pPr>
              <w:widowControl w:val="0"/>
              <w:jc w:val="both"/>
              <w:rPr>
                <w:sz w:val="24"/>
                <w:szCs w:val="24"/>
                <w:vertAlign w:val="baseline"/>
              </w:rPr>
            </w:pPr>
          </w:p>
        </w:tc>
      </w:tr>
      <w:tr w14:paraId="7F0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0F955E0">
            <w:pPr>
              <w:widowControl w:val="0"/>
              <w:jc w:val="center"/>
              <w:rPr>
                <w:rFonts w:hint="eastAsia"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2</w:t>
            </w:r>
          </w:p>
        </w:tc>
        <w:tc>
          <w:tcPr>
            <w:tcW w:w="1609" w:type="dxa"/>
          </w:tcPr>
          <w:p w14:paraId="2B4FB5A8">
            <w:pPr>
              <w:widowControl w:val="0"/>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中小企业政策</w:t>
            </w:r>
          </w:p>
        </w:tc>
        <w:tc>
          <w:tcPr>
            <w:tcW w:w="3996" w:type="dxa"/>
          </w:tcPr>
          <w:p w14:paraId="6DA8B798">
            <w:pPr>
              <w:widowControl w:val="0"/>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eastAsia="zh-CN"/>
              </w:rPr>
              <w:t>具体要求见第一章《公开招标公告》</w:t>
            </w:r>
          </w:p>
        </w:tc>
        <w:tc>
          <w:tcPr>
            <w:tcW w:w="2243" w:type="dxa"/>
          </w:tcPr>
          <w:p w14:paraId="0839EF3A">
            <w:pPr>
              <w:widowControl w:val="0"/>
              <w:jc w:val="both"/>
              <w:rPr>
                <w:sz w:val="20"/>
                <w:szCs w:val="20"/>
                <w:vertAlign w:val="baseline"/>
              </w:rPr>
            </w:pPr>
          </w:p>
        </w:tc>
      </w:tr>
      <w:tr w14:paraId="4A9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9660DC">
            <w:pPr>
              <w:pStyle w:val="34"/>
              <w:keepNext w:val="0"/>
              <w:keepLines w:val="0"/>
              <w:pageBreakBefore w:val="0"/>
              <w:widowControl/>
              <w:kinsoku/>
              <w:wordWrap w:val="0"/>
              <w:overflowPunct/>
              <w:topLinePunct w:val="0"/>
              <w:autoSpaceDE w:val="0"/>
              <w:autoSpaceDN w:val="0"/>
              <w:bidi w:val="0"/>
              <w:adjustRightInd w:val="0"/>
              <w:snapToGrid w:val="0"/>
              <w:spacing w:before="49" w:line="240" w:lineRule="exact"/>
              <w:ind w:left="0" w:leftChars="0" w:right="0" w:rightChars="0"/>
              <w:jc w:val="center"/>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en-US" w:bidi="ar-SA"/>
              </w:rPr>
              <w:t>2-1</w:t>
            </w:r>
          </w:p>
        </w:tc>
        <w:tc>
          <w:tcPr>
            <w:tcW w:w="1609" w:type="dxa"/>
            <w:vAlign w:val="center"/>
          </w:tcPr>
          <w:p w14:paraId="2BE58212">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firstLine="23" w:firstLine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en-US" w:bidi="ar-SA"/>
              </w:rPr>
              <w:t>中小企业证明文件</w:t>
            </w:r>
          </w:p>
        </w:tc>
        <w:tc>
          <w:tcPr>
            <w:tcW w:w="3996" w:type="dxa"/>
            <w:vAlign w:val="top"/>
          </w:tcPr>
          <w:p w14:paraId="4141E3F4">
            <w:pPr>
              <w:keepNext w:val="0"/>
              <w:keepLines w:val="0"/>
              <w:pageBreakBefore w:val="0"/>
              <w:widowControl/>
              <w:kinsoku/>
              <w:wordWrap w:val="0"/>
              <w:overflowPunct/>
              <w:topLinePunct w:val="0"/>
              <w:autoSpaceDE w:val="0"/>
              <w:autoSpaceDN w:val="0"/>
              <w:bidi w:val="0"/>
              <w:adjustRightInd w:val="0"/>
              <w:snapToGrid w:val="0"/>
              <w:spacing w:before="36" w:line="240" w:lineRule="exact"/>
              <w:ind w:left="0" w:right="0" w:firstLine="14"/>
              <w:jc w:val="both"/>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zh-CN" w:bidi="ar-SA"/>
              </w:rPr>
              <w:t>当本项目（包）涉及预留份额专门面向中小企业采购，此时须在《资格证明文件》中提供。</w:t>
            </w:r>
          </w:p>
          <w:p w14:paraId="6BCB30F1">
            <w:pPr>
              <w:pStyle w:val="34"/>
              <w:keepNext w:val="0"/>
              <w:keepLines w:val="0"/>
              <w:pageBreakBefore w:val="0"/>
              <w:widowControl/>
              <w:kinsoku/>
              <w:wordWrap w:val="0"/>
              <w:overflowPunct/>
              <w:topLinePunct w:val="0"/>
              <w:autoSpaceDE w:val="0"/>
              <w:autoSpaceDN w:val="0"/>
              <w:bidi w:val="0"/>
              <w:adjustRightInd w:val="0"/>
              <w:snapToGrid w:val="0"/>
              <w:spacing w:before="4" w:line="240" w:lineRule="exact"/>
              <w:ind w:left="0" w:right="0" w:firstLine="15"/>
              <w:jc w:val="both"/>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zh-CN" w:bidi="ar-SA"/>
              </w:rPr>
              <w:t>1、投标人单独投标的，应提供《中小企业声明函》或《残疾人福利性单位声明函》或由省级以上监狱管理局、戒毒管理局（含新疆生产建设兵团）出具的属于监狱企业的证明文件。</w:t>
            </w:r>
          </w:p>
          <w:p w14:paraId="48821DDE">
            <w:pPr>
              <w:pStyle w:val="34"/>
              <w:keepNext w:val="0"/>
              <w:keepLines w:val="0"/>
              <w:pageBreakBefore w:val="0"/>
              <w:widowControl/>
              <w:kinsoku/>
              <w:wordWrap w:val="0"/>
              <w:overflowPunct/>
              <w:topLinePunct w:val="0"/>
              <w:autoSpaceDE w:val="0"/>
              <w:autoSpaceDN w:val="0"/>
              <w:bidi w:val="0"/>
              <w:adjustRightInd w:val="0"/>
              <w:snapToGrid w:val="0"/>
              <w:spacing w:before="20" w:line="240" w:lineRule="exact"/>
              <w:ind w:left="0" w:leftChars="0" w:right="0" w:rightChars="0" w:firstLine="9" w:firstLine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243" w:type="dxa"/>
            <w:vAlign w:val="top"/>
          </w:tcPr>
          <w:p w14:paraId="7BAB7A7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3AE7418B">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26C12272">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584BDF0C">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3AC40494">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02E0C6FE">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087A9721">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5F3D7FC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490852F7">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2EE72E93">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hanging="1" w:firstLineChars="0"/>
              <w:jc w:val="both"/>
              <w:textAlignment w:val="baseline"/>
              <w:rPr>
                <w:sz w:val="20"/>
                <w:szCs w:val="20"/>
                <w:vertAlign w:val="baseline"/>
              </w:rPr>
            </w:pPr>
            <w:r>
              <w:rPr>
                <w:rFonts w:hint="eastAsia" w:ascii="方正仿宋_GB2312" w:hAnsi="方正仿宋_GB2312" w:eastAsia="方正仿宋_GB2312" w:cs="方正仿宋_GB2312"/>
                <w:spacing w:val="-6"/>
                <w:sz w:val="20"/>
                <w:szCs w:val="20"/>
                <w:lang w:eastAsia="zh-CN"/>
              </w:rPr>
              <w:t>格式见《投标</w:t>
            </w:r>
            <w:r>
              <w:rPr>
                <w:rFonts w:hint="eastAsia" w:ascii="方正仿宋_GB2312" w:hAnsi="方正仿宋_GB2312" w:eastAsia="方正仿宋_GB2312" w:cs="方正仿宋_GB2312"/>
                <w:spacing w:val="-4"/>
                <w:sz w:val="20"/>
                <w:szCs w:val="20"/>
                <w:lang w:eastAsia="zh-CN"/>
              </w:rPr>
              <w:t>文件格式》</w:t>
            </w:r>
          </w:p>
        </w:tc>
      </w:tr>
      <w:tr w14:paraId="5EC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top"/>
          </w:tcPr>
          <w:p w14:paraId="1B700B9E">
            <w:pPr>
              <w:pStyle w:val="34"/>
              <w:keepNext w:val="0"/>
              <w:keepLines w:val="0"/>
              <w:pageBreakBefore w:val="0"/>
              <w:widowControl/>
              <w:kinsoku/>
              <w:wordWrap w:val="0"/>
              <w:overflowPunct/>
              <w:topLinePunct w:val="0"/>
              <w:autoSpaceDE w:val="0"/>
              <w:autoSpaceDN w:val="0"/>
              <w:bidi w:val="0"/>
              <w:adjustRightInd w:val="0"/>
              <w:snapToGrid w:val="0"/>
              <w:spacing w:before="213" w:line="240" w:lineRule="exact"/>
              <w:ind w:left="0" w:leftChars="0" w:right="0" w:rightChars="0"/>
              <w:jc w:val="center"/>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en-US" w:bidi="ar-SA"/>
              </w:rPr>
              <w:t>3</w:t>
            </w:r>
          </w:p>
        </w:tc>
        <w:tc>
          <w:tcPr>
            <w:tcW w:w="1609" w:type="dxa"/>
            <w:vAlign w:val="top"/>
          </w:tcPr>
          <w:p w14:paraId="6ED25731">
            <w:pPr>
              <w:keepNext w:val="0"/>
              <w:keepLines w:val="0"/>
              <w:pageBreakBefore w:val="0"/>
              <w:widowControl/>
              <w:kinsoku/>
              <w:wordWrap w:val="0"/>
              <w:overflowPunct/>
              <w:topLinePunct w:val="0"/>
              <w:autoSpaceDE w:val="0"/>
              <w:autoSpaceDN w:val="0"/>
              <w:bidi w:val="0"/>
              <w:adjustRightInd w:val="0"/>
              <w:snapToGrid w:val="0"/>
              <w:spacing w:before="35" w:line="240" w:lineRule="exact"/>
              <w:ind w:left="0" w:leftChars="0" w:right="0" w:right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本项目的其他资格要求</w:t>
            </w:r>
          </w:p>
        </w:tc>
        <w:tc>
          <w:tcPr>
            <w:tcW w:w="3996" w:type="dxa"/>
            <w:vAlign w:val="top"/>
          </w:tcPr>
          <w:p w14:paraId="0FA2CC4A">
            <w:pPr>
              <w:keepNext w:val="0"/>
              <w:keepLines w:val="0"/>
              <w:pageBreakBefore w:val="0"/>
              <w:widowControl/>
              <w:kinsoku/>
              <w:wordWrap w:val="0"/>
              <w:overflowPunct/>
              <w:topLinePunct w:val="0"/>
              <w:autoSpaceDE w:val="0"/>
              <w:autoSpaceDN w:val="0"/>
              <w:bidi w:val="0"/>
              <w:adjustRightInd w:val="0"/>
              <w:snapToGrid w:val="0"/>
              <w:spacing w:before="192" w:line="240" w:lineRule="exact"/>
              <w:ind w:left="0" w:leftChars="0" w:right="0" w:right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如有，见第一章《公开招标公告》</w:t>
            </w:r>
          </w:p>
        </w:tc>
        <w:tc>
          <w:tcPr>
            <w:tcW w:w="2243" w:type="dxa"/>
          </w:tcPr>
          <w:p w14:paraId="73BA01AE">
            <w:pPr>
              <w:widowControl w:val="0"/>
              <w:jc w:val="both"/>
              <w:rPr>
                <w:sz w:val="20"/>
                <w:szCs w:val="20"/>
                <w:vertAlign w:val="baseline"/>
              </w:rPr>
            </w:pPr>
          </w:p>
        </w:tc>
      </w:tr>
    </w:tbl>
    <w:p w14:paraId="5469A50F">
      <w:pPr>
        <w:kinsoku/>
        <w:wordWrap w:val="0"/>
        <w:spacing w:line="146" w:lineRule="exact"/>
        <w:jc w:val="both"/>
        <w:rPr>
          <w:rFonts w:asciiTheme="minorEastAsia" w:hAnsiTheme="minorEastAsia" w:eastAsiaTheme="minorEastAsia" w:cstheme="minorEastAsia"/>
        </w:rPr>
      </w:pPr>
    </w:p>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3BB7BDED">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2D0DDAB">
      <w:pPr>
        <w:pStyle w:val="3"/>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1.1评标委员会对资格审查合格的投标人的投标文件进行符合性审查，以确定其</w:t>
      </w:r>
    </w:p>
    <w:p w14:paraId="47E806CC">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02422E6E">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3"/>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4"/>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4"/>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4"/>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383B3806">
            <w:pPr>
              <w:pStyle w:val="34"/>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4"/>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4"/>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4"/>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4"/>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4"/>
              <w:kinsoku/>
              <w:wordWrap w:val="0"/>
              <w:spacing w:line="304" w:lineRule="auto"/>
              <w:jc w:val="center"/>
              <w:rPr>
                <w:rFonts w:asciiTheme="minorEastAsia" w:hAnsiTheme="minorEastAsia" w:eastAsiaTheme="minorEastAsia" w:cstheme="minorEastAsia"/>
                <w:sz w:val="21"/>
                <w:szCs w:val="21"/>
              </w:rPr>
            </w:pPr>
          </w:p>
          <w:p w14:paraId="3B86FF1D">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B7958DE">
            <w:pPr>
              <w:pStyle w:val="34"/>
              <w:kinsoku/>
              <w:wordWrap w:val="0"/>
              <w:spacing w:line="271" w:lineRule="auto"/>
              <w:jc w:val="both"/>
              <w:rPr>
                <w:rFonts w:asciiTheme="minorEastAsia" w:hAnsiTheme="minorEastAsia" w:eastAsiaTheme="minorEastAsia" w:cstheme="minorEastAsia"/>
                <w:sz w:val="21"/>
                <w:szCs w:val="21"/>
              </w:rPr>
            </w:pPr>
          </w:p>
          <w:p w14:paraId="28E05998">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4"/>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4"/>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4"/>
              <w:kinsoku/>
              <w:wordWrap w:val="0"/>
              <w:spacing w:line="301" w:lineRule="auto"/>
              <w:jc w:val="center"/>
              <w:rPr>
                <w:rFonts w:asciiTheme="minorEastAsia" w:hAnsiTheme="minorEastAsia" w:eastAsiaTheme="minorEastAsia" w:cstheme="minorEastAsia"/>
                <w:sz w:val="21"/>
                <w:szCs w:val="21"/>
              </w:rPr>
            </w:pPr>
          </w:p>
          <w:p w14:paraId="192F0FF7">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3B97F4">
            <w:pPr>
              <w:pStyle w:val="34"/>
              <w:kinsoku/>
              <w:wordWrap w:val="0"/>
              <w:spacing w:line="269" w:lineRule="auto"/>
              <w:jc w:val="both"/>
              <w:rPr>
                <w:rFonts w:asciiTheme="minorEastAsia" w:hAnsiTheme="minorEastAsia" w:eastAsiaTheme="minorEastAsia" w:cstheme="minorEastAsia"/>
                <w:sz w:val="21"/>
                <w:szCs w:val="21"/>
              </w:rPr>
            </w:pPr>
          </w:p>
          <w:p w14:paraId="6A5ED5C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4"/>
              <w:kinsoku/>
              <w:wordWrap w:val="0"/>
              <w:spacing w:line="307" w:lineRule="auto"/>
              <w:jc w:val="center"/>
              <w:rPr>
                <w:rFonts w:asciiTheme="minorEastAsia" w:hAnsiTheme="minorEastAsia" w:eastAsiaTheme="minorEastAsia" w:cstheme="minorEastAsia"/>
                <w:sz w:val="21"/>
                <w:szCs w:val="21"/>
                <w:lang w:eastAsia="zh-CN"/>
              </w:rPr>
            </w:pPr>
          </w:p>
          <w:p w14:paraId="0B09F733">
            <w:pPr>
              <w:pStyle w:val="34"/>
              <w:kinsoku/>
              <w:wordWrap w:val="0"/>
              <w:spacing w:line="307" w:lineRule="auto"/>
              <w:jc w:val="center"/>
              <w:rPr>
                <w:rFonts w:asciiTheme="minorEastAsia" w:hAnsiTheme="minorEastAsia" w:eastAsiaTheme="minorEastAsia" w:cstheme="minorEastAsia"/>
                <w:sz w:val="21"/>
                <w:szCs w:val="21"/>
                <w:lang w:eastAsia="zh-CN"/>
              </w:rPr>
            </w:pPr>
          </w:p>
          <w:p w14:paraId="5512E44E">
            <w:pPr>
              <w:pStyle w:val="34"/>
              <w:kinsoku/>
              <w:wordWrap w:val="0"/>
              <w:spacing w:line="307" w:lineRule="auto"/>
              <w:jc w:val="center"/>
              <w:rPr>
                <w:rFonts w:asciiTheme="minorEastAsia" w:hAnsiTheme="minorEastAsia" w:eastAsiaTheme="minorEastAsia" w:cstheme="minorEastAsia"/>
                <w:sz w:val="21"/>
                <w:szCs w:val="21"/>
                <w:lang w:eastAsia="zh-CN"/>
              </w:rPr>
            </w:pPr>
          </w:p>
          <w:p w14:paraId="6ADFFC11">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8C20856">
            <w:pPr>
              <w:pStyle w:val="34"/>
              <w:kinsoku/>
              <w:wordWrap w:val="0"/>
              <w:spacing w:line="296" w:lineRule="auto"/>
              <w:jc w:val="both"/>
              <w:rPr>
                <w:rFonts w:asciiTheme="minorEastAsia" w:hAnsiTheme="minorEastAsia" w:eastAsiaTheme="minorEastAsia" w:cstheme="minorEastAsia"/>
                <w:sz w:val="21"/>
                <w:szCs w:val="21"/>
              </w:rPr>
            </w:pPr>
          </w:p>
          <w:p w14:paraId="2721AB2C">
            <w:pPr>
              <w:pStyle w:val="34"/>
              <w:kinsoku/>
              <w:wordWrap w:val="0"/>
              <w:spacing w:line="296" w:lineRule="auto"/>
              <w:jc w:val="both"/>
              <w:rPr>
                <w:rFonts w:asciiTheme="minorEastAsia" w:hAnsiTheme="minorEastAsia" w:eastAsiaTheme="minorEastAsia" w:cstheme="minorEastAsia"/>
                <w:sz w:val="21"/>
                <w:szCs w:val="21"/>
              </w:rPr>
            </w:pPr>
          </w:p>
          <w:p w14:paraId="3C696535">
            <w:pPr>
              <w:pStyle w:val="34"/>
              <w:kinsoku/>
              <w:wordWrap w:val="0"/>
              <w:spacing w:line="297" w:lineRule="auto"/>
              <w:jc w:val="both"/>
              <w:rPr>
                <w:rFonts w:asciiTheme="minorEastAsia" w:hAnsiTheme="minorEastAsia" w:eastAsiaTheme="minorEastAsia" w:cstheme="minorEastAsia"/>
                <w:sz w:val="21"/>
                <w:szCs w:val="21"/>
              </w:rPr>
            </w:pPr>
          </w:p>
          <w:p w14:paraId="3326703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4"/>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4"/>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D505C96">
      <w:pPr>
        <w:pStyle w:val="3"/>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CBAF9FE">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31D3FB4">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0C22F7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3DACF497">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6A8935FB">
      <w:pPr>
        <w:pStyle w:val="3"/>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26606D68">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5E00B18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11A7C8F">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3"/>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员会共推荐名3名中标</w:t>
      </w:r>
      <w:r>
        <w:rPr>
          <w:rFonts w:hint="eastAsia" w:asciiTheme="minorEastAsia" w:hAnsiTheme="minorEastAsia" w:eastAsiaTheme="minorEastAsia" w:cstheme="minorEastAsia"/>
          <w:spacing w:val="2"/>
          <w:position w:val="17"/>
          <w:sz w:val="24"/>
          <w:szCs w:val="24"/>
          <w:lang w:eastAsia="zh-CN"/>
        </w:rPr>
        <w:t>候选人。</w:t>
      </w:r>
    </w:p>
    <w:p w14:paraId="149F4F55">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40C86C4F">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EAA007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91BF00B">
      <w:pPr>
        <w:pStyle w:val="31"/>
        <w:rPr>
          <w:rFonts w:asciiTheme="minorEastAsia" w:hAnsiTheme="minorEastAsia" w:eastAsiaTheme="minorEastAsia" w:cstheme="minorEastAsia"/>
          <w:spacing w:val="-2"/>
        </w:rPr>
      </w:pPr>
    </w:p>
    <w:p w14:paraId="7E5072AE">
      <w:pPr>
        <w:rPr>
          <w:lang w:eastAsia="zh-CN"/>
        </w:rPr>
      </w:pPr>
    </w:p>
    <w:p w14:paraId="7A6B09C1">
      <w:pP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0889116A">
      <w:pPr>
        <w:pStyle w:val="3"/>
        <w:kinsoku/>
        <w:wordWrap w:val="0"/>
        <w:spacing w:before="78" w:line="221" w:lineRule="auto"/>
        <w:jc w:val="center"/>
        <w:outlineLvl w:val="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tbl>
      <w:tblPr>
        <w:tblStyle w:val="33"/>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4"/>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4"/>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4"/>
              <w:spacing w:before="50" w:line="221" w:lineRule="auto"/>
              <w:ind w:left="124"/>
              <w:rPr>
                <w:b/>
                <w:i w:val="0"/>
                <w:color w:val="auto"/>
                <w:sz w:val="22"/>
                <w:szCs w:val="22"/>
              </w:rPr>
            </w:pPr>
            <w:r>
              <w:rPr>
                <w:b/>
                <w:i w:val="0"/>
                <w:color w:val="auto"/>
                <w:spacing w:val="-4"/>
                <w:sz w:val="22"/>
                <w:szCs w:val="22"/>
              </w:rPr>
              <w:t>评分标准</w:t>
            </w:r>
          </w:p>
          <w:p w14:paraId="283CF86B">
            <w:pPr>
              <w:pStyle w:val="34"/>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000000"/>
                <w:sz w:val="21"/>
              </w:rPr>
            </w:pPr>
          </w:p>
          <w:p w14:paraId="1CF7C5E4">
            <w:pPr>
              <w:spacing w:line="250" w:lineRule="auto"/>
              <w:rPr>
                <w:rFonts w:ascii="Arial"/>
                <w:b w:val="0"/>
                <w:i w:val="0"/>
                <w:color w:val="000000"/>
                <w:sz w:val="21"/>
              </w:rPr>
            </w:pPr>
          </w:p>
          <w:p w14:paraId="0685E1D3">
            <w:pPr>
              <w:spacing w:line="250" w:lineRule="auto"/>
              <w:rPr>
                <w:rFonts w:ascii="Arial"/>
                <w:b w:val="0"/>
                <w:i w:val="0"/>
                <w:color w:val="000000"/>
                <w:sz w:val="21"/>
              </w:rPr>
            </w:pPr>
          </w:p>
          <w:p w14:paraId="4D0B8F2F">
            <w:pPr>
              <w:spacing w:line="250" w:lineRule="auto"/>
              <w:rPr>
                <w:rFonts w:ascii="Arial"/>
                <w:b w:val="0"/>
                <w:i w:val="0"/>
                <w:color w:val="000000"/>
                <w:sz w:val="21"/>
              </w:rPr>
            </w:pPr>
          </w:p>
          <w:p w14:paraId="20097D5F">
            <w:pPr>
              <w:spacing w:line="250" w:lineRule="auto"/>
              <w:rPr>
                <w:rFonts w:ascii="Arial"/>
                <w:b w:val="0"/>
                <w:i w:val="0"/>
                <w:color w:val="000000"/>
                <w:sz w:val="21"/>
              </w:rPr>
            </w:pPr>
          </w:p>
          <w:p w14:paraId="7C9CCE02">
            <w:pPr>
              <w:spacing w:line="250" w:lineRule="auto"/>
              <w:rPr>
                <w:rFonts w:ascii="Arial"/>
                <w:b w:val="0"/>
                <w:i w:val="0"/>
                <w:color w:val="000000"/>
                <w:sz w:val="21"/>
              </w:rPr>
            </w:pPr>
          </w:p>
          <w:p w14:paraId="4A556A22">
            <w:pPr>
              <w:spacing w:line="250" w:lineRule="auto"/>
              <w:rPr>
                <w:rFonts w:ascii="Arial"/>
                <w:b w:val="0"/>
                <w:i w:val="0"/>
                <w:color w:val="000000"/>
                <w:sz w:val="21"/>
              </w:rPr>
            </w:pPr>
          </w:p>
          <w:p w14:paraId="3D50AB81">
            <w:pPr>
              <w:spacing w:line="250" w:lineRule="auto"/>
              <w:rPr>
                <w:rFonts w:ascii="Arial"/>
                <w:b w:val="0"/>
                <w:i w:val="0"/>
                <w:color w:val="000000"/>
                <w:sz w:val="21"/>
              </w:rPr>
            </w:pPr>
          </w:p>
          <w:p w14:paraId="381A8C8E">
            <w:pPr>
              <w:spacing w:line="250" w:lineRule="auto"/>
              <w:rPr>
                <w:rFonts w:ascii="Arial"/>
                <w:b w:val="0"/>
                <w:i w:val="0"/>
                <w:color w:val="000000"/>
                <w:sz w:val="21"/>
              </w:rPr>
            </w:pPr>
          </w:p>
          <w:p w14:paraId="059EB327">
            <w:pPr>
              <w:spacing w:line="251" w:lineRule="auto"/>
              <w:rPr>
                <w:rFonts w:ascii="Arial"/>
                <w:b w:val="0"/>
                <w:i w:val="0"/>
                <w:color w:val="000000"/>
                <w:sz w:val="21"/>
              </w:rPr>
            </w:pPr>
          </w:p>
          <w:p w14:paraId="2A5D0C4C">
            <w:pPr>
              <w:pStyle w:val="34"/>
              <w:spacing w:before="72" w:line="232" w:lineRule="auto"/>
              <w:ind w:left="144"/>
              <w:rPr>
                <w:b w:val="0"/>
                <w:i w:val="0"/>
                <w:color w:val="000000"/>
                <w:sz w:val="22"/>
                <w:szCs w:val="22"/>
              </w:rPr>
            </w:pPr>
            <w:r>
              <w:rPr>
                <w:b w:val="0"/>
                <w:i w:val="0"/>
                <w:color w:val="000000"/>
                <w:spacing w:val="-8"/>
                <w:sz w:val="22"/>
                <w:szCs w:val="22"/>
              </w:rPr>
              <w:t>（1）</w:t>
            </w:r>
          </w:p>
        </w:tc>
        <w:tc>
          <w:tcPr>
            <w:tcW w:w="1246" w:type="dxa"/>
            <w:shd w:val="clear" w:color="auto" w:fill="FFFFFF"/>
            <w:vAlign w:val="top"/>
          </w:tcPr>
          <w:p w14:paraId="3F57019E">
            <w:pPr>
              <w:spacing w:line="261" w:lineRule="auto"/>
              <w:rPr>
                <w:rFonts w:ascii="Arial"/>
                <w:b w:val="0"/>
                <w:i w:val="0"/>
                <w:color w:val="000000"/>
                <w:sz w:val="21"/>
              </w:rPr>
            </w:pPr>
          </w:p>
          <w:p w14:paraId="38D3EAC1">
            <w:pPr>
              <w:spacing w:line="262" w:lineRule="auto"/>
              <w:rPr>
                <w:rFonts w:ascii="Arial"/>
                <w:b w:val="0"/>
                <w:i w:val="0"/>
                <w:color w:val="000000"/>
                <w:sz w:val="21"/>
              </w:rPr>
            </w:pPr>
          </w:p>
          <w:p w14:paraId="031ECE29">
            <w:pPr>
              <w:spacing w:line="262" w:lineRule="auto"/>
              <w:rPr>
                <w:rFonts w:ascii="Arial"/>
                <w:b w:val="0"/>
                <w:i w:val="0"/>
                <w:color w:val="000000"/>
                <w:sz w:val="21"/>
              </w:rPr>
            </w:pPr>
          </w:p>
          <w:p w14:paraId="28D3D9AF">
            <w:pPr>
              <w:spacing w:line="262" w:lineRule="auto"/>
              <w:rPr>
                <w:rFonts w:ascii="Arial"/>
                <w:b w:val="0"/>
                <w:i w:val="0"/>
                <w:color w:val="000000"/>
                <w:sz w:val="21"/>
              </w:rPr>
            </w:pPr>
          </w:p>
          <w:p w14:paraId="5342BF51">
            <w:pPr>
              <w:spacing w:line="262" w:lineRule="auto"/>
              <w:rPr>
                <w:rFonts w:ascii="Arial"/>
                <w:b w:val="0"/>
                <w:i w:val="0"/>
                <w:color w:val="000000"/>
                <w:sz w:val="21"/>
              </w:rPr>
            </w:pPr>
          </w:p>
          <w:p w14:paraId="4732C7E5">
            <w:pPr>
              <w:spacing w:line="262" w:lineRule="auto"/>
              <w:rPr>
                <w:rFonts w:ascii="Arial"/>
                <w:b w:val="0"/>
                <w:i w:val="0"/>
                <w:color w:val="000000"/>
                <w:sz w:val="21"/>
              </w:rPr>
            </w:pPr>
          </w:p>
          <w:p w14:paraId="6E8587D2">
            <w:pPr>
              <w:spacing w:line="262" w:lineRule="auto"/>
              <w:rPr>
                <w:rFonts w:ascii="Arial"/>
                <w:b w:val="0"/>
                <w:i w:val="0"/>
                <w:color w:val="000000"/>
                <w:sz w:val="21"/>
              </w:rPr>
            </w:pPr>
          </w:p>
          <w:p w14:paraId="6CC71E03">
            <w:pPr>
              <w:spacing w:line="262" w:lineRule="auto"/>
              <w:rPr>
                <w:rFonts w:ascii="Arial"/>
                <w:b w:val="0"/>
                <w:i w:val="0"/>
                <w:color w:val="000000"/>
                <w:sz w:val="21"/>
              </w:rPr>
            </w:pPr>
          </w:p>
          <w:p w14:paraId="018CF2FD">
            <w:pPr>
              <w:spacing w:line="262" w:lineRule="auto"/>
              <w:rPr>
                <w:rFonts w:ascii="Arial"/>
                <w:b w:val="0"/>
                <w:i w:val="0"/>
                <w:color w:val="000000"/>
                <w:sz w:val="21"/>
              </w:rPr>
            </w:pPr>
          </w:p>
          <w:p w14:paraId="2FF16185">
            <w:pPr>
              <w:pStyle w:val="34"/>
              <w:spacing w:before="72" w:line="219" w:lineRule="auto"/>
              <w:ind w:left="124"/>
              <w:rPr>
                <w:b w:val="0"/>
                <w:i w:val="0"/>
                <w:color w:val="000000"/>
                <w:sz w:val="22"/>
                <w:szCs w:val="22"/>
              </w:rPr>
            </w:pPr>
            <w:r>
              <w:rPr>
                <w:b w:val="0"/>
                <w:i w:val="0"/>
                <w:color w:val="000000"/>
                <w:spacing w:val="-5"/>
                <w:sz w:val="22"/>
                <w:szCs w:val="22"/>
              </w:rPr>
              <w:t>投标报价</w:t>
            </w:r>
          </w:p>
          <w:p w14:paraId="0D7CFBAB">
            <w:pPr>
              <w:pStyle w:val="34"/>
              <w:spacing w:before="3" w:line="221" w:lineRule="auto"/>
              <w:ind w:left="135"/>
              <w:rPr>
                <w:b w:val="0"/>
                <w:i w:val="0"/>
                <w:color w:val="000000"/>
                <w:sz w:val="22"/>
                <w:szCs w:val="22"/>
              </w:rPr>
            </w:pPr>
            <w:r>
              <w:rPr>
                <w:b w:val="0"/>
                <w:i w:val="0"/>
                <w:color w:val="000000"/>
                <w:spacing w:val="-8"/>
                <w:sz w:val="22"/>
                <w:szCs w:val="22"/>
              </w:rPr>
              <w:t>（30分）</w:t>
            </w:r>
          </w:p>
        </w:tc>
        <w:tc>
          <w:tcPr>
            <w:tcW w:w="1288" w:type="dxa"/>
            <w:shd w:val="clear" w:color="auto" w:fill="FFFFFF"/>
            <w:vAlign w:val="top"/>
          </w:tcPr>
          <w:p w14:paraId="00CB2F0E">
            <w:pPr>
              <w:spacing w:line="249" w:lineRule="auto"/>
              <w:rPr>
                <w:rFonts w:ascii="Arial"/>
                <w:b w:val="0"/>
                <w:i w:val="0"/>
                <w:color w:val="000000"/>
                <w:sz w:val="21"/>
              </w:rPr>
            </w:pPr>
          </w:p>
          <w:p w14:paraId="0EB2F2BF">
            <w:pPr>
              <w:spacing w:line="249" w:lineRule="auto"/>
              <w:rPr>
                <w:rFonts w:ascii="Arial"/>
                <w:b w:val="0"/>
                <w:i w:val="0"/>
                <w:color w:val="000000"/>
                <w:sz w:val="21"/>
              </w:rPr>
            </w:pPr>
          </w:p>
          <w:p w14:paraId="6DCEF2DE">
            <w:pPr>
              <w:spacing w:line="250" w:lineRule="auto"/>
              <w:rPr>
                <w:rFonts w:ascii="Arial"/>
                <w:b w:val="0"/>
                <w:i w:val="0"/>
                <w:color w:val="000000"/>
                <w:sz w:val="21"/>
              </w:rPr>
            </w:pPr>
          </w:p>
          <w:p w14:paraId="0D888244">
            <w:pPr>
              <w:spacing w:line="250" w:lineRule="auto"/>
              <w:rPr>
                <w:rFonts w:ascii="Arial"/>
                <w:b w:val="0"/>
                <w:i w:val="0"/>
                <w:color w:val="000000"/>
                <w:sz w:val="21"/>
              </w:rPr>
            </w:pPr>
          </w:p>
          <w:p w14:paraId="6308C843">
            <w:pPr>
              <w:spacing w:line="250" w:lineRule="auto"/>
              <w:rPr>
                <w:rFonts w:ascii="Arial"/>
                <w:b w:val="0"/>
                <w:i w:val="0"/>
                <w:color w:val="000000"/>
                <w:sz w:val="21"/>
              </w:rPr>
            </w:pPr>
          </w:p>
          <w:p w14:paraId="2CD535C4">
            <w:pPr>
              <w:spacing w:line="250" w:lineRule="auto"/>
              <w:rPr>
                <w:rFonts w:ascii="Arial"/>
                <w:b w:val="0"/>
                <w:i w:val="0"/>
                <w:color w:val="000000"/>
                <w:sz w:val="21"/>
              </w:rPr>
            </w:pPr>
          </w:p>
          <w:p w14:paraId="34A0F2E0">
            <w:pPr>
              <w:spacing w:line="250" w:lineRule="auto"/>
              <w:rPr>
                <w:rFonts w:ascii="Arial"/>
                <w:b w:val="0"/>
                <w:i w:val="0"/>
                <w:color w:val="000000"/>
                <w:sz w:val="21"/>
              </w:rPr>
            </w:pPr>
          </w:p>
          <w:p w14:paraId="133DD70D">
            <w:pPr>
              <w:spacing w:line="250" w:lineRule="auto"/>
              <w:rPr>
                <w:rFonts w:ascii="Arial"/>
                <w:b w:val="0"/>
                <w:i w:val="0"/>
                <w:color w:val="000000"/>
                <w:sz w:val="21"/>
              </w:rPr>
            </w:pPr>
          </w:p>
          <w:p w14:paraId="60D6956F">
            <w:pPr>
              <w:spacing w:line="250" w:lineRule="auto"/>
              <w:rPr>
                <w:rFonts w:ascii="Arial"/>
                <w:b w:val="0"/>
                <w:i w:val="0"/>
                <w:color w:val="000000"/>
                <w:sz w:val="21"/>
              </w:rPr>
            </w:pPr>
          </w:p>
          <w:p w14:paraId="23D71E17">
            <w:pPr>
              <w:spacing w:line="250" w:lineRule="auto"/>
              <w:rPr>
                <w:rFonts w:ascii="Arial"/>
                <w:b w:val="0"/>
                <w:i w:val="0"/>
                <w:color w:val="000000"/>
                <w:sz w:val="21"/>
              </w:rPr>
            </w:pPr>
          </w:p>
          <w:p w14:paraId="7CEDB722">
            <w:pPr>
              <w:pStyle w:val="34"/>
              <w:spacing w:before="72" w:line="219" w:lineRule="auto"/>
              <w:ind w:left="275"/>
              <w:rPr>
                <w:b w:val="0"/>
                <w:i w:val="0"/>
                <w:color w:val="000000"/>
                <w:sz w:val="22"/>
                <w:szCs w:val="22"/>
              </w:rPr>
            </w:pPr>
            <w:r>
              <w:rPr>
                <w:b w:val="0"/>
                <w:i w:val="0"/>
                <w:color w:val="000000"/>
                <w:spacing w:val="-3"/>
                <w:sz w:val="22"/>
                <w:szCs w:val="22"/>
              </w:rPr>
              <w:t>投标报价</w:t>
            </w:r>
          </w:p>
          <w:p w14:paraId="0BB043D5">
            <w:pPr>
              <w:pStyle w:val="34"/>
              <w:spacing w:before="77" w:line="221" w:lineRule="auto"/>
              <w:ind w:left="279"/>
              <w:rPr>
                <w:b w:val="0"/>
                <w:i w:val="0"/>
                <w:color w:val="000000"/>
                <w:sz w:val="22"/>
                <w:szCs w:val="22"/>
              </w:rPr>
            </w:pPr>
            <w:r>
              <w:rPr>
                <w:b w:val="0"/>
                <w:i w:val="0"/>
                <w:color w:val="000000"/>
                <w:spacing w:val="-6"/>
                <w:sz w:val="22"/>
                <w:szCs w:val="22"/>
              </w:rPr>
              <w:t>（30分）</w:t>
            </w:r>
          </w:p>
        </w:tc>
        <w:tc>
          <w:tcPr>
            <w:tcW w:w="6047" w:type="dxa"/>
            <w:shd w:val="clear" w:color="auto" w:fill="FFFFFF"/>
            <w:vAlign w:val="top"/>
          </w:tcPr>
          <w:p w14:paraId="1944E972">
            <w:pPr>
              <w:pStyle w:val="34"/>
              <w:spacing w:before="59" w:line="233" w:lineRule="auto"/>
              <w:ind w:left="126" w:right="443" w:firstLine="31"/>
              <w:jc w:val="both"/>
              <w:rPr>
                <w:b w:val="0"/>
                <w:i w:val="0"/>
                <w:color w:val="000000"/>
                <w:sz w:val="22"/>
                <w:szCs w:val="22"/>
              </w:rPr>
            </w:pPr>
            <w:r>
              <w:rPr>
                <w:b w:val="0"/>
                <w:i w:val="0"/>
                <w:color w:val="000000"/>
                <w:spacing w:val="-3"/>
                <w:sz w:val="22"/>
                <w:szCs w:val="22"/>
              </w:rPr>
              <w:t>1、满足招标文件要求且投标价格最低的投标报价为评标</w:t>
            </w:r>
            <w:r>
              <w:rPr>
                <w:b w:val="0"/>
                <w:i w:val="0"/>
                <w:color w:val="000000"/>
                <w:spacing w:val="-1"/>
                <w:sz w:val="22"/>
                <w:szCs w:val="22"/>
              </w:rPr>
              <w:t>基准价,其价格分为满分。其余各投标人的投标</w:t>
            </w:r>
            <w:r>
              <w:rPr>
                <w:b w:val="0"/>
                <w:i w:val="0"/>
                <w:color w:val="000000"/>
                <w:spacing w:val="-2"/>
                <w:sz w:val="22"/>
                <w:szCs w:val="22"/>
              </w:rPr>
              <w:t>报价得分=评标基准价÷投标报价×30分。</w:t>
            </w:r>
          </w:p>
          <w:p w14:paraId="7D75D315">
            <w:pPr>
              <w:pStyle w:val="34"/>
              <w:spacing w:before="32" w:line="236" w:lineRule="auto"/>
              <w:ind w:left="131" w:right="118" w:hanging="1"/>
              <w:rPr>
                <w:b w:val="0"/>
                <w:i w:val="0"/>
                <w:color w:val="000000"/>
                <w:sz w:val="22"/>
                <w:szCs w:val="22"/>
              </w:rPr>
            </w:pPr>
            <w:r>
              <w:rPr>
                <w:b w:val="0"/>
                <w:i w:val="0"/>
                <w:color w:val="000000"/>
                <w:spacing w:val="-1"/>
                <w:sz w:val="22"/>
                <w:szCs w:val="22"/>
              </w:rPr>
              <w:t>2.价格扣除：供应商为小微企业的，则给</w:t>
            </w:r>
            <w:r>
              <w:rPr>
                <w:b w:val="0"/>
                <w:i w:val="0"/>
                <w:color w:val="000000"/>
                <w:spacing w:val="-2"/>
                <w:sz w:val="22"/>
                <w:szCs w:val="22"/>
              </w:rPr>
              <w:t>予总报价20%的扣除</w:t>
            </w:r>
            <w:r>
              <w:rPr>
                <w:b w:val="0"/>
                <w:i w:val="0"/>
                <w:color w:val="000000"/>
                <w:spacing w:val="2"/>
                <w:sz w:val="22"/>
                <w:szCs w:val="22"/>
              </w:rPr>
              <w:t>,用扣除后的价格参与评审。参加投标的中小企业，应当按</w:t>
            </w:r>
            <w:r>
              <w:rPr>
                <w:b w:val="0"/>
                <w:i w:val="0"/>
                <w:color w:val="000000"/>
                <w:spacing w:val="-2"/>
                <w:sz w:val="22"/>
                <w:szCs w:val="22"/>
              </w:rPr>
              <w:t>照《政府采购促进中小企业发展管理办法》（财库〔2020〕</w:t>
            </w:r>
          </w:p>
          <w:p w14:paraId="4A2353A8">
            <w:pPr>
              <w:pStyle w:val="34"/>
              <w:spacing w:line="219" w:lineRule="auto"/>
              <w:ind w:left="124"/>
              <w:rPr>
                <w:b w:val="0"/>
                <w:i w:val="0"/>
                <w:color w:val="000000"/>
                <w:sz w:val="22"/>
                <w:szCs w:val="22"/>
              </w:rPr>
            </w:pPr>
            <w:r>
              <w:rPr>
                <w:b w:val="0"/>
                <w:i w:val="0"/>
                <w:color w:val="000000"/>
                <w:spacing w:val="-1"/>
                <w:sz w:val="22"/>
                <w:szCs w:val="22"/>
              </w:rPr>
              <w:t>46号）的规定提供《中小企业声明函》（依据国务院批准</w:t>
            </w:r>
          </w:p>
          <w:p w14:paraId="04AC6406">
            <w:pPr>
              <w:pStyle w:val="34"/>
              <w:spacing w:before="22" w:line="238" w:lineRule="auto"/>
              <w:ind w:left="125" w:right="110" w:firstLine="18"/>
              <w:rPr>
                <w:b w:val="0"/>
                <w:i w:val="0"/>
                <w:color w:val="000000"/>
                <w:sz w:val="22"/>
                <w:szCs w:val="22"/>
              </w:rPr>
            </w:pPr>
            <w:r>
              <w:rPr>
                <w:b w:val="0"/>
                <w:i w:val="0"/>
                <w:color w:val="000000"/>
                <w:spacing w:val="-2"/>
                <w:sz w:val="22"/>
                <w:szCs w:val="22"/>
              </w:rPr>
              <w:t>的中小企业划分标准确定的中型企业、小型企业和微型企业</w:t>
            </w:r>
            <w:r>
              <w:rPr>
                <w:b w:val="0"/>
                <w:i w:val="0"/>
                <w:color w:val="000000"/>
                <w:spacing w:val="1"/>
                <w:sz w:val="22"/>
                <w:szCs w:val="22"/>
              </w:rPr>
              <w:t>,但与大企业的负责人为同一人,或者与大企业存在直接控</w:t>
            </w:r>
            <w:r>
              <w:rPr>
                <w:b w:val="0"/>
                <w:i w:val="0"/>
                <w:color w:val="000000"/>
                <w:spacing w:val="-7"/>
                <w:sz w:val="22"/>
                <w:szCs w:val="22"/>
              </w:rPr>
              <w:t>股、管理关系的除外）。</w:t>
            </w:r>
          </w:p>
          <w:p w14:paraId="44BD7416">
            <w:pPr>
              <w:pStyle w:val="34"/>
              <w:spacing w:before="8" w:line="224" w:lineRule="auto"/>
              <w:ind w:left="125" w:right="111"/>
              <w:rPr>
                <w:b w:val="0"/>
                <w:i w:val="0"/>
                <w:color w:val="000000"/>
                <w:sz w:val="22"/>
                <w:szCs w:val="22"/>
              </w:rPr>
            </w:pPr>
            <w:r>
              <w:rPr>
                <w:b w:val="0"/>
                <w:i w:val="0"/>
                <w:color w:val="000000"/>
                <w:spacing w:val="-1"/>
                <w:sz w:val="22"/>
                <w:szCs w:val="22"/>
              </w:rPr>
              <w:t>根据财政部司法部《关于政府采购支持监狱企业发展有关问</w:t>
            </w:r>
            <w:r>
              <w:rPr>
                <w:b w:val="0"/>
                <w:i w:val="0"/>
                <w:color w:val="000000"/>
                <w:spacing w:val="-2"/>
                <w:sz w:val="22"/>
                <w:szCs w:val="22"/>
              </w:rPr>
              <w:t>题的通知》（财库〔2014〕68号）和财政部民政部中国残疾</w:t>
            </w:r>
            <w:r>
              <w:rPr>
                <w:b w:val="0"/>
                <w:i w:val="0"/>
                <w:color w:val="000000"/>
                <w:spacing w:val="1"/>
                <w:sz w:val="22"/>
                <w:szCs w:val="22"/>
              </w:rPr>
              <w:t>人联合会《关于促进残疾人就业政府采购政策的通知》(</w:t>
            </w:r>
            <w:r>
              <w:rPr>
                <w:b w:val="0"/>
                <w:i w:val="0"/>
                <w:color w:val="000000"/>
                <w:spacing w:val="-4"/>
                <w:sz w:val="22"/>
                <w:szCs w:val="22"/>
              </w:rPr>
              <w:t>财库〔2017〕141号）规定，</w:t>
            </w:r>
          </w:p>
          <w:p w14:paraId="1662267F">
            <w:pPr>
              <w:pStyle w:val="34"/>
              <w:spacing w:before="21" w:line="232" w:lineRule="auto"/>
              <w:ind w:left="126" w:right="228"/>
              <w:rPr>
                <w:b w:val="0"/>
                <w:i w:val="0"/>
                <w:color w:val="000000"/>
                <w:sz w:val="22"/>
                <w:szCs w:val="22"/>
              </w:rPr>
            </w:pPr>
            <w:r>
              <w:rPr>
                <w:b w:val="0"/>
                <w:i w:val="0"/>
                <w:color w:val="000000"/>
                <w:spacing w:val="-2"/>
                <w:sz w:val="22"/>
                <w:szCs w:val="22"/>
              </w:rPr>
              <w:t>本项目对监狱企业、残疾人福利企业作为供应商所提供的服</w:t>
            </w:r>
            <w:r>
              <w:rPr>
                <w:b w:val="0"/>
                <w:i w:val="0"/>
                <w:color w:val="000000"/>
                <w:spacing w:val="-4"/>
                <w:sz w:val="22"/>
                <w:szCs w:val="22"/>
              </w:rPr>
              <w:t>务的给予20%的扣除。</w:t>
            </w:r>
          </w:p>
          <w:p w14:paraId="4FA134AA">
            <w:pPr>
              <w:pStyle w:val="34"/>
              <w:spacing w:before="23" w:line="236" w:lineRule="auto"/>
              <w:ind w:left="133" w:right="249" w:hanging="23"/>
              <w:rPr>
                <w:b w:val="0"/>
                <w:i w:val="0"/>
                <w:color w:val="000000"/>
                <w:sz w:val="22"/>
                <w:szCs w:val="22"/>
              </w:rPr>
            </w:pPr>
            <w:r>
              <w:rPr>
                <w:b w:val="0"/>
                <w:i w:val="0"/>
                <w:color w:val="000000"/>
                <w:spacing w:val="-2"/>
                <w:sz w:val="22"/>
                <w:szCs w:val="22"/>
              </w:rPr>
              <w:t>【供应商需提供中小企业认定证书或监狱企业、残疾人福利企业相关证明文件】，否则不予认可。</w:t>
            </w:r>
          </w:p>
          <w:p w14:paraId="486FB4AD">
            <w:pPr>
              <w:pStyle w:val="34"/>
              <w:spacing w:before="12" w:line="217" w:lineRule="auto"/>
              <w:ind w:left="131" w:right="219" w:firstLine="39"/>
              <w:rPr>
                <w:b w:val="0"/>
                <w:i w:val="0"/>
                <w:color w:val="000000"/>
                <w:sz w:val="22"/>
                <w:szCs w:val="22"/>
              </w:rPr>
            </w:pPr>
            <w:r>
              <w:rPr>
                <w:b w:val="0"/>
                <w:i w:val="0"/>
                <w:color w:val="000000"/>
                <w:spacing w:val="-5"/>
                <w:sz w:val="22"/>
                <w:szCs w:val="22"/>
              </w:rPr>
              <w:t>同一供应商（包括联合体</w:t>
            </w:r>
            <w:r>
              <w:rPr>
                <w:b w:val="0"/>
                <w:i w:val="0"/>
                <w:color w:val="000000"/>
                <w:spacing w:val="25"/>
                <w:sz w:val="22"/>
                <w:szCs w:val="22"/>
              </w:rPr>
              <w:t>），</w:t>
            </w:r>
            <w:r>
              <w:rPr>
                <w:b w:val="0"/>
                <w:i w:val="0"/>
                <w:color w:val="000000"/>
                <w:spacing w:val="-5"/>
                <w:sz w:val="22"/>
                <w:szCs w:val="22"/>
              </w:rPr>
              <w:t>小微企业、监狱、残疾人福利</w:t>
            </w:r>
            <w:r>
              <w:rPr>
                <w:b w:val="0"/>
                <w:i w:val="0"/>
                <w:color w:val="000000"/>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000000"/>
                <w:sz w:val="21"/>
              </w:rPr>
            </w:pPr>
          </w:p>
          <w:p w14:paraId="59A093AF">
            <w:pPr>
              <w:spacing w:line="241" w:lineRule="auto"/>
              <w:rPr>
                <w:rFonts w:ascii="Arial"/>
                <w:b w:val="0"/>
                <w:i w:val="0"/>
                <w:color w:val="000000"/>
                <w:sz w:val="21"/>
              </w:rPr>
            </w:pPr>
          </w:p>
          <w:p w14:paraId="464298B2">
            <w:pPr>
              <w:spacing w:line="241" w:lineRule="auto"/>
              <w:rPr>
                <w:rFonts w:ascii="Arial"/>
                <w:b w:val="0"/>
                <w:i w:val="0"/>
                <w:color w:val="000000"/>
                <w:sz w:val="21"/>
              </w:rPr>
            </w:pPr>
          </w:p>
          <w:p w14:paraId="07A596B8">
            <w:pPr>
              <w:spacing w:line="241" w:lineRule="auto"/>
              <w:rPr>
                <w:rFonts w:ascii="Arial"/>
                <w:b w:val="0"/>
                <w:i w:val="0"/>
                <w:color w:val="000000"/>
                <w:sz w:val="21"/>
              </w:rPr>
            </w:pPr>
          </w:p>
          <w:p w14:paraId="77644EE8">
            <w:pPr>
              <w:spacing w:line="241" w:lineRule="auto"/>
              <w:rPr>
                <w:rFonts w:ascii="Arial"/>
                <w:b w:val="0"/>
                <w:i w:val="0"/>
                <w:color w:val="000000"/>
                <w:sz w:val="21"/>
              </w:rPr>
            </w:pPr>
          </w:p>
          <w:p w14:paraId="3534F068">
            <w:pPr>
              <w:spacing w:line="241" w:lineRule="auto"/>
              <w:rPr>
                <w:rFonts w:ascii="Arial"/>
                <w:b w:val="0"/>
                <w:i w:val="0"/>
                <w:color w:val="000000"/>
                <w:sz w:val="21"/>
              </w:rPr>
            </w:pPr>
          </w:p>
          <w:p w14:paraId="0EE21537">
            <w:pPr>
              <w:spacing w:line="241" w:lineRule="auto"/>
              <w:rPr>
                <w:rFonts w:ascii="Arial"/>
                <w:b w:val="0"/>
                <w:i w:val="0"/>
                <w:color w:val="000000"/>
                <w:sz w:val="21"/>
              </w:rPr>
            </w:pPr>
          </w:p>
          <w:p w14:paraId="2EF9A0BB">
            <w:pPr>
              <w:spacing w:line="241" w:lineRule="auto"/>
              <w:rPr>
                <w:rFonts w:ascii="Arial"/>
                <w:b w:val="0"/>
                <w:i w:val="0"/>
                <w:color w:val="000000"/>
                <w:sz w:val="21"/>
              </w:rPr>
            </w:pPr>
          </w:p>
          <w:p w14:paraId="79E2A184">
            <w:pPr>
              <w:spacing w:line="242" w:lineRule="auto"/>
              <w:rPr>
                <w:rFonts w:ascii="Arial"/>
                <w:b w:val="0"/>
                <w:i w:val="0"/>
                <w:color w:val="000000"/>
                <w:sz w:val="21"/>
              </w:rPr>
            </w:pPr>
          </w:p>
          <w:p w14:paraId="7E863F5A">
            <w:pPr>
              <w:spacing w:line="242" w:lineRule="auto"/>
              <w:rPr>
                <w:rFonts w:ascii="Arial"/>
                <w:b w:val="0"/>
                <w:i w:val="0"/>
                <w:color w:val="000000"/>
                <w:sz w:val="21"/>
              </w:rPr>
            </w:pPr>
          </w:p>
          <w:p w14:paraId="74F84414">
            <w:pPr>
              <w:spacing w:line="242" w:lineRule="auto"/>
              <w:rPr>
                <w:rFonts w:ascii="Arial"/>
                <w:b w:val="0"/>
                <w:i w:val="0"/>
                <w:color w:val="000000"/>
                <w:sz w:val="21"/>
              </w:rPr>
            </w:pPr>
          </w:p>
          <w:p w14:paraId="74DCA122">
            <w:pPr>
              <w:spacing w:line="242" w:lineRule="auto"/>
              <w:rPr>
                <w:rFonts w:ascii="Arial"/>
                <w:b w:val="0"/>
                <w:i w:val="0"/>
                <w:color w:val="000000"/>
                <w:sz w:val="21"/>
              </w:rPr>
            </w:pPr>
          </w:p>
          <w:p w14:paraId="561847ED">
            <w:pPr>
              <w:spacing w:line="242" w:lineRule="auto"/>
              <w:rPr>
                <w:rFonts w:ascii="Arial"/>
                <w:b w:val="0"/>
                <w:i w:val="0"/>
                <w:color w:val="000000"/>
                <w:sz w:val="21"/>
              </w:rPr>
            </w:pPr>
          </w:p>
          <w:p w14:paraId="22075CB2">
            <w:pPr>
              <w:spacing w:line="242" w:lineRule="auto"/>
              <w:rPr>
                <w:rFonts w:ascii="Arial"/>
                <w:b w:val="0"/>
                <w:i w:val="0"/>
                <w:color w:val="000000"/>
                <w:sz w:val="21"/>
              </w:rPr>
            </w:pPr>
          </w:p>
          <w:p w14:paraId="6DFB30E9">
            <w:pPr>
              <w:spacing w:line="242" w:lineRule="auto"/>
              <w:rPr>
                <w:rFonts w:ascii="Arial"/>
                <w:b w:val="0"/>
                <w:i w:val="0"/>
                <w:color w:val="000000"/>
                <w:sz w:val="21"/>
              </w:rPr>
            </w:pPr>
          </w:p>
          <w:p w14:paraId="03ABA4B3">
            <w:pPr>
              <w:spacing w:line="242" w:lineRule="auto"/>
              <w:rPr>
                <w:rFonts w:ascii="Arial"/>
                <w:b w:val="0"/>
                <w:i w:val="0"/>
                <w:color w:val="000000"/>
                <w:sz w:val="21"/>
              </w:rPr>
            </w:pPr>
          </w:p>
          <w:p w14:paraId="350D0EA2">
            <w:pPr>
              <w:spacing w:line="242" w:lineRule="auto"/>
              <w:rPr>
                <w:rFonts w:ascii="Arial"/>
                <w:b w:val="0"/>
                <w:i w:val="0"/>
                <w:color w:val="000000"/>
                <w:sz w:val="21"/>
              </w:rPr>
            </w:pPr>
          </w:p>
          <w:p w14:paraId="7BD59A29">
            <w:pPr>
              <w:spacing w:line="242" w:lineRule="auto"/>
              <w:rPr>
                <w:rFonts w:ascii="Arial"/>
                <w:b w:val="0"/>
                <w:i w:val="0"/>
                <w:color w:val="000000"/>
                <w:sz w:val="21"/>
              </w:rPr>
            </w:pPr>
          </w:p>
          <w:p w14:paraId="11E1C2D8">
            <w:pPr>
              <w:spacing w:line="242" w:lineRule="auto"/>
              <w:rPr>
                <w:rFonts w:ascii="Arial"/>
                <w:b w:val="0"/>
                <w:i w:val="0"/>
                <w:color w:val="000000"/>
                <w:sz w:val="21"/>
              </w:rPr>
            </w:pPr>
          </w:p>
          <w:p w14:paraId="0A799A45">
            <w:pPr>
              <w:pStyle w:val="34"/>
              <w:spacing w:before="71" w:line="232" w:lineRule="auto"/>
              <w:ind w:left="146"/>
              <w:rPr>
                <w:b w:val="0"/>
                <w:i w:val="0"/>
                <w:color w:val="000000"/>
                <w:sz w:val="22"/>
                <w:szCs w:val="22"/>
              </w:rPr>
            </w:pPr>
            <w:r>
              <w:rPr>
                <w:b w:val="0"/>
                <w:i w:val="0"/>
                <w:color w:val="000000"/>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000000"/>
                <w:sz w:val="21"/>
              </w:rPr>
            </w:pPr>
          </w:p>
          <w:p w14:paraId="0493DB1D">
            <w:pPr>
              <w:spacing w:line="245" w:lineRule="auto"/>
              <w:rPr>
                <w:rFonts w:ascii="Arial"/>
                <w:b w:val="0"/>
                <w:i w:val="0"/>
                <w:color w:val="000000"/>
                <w:sz w:val="21"/>
              </w:rPr>
            </w:pPr>
          </w:p>
          <w:p w14:paraId="6C8D5CE4">
            <w:pPr>
              <w:spacing w:line="245" w:lineRule="auto"/>
              <w:rPr>
                <w:rFonts w:ascii="Arial"/>
                <w:b w:val="0"/>
                <w:i w:val="0"/>
                <w:color w:val="000000"/>
                <w:sz w:val="21"/>
              </w:rPr>
            </w:pPr>
          </w:p>
          <w:p w14:paraId="109A795F">
            <w:pPr>
              <w:spacing w:line="245" w:lineRule="auto"/>
              <w:rPr>
                <w:rFonts w:ascii="Arial"/>
                <w:b w:val="0"/>
                <w:i w:val="0"/>
                <w:color w:val="000000"/>
                <w:sz w:val="21"/>
              </w:rPr>
            </w:pPr>
          </w:p>
          <w:p w14:paraId="522796C6">
            <w:pPr>
              <w:spacing w:line="245" w:lineRule="auto"/>
              <w:rPr>
                <w:rFonts w:ascii="Arial"/>
                <w:b w:val="0"/>
                <w:i w:val="0"/>
                <w:color w:val="000000"/>
                <w:sz w:val="21"/>
              </w:rPr>
            </w:pPr>
          </w:p>
          <w:p w14:paraId="38707CB2">
            <w:pPr>
              <w:spacing w:line="245" w:lineRule="auto"/>
              <w:rPr>
                <w:rFonts w:ascii="Arial"/>
                <w:b w:val="0"/>
                <w:i w:val="0"/>
                <w:color w:val="000000"/>
                <w:sz w:val="21"/>
              </w:rPr>
            </w:pPr>
          </w:p>
          <w:p w14:paraId="7D2E3823">
            <w:pPr>
              <w:spacing w:line="245" w:lineRule="auto"/>
              <w:rPr>
                <w:rFonts w:ascii="Arial"/>
                <w:b w:val="0"/>
                <w:i w:val="0"/>
                <w:color w:val="000000"/>
                <w:sz w:val="21"/>
              </w:rPr>
            </w:pPr>
          </w:p>
          <w:p w14:paraId="66861DA1">
            <w:pPr>
              <w:spacing w:line="245" w:lineRule="auto"/>
              <w:rPr>
                <w:rFonts w:ascii="Arial"/>
                <w:b w:val="0"/>
                <w:i w:val="0"/>
                <w:color w:val="000000"/>
                <w:sz w:val="21"/>
              </w:rPr>
            </w:pPr>
          </w:p>
          <w:p w14:paraId="765EFAF5">
            <w:pPr>
              <w:spacing w:line="245" w:lineRule="auto"/>
              <w:rPr>
                <w:rFonts w:ascii="Arial"/>
                <w:b w:val="0"/>
                <w:i w:val="0"/>
                <w:color w:val="000000"/>
                <w:sz w:val="21"/>
              </w:rPr>
            </w:pPr>
          </w:p>
          <w:p w14:paraId="6293CE21">
            <w:pPr>
              <w:spacing w:line="246" w:lineRule="auto"/>
              <w:rPr>
                <w:rFonts w:ascii="Arial"/>
                <w:b w:val="0"/>
                <w:i w:val="0"/>
                <w:color w:val="000000"/>
                <w:sz w:val="21"/>
              </w:rPr>
            </w:pPr>
          </w:p>
          <w:p w14:paraId="1CD22CD3">
            <w:pPr>
              <w:spacing w:line="246" w:lineRule="auto"/>
              <w:rPr>
                <w:rFonts w:ascii="Arial"/>
                <w:b w:val="0"/>
                <w:i w:val="0"/>
                <w:color w:val="000000"/>
                <w:sz w:val="21"/>
              </w:rPr>
            </w:pPr>
          </w:p>
          <w:p w14:paraId="2083C453">
            <w:pPr>
              <w:spacing w:line="246" w:lineRule="auto"/>
              <w:rPr>
                <w:rFonts w:ascii="Arial"/>
                <w:b w:val="0"/>
                <w:i w:val="0"/>
                <w:color w:val="000000"/>
                <w:sz w:val="21"/>
              </w:rPr>
            </w:pPr>
          </w:p>
          <w:p w14:paraId="37FF0E58">
            <w:pPr>
              <w:pStyle w:val="34"/>
              <w:spacing w:before="72" w:line="220" w:lineRule="auto"/>
              <w:ind w:left="197"/>
              <w:rPr>
                <w:b w:val="0"/>
                <w:i w:val="0"/>
                <w:color w:val="000000"/>
                <w:sz w:val="22"/>
                <w:szCs w:val="22"/>
              </w:rPr>
            </w:pPr>
            <w:r>
              <w:rPr>
                <w:b w:val="0"/>
                <w:i w:val="0"/>
                <w:color w:val="000000"/>
                <w:spacing w:val="-4"/>
                <w:sz w:val="22"/>
                <w:szCs w:val="22"/>
              </w:rPr>
              <w:t>技术部分</w:t>
            </w:r>
          </w:p>
          <w:p w14:paraId="64077AE6">
            <w:pPr>
              <w:pStyle w:val="34"/>
              <w:spacing w:before="4" w:line="221" w:lineRule="auto"/>
              <w:ind w:left="269"/>
              <w:rPr>
                <w:b w:val="0"/>
                <w:i w:val="0"/>
                <w:color w:val="000000"/>
                <w:sz w:val="22"/>
                <w:szCs w:val="22"/>
              </w:rPr>
            </w:pPr>
            <w:r>
              <w:rPr>
                <w:b w:val="0"/>
                <w:i w:val="0"/>
                <w:color w:val="000000"/>
                <w:spacing w:val="-8"/>
                <w:sz w:val="22"/>
                <w:szCs w:val="22"/>
              </w:rPr>
              <w:t>（50分）</w:t>
            </w:r>
          </w:p>
        </w:tc>
        <w:tc>
          <w:tcPr>
            <w:tcW w:w="1288" w:type="dxa"/>
            <w:shd w:val="clear" w:color="auto" w:fill="FFFFFF"/>
            <w:vAlign w:val="top"/>
          </w:tcPr>
          <w:p w14:paraId="3D4CCD01">
            <w:pPr>
              <w:pStyle w:val="34"/>
              <w:spacing w:before="131" w:line="220" w:lineRule="auto"/>
              <w:ind w:left="47"/>
              <w:rPr>
                <w:b w:val="0"/>
                <w:i w:val="0"/>
                <w:color w:val="000000"/>
                <w:sz w:val="22"/>
                <w:szCs w:val="22"/>
              </w:rPr>
            </w:pPr>
            <w:r>
              <w:rPr>
                <w:b w:val="0"/>
                <w:i w:val="0"/>
                <w:color w:val="000000"/>
                <w:spacing w:val="-3"/>
                <w:sz w:val="22"/>
                <w:szCs w:val="22"/>
              </w:rPr>
              <w:t>投标文件</w:t>
            </w:r>
          </w:p>
          <w:p w14:paraId="1204F9CE">
            <w:pPr>
              <w:pStyle w:val="34"/>
              <w:spacing w:before="9" w:line="219" w:lineRule="auto"/>
              <w:ind w:left="44"/>
              <w:rPr>
                <w:b w:val="0"/>
                <w:i w:val="0"/>
                <w:color w:val="000000"/>
                <w:sz w:val="22"/>
                <w:szCs w:val="22"/>
              </w:rPr>
            </w:pPr>
            <w:r>
              <w:rPr>
                <w:b w:val="0"/>
                <w:i w:val="0"/>
                <w:color w:val="000000"/>
                <w:spacing w:val="-3"/>
                <w:sz w:val="22"/>
                <w:szCs w:val="22"/>
              </w:rPr>
              <w:t>对采购需</w:t>
            </w:r>
          </w:p>
          <w:p w14:paraId="3DA09B02">
            <w:pPr>
              <w:pStyle w:val="34"/>
              <w:spacing w:before="11" w:line="222" w:lineRule="auto"/>
              <w:ind w:left="46"/>
              <w:rPr>
                <w:b w:val="0"/>
                <w:i w:val="0"/>
                <w:color w:val="000000"/>
                <w:sz w:val="22"/>
                <w:szCs w:val="22"/>
              </w:rPr>
            </w:pPr>
            <w:r>
              <w:rPr>
                <w:b w:val="0"/>
                <w:i w:val="0"/>
                <w:color w:val="000000"/>
                <w:spacing w:val="-3"/>
                <w:sz w:val="22"/>
                <w:szCs w:val="22"/>
              </w:rPr>
              <w:t>求的响应</w:t>
            </w:r>
          </w:p>
          <w:p w14:paraId="31A8BE13">
            <w:pPr>
              <w:pStyle w:val="34"/>
              <w:spacing w:before="9" w:line="221" w:lineRule="auto"/>
              <w:ind w:left="262"/>
              <w:rPr>
                <w:b w:val="0"/>
                <w:i w:val="0"/>
                <w:color w:val="000000"/>
                <w:sz w:val="22"/>
                <w:szCs w:val="22"/>
              </w:rPr>
            </w:pPr>
            <w:r>
              <w:rPr>
                <w:b w:val="0"/>
                <w:i w:val="0"/>
                <w:color w:val="000000"/>
                <w:spacing w:val="-3"/>
                <w:sz w:val="22"/>
                <w:szCs w:val="22"/>
              </w:rPr>
              <w:t>程度</w:t>
            </w:r>
          </w:p>
          <w:p w14:paraId="082FA55D">
            <w:pPr>
              <w:pStyle w:val="34"/>
              <w:spacing w:before="89" w:line="221" w:lineRule="auto"/>
              <w:ind w:left="51"/>
              <w:rPr>
                <w:b w:val="0"/>
                <w:i w:val="0"/>
                <w:color w:val="000000"/>
                <w:sz w:val="22"/>
                <w:szCs w:val="22"/>
              </w:rPr>
            </w:pPr>
            <w:r>
              <w:rPr>
                <w:b w:val="0"/>
                <w:i w:val="0"/>
                <w:color w:val="000000"/>
                <w:spacing w:val="-6"/>
                <w:sz w:val="22"/>
                <w:szCs w:val="22"/>
              </w:rPr>
              <w:t>（20分）</w:t>
            </w:r>
          </w:p>
        </w:tc>
        <w:tc>
          <w:tcPr>
            <w:tcW w:w="6047" w:type="dxa"/>
            <w:shd w:val="clear" w:color="auto" w:fill="FFFFFF"/>
            <w:vAlign w:val="top"/>
          </w:tcPr>
          <w:p w14:paraId="002A429F">
            <w:pPr>
              <w:pStyle w:val="34"/>
              <w:spacing w:before="146" w:line="299" w:lineRule="auto"/>
              <w:ind w:left="126" w:right="111" w:firstLine="3"/>
              <w:jc w:val="both"/>
              <w:rPr>
                <w:b w:val="0"/>
                <w:i w:val="0"/>
                <w:color w:val="000000"/>
                <w:sz w:val="22"/>
                <w:szCs w:val="22"/>
              </w:rPr>
            </w:pPr>
            <w:r>
              <w:rPr>
                <w:b w:val="0"/>
                <w:i w:val="0"/>
                <w:color w:val="000000"/>
                <w:spacing w:val="3"/>
                <w:sz w:val="22"/>
                <w:szCs w:val="22"/>
              </w:rPr>
              <w:t>投标产品技术参数、性能及产品功能全部满足招标文</w:t>
            </w:r>
            <w:r>
              <w:rPr>
                <w:b w:val="0"/>
                <w:i w:val="0"/>
                <w:color w:val="000000"/>
                <w:spacing w:val="2"/>
                <w:sz w:val="22"/>
                <w:szCs w:val="22"/>
              </w:rPr>
              <w:t>件要求</w:t>
            </w:r>
            <w:r>
              <w:rPr>
                <w:b w:val="0"/>
                <w:i w:val="0"/>
                <w:color w:val="000000"/>
                <w:spacing w:val="3"/>
                <w:sz w:val="22"/>
                <w:szCs w:val="22"/>
              </w:rPr>
              <w:t>的，得20分；若投标产品技术指标与招标要求有负</w:t>
            </w:r>
            <w:r>
              <w:rPr>
                <w:b w:val="0"/>
                <w:i w:val="0"/>
                <w:color w:val="000000"/>
                <w:spacing w:val="2"/>
                <w:sz w:val="22"/>
                <w:szCs w:val="22"/>
              </w:rPr>
              <w:t>偏离，但</w:t>
            </w:r>
            <w:r>
              <w:rPr>
                <w:b w:val="0"/>
                <w:i w:val="0"/>
                <w:color w:val="000000"/>
                <w:spacing w:val="-1"/>
                <w:sz w:val="22"/>
                <w:szCs w:val="22"/>
              </w:rPr>
              <w:t>负偏离不影响实质性响应，评委按照每一处负偏离0.5分，扣</w:t>
            </w:r>
            <w:r>
              <w:rPr>
                <w:b w:val="0"/>
                <w:i w:val="0"/>
                <w:color w:val="000000"/>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000000"/>
                <w:sz w:val="21"/>
              </w:rPr>
            </w:pPr>
          </w:p>
        </w:tc>
        <w:tc>
          <w:tcPr>
            <w:tcW w:w="1246" w:type="dxa"/>
            <w:vMerge w:val="continue"/>
            <w:shd w:val="clear" w:color="auto" w:fill="FFFFFF"/>
            <w:vAlign w:val="top"/>
          </w:tcPr>
          <w:p w14:paraId="3DAC3EF4">
            <w:pPr>
              <w:rPr>
                <w:rFonts w:ascii="Arial"/>
                <w:b w:val="0"/>
                <w:i w:val="0"/>
                <w:color w:val="000000"/>
                <w:sz w:val="21"/>
              </w:rPr>
            </w:pPr>
          </w:p>
        </w:tc>
        <w:tc>
          <w:tcPr>
            <w:tcW w:w="1288" w:type="dxa"/>
            <w:shd w:val="clear" w:color="auto" w:fill="FFFFFF"/>
            <w:vAlign w:val="top"/>
          </w:tcPr>
          <w:p w14:paraId="2B616DC3">
            <w:pPr>
              <w:spacing w:line="280" w:lineRule="auto"/>
              <w:rPr>
                <w:rFonts w:ascii="Arial"/>
                <w:b w:val="0"/>
                <w:i w:val="0"/>
                <w:color w:val="000000"/>
                <w:sz w:val="21"/>
              </w:rPr>
            </w:pPr>
          </w:p>
          <w:p w14:paraId="791A200D">
            <w:pPr>
              <w:spacing w:line="281" w:lineRule="auto"/>
              <w:rPr>
                <w:rFonts w:ascii="Arial"/>
                <w:b w:val="0"/>
                <w:i w:val="0"/>
                <w:color w:val="000000"/>
                <w:sz w:val="21"/>
              </w:rPr>
            </w:pPr>
          </w:p>
          <w:p w14:paraId="328B76D6">
            <w:pPr>
              <w:spacing w:line="281" w:lineRule="auto"/>
              <w:rPr>
                <w:rFonts w:ascii="Arial"/>
                <w:b w:val="0"/>
                <w:i w:val="0"/>
                <w:color w:val="000000"/>
                <w:sz w:val="21"/>
              </w:rPr>
            </w:pPr>
          </w:p>
          <w:p w14:paraId="44DF0A86">
            <w:pPr>
              <w:spacing w:line="281" w:lineRule="auto"/>
              <w:rPr>
                <w:rFonts w:ascii="Arial"/>
                <w:b w:val="0"/>
                <w:i w:val="0"/>
                <w:color w:val="000000"/>
                <w:sz w:val="21"/>
              </w:rPr>
            </w:pPr>
          </w:p>
          <w:p w14:paraId="7CCD0666">
            <w:pPr>
              <w:spacing w:line="281" w:lineRule="auto"/>
              <w:rPr>
                <w:rFonts w:ascii="Arial"/>
                <w:b w:val="0"/>
                <w:i w:val="0"/>
                <w:color w:val="000000"/>
                <w:sz w:val="21"/>
              </w:rPr>
            </w:pPr>
          </w:p>
          <w:p w14:paraId="308DEBCD">
            <w:pPr>
              <w:pStyle w:val="34"/>
              <w:spacing w:before="72" w:line="219" w:lineRule="auto"/>
              <w:ind w:left="229"/>
              <w:rPr>
                <w:b w:val="0"/>
                <w:i w:val="0"/>
                <w:color w:val="000000"/>
                <w:sz w:val="22"/>
                <w:szCs w:val="22"/>
              </w:rPr>
            </w:pPr>
            <w:r>
              <w:rPr>
                <w:b w:val="0"/>
                <w:i w:val="0"/>
                <w:color w:val="000000"/>
                <w:spacing w:val="-6"/>
                <w:sz w:val="22"/>
                <w:szCs w:val="22"/>
              </w:rPr>
              <w:t>供货方案</w:t>
            </w:r>
          </w:p>
          <w:p w14:paraId="2C93A9C9">
            <w:pPr>
              <w:pStyle w:val="34"/>
              <w:spacing w:before="77" w:line="221" w:lineRule="auto"/>
              <w:ind w:left="188"/>
              <w:rPr>
                <w:b w:val="0"/>
                <w:i w:val="0"/>
                <w:color w:val="000000"/>
                <w:sz w:val="22"/>
                <w:szCs w:val="22"/>
              </w:rPr>
            </w:pPr>
            <w:r>
              <w:rPr>
                <w:b w:val="0"/>
                <w:i w:val="0"/>
                <w:color w:val="000000"/>
                <w:spacing w:val="-9"/>
                <w:sz w:val="22"/>
                <w:szCs w:val="22"/>
              </w:rPr>
              <w:t>（10分）</w:t>
            </w:r>
          </w:p>
        </w:tc>
        <w:tc>
          <w:tcPr>
            <w:tcW w:w="6047" w:type="dxa"/>
            <w:shd w:val="clear" w:color="auto" w:fill="FFFFFF"/>
            <w:vAlign w:val="top"/>
          </w:tcPr>
          <w:p w14:paraId="71BFC5AD">
            <w:pPr>
              <w:pStyle w:val="34"/>
              <w:spacing w:before="68" w:line="235" w:lineRule="auto"/>
              <w:ind w:left="143" w:right="117" w:hanging="18"/>
              <w:rPr>
                <w:b w:val="0"/>
                <w:i w:val="0"/>
                <w:color w:val="000000"/>
                <w:sz w:val="22"/>
                <w:szCs w:val="22"/>
              </w:rPr>
            </w:pPr>
            <w:r>
              <w:rPr>
                <w:b w:val="0"/>
                <w:i w:val="0"/>
                <w:color w:val="000000"/>
                <w:spacing w:val="3"/>
                <w:sz w:val="22"/>
                <w:szCs w:val="22"/>
              </w:rPr>
              <w:t>供货方案包括但不限于统一进行送货到指定地点的实施办法</w:t>
            </w:r>
            <w:r>
              <w:rPr>
                <w:b w:val="0"/>
                <w:i w:val="0"/>
                <w:color w:val="000000"/>
                <w:spacing w:val="-4"/>
                <w:sz w:val="22"/>
                <w:szCs w:val="22"/>
              </w:rPr>
              <w:t>；保证按时供货的措施；</w:t>
            </w:r>
          </w:p>
          <w:p w14:paraId="4AA7DAD9">
            <w:pPr>
              <w:pStyle w:val="34"/>
              <w:spacing w:before="23" w:line="236" w:lineRule="auto"/>
              <w:ind w:left="127" w:right="227" w:hanging="2"/>
              <w:rPr>
                <w:b w:val="0"/>
                <w:i w:val="0"/>
                <w:color w:val="000000"/>
                <w:sz w:val="22"/>
                <w:szCs w:val="22"/>
              </w:rPr>
            </w:pPr>
            <w:r>
              <w:rPr>
                <w:b w:val="0"/>
                <w:i w:val="0"/>
                <w:color w:val="000000"/>
                <w:spacing w:val="-1"/>
                <w:sz w:val="22"/>
                <w:szCs w:val="22"/>
              </w:rPr>
              <w:t>第一档：方案、措施及承诺特别全面、合理</w:t>
            </w:r>
            <w:r>
              <w:rPr>
                <w:b w:val="0"/>
                <w:i w:val="0"/>
                <w:color w:val="000000"/>
                <w:spacing w:val="-2"/>
                <w:sz w:val="22"/>
                <w:szCs w:val="22"/>
              </w:rPr>
              <w:t>、可行、可实施性强，有详细的方案及措施，能较好地满足本项目要求的得</w:t>
            </w:r>
            <w:r>
              <w:rPr>
                <w:b w:val="0"/>
                <w:i w:val="0"/>
                <w:color w:val="000000"/>
                <w:spacing w:val="-10"/>
                <w:sz w:val="22"/>
                <w:szCs w:val="22"/>
              </w:rPr>
              <w:t>10分；</w:t>
            </w:r>
          </w:p>
          <w:p w14:paraId="3574AF9C">
            <w:pPr>
              <w:pStyle w:val="34"/>
              <w:spacing w:before="12" w:line="232" w:lineRule="auto"/>
              <w:ind w:left="130" w:right="228" w:hanging="5"/>
              <w:rPr>
                <w:b w:val="0"/>
                <w:i w:val="0"/>
                <w:color w:val="000000"/>
                <w:sz w:val="22"/>
                <w:szCs w:val="22"/>
              </w:rPr>
            </w:pPr>
            <w:r>
              <w:rPr>
                <w:b w:val="0"/>
                <w:i w:val="0"/>
                <w:color w:val="000000"/>
                <w:spacing w:val="-1"/>
                <w:sz w:val="22"/>
                <w:szCs w:val="22"/>
              </w:rPr>
              <w:t>第二档：方案各方面安排较合理，方案及措</w:t>
            </w:r>
            <w:r>
              <w:rPr>
                <w:b w:val="0"/>
                <w:i w:val="0"/>
                <w:color w:val="000000"/>
                <w:spacing w:val="-2"/>
                <w:sz w:val="22"/>
                <w:szCs w:val="22"/>
              </w:rPr>
              <w:t>施简单、可实践</w:t>
            </w:r>
            <w:r>
              <w:rPr>
                <w:b w:val="0"/>
                <w:i w:val="0"/>
                <w:color w:val="000000"/>
                <w:spacing w:val="-9"/>
                <w:sz w:val="22"/>
                <w:szCs w:val="22"/>
              </w:rPr>
              <w:t>实施的得7分；</w:t>
            </w:r>
          </w:p>
          <w:p w14:paraId="25C076A3">
            <w:pPr>
              <w:pStyle w:val="34"/>
              <w:spacing w:before="20" w:line="236" w:lineRule="auto"/>
              <w:ind w:left="135" w:right="228" w:hanging="10"/>
              <w:rPr>
                <w:b w:val="0"/>
                <w:i w:val="0"/>
                <w:color w:val="000000"/>
                <w:sz w:val="22"/>
                <w:szCs w:val="22"/>
              </w:rPr>
            </w:pPr>
            <w:r>
              <w:rPr>
                <w:b w:val="0"/>
                <w:i w:val="0"/>
                <w:color w:val="000000"/>
                <w:spacing w:val="-1"/>
                <w:sz w:val="22"/>
                <w:szCs w:val="22"/>
              </w:rPr>
              <w:t>第三档：方案各方面安排较差、产品退换货</w:t>
            </w:r>
            <w:r>
              <w:rPr>
                <w:b w:val="0"/>
                <w:i w:val="0"/>
                <w:color w:val="000000"/>
                <w:spacing w:val="-2"/>
                <w:sz w:val="22"/>
                <w:szCs w:val="22"/>
              </w:rPr>
              <w:t>方案及措施实践</w:t>
            </w:r>
            <w:r>
              <w:rPr>
                <w:b w:val="0"/>
                <w:i w:val="0"/>
                <w:color w:val="000000"/>
                <w:spacing w:val="-3"/>
                <w:sz w:val="22"/>
                <w:szCs w:val="22"/>
              </w:rPr>
              <w:t>实施性较差的得3分;</w:t>
            </w:r>
          </w:p>
          <w:p w14:paraId="639B9845">
            <w:pPr>
              <w:pStyle w:val="34"/>
              <w:spacing w:before="11" w:line="230" w:lineRule="auto"/>
              <w:ind w:left="143" w:right="248" w:hanging="18"/>
              <w:rPr>
                <w:b w:val="0"/>
                <w:i w:val="0"/>
                <w:color w:val="000000"/>
                <w:sz w:val="22"/>
                <w:szCs w:val="22"/>
              </w:rPr>
            </w:pPr>
            <w:r>
              <w:rPr>
                <w:b w:val="0"/>
                <w:i w:val="0"/>
                <w:color w:val="000000"/>
                <w:spacing w:val="-2"/>
                <w:sz w:val="22"/>
                <w:szCs w:val="22"/>
              </w:rPr>
              <w:t>第四档：有方案，但内容与本项目实际不符，无操作性</w:t>
            </w:r>
            <w:r>
              <w:rPr>
                <w:b w:val="0"/>
                <w:i w:val="0"/>
                <w:color w:val="000000"/>
                <w:spacing w:val="-3"/>
                <w:sz w:val="22"/>
                <w:szCs w:val="22"/>
              </w:rPr>
              <w:t>的得</w:t>
            </w:r>
            <w:r>
              <w:rPr>
                <w:b w:val="0"/>
                <w:i w:val="0"/>
                <w:color w:val="000000"/>
                <w:spacing w:val="-20"/>
                <w:sz w:val="22"/>
                <w:szCs w:val="22"/>
              </w:rPr>
              <w:t>1分；</w:t>
            </w:r>
          </w:p>
          <w:p w14:paraId="20F9B54A">
            <w:pPr>
              <w:pStyle w:val="34"/>
              <w:spacing w:before="12" w:line="201" w:lineRule="auto"/>
              <w:ind w:left="125"/>
              <w:rPr>
                <w:b w:val="0"/>
                <w:i w:val="0"/>
                <w:color w:val="000000"/>
                <w:sz w:val="22"/>
                <w:szCs w:val="22"/>
              </w:rPr>
            </w:pPr>
            <w:r>
              <w:rPr>
                <w:b w:val="0"/>
                <w:i w:val="0"/>
                <w:color w:val="000000"/>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000000"/>
                <w:sz w:val="21"/>
              </w:rPr>
            </w:pPr>
          </w:p>
        </w:tc>
        <w:tc>
          <w:tcPr>
            <w:tcW w:w="1246" w:type="dxa"/>
            <w:vMerge w:val="continue"/>
            <w:shd w:val="clear" w:color="auto" w:fill="FFFFFF"/>
            <w:vAlign w:val="top"/>
          </w:tcPr>
          <w:p w14:paraId="487EBC09">
            <w:pPr>
              <w:rPr>
                <w:rFonts w:ascii="Arial"/>
                <w:b w:val="0"/>
                <w:i w:val="0"/>
                <w:color w:val="000000"/>
                <w:sz w:val="21"/>
              </w:rPr>
            </w:pPr>
          </w:p>
        </w:tc>
        <w:tc>
          <w:tcPr>
            <w:tcW w:w="1288" w:type="dxa"/>
            <w:shd w:val="clear" w:color="auto" w:fill="FFFFFF"/>
            <w:vAlign w:val="top"/>
          </w:tcPr>
          <w:p w14:paraId="7C1BEDED">
            <w:pPr>
              <w:spacing w:line="386" w:lineRule="auto"/>
              <w:rPr>
                <w:rFonts w:ascii="Arial"/>
                <w:b w:val="0"/>
                <w:i w:val="0"/>
                <w:color w:val="000000"/>
                <w:sz w:val="21"/>
              </w:rPr>
            </w:pPr>
          </w:p>
          <w:p w14:paraId="52F8699F">
            <w:pPr>
              <w:pStyle w:val="34"/>
              <w:spacing w:before="72" w:line="221" w:lineRule="auto"/>
              <w:ind w:left="235"/>
              <w:rPr>
                <w:b w:val="0"/>
                <w:i w:val="0"/>
                <w:color w:val="000000"/>
                <w:sz w:val="22"/>
                <w:szCs w:val="22"/>
              </w:rPr>
            </w:pPr>
            <w:r>
              <w:rPr>
                <w:b w:val="0"/>
                <w:i w:val="0"/>
                <w:color w:val="000000"/>
                <w:spacing w:val="-8"/>
                <w:sz w:val="22"/>
                <w:szCs w:val="22"/>
              </w:rPr>
              <w:t>实施方案</w:t>
            </w:r>
          </w:p>
          <w:p w14:paraId="729C9F01">
            <w:pPr>
              <w:pStyle w:val="34"/>
              <w:spacing w:before="75" w:line="221" w:lineRule="auto"/>
              <w:ind w:left="238"/>
              <w:rPr>
                <w:b w:val="0"/>
                <w:i w:val="0"/>
                <w:color w:val="000000"/>
                <w:sz w:val="22"/>
                <w:szCs w:val="22"/>
              </w:rPr>
            </w:pPr>
            <w:r>
              <w:rPr>
                <w:b w:val="0"/>
                <w:i w:val="0"/>
                <w:color w:val="000000"/>
                <w:spacing w:val="-10"/>
                <w:sz w:val="22"/>
                <w:szCs w:val="22"/>
              </w:rPr>
              <w:t>（10分）</w:t>
            </w:r>
          </w:p>
        </w:tc>
        <w:tc>
          <w:tcPr>
            <w:tcW w:w="6047" w:type="dxa"/>
            <w:shd w:val="clear" w:color="auto" w:fill="FFFFFF"/>
            <w:vAlign w:val="top"/>
          </w:tcPr>
          <w:p w14:paraId="3273F3E4">
            <w:pPr>
              <w:pStyle w:val="34"/>
              <w:spacing w:before="47" w:line="231" w:lineRule="auto"/>
              <w:ind w:left="135" w:right="304" w:hanging="11"/>
              <w:jc w:val="both"/>
              <w:rPr>
                <w:b w:val="0"/>
                <w:i w:val="0"/>
                <w:color w:val="000000"/>
                <w:sz w:val="22"/>
                <w:szCs w:val="22"/>
              </w:rPr>
            </w:pPr>
            <w:r>
              <w:rPr>
                <w:b w:val="0"/>
                <w:i w:val="0"/>
                <w:color w:val="000000"/>
                <w:spacing w:val="-4"/>
                <w:sz w:val="22"/>
                <w:szCs w:val="22"/>
              </w:rPr>
              <w:t>在满足招标文件要求的基础上，能够提出详细、科</w:t>
            </w:r>
            <w:r>
              <w:rPr>
                <w:b w:val="0"/>
                <w:i w:val="0"/>
                <w:color w:val="000000"/>
                <w:spacing w:val="-5"/>
                <w:sz w:val="22"/>
                <w:szCs w:val="22"/>
              </w:rPr>
              <w:t>学、合理的实施方案，重点把握项目内容的合理性、可落地性和实施</w:t>
            </w:r>
            <w:r>
              <w:rPr>
                <w:b w:val="0"/>
                <w:i w:val="0"/>
                <w:color w:val="000000"/>
                <w:spacing w:val="-13"/>
                <w:sz w:val="22"/>
                <w:szCs w:val="22"/>
              </w:rPr>
              <w:t>能力。</w:t>
            </w:r>
          </w:p>
          <w:p w14:paraId="3F5192A1">
            <w:pPr>
              <w:pStyle w:val="34"/>
              <w:spacing w:before="16" w:line="219" w:lineRule="auto"/>
              <w:ind w:left="142" w:right="311" w:hanging="17"/>
              <w:rPr>
                <w:b w:val="0"/>
                <w:i w:val="0"/>
                <w:color w:val="000000"/>
                <w:sz w:val="22"/>
                <w:szCs w:val="22"/>
              </w:rPr>
            </w:pPr>
            <w:r>
              <w:rPr>
                <w:b w:val="0"/>
                <w:i w:val="0"/>
                <w:color w:val="000000"/>
                <w:spacing w:val="-5"/>
                <w:sz w:val="22"/>
                <w:szCs w:val="22"/>
              </w:rPr>
              <w:t>第一档：结合本项目特点方案合理性，实施方案明确、完善</w:t>
            </w:r>
            <w:r>
              <w:rPr>
                <w:b w:val="0"/>
                <w:i w:val="0"/>
                <w:color w:val="000000"/>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000000"/>
                <w:sz w:val="21"/>
              </w:rPr>
            </w:pPr>
          </w:p>
        </w:tc>
        <w:tc>
          <w:tcPr>
            <w:tcW w:w="1246" w:type="dxa"/>
            <w:vMerge w:val="restart"/>
            <w:shd w:val="clear" w:color="auto" w:fill="FFFFFF"/>
            <w:vAlign w:val="top"/>
          </w:tcPr>
          <w:p w14:paraId="0A14A9B9">
            <w:pPr>
              <w:rPr>
                <w:rFonts w:ascii="Arial"/>
                <w:b w:val="0"/>
                <w:i w:val="0"/>
                <w:color w:val="000000"/>
                <w:sz w:val="21"/>
              </w:rPr>
            </w:pPr>
          </w:p>
        </w:tc>
        <w:tc>
          <w:tcPr>
            <w:tcW w:w="1288" w:type="dxa"/>
            <w:shd w:val="clear" w:color="auto" w:fill="FFFFFF"/>
            <w:vAlign w:val="top"/>
          </w:tcPr>
          <w:p w14:paraId="2F82800A">
            <w:pPr>
              <w:rPr>
                <w:rFonts w:ascii="Arial"/>
                <w:b w:val="0"/>
                <w:i w:val="0"/>
                <w:color w:val="000000"/>
                <w:sz w:val="21"/>
              </w:rPr>
            </w:pPr>
          </w:p>
        </w:tc>
        <w:tc>
          <w:tcPr>
            <w:tcW w:w="6047" w:type="dxa"/>
            <w:shd w:val="clear" w:color="auto" w:fill="FFFFFF"/>
            <w:vAlign w:val="top"/>
          </w:tcPr>
          <w:p w14:paraId="04ED2BEA">
            <w:pPr>
              <w:pStyle w:val="34"/>
              <w:spacing w:before="45" w:line="232" w:lineRule="auto"/>
              <w:ind w:left="126" w:right="312" w:hanging="2"/>
              <w:rPr>
                <w:b w:val="0"/>
                <w:i w:val="0"/>
                <w:color w:val="000000"/>
                <w:sz w:val="22"/>
                <w:szCs w:val="22"/>
              </w:rPr>
            </w:pPr>
            <w:r>
              <w:rPr>
                <w:b w:val="0"/>
                <w:i w:val="0"/>
                <w:color w:val="000000"/>
                <w:spacing w:val="-5"/>
                <w:sz w:val="22"/>
                <w:szCs w:val="22"/>
              </w:rPr>
              <w:t>第二档：结合本项目的特点，实施方案较完善、可行性相对</w:t>
            </w:r>
            <w:r>
              <w:rPr>
                <w:b w:val="0"/>
                <w:i w:val="0"/>
                <w:color w:val="000000"/>
                <w:spacing w:val="-6"/>
                <w:sz w:val="22"/>
                <w:szCs w:val="22"/>
              </w:rPr>
              <w:t>较强，较具针对性的得5分；</w:t>
            </w:r>
          </w:p>
          <w:p w14:paraId="6F75A7C6">
            <w:pPr>
              <w:pStyle w:val="34"/>
              <w:spacing w:before="15" w:line="230" w:lineRule="auto"/>
              <w:ind w:left="125" w:right="311" w:hanging="1"/>
              <w:rPr>
                <w:b w:val="0"/>
                <w:i w:val="0"/>
                <w:color w:val="000000"/>
                <w:sz w:val="22"/>
                <w:szCs w:val="22"/>
              </w:rPr>
            </w:pPr>
            <w:r>
              <w:rPr>
                <w:b w:val="0"/>
                <w:i w:val="0"/>
                <w:color w:val="000000"/>
                <w:spacing w:val="-5"/>
                <w:sz w:val="22"/>
                <w:szCs w:val="22"/>
              </w:rPr>
              <w:t>第三档：结合本项目特点，实施方案不完善、可行性弱，针</w:t>
            </w:r>
            <w:r>
              <w:rPr>
                <w:b w:val="0"/>
                <w:i w:val="0"/>
                <w:color w:val="000000"/>
                <w:spacing w:val="-8"/>
                <w:sz w:val="22"/>
                <w:szCs w:val="22"/>
              </w:rPr>
              <w:t>对性差得1分；</w:t>
            </w:r>
          </w:p>
          <w:p w14:paraId="79351F44">
            <w:pPr>
              <w:pStyle w:val="34"/>
              <w:spacing w:before="19" w:line="207" w:lineRule="auto"/>
              <w:ind w:left="124"/>
              <w:rPr>
                <w:b w:val="0"/>
                <w:i w:val="0"/>
                <w:color w:val="000000"/>
                <w:sz w:val="22"/>
                <w:szCs w:val="22"/>
              </w:rPr>
            </w:pPr>
            <w:r>
              <w:rPr>
                <w:b w:val="0"/>
                <w:i w:val="0"/>
                <w:color w:val="000000"/>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000000"/>
                <w:sz w:val="21"/>
              </w:rPr>
            </w:pPr>
          </w:p>
        </w:tc>
        <w:tc>
          <w:tcPr>
            <w:tcW w:w="1246" w:type="dxa"/>
            <w:vMerge w:val="continue"/>
            <w:shd w:val="clear" w:color="auto" w:fill="FFFFFF"/>
            <w:vAlign w:val="top"/>
          </w:tcPr>
          <w:p w14:paraId="361B2863">
            <w:pPr>
              <w:rPr>
                <w:rFonts w:ascii="Arial"/>
                <w:b w:val="0"/>
                <w:i w:val="0"/>
                <w:color w:val="000000"/>
                <w:sz w:val="21"/>
              </w:rPr>
            </w:pPr>
          </w:p>
        </w:tc>
        <w:tc>
          <w:tcPr>
            <w:tcW w:w="1288" w:type="dxa"/>
            <w:shd w:val="clear" w:color="auto" w:fill="FFFFFF"/>
            <w:vAlign w:val="top"/>
          </w:tcPr>
          <w:p w14:paraId="0317CA93">
            <w:pPr>
              <w:spacing w:line="277" w:lineRule="auto"/>
              <w:rPr>
                <w:rFonts w:ascii="Arial"/>
                <w:b w:val="0"/>
                <w:i w:val="0"/>
                <w:color w:val="000000"/>
                <w:sz w:val="21"/>
              </w:rPr>
            </w:pPr>
          </w:p>
          <w:p w14:paraId="46804223">
            <w:pPr>
              <w:spacing w:line="278" w:lineRule="auto"/>
              <w:rPr>
                <w:rFonts w:ascii="Arial"/>
                <w:b w:val="0"/>
                <w:i w:val="0"/>
                <w:color w:val="000000"/>
                <w:sz w:val="21"/>
              </w:rPr>
            </w:pPr>
          </w:p>
          <w:p w14:paraId="76561F23">
            <w:pPr>
              <w:pStyle w:val="34"/>
              <w:spacing w:before="71" w:line="218" w:lineRule="auto"/>
              <w:ind w:left="165"/>
              <w:rPr>
                <w:b w:val="0"/>
                <w:i w:val="0"/>
                <w:color w:val="000000"/>
                <w:sz w:val="22"/>
                <w:szCs w:val="22"/>
              </w:rPr>
            </w:pPr>
            <w:r>
              <w:rPr>
                <w:b w:val="0"/>
                <w:i w:val="0"/>
                <w:color w:val="000000"/>
                <w:spacing w:val="-3"/>
                <w:sz w:val="22"/>
                <w:szCs w:val="22"/>
              </w:rPr>
              <w:t>人员配备计</w:t>
            </w:r>
          </w:p>
          <w:p w14:paraId="78D8A86B">
            <w:pPr>
              <w:pStyle w:val="34"/>
              <w:spacing w:line="222" w:lineRule="auto"/>
              <w:ind w:left="600"/>
              <w:rPr>
                <w:b w:val="0"/>
                <w:i w:val="0"/>
                <w:color w:val="000000"/>
                <w:sz w:val="22"/>
                <w:szCs w:val="22"/>
              </w:rPr>
            </w:pPr>
            <w:r>
              <w:rPr>
                <w:b w:val="0"/>
                <w:i w:val="0"/>
                <w:color w:val="000000"/>
                <w:sz w:val="22"/>
                <w:szCs w:val="22"/>
              </w:rPr>
              <w:t>划</w:t>
            </w:r>
          </w:p>
          <w:p w14:paraId="60FF4C34">
            <w:pPr>
              <w:pStyle w:val="34"/>
              <w:spacing w:before="75" w:line="221" w:lineRule="auto"/>
              <w:ind w:left="280"/>
              <w:rPr>
                <w:b w:val="0"/>
                <w:i w:val="0"/>
                <w:color w:val="000000"/>
                <w:sz w:val="22"/>
                <w:szCs w:val="22"/>
              </w:rPr>
            </w:pPr>
            <w:r>
              <w:rPr>
                <w:b w:val="0"/>
                <w:i w:val="0"/>
                <w:color w:val="000000"/>
                <w:spacing w:val="-6"/>
                <w:sz w:val="22"/>
                <w:szCs w:val="22"/>
              </w:rPr>
              <w:t>（10分）</w:t>
            </w:r>
          </w:p>
        </w:tc>
        <w:tc>
          <w:tcPr>
            <w:tcW w:w="6047" w:type="dxa"/>
            <w:shd w:val="clear" w:color="auto" w:fill="FFFFFF"/>
            <w:vAlign w:val="top"/>
          </w:tcPr>
          <w:p w14:paraId="289DB91A">
            <w:pPr>
              <w:pStyle w:val="34"/>
              <w:spacing w:before="41" w:line="232" w:lineRule="auto"/>
              <w:ind w:left="138" w:right="304" w:hanging="14"/>
              <w:rPr>
                <w:b w:val="0"/>
                <w:i w:val="0"/>
                <w:color w:val="000000"/>
                <w:sz w:val="22"/>
                <w:szCs w:val="22"/>
              </w:rPr>
            </w:pPr>
            <w:r>
              <w:rPr>
                <w:b w:val="0"/>
                <w:i w:val="0"/>
                <w:color w:val="000000"/>
                <w:spacing w:val="-4"/>
                <w:sz w:val="22"/>
                <w:szCs w:val="22"/>
              </w:rPr>
              <w:t>供应商应列出拟投入本项目人员清单（人员数量</w:t>
            </w:r>
            <w:r>
              <w:rPr>
                <w:b w:val="0"/>
                <w:i w:val="0"/>
                <w:color w:val="000000"/>
                <w:spacing w:val="-5"/>
                <w:sz w:val="22"/>
                <w:szCs w:val="22"/>
              </w:rPr>
              <w:t>满足本项目</w:t>
            </w:r>
            <w:r>
              <w:rPr>
                <w:b w:val="0"/>
                <w:i w:val="0"/>
                <w:color w:val="000000"/>
                <w:spacing w:val="-6"/>
                <w:sz w:val="22"/>
                <w:szCs w:val="22"/>
              </w:rPr>
              <w:t>需求即可）及具体的人员分工、岗位职责等内容。</w:t>
            </w:r>
          </w:p>
          <w:p w14:paraId="11284E5D">
            <w:pPr>
              <w:pStyle w:val="34"/>
              <w:spacing w:before="17" w:line="229" w:lineRule="auto"/>
              <w:ind w:left="127" w:right="304" w:hanging="3"/>
              <w:rPr>
                <w:b w:val="0"/>
                <w:i w:val="0"/>
                <w:color w:val="000000"/>
                <w:sz w:val="22"/>
                <w:szCs w:val="22"/>
              </w:rPr>
            </w:pPr>
            <w:r>
              <w:rPr>
                <w:b w:val="0"/>
                <w:i w:val="0"/>
                <w:color w:val="000000"/>
                <w:spacing w:val="-4"/>
                <w:sz w:val="22"/>
                <w:szCs w:val="22"/>
              </w:rPr>
              <w:t>第一档：人员配备、分工及岗位职责清晰、合理</w:t>
            </w:r>
            <w:r>
              <w:rPr>
                <w:b w:val="0"/>
                <w:i w:val="0"/>
                <w:color w:val="000000"/>
                <w:spacing w:val="-5"/>
                <w:sz w:val="22"/>
                <w:szCs w:val="22"/>
              </w:rPr>
              <w:t>，完全满足</w:t>
            </w:r>
            <w:r>
              <w:rPr>
                <w:b w:val="0"/>
                <w:i w:val="0"/>
                <w:color w:val="000000"/>
                <w:spacing w:val="-7"/>
                <w:sz w:val="22"/>
                <w:szCs w:val="22"/>
              </w:rPr>
              <w:t>本项目需求的得10分；</w:t>
            </w:r>
          </w:p>
          <w:p w14:paraId="32A300A7">
            <w:pPr>
              <w:pStyle w:val="34"/>
              <w:spacing w:before="20" w:line="219" w:lineRule="auto"/>
              <w:ind w:left="124"/>
              <w:rPr>
                <w:b w:val="0"/>
                <w:i w:val="0"/>
                <w:color w:val="000000"/>
                <w:sz w:val="22"/>
                <w:szCs w:val="22"/>
              </w:rPr>
            </w:pPr>
            <w:r>
              <w:rPr>
                <w:b w:val="0"/>
                <w:i w:val="0"/>
                <w:color w:val="000000"/>
                <w:spacing w:val="-5"/>
                <w:sz w:val="22"/>
                <w:szCs w:val="22"/>
              </w:rPr>
              <w:t>第二档：基本合理，基本满足本项目需求的</w:t>
            </w:r>
            <w:r>
              <w:rPr>
                <w:b w:val="0"/>
                <w:i w:val="0"/>
                <w:color w:val="000000"/>
                <w:spacing w:val="-6"/>
                <w:sz w:val="22"/>
                <w:szCs w:val="22"/>
              </w:rPr>
              <w:t>得5分；</w:t>
            </w:r>
          </w:p>
          <w:p w14:paraId="4DC62CDE">
            <w:pPr>
              <w:pStyle w:val="34"/>
              <w:spacing w:before="34" w:line="219" w:lineRule="auto"/>
              <w:ind w:left="124"/>
              <w:rPr>
                <w:b w:val="0"/>
                <w:i w:val="0"/>
                <w:color w:val="000000"/>
                <w:sz w:val="22"/>
                <w:szCs w:val="22"/>
              </w:rPr>
            </w:pPr>
            <w:r>
              <w:rPr>
                <w:b w:val="0"/>
                <w:i w:val="0"/>
                <w:color w:val="000000"/>
                <w:spacing w:val="-5"/>
                <w:sz w:val="22"/>
                <w:szCs w:val="22"/>
              </w:rPr>
              <w:t>第三档：不够合理，难以满足本项目需求的</w:t>
            </w:r>
            <w:r>
              <w:rPr>
                <w:b w:val="0"/>
                <w:i w:val="0"/>
                <w:color w:val="000000"/>
                <w:spacing w:val="-6"/>
                <w:sz w:val="22"/>
                <w:szCs w:val="22"/>
              </w:rPr>
              <w:t>得1分；</w:t>
            </w:r>
          </w:p>
          <w:p w14:paraId="7726AB33">
            <w:pPr>
              <w:pStyle w:val="34"/>
              <w:spacing w:before="34" w:line="205" w:lineRule="auto"/>
              <w:ind w:left="124"/>
              <w:rPr>
                <w:b w:val="0"/>
                <w:i w:val="0"/>
                <w:color w:val="000000"/>
                <w:sz w:val="22"/>
                <w:szCs w:val="22"/>
              </w:rPr>
            </w:pPr>
            <w:r>
              <w:rPr>
                <w:b w:val="0"/>
                <w:i w:val="0"/>
                <w:color w:val="000000"/>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000000"/>
                <w:sz w:val="21"/>
              </w:rPr>
            </w:pPr>
          </w:p>
          <w:p w14:paraId="1F62D082">
            <w:pPr>
              <w:spacing w:line="253" w:lineRule="auto"/>
              <w:rPr>
                <w:rFonts w:ascii="Arial"/>
                <w:b w:val="0"/>
                <w:i w:val="0"/>
                <w:color w:val="000000"/>
                <w:sz w:val="21"/>
              </w:rPr>
            </w:pPr>
          </w:p>
          <w:p w14:paraId="37F51BB3">
            <w:pPr>
              <w:spacing w:line="253" w:lineRule="auto"/>
              <w:rPr>
                <w:rFonts w:ascii="Arial"/>
                <w:b w:val="0"/>
                <w:i w:val="0"/>
                <w:color w:val="000000"/>
                <w:sz w:val="21"/>
              </w:rPr>
            </w:pPr>
          </w:p>
          <w:p w14:paraId="1EDD8D79">
            <w:pPr>
              <w:spacing w:line="253" w:lineRule="auto"/>
              <w:rPr>
                <w:rFonts w:ascii="Arial"/>
                <w:b w:val="0"/>
                <w:i w:val="0"/>
                <w:color w:val="000000"/>
                <w:sz w:val="21"/>
              </w:rPr>
            </w:pPr>
          </w:p>
          <w:p w14:paraId="74DAA738">
            <w:pPr>
              <w:spacing w:line="254" w:lineRule="auto"/>
              <w:rPr>
                <w:rFonts w:ascii="Arial"/>
                <w:b w:val="0"/>
                <w:i w:val="0"/>
                <w:color w:val="000000"/>
                <w:sz w:val="21"/>
              </w:rPr>
            </w:pPr>
          </w:p>
          <w:p w14:paraId="1E4D6A73">
            <w:pPr>
              <w:spacing w:line="254" w:lineRule="auto"/>
              <w:rPr>
                <w:rFonts w:ascii="Arial"/>
                <w:b w:val="0"/>
                <w:i w:val="0"/>
                <w:color w:val="000000"/>
                <w:sz w:val="21"/>
              </w:rPr>
            </w:pPr>
          </w:p>
          <w:p w14:paraId="23A463C2">
            <w:pPr>
              <w:spacing w:line="254" w:lineRule="auto"/>
              <w:rPr>
                <w:rFonts w:ascii="Arial"/>
                <w:b w:val="0"/>
                <w:i w:val="0"/>
                <w:color w:val="000000"/>
                <w:sz w:val="21"/>
              </w:rPr>
            </w:pPr>
          </w:p>
          <w:p w14:paraId="59F1EA29">
            <w:pPr>
              <w:spacing w:line="254" w:lineRule="auto"/>
              <w:rPr>
                <w:rFonts w:ascii="Arial"/>
                <w:b w:val="0"/>
                <w:i w:val="0"/>
                <w:color w:val="000000"/>
                <w:sz w:val="21"/>
              </w:rPr>
            </w:pPr>
          </w:p>
          <w:p w14:paraId="65E2B884">
            <w:pPr>
              <w:pStyle w:val="34"/>
              <w:spacing w:before="72" w:line="232" w:lineRule="auto"/>
              <w:ind w:left="144"/>
              <w:rPr>
                <w:b w:val="0"/>
                <w:i w:val="0"/>
                <w:color w:val="000000"/>
                <w:sz w:val="22"/>
                <w:szCs w:val="22"/>
              </w:rPr>
            </w:pPr>
            <w:r>
              <w:rPr>
                <w:b w:val="0"/>
                <w:i w:val="0"/>
                <w:color w:val="000000"/>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000000"/>
                <w:sz w:val="21"/>
              </w:rPr>
            </w:pPr>
          </w:p>
          <w:p w14:paraId="16656532">
            <w:pPr>
              <w:spacing w:line="258" w:lineRule="auto"/>
              <w:rPr>
                <w:rFonts w:ascii="Arial"/>
                <w:b w:val="0"/>
                <w:i w:val="0"/>
                <w:color w:val="000000"/>
                <w:sz w:val="21"/>
              </w:rPr>
            </w:pPr>
          </w:p>
          <w:p w14:paraId="76290E86">
            <w:pPr>
              <w:spacing w:line="258" w:lineRule="auto"/>
              <w:rPr>
                <w:rFonts w:ascii="Arial"/>
                <w:b w:val="0"/>
                <w:i w:val="0"/>
                <w:color w:val="000000"/>
                <w:sz w:val="21"/>
              </w:rPr>
            </w:pPr>
          </w:p>
          <w:p w14:paraId="7128881D">
            <w:pPr>
              <w:spacing w:line="258" w:lineRule="auto"/>
              <w:rPr>
                <w:rFonts w:ascii="Arial"/>
                <w:b w:val="0"/>
                <w:i w:val="0"/>
                <w:color w:val="000000"/>
                <w:sz w:val="21"/>
              </w:rPr>
            </w:pPr>
          </w:p>
          <w:p w14:paraId="1FA023A1">
            <w:pPr>
              <w:spacing w:line="258" w:lineRule="auto"/>
              <w:rPr>
                <w:rFonts w:ascii="Arial"/>
                <w:b w:val="0"/>
                <w:i w:val="0"/>
                <w:color w:val="000000"/>
                <w:sz w:val="21"/>
              </w:rPr>
            </w:pPr>
          </w:p>
          <w:p w14:paraId="293AA7C9">
            <w:pPr>
              <w:spacing w:line="258" w:lineRule="auto"/>
              <w:rPr>
                <w:rFonts w:ascii="Arial"/>
                <w:b w:val="0"/>
                <w:i w:val="0"/>
                <w:color w:val="000000"/>
                <w:sz w:val="21"/>
              </w:rPr>
            </w:pPr>
          </w:p>
          <w:p w14:paraId="61FCFB40">
            <w:pPr>
              <w:spacing w:line="259" w:lineRule="auto"/>
              <w:rPr>
                <w:rFonts w:ascii="Arial"/>
                <w:b w:val="0"/>
                <w:i w:val="0"/>
                <w:color w:val="000000"/>
                <w:sz w:val="21"/>
              </w:rPr>
            </w:pPr>
          </w:p>
          <w:p w14:paraId="4998CACC">
            <w:pPr>
              <w:spacing w:line="259" w:lineRule="auto"/>
              <w:rPr>
                <w:rFonts w:ascii="Arial"/>
                <w:b w:val="0"/>
                <w:i w:val="0"/>
                <w:color w:val="000000"/>
                <w:sz w:val="21"/>
              </w:rPr>
            </w:pPr>
          </w:p>
          <w:p w14:paraId="2729A37E">
            <w:pPr>
              <w:pStyle w:val="34"/>
              <w:spacing w:before="72" w:line="220" w:lineRule="auto"/>
              <w:ind w:left="122"/>
              <w:rPr>
                <w:b w:val="0"/>
                <w:i w:val="0"/>
                <w:color w:val="000000"/>
                <w:sz w:val="22"/>
                <w:szCs w:val="22"/>
              </w:rPr>
            </w:pPr>
            <w:r>
              <w:rPr>
                <w:b w:val="0"/>
                <w:i w:val="0"/>
                <w:color w:val="000000"/>
                <w:spacing w:val="-5"/>
                <w:sz w:val="22"/>
                <w:szCs w:val="22"/>
              </w:rPr>
              <w:t>综合部分</w:t>
            </w:r>
          </w:p>
          <w:p w14:paraId="3B3A9D94">
            <w:pPr>
              <w:pStyle w:val="34"/>
              <w:spacing w:before="3" w:line="221" w:lineRule="auto"/>
              <w:ind w:left="133"/>
              <w:rPr>
                <w:b w:val="0"/>
                <w:i w:val="0"/>
                <w:color w:val="000000"/>
                <w:sz w:val="22"/>
                <w:szCs w:val="22"/>
              </w:rPr>
            </w:pPr>
            <w:r>
              <w:rPr>
                <w:b w:val="0"/>
                <w:i w:val="0"/>
                <w:color w:val="000000"/>
                <w:spacing w:val="-8"/>
                <w:sz w:val="22"/>
                <w:szCs w:val="22"/>
              </w:rPr>
              <w:t>（20分）</w:t>
            </w:r>
          </w:p>
        </w:tc>
        <w:tc>
          <w:tcPr>
            <w:tcW w:w="1288" w:type="dxa"/>
            <w:shd w:val="clear" w:color="auto" w:fill="FFFFFF"/>
            <w:vAlign w:val="top"/>
          </w:tcPr>
          <w:p w14:paraId="0FD1C539">
            <w:pPr>
              <w:spacing w:line="249" w:lineRule="auto"/>
              <w:rPr>
                <w:rFonts w:ascii="Arial"/>
                <w:b w:val="0"/>
                <w:i w:val="0"/>
                <w:color w:val="000000"/>
                <w:sz w:val="21"/>
              </w:rPr>
            </w:pPr>
          </w:p>
          <w:p w14:paraId="28E514C9">
            <w:pPr>
              <w:spacing w:line="249" w:lineRule="auto"/>
              <w:rPr>
                <w:rFonts w:ascii="Arial"/>
                <w:b w:val="0"/>
                <w:i w:val="0"/>
                <w:color w:val="000000"/>
                <w:sz w:val="21"/>
              </w:rPr>
            </w:pPr>
          </w:p>
          <w:p w14:paraId="7E2DE492">
            <w:pPr>
              <w:spacing w:line="249" w:lineRule="auto"/>
              <w:rPr>
                <w:rFonts w:ascii="Arial"/>
                <w:b w:val="0"/>
                <w:i w:val="0"/>
                <w:color w:val="000000"/>
                <w:sz w:val="21"/>
              </w:rPr>
            </w:pPr>
          </w:p>
          <w:p w14:paraId="4D1E54BB">
            <w:pPr>
              <w:spacing w:line="249" w:lineRule="auto"/>
              <w:rPr>
                <w:rFonts w:ascii="Arial"/>
                <w:b w:val="0"/>
                <w:i w:val="0"/>
                <w:color w:val="000000"/>
                <w:sz w:val="21"/>
              </w:rPr>
            </w:pPr>
          </w:p>
          <w:p w14:paraId="529EEA2B">
            <w:pPr>
              <w:spacing w:line="249" w:lineRule="auto"/>
              <w:rPr>
                <w:rFonts w:ascii="Arial"/>
                <w:b w:val="0"/>
                <w:i w:val="0"/>
                <w:color w:val="000000"/>
                <w:sz w:val="21"/>
              </w:rPr>
            </w:pPr>
          </w:p>
          <w:p w14:paraId="7F71E9E5">
            <w:pPr>
              <w:pStyle w:val="34"/>
              <w:spacing w:before="71" w:line="220" w:lineRule="auto"/>
              <w:ind w:left="159"/>
              <w:rPr>
                <w:b w:val="0"/>
                <w:i w:val="0"/>
                <w:color w:val="000000"/>
                <w:sz w:val="22"/>
                <w:szCs w:val="22"/>
              </w:rPr>
            </w:pPr>
            <w:r>
              <w:rPr>
                <w:b w:val="0"/>
                <w:i w:val="0"/>
                <w:color w:val="000000"/>
                <w:spacing w:val="-3"/>
                <w:sz w:val="22"/>
                <w:szCs w:val="22"/>
              </w:rPr>
              <w:t>售后服务承</w:t>
            </w:r>
          </w:p>
          <w:p w14:paraId="572F8396">
            <w:pPr>
              <w:pStyle w:val="34"/>
              <w:spacing w:line="223" w:lineRule="auto"/>
              <w:ind w:left="596"/>
              <w:rPr>
                <w:b w:val="0"/>
                <w:i w:val="0"/>
                <w:color w:val="000000"/>
                <w:sz w:val="22"/>
                <w:szCs w:val="22"/>
              </w:rPr>
            </w:pPr>
            <w:r>
              <w:rPr>
                <w:b w:val="0"/>
                <w:i w:val="0"/>
                <w:color w:val="000000"/>
                <w:sz w:val="22"/>
                <w:szCs w:val="22"/>
              </w:rPr>
              <w:t>诺</w:t>
            </w:r>
          </w:p>
          <w:p w14:paraId="38D380C2">
            <w:pPr>
              <w:pStyle w:val="34"/>
              <w:spacing w:before="71" w:line="221" w:lineRule="auto"/>
              <w:ind w:left="273"/>
              <w:rPr>
                <w:b w:val="0"/>
                <w:i w:val="0"/>
                <w:color w:val="000000"/>
                <w:sz w:val="22"/>
                <w:szCs w:val="22"/>
              </w:rPr>
            </w:pPr>
            <w:r>
              <w:rPr>
                <w:b w:val="0"/>
                <w:i w:val="0"/>
                <w:color w:val="000000"/>
                <w:spacing w:val="-5"/>
                <w:sz w:val="22"/>
                <w:szCs w:val="22"/>
              </w:rPr>
              <w:t>（10分）</w:t>
            </w:r>
          </w:p>
        </w:tc>
        <w:tc>
          <w:tcPr>
            <w:tcW w:w="6047" w:type="dxa"/>
            <w:shd w:val="clear" w:color="auto" w:fill="FFFFFF"/>
            <w:vAlign w:val="top"/>
          </w:tcPr>
          <w:p w14:paraId="088BBA52">
            <w:pPr>
              <w:pStyle w:val="34"/>
              <w:spacing w:before="44" w:line="230" w:lineRule="auto"/>
              <w:ind w:left="127" w:right="356" w:hanging="3"/>
              <w:rPr>
                <w:b w:val="0"/>
                <w:i w:val="0"/>
                <w:color w:val="000000"/>
                <w:sz w:val="22"/>
                <w:szCs w:val="22"/>
              </w:rPr>
            </w:pPr>
            <w:r>
              <w:rPr>
                <w:b w:val="0"/>
                <w:i w:val="0"/>
                <w:color w:val="000000"/>
                <w:spacing w:val="-6"/>
                <w:sz w:val="22"/>
                <w:szCs w:val="22"/>
              </w:rPr>
              <w:t>售后服务包括但不限于售后服务计划；常见问题</w:t>
            </w:r>
            <w:r>
              <w:rPr>
                <w:b w:val="0"/>
                <w:i w:val="0"/>
                <w:color w:val="000000"/>
                <w:spacing w:val="-7"/>
                <w:sz w:val="22"/>
                <w:szCs w:val="22"/>
              </w:rPr>
              <w:t>解决方案；</w:t>
            </w:r>
            <w:r>
              <w:rPr>
                <w:b w:val="0"/>
                <w:i w:val="0"/>
                <w:color w:val="000000"/>
                <w:spacing w:val="-5"/>
                <w:sz w:val="22"/>
                <w:szCs w:val="22"/>
              </w:rPr>
              <w:t>质保期内、质保期外服务标准等</w:t>
            </w:r>
          </w:p>
          <w:p w14:paraId="1D056E1F">
            <w:pPr>
              <w:pStyle w:val="34"/>
              <w:spacing w:before="18" w:line="231" w:lineRule="auto"/>
              <w:ind w:left="126" w:right="304" w:hanging="2"/>
              <w:rPr>
                <w:b w:val="0"/>
                <w:i w:val="0"/>
                <w:color w:val="000000"/>
                <w:sz w:val="22"/>
                <w:szCs w:val="22"/>
              </w:rPr>
            </w:pPr>
            <w:r>
              <w:rPr>
                <w:b w:val="0"/>
                <w:i w:val="0"/>
                <w:color w:val="000000"/>
                <w:spacing w:val="-4"/>
                <w:sz w:val="22"/>
                <w:szCs w:val="22"/>
              </w:rPr>
              <w:t>第一档：售后服务方案、措施及承诺特别全面、</w:t>
            </w:r>
            <w:r>
              <w:rPr>
                <w:b w:val="0"/>
                <w:i w:val="0"/>
                <w:color w:val="000000"/>
                <w:spacing w:val="-5"/>
                <w:sz w:val="22"/>
                <w:szCs w:val="22"/>
              </w:rPr>
              <w:t>合理、可行、可实施性强，有详细的质保期内、质保期外服务标准，能</w:t>
            </w:r>
            <w:r>
              <w:rPr>
                <w:b w:val="0"/>
                <w:i w:val="0"/>
                <w:color w:val="000000"/>
                <w:spacing w:val="-6"/>
                <w:sz w:val="22"/>
                <w:szCs w:val="22"/>
              </w:rPr>
              <w:t>较好地满足本项目要求的得10分；</w:t>
            </w:r>
          </w:p>
          <w:p w14:paraId="07DDB6B0">
            <w:pPr>
              <w:pStyle w:val="34"/>
              <w:spacing w:before="18" w:line="229" w:lineRule="auto"/>
              <w:ind w:left="129" w:right="304" w:hanging="5"/>
              <w:rPr>
                <w:b w:val="0"/>
                <w:i w:val="0"/>
                <w:color w:val="000000"/>
                <w:sz w:val="22"/>
                <w:szCs w:val="22"/>
              </w:rPr>
            </w:pPr>
            <w:r>
              <w:rPr>
                <w:b w:val="0"/>
                <w:i w:val="0"/>
                <w:color w:val="000000"/>
                <w:spacing w:val="-4"/>
                <w:sz w:val="22"/>
                <w:szCs w:val="22"/>
              </w:rPr>
              <w:t>第二档：售后服务方案各方面安排较合理，质保</w:t>
            </w:r>
            <w:r>
              <w:rPr>
                <w:b w:val="0"/>
                <w:i w:val="0"/>
                <w:color w:val="000000"/>
                <w:spacing w:val="-5"/>
                <w:sz w:val="22"/>
                <w:szCs w:val="22"/>
              </w:rPr>
              <w:t>期内、质保</w:t>
            </w:r>
            <w:r>
              <w:rPr>
                <w:b w:val="0"/>
                <w:i w:val="0"/>
                <w:color w:val="000000"/>
                <w:spacing w:val="-6"/>
                <w:sz w:val="22"/>
                <w:szCs w:val="22"/>
              </w:rPr>
              <w:t>期外服务标准简单、可实践实施的得7分；</w:t>
            </w:r>
          </w:p>
          <w:p w14:paraId="53A31300">
            <w:pPr>
              <w:pStyle w:val="34"/>
              <w:spacing w:before="20" w:line="230" w:lineRule="auto"/>
              <w:ind w:left="144" w:right="304" w:hanging="20"/>
              <w:rPr>
                <w:b w:val="0"/>
                <w:i w:val="0"/>
                <w:color w:val="000000"/>
                <w:sz w:val="22"/>
                <w:szCs w:val="22"/>
              </w:rPr>
            </w:pPr>
            <w:r>
              <w:rPr>
                <w:b w:val="0"/>
                <w:i w:val="0"/>
                <w:color w:val="000000"/>
                <w:spacing w:val="-4"/>
                <w:sz w:val="22"/>
                <w:szCs w:val="22"/>
              </w:rPr>
              <w:t>第三档：售后服务方案各方面安排较差、均为通</w:t>
            </w:r>
            <w:r>
              <w:rPr>
                <w:b w:val="0"/>
                <w:i w:val="0"/>
                <w:color w:val="000000"/>
                <w:spacing w:val="-5"/>
                <w:sz w:val="22"/>
                <w:szCs w:val="22"/>
              </w:rPr>
              <w:t>用性的说明</w:t>
            </w:r>
            <w:r>
              <w:rPr>
                <w:b w:val="0"/>
                <w:i w:val="0"/>
                <w:color w:val="000000"/>
                <w:spacing w:val="-2"/>
                <w:sz w:val="22"/>
                <w:szCs w:val="22"/>
              </w:rPr>
              <w:t>,质保期内、质保期外服务标准实践实施性较差得3分；</w:t>
            </w:r>
          </w:p>
          <w:p w14:paraId="21257932">
            <w:pPr>
              <w:pStyle w:val="34"/>
              <w:spacing w:before="19" w:line="232" w:lineRule="auto"/>
              <w:ind w:left="127" w:right="304" w:hanging="3"/>
              <w:rPr>
                <w:b w:val="0"/>
                <w:i w:val="0"/>
                <w:color w:val="000000"/>
                <w:sz w:val="22"/>
                <w:szCs w:val="22"/>
              </w:rPr>
            </w:pPr>
            <w:r>
              <w:rPr>
                <w:b w:val="0"/>
                <w:i w:val="0"/>
                <w:color w:val="000000"/>
                <w:spacing w:val="-4"/>
                <w:sz w:val="22"/>
                <w:szCs w:val="22"/>
              </w:rPr>
              <w:t>第四档：有售后服务方案，但内容与本项目实际</w:t>
            </w:r>
            <w:r>
              <w:rPr>
                <w:b w:val="0"/>
                <w:i w:val="0"/>
                <w:color w:val="000000"/>
                <w:spacing w:val="-5"/>
                <w:sz w:val="22"/>
                <w:szCs w:val="22"/>
              </w:rPr>
              <w:t>不符，无操</w:t>
            </w:r>
            <w:r>
              <w:rPr>
                <w:b w:val="0"/>
                <w:i w:val="0"/>
                <w:color w:val="000000"/>
                <w:spacing w:val="-10"/>
                <w:sz w:val="22"/>
                <w:szCs w:val="22"/>
              </w:rPr>
              <w:t>作性的得1分；</w:t>
            </w:r>
          </w:p>
          <w:p w14:paraId="15991F18">
            <w:pPr>
              <w:pStyle w:val="34"/>
              <w:spacing w:before="17" w:line="203" w:lineRule="auto"/>
              <w:ind w:left="124"/>
              <w:rPr>
                <w:b w:val="0"/>
                <w:i w:val="0"/>
                <w:color w:val="000000"/>
                <w:sz w:val="22"/>
                <w:szCs w:val="22"/>
              </w:rPr>
            </w:pPr>
            <w:r>
              <w:rPr>
                <w:b w:val="0"/>
                <w:i w:val="0"/>
                <w:color w:val="000000"/>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000000"/>
                <w:sz w:val="21"/>
              </w:rPr>
            </w:pPr>
          </w:p>
        </w:tc>
        <w:tc>
          <w:tcPr>
            <w:tcW w:w="1246" w:type="dxa"/>
            <w:vMerge w:val="continue"/>
            <w:shd w:val="clear" w:color="auto" w:fill="FFFFFF"/>
            <w:vAlign w:val="top"/>
          </w:tcPr>
          <w:p w14:paraId="73D76FE8">
            <w:pPr>
              <w:rPr>
                <w:rFonts w:ascii="Arial"/>
                <w:b w:val="0"/>
                <w:i w:val="0"/>
                <w:color w:val="000000"/>
                <w:sz w:val="21"/>
              </w:rPr>
            </w:pPr>
          </w:p>
        </w:tc>
        <w:tc>
          <w:tcPr>
            <w:tcW w:w="1288" w:type="dxa"/>
            <w:shd w:val="clear" w:color="auto" w:fill="FFFFFF"/>
            <w:vAlign w:val="top"/>
          </w:tcPr>
          <w:p w14:paraId="7CD98C57">
            <w:pPr>
              <w:pStyle w:val="34"/>
              <w:spacing w:before="212" w:line="220" w:lineRule="auto"/>
              <w:ind w:left="216"/>
              <w:rPr>
                <w:b w:val="0"/>
                <w:i w:val="0"/>
                <w:color w:val="000000"/>
                <w:sz w:val="22"/>
                <w:szCs w:val="22"/>
              </w:rPr>
            </w:pPr>
            <w:r>
              <w:rPr>
                <w:b w:val="0"/>
                <w:i w:val="0"/>
                <w:color w:val="000000"/>
                <w:spacing w:val="-3"/>
                <w:sz w:val="22"/>
                <w:szCs w:val="22"/>
              </w:rPr>
              <w:t>业绩（4分</w:t>
            </w:r>
          </w:p>
          <w:p w14:paraId="37B1C702">
            <w:pPr>
              <w:pStyle w:val="34"/>
              <w:spacing w:line="223" w:lineRule="auto"/>
              <w:ind w:left="619"/>
              <w:rPr>
                <w:b w:val="0"/>
                <w:i w:val="0"/>
                <w:color w:val="000000"/>
                <w:sz w:val="22"/>
                <w:szCs w:val="22"/>
              </w:rPr>
            </w:pPr>
            <w:r>
              <w:rPr>
                <w:b w:val="0"/>
                <w:i w:val="0"/>
                <w:color w:val="000000"/>
                <w:sz w:val="22"/>
                <w:szCs w:val="22"/>
              </w:rPr>
              <w:t>)</w:t>
            </w:r>
          </w:p>
        </w:tc>
        <w:tc>
          <w:tcPr>
            <w:tcW w:w="6047" w:type="dxa"/>
            <w:shd w:val="clear" w:color="auto" w:fill="FFFFFF"/>
            <w:vAlign w:val="top"/>
          </w:tcPr>
          <w:p w14:paraId="525763C2">
            <w:pPr>
              <w:pStyle w:val="34"/>
              <w:spacing w:before="46" w:line="221" w:lineRule="auto"/>
              <w:ind w:left="125" w:right="199"/>
              <w:jc w:val="both"/>
              <w:rPr>
                <w:b w:val="0"/>
                <w:i w:val="0"/>
                <w:color w:val="000000"/>
                <w:sz w:val="22"/>
                <w:szCs w:val="22"/>
              </w:rPr>
            </w:pPr>
            <w:r>
              <w:rPr>
                <w:b w:val="0"/>
                <w:i w:val="0"/>
                <w:color w:val="000000"/>
                <w:spacing w:val="-4"/>
                <w:sz w:val="22"/>
                <w:szCs w:val="22"/>
              </w:rPr>
              <w:t>提供2022年以来已完成的相同或类似项目业绩合同</w:t>
            </w:r>
            <w:r>
              <w:rPr>
                <w:b w:val="0"/>
                <w:i w:val="0"/>
                <w:color w:val="000000"/>
                <w:spacing w:val="-5"/>
                <w:sz w:val="22"/>
                <w:szCs w:val="22"/>
              </w:rPr>
              <w:t>，每提供1</w:t>
            </w:r>
            <w:r>
              <w:rPr>
                <w:b w:val="0"/>
                <w:i w:val="0"/>
                <w:color w:val="000000"/>
                <w:spacing w:val="-4"/>
                <w:sz w:val="22"/>
                <w:szCs w:val="22"/>
              </w:rPr>
              <w:t>份得2分，最高得4分,没有不得分。（评审时审验中</w:t>
            </w:r>
            <w:r>
              <w:rPr>
                <w:b w:val="0"/>
                <w:i w:val="0"/>
                <w:color w:val="000000"/>
                <w:spacing w:val="-5"/>
                <w:sz w:val="22"/>
                <w:szCs w:val="22"/>
              </w:rPr>
              <w:t>标通知书</w:t>
            </w:r>
            <w:r>
              <w:rPr>
                <w:b w:val="0"/>
                <w:i w:val="0"/>
                <w:color w:val="000000"/>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000000"/>
                <w:sz w:val="21"/>
              </w:rPr>
            </w:pPr>
          </w:p>
        </w:tc>
        <w:tc>
          <w:tcPr>
            <w:tcW w:w="1246" w:type="dxa"/>
            <w:vMerge w:val="continue"/>
            <w:shd w:val="clear" w:color="auto" w:fill="FFFFFF"/>
            <w:vAlign w:val="top"/>
          </w:tcPr>
          <w:p w14:paraId="5184AE92">
            <w:pPr>
              <w:rPr>
                <w:rFonts w:ascii="Arial"/>
                <w:b w:val="0"/>
                <w:i w:val="0"/>
                <w:color w:val="000000"/>
                <w:sz w:val="21"/>
              </w:rPr>
            </w:pPr>
          </w:p>
        </w:tc>
        <w:tc>
          <w:tcPr>
            <w:tcW w:w="1288" w:type="dxa"/>
            <w:shd w:val="clear" w:color="auto" w:fill="FFFFFF"/>
            <w:vAlign w:val="top"/>
          </w:tcPr>
          <w:p w14:paraId="010D12B4">
            <w:pPr>
              <w:pStyle w:val="34"/>
              <w:spacing w:before="102" w:line="221" w:lineRule="auto"/>
              <w:ind w:left="212"/>
              <w:rPr>
                <w:b w:val="0"/>
                <w:i w:val="0"/>
                <w:color w:val="000000"/>
                <w:sz w:val="22"/>
                <w:szCs w:val="22"/>
              </w:rPr>
            </w:pPr>
            <w:r>
              <w:rPr>
                <w:b w:val="0"/>
                <w:i w:val="0"/>
                <w:color w:val="000000"/>
                <w:spacing w:val="-4"/>
                <w:sz w:val="22"/>
                <w:szCs w:val="22"/>
              </w:rPr>
              <w:t>投标文</w:t>
            </w:r>
          </w:p>
          <w:p w14:paraId="7001681F">
            <w:pPr>
              <w:pStyle w:val="34"/>
              <w:spacing w:before="10" w:line="220" w:lineRule="auto"/>
              <w:ind w:left="213"/>
              <w:rPr>
                <w:b w:val="0"/>
                <w:i w:val="0"/>
                <w:color w:val="000000"/>
                <w:sz w:val="22"/>
                <w:szCs w:val="22"/>
              </w:rPr>
            </w:pPr>
            <w:r>
              <w:rPr>
                <w:b w:val="0"/>
                <w:i w:val="0"/>
                <w:color w:val="000000"/>
                <w:spacing w:val="-3"/>
                <w:sz w:val="22"/>
                <w:szCs w:val="22"/>
              </w:rPr>
              <w:t>件符合</w:t>
            </w:r>
          </w:p>
          <w:p w14:paraId="5743D320">
            <w:pPr>
              <w:pStyle w:val="34"/>
              <w:spacing w:before="10" w:line="243" w:lineRule="auto"/>
              <w:ind w:left="170" w:right="391" w:firstLine="46"/>
              <w:jc w:val="both"/>
              <w:rPr>
                <w:b w:val="0"/>
                <w:i w:val="0"/>
                <w:color w:val="000000"/>
                <w:sz w:val="22"/>
                <w:szCs w:val="22"/>
              </w:rPr>
            </w:pPr>
            <w:r>
              <w:rPr>
                <w:b w:val="0"/>
                <w:i w:val="0"/>
                <w:color w:val="000000"/>
                <w:spacing w:val="-5"/>
                <w:sz w:val="22"/>
                <w:szCs w:val="22"/>
              </w:rPr>
              <w:t>性响应</w:t>
            </w:r>
            <w:r>
              <w:rPr>
                <w:b w:val="0"/>
                <w:i w:val="0"/>
                <w:color w:val="000000"/>
                <w:spacing w:val="16"/>
                <w:w w:val="125"/>
                <w:sz w:val="22"/>
                <w:szCs w:val="22"/>
              </w:rPr>
              <w:t>程度</w:t>
            </w:r>
            <w:r>
              <w:rPr>
                <w:b w:val="0"/>
                <w:i w:val="0"/>
                <w:color w:val="000000"/>
                <w:spacing w:val="-13"/>
                <w:sz w:val="22"/>
                <w:szCs w:val="22"/>
              </w:rPr>
              <w:t>（6分）</w:t>
            </w:r>
          </w:p>
        </w:tc>
        <w:tc>
          <w:tcPr>
            <w:tcW w:w="6047" w:type="dxa"/>
            <w:shd w:val="clear" w:color="auto" w:fill="FFFFFF"/>
            <w:vAlign w:val="top"/>
          </w:tcPr>
          <w:p w14:paraId="3CDCA413">
            <w:pPr>
              <w:pStyle w:val="34"/>
              <w:spacing w:before="45" w:line="230" w:lineRule="auto"/>
              <w:ind w:left="126" w:right="250"/>
              <w:jc w:val="both"/>
              <w:rPr>
                <w:b w:val="0"/>
                <w:i w:val="0"/>
                <w:color w:val="000000"/>
                <w:sz w:val="22"/>
                <w:szCs w:val="22"/>
              </w:rPr>
            </w:pPr>
            <w:r>
              <w:rPr>
                <w:b w:val="0"/>
                <w:i w:val="0"/>
                <w:color w:val="000000"/>
                <w:spacing w:val="-6"/>
                <w:sz w:val="22"/>
                <w:szCs w:val="22"/>
              </w:rPr>
              <w:t>投标文件符合招标文件所有条款条件，制作规范最</w:t>
            </w:r>
            <w:r>
              <w:rPr>
                <w:b w:val="0"/>
                <w:i w:val="0"/>
                <w:color w:val="000000"/>
                <w:spacing w:val="-7"/>
                <w:sz w:val="22"/>
                <w:szCs w:val="22"/>
              </w:rPr>
              <w:t>多得6分；</w:t>
            </w:r>
            <w:r>
              <w:rPr>
                <w:b w:val="0"/>
                <w:i w:val="0"/>
                <w:color w:val="000000"/>
                <w:spacing w:val="-4"/>
                <w:sz w:val="22"/>
                <w:szCs w:val="22"/>
              </w:rPr>
              <w:t>若投标文件与招标文件要求有偏离，但不影响</w:t>
            </w:r>
            <w:r>
              <w:rPr>
                <w:b w:val="0"/>
                <w:i w:val="0"/>
                <w:color w:val="000000"/>
                <w:spacing w:val="-5"/>
                <w:sz w:val="22"/>
                <w:szCs w:val="22"/>
              </w:rPr>
              <w:t>到实质性响应</w:t>
            </w:r>
            <w:r>
              <w:rPr>
                <w:b w:val="0"/>
                <w:i w:val="0"/>
                <w:color w:val="000000"/>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4"/>
              <w:spacing w:before="103" w:line="222" w:lineRule="auto"/>
              <w:ind w:left="128"/>
              <w:rPr>
                <w:b w:val="0"/>
                <w:i w:val="0"/>
                <w:color w:val="000000"/>
                <w:sz w:val="22"/>
                <w:szCs w:val="22"/>
              </w:rPr>
            </w:pPr>
            <w:r>
              <w:rPr>
                <w:b w:val="0"/>
                <w:i w:val="0"/>
                <w:color w:val="000000"/>
                <w:spacing w:val="-15"/>
                <w:sz w:val="22"/>
                <w:szCs w:val="22"/>
              </w:rPr>
              <w:t>备注：</w:t>
            </w:r>
          </w:p>
          <w:p w14:paraId="72DB9D3C">
            <w:pPr>
              <w:pStyle w:val="34"/>
              <w:spacing w:before="86" w:line="220" w:lineRule="auto"/>
              <w:ind w:left="128"/>
              <w:rPr>
                <w:b w:val="0"/>
                <w:i w:val="0"/>
                <w:color w:val="000000"/>
                <w:sz w:val="22"/>
                <w:szCs w:val="22"/>
              </w:rPr>
            </w:pPr>
            <w:r>
              <w:rPr>
                <w:b w:val="0"/>
                <w:i w:val="0"/>
                <w:color w:val="000000"/>
                <w:spacing w:val="-4"/>
                <w:sz w:val="22"/>
                <w:szCs w:val="22"/>
              </w:rPr>
              <w:t>投标人综合得分等于以上三项的汇总得分。</w:t>
            </w:r>
          </w:p>
          <w:p w14:paraId="020E148A">
            <w:pPr>
              <w:pStyle w:val="34"/>
              <w:spacing w:before="89" w:line="221" w:lineRule="auto"/>
              <w:ind w:left="138" w:right="427" w:hanging="13"/>
              <w:rPr>
                <w:b w:val="0"/>
                <w:i w:val="0"/>
                <w:color w:val="000000"/>
                <w:sz w:val="22"/>
                <w:szCs w:val="22"/>
              </w:rPr>
            </w:pPr>
            <w:r>
              <w:rPr>
                <w:b w:val="0"/>
                <w:i w:val="0"/>
                <w:color w:val="000000"/>
                <w:spacing w:val="-2"/>
                <w:sz w:val="22"/>
                <w:szCs w:val="22"/>
              </w:rPr>
              <w:t>评标委员会对各投标人的得分进行汇总，计算过程中评委个人分值按四舍五入保留三</w:t>
            </w:r>
            <w:r>
              <w:rPr>
                <w:b w:val="0"/>
                <w:i w:val="0"/>
                <w:color w:val="000000"/>
                <w:spacing w:val="-3"/>
                <w:sz w:val="22"/>
                <w:szCs w:val="22"/>
              </w:rPr>
              <w:t>位小数,</w:t>
            </w:r>
            <w:r>
              <w:rPr>
                <w:b w:val="0"/>
                <w:i w:val="0"/>
                <w:color w:val="000000"/>
                <w:spacing w:val="-2"/>
                <w:sz w:val="22"/>
                <w:szCs w:val="22"/>
              </w:rPr>
              <w:t>最终结果按四舍五入保留两位小数。以各评标委员会打分的算术平均值作</w:t>
            </w:r>
            <w:r>
              <w:rPr>
                <w:b w:val="0"/>
                <w:i w:val="0"/>
                <w:color w:val="000000"/>
                <w:spacing w:val="-3"/>
                <w:sz w:val="22"/>
                <w:szCs w:val="22"/>
              </w:rPr>
              <w:t>为该投标人的最终得</w:t>
            </w:r>
            <w:r>
              <w:rPr>
                <w:b w:val="0"/>
                <w:i w:val="0"/>
                <w:color w:val="000000"/>
                <w:sz w:val="22"/>
                <w:szCs w:val="22"/>
              </w:rPr>
              <w:t>分</w:t>
            </w:r>
          </w:p>
        </w:tc>
      </w:tr>
    </w:tbl>
    <w:p w14:paraId="75D21B95">
      <w:pPr>
        <w:pStyle w:val="31"/>
      </w:pPr>
    </w:p>
    <w:p w14:paraId="2F2ACB83">
      <w:pPr>
        <w:kinsoku/>
        <w:wordWrap w:val="0"/>
        <w:spacing w:before="39"/>
        <w:jc w:val="center"/>
        <w:rPr>
          <w:rFonts w:asciiTheme="minorEastAsia" w:hAnsiTheme="minorEastAsia" w:eastAsiaTheme="minorEastAsia" w:cstheme="minorEastAsia"/>
        </w:rPr>
      </w:pPr>
    </w:p>
    <w:p w14:paraId="146E91A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125DE76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14:paraId="74A429E3">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DFE0038">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A00AC3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14:paraId="6B97C912">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0DFDA46D">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spacing w:val="2"/>
          <w:position w:val="17"/>
          <w:sz w:val="32"/>
          <w:szCs w:val="32"/>
          <w:lang w:eastAsia="zh-CN"/>
        </w:rPr>
      </w:pPr>
      <w:r>
        <w:rPr>
          <w:rFonts w:asciiTheme="minorEastAsia" w:hAnsiTheme="minorEastAsia" w:eastAsiaTheme="minorEastAsia" w:cstheme="minorEastAsia"/>
          <w:b/>
          <w:bCs/>
          <w:spacing w:val="2"/>
          <w:position w:val="17"/>
          <w:sz w:val="32"/>
          <w:szCs w:val="32"/>
          <w:lang w:eastAsia="zh-CN"/>
        </w:rPr>
        <w:br w:type="page"/>
      </w:r>
    </w:p>
    <w:p w14:paraId="63B73C16">
      <w:pPr>
        <w:pStyle w:val="2"/>
        <w:rPr>
          <w:lang w:eastAsia="zh-CN"/>
        </w:rPr>
      </w:pPr>
    </w:p>
    <w:p w14:paraId="2308F977">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26D301F">
      <w:pPr>
        <w:pStyle w:val="3"/>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2"/>
        <w:wordWrap w:val="0"/>
        <w:jc w:val="both"/>
        <w:sectPr>
          <w:footerReference r:id="rId3" w:type="default"/>
          <w:pgSz w:w="11907" w:h="16840"/>
          <w:pgMar w:top="1440" w:right="1800" w:bottom="1440" w:left="1800" w:header="878" w:footer="886" w:gutter="0"/>
          <w:pgNumType w:start="1"/>
          <w:cols w:space="720" w:num="1"/>
        </w:sectPr>
      </w:pPr>
    </w:p>
    <w:p w14:paraId="3CFDB74B">
      <w:pPr>
        <w:pStyle w:val="3"/>
        <w:kinsoku/>
        <w:wordWrap w:val="0"/>
        <w:spacing w:before="353" w:line="219" w:lineRule="auto"/>
        <w:ind w:left="2294"/>
        <w:jc w:val="both"/>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eastAsia="zh-CN"/>
        </w:rPr>
        <w:t>第五章政府采购合同（草案）</w:t>
      </w:r>
    </w:p>
    <w:p w14:paraId="5BB4FA39">
      <w:pPr>
        <w:pStyle w:val="32"/>
        <w:jc w:val="both"/>
      </w:pPr>
    </w:p>
    <w:p w14:paraId="416F4C48">
      <w:pPr>
        <w:pStyle w:val="3"/>
        <w:kinsoku/>
        <w:wordWrap w:val="0"/>
        <w:spacing w:line="360" w:lineRule="auto"/>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017816FE">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0D6FCF06">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5E9352EF">
      <w:pPr>
        <w:pStyle w:val="3"/>
        <w:kinsoku/>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282CF7CC">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3"/>
        <w:kinsoku/>
        <w:wordWrap w:val="0"/>
        <w:spacing w:before="353" w:line="219" w:lineRule="auto"/>
        <w:ind w:left="2654"/>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lang w:eastAsia="zh-CN"/>
        </w:rPr>
      </w:pPr>
    </w:p>
    <w:p w14:paraId="43CFA53D">
      <w:pPr>
        <w:pStyle w:val="3"/>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投标人编制文件须知</w:t>
      </w:r>
    </w:p>
    <w:p w14:paraId="0552E51D">
      <w:pPr>
        <w:pStyle w:val="3"/>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04171748">
      <w:pPr>
        <w:pStyle w:val="3"/>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3"/>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A47D600">
      <w:pPr>
        <w:pStyle w:val="17"/>
        <w:kinsoku/>
        <w:wordWrap w:val="0"/>
        <w:ind w:firstLine="480"/>
        <w:jc w:val="both"/>
        <w:rPr>
          <w:rFonts w:asciiTheme="minorEastAsia" w:hAnsiTheme="minorEastAsia" w:eastAsiaTheme="minorEastAsia" w:cstheme="minorEastAsia"/>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sz w:val="24"/>
          <w:szCs w:val="24"/>
          <w:lang w:eastAsia="zh-CN"/>
        </w:rPr>
      </w:pPr>
    </w:p>
    <w:p w14:paraId="776ACEB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sz w:val="24"/>
          <w:szCs w:val="24"/>
          <w:lang w:eastAsia="zh-CN"/>
        </w:rPr>
      </w:pPr>
    </w:p>
    <w:p w14:paraId="4BC34620">
      <w:pPr>
        <w:kinsoku/>
        <w:wordWrap w:val="0"/>
        <w:spacing w:line="360" w:lineRule="auto"/>
        <w:jc w:val="both"/>
        <w:rPr>
          <w:rFonts w:asciiTheme="minorEastAsia" w:hAnsiTheme="minorEastAsia" w:eastAsiaTheme="minorEastAsia" w:cstheme="minorEastAsia"/>
          <w:sz w:val="24"/>
          <w:szCs w:val="24"/>
          <w:lang w:eastAsia="zh-CN"/>
        </w:rPr>
      </w:pPr>
    </w:p>
    <w:p w14:paraId="0B97DD83">
      <w:pPr>
        <w:kinsoku/>
        <w:wordWrap w:val="0"/>
        <w:spacing w:line="360" w:lineRule="auto"/>
        <w:jc w:val="both"/>
        <w:rPr>
          <w:rFonts w:asciiTheme="minorEastAsia" w:hAnsiTheme="minorEastAsia" w:eastAsiaTheme="minorEastAsia" w:cstheme="minorEastAsia"/>
          <w:sz w:val="24"/>
          <w:szCs w:val="24"/>
          <w:lang w:eastAsia="zh-CN"/>
        </w:rPr>
      </w:pPr>
    </w:p>
    <w:p w14:paraId="3503440A">
      <w:pPr>
        <w:kinsoku/>
        <w:wordWrap w:val="0"/>
        <w:spacing w:line="360" w:lineRule="auto"/>
        <w:jc w:val="both"/>
        <w:rPr>
          <w:rFonts w:asciiTheme="minorEastAsia" w:hAnsiTheme="minorEastAsia" w:eastAsiaTheme="minorEastAsia" w:cstheme="minorEastAsia"/>
          <w:sz w:val="24"/>
          <w:szCs w:val="24"/>
          <w:lang w:eastAsia="zh-CN"/>
        </w:rPr>
      </w:pPr>
    </w:p>
    <w:p w14:paraId="6BEAF309">
      <w:pPr>
        <w:kinsoku/>
        <w:wordWrap w:val="0"/>
        <w:spacing w:line="360" w:lineRule="auto"/>
        <w:jc w:val="both"/>
        <w:rPr>
          <w:rFonts w:asciiTheme="minorEastAsia" w:hAnsiTheme="minorEastAsia" w:eastAsiaTheme="minorEastAsia" w:cstheme="minorEastAsia"/>
          <w:sz w:val="24"/>
          <w:szCs w:val="24"/>
          <w:lang w:eastAsia="zh-CN"/>
        </w:rPr>
      </w:pPr>
    </w:p>
    <w:p w14:paraId="42CB0C20">
      <w:pPr>
        <w:kinsoku/>
        <w:wordWrap w:val="0"/>
        <w:spacing w:line="360" w:lineRule="auto"/>
        <w:jc w:val="both"/>
        <w:rPr>
          <w:rFonts w:asciiTheme="minorEastAsia" w:hAnsiTheme="minorEastAsia" w:eastAsiaTheme="minorEastAsia" w:cstheme="minorEastAsia"/>
          <w:sz w:val="24"/>
          <w:szCs w:val="24"/>
          <w:lang w:eastAsia="zh-CN"/>
        </w:rPr>
      </w:pPr>
    </w:p>
    <w:p w14:paraId="1FBE518B">
      <w:pPr>
        <w:kinsoku/>
        <w:wordWrap w:val="0"/>
        <w:spacing w:line="360" w:lineRule="auto"/>
        <w:jc w:val="both"/>
        <w:rPr>
          <w:rFonts w:asciiTheme="minorEastAsia" w:hAnsiTheme="minorEastAsia" w:eastAsiaTheme="minorEastAsia" w:cstheme="minorEastAsia"/>
          <w:sz w:val="24"/>
          <w:szCs w:val="24"/>
          <w:lang w:eastAsia="zh-CN"/>
        </w:rPr>
      </w:pPr>
    </w:p>
    <w:p w14:paraId="2775A697">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sz w:val="24"/>
          <w:szCs w:val="24"/>
          <w:lang w:eastAsia="zh-CN"/>
        </w:rPr>
      </w:pPr>
    </w:p>
    <w:p w14:paraId="0CD1D5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C96D63E">
      <w:pPr>
        <w:pStyle w:val="3"/>
        <w:kinsoku/>
        <w:wordWrap w:val="0"/>
        <w:spacing w:line="360" w:lineRule="auto"/>
        <w:jc w:val="both"/>
        <w:rPr>
          <w:rFonts w:asciiTheme="minorEastAsia" w:hAnsiTheme="minorEastAsia" w:eastAsiaTheme="minorEastAsia" w:cstheme="minorEastAsia"/>
          <w:spacing w:val="-3"/>
          <w:sz w:val="24"/>
          <w:szCs w:val="24"/>
          <w:lang w:eastAsia="zh-CN"/>
        </w:rPr>
      </w:pPr>
    </w:p>
    <w:p w14:paraId="3A8D7781">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52047A7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800602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E46E054">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C06CBFE">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74A8D27">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576BA8A">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701177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FC648C3">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0A88465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9C19F4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r>
        <w:rPr>
          <w:rFonts w:hint="eastAsia" w:asciiTheme="minorEastAsia" w:hAnsiTheme="minorEastAsia" w:eastAsiaTheme="minorEastAsia" w:cstheme="minorEastAsia"/>
          <w:spacing w:val="-3"/>
          <w:sz w:val="24"/>
          <w:szCs w:val="24"/>
          <w:lang w:val="en-US" w:eastAsia="zh-CN"/>
        </w:rPr>
        <w:t>或盖章</w:t>
      </w:r>
      <w:r>
        <w:rPr>
          <w:rFonts w:hint="eastAsia" w:asciiTheme="minorEastAsia" w:hAnsiTheme="minorEastAsia" w:eastAsiaTheme="minorEastAsia" w:cstheme="minorEastAsia"/>
          <w:spacing w:val="-3"/>
          <w:sz w:val="24"/>
          <w:szCs w:val="24"/>
          <w:lang w:eastAsia="zh-CN"/>
        </w:rPr>
        <w:t>）：</w:t>
      </w:r>
    </w:p>
    <w:p w14:paraId="1E7ED962">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08821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D89F4E5">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E1E83D">
      <w:pPr>
        <w:pStyle w:val="3"/>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lang w:eastAsia="zh-CN"/>
        </w:rPr>
      </w:pPr>
    </w:p>
    <w:p w14:paraId="61BBC05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sz w:val="24"/>
          <w:szCs w:val="24"/>
          <w:lang w:eastAsia="zh-CN"/>
        </w:rPr>
      </w:pPr>
    </w:p>
    <w:p w14:paraId="6C208E38">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99903C9">
      <w:pPr>
        <w:pStyle w:val="3"/>
        <w:kinsoku/>
        <w:wordWrap w:val="0"/>
        <w:spacing w:line="360" w:lineRule="auto"/>
        <w:jc w:val="both"/>
        <w:rPr>
          <w:rFonts w:asciiTheme="minorEastAsia" w:hAnsiTheme="minorEastAsia" w:eastAsiaTheme="minorEastAsia" w:cstheme="minorEastAsia"/>
          <w:spacing w:val="-3"/>
          <w:sz w:val="24"/>
          <w:szCs w:val="24"/>
          <w:lang w:eastAsia="zh-CN"/>
        </w:rPr>
      </w:pPr>
    </w:p>
    <w:p w14:paraId="4CF7D57C">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lang w:eastAsia="zh-CN"/>
        </w:rPr>
      </w:pPr>
    </w:p>
    <w:p w14:paraId="3F569F30">
      <w:pPr>
        <w:kinsoku/>
        <w:wordWrap w:val="0"/>
        <w:spacing w:line="256" w:lineRule="auto"/>
        <w:jc w:val="both"/>
        <w:rPr>
          <w:rFonts w:asciiTheme="minorEastAsia" w:hAnsiTheme="minorEastAsia" w:eastAsiaTheme="minorEastAsia" w:cstheme="minorEastAsia"/>
          <w:lang w:eastAsia="zh-CN"/>
        </w:rPr>
      </w:pPr>
    </w:p>
    <w:p w14:paraId="0FBFE5E6">
      <w:pPr>
        <w:kinsoku/>
        <w:wordWrap w:val="0"/>
        <w:spacing w:line="256" w:lineRule="auto"/>
        <w:jc w:val="both"/>
        <w:rPr>
          <w:rFonts w:asciiTheme="minorEastAsia" w:hAnsiTheme="minorEastAsia" w:eastAsiaTheme="minorEastAsia" w:cstheme="minorEastAsia"/>
          <w:lang w:eastAsia="zh-CN"/>
        </w:rPr>
      </w:pPr>
    </w:p>
    <w:p w14:paraId="6D1B9892">
      <w:pPr>
        <w:kinsoku/>
        <w:wordWrap w:val="0"/>
        <w:spacing w:line="360" w:lineRule="auto"/>
        <w:jc w:val="both"/>
        <w:rPr>
          <w:rFonts w:asciiTheme="minorEastAsia" w:hAnsiTheme="minorEastAsia" w:eastAsiaTheme="minorEastAsia" w:cstheme="minorEastAsia"/>
          <w:b/>
          <w:bCs/>
          <w:sz w:val="24"/>
          <w:szCs w:val="24"/>
          <w:lang w:eastAsia="zh-CN"/>
        </w:rPr>
      </w:pPr>
    </w:p>
    <w:p w14:paraId="4325A837">
      <w:pPr>
        <w:kinsoku/>
        <w:wordWrap w:val="0"/>
        <w:spacing w:line="360" w:lineRule="auto"/>
        <w:jc w:val="both"/>
        <w:rPr>
          <w:rFonts w:asciiTheme="minorEastAsia" w:hAnsiTheme="minorEastAsia" w:eastAsiaTheme="minorEastAsia" w:cstheme="minorEastAsia"/>
          <w:b/>
          <w:bCs/>
          <w:sz w:val="24"/>
          <w:szCs w:val="24"/>
          <w:lang w:eastAsia="zh-CN"/>
        </w:rPr>
      </w:pPr>
    </w:p>
    <w:p w14:paraId="0989888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w:t>
      </w:r>
      <w:r>
        <w:rPr>
          <w:rFonts w:hint="eastAsia" w:asciiTheme="minorEastAsia" w:hAnsiTheme="minorEastAsia" w:eastAsiaTheme="minorEastAsia" w:cstheme="minorEastAsia"/>
          <w:b/>
          <w:bCs/>
          <w:sz w:val="24"/>
          <w:szCs w:val="24"/>
          <w:lang w:val="en-US" w:eastAsia="zh-CN"/>
        </w:rPr>
        <w:t>六个月</w:t>
      </w:r>
      <w:r>
        <w:rPr>
          <w:rFonts w:hint="eastAsia" w:asciiTheme="minorEastAsia" w:hAnsiTheme="minorEastAsia" w:eastAsiaTheme="minorEastAsia" w:cstheme="minorEastAsia"/>
          <w:b/>
          <w:bCs/>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年度或202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sz w:val="24"/>
          <w:szCs w:val="24"/>
          <w:lang w:eastAsia="zh-CN"/>
        </w:rPr>
      </w:pPr>
    </w:p>
    <w:p w14:paraId="46587800">
      <w:pPr>
        <w:kinsoku/>
        <w:wordWrap w:val="0"/>
        <w:spacing w:line="360" w:lineRule="auto"/>
        <w:jc w:val="both"/>
        <w:rPr>
          <w:rFonts w:asciiTheme="minorEastAsia" w:hAnsiTheme="minorEastAsia" w:eastAsiaTheme="minorEastAsia" w:cstheme="minorEastAsia"/>
          <w:b/>
          <w:bCs/>
          <w:sz w:val="24"/>
          <w:szCs w:val="24"/>
          <w:lang w:eastAsia="zh-CN"/>
        </w:rPr>
      </w:pPr>
    </w:p>
    <w:p w14:paraId="4FC768FC">
      <w:pPr>
        <w:kinsoku/>
        <w:wordWrap w:val="0"/>
        <w:spacing w:line="360" w:lineRule="auto"/>
        <w:jc w:val="both"/>
        <w:rPr>
          <w:rFonts w:asciiTheme="minorEastAsia" w:hAnsiTheme="minorEastAsia" w:eastAsiaTheme="minorEastAsia" w:cstheme="minorEastAsia"/>
          <w:b/>
          <w:bCs/>
          <w:sz w:val="24"/>
          <w:szCs w:val="24"/>
          <w:lang w:eastAsia="zh-CN"/>
        </w:rPr>
      </w:pPr>
    </w:p>
    <w:p w14:paraId="7F4B928F">
      <w:pPr>
        <w:kinsoku/>
        <w:wordWrap w:val="0"/>
        <w:spacing w:line="360" w:lineRule="auto"/>
        <w:jc w:val="both"/>
        <w:rPr>
          <w:rFonts w:asciiTheme="minorEastAsia" w:hAnsiTheme="minorEastAsia" w:eastAsiaTheme="minorEastAsia" w:cstheme="minorEastAsia"/>
          <w:b/>
          <w:bCs/>
          <w:sz w:val="24"/>
          <w:szCs w:val="24"/>
          <w:lang w:eastAsia="zh-CN"/>
        </w:rPr>
      </w:pPr>
    </w:p>
    <w:p w14:paraId="13C8FDA4">
      <w:pPr>
        <w:kinsoku/>
        <w:wordWrap w:val="0"/>
        <w:spacing w:line="360" w:lineRule="auto"/>
        <w:jc w:val="both"/>
        <w:rPr>
          <w:rFonts w:asciiTheme="minorEastAsia" w:hAnsiTheme="minorEastAsia" w:eastAsiaTheme="minorEastAsia" w:cstheme="minorEastAsia"/>
          <w:b/>
          <w:bCs/>
          <w:sz w:val="24"/>
          <w:szCs w:val="24"/>
          <w:lang w:eastAsia="zh-CN"/>
        </w:rPr>
      </w:pPr>
    </w:p>
    <w:p w14:paraId="4F88BDD3">
      <w:pPr>
        <w:kinsoku/>
        <w:wordWrap w:val="0"/>
        <w:spacing w:line="360" w:lineRule="auto"/>
        <w:jc w:val="both"/>
        <w:rPr>
          <w:rFonts w:asciiTheme="minorEastAsia" w:hAnsiTheme="minorEastAsia" w:eastAsiaTheme="minorEastAsia" w:cstheme="minorEastAsia"/>
          <w:b/>
          <w:bCs/>
          <w:sz w:val="24"/>
          <w:szCs w:val="24"/>
          <w:lang w:eastAsia="zh-CN"/>
        </w:rPr>
      </w:pPr>
    </w:p>
    <w:p w14:paraId="2022906F">
      <w:pPr>
        <w:kinsoku/>
        <w:wordWrap w:val="0"/>
        <w:spacing w:line="360" w:lineRule="auto"/>
        <w:jc w:val="both"/>
        <w:rPr>
          <w:rFonts w:asciiTheme="minorEastAsia" w:hAnsiTheme="minorEastAsia" w:eastAsiaTheme="minorEastAsia" w:cstheme="minorEastAsia"/>
          <w:b/>
          <w:bCs/>
          <w:sz w:val="24"/>
          <w:szCs w:val="24"/>
          <w:lang w:eastAsia="zh-CN"/>
        </w:rPr>
      </w:pPr>
    </w:p>
    <w:p w14:paraId="19BF80AE">
      <w:pPr>
        <w:kinsoku/>
        <w:wordWrap w:val="0"/>
        <w:spacing w:line="360" w:lineRule="auto"/>
        <w:jc w:val="both"/>
        <w:rPr>
          <w:rFonts w:asciiTheme="minorEastAsia" w:hAnsiTheme="minorEastAsia" w:eastAsiaTheme="minorEastAsia" w:cstheme="minorEastAsia"/>
          <w:b/>
          <w:bCs/>
          <w:sz w:val="24"/>
          <w:szCs w:val="24"/>
          <w:lang w:eastAsia="zh-CN"/>
        </w:rPr>
      </w:pPr>
    </w:p>
    <w:p w14:paraId="5082FC25">
      <w:pPr>
        <w:kinsoku/>
        <w:wordWrap w:val="0"/>
        <w:spacing w:line="360" w:lineRule="auto"/>
        <w:jc w:val="both"/>
        <w:rPr>
          <w:rFonts w:asciiTheme="minorEastAsia" w:hAnsiTheme="minorEastAsia" w:eastAsiaTheme="minorEastAsia" w:cstheme="minorEastAsia"/>
          <w:b/>
          <w:bCs/>
          <w:sz w:val="24"/>
          <w:szCs w:val="24"/>
          <w:lang w:eastAsia="zh-CN"/>
        </w:rPr>
      </w:pPr>
    </w:p>
    <w:p w14:paraId="6953B8FC">
      <w:pPr>
        <w:kinsoku/>
        <w:wordWrap w:val="0"/>
        <w:spacing w:line="360" w:lineRule="auto"/>
        <w:jc w:val="both"/>
        <w:rPr>
          <w:rFonts w:asciiTheme="minorEastAsia" w:hAnsiTheme="minorEastAsia" w:eastAsiaTheme="minorEastAsia" w:cstheme="minorEastAsia"/>
          <w:b/>
          <w:bCs/>
          <w:sz w:val="24"/>
          <w:szCs w:val="24"/>
          <w:lang w:eastAsia="zh-CN"/>
        </w:rPr>
      </w:pPr>
    </w:p>
    <w:p w14:paraId="7C8C0036">
      <w:pPr>
        <w:kinsoku/>
        <w:wordWrap w:val="0"/>
        <w:spacing w:line="360" w:lineRule="auto"/>
        <w:jc w:val="both"/>
        <w:rPr>
          <w:rFonts w:asciiTheme="minorEastAsia" w:hAnsiTheme="minorEastAsia" w:eastAsiaTheme="minorEastAsia" w:cstheme="minorEastAsia"/>
          <w:b/>
          <w:bCs/>
          <w:sz w:val="24"/>
          <w:szCs w:val="24"/>
          <w:lang w:eastAsia="zh-CN"/>
        </w:rPr>
      </w:pPr>
    </w:p>
    <w:p w14:paraId="4103DA53">
      <w:pPr>
        <w:kinsoku/>
        <w:wordWrap w:val="0"/>
        <w:spacing w:line="360" w:lineRule="auto"/>
        <w:jc w:val="both"/>
        <w:rPr>
          <w:rFonts w:asciiTheme="minorEastAsia" w:hAnsiTheme="minorEastAsia" w:eastAsiaTheme="minorEastAsia" w:cstheme="minorEastAsia"/>
          <w:b/>
          <w:bCs/>
          <w:sz w:val="24"/>
          <w:szCs w:val="24"/>
          <w:lang w:eastAsia="zh-CN"/>
        </w:rPr>
      </w:pPr>
    </w:p>
    <w:p w14:paraId="029D32F3">
      <w:pPr>
        <w:kinsoku/>
        <w:wordWrap w:val="0"/>
        <w:spacing w:line="360" w:lineRule="auto"/>
        <w:jc w:val="both"/>
        <w:rPr>
          <w:rFonts w:asciiTheme="minorEastAsia" w:hAnsiTheme="minorEastAsia" w:eastAsiaTheme="minorEastAsia" w:cstheme="minorEastAsia"/>
          <w:b/>
          <w:bCs/>
          <w:sz w:val="24"/>
          <w:szCs w:val="24"/>
          <w:lang w:eastAsia="zh-CN"/>
        </w:rPr>
      </w:pPr>
    </w:p>
    <w:p w14:paraId="3637DF45">
      <w:pPr>
        <w:kinsoku/>
        <w:wordWrap w:val="0"/>
        <w:spacing w:line="360" w:lineRule="auto"/>
        <w:jc w:val="both"/>
        <w:rPr>
          <w:rFonts w:asciiTheme="minorEastAsia" w:hAnsiTheme="minorEastAsia" w:eastAsiaTheme="minorEastAsia" w:cstheme="minorEastAsia"/>
          <w:b/>
          <w:bCs/>
          <w:sz w:val="24"/>
          <w:szCs w:val="24"/>
          <w:lang w:eastAsia="zh-CN"/>
        </w:rPr>
      </w:pPr>
    </w:p>
    <w:p w14:paraId="33F8D8F4">
      <w:pPr>
        <w:kinsoku/>
        <w:wordWrap w:val="0"/>
        <w:spacing w:line="360" w:lineRule="auto"/>
        <w:jc w:val="both"/>
        <w:rPr>
          <w:rFonts w:asciiTheme="minorEastAsia" w:hAnsiTheme="minorEastAsia" w:eastAsiaTheme="minorEastAsia" w:cstheme="minorEastAsia"/>
          <w:b/>
          <w:bCs/>
          <w:sz w:val="24"/>
          <w:szCs w:val="24"/>
          <w:lang w:eastAsia="zh-CN"/>
        </w:rPr>
      </w:pPr>
    </w:p>
    <w:p w14:paraId="1D2999F4">
      <w:pPr>
        <w:kinsoku/>
        <w:wordWrap w:val="0"/>
        <w:spacing w:line="360" w:lineRule="auto"/>
        <w:jc w:val="both"/>
        <w:rPr>
          <w:rFonts w:asciiTheme="minorEastAsia" w:hAnsiTheme="minorEastAsia" w:eastAsiaTheme="minorEastAsia" w:cstheme="minorEastAsia"/>
          <w:b/>
          <w:bCs/>
          <w:sz w:val="24"/>
          <w:szCs w:val="24"/>
          <w:lang w:eastAsia="zh-CN"/>
        </w:rPr>
      </w:pPr>
    </w:p>
    <w:p w14:paraId="6BF00730">
      <w:pPr>
        <w:kinsoku/>
        <w:wordWrap w:val="0"/>
        <w:spacing w:line="360" w:lineRule="auto"/>
        <w:jc w:val="both"/>
        <w:rPr>
          <w:rFonts w:asciiTheme="minorEastAsia" w:hAnsiTheme="minorEastAsia" w:eastAsiaTheme="minorEastAsia" w:cstheme="minorEastAsia"/>
          <w:b/>
          <w:bCs/>
          <w:sz w:val="24"/>
          <w:szCs w:val="24"/>
          <w:lang w:eastAsia="zh-CN"/>
        </w:rPr>
      </w:pPr>
    </w:p>
    <w:p w14:paraId="0C935ACD">
      <w:pPr>
        <w:kinsoku/>
        <w:wordWrap w:val="0"/>
        <w:spacing w:line="360" w:lineRule="auto"/>
        <w:jc w:val="both"/>
        <w:rPr>
          <w:rFonts w:asciiTheme="minorEastAsia" w:hAnsiTheme="minorEastAsia" w:eastAsiaTheme="minorEastAsia" w:cstheme="minorEastAsia"/>
          <w:b/>
          <w:bCs/>
          <w:sz w:val="24"/>
          <w:szCs w:val="24"/>
          <w:lang w:eastAsia="zh-CN"/>
        </w:rPr>
      </w:pPr>
    </w:p>
    <w:p w14:paraId="608FE3A0">
      <w:pPr>
        <w:kinsoku/>
        <w:wordWrap w:val="0"/>
        <w:spacing w:line="360" w:lineRule="auto"/>
        <w:jc w:val="both"/>
        <w:rPr>
          <w:rFonts w:asciiTheme="minorEastAsia" w:hAnsiTheme="minorEastAsia" w:eastAsiaTheme="minorEastAsia" w:cstheme="minorEastAsia"/>
          <w:b/>
          <w:bCs/>
          <w:sz w:val="24"/>
          <w:szCs w:val="24"/>
          <w:lang w:eastAsia="zh-CN"/>
        </w:rPr>
      </w:pPr>
    </w:p>
    <w:p w14:paraId="59EE0DAA">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sz w:val="24"/>
          <w:szCs w:val="24"/>
          <w:lang w:eastAsia="zh-CN"/>
        </w:rPr>
      </w:pPr>
    </w:p>
    <w:p w14:paraId="76E01F5C">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DD7160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F4F4D6">
      <w:pPr>
        <w:pStyle w:val="3"/>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3749EDE9">
      <w:pPr>
        <w:pStyle w:val="3"/>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14:paraId="51EA5A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4D0B952E">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2、投标分项报价一览表（适用于货物可根据项目实际需求自行改动）</w:t>
      </w:r>
    </w:p>
    <w:p w14:paraId="4FC5A8CA">
      <w:pPr>
        <w:kinsoku/>
        <w:wordWrap w:val="0"/>
        <w:jc w:val="both"/>
        <w:rPr>
          <w:rFonts w:ascii="宋体" w:hAnsi="宋体"/>
          <w:b/>
          <w:sz w:val="24"/>
          <w:szCs w:val="24"/>
          <w:lang w:eastAsia="zh-CN"/>
        </w:rPr>
      </w:pPr>
    </w:p>
    <w:p w14:paraId="4CDA18B5">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sz w:val="24"/>
          <w:szCs w:val="24"/>
          <w:lang w:eastAsia="zh-CN"/>
        </w:rPr>
      </w:pPr>
    </w:p>
    <w:p w14:paraId="566F97C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r>
        <w:rPr>
          <w:rFonts w:hint="eastAsia" w:ascii="宋体" w:hAnsi="宋体"/>
          <w:b/>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r>
        <w:rPr>
          <w:rFonts w:hint="eastAsia" w:ascii="宋体" w:hAnsi="宋体"/>
          <w:b/>
          <w:sz w:val="24"/>
          <w:szCs w:val="24"/>
          <w:lang w:eastAsia="zh-CN"/>
        </w:rPr>
        <w:t>（适用于货物）</w:t>
      </w:r>
    </w:p>
    <w:p w14:paraId="1C903B9D">
      <w:pPr>
        <w:pStyle w:val="3"/>
        <w:kinsoku/>
        <w:wordWrap w:val="0"/>
        <w:jc w:val="both"/>
        <w:rPr>
          <w:rFonts w:asciiTheme="minorEastAsia" w:hAnsiTheme="minorEastAsia" w:eastAsiaTheme="minorEastAsia" w:cstheme="minorEastAsia"/>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sz w:val="24"/>
          <w:szCs w:val="24"/>
          <w:lang w:eastAsia="zh-CN"/>
        </w:rPr>
      </w:pPr>
    </w:p>
    <w:p w14:paraId="4EA9E4E3">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sz w:val="24"/>
          <w:szCs w:val="24"/>
          <w:lang w:eastAsia="zh-CN"/>
        </w:rPr>
      </w:pPr>
    </w:p>
    <w:p w14:paraId="4C1B5EA4">
      <w:pPr>
        <w:kinsoku/>
        <w:wordWrap w:val="0"/>
        <w:spacing w:line="360" w:lineRule="auto"/>
        <w:jc w:val="both"/>
        <w:rPr>
          <w:rFonts w:asciiTheme="minorEastAsia" w:hAnsiTheme="minorEastAsia" w:eastAsiaTheme="minorEastAsia" w:cstheme="minorEastAsia"/>
          <w:b/>
          <w:sz w:val="24"/>
          <w:szCs w:val="24"/>
          <w:lang w:eastAsia="zh-CN"/>
        </w:rPr>
      </w:pPr>
    </w:p>
    <w:p w14:paraId="4FE2CF15">
      <w:pPr>
        <w:kinsoku/>
        <w:wordWrap w:val="0"/>
        <w:spacing w:line="360" w:lineRule="auto"/>
        <w:jc w:val="both"/>
        <w:rPr>
          <w:rFonts w:asciiTheme="minorEastAsia" w:hAnsiTheme="minorEastAsia" w:eastAsiaTheme="minorEastAsia" w:cstheme="minorEastAsia"/>
          <w:b/>
          <w:sz w:val="24"/>
          <w:szCs w:val="24"/>
          <w:lang w:eastAsia="zh-CN"/>
        </w:rPr>
      </w:pPr>
    </w:p>
    <w:p w14:paraId="13F7937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sz w:val="24"/>
          <w:szCs w:val="24"/>
          <w:lang w:eastAsia="zh-CN"/>
        </w:rPr>
      </w:pPr>
    </w:p>
    <w:p w14:paraId="33299AC9">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sz w:val="24"/>
          <w:szCs w:val="24"/>
          <w:lang w:eastAsia="zh-CN"/>
        </w:rPr>
      </w:pPr>
    </w:p>
    <w:p w14:paraId="5829D42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sz w:val="24"/>
                <w:szCs w:val="24"/>
              </w:rPr>
            </w:pPr>
          </w:p>
        </w:tc>
      </w:tr>
    </w:tbl>
    <w:p w14:paraId="6BD7A9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sz w:val="24"/>
          <w:szCs w:val="24"/>
          <w:lang w:eastAsia="zh-CN"/>
        </w:rPr>
      </w:pPr>
    </w:p>
    <w:p w14:paraId="2BD9FB67">
      <w:pPr>
        <w:kinsoku/>
        <w:wordWrap w:val="0"/>
        <w:spacing w:line="360" w:lineRule="auto"/>
        <w:jc w:val="both"/>
        <w:rPr>
          <w:rFonts w:asciiTheme="minorEastAsia" w:hAnsiTheme="minorEastAsia" w:eastAsiaTheme="minorEastAsia" w:cstheme="minorEastAsia"/>
          <w:b/>
          <w:sz w:val="24"/>
          <w:szCs w:val="24"/>
          <w:lang w:eastAsia="zh-CN"/>
        </w:rPr>
      </w:pPr>
    </w:p>
    <w:p w14:paraId="26F0B92A">
      <w:pPr>
        <w:kinsoku/>
        <w:wordWrap w:val="0"/>
        <w:spacing w:line="360" w:lineRule="auto"/>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r>
        <w:rPr>
          <w:rFonts w:hint="eastAsia" w:ascii="宋体" w:hAnsi="宋体"/>
          <w:b/>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r>
        <w:rPr>
          <w:rFonts w:hint="eastAsia" w:ascii="宋体" w:hAnsi="宋体"/>
          <w:b/>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sz w:val="24"/>
          <w:szCs w:val="24"/>
          <w:lang w:eastAsia="zh-CN"/>
        </w:rPr>
      </w:pPr>
    </w:p>
    <w:p w14:paraId="4433121B">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bCs/>
          <w:sz w:val="24"/>
          <w:szCs w:val="24"/>
          <w:lang w:eastAsia="zh-CN"/>
        </w:rPr>
        <w:t>5.没有相关产品可不提供本表。</w:t>
      </w:r>
    </w:p>
    <w:p w14:paraId="4A985F74">
      <w:pPr>
        <w:pStyle w:val="3"/>
        <w:kinsoku/>
        <w:wordWrap w:val="0"/>
        <w:spacing w:before="333" w:line="219" w:lineRule="auto"/>
        <w:jc w:val="both"/>
        <w:rPr>
          <w:rFonts w:asciiTheme="minorEastAsia" w:hAnsiTheme="minorEastAsia" w:eastAsiaTheme="minorEastAsia" w:cstheme="minorEastAsia"/>
          <w:spacing w:val="-3"/>
          <w:sz w:val="36"/>
          <w:szCs w:val="36"/>
          <w:lang w:eastAsia="zh-CN"/>
        </w:rPr>
      </w:pPr>
    </w:p>
    <w:p w14:paraId="2DFA0344">
      <w:pPr>
        <w:pStyle w:val="3"/>
        <w:kinsoku/>
        <w:wordWrap w:val="0"/>
        <w:spacing w:line="360" w:lineRule="auto"/>
        <w:jc w:val="both"/>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14:paraId="71E67A45">
      <w:pPr>
        <w:pStyle w:val="3"/>
        <w:kinsoku/>
        <w:wordWrap w:val="0"/>
        <w:spacing w:before="333" w:line="219" w:lineRule="auto"/>
        <w:jc w:val="center"/>
        <w:rPr>
          <w:rFonts w:asciiTheme="minorEastAsia" w:hAnsiTheme="minorEastAsia" w:eastAsiaTheme="minorEastAsia" w:cstheme="minorEastAsia"/>
          <w:spacing w:val="-3"/>
          <w:sz w:val="36"/>
          <w:szCs w:val="36"/>
          <w:lang w:eastAsia="zh-CN"/>
        </w:rPr>
      </w:pPr>
    </w:p>
    <w:p w14:paraId="5AE5DFC4">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266804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18199DD">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15333783">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7547E6D0">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662C6B5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16B95DE6">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39C1795D">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0B29B38">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3DE07F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6CC1A648">
      <w:pPr>
        <w:rPr>
          <w:rFonts w:hint="eastAsia"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spacing w:val="-3"/>
          <w:sz w:val="36"/>
          <w:szCs w:val="36"/>
          <w:lang w:eastAsia="zh-CN"/>
        </w:rPr>
        <w:br w:type="page"/>
      </w:r>
    </w:p>
    <w:p w14:paraId="236BFB3D">
      <w:pPr>
        <w:pStyle w:val="3"/>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lang w:eastAsia="zh-CN"/>
        </w:rPr>
      </w:pPr>
    </w:p>
    <w:p w14:paraId="0526C5EE">
      <w:pPr>
        <w:pStyle w:val="3"/>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148D6AC0">
      <w:pPr>
        <w:pStyle w:val="3"/>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从业人员人，</w:t>
      </w:r>
      <w:r>
        <w:rPr>
          <w:rFonts w:hint="eastAsia" w:asciiTheme="minorEastAsia" w:hAnsiTheme="minorEastAsia" w:eastAsiaTheme="minorEastAsia" w:cstheme="minorEastAsia"/>
          <w:spacing w:val="7"/>
          <w:sz w:val="24"/>
          <w:szCs w:val="24"/>
          <w:lang w:eastAsia="zh-CN"/>
        </w:rPr>
        <w:t>营业收入为万元，资产总额为</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5EB7F897">
      <w:pPr>
        <w:pStyle w:val="3"/>
        <w:kinsoku/>
        <w:wordWrap w:val="0"/>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从业人员人，营业收入为万元，资产总额为万元，属于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lang w:eastAsia="zh-CN"/>
        </w:rPr>
      </w:pPr>
    </w:p>
    <w:p w14:paraId="6E88C41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38512E1D">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0E8CB261">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49470BAB">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lang w:eastAsia="zh-CN"/>
        </w:rPr>
      </w:pPr>
    </w:p>
    <w:p w14:paraId="045FB237">
      <w:pPr>
        <w:pStyle w:val="3"/>
        <w:kinsoku/>
        <w:wordWrap w:val="0"/>
        <w:spacing w:line="360" w:lineRule="auto"/>
        <w:ind w:firstLine="3838" w:firstLineChars="19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1A8E111">
      <w:pPr>
        <w:pStyle w:val="3"/>
        <w:kinsoku/>
        <w:wordWrap w:val="0"/>
        <w:spacing w:line="360" w:lineRule="auto"/>
        <w:ind w:firstLine="10080" w:firstLineChars="4200"/>
        <w:jc w:val="both"/>
        <w:rPr>
          <w:rFonts w:asciiTheme="minorEastAsia" w:hAnsiTheme="minorEastAsia" w:eastAsiaTheme="minorEastAsia" w:cstheme="minorEastAsia"/>
          <w:sz w:val="24"/>
          <w:szCs w:val="24"/>
          <w:lang w:eastAsia="zh-CN"/>
        </w:rPr>
      </w:pPr>
    </w:p>
    <w:p w14:paraId="109F55FE">
      <w:pPr>
        <w:kinsoku/>
        <w:wordWrap w:val="0"/>
        <w:spacing w:line="360" w:lineRule="auto"/>
        <w:jc w:val="both"/>
        <w:rPr>
          <w:rFonts w:asciiTheme="minorEastAsia" w:hAnsiTheme="minorEastAsia" w:eastAsiaTheme="minorEastAsia" w:cstheme="minorEastAsia"/>
          <w:lang w:eastAsia="zh-CN"/>
        </w:rPr>
      </w:pPr>
    </w:p>
    <w:p w14:paraId="67A02685">
      <w:pPr>
        <w:pStyle w:val="3"/>
        <w:kinsoku/>
        <w:wordWrap w:val="0"/>
        <w:spacing w:line="360" w:lineRule="auto"/>
        <w:jc w:val="both"/>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4A20CA59">
      <w:pPr>
        <w:pStyle w:val="32"/>
        <w:rPr>
          <w:rFonts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68F0E887">
      <w:pPr>
        <w:pStyle w:val="3"/>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lang w:eastAsia="zh-CN"/>
        </w:rPr>
      </w:pPr>
    </w:p>
    <w:p w14:paraId="4332B4BB">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7082609D">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spacing w:val="-46"/>
          <w:sz w:val="24"/>
          <w:szCs w:val="24"/>
          <w:lang w:eastAsia="zh-CN"/>
        </w:rPr>
        <w:t>）：</w:t>
      </w:r>
    </w:p>
    <w:p w14:paraId="17051361">
      <w:pPr>
        <w:pStyle w:val="3"/>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rPr>
        <w:t>不属于符合条件的残疾人福利性单位。</w:t>
      </w:r>
    </w:p>
    <w:p w14:paraId="5A49AC01">
      <w:pPr>
        <w:pStyle w:val="3"/>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DD10A4A">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本单位对上述声明的真实性负责。如有虚假，将依法</w:t>
      </w:r>
      <w:r>
        <w:rPr>
          <w:rFonts w:hint="eastAsia" w:asciiTheme="minorEastAsia" w:hAnsiTheme="minorEastAsia" w:eastAsiaTheme="minorEastAsia" w:cstheme="minorEastAsia"/>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lang w:eastAsia="zh-CN"/>
        </w:rPr>
      </w:pPr>
    </w:p>
    <w:p w14:paraId="117BEB98">
      <w:pPr>
        <w:kinsoku/>
        <w:wordWrap w:val="0"/>
        <w:spacing w:line="360" w:lineRule="auto"/>
        <w:jc w:val="both"/>
        <w:rPr>
          <w:rFonts w:asciiTheme="minorEastAsia" w:hAnsiTheme="minorEastAsia" w:eastAsiaTheme="minorEastAsia" w:cstheme="minorEastAsia"/>
          <w:lang w:eastAsia="zh-CN"/>
        </w:rPr>
      </w:pPr>
    </w:p>
    <w:p w14:paraId="438EB770">
      <w:pPr>
        <w:pStyle w:val="3"/>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sz w:val="24"/>
          <w:szCs w:val="24"/>
          <w:lang w:eastAsia="zh-CN"/>
        </w:rPr>
      </w:pPr>
    </w:p>
    <w:p w14:paraId="32259FE2">
      <w:pPr>
        <w:kinsoku/>
        <w:wordWrap w:val="0"/>
        <w:spacing w:line="360" w:lineRule="auto"/>
        <w:jc w:val="both"/>
        <w:rPr>
          <w:rFonts w:asciiTheme="minorEastAsia" w:hAnsiTheme="minorEastAsia" w:eastAsiaTheme="minorEastAsia" w:cstheme="minorEastAsia"/>
          <w:sz w:val="24"/>
          <w:szCs w:val="24"/>
          <w:lang w:eastAsia="zh-CN"/>
        </w:rPr>
      </w:pPr>
    </w:p>
    <w:p w14:paraId="6748B05B">
      <w:pPr>
        <w:kinsoku/>
        <w:wordWrap w:val="0"/>
        <w:spacing w:line="360" w:lineRule="auto"/>
        <w:jc w:val="both"/>
        <w:rPr>
          <w:rFonts w:asciiTheme="minorEastAsia" w:hAnsiTheme="minorEastAsia" w:eastAsiaTheme="minorEastAsia" w:cstheme="minorEastAsia"/>
          <w:sz w:val="36"/>
          <w:szCs w:val="36"/>
          <w:lang w:eastAsia="zh-CN"/>
        </w:rPr>
      </w:pPr>
    </w:p>
    <w:p w14:paraId="386806A4">
      <w:pPr>
        <w:kinsoku/>
        <w:wordWrap w:val="0"/>
        <w:spacing w:line="360" w:lineRule="auto"/>
        <w:jc w:val="both"/>
        <w:rPr>
          <w:rFonts w:asciiTheme="minorEastAsia" w:hAnsiTheme="minorEastAsia" w:eastAsiaTheme="minorEastAsia" w:cstheme="minorEastAsia"/>
          <w:sz w:val="36"/>
          <w:szCs w:val="36"/>
          <w:lang w:eastAsia="zh-CN"/>
        </w:rPr>
      </w:pPr>
    </w:p>
    <w:p w14:paraId="19D25D39">
      <w:pPr>
        <w:kinsoku/>
        <w:wordWrap w:val="0"/>
        <w:spacing w:line="360" w:lineRule="auto"/>
        <w:jc w:val="both"/>
        <w:rPr>
          <w:rFonts w:asciiTheme="minorEastAsia" w:hAnsiTheme="minorEastAsia" w:eastAsiaTheme="minorEastAsia" w:cstheme="minorEastAsia"/>
          <w:sz w:val="36"/>
          <w:szCs w:val="36"/>
          <w:lang w:eastAsia="zh-CN"/>
        </w:rPr>
      </w:pPr>
    </w:p>
    <w:p w14:paraId="6AE3C99F">
      <w:pPr>
        <w:kinsoku/>
        <w:wordWrap w:val="0"/>
        <w:spacing w:line="360" w:lineRule="auto"/>
        <w:jc w:val="both"/>
        <w:rPr>
          <w:rFonts w:asciiTheme="minorEastAsia" w:hAnsiTheme="minorEastAsia" w:eastAsiaTheme="minorEastAsia" w:cstheme="minorEastAsia"/>
          <w:sz w:val="36"/>
          <w:szCs w:val="36"/>
          <w:lang w:eastAsia="zh-CN"/>
        </w:rPr>
      </w:pPr>
    </w:p>
    <w:p w14:paraId="3105441B">
      <w:pPr>
        <w:kinsoku/>
        <w:wordWrap w:val="0"/>
        <w:spacing w:line="360" w:lineRule="auto"/>
        <w:jc w:val="both"/>
        <w:rPr>
          <w:rFonts w:asciiTheme="minorEastAsia" w:hAnsiTheme="minorEastAsia" w:eastAsiaTheme="minorEastAsia" w:cstheme="minorEastAsia"/>
          <w:sz w:val="36"/>
          <w:szCs w:val="36"/>
          <w:lang w:eastAsia="zh-CN"/>
        </w:rPr>
      </w:pPr>
    </w:p>
    <w:p w14:paraId="48926137">
      <w:pPr>
        <w:kinsoku/>
        <w:wordWrap w:val="0"/>
        <w:spacing w:line="360" w:lineRule="auto"/>
        <w:jc w:val="both"/>
        <w:rPr>
          <w:rFonts w:asciiTheme="minorEastAsia" w:hAnsiTheme="minorEastAsia" w:eastAsiaTheme="minorEastAsia" w:cstheme="minorEastAsia"/>
          <w:sz w:val="36"/>
          <w:szCs w:val="36"/>
          <w:lang w:eastAsia="zh-CN"/>
        </w:rPr>
      </w:pPr>
    </w:p>
    <w:p w14:paraId="0EE740BE">
      <w:pPr>
        <w:kinsoku/>
        <w:wordWrap w:val="0"/>
        <w:spacing w:line="360" w:lineRule="auto"/>
        <w:jc w:val="both"/>
        <w:rPr>
          <w:rFonts w:asciiTheme="minorEastAsia" w:hAnsiTheme="minorEastAsia" w:eastAsiaTheme="minorEastAsia" w:cstheme="minorEastAsia"/>
          <w:sz w:val="36"/>
          <w:szCs w:val="36"/>
          <w:lang w:eastAsia="zh-CN"/>
        </w:rPr>
      </w:pPr>
    </w:p>
    <w:p w14:paraId="335B0FE5">
      <w:pPr>
        <w:kinsoku/>
        <w:wordWrap w:val="0"/>
        <w:spacing w:line="360" w:lineRule="auto"/>
        <w:jc w:val="both"/>
        <w:rPr>
          <w:rFonts w:asciiTheme="minorEastAsia" w:hAnsiTheme="minorEastAsia" w:eastAsiaTheme="minorEastAsia" w:cstheme="minorEastAsia"/>
          <w:sz w:val="36"/>
          <w:szCs w:val="36"/>
          <w:lang w:eastAsia="zh-CN"/>
        </w:rPr>
      </w:pPr>
    </w:p>
    <w:p w14:paraId="00AE94A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58625793">
      <w:pPr>
        <w:kinsoku/>
        <w:wordWrap w:val="0"/>
        <w:spacing w:line="360" w:lineRule="auto"/>
        <w:jc w:val="both"/>
        <w:rPr>
          <w:rFonts w:ascii="宋体" w:hAnsi="宋体"/>
          <w:b/>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3AFED4-AEF1-4EB1-99B8-B5075284C8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embedRegular r:id="rId2" w:fontKey="{6B6F51B6-0175-4A34-8DD2-36F2CA4A1891}"/>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13585C1-076A-4819-9F3F-4FC5962284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172A27"/>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23E759B"/>
    <w:rsid w:val="025F4662"/>
    <w:rsid w:val="027730B6"/>
    <w:rsid w:val="02F94AB6"/>
    <w:rsid w:val="02FA03F5"/>
    <w:rsid w:val="03217B69"/>
    <w:rsid w:val="0343519F"/>
    <w:rsid w:val="034A5312"/>
    <w:rsid w:val="037B31CC"/>
    <w:rsid w:val="03C26B83"/>
    <w:rsid w:val="03CC315E"/>
    <w:rsid w:val="03DF5A69"/>
    <w:rsid w:val="044921B6"/>
    <w:rsid w:val="046E59EF"/>
    <w:rsid w:val="04A42800"/>
    <w:rsid w:val="04F60B7A"/>
    <w:rsid w:val="04FE5A96"/>
    <w:rsid w:val="050D556D"/>
    <w:rsid w:val="05234F67"/>
    <w:rsid w:val="053F389C"/>
    <w:rsid w:val="05545C1C"/>
    <w:rsid w:val="055748A3"/>
    <w:rsid w:val="059A3EA8"/>
    <w:rsid w:val="05C217CC"/>
    <w:rsid w:val="060743F1"/>
    <w:rsid w:val="06593C39"/>
    <w:rsid w:val="06787E06"/>
    <w:rsid w:val="06A5709B"/>
    <w:rsid w:val="06AF4861"/>
    <w:rsid w:val="06B0495B"/>
    <w:rsid w:val="06C93A28"/>
    <w:rsid w:val="06E37C8B"/>
    <w:rsid w:val="076721B4"/>
    <w:rsid w:val="083245C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B46C2A"/>
    <w:rsid w:val="0ABC7CF1"/>
    <w:rsid w:val="0ABE6FC5"/>
    <w:rsid w:val="0AD86A92"/>
    <w:rsid w:val="0B236BAC"/>
    <w:rsid w:val="0B3A2110"/>
    <w:rsid w:val="0B3B7AF5"/>
    <w:rsid w:val="0B3C24F6"/>
    <w:rsid w:val="0B650448"/>
    <w:rsid w:val="0BA31A63"/>
    <w:rsid w:val="0BC76E66"/>
    <w:rsid w:val="0BF0521B"/>
    <w:rsid w:val="0C704305"/>
    <w:rsid w:val="0CA05FA3"/>
    <w:rsid w:val="0CB101B0"/>
    <w:rsid w:val="0CBD4DA7"/>
    <w:rsid w:val="0CD75C30"/>
    <w:rsid w:val="0CF900A3"/>
    <w:rsid w:val="0D4D47F3"/>
    <w:rsid w:val="0DA51F3D"/>
    <w:rsid w:val="0DA859D3"/>
    <w:rsid w:val="0DBA68D6"/>
    <w:rsid w:val="0DD30B7C"/>
    <w:rsid w:val="0E2C21E4"/>
    <w:rsid w:val="0E307EEE"/>
    <w:rsid w:val="0E643EF0"/>
    <w:rsid w:val="0EE83F9D"/>
    <w:rsid w:val="0F0D035A"/>
    <w:rsid w:val="0F7D6A6F"/>
    <w:rsid w:val="0FB87AA7"/>
    <w:rsid w:val="0FD54191"/>
    <w:rsid w:val="0FE34B24"/>
    <w:rsid w:val="10284C2D"/>
    <w:rsid w:val="102C0845"/>
    <w:rsid w:val="1046722D"/>
    <w:rsid w:val="104F3F68"/>
    <w:rsid w:val="10930CC0"/>
    <w:rsid w:val="10B145AD"/>
    <w:rsid w:val="10BE733F"/>
    <w:rsid w:val="10EC7A09"/>
    <w:rsid w:val="11162FE0"/>
    <w:rsid w:val="115A7068"/>
    <w:rsid w:val="117D2D56"/>
    <w:rsid w:val="11867E5D"/>
    <w:rsid w:val="119127D4"/>
    <w:rsid w:val="11B43A6A"/>
    <w:rsid w:val="11B5429E"/>
    <w:rsid w:val="1226519C"/>
    <w:rsid w:val="122675E2"/>
    <w:rsid w:val="12277E43"/>
    <w:rsid w:val="12320AF7"/>
    <w:rsid w:val="12417927"/>
    <w:rsid w:val="124A70DD"/>
    <w:rsid w:val="126E021D"/>
    <w:rsid w:val="1279351E"/>
    <w:rsid w:val="12B2776D"/>
    <w:rsid w:val="12C549DA"/>
    <w:rsid w:val="12D9220E"/>
    <w:rsid w:val="12FD5FFB"/>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D6322F"/>
    <w:rsid w:val="16F45CE8"/>
    <w:rsid w:val="16FC049F"/>
    <w:rsid w:val="170F051C"/>
    <w:rsid w:val="17215F32"/>
    <w:rsid w:val="174C193E"/>
    <w:rsid w:val="179B0D80"/>
    <w:rsid w:val="17B27393"/>
    <w:rsid w:val="17DD62FD"/>
    <w:rsid w:val="183D23CB"/>
    <w:rsid w:val="18510AEB"/>
    <w:rsid w:val="18610CDC"/>
    <w:rsid w:val="19161B44"/>
    <w:rsid w:val="19A90B8D"/>
    <w:rsid w:val="19D46BD3"/>
    <w:rsid w:val="19E260C0"/>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D153143"/>
    <w:rsid w:val="1D295B40"/>
    <w:rsid w:val="1D391455"/>
    <w:rsid w:val="1D72498F"/>
    <w:rsid w:val="1D9D7C75"/>
    <w:rsid w:val="1DC13FCB"/>
    <w:rsid w:val="1DE657E0"/>
    <w:rsid w:val="1E0754FF"/>
    <w:rsid w:val="1E2712E1"/>
    <w:rsid w:val="1E7249AF"/>
    <w:rsid w:val="1E8F7C25"/>
    <w:rsid w:val="1F8737CC"/>
    <w:rsid w:val="1FB060A5"/>
    <w:rsid w:val="1FE61854"/>
    <w:rsid w:val="1FF31541"/>
    <w:rsid w:val="20C93B39"/>
    <w:rsid w:val="20E634F8"/>
    <w:rsid w:val="20F10837"/>
    <w:rsid w:val="210939CE"/>
    <w:rsid w:val="212D6A29"/>
    <w:rsid w:val="21521B0A"/>
    <w:rsid w:val="217E2260"/>
    <w:rsid w:val="21DC7625"/>
    <w:rsid w:val="21E33D7D"/>
    <w:rsid w:val="221942AD"/>
    <w:rsid w:val="221E379A"/>
    <w:rsid w:val="227D056A"/>
    <w:rsid w:val="22937C80"/>
    <w:rsid w:val="22CF0F38"/>
    <w:rsid w:val="22E737AC"/>
    <w:rsid w:val="23C6058D"/>
    <w:rsid w:val="23D34A58"/>
    <w:rsid w:val="24697FC3"/>
    <w:rsid w:val="24B92A42"/>
    <w:rsid w:val="24C8734D"/>
    <w:rsid w:val="24E94D19"/>
    <w:rsid w:val="24F627AC"/>
    <w:rsid w:val="25052271"/>
    <w:rsid w:val="253C1B17"/>
    <w:rsid w:val="255045B2"/>
    <w:rsid w:val="256253DA"/>
    <w:rsid w:val="25722260"/>
    <w:rsid w:val="257A4289"/>
    <w:rsid w:val="259F2E44"/>
    <w:rsid w:val="25A83616"/>
    <w:rsid w:val="25BC57A4"/>
    <w:rsid w:val="25D07317"/>
    <w:rsid w:val="260373D2"/>
    <w:rsid w:val="262B2929"/>
    <w:rsid w:val="263A5FE5"/>
    <w:rsid w:val="265713EE"/>
    <w:rsid w:val="266177F8"/>
    <w:rsid w:val="26734FA1"/>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296C36"/>
    <w:rsid w:val="2B32017A"/>
    <w:rsid w:val="2B4C1378"/>
    <w:rsid w:val="2B632B65"/>
    <w:rsid w:val="2B8723B0"/>
    <w:rsid w:val="2BA2368E"/>
    <w:rsid w:val="2BA967CA"/>
    <w:rsid w:val="2BCB1E44"/>
    <w:rsid w:val="2BD35370"/>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C20F5A"/>
    <w:rsid w:val="305A23C6"/>
    <w:rsid w:val="305F18E8"/>
    <w:rsid w:val="30613A94"/>
    <w:rsid w:val="307D1FD3"/>
    <w:rsid w:val="311741D6"/>
    <w:rsid w:val="3119309A"/>
    <w:rsid w:val="312A5594"/>
    <w:rsid w:val="312C625F"/>
    <w:rsid w:val="31335FE5"/>
    <w:rsid w:val="31456F95"/>
    <w:rsid w:val="316A07AA"/>
    <w:rsid w:val="31C81974"/>
    <w:rsid w:val="31F77B64"/>
    <w:rsid w:val="32230959"/>
    <w:rsid w:val="32C65EB4"/>
    <w:rsid w:val="32C74F96"/>
    <w:rsid w:val="3322495F"/>
    <w:rsid w:val="337450B5"/>
    <w:rsid w:val="33BB353F"/>
    <w:rsid w:val="344C700B"/>
    <w:rsid w:val="346314E0"/>
    <w:rsid w:val="34C22FEC"/>
    <w:rsid w:val="34C518B3"/>
    <w:rsid w:val="34EB0670"/>
    <w:rsid w:val="34F86C33"/>
    <w:rsid w:val="35374E47"/>
    <w:rsid w:val="357D65D2"/>
    <w:rsid w:val="35E6061B"/>
    <w:rsid w:val="36127662"/>
    <w:rsid w:val="36266C69"/>
    <w:rsid w:val="3659703F"/>
    <w:rsid w:val="36B765C5"/>
    <w:rsid w:val="36E83102"/>
    <w:rsid w:val="371B2546"/>
    <w:rsid w:val="374E72FE"/>
    <w:rsid w:val="37512649"/>
    <w:rsid w:val="37773C20"/>
    <w:rsid w:val="378420DE"/>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A046503"/>
    <w:rsid w:val="3AB52087"/>
    <w:rsid w:val="3B35724B"/>
    <w:rsid w:val="3B385475"/>
    <w:rsid w:val="3BB63ADA"/>
    <w:rsid w:val="3BDC4EDA"/>
    <w:rsid w:val="3C243C4B"/>
    <w:rsid w:val="3C37498E"/>
    <w:rsid w:val="3C530DD9"/>
    <w:rsid w:val="3C860462"/>
    <w:rsid w:val="3C8A7F52"/>
    <w:rsid w:val="3C94450B"/>
    <w:rsid w:val="3CD83A9C"/>
    <w:rsid w:val="3D051AB3"/>
    <w:rsid w:val="3D0D2931"/>
    <w:rsid w:val="3D13022E"/>
    <w:rsid w:val="3D9C0E9C"/>
    <w:rsid w:val="3DB8307D"/>
    <w:rsid w:val="3DDE7B24"/>
    <w:rsid w:val="3E353902"/>
    <w:rsid w:val="3E60285C"/>
    <w:rsid w:val="3E742C68"/>
    <w:rsid w:val="3E7A6E5F"/>
    <w:rsid w:val="3E807399"/>
    <w:rsid w:val="3E923BF9"/>
    <w:rsid w:val="3EC60FE9"/>
    <w:rsid w:val="3ED454B4"/>
    <w:rsid w:val="3F0A4EA1"/>
    <w:rsid w:val="3F296F54"/>
    <w:rsid w:val="3F487C50"/>
    <w:rsid w:val="3F53399C"/>
    <w:rsid w:val="3F814E1B"/>
    <w:rsid w:val="3FC65745"/>
    <w:rsid w:val="3FC733A8"/>
    <w:rsid w:val="3FCE3BC4"/>
    <w:rsid w:val="3FCE45FA"/>
    <w:rsid w:val="3FEC2CD2"/>
    <w:rsid w:val="3FFD0A3B"/>
    <w:rsid w:val="40274071"/>
    <w:rsid w:val="40562B98"/>
    <w:rsid w:val="405D1A2A"/>
    <w:rsid w:val="4061721C"/>
    <w:rsid w:val="407F405E"/>
    <w:rsid w:val="409370B0"/>
    <w:rsid w:val="40D21120"/>
    <w:rsid w:val="40D41902"/>
    <w:rsid w:val="41884B35"/>
    <w:rsid w:val="4208221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6C0EB6"/>
    <w:rsid w:val="459B31D0"/>
    <w:rsid w:val="45CF0C25"/>
    <w:rsid w:val="45DD7715"/>
    <w:rsid w:val="46A00372"/>
    <w:rsid w:val="46B502C1"/>
    <w:rsid w:val="472114B3"/>
    <w:rsid w:val="472965B9"/>
    <w:rsid w:val="47503B46"/>
    <w:rsid w:val="479F2E65"/>
    <w:rsid w:val="47C562E2"/>
    <w:rsid w:val="47C81344"/>
    <w:rsid w:val="48014DB6"/>
    <w:rsid w:val="48194880"/>
    <w:rsid w:val="481D611E"/>
    <w:rsid w:val="481E292D"/>
    <w:rsid w:val="483B0352"/>
    <w:rsid w:val="487321E2"/>
    <w:rsid w:val="488A3088"/>
    <w:rsid w:val="48AD79E8"/>
    <w:rsid w:val="48DF1625"/>
    <w:rsid w:val="48E92928"/>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320132"/>
    <w:rsid w:val="4B6545C2"/>
    <w:rsid w:val="4B895879"/>
    <w:rsid w:val="4BBC369E"/>
    <w:rsid w:val="4C12586E"/>
    <w:rsid w:val="4CC528E0"/>
    <w:rsid w:val="4CD77A28"/>
    <w:rsid w:val="4CEC4659"/>
    <w:rsid w:val="4D2515D1"/>
    <w:rsid w:val="4D2B4E39"/>
    <w:rsid w:val="4D2C6E03"/>
    <w:rsid w:val="4D471547"/>
    <w:rsid w:val="4D493511"/>
    <w:rsid w:val="4D6E1E7E"/>
    <w:rsid w:val="4D970721"/>
    <w:rsid w:val="4DAD3FFD"/>
    <w:rsid w:val="4DF21FC2"/>
    <w:rsid w:val="4DF6521C"/>
    <w:rsid w:val="4DF932EA"/>
    <w:rsid w:val="4E197388"/>
    <w:rsid w:val="4E201C1D"/>
    <w:rsid w:val="4E7A34EC"/>
    <w:rsid w:val="4E861641"/>
    <w:rsid w:val="4F332866"/>
    <w:rsid w:val="4F610FE6"/>
    <w:rsid w:val="4F860A4D"/>
    <w:rsid w:val="4FAB04B3"/>
    <w:rsid w:val="4FB426AD"/>
    <w:rsid w:val="4FCB6460"/>
    <w:rsid w:val="4FEE2DC9"/>
    <w:rsid w:val="50326BC4"/>
    <w:rsid w:val="506D39BB"/>
    <w:rsid w:val="508B7F54"/>
    <w:rsid w:val="50901018"/>
    <w:rsid w:val="50940F47"/>
    <w:rsid w:val="51346287"/>
    <w:rsid w:val="51850890"/>
    <w:rsid w:val="519F1DA4"/>
    <w:rsid w:val="51F15F26"/>
    <w:rsid w:val="52462715"/>
    <w:rsid w:val="525210BA"/>
    <w:rsid w:val="52884ADC"/>
    <w:rsid w:val="52A90328"/>
    <w:rsid w:val="52DC3333"/>
    <w:rsid w:val="53000B16"/>
    <w:rsid w:val="53036690"/>
    <w:rsid w:val="53165C44"/>
    <w:rsid w:val="532540D9"/>
    <w:rsid w:val="53376A7B"/>
    <w:rsid w:val="537441A1"/>
    <w:rsid w:val="53B1020C"/>
    <w:rsid w:val="53BD6A07"/>
    <w:rsid w:val="53D0673A"/>
    <w:rsid w:val="53EA0E7E"/>
    <w:rsid w:val="54065481"/>
    <w:rsid w:val="540939FA"/>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9763C3"/>
    <w:rsid w:val="5A9920D7"/>
    <w:rsid w:val="5AEA63E6"/>
    <w:rsid w:val="5B2C7B17"/>
    <w:rsid w:val="5B3C2907"/>
    <w:rsid w:val="5B753A82"/>
    <w:rsid w:val="5B9C04A1"/>
    <w:rsid w:val="5BB30A1C"/>
    <w:rsid w:val="5BCB0AF4"/>
    <w:rsid w:val="5BD90156"/>
    <w:rsid w:val="5C0C052C"/>
    <w:rsid w:val="5C2D5181"/>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261490"/>
    <w:rsid w:val="60263464"/>
    <w:rsid w:val="602A5424"/>
    <w:rsid w:val="60427D1F"/>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42053CC"/>
    <w:rsid w:val="6457430E"/>
    <w:rsid w:val="646A5DEF"/>
    <w:rsid w:val="646F5EF6"/>
    <w:rsid w:val="6486074F"/>
    <w:rsid w:val="64D16632"/>
    <w:rsid w:val="65785E0F"/>
    <w:rsid w:val="658A75F4"/>
    <w:rsid w:val="658D65D9"/>
    <w:rsid w:val="65BD406C"/>
    <w:rsid w:val="65BD4645"/>
    <w:rsid w:val="65CF7A95"/>
    <w:rsid w:val="662225C7"/>
    <w:rsid w:val="662D5327"/>
    <w:rsid w:val="66507FF0"/>
    <w:rsid w:val="66517716"/>
    <w:rsid w:val="6663343E"/>
    <w:rsid w:val="66A23F66"/>
    <w:rsid w:val="66CF63DE"/>
    <w:rsid w:val="672526A7"/>
    <w:rsid w:val="67256946"/>
    <w:rsid w:val="674F751F"/>
    <w:rsid w:val="675B4115"/>
    <w:rsid w:val="675D27BE"/>
    <w:rsid w:val="680D3662"/>
    <w:rsid w:val="68222C97"/>
    <w:rsid w:val="68333F9A"/>
    <w:rsid w:val="683858D3"/>
    <w:rsid w:val="68437083"/>
    <w:rsid w:val="684C3553"/>
    <w:rsid w:val="68645FE7"/>
    <w:rsid w:val="68844CFB"/>
    <w:rsid w:val="6889002A"/>
    <w:rsid w:val="68DD74D8"/>
    <w:rsid w:val="68DF20AE"/>
    <w:rsid w:val="68E24AEE"/>
    <w:rsid w:val="68F82479"/>
    <w:rsid w:val="69413090"/>
    <w:rsid w:val="69855FCD"/>
    <w:rsid w:val="69BC17E8"/>
    <w:rsid w:val="69D16911"/>
    <w:rsid w:val="69DD77FF"/>
    <w:rsid w:val="6AA656A7"/>
    <w:rsid w:val="6AB204F0"/>
    <w:rsid w:val="6AD9782B"/>
    <w:rsid w:val="6AE37CE3"/>
    <w:rsid w:val="6AE64462"/>
    <w:rsid w:val="6B0625EA"/>
    <w:rsid w:val="6B0F5E98"/>
    <w:rsid w:val="6B296FCD"/>
    <w:rsid w:val="6B5442BA"/>
    <w:rsid w:val="6BC32289"/>
    <w:rsid w:val="6BD2201D"/>
    <w:rsid w:val="6C593408"/>
    <w:rsid w:val="6C5D3D12"/>
    <w:rsid w:val="6C68544B"/>
    <w:rsid w:val="6C785167"/>
    <w:rsid w:val="6D0715D4"/>
    <w:rsid w:val="6DCE3893"/>
    <w:rsid w:val="6DCF760B"/>
    <w:rsid w:val="6DDB2C74"/>
    <w:rsid w:val="6DF37C67"/>
    <w:rsid w:val="6E0E0C0F"/>
    <w:rsid w:val="6E1A08BA"/>
    <w:rsid w:val="6E6E7A00"/>
    <w:rsid w:val="6E8E7670"/>
    <w:rsid w:val="6EEB0447"/>
    <w:rsid w:val="6EFD5AB2"/>
    <w:rsid w:val="6F5F0FA9"/>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96241B"/>
    <w:rsid w:val="732A300A"/>
    <w:rsid w:val="73803FEB"/>
    <w:rsid w:val="73CE2CA8"/>
    <w:rsid w:val="73DC038C"/>
    <w:rsid w:val="74257F85"/>
    <w:rsid w:val="743A4414"/>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90950"/>
    <w:rsid w:val="769D3E02"/>
    <w:rsid w:val="76B97261"/>
    <w:rsid w:val="772D4414"/>
    <w:rsid w:val="7744228A"/>
    <w:rsid w:val="77A85155"/>
    <w:rsid w:val="77DF044B"/>
    <w:rsid w:val="781E668F"/>
    <w:rsid w:val="787119EB"/>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462131"/>
    <w:rsid w:val="7DC974CD"/>
    <w:rsid w:val="7DDB3462"/>
    <w:rsid w:val="7E4B00B1"/>
    <w:rsid w:val="7E7A413F"/>
    <w:rsid w:val="7EA62275"/>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6">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4"/>
    <w:autoRedefine/>
    <w:qFormat/>
    <w:uiPriority w:val="0"/>
    <w:rPr>
      <w:rFonts w:ascii="宋体" w:hAnsi="宋体" w:eastAsia="宋体" w:cs="宋体"/>
      <w:sz w:val="31"/>
      <w:szCs w:val="31"/>
    </w:rPr>
  </w:style>
  <w:style w:type="paragraph" w:styleId="4">
    <w:name w:val="Body Text 2"/>
    <w:basedOn w:val="1"/>
    <w:autoRedefine/>
    <w:qFormat/>
    <w:uiPriority w:val="0"/>
    <w:pPr>
      <w:spacing w:after="120" w:line="480" w:lineRule="auto"/>
    </w:pPr>
    <w:rPr>
      <w:rFonts w:ascii="Tahoma" w:hAnsi="Tahoma"/>
    </w:rPr>
  </w:style>
  <w:style w:type="paragraph" w:styleId="7">
    <w:name w:val="annotation text"/>
    <w:basedOn w:val="1"/>
    <w:autoRedefine/>
    <w:qFormat/>
    <w:uiPriority w:val="0"/>
  </w:style>
  <w:style w:type="paragraph" w:styleId="8">
    <w:name w:val="Body Text Indent"/>
    <w:basedOn w:val="1"/>
    <w:next w:val="9"/>
    <w:autoRedefine/>
    <w:qFormat/>
    <w:uiPriority w:val="99"/>
    <w:pPr>
      <w:ind w:left="420" w:leftChars="200"/>
    </w:pPr>
    <w:rPr>
      <w:kern w:val="2"/>
      <w:lang w:eastAsia="zh-CN"/>
    </w:rPr>
  </w:style>
  <w:style w:type="paragraph" w:styleId="9">
    <w:name w:val="envelope return"/>
    <w:basedOn w:val="1"/>
    <w:autoRedefine/>
    <w:qFormat/>
    <w:uiPriority w:val="0"/>
  </w:style>
  <w:style w:type="paragraph" w:styleId="10">
    <w:name w:val="Date"/>
    <w:basedOn w:val="1"/>
    <w:next w:val="1"/>
    <w:autoRedefine/>
    <w:qFormat/>
    <w:uiPriority w:val="0"/>
    <w:rPr>
      <w:kern w:val="2"/>
      <w:lang w:eastAsia="zh-CN"/>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40"/>
    <w:autoRedefine/>
    <w:qFormat/>
    <w:uiPriority w:val="0"/>
    <w:rPr>
      <w:sz w:val="18"/>
      <w:szCs w:val="18"/>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8"/>
    <w:next w:val="1"/>
    <w:autoRedefine/>
    <w:qFormat/>
    <w:uiPriority w:val="0"/>
    <w:pPr>
      <w:ind w:firstLine="20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444444"/>
      <w:sz w:val="16"/>
      <w:szCs w:val="16"/>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autoRedefine/>
    <w:qFormat/>
    <w:uiPriority w:val="0"/>
    <w:rPr>
      <w:color w:val="0000FF"/>
      <w:u w:val="singl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 w:type="paragraph" w:customStyle="1" w:styleId="35">
    <w:name w:val="Char Char10 Char Char Char Char"/>
    <w:basedOn w:val="1"/>
    <w:next w:val="36"/>
    <w:autoRedefine/>
    <w:qFormat/>
    <w:uiPriority w:val="99"/>
    <w:rPr>
      <w:rFonts w:ascii="宋体" w:hAnsi="宋体" w:cs="宋体"/>
      <w:lang w:val="zh-CN" w:bidi="zh-CN"/>
    </w:rPr>
  </w:style>
  <w:style w:type="paragraph" w:customStyle="1" w:styleId="36">
    <w:name w:val="xl87"/>
    <w:basedOn w:val="1"/>
    <w:next w:val="3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7">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9">
    <w:name w:val="hover18"/>
    <w:basedOn w:val="20"/>
    <w:autoRedefine/>
    <w:qFormat/>
    <w:uiPriority w:val="0"/>
  </w:style>
  <w:style w:type="character" w:customStyle="1" w:styleId="40">
    <w:name w:val="批注框文本 字符"/>
    <w:basedOn w:val="20"/>
    <w:link w:val="12"/>
    <w:autoRedefine/>
    <w:qFormat/>
    <w:uiPriority w:val="0"/>
    <w:rPr>
      <w:rFonts w:ascii="Arial" w:hAnsi="Arial" w:eastAsia="Arial" w:cs="Arial"/>
      <w:snapToGrid w:val="0"/>
      <w:color w:val="000000"/>
      <w:sz w:val="18"/>
      <w:szCs w:val="18"/>
      <w:lang w:eastAsia="en-US"/>
    </w:rPr>
  </w:style>
  <w:style w:type="paragraph" w:styleId="41">
    <w:name w:val="List Paragraph"/>
    <w:basedOn w:val="1"/>
    <w:autoRedefine/>
    <w:qFormat/>
    <w:uiPriority w:val="99"/>
    <w:pPr>
      <w:ind w:firstLine="420" w:firstLineChars="200"/>
    </w:pPr>
  </w:style>
  <w:style w:type="paragraph" w:customStyle="1" w:styleId="42">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3">
    <w:name w:val="font31"/>
    <w:basedOn w:val="20"/>
    <w:qFormat/>
    <w:uiPriority w:val="0"/>
    <w:rPr>
      <w:rFonts w:hint="eastAsia" w:ascii="宋体" w:hAnsi="宋体" w:eastAsia="宋体" w:cs="宋体"/>
      <w:color w:val="000000"/>
      <w:sz w:val="20"/>
      <w:szCs w:val="20"/>
      <w:u w:val="none"/>
    </w:rPr>
  </w:style>
  <w:style w:type="character" w:customStyle="1" w:styleId="44">
    <w:name w:val="font81"/>
    <w:basedOn w:val="20"/>
    <w:qFormat/>
    <w:uiPriority w:val="0"/>
    <w:rPr>
      <w:rFonts w:hint="default" w:ascii="Calibri" w:hAnsi="Calibri" w:cs="Calibri"/>
      <w:color w:val="000000"/>
      <w:sz w:val="20"/>
      <w:szCs w:val="20"/>
      <w:u w:val="none"/>
    </w:rPr>
  </w:style>
  <w:style w:type="character" w:customStyle="1" w:styleId="45">
    <w:name w:val="font21"/>
    <w:basedOn w:val="20"/>
    <w:qFormat/>
    <w:uiPriority w:val="0"/>
    <w:rPr>
      <w:rFonts w:hint="eastAsia" w:ascii="等线" w:hAnsi="等线" w:eastAsia="等线" w:cs="等线"/>
      <w:color w:val="FF0000"/>
      <w:sz w:val="28"/>
      <w:szCs w:val="28"/>
      <w:u w:val="none"/>
    </w:rPr>
  </w:style>
  <w:style w:type="character" w:customStyle="1" w:styleId="46">
    <w:name w:val="font11"/>
    <w:basedOn w:val="20"/>
    <w:qFormat/>
    <w:uiPriority w:val="0"/>
    <w:rPr>
      <w:rFonts w:hint="eastAsia" w:ascii="等线" w:hAnsi="等线" w:eastAsia="等线" w:cs="等线"/>
      <w:color w:val="000000"/>
      <w:sz w:val="28"/>
      <w:szCs w:val="28"/>
      <w:u w:val="none"/>
    </w:rPr>
  </w:style>
  <w:style w:type="character" w:customStyle="1" w:styleId="47">
    <w:name w:val="font41"/>
    <w:basedOn w:val="20"/>
    <w:qFormat/>
    <w:uiPriority w:val="0"/>
    <w:rPr>
      <w:rFonts w:ascii="方正大黑简体" w:hAnsi="方正大黑简体" w:eastAsia="方正大黑简体" w:cs="方正大黑简体"/>
      <w:b/>
      <w:bCs/>
      <w:color w:val="000000"/>
      <w:sz w:val="40"/>
      <w:szCs w:val="40"/>
      <w:u w:val="none"/>
    </w:rPr>
  </w:style>
  <w:style w:type="character" w:customStyle="1" w:styleId="48">
    <w:name w:val="font01"/>
    <w:basedOn w:val="20"/>
    <w:qFormat/>
    <w:uiPriority w:val="0"/>
    <w:rPr>
      <w:rFonts w:hint="eastAsia" w:ascii="宋体" w:hAnsi="宋体" w:eastAsia="宋体" w:cs="宋体"/>
      <w:color w:val="000000"/>
      <w:sz w:val="22"/>
      <w:szCs w:val="22"/>
      <w:u w:val="none"/>
    </w:rPr>
  </w:style>
  <w:style w:type="character" w:customStyle="1" w:styleId="49">
    <w:name w:val="font51"/>
    <w:basedOn w:val="20"/>
    <w:qFormat/>
    <w:uiPriority w:val="0"/>
    <w:rPr>
      <w:rFonts w:hint="eastAsia" w:ascii="宋体" w:hAnsi="宋体" w:eastAsia="宋体" w:cs="宋体"/>
      <w:color w:val="000000"/>
      <w:sz w:val="20"/>
      <w:szCs w:val="20"/>
      <w:u w:val="none"/>
    </w:rPr>
  </w:style>
  <w:style w:type="character" w:customStyle="1" w:styleId="50">
    <w:name w:val="font141"/>
    <w:basedOn w:val="20"/>
    <w:qFormat/>
    <w:uiPriority w:val="0"/>
    <w:rPr>
      <w:rFonts w:hint="eastAsia" w:ascii="宋体" w:hAnsi="宋体" w:eastAsia="宋体" w:cs="宋体"/>
      <w:color w:val="404050"/>
      <w:sz w:val="22"/>
      <w:szCs w:val="22"/>
      <w:u w:val="none"/>
    </w:rPr>
  </w:style>
  <w:style w:type="character" w:customStyle="1" w:styleId="51">
    <w:name w:val="font171"/>
    <w:basedOn w:val="20"/>
    <w:qFormat/>
    <w:uiPriority w:val="0"/>
    <w:rPr>
      <w:rFonts w:hint="eastAsia" w:ascii="宋体" w:hAnsi="宋体" w:eastAsia="宋体" w:cs="宋体"/>
      <w:color w:val="607080"/>
      <w:sz w:val="22"/>
      <w:szCs w:val="22"/>
      <w:u w:val="none"/>
    </w:rPr>
  </w:style>
  <w:style w:type="character" w:customStyle="1" w:styleId="52">
    <w:name w:val="font151"/>
    <w:basedOn w:val="20"/>
    <w:qFormat/>
    <w:uiPriority w:val="0"/>
    <w:rPr>
      <w:rFonts w:hint="eastAsia" w:ascii="宋体" w:hAnsi="宋体" w:eastAsia="宋体" w:cs="宋体"/>
      <w:color w:val="908080"/>
      <w:sz w:val="22"/>
      <w:szCs w:val="22"/>
      <w:u w:val="none"/>
    </w:rPr>
  </w:style>
  <w:style w:type="character" w:customStyle="1" w:styleId="53">
    <w:name w:val="font71"/>
    <w:basedOn w:val="20"/>
    <w:qFormat/>
    <w:uiPriority w:val="0"/>
    <w:rPr>
      <w:rFonts w:hint="eastAsia" w:ascii="宋体" w:hAnsi="宋体" w:eastAsia="宋体" w:cs="宋体"/>
      <w:color w:val="404040"/>
      <w:sz w:val="22"/>
      <w:szCs w:val="22"/>
      <w:u w:val="none"/>
    </w:rPr>
  </w:style>
  <w:style w:type="character" w:customStyle="1" w:styleId="54">
    <w:name w:val="layui-layer-tabnow"/>
    <w:basedOn w:val="20"/>
    <w:uiPriority w:val="0"/>
    <w:rPr>
      <w:bdr w:val="single" w:color="CCCCCC" w:sz="6" w:space="0"/>
      <w:shd w:val="clear" w:fill="FFFFFF"/>
    </w:rPr>
  </w:style>
  <w:style w:type="character" w:customStyle="1" w:styleId="55">
    <w:name w:val="first-child"/>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3022</Words>
  <Characters>3609</Characters>
  <Lines>262</Lines>
  <Paragraphs>73</Paragraphs>
  <TotalTime>29</TotalTime>
  <ScaleCrop>false</ScaleCrop>
  <LinksUpToDate>false</LinksUpToDate>
  <CharactersWithSpaces>3647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Administrator</cp:lastModifiedBy>
  <cp:lastPrinted>2025-10-15T02:42:00Z</cp:lastPrinted>
  <dcterms:modified xsi:type="dcterms:W3CDTF">2025-11-11T08:24:23Z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FE6C1BD74BB3495B8EEA90C96A113DD9_13</vt:lpwstr>
  </property>
  <property fmtid="{D5CDD505-2E9C-101B-9397-08002B2CF9AE}" pid="6" name="KSOTemplateDocerSaveRecord">
    <vt:lpwstr>eyJoZGlkIjoiNjgyNDU0ZDRiMzNjY2YyZjcxODVlZDQ3MDNmMmZjNWEiLCJ1c2VySWQiOiI5MTMyMDY0MzEifQ==</vt:lpwstr>
  </property>
</Properties>
</file>