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附件一：评标委员会对所有投标人投标文件的总分排序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723005"/>
            <wp:effectExtent l="0" t="0" r="3810" b="10795"/>
            <wp:docPr id="1" name="图片 1" descr="卫东区2022年抗旱应急物资采购项目-打分汇总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卫东区2022年抗旱应急物资采购项目-打分汇总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2UxMDNjYTI0NzdkYTgzYzg4NDdlZjI0N2QzNjUifQ=="/>
  </w:docVars>
  <w:rsids>
    <w:rsidRoot w:val="0C3B706A"/>
    <w:rsid w:val="0C3B706A"/>
    <w:rsid w:val="23C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2022-12-26T08:24:00Z</dcterms:created>
  <dc:creator>心跳-270℃</dc:creator>
  <cp:lastModifiedBy>心跳-270℃</cp:lastModifiedBy>
  <dcterms:modified xsi:type="dcterms:W3CDTF">2023-03-14T08:24:44Z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FBF0D476668F429DB997F9DECFFBCC12</vt:lpwstr>
  </property>
</Properties>
</file>