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292E36">
      <w:pPr>
        <w:shd w:val="solid" w:color="FFFFFF" w:fill="auto"/>
        <w:autoSpaceDN w:val="0"/>
        <w:spacing w:line="360" w:lineRule="auto"/>
        <w:ind w:left="1701" w:leftChars="810"/>
        <w:rPr>
          <w:rFonts w:hint="eastAsia" w:ascii="宋体" w:hAnsi="宋体"/>
          <w:b/>
          <w:bCs/>
          <w:color w:val="000000" w:themeColor="text1"/>
          <w:kern w:val="0"/>
          <w:sz w:val="30"/>
          <w:szCs w:val="30"/>
          <w:highlight w:val="none"/>
          <w14:textFill>
            <w14:solidFill>
              <w14:schemeClr w14:val="tx1"/>
            </w14:solidFill>
          </w14:textFill>
        </w:rPr>
      </w:pPr>
      <w:bookmarkStart w:id="198" w:name="_GoBack"/>
      <w:r>
        <w:rPr>
          <w:rFonts w:hint="eastAsia" w:ascii="宋体" w:hAnsi="宋体" w:eastAsia="宋体"/>
          <w:b/>
          <w:bCs/>
          <w:color w:val="000000" w:themeColor="text1"/>
          <w:sz w:val="44"/>
          <w:szCs w:val="44"/>
          <w:highlight w:val="none"/>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-95250</wp:posOffset>
            </wp:positionH>
            <wp:positionV relativeFrom="paragraph">
              <wp:posOffset>194310</wp:posOffset>
            </wp:positionV>
            <wp:extent cx="5724525" cy="8095615"/>
            <wp:effectExtent l="0" t="0" r="9525" b="635"/>
            <wp:wrapNone/>
            <wp:docPr id="12" name="图片 12" descr="招标文件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招标文件封面_01"/>
                    <pic:cNvPicPr>
                      <a:picLocks noChangeAspect="1"/>
                    </pic:cNvPicPr>
                  </pic:nvPicPr>
                  <pic:blipFill>
                    <a:blip r:embed="rId9"/>
                    <a:stretch>
                      <a:fillRect/>
                    </a:stretch>
                  </pic:blipFill>
                  <pic:spPr>
                    <a:xfrm>
                      <a:off x="0" y="0"/>
                      <a:ext cx="5724525" cy="8095615"/>
                    </a:xfrm>
                    <a:prstGeom prst="rect">
                      <a:avLst/>
                    </a:prstGeom>
                  </pic:spPr>
                </pic:pic>
              </a:graphicData>
            </a:graphic>
          </wp:anchor>
        </w:drawing>
      </w:r>
      <w:bookmarkEnd w:id="198"/>
    </w:p>
    <w:p w14:paraId="19F6625C">
      <w:pPr>
        <w:jc w:val="left"/>
        <w:rPr>
          <w:rFonts w:hint="eastAsia" w:ascii="宋体" w:hAnsi="宋体"/>
          <w:color w:val="000000" w:themeColor="text1"/>
          <w:highlight w:val="none"/>
          <w14:textFill>
            <w14:solidFill>
              <w14:schemeClr w14:val="tx1"/>
            </w14:solidFill>
          </w14:textFill>
        </w:rPr>
      </w:pPr>
    </w:p>
    <w:p w14:paraId="138277D6">
      <w:pPr>
        <w:jc w:val="center"/>
        <w:rPr>
          <w:rFonts w:hint="eastAsia" w:ascii="宋体" w:hAnsi="宋体" w:eastAsia="宋体"/>
          <w:b/>
          <w:bCs/>
          <w:color w:val="000000" w:themeColor="text1"/>
          <w:sz w:val="44"/>
          <w:szCs w:val="44"/>
          <w:highlight w:val="none"/>
          <w:lang w:eastAsia="zh-CN"/>
          <w14:textFill>
            <w14:solidFill>
              <w14:schemeClr w14:val="tx1"/>
            </w14:solidFill>
          </w14:textFill>
        </w:rPr>
        <w:sectPr>
          <w:headerReference r:id="rId3" w:type="default"/>
          <w:footerReference r:id="rId4" w:type="default"/>
          <w:pgSz w:w="11906" w:h="16838"/>
          <w:pgMar w:top="1440" w:right="1440" w:bottom="1440" w:left="1440" w:header="851" w:footer="992" w:gutter="0"/>
          <w:pgBorders>
            <w:top w:val="none" w:sz="0" w:space="0"/>
            <w:left w:val="none" w:sz="0" w:space="0"/>
            <w:bottom w:val="none" w:sz="0" w:space="0"/>
            <w:right w:val="none" w:sz="0" w:space="0"/>
          </w:pgBorders>
          <w:pgNumType w:start="1"/>
          <w:cols w:space="720" w:num="1"/>
          <w:titlePg/>
          <w:docGrid w:type="linesAndChars" w:linePitch="312" w:charSpace="0"/>
        </w:sectPr>
      </w:pPr>
    </w:p>
    <w:p w14:paraId="7CEE207D">
      <w:pPr>
        <w:jc w:val="center"/>
        <w:rPr>
          <w:rFonts w:hint="eastAsia" w:ascii="宋体" w:hAnsi="宋体"/>
          <w:color w:val="000000" w:themeColor="text1"/>
          <w:highlight w:val="none"/>
          <w14:textFill>
            <w14:solidFill>
              <w14:schemeClr w14:val="tx1"/>
            </w14:solidFill>
          </w14:textFill>
        </w:rPr>
      </w:pPr>
      <w:r>
        <w:rPr>
          <w:rFonts w:hint="eastAsia" w:ascii="宋体" w:hAnsi="宋体"/>
          <w:b/>
          <w:bCs/>
          <w:color w:val="000000" w:themeColor="text1"/>
          <w:sz w:val="44"/>
          <w:szCs w:val="44"/>
          <w:highlight w:val="none"/>
          <w14:textFill>
            <w14:solidFill>
              <w14:schemeClr w14:val="tx1"/>
            </w14:solidFill>
          </w14:textFill>
        </w:rPr>
        <w:t>目  录</w:t>
      </w:r>
    </w:p>
    <w:p w14:paraId="49020DB5">
      <w:pPr>
        <w:pStyle w:val="13"/>
        <w:tabs>
          <w:tab w:val="right" w:leader="dot" w:pos="9026"/>
        </w:tabs>
        <w:spacing w:line="600" w:lineRule="auto"/>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fldChar w:fldCharType="begin"/>
      </w:r>
      <w:r>
        <w:rPr>
          <w:rFonts w:hint="eastAsia" w:ascii="宋体" w:hAnsi="宋体" w:cs="宋体"/>
          <w:color w:val="000000" w:themeColor="text1"/>
          <w:sz w:val="32"/>
          <w:szCs w:val="32"/>
          <w:highlight w:val="none"/>
          <w14:textFill>
            <w14:solidFill>
              <w14:schemeClr w14:val="tx1"/>
            </w14:solidFill>
          </w14:textFill>
        </w:rPr>
        <w:instrText xml:space="preserve">TOC \o "1-3" \h \u </w:instrText>
      </w:r>
      <w:r>
        <w:rPr>
          <w:rFonts w:hint="eastAsia" w:ascii="宋体" w:hAnsi="宋体" w:cs="宋体"/>
          <w:color w:val="000000" w:themeColor="text1"/>
          <w:sz w:val="32"/>
          <w:szCs w:val="32"/>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"_Toc20953"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第一章 招标公告</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_Toc20953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2</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209957B7">
      <w:pPr>
        <w:pStyle w:val="13"/>
        <w:tabs>
          <w:tab w:val="right" w:leader="dot" w:pos="9026"/>
        </w:tabs>
        <w:spacing w:line="60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"_Toc22436"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kern w:val="44"/>
          <w:sz w:val="28"/>
          <w:szCs w:val="28"/>
          <w:highlight w:val="none"/>
          <w14:textFill>
            <w14:solidFill>
              <w14:schemeClr w14:val="tx1"/>
            </w14:solidFill>
          </w14:textFill>
        </w:rPr>
        <w:t xml:space="preserve">第二章 </w:t>
      </w:r>
      <w:r>
        <w:rPr>
          <w:rFonts w:hint="eastAsia" w:ascii="宋体" w:hAnsi="宋体" w:cs="宋体"/>
          <w:bCs/>
          <w:color w:val="000000" w:themeColor="text1"/>
          <w:kern w:val="44"/>
          <w:sz w:val="28"/>
          <w:szCs w:val="28"/>
          <w:highlight w:val="none"/>
          <w:lang w:eastAsia="zh-CN"/>
          <w14:textFill>
            <w14:solidFill>
              <w14:schemeClr w14:val="tx1"/>
            </w14:solidFill>
          </w14:textFill>
        </w:rPr>
        <w:t>供应商</w:t>
      </w:r>
      <w:r>
        <w:rPr>
          <w:rFonts w:hint="eastAsia" w:ascii="宋体" w:hAnsi="宋体" w:cs="宋体"/>
          <w:bCs/>
          <w:color w:val="000000" w:themeColor="text1"/>
          <w:kern w:val="44"/>
          <w:sz w:val="28"/>
          <w:szCs w:val="28"/>
          <w:highlight w:val="none"/>
          <w14:textFill>
            <w14:solidFill>
              <w14:schemeClr w14:val="tx1"/>
            </w14:solidFill>
          </w14:textFill>
        </w:rPr>
        <w:t>须知</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_Toc22436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8</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4832BD07">
      <w:pPr>
        <w:pStyle w:val="13"/>
        <w:tabs>
          <w:tab w:val="right" w:leader="dot" w:pos="9026"/>
        </w:tabs>
        <w:spacing w:line="60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"_Toc29838"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第三章 评标办法</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_Toc29838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26</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13FF3103">
      <w:pPr>
        <w:pStyle w:val="13"/>
        <w:tabs>
          <w:tab w:val="right" w:leader="dot" w:pos="9026"/>
        </w:tabs>
        <w:spacing w:line="60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"_Toc14014"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kern w:val="44"/>
          <w:sz w:val="28"/>
          <w:szCs w:val="28"/>
          <w:highlight w:val="none"/>
          <w14:textFill>
            <w14:solidFill>
              <w14:schemeClr w14:val="tx1"/>
            </w14:solidFill>
          </w14:textFill>
        </w:rPr>
        <w:t>第四章 合同条款及格式</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_Toc14014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32</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3000EB3D">
      <w:pPr>
        <w:pStyle w:val="13"/>
        <w:tabs>
          <w:tab w:val="right" w:leader="dot" w:pos="9026"/>
        </w:tabs>
        <w:spacing w:line="600" w:lineRule="auto"/>
        <w:rPr>
          <w:rFonts w:hint="eastAsia" w:ascii="宋体" w:hAnsi="宋体" w:cs="宋体"/>
          <w:color w:val="000000" w:themeColor="text1"/>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"_Toc31208" </w:instrText>
      </w:r>
      <w:r>
        <w:rPr>
          <w:color w:val="000000" w:themeColor="text1"/>
          <w:highlight w:val="none"/>
          <w14:textFill>
            <w14:solidFill>
              <w14:schemeClr w14:val="tx1"/>
            </w14:solidFill>
          </w14:textFill>
        </w:rPr>
        <w:fldChar w:fldCharType="separate"/>
      </w:r>
      <w:r>
        <w:rPr>
          <w:rFonts w:hint="eastAsia" w:ascii="宋体" w:hAnsi="宋体" w:cs="宋体"/>
          <w:bCs/>
          <w:color w:val="000000" w:themeColor="text1"/>
          <w:sz w:val="28"/>
          <w:szCs w:val="28"/>
          <w:highlight w:val="none"/>
          <w14:textFill>
            <w14:solidFill>
              <w14:schemeClr w14:val="tx1"/>
            </w14:solidFill>
          </w14:textFill>
        </w:rPr>
        <w:t>第五章 采购需求</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_Toc31208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66</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28377A40">
      <w:pPr>
        <w:pStyle w:val="13"/>
        <w:tabs>
          <w:tab w:val="right" w:leader="dot" w:pos="9026"/>
        </w:tabs>
        <w:spacing w:line="60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"_Toc19501" </w:instrText>
      </w:r>
      <w:r>
        <w:rPr>
          <w:color w:val="000000" w:themeColor="text1"/>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第六章 投标文件格式</w:t>
      </w:r>
      <w:r>
        <w:rPr>
          <w:rFonts w:hint="eastAsia" w:ascii="宋体" w:hAnsi="宋体" w:cs="宋体"/>
          <w:color w:val="000000" w:themeColor="text1"/>
          <w:sz w:val="28"/>
          <w:szCs w:val="28"/>
          <w:highlight w:val="none"/>
          <w14:textFill>
            <w14:solidFill>
              <w14:schemeClr w14:val="tx1"/>
            </w14:solidFill>
          </w14:textFill>
        </w:rPr>
        <w:tab/>
      </w:r>
      <w:r>
        <w:rPr>
          <w:rFonts w:hint="eastAsia" w:ascii="宋体" w:hAnsi="宋体" w:cs="宋体"/>
          <w:color w:val="000000" w:themeColor="text1"/>
          <w:sz w:val="28"/>
          <w:szCs w:val="28"/>
          <w:highlight w:val="none"/>
          <w14:textFill>
            <w14:solidFill>
              <w14:schemeClr w14:val="tx1"/>
            </w14:solidFill>
          </w14:textFill>
        </w:rPr>
        <w:fldChar w:fldCharType="begin"/>
      </w:r>
      <w:r>
        <w:rPr>
          <w:rFonts w:hint="eastAsia" w:ascii="宋体" w:hAnsi="宋体" w:cs="宋体"/>
          <w:color w:val="000000" w:themeColor="text1"/>
          <w:sz w:val="28"/>
          <w:szCs w:val="28"/>
          <w:highlight w:val="none"/>
          <w14:textFill>
            <w14:solidFill>
              <w14:schemeClr w14:val="tx1"/>
            </w14:solidFill>
          </w14:textFill>
        </w:rPr>
        <w:instrText xml:space="preserve"> PAGEREF _Toc19501 \h </w:instrText>
      </w:r>
      <w:r>
        <w:rPr>
          <w:rFonts w:hint="eastAsia" w:ascii="宋体" w:hAnsi="宋体" w:cs="宋体"/>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82</w:t>
      </w:r>
      <w:r>
        <w:rPr>
          <w:rFonts w:hint="eastAsia" w:ascii="宋体" w:hAnsi="宋体" w:cs="宋体"/>
          <w:color w:val="000000" w:themeColor="text1"/>
          <w:sz w:val="28"/>
          <w:szCs w:val="28"/>
          <w:highlight w:val="none"/>
          <w14:textFill>
            <w14:solidFill>
              <w14:schemeClr w14:val="tx1"/>
            </w14:solidFill>
          </w14:textFill>
        </w:rPr>
        <w:fldChar w:fldCharType="end"/>
      </w:r>
      <w:r>
        <w:rPr>
          <w:rFonts w:hint="eastAsia" w:ascii="宋体" w:hAnsi="宋体" w:cs="宋体"/>
          <w:color w:val="000000" w:themeColor="text1"/>
          <w:sz w:val="28"/>
          <w:szCs w:val="28"/>
          <w:highlight w:val="none"/>
          <w14:textFill>
            <w14:solidFill>
              <w14:schemeClr w14:val="tx1"/>
            </w14:solidFill>
          </w14:textFill>
        </w:rPr>
        <w:fldChar w:fldCharType="end"/>
      </w:r>
    </w:p>
    <w:p w14:paraId="5B961A4A">
      <w:pPr>
        <w:spacing w:line="720" w:lineRule="auto"/>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szCs w:val="32"/>
          <w:highlight w:val="none"/>
          <w14:textFill>
            <w14:solidFill>
              <w14:schemeClr w14:val="tx1"/>
            </w14:solidFill>
          </w14:textFill>
        </w:rPr>
        <w:fldChar w:fldCharType="end"/>
      </w:r>
    </w:p>
    <w:p w14:paraId="6970E553">
      <w:pPr>
        <w:jc w:val="center"/>
        <w:rPr>
          <w:rFonts w:hint="eastAsia" w:ascii="宋体" w:hAnsi="宋体"/>
          <w:color w:val="000000" w:themeColor="text1"/>
          <w:sz w:val="32"/>
          <w:szCs w:val="32"/>
          <w:highlight w:val="none"/>
          <w14:textFill>
            <w14:solidFill>
              <w14:schemeClr w14:val="tx1"/>
            </w14:solidFill>
          </w14:textFill>
        </w:rPr>
      </w:pPr>
    </w:p>
    <w:p w14:paraId="4DCC3C15">
      <w:pPr>
        <w:jc w:val="center"/>
        <w:rPr>
          <w:rFonts w:hint="eastAsia" w:ascii="宋体" w:hAnsi="宋体"/>
          <w:color w:val="000000" w:themeColor="text1"/>
          <w:sz w:val="32"/>
          <w:szCs w:val="32"/>
          <w:highlight w:val="none"/>
          <w14:textFill>
            <w14:solidFill>
              <w14:schemeClr w14:val="tx1"/>
            </w14:solidFill>
          </w14:textFill>
        </w:rPr>
      </w:pPr>
    </w:p>
    <w:p w14:paraId="57F6B3C5">
      <w:pPr>
        <w:jc w:val="center"/>
        <w:rPr>
          <w:rFonts w:hint="eastAsia" w:ascii="宋体" w:hAnsi="宋体"/>
          <w:color w:val="000000" w:themeColor="text1"/>
          <w:sz w:val="32"/>
          <w:szCs w:val="32"/>
          <w:highlight w:val="none"/>
          <w14:textFill>
            <w14:solidFill>
              <w14:schemeClr w14:val="tx1"/>
            </w14:solidFill>
          </w14:textFill>
        </w:rPr>
      </w:pPr>
    </w:p>
    <w:p w14:paraId="1C70C9A4">
      <w:pPr>
        <w:jc w:val="center"/>
        <w:rPr>
          <w:rFonts w:hint="eastAsia" w:ascii="宋体" w:hAnsi="宋体"/>
          <w:color w:val="000000" w:themeColor="text1"/>
          <w:sz w:val="32"/>
          <w:szCs w:val="32"/>
          <w:highlight w:val="none"/>
          <w14:textFill>
            <w14:solidFill>
              <w14:schemeClr w14:val="tx1"/>
            </w14:solidFill>
          </w14:textFill>
        </w:rPr>
      </w:pPr>
    </w:p>
    <w:p w14:paraId="1F234B92">
      <w:pPr>
        <w:jc w:val="center"/>
        <w:rPr>
          <w:rFonts w:hint="eastAsia" w:ascii="宋体" w:hAnsi="宋体"/>
          <w:color w:val="000000" w:themeColor="text1"/>
          <w:sz w:val="32"/>
          <w:szCs w:val="32"/>
          <w:highlight w:val="none"/>
          <w14:textFill>
            <w14:solidFill>
              <w14:schemeClr w14:val="tx1"/>
            </w14:solidFill>
          </w14:textFill>
        </w:rPr>
      </w:pPr>
    </w:p>
    <w:p w14:paraId="325FAD29">
      <w:pPr>
        <w:jc w:val="center"/>
        <w:rPr>
          <w:rFonts w:hint="eastAsia" w:ascii="宋体" w:hAnsi="宋体"/>
          <w:color w:val="000000" w:themeColor="text1"/>
          <w:sz w:val="32"/>
          <w:szCs w:val="32"/>
          <w:highlight w:val="none"/>
          <w14:textFill>
            <w14:solidFill>
              <w14:schemeClr w14:val="tx1"/>
            </w14:solidFill>
          </w14:textFill>
        </w:rPr>
      </w:pPr>
    </w:p>
    <w:p w14:paraId="2DC281BB">
      <w:pPr>
        <w:numPr>
          <w:ilvl w:val="0"/>
          <w:numId w:val="2"/>
        </w:numPr>
        <w:shd w:val="solid" w:color="FFFFFF" w:fill="auto"/>
        <w:autoSpaceDN w:val="0"/>
        <w:spacing w:line="360" w:lineRule="auto"/>
        <w:jc w:val="center"/>
        <w:rPr>
          <w:rFonts w:hint="eastAsia" w:ascii="宋体" w:hAnsi="宋体"/>
          <w:b/>
          <w:bCs/>
          <w:color w:val="000000" w:themeColor="text1"/>
          <w:kern w:val="44"/>
          <w:sz w:val="36"/>
          <w:szCs w:val="36"/>
          <w:highlight w:val="none"/>
          <w14:textFill>
            <w14:solidFill>
              <w14:schemeClr w14:val="tx1"/>
            </w14:solidFill>
          </w14:textFill>
        </w:rPr>
        <w:sectPr>
          <w:footerReference r:id="rId5" w:type="default"/>
          <w:pgSz w:w="11906" w:h="16838"/>
          <w:pgMar w:top="1440" w:right="1440" w:bottom="1440" w:left="1440"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14:paraId="5BE7FD9B">
      <w:pPr>
        <w:pStyle w:val="29"/>
        <w:spacing w:before="100" w:after="100" w:line="360" w:lineRule="auto"/>
        <w:jc w:val="center"/>
        <w:rPr>
          <w:rFonts w:hint="eastAsia" w:ascii="宋体" w:hAnsi="宋体"/>
          <w:color w:val="000000" w:themeColor="text1"/>
          <w:sz w:val="36"/>
          <w:szCs w:val="36"/>
          <w:highlight w:val="none"/>
          <w14:textFill>
            <w14:solidFill>
              <w14:schemeClr w14:val="tx1"/>
            </w14:solidFill>
          </w14:textFill>
        </w:rPr>
      </w:pPr>
      <w:bookmarkStart w:id="0" w:name="_Toc29177"/>
      <w:bookmarkEnd w:id="0"/>
      <w:bookmarkStart w:id="1" w:name="_Toc20953"/>
      <w:r>
        <w:rPr>
          <w:rFonts w:hint="eastAsia" w:ascii="宋体" w:hAnsi="宋体"/>
          <w:color w:val="000000" w:themeColor="text1"/>
          <w:sz w:val="36"/>
          <w:szCs w:val="36"/>
          <w:highlight w:val="none"/>
          <w14:textFill>
            <w14:solidFill>
              <w14:schemeClr w14:val="tx1"/>
            </w14:solidFill>
          </w14:textFill>
        </w:rPr>
        <w:t>第一章  招标公告</w:t>
      </w:r>
      <w:bookmarkEnd w:id="1"/>
    </w:p>
    <w:p w14:paraId="7AB638C6">
      <w:pPr>
        <w:pStyle w:val="17"/>
        <w:ind w:left="0" w:leftChars="0" w:firstLine="0" w:firstLineChars="0"/>
        <w:jc w:val="center"/>
        <w:rPr>
          <w:rFonts w:hint="eastAsia" w:ascii="宋体" w:hAnsi="宋体"/>
          <w:b/>
          <w:color w:val="000000" w:themeColor="text1"/>
          <w:sz w:val="30"/>
          <w:szCs w:val="32"/>
          <w:highlight w:val="none"/>
          <w14:textFill>
            <w14:solidFill>
              <w14:schemeClr w14:val="tx1"/>
            </w14:solidFill>
          </w14:textFill>
        </w:rPr>
      </w:pPr>
      <w:bookmarkStart w:id="2" w:name="_Toc19234"/>
      <w:bookmarkStart w:id="3" w:name="_Toc515899551"/>
      <w:bookmarkStart w:id="4" w:name="_Toc435272774"/>
      <w:bookmarkStart w:id="5" w:name="_Toc411857595"/>
      <w:r>
        <w:rPr>
          <w:rFonts w:hint="eastAsia" w:ascii="宋体" w:hAnsi="宋体"/>
          <w:b/>
          <w:color w:val="000000" w:themeColor="text1"/>
          <w:sz w:val="30"/>
          <w:szCs w:val="32"/>
          <w:highlight w:val="none"/>
          <w14:textFill>
            <w14:solidFill>
              <w14:schemeClr w14:val="tx1"/>
            </w14:solidFill>
          </w14:textFill>
        </w:rPr>
        <w:t>【平公资采2025841号】</w:t>
      </w:r>
      <w:r>
        <w:rPr>
          <w:rFonts w:hint="eastAsia" w:ascii="宋体" w:hAnsi="宋体"/>
          <w:b/>
          <w:color w:val="000000" w:themeColor="text1"/>
          <w:sz w:val="30"/>
          <w:szCs w:val="32"/>
          <w:highlight w:val="none"/>
          <w:lang w:eastAsia="zh-CN"/>
          <w14:textFill>
            <w14:solidFill>
              <w14:schemeClr w14:val="tx1"/>
            </w14:solidFill>
          </w14:textFill>
        </w:rPr>
        <w:t>河南质量工程职业学院标准化考场升级改造项目</w:t>
      </w:r>
      <w:r>
        <w:rPr>
          <w:rFonts w:hint="eastAsia" w:ascii="宋体" w:hAnsi="宋体"/>
          <w:b/>
          <w:color w:val="000000" w:themeColor="text1"/>
          <w:sz w:val="30"/>
          <w:szCs w:val="32"/>
          <w:highlight w:val="none"/>
          <w:lang w:val="en-US" w:eastAsia="zh-CN"/>
          <w14:textFill>
            <w14:solidFill>
              <w14:schemeClr w14:val="tx1"/>
            </w14:solidFill>
          </w14:textFill>
        </w:rPr>
        <w:t>-公开招标</w:t>
      </w:r>
      <w:r>
        <w:rPr>
          <w:rFonts w:hint="eastAsia" w:ascii="宋体" w:hAnsi="宋体"/>
          <w:b/>
          <w:color w:val="000000" w:themeColor="text1"/>
          <w:sz w:val="30"/>
          <w:szCs w:val="32"/>
          <w:highlight w:val="none"/>
          <w14:textFill>
            <w14:solidFill>
              <w14:schemeClr w14:val="tx1"/>
            </w14:solidFill>
          </w14:textFill>
        </w:rPr>
        <w:t>公告</w:t>
      </w:r>
    </w:p>
    <w:bookmarkEnd w:id="2"/>
    <w:bookmarkEnd w:id="3"/>
    <w:bookmarkEnd w:id="4"/>
    <w:bookmarkEnd w:id="5"/>
    <w:p w14:paraId="40354BBF">
      <w:pPr>
        <w:pStyle w:val="17"/>
        <w:spacing w:line="440" w:lineRule="exact"/>
        <w:ind w:left="0" w:leftChars="0" w:firstLine="480"/>
        <w:rPr>
          <w:rFonts w:hint="eastAsia" w:ascii="宋体" w:hAnsi="宋体" w:cs="宋体"/>
          <w:color w:val="000000"/>
          <w:sz w:val="24"/>
          <w:szCs w:val="24"/>
          <w:highlight w:val="none"/>
        </w:rPr>
      </w:pPr>
      <w:bookmarkStart w:id="6" w:name="_Toc18646"/>
      <w:r>
        <w:rPr>
          <w:rFonts w:hint="eastAsia" w:ascii="宋体" w:hAnsi="宋体" w:cs="宋体"/>
          <w:color w:val="000000"/>
          <w:sz w:val="24"/>
          <w:szCs w:val="24"/>
          <w:highlight w:val="none"/>
        </w:rPr>
        <w:t>项目概况</w:t>
      </w:r>
    </w:p>
    <w:p w14:paraId="666E9BBA">
      <w:pPr>
        <w:pStyle w:val="17"/>
        <w:spacing w:line="440" w:lineRule="exact"/>
        <w:ind w:left="0" w:leftChars="0" w:firstLine="496"/>
        <w:rPr>
          <w:rFonts w:hint="eastAsia" w:ascii="宋体" w:hAnsi="宋体" w:cs="宋体"/>
          <w:b/>
          <w:color w:val="000000"/>
          <w:sz w:val="24"/>
          <w:szCs w:val="24"/>
          <w:highlight w:val="none"/>
        </w:rPr>
      </w:pPr>
      <w:r>
        <w:rPr>
          <w:rFonts w:hint="eastAsia" w:ascii="宋体" w:hAnsi="宋体" w:eastAsia="宋体" w:cs="宋体"/>
          <w:bCs/>
          <w:color w:val="000000"/>
          <w:kern w:val="0"/>
          <w:sz w:val="24"/>
          <w:szCs w:val="24"/>
          <w:highlight w:val="none"/>
          <w:lang w:val="en-US" w:eastAsia="zh-CN" w:bidi="ar"/>
        </w:rPr>
        <w:t>河南质量工程职业学院标准化考场升级改造项目招标项目的潜在投标人应在《全国公共资源交易平台（河南省·平顶山市）》（http://ggzy.pds.gov.cn）获取招标文件，并于2025年09月10日09时00分（北京时间）前递交投标文件。</w:t>
      </w:r>
    </w:p>
    <w:p w14:paraId="65922060">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一、项目基本情况</w:t>
      </w:r>
    </w:p>
    <w:p w14:paraId="282B65FC">
      <w:pPr>
        <w:spacing w:line="440" w:lineRule="exact"/>
        <w:ind w:firstLine="480" w:firstLineChars="200"/>
        <w:jc w:val="left"/>
        <w:rPr>
          <w:rFonts w:hint="default" w:ascii="宋体" w:hAnsi="宋体" w:eastAsia="宋体" w:cs="宋体"/>
          <w:bCs/>
          <w:color w:val="000000"/>
          <w:kern w:val="0"/>
          <w:sz w:val="24"/>
          <w:szCs w:val="24"/>
          <w:highlight w:val="none"/>
          <w:lang w:val="en-US" w:eastAsia="zh-CN" w:bidi="ar"/>
        </w:rPr>
      </w:pPr>
      <w:r>
        <w:rPr>
          <w:rFonts w:hint="eastAsia" w:ascii="宋体" w:hAnsi="宋体" w:cs="宋体"/>
          <w:bCs/>
          <w:color w:val="000000"/>
          <w:kern w:val="0"/>
          <w:sz w:val="24"/>
          <w:szCs w:val="24"/>
          <w:highlight w:val="none"/>
          <w:lang w:bidi="ar"/>
        </w:rPr>
        <w:t>1</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项目编号：</w:t>
      </w:r>
      <w:r>
        <w:rPr>
          <w:rFonts w:hint="eastAsia" w:ascii="宋体" w:hAnsi="宋体" w:cs="宋体"/>
          <w:bCs/>
          <w:color w:val="000000"/>
          <w:kern w:val="0"/>
          <w:sz w:val="24"/>
          <w:szCs w:val="24"/>
          <w:highlight w:val="none"/>
          <w:lang w:eastAsia="zh-CN" w:bidi="ar"/>
        </w:rPr>
        <w:t>平采招标</w:t>
      </w:r>
      <w:r>
        <w:rPr>
          <w:rFonts w:hint="eastAsia" w:ascii="宋体" w:hAnsi="宋体" w:cs="宋体"/>
          <w:bCs/>
          <w:color w:val="000000"/>
          <w:kern w:val="0"/>
          <w:sz w:val="24"/>
          <w:szCs w:val="24"/>
          <w:highlight w:val="none"/>
          <w:lang w:val="en-US" w:eastAsia="zh-CN" w:bidi="ar"/>
        </w:rPr>
        <w:t>-2025-106</w:t>
      </w:r>
    </w:p>
    <w:p w14:paraId="1572A093">
      <w:pPr>
        <w:spacing w:line="440" w:lineRule="exact"/>
        <w:ind w:firstLine="480" w:firstLineChars="200"/>
        <w:jc w:val="left"/>
        <w:rPr>
          <w:rFonts w:hint="eastAsia" w:ascii="宋体" w:hAnsi="宋体" w:eastAsia="宋体" w:cs="宋体"/>
          <w:bCs/>
          <w:color w:val="000000"/>
          <w:kern w:val="0"/>
          <w:sz w:val="24"/>
          <w:szCs w:val="24"/>
          <w:highlight w:val="none"/>
          <w:lang w:eastAsia="zh-CN" w:bidi="ar"/>
        </w:rPr>
      </w:pPr>
      <w:r>
        <w:rPr>
          <w:rFonts w:hint="eastAsia" w:ascii="宋体" w:hAnsi="宋体" w:cs="宋体"/>
          <w:bCs/>
          <w:color w:val="000000"/>
          <w:kern w:val="0"/>
          <w:sz w:val="24"/>
          <w:szCs w:val="24"/>
          <w:highlight w:val="none"/>
          <w:lang w:bidi="ar"/>
        </w:rPr>
        <w:t>2</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项目名称：</w:t>
      </w:r>
      <w:r>
        <w:rPr>
          <w:rFonts w:hint="eastAsia" w:ascii="宋体" w:hAnsi="宋体" w:cs="宋体"/>
          <w:bCs/>
          <w:color w:val="000000"/>
          <w:kern w:val="0"/>
          <w:sz w:val="24"/>
          <w:szCs w:val="24"/>
          <w:highlight w:val="none"/>
          <w:lang w:eastAsia="zh-CN" w:bidi="ar"/>
        </w:rPr>
        <w:t>河南质量工程职业学院标准化考场升级改造项目</w:t>
      </w:r>
    </w:p>
    <w:p w14:paraId="6E914B26">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采购方式：公开招标</w:t>
      </w:r>
    </w:p>
    <w:p w14:paraId="7B499095">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4</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预算金额：</w:t>
      </w:r>
      <w:r>
        <w:rPr>
          <w:rFonts w:hint="eastAsia" w:ascii="宋体" w:hAnsi="宋体" w:cs="宋体"/>
          <w:bCs/>
          <w:color w:val="000000"/>
          <w:kern w:val="0"/>
          <w:sz w:val="24"/>
          <w:szCs w:val="24"/>
          <w:highlight w:val="none"/>
          <w:lang w:eastAsia="zh-CN" w:bidi="ar"/>
        </w:rPr>
        <w:t>930000</w:t>
      </w:r>
      <w:r>
        <w:rPr>
          <w:rFonts w:hint="eastAsia" w:ascii="宋体" w:hAnsi="宋体" w:cs="宋体"/>
          <w:bCs/>
          <w:color w:val="000000"/>
          <w:kern w:val="0"/>
          <w:sz w:val="24"/>
          <w:szCs w:val="24"/>
          <w:highlight w:val="none"/>
          <w:lang w:val="en-US" w:eastAsia="zh-CN" w:bidi="ar"/>
        </w:rPr>
        <w:t>.00</w:t>
      </w:r>
      <w:r>
        <w:rPr>
          <w:rFonts w:hint="eastAsia" w:ascii="宋体" w:hAnsi="宋体" w:cs="宋体"/>
          <w:bCs/>
          <w:color w:val="000000"/>
          <w:kern w:val="0"/>
          <w:sz w:val="24"/>
          <w:szCs w:val="24"/>
          <w:highlight w:val="none"/>
          <w:lang w:bidi="ar"/>
        </w:rPr>
        <w:t xml:space="preserve">元 </w:t>
      </w:r>
    </w:p>
    <w:p w14:paraId="2DA120BF">
      <w:pPr>
        <w:spacing w:line="440" w:lineRule="exact"/>
        <w:ind w:firstLine="960" w:firstLineChars="4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最高限价：</w:t>
      </w:r>
      <w:r>
        <w:rPr>
          <w:rFonts w:hint="eastAsia" w:ascii="宋体" w:hAnsi="宋体" w:cs="宋体"/>
          <w:bCs/>
          <w:color w:val="000000"/>
          <w:kern w:val="0"/>
          <w:sz w:val="24"/>
          <w:szCs w:val="24"/>
          <w:highlight w:val="none"/>
          <w:lang w:eastAsia="zh-CN" w:bidi="ar"/>
        </w:rPr>
        <w:t>930000.00</w:t>
      </w:r>
      <w:r>
        <w:rPr>
          <w:rFonts w:hint="eastAsia" w:ascii="宋体" w:hAnsi="宋体" w:cs="宋体"/>
          <w:bCs/>
          <w:color w:val="000000"/>
          <w:kern w:val="0"/>
          <w:sz w:val="24"/>
          <w:szCs w:val="24"/>
          <w:highlight w:val="none"/>
          <w:lang w:bidi="ar"/>
        </w:rPr>
        <w:t xml:space="preserve">元 </w:t>
      </w:r>
    </w:p>
    <w:tbl>
      <w:tblPr>
        <w:tblStyle w:val="18"/>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2086"/>
        <w:gridCol w:w="2259"/>
        <w:gridCol w:w="2181"/>
        <w:gridCol w:w="2218"/>
      </w:tblGrid>
      <w:tr w14:paraId="2C58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013" w:type="dxa"/>
            <w:noWrap w:val="0"/>
            <w:vAlign w:val="center"/>
          </w:tcPr>
          <w:p w14:paraId="357DB8E9">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序号</w:t>
            </w:r>
          </w:p>
        </w:tc>
        <w:tc>
          <w:tcPr>
            <w:tcW w:w="2086" w:type="dxa"/>
            <w:noWrap w:val="0"/>
            <w:vAlign w:val="center"/>
          </w:tcPr>
          <w:p w14:paraId="39CABD0D">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包号</w:t>
            </w:r>
          </w:p>
        </w:tc>
        <w:tc>
          <w:tcPr>
            <w:tcW w:w="2259" w:type="dxa"/>
            <w:noWrap w:val="0"/>
            <w:vAlign w:val="center"/>
          </w:tcPr>
          <w:p w14:paraId="10036741">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包名称</w:t>
            </w:r>
          </w:p>
        </w:tc>
        <w:tc>
          <w:tcPr>
            <w:tcW w:w="2181" w:type="dxa"/>
            <w:noWrap w:val="0"/>
            <w:vAlign w:val="center"/>
          </w:tcPr>
          <w:p w14:paraId="618650AB">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包预算（元）</w:t>
            </w:r>
          </w:p>
        </w:tc>
        <w:tc>
          <w:tcPr>
            <w:tcW w:w="2218" w:type="dxa"/>
            <w:noWrap w:val="0"/>
            <w:vAlign w:val="center"/>
          </w:tcPr>
          <w:p w14:paraId="68C2B919">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包最高限价（元）</w:t>
            </w:r>
          </w:p>
        </w:tc>
      </w:tr>
      <w:tr w14:paraId="6C27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1013" w:type="dxa"/>
            <w:noWrap w:val="0"/>
            <w:vAlign w:val="center"/>
          </w:tcPr>
          <w:p w14:paraId="799A830A">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1</w:t>
            </w:r>
          </w:p>
        </w:tc>
        <w:tc>
          <w:tcPr>
            <w:tcW w:w="2086" w:type="dxa"/>
            <w:noWrap w:val="0"/>
            <w:vAlign w:val="center"/>
          </w:tcPr>
          <w:p w14:paraId="5A627B32">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平公资采2025841</w:t>
            </w:r>
          </w:p>
          <w:p w14:paraId="671B04CD">
            <w:pPr>
              <w:spacing w:line="440" w:lineRule="exact"/>
              <w:jc w:val="center"/>
              <w:rPr>
                <w:rFonts w:hint="eastAsia" w:ascii="宋体" w:hAnsi="宋体" w:cs="宋体"/>
                <w:bCs/>
                <w:color w:val="000000"/>
                <w:kern w:val="0"/>
                <w:highlight w:val="none"/>
                <w:lang w:bidi="ar"/>
              </w:rPr>
            </w:pPr>
            <w:r>
              <w:rPr>
                <w:rFonts w:hint="eastAsia" w:ascii="宋体" w:hAnsi="宋体" w:cs="宋体"/>
                <w:bCs/>
                <w:color w:val="000000"/>
                <w:kern w:val="0"/>
                <w:highlight w:val="none"/>
                <w:lang w:bidi="ar"/>
              </w:rPr>
              <w:t>号-1</w:t>
            </w:r>
          </w:p>
        </w:tc>
        <w:tc>
          <w:tcPr>
            <w:tcW w:w="2259" w:type="dxa"/>
            <w:noWrap w:val="0"/>
            <w:vAlign w:val="center"/>
          </w:tcPr>
          <w:p w14:paraId="787D7CC8">
            <w:pPr>
              <w:spacing w:line="440" w:lineRule="exact"/>
              <w:jc w:val="center"/>
              <w:rPr>
                <w:rFonts w:hint="eastAsia" w:ascii="宋体" w:hAnsi="宋体" w:eastAsia="宋体" w:cs="宋体"/>
                <w:bCs/>
                <w:color w:val="000000"/>
                <w:kern w:val="0"/>
                <w:highlight w:val="none"/>
                <w:lang w:eastAsia="zh-CN" w:bidi="ar"/>
              </w:rPr>
            </w:pPr>
            <w:r>
              <w:rPr>
                <w:rFonts w:hint="eastAsia" w:ascii="宋体" w:hAnsi="宋体" w:cs="宋体"/>
                <w:bCs/>
                <w:color w:val="000000"/>
                <w:kern w:val="0"/>
                <w:highlight w:val="none"/>
                <w:lang w:eastAsia="zh-CN" w:bidi="ar"/>
              </w:rPr>
              <w:t>河南质量工程职业学院标准化考场升级改造项目</w:t>
            </w:r>
          </w:p>
        </w:tc>
        <w:tc>
          <w:tcPr>
            <w:tcW w:w="2181" w:type="dxa"/>
            <w:noWrap w:val="0"/>
            <w:vAlign w:val="center"/>
          </w:tcPr>
          <w:p w14:paraId="70B4539D">
            <w:pPr>
              <w:spacing w:line="440" w:lineRule="exact"/>
              <w:jc w:val="center"/>
              <w:rPr>
                <w:rFonts w:hint="eastAsia" w:ascii="宋体" w:hAnsi="宋体" w:eastAsia="宋体" w:cs="宋体"/>
                <w:bCs/>
                <w:color w:val="000000"/>
                <w:kern w:val="0"/>
                <w:highlight w:val="none"/>
                <w:lang w:eastAsia="zh-CN" w:bidi="ar"/>
              </w:rPr>
            </w:pPr>
            <w:r>
              <w:rPr>
                <w:rFonts w:hint="eastAsia" w:ascii="宋体" w:hAnsi="宋体" w:cs="宋体"/>
                <w:bCs/>
                <w:color w:val="000000"/>
                <w:kern w:val="0"/>
                <w:highlight w:val="none"/>
                <w:lang w:eastAsia="zh-CN" w:bidi="ar"/>
              </w:rPr>
              <w:t>930000</w:t>
            </w:r>
          </w:p>
        </w:tc>
        <w:tc>
          <w:tcPr>
            <w:tcW w:w="2218" w:type="dxa"/>
            <w:noWrap w:val="0"/>
            <w:vAlign w:val="center"/>
          </w:tcPr>
          <w:p w14:paraId="4D78E8A9">
            <w:pPr>
              <w:spacing w:line="440" w:lineRule="exact"/>
              <w:jc w:val="center"/>
              <w:rPr>
                <w:rFonts w:hint="eastAsia" w:ascii="宋体" w:hAnsi="宋体" w:eastAsia="宋体" w:cs="宋体"/>
                <w:bCs/>
                <w:color w:val="000000"/>
                <w:kern w:val="0"/>
                <w:highlight w:val="none"/>
                <w:lang w:eastAsia="zh-CN" w:bidi="ar"/>
              </w:rPr>
            </w:pPr>
            <w:r>
              <w:rPr>
                <w:rFonts w:hint="eastAsia" w:ascii="宋体" w:hAnsi="宋体" w:cs="宋体"/>
                <w:bCs/>
                <w:color w:val="000000"/>
                <w:kern w:val="0"/>
                <w:highlight w:val="none"/>
                <w:lang w:eastAsia="zh-CN" w:bidi="ar"/>
              </w:rPr>
              <w:t>930000</w:t>
            </w:r>
          </w:p>
        </w:tc>
      </w:tr>
    </w:tbl>
    <w:p w14:paraId="27E2B367">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5</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采购需求（包括但不限于标的的名称、数量、简要技术需求或</w:t>
      </w:r>
      <w:r>
        <w:rPr>
          <w:rFonts w:hint="eastAsia" w:ascii="宋体" w:hAnsi="宋体" w:cs="宋体"/>
          <w:bCs/>
          <w:color w:val="000000"/>
          <w:kern w:val="0"/>
          <w:sz w:val="24"/>
          <w:szCs w:val="24"/>
          <w:highlight w:val="none"/>
          <w:lang w:eastAsia="zh-CN" w:bidi="ar"/>
        </w:rPr>
        <w:t>服务</w:t>
      </w:r>
      <w:r>
        <w:rPr>
          <w:rFonts w:hint="eastAsia" w:ascii="宋体" w:hAnsi="宋体" w:cs="宋体"/>
          <w:bCs/>
          <w:color w:val="000000"/>
          <w:kern w:val="0"/>
          <w:sz w:val="24"/>
          <w:szCs w:val="24"/>
          <w:highlight w:val="none"/>
          <w:lang w:bidi="ar"/>
        </w:rPr>
        <w:t>要求等）</w:t>
      </w:r>
    </w:p>
    <w:p w14:paraId="76194A83">
      <w:pPr>
        <w:spacing w:line="440" w:lineRule="exact"/>
        <w:ind w:firstLine="480" w:firstLineChars="200"/>
        <w:rPr>
          <w:rFonts w:hint="eastAsia" w:ascii="宋体" w:hAnsi="宋体" w:cs="宋体"/>
          <w:color w:val="000000"/>
          <w:sz w:val="24"/>
          <w:szCs w:val="24"/>
          <w:highlight w:val="none"/>
          <w:lang w:bidi="ar"/>
        </w:rPr>
      </w:pPr>
      <w:r>
        <w:rPr>
          <w:rFonts w:hint="eastAsia" w:ascii="宋体" w:hAnsi="宋体" w:cs="宋体"/>
          <w:color w:val="000000"/>
          <w:sz w:val="24"/>
          <w:szCs w:val="24"/>
          <w:highlight w:val="none"/>
          <w:lang w:bidi="ar"/>
        </w:rPr>
        <w:t>5.1采购内容：对河南质量工程职业学院本部校区58个考场的监控系统和网上巡查系统进行全面更新，消除监控死角，提升图像清晰度。同时，建设一套独立的，具有先进的数字音频传输技术听力广播系统，以解决信号干扰和失真问题。实现国家教育考试标准化考场的全面升级，确保考试过程的公平、公正、安全、高效</w:t>
      </w:r>
      <w:r>
        <w:rPr>
          <w:rFonts w:hint="eastAsia" w:ascii="宋体" w:hAnsi="宋体" w:cs="宋体"/>
          <w:color w:val="000000"/>
          <w:sz w:val="24"/>
          <w:szCs w:val="24"/>
          <w:highlight w:val="none"/>
        </w:rPr>
        <w:t>。具体要求详见招标文件</w:t>
      </w:r>
      <w:r>
        <w:rPr>
          <w:rFonts w:hint="eastAsia" w:ascii="宋体" w:hAnsi="宋体" w:cs="宋体"/>
          <w:color w:val="000000"/>
          <w:sz w:val="24"/>
          <w:szCs w:val="24"/>
          <w:highlight w:val="none"/>
          <w:lang w:bidi="ar"/>
        </w:rPr>
        <w:t>；</w:t>
      </w:r>
    </w:p>
    <w:p w14:paraId="68417901">
      <w:pPr>
        <w:spacing w:line="440" w:lineRule="exact"/>
        <w:ind w:firstLine="480" w:firstLineChars="200"/>
        <w:rPr>
          <w:rFonts w:hint="eastAsia" w:ascii="宋体" w:hAnsi="宋体" w:cs="宋体"/>
          <w:color w:val="000000"/>
          <w:sz w:val="24"/>
          <w:szCs w:val="24"/>
          <w:highlight w:val="none"/>
          <w:lang w:bidi="ar"/>
        </w:rPr>
      </w:pPr>
      <w:r>
        <w:rPr>
          <w:rFonts w:hint="eastAsia" w:ascii="宋体" w:hAnsi="宋体" w:cs="宋体"/>
          <w:color w:val="000000"/>
          <w:sz w:val="24"/>
          <w:szCs w:val="24"/>
          <w:highlight w:val="none"/>
          <w:lang w:bidi="ar"/>
        </w:rPr>
        <w:t>5.2资金来源：财政资金，已落实；</w:t>
      </w:r>
    </w:p>
    <w:p w14:paraId="23258EC4">
      <w:pPr>
        <w:spacing w:line="440" w:lineRule="exact"/>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bidi="ar"/>
        </w:rPr>
        <w:t>5.3</w:t>
      </w:r>
      <w:r>
        <w:rPr>
          <w:rFonts w:hint="eastAsia" w:ascii="宋体" w:hAnsi="宋体" w:cs="宋体"/>
          <w:color w:val="000000"/>
          <w:sz w:val="24"/>
          <w:szCs w:val="24"/>
          <w:highlight w:val="none"/>
        </w:rPr>
        <w:t>交货及安装期：合同签订之日起</w:t>
      </w:r>
      <w:r>
        <w:rPr>
          <w:rFonts w:hint="eastAsia" w:ascii="宋体" w:hAnsi="宋体" w:cs="宋体"/>
          <w:color w:val="000000"/>
          <w:sz w:val="24"/>
          <w:szCs w:val="24"/>
          <w:highlight w:val="none"/>
          <w:lang w:eastAsia="zh-CN"/>
        </w:rPr>
        <w:t>30日历天</w:t>
      </w:r>
      <w:r>
        <w:rPr>
          <w:rFonts w:hint="eastAsia" w:ascii="宋体" w:hAnsi="宋体" w:cs="宋体"/>
          <w:color w:val="000000"/>
          <w:sz w:val="24"/>
          <w:szCs w:val="24"/>
          <w:highlight w:val="none"/>
        </w:rPr>
        <w:t>内安装调试完毕、交付使用；</w:t>
      </w:r>
    </w:p>
    <w:p w14:paraId="0DABF9F7">
      <w:pPr>
        <w:spacing w:line="440" w:lineRule="exact"/>
        <w:ind w:firstLine="480" w:firstLineChars="200"/>
        <w:rPr>
          <w:rFonts w:hint="eastAsia" w:ascii="宋体" w:hAnsi="宋体" w:cs="宋体"/>
          <w:color w:val="000000"/>
          <w:sz w:val="24"/>
          <w:szCs w:val="24"/>
          <w:highlight w:val="none"/>
          <w:lang w:bidi="ar"/>
        </w:rPr>
      </w:pPr>
      <w:r>
        <w:rPr>
          <w:rFonts w:hint="eastAsia" w:ascii="宋体" w:hAnsi="宋体" w:cs="宋体"/>
          <w:color w:val="000000"/>
          <w:sz w:val="24"/>
          <w:szCs w:val="24"/>
          <w:highlight w:val="none"/>
          <w:lang w:bidi="ar"/>
        </w:rPr>
        <w:t>5.4交货及安装地点：采购人指定地点；</w:t>
      </w:r>
    </w:p>
    <w:p w14:paraId="4846DBD4">
      <w:pPr>
        <w:spacing w:line="440" w:lineRule="exact"/>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bidi="ar"/>
        </w:rPr>
        <w:t>5.5质量要求：合格；</w:t>
      </w:r>
    </w:p>
    <w:p w14:paraId="71C4D184">
      <w:pPr>
        <w:spacing w:line="440" w:lineRule="exact"/>
        <w:ind w:firstLine="480" w:firstLineChars="200"/>
        <w:jc w:val="left"/>
        <w:rPr>
          <w:rFonts w:hint="eastAsia" w:ascii="宋体" w:hAnsi="宋体" w:eastAsia="宋体" w:cs="宋体"/>
          <w:color w:val="000000"/>
          <w:sz w:val="24"/>
          <w:szCs w:val="24"/>
          <w:highlight w:val="none"/>
          <w:lang w:val="en-US" w:eastAsia="zh-CN" w:bidi="ar"/>
        </w:rPr>
      </w:pPr>
      <w:r>
        <w:rPr>
          <w:rFonts w:hint="eastAsia" w:ascii="宋体" w:hAnsi="宋体" w:cs="宋体"/>
          <w:color w:val="000000"/>
          <w:sz w:val="24"/>
          <w:szCs w:val="24"/>
          <w:highlight w:val="none"/>
          <w:lang w:bidi="ar"/>
        </w:rPr>
        <w:t>5.6质保期：3年(质保期自设备安装并验收合格之日起算）</w:t>
      </w:r>
      <w:r>
        <w:rPr>
          <w:rFonts w:hint="eastAsia" w:ascii="宋体" w:hAnsi="宋体" w:cs="宋体"/>
          <w:color w:val="000000"/>
          <w:sz w:val="24"/>
          <w:szCs w:val="24"/>
          <w:highlight w:val="none"/>
          <w:lang w:eastAsia="zh-CN" w:bidi="ar"/>
        </w:rPr>
        <w:t>；</w:t>
      </w:r>
    </w:p>
    <w:p w14:paraId="34E9F69A">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6</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合同履行期限：同</w:t>
      </w:r>
      <w:r>
        <w:rPr>
          <w:rFonts w:hint="eastAsia" w:ascii="宋体" w:hAnsi="宋体" w:cs="宋体"/>
          <w:color w:val="000000"/>
          <w:sz w:val="24"/>
          <w:szCs w:val="24"/>
          <w:highlight w:val="none"/>
        </w:rPr>
        <w:t>交货及安装期</w:t>
      </w:r>
      <w:r>
        <w:rPr>
          <w:rFonts w:hint="eastAsia" w:ascii="宋体" w:hAnsi="宋体" w:cs="宋体"/>
          <w:color w:val="000000"/>
          <w:sz w:val="24"/>
          <w:szCs w:val="24"/>
          <w:highlight w:val="none"/>
          <w:lang w:bidi="ar"/>
        </w:rPr>
        <w:t>；</w:t>
      </w:r>
    </w:p>
    <w:p w14:paraId="03D0CFC4">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7</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本项目是否接受联合体投标：否</w:t>
      </w:r>
    </w:p>
    <w:p w14:paraId="2E9CABEF">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8</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是否接受进口产品：否</w:t>
      </w:r>
    </w:p>
    <w:p w14:paraId="5D2B3226">
      <w:pPr>
        <w:spacing w:line="440" w:lineRule="exact"/>
        <w:ind w:firstLine="480" w:firstLineChars="200"/>
        <w:jc w:val="left"/>
        <w:rPr>
          <w:rFonts w:hint="eastAsia" w:ascii="宋体" w:hAnsi="宋体" w:eastAsia="宋体" w:cs="宋体"/>
          <w:bCs/>
          <w:color w:val="000000"/>
          <w:kern w:val="0"/>
          <w:sz w:val="24"/>
          <w:szCs w:val="24"/>
          <w:highlight w:val="none"/>
          <w:lang w:eastAsia="zh-CN" w:bidi="ar"/>
        </w:rPr>
      </w:pPr>
      <w:r>
        <w:rPr>
          <w:rFonts w:hint="eastAsia" w:ascii="宋体" w:hAnsi="宋体" w:cs="宋体"/>
          <w:bCs/>
          <w:color w:val="000000"/>
          <w:kern w:val="0"/>
          <w:sz w:val="24"/>
          <w:szCs w:val="24"/>
          <w:highlight w:val="none"/>
          <w:lang w:bidi="ar"/>
        </w:rPr>
        <w:t>9</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是否专门面向中小企业：</w:t>
      </w:r>
      <w:r>
        <w:rPr>
          <w:rFonts w:hint="eastAsia" w:ascii="宋体" w:hAnsi="宋体" w:cs="宋体"/>
          <w:bCs/>
          <w:color w:val="000000"/>
          <w:kern w:val="0"/>
          <w:sz w:val="24"/>
          <w:szCs w:val="24"/>
          <w:highlight w:val="none"/>
          <w:lang w:eastAsia="zh-CN" w:bidi="ar"/>
        </w:rPr>
        <w:t>否</w:t>
      </w:r>
    </w:p>
    <w:p w14:paraId="4878EFF9">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二、申请人资格要求：</w:t>
      </w:r>
    </w:p>
    <w:p w14:paraId="2395CB12">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1</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满足《中华人民共和国政府采购法》第二十二条规定；</w:t>
      </w:r>
    </w:p>
    <w:p w14:paraId="58CCED23">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2</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落实政府采购政策满足的资格要求：</w:t>
      </w:r>
      <w:r>
        <w:rPr>
          <w:rFonts w:hint="eastAsia" w:ascii="宋体" w:hAnsi="宋体" w:cs="宋体"/>
          <w:bCs/>
          <w:color w:val="000000"/>
          <w:kern w:val="0"/>
          <w:sz w:val="24"/>
          <w:szCs w:val="24"/>
          <w:highlight w:val="none"/>
          <w:lang w:eastAsia="zh-CN" w:bidi="ar"/>
        </w:rPr>
        <w:t>本项目非专门面向中小企业采购。供应商为中小微企业、监狱企业、残疾人福利性单位，落实中小企业价格评审优惠政策；中小企业划型标准请依据工信部联企业 （2011） 300 号文件之规定；</w:t>
      </w:r>
    </w:p>
    <w:p w14:paraId="03DFF790">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本项目的特定资格要求</w:t>
      </w:r>
    </w:p>
    <w:p w14:paraId="6657AFA1">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3.1供应商具有独立法人资格，（持有有效的营业执照、税务登记证、组织机构代码证等或三证合一营业执照，也可提供电子营业执照）；</w:t>
      </w:r>
    </w:p>
    <w:p w14:paraId="2FC5E095">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3.2供应商具有良好的商业信誉和健全的财务会计制度（供应商自行承诺，格式自拟）；</w:t>
      </w:r>
    </w:p>
    <w:p w14:paraId="44AD6B73">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3.3供应商具有履行合同所必需的设备和专业技术能力（供应商自行承诺，格式自拟）；</w:t>
      </w:r>
    </w:p>
    <w:p w14:paraId="3356E990">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3.4供应商具有依法缴纳税收和社会保障资金的良好记录（供应商自行承诺，格式自拟）；</w:t>
      </w:r>
    </w:p>
    <w:p w14:paraId="111CF9BF">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3.5参加政府采购活动近三年内，在经营活动中没有重大的违法记录和质量安全事故（供应商自行承诺，格式自拟）；</w:t>
      </w:r>
    </w:p>
    <w:p w14:paraId="1AA48DD6">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3.6供应商须提供“中国执行信息公开网”网站的“失信被执行人”、“信用中国”网站的“重大税收违法失信主体”、“中国政府采购”网站的“政府采购严重违法失信行为记录名单”查询结果页面，若未按要求提供或有不良记录，资格审查不予通过（执行财库【2016】125号文），查询时间应为开标前7日内；</w:t>
      </w:r>
    </w:p>
    <w:p w14:paraId="324CA24E">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3.7单位负责人为同一人或者存在控股、管理关系的不同单位，不得同时参加本项目的投标；</w:t>
      </w:r>
    </w:p>
    <w:p w14:paraId="5D43AA1D">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3.8本项目不接受联合体投标，资格审查方式为资格后审。</w:t>
      </w:r>
    </w:p>
    <w:p w14:paraId="487492BA">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三、获取</w:t>
      </w:r>
      <w:r>
        <w:rPr>
          <w:rFonts w:hint="eastAsia" w:ascii="宋体" w:hAnsi="宋体" w:cs="宋体"/>
          <w:b/>
          <w:bCs/>
          <w:color w:val="000000"/>
          <w:sz w:val="24"/>
          <w:szCs w:val="24"/>
          <w:highlight w:val="none"/>
          <w:lang w:eastAsia="zh-CN"/>
        </w:rPr>
        <w:t>招标</w:t>
      </w:r>
      <w:r>
        <w:rPr>
          <w:rFonts w:hint="eastAsia" w:ascii="宋体" w:hAnsi="宋体" w:cs="宋体"/>
          <w:b/>
          <w:bCs/>
          <w:color w:val="000000"/>
          <w:sz w:val="24"/>
          <w:szCs w:val="24"/>
          <w:highlight w:val="none"/>
        </w:rPr>
        <w:t>文件</w:t>
      </w:r>
    </w:p>
    <w:p w14:paraId="14F27F4D">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1</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时间：2025年</w:t>
      </w:r>
      <w:r>
        <w:rPr>
          <w:rFonts w:hint="eastAsia" w:ascii="宋体" w:hAnsi="宋体" w:cs="宋体"/>
          <w:bCs/>
          <w:color w:val="000000"/>
          <w:kern w:val="0"/>
          <w:sz w:val="24"/>
          <w:szCs w:val="24"/>
          <w:highlight w:val="none"/>
          <w:lang w:val="en-US" w:eastAsia="zh-CN" w:bidi="ar"/>
        </w:rPr>
        <w:t>08</w:t>
      </w:r>
      <w:r>
        <w:rPr>
          <w:rFonts w:hint="eastAsia" w:ascii="宋体" w:hAnsi="宋体" w:cs="宋体"/>
          <w:bCs/>
          <w:color w:val="000000"/>
          <w:kern w:val="0"/>
          <w:sz w:val="24"/>
          <w:szCs w:val="24"/>
          <w:highlight w:val="none"/>
          <w:lang w:bidi="ar"/>
        </w:rPr>
        <w:t>月</w:t>
      </w:r>
      <w:r>
        <w:rPr>
          <w:rFonts w:hint="eastAsia" w:ascii="宋体" w:hAnsi="宋体" w:cs="宋体"/>
          <w:bCs/>
          <w:color w:val="000000"/>
          <w:kern w:val="0"/>
          <w:sz w:val="24"/>
          <w:szCs w:val="24"/>
          <w:highlight w:val="none"/>
          <w:lang w:val="en-US" w:eastAsia="zh-CN" w:bidi="ar"/>
        </w:rPr>
        <w:t>20</w:t>
      </w:r>
      <w:r>
        <w:rPr>
          <w:rFonts w:hint="eastAsia" w:ascii="宋体" w:hAnsi="宋体" w:cs="宋体"/>
          <w:bCs/>
          <w:color w:val="000000"/>
          <w:kern w:val="0"/>
          <w:sz w:val="24"/>
          <w:szCs w:val="24"/>
          <w:highlight w:val="none"/>
          <w:lang w:bidi="ar"/>
        </w:rPr>
        <w:t>日至2025年</w:t>
      </w:r>
      <w:r>
        <w:rPr>
          <w:rFonts w:hint="eastAsia" w:ascii="宋体" w:hAnsi="宋体" w:cs="宋体"/>
          <w:bCs/>
          <w:color w:val="000000"/>
          <w:kern w:val="0"/>
          <w:sz w:val="24"/>
          <w:szCs w:val="24"/>
          <w:highlight w:val="none"/>
          <w:lang w:val="en-US" w:eastAsia="zh-CN" w:bidi="ar"/>
        </w:rPr>
        <w:t>09</w:t>
      </w:r>
      <w:r>
        <w:rPr>
          <w:rFonts w:hint="eastAsia" w:ascii="宋体" w:hAnsi="宋体" w:cs="宋体"/>
          <w:bCs/>
          <w:color w:val="000000"/>
          <w:kern w:val="0"/>
          <w:sz w:val="24"/>
          <w:szCs w:val="24"/>
          <w:highlight w:val="none"/>
          <w:lang w:bidi="ar"/>
        </w:rPr>
        <w:t>月</w:t>
      </w:r>
      <w:r>
        <w:rPr>
          <w:rFonts w:hint="eastAsia" w:ascii="宋体" w:hAnsi="宋体" w:cs="宋体"/>
          <w:bCs/>
          <w:color w:val="000000"/>
          <w:kern w:val="0"/>
          <w:sz w:val="24"/>
          <w:szCs w:val="24"/>
          <w:highlight w:val="none"/>
          <w:lang w:val="en-US" w:eastAsia="zh-CN" w:bidi="ar"/>
        </w:rPr>
        <w:t>09</w:t>
      </w:r>
      <w:r>
        <w:rPr>
          <w:rFonts w:hint="eastAsia" w:ascii="宋体" w:hAnsi="宋体" w:cs="宋体"/>
          <w:bCs/>
          <w:color w:val="000000"/>
          <w:kern w:val="0"/>
          <w:sz w:val="24"/>
          <w:szCs w:val="24"/>
          <w:highlight w:val="none"/>
          <w:lang w:bidi="ar"/>
        </w:rPr>
        <w:t>日，每天上午00:00至12:00，下午12:00至23:59（北京时间，法定节假日除外。）。</w:t>
      </w:r>
    </w:p>
    <w:p w14:paraId="0979C369">
      <w:pPr>
        <w:spacing w:line="440" w:lineRule="exact"/>
        <w:ind w:firstLine="480" w:firstLineChars="200"/>
        <w:jc w:val="left"/>
        <w:rPr>
          <w:rFonts w:hint="eastAsia" w:ascii="宋体" w:hAnsi="宋体" w:eastAsia="宋体" w:cs="宋体"/>
          <w:bCs/>
          <w:color w:val="000000"/>
          <w:kern w:val="0"/>
          <w:sz w:val="24"/>
          <w:szCs w:val="24"/>
          <w:highlight w:val="none"/>
          <w:lang w:bidi="ar"/>
        </w:rPr>
      </w:pPr>
      <w:r>
        <w:rPr>
          <w:rFonts w:hint="eastAsia" w:ascii="宋体" w:hAnsi="宋体" w:eastAsia="宋体" w:cs="宋体"/>
          <w:bCs/>
          <w:color w:val="000000"/>
          <w:kern w:val="0"/>
          <w:sz w:val="24"/>
          <w:szCs w:val="24"/>
          <w:highlight w:val="none"/>
          <w:lang w:bidi="ar"/>
        </w:rPr>
        <w:t>2.地点：《全国公共资源交易平台（河南省·平顶山市）》（http://ggzy.pds.gov.cn）</w:t>
      </w:r>
    </w:p>
    <w:p w14:paraId="41719987">
      <w:pPr>
        <w:spacing w:line="440" w:lineRule="exact"/>
        <w:ind w:firstLine="480" w:firstLineChars="200"/>
        <w:jc w:val="left"/>
        <w:rPr>
          <w:rFonts w:hint="eastAsia" w:ascii="宋体" w:hAnsi="宋体" w:eastAsia="宋体" w:cs="宋体"/>
          <w:bCs/>
          <w:color w:val="000000"/>
          <w:kern w:val="0"/>
          <w:sz w:val="24"/>
          <w:szCs w:val="24"/>
          <w:highlight w:val="none"/>
          <w:lang w:bidi="ar"/>
        </w:rPr>
      </w:pPr>
      <w:r>
        <w:rPr>
          <w:rFonts w:hint="eastAsia" w:ascii="宋体" w:hAnsi="宋体" w:eastAsia="宋体" w:cs="宋体"/>
          <w:bCs/>
          <w:color w:val="000000"/>
          <w:kern w:val="0"/>
          <w:sz w:val="24"/>
          <w:szCs w:val="24"/>
          <w:highlight w:val="none"/>
          <w:lang w:bidi="ar"/>
        </w:rPr>
        <w:t>3.方式：潜在</w:t>
      </w:r>
      <w:r>
        <w:rPr>
          <w:rFonts w:hint="eastAsia" w:ascii="宋体" w:hAnsi="宋体" w:eastAsia="宋体" w:cs="宋体"/>
          <w:bCs/>
          <w:color w:val="000000"/>
          <w:kern w:val="0"/>
          <w:sz w:val="24"/>
          <w:szCs w:val="24"/>
          <w:highlight w:val="none"/>
          <w:lang w:eastAsia="zh-CN" w:bidi="ar"/>
        </w:rPr>
        <w:t>供应商</w:t>
      </w:r>
      <w:r>
        <w:rPr>
          <w:rFonts w:hint="eastAsia" w:ascii="宋体" w:hAnsi="宋体" w:eastAsia="宋体" w:cs="宋体"/>
          <w:bCs/>
          <w:color w:val="000000"/>
          <w:kern w:val="0"/>
          <w:sz w:val="24"/>
          <w:szCs w:val="24"/>
          <w:highlight w:val="none"/>
          <w:lang w:bidi="ar"/>
        </w:rPr>
        <w:t>下载招标文件需凭CA数字证书通过平顶山市公共资源交易中心网（http://ggzy.pds.gov.cn）“交易主体登录”入口进入交易系统进行下载。具体操作请查看以下链接：</w:t>
      </w:r>
    </w:p>
    <w:p w14:paraId="1CD511AA">
      <w:pPr>
        <w:spacing w:line="440" w:lineRule="exact"/>
        <w:ind w:firstLine="480" w:firstLineChars="200"/>
        <w:jc w:val="left"/>
        <w:rPr>
          <w:rFonts w:hint="eastAsia" w:ascii="宋体" w:hAnsi="宋体" w:eastAsia="宋体" w:cs="宋体"/>
          <w:bCs/>
          <w:color w:val="000000"/>
          <w:kern w:val="0"/>
          <w:sz w:val="24"/>
          <w:szCs w:val="24"/>
          <w:highlight w:val="none"/>
          <w:lang w:bidi="ar"/>
        </w:rPr>
      </w:pPr>
      <w:r>
        <w:rPr>
          <w:rFonts w:hint="eastAsia" w:ascii="宋体" w:hAnsi="宋体" w:eastAsia="宋体" w:cs="宋体"/>
          <w:bCs/>
          <w:color w:val="000000"/>
          <w:kern w:val="0"/>
          <w:sz w:val="24"/>
          <w:szCs w:val="24"/>
          <w:highlight w:val="none"/>
          <w:lang w:bidi="ar"/>
        </w:rPr>
        <w:t>链接地址：http://ggzy.pds.gov.cnfwzn/11020.jhtml</w:t>
      </w:r>
    </w:p>
    <w:p w14:paraId="24ACDD48">
      <w:pPr>
        <w:spacing w:line="440" w:lineRule="exact"/>
        <w:ind w:firstLine="480" w:firstLineChars="200"/>
        <w:jc w:val="left"/>
        <w:rPr>
          <w:rFonts w:hint="eastAsia" w:ascii="宋体" w:hAnsi="宋体" w:eastAsia="宋体" w:cs="宋体"/>
          <w:bCs/>
          <w:color w:val="000000"/>
          <w:kern w:val="0"/>
          <w:sz w:val="24"/>
          <w:szCs w:val="24"/>
          <w:highlight w:val="none"/>
          <w:lang w:bidi="ar"/>
        </w:rPr>
      </w:pPr>
      <w:r>
        <w:rPr>
          <w:rFonts w:hint="eastAsia" w:ascii="宋体" w:hAnsi="宋体" w:eastAsia="宋体" w:cs="宋体"/>
          <w:bCs/>
          <w:color w:val="000000"/>
          <w:kern w:val="0"/>
          <w:sz w:val="24"/>
          <w:szCs w:val="24"/>
          <w:highlight w:val="none"/>
          <w:lang w:bidi="ar"/>
        </w:rPr>
        <w:t>办理CA证书：http://ggzy.pds.gov.cntzgg/10814.jhtml</w:t>
      </w:r>
    </w:p>
    <w:p w14:paraId="5CA9A952">
      <w:pPr>
        <w:spacing w:line="440" w:lineRule="exact"/>
        <w:ind w:firstLine="480" w:firstLineChars="200"/>
        <w:jc w:val="left"/>
        <w:rPr>
          <w:rFonts w:hint="eastAsia" w:ascii="宋体" w:hAnsi="宋体" w:eastAsia="宋体" w:cs="宋体"/>
          <w:bCs/>
          <w:color w:val="000000"/>
          <w:kern w:val="0"/>
          <w:sz w:val="24"/>
          <w:szCs w:val="24"/>
          <w:highlight w:val="none"/>
          <w:lang w:bidi="ar"/>
        </w:rPr>
      </w:pPr>
      <w:r>
        <w:rPr>
          <w:rFonts w:hint="eastAsia" w:ascii="宋体" w:hAnsi="宋体" w:eastAsia="宋体" w:cs="宋体"/>
          <w:bCs/>
          <w:color w:val="000000"/>
          <w:kern w:val="0"/>
          <w:sz w:val="24"/>
          <w:szCs w:val="24"/>
          <w:highlight w:val="none"/>
          <w:lang w:bidi="ar"/>
        </w:rPr>
        <w:t>4.售价：0元</w:t>
      </w:r>
    </w:p>
    <w:p w14:paraId="138CC37A">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四、投标截止时间及地点</w:t>
      </w:r>
    </w:p>
    <w:p w14:paraId="52017E85">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1</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时间：</w:t>
      </w:r>
      <w:r>
        <w:rPr>
          <w:rFonts w:hint="eastAsia" w:ascii="宋体" w:hAnsi="宋体" w:cs="宋体"/>
          <w:color w:val="000000"/>
          <w:spacing w:val="4"/>
          <w:kern w:val="2"/>
          <w:sz w:val="24"/>
          <w:szCs w:val="24"/>
          <w:highlight w:val="none"/>
        </w:rPr>
        <w:t>2025年</w:t>
      </w:r>
      <w:r>
        <w:rPr>
          <w:rFonts w:hint="eastAsia" w:ascii="宋体" w:hAnsi="宋体" w:cs="宋体"/>
          <w:color w:val="000000"/>
          <w:spacing w:val="4"/>
          <w:kern w:val="2"/>
          <w:sz w:val="24"/>
          <w:szCs w:val="24"/>
          <w:highlight w:val="none"/>
          <w:lang w:val="en-US" w:eastAsia="zh-CN"/>
        </w:rPr>
        <w:t>09</w:t>
      </w:r>
      <w:r>
        <w:rPr>
          <w:rFonts w:hint="eastAsia" w:ascii="宋体" w:hAnsi="宋体" w:cs="宋体"/>
          <w:color w:val="000000"/>
          <w:spacing w:val="4"/>
          <w:kern w:val="2"/>
          <w:sz w:val="24"/>
          <w:szCs w:val="24"/>
          <w:highlight w:val="none"/>
        </w:rPr>
        <w:t>月</w:t>
      </w:r>
      <w:r>
        <w:rPr>
          <w:rFonts w:hint="eastAsia" w:ascii="宋体" w:hAnsi="宋体" w:cs="宋体"/>
          <w:color w:val="000000"/>
          <w:spacing w:val="4"/>
          <w:kern w:val="2"/>
          <w:sz w:val="24"/>
          <w:szCs w:val="24"/>
          <w:highlight w:val="none"/>
          <w:lang w:val="en-US" w:eastAsia="zh-CN"/>
        </w:rPr>
        <w:t>10</w:t>
      </w:r>
      <w:r>
        <w:rPr>
          <w:rFonts w:hint="eastAsia" w:ascii="宋体" w:hAnsi="宋体" w:cs="宋体"/>
          <w:color w:val="000000"/>
          <w:spacing w:val="4"/>
          <w:kern w:val="2"/>
          <w:sz w:val="24"/>
          <w:szCs w:val="24"/>
          <w:highlight w:val="none"/>
        </w:rPr>
        <w:t>日</w:t>
      </w:r>
      <w:r>
        <w:rPr>
          <w:rFonts w:hint="eastAsia" w:ascii="宋体" w:hAnsi="宋体" w:cs="宋体"/>
          <w:color w:val="000000"/>
          <w:spacing w:val="4"/>
          <w:kern w:val="2"/>
          <w:sz w:val="24"/>
          <w:szCs w:val="24"/>
          <w:highlight w:val="none"/>
          <w:lang w:val="en-US" w:eastAsia="zh-CN"/>
        </w:rPr>
        <w:t>09</w:t>
      </w:r>
      <w:r>
        <w:rPr>
          <w:rFonts w:hint="eastAsia" w:ascii="宋体" w:hAnsi="宋体" w:cs="宋体"/>
          <w:color w:val="000000"/>
          <w:spacing w:val="4"/>
          <w:kern w:val="2"/>
          <w:sz w:val="24"/>
          <w:szCs w:val="24"/>
          <w:highlight w:val="none"/>
        </w:rPr>
        <w:t>时</w:t>
      </w:r>
      <w:r>
        <w:rPr>
          <w:rFonts w:hint="eastAsia" w:ascii="宋体" w:hAnsi="宋体" w:cs="宋体"/>
          <w:color w:val="000000"/>
          <w:spacing w:val="4"/>
          <w:kern w:val="2"/>
          <w:sz w:val="24"/>
          <w:szCs w:val="24"/>
          <w:highlight w:val="none"/>
          <w:lang w:val="en-US" w:eastAsia="zh-CN"/>
        </w:rPr>
        <w:t>00</w:t>
      </w:r>
      <w:r>
        <w:rPr>
          <w:rFonts w:hint="eastAsia" w:ascii="宋体" w:hAnsi="宋体" w:cs="宋体"/>
          <w:color w:val="000000"/>
          <w:spacing w:val="4"/>
          <w:kern w:val="2"/>
          <w:sz w:val="24"/>
          <w:szCs w:val="24"/>
          <w:highlight w:val="none"/>
        </w:rPr>
        <w:t>分</w:t>
      </w:r>
      <w:r>
        <w:rPr>
          <w:rFonts w:hint="eastAsia" w:ascii="宋体" w:hAnsi="宋体" w:cs="宋体"/>
          <w:bCs/>
          <w:color w:val="000000"/>
          <w:kern w:val="0"/>
          <w:sz w:val="24"/>
          <w:szCs w:val="24"/>
          <w:highlight w:val="none"/>
          <w:lang w:bidi="ar"/>
        </w:rPr>
        <w:t>（北京时间）</w:t>
      </w:r>
    </w:p>
    <w:p w14:paraId="528F59F0">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2</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地点：</w:t>
      </w:r>
      <w:r>
        <w:rPr>
          <w:rFonts w:hint="eastAsia" w:ascii="宋体" w:hAnsi="宋体" w:cs="宋体"/>
          <w:kern w:val="0"/>
          <w:sz w:val="24"/>
          <w:highlight w:val="none"/>
        </w:rPr>
        <w:t>《全国公共资源交易平台（河南省·平顶山市）》公共资源交易系统</w:t>
      </w:r>
    </w:p>
    <w:p w14:paraId="778867F9">
      <w:pPr>
        <w:spacing w:line="440" w:lineRule="exact"/>
        <w:ind w:right="395"/>
        <w:jc w:val="lef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五、开标时间及地点</w:t>
      </w:r>
    </w:p>
    <w:p w14:paraId="0ED5C1B9">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1</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时间：</w:t>
      </w:r>
      <w:r>
        <w:rPr>
          <w:rFonts w:hint="eastAsia" w:ascii="宋体" w:hAnsi="宋体" w:cs="宋体"/>
          <w:color w:val="000000"/>
          <w:spacing w:val="4"/>
          <w:kern w:val="2"/>
          <w:sz w:val="24"/>
          <w:szCs w:val="24"/>
          <w:highlight w:val="none"/>
        </w:rPr>
        <w:t>2025年</w:t>
      </w:r>
      <w:r>
        <w:rPr>
          <w:rFonts w:hint="eastAsia" w:ascii="宋体" w:hAnsi="宋体" w:cs="宋体"/>
          <w:color w:val="000000"/>
          <w:spacing w:val="4"/>
          <w:kern w:val="2"/>
          <w:sz w:val="24"/>
          <w:szCs w:val="24"/>
          <w:highlight w:val="none"/>
          <w:lang w:val="en-US" w:eastAsia="zh-CN"/>
        </w:rPr>
        <w:t>09</w:t>
      </w:r>
      <w:r>
        <w:rPr>
          <w:rFonts w:hint="eastAsia" w:ascii="宋体" w:hAnsi="宋体" w:cs="宋体"/>
          <w:color w:val="000000"/>
          <w:spacing w:val="4"/>
          <w:kern w:val="2"/>
          <w:sz w:val="24"/>
          <w:szCs w:val="24"/>
          <w:highlight w:val="none"/>
        </w:rPr>
        <w:t>月</w:t>
      </w:r>
      <w:r>
        <w:rPr>
          <w:rFonts w:hint="eastAsia" w:ascii="宋体" w:hAnsi="宋体" w:cs="宋体"/>
          <w:color w:val="000000"/>
          <w:spacing w:val="4"/>
          <w:kern w:val="2"/>
          <w:sz w:val="24"/>
          <w:szCs w:val="24"/>
          <w:highlight w:val="none"/>
          <w:lang w:val="en-US" w:eastAsia="zh-CN"/>
        </w:rPr>
        <w:t>10</w:t>
      </w:r>
      <w:r>
        <w:rPr>
          <w:rFonts w:hint="eastAsia" w:ascii="宋体" w:hAnsi="宋体" w:cs="宋体"/>
          <w:color w:val="000000"/>
          <w:spacing w:val="4"/>
          <w:kern w:val="2"/>
          <w:sz w:val="24"/>
          <w:szCs w:val="24"/>
          <w:highlight w:val="none"/>
        </w:rPr>
        <w:t>日</w:t>
      </w:r>
      <w:r>
        <w:rPr>
          <w:rFonts w:hint="eastAsia" w:ascii="宋体" w:hAnsi="宋体" w:cs="宋体"/>
          <w:color w:val="000000"/>
          <w:spacing w:val="4"/>
          <w:kern w:val="2"/>
          <w:sz w:val="24"/>
          <w:szCs w:val="24"/>
          <w:highlight w:val="none"/>
          <w:lang w:val="en-US" w:eastAsia="zh-CN"/>
        </w:rPr>
        <w:t>09</w:t>
      </w:r>
      <w:r>
        <w:rPr>
          <w:rFonts w:hint="eastAsia" w:ascii="宋体" w:hAnsi="宋体" w:cs="宋体"/>
          <w:color w:val="000000"/>
          <w:spacing w:val="4"/>
          <w:kern w:val="2"/>
          <w:sz w:val="24"/>
          <w:szCs w:val="24"/>
          <w:highlight w:val="none"/>
        </w:rPr>
        <w:t>时</w:t>
      </w:r>
      <w:r>
        <w:rPr>
          <w:rFonts w:hint="eastAsia" w:ascii="宋体" w:hAnsi="宋体" w:cs="宋体"/>
          <w:color w:val="000000"/>
          <w:spacing w:val="4"/>
          <w:kern w:val="2"/>
          <w:sz w:val="24"/>
          <w:szCs w:val="24"/>
          <w:highlight w:val="none"/>
          <w:lang w:val="en-US" w:eastAsia="zh-CN"/>
        </w:rPr>
        <w:t>00</w:t>
      </w:r>
      <w:r>
        <w:rPr>
          <w:rFonts w:hint="eastAsia" w:ascii="宋体" w:hAnsi="宋体" w:cs="宋体"/>
          <w:color w:val="000000"/>
          <w:spacing w:val="4"/>
          <w:kern w:val="2"/>
          <w:sz w:val="24"/>
          <w:szCs w:val="24"/>
          <w:highlight w:val="none"/>
        </w:rPr>
        <w:t>分</w:t>
      </w:r>
      <w:r>
        <w:rPr>
          <w:rFonts w:hint="eastAsia" w:ascii="宋体" w:hAnsi="宋体" w:cs="宋体"/>
          <w:bCs/>
          <w:color w:val="000000"/>
          <w:kern w:val="0"/>
          <w:sz w:val="24"/>
          <w:szCs w:val="24"/>
          <w:highlight w:val="none"/>
          <w:lang w:bidi="ar"/>
        </w:rPr>
        <w:t>（北京时间）</w:t>
      </w:r>
    </w:p>
    <w:p w14:paraId="1A5C62B6">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2</w:t>
      </w:r>
      <w:r>
        <w:rPr>
          <w:rFonts w:hint="eastAsia" w:ascii="宋体" w:hAnsi="宋体" w:cs="宋体"/>
          <w:bCs/>
          <w:color w:val="000000"/>
          <w:kern w:val="0"/>
          <w:sz w:val="24"/>
          <w:szCs w:val="24"/>
          <w:highlight w:val="none"/>
          <w:lang w:val="en-US" w:eastAsia="zh-CN" w:bidi="ar"/>
        </w:rPr>
        <w:t>.</w:t>
      </w:r>
      <w:r>
        <w:rPr>
          <w:rFonts w:hint="eastAsia" w:ascii="宋体" w:hAnsi="宋体" w:cs="宋体"/>
          <w:bCs/>
          <w:color w:val="000000"/>
          <w:kern w:val="0"/>
          <w:sz w:val="24"/>
          <w:szCs w:val="24"/>
          <w:highlight w:val="none"/>
          <w:lang w:bidi="ar"/>
        </w:rPr>
        <w:t>地点：</w:t>
      </w:r>
      <w:r>
        <w:rPr>
          <w:rFonts w:hint="eastAsia" w:ascii="宋体" w:hAnsi="宋体" w:cs="宋体"/>
          <w:kern w:val="0"/>
          <w:sz w:val="24"/>
          <w:highlight w:val="none"/>
        </w:rPr>
        <w:t>《全国公共资源交易平台（河南省·平顶山市）》公共资源交易系统</w:t>
      </w:r>
    </w:p>
    <w:p w14:paraId="2D0567CD">
      <w:pPr>
        <w:spacing w:line="440" w:lineRule="exact"/>
        <w:ind w:right="395"/>
        <w:jc w:val="lef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六、发布公告的媒介及招标公告期限</w:t>
      </w:r>
    </w:p>
    <w:p w14:paraId="2B1F6911">
      <w:pPr>
        <w:spacing w:line="440" w:lineRule="exact"/>
        <w:ind w:firstLine="480" w:firstLineChars="200"/>
        <w:jc w:val="left"/>
        <w:rPr>
          <w:rFonts w:hint="eastAsia" w:ascii="宋体" w:hAnsi="宋体" w:cs="宋体"/>
          <w:bCs/>
          <w:color w:val="000000"/>
          <w:kern w:val="0"/>
          <w:sz w:val="24"/>
          <w:szCs w:val="24"/>
          <w:highlight w:val="none"/>
          <w:lang w:bidi="ar"/>
        </w:rPr>
      </w:pPr>
      <w:r>
        <w:rPr>
          <w:rFonts w:hint="eastAsia" w:ascii="宋体" w:hAnsi="宋体" w:cs="宋体"/>
          <w:bCs/>
          <w:color w:val="000000"/>
          <w:kern w:val="0"/>
          <w:sz w:val="24"/>
          <w:szCs w:val="24"/>
          <w:highlight w:val="none"/>
          <w:lang w:bidi="ar"/>
        </w:rPr>
        <w:t>本次招标公告在</w:t>
      </w:r>
      <w:r>
        <w:rPr>
          <w:rFonts w:hint="eastAsia" w:ascii="宋体" w:hAnsi="宋体" w:cs="宋体"/>
          <w:color w:val="000000"/>
          <w:sz w:val="24"/>
          <w:szCs w:val="24"/>
          <w:highlight w:val="none"/>
        </w:rPr>
        <w:t>《河南省政府采购网》、《中国采购与招标网》、《平顶山市政府采购网》</w:t>
      </w:r>
      <w:r>
        <w:rPr>
          <w:rFonts w:hint="eastAsia" w:ascii="宋体" w:hAnsi="宋体" w:cs="宋体"/>
          <w:color w:val="000000"/>
          <w:sz w:val="24"/>
          <w:szCs w:val="24"/>
          <w:highlight w:val="none"/>
          <w:lang w:eastAsia="zh-CN"/>
        </w:rPr>
        <w:t>、</w:t>
      </w:r>
      <w:r>
        <w:rPr>
          <w:rFonts w:hint="eastAsia" w:ascii="宋体" w:hAnsi="宋体" w:cs="宋体"/>
          <w:kern w:val="0"/>
          <w:sz w:val="24"/>
          <w:highlight w:val="none"/>
        </w:rPr>
        <w:t>《全国公共资源交易平台（河南省·平顶山市）》</w:t>
      </w:r>
      <w:r>
        <w:rPr>
          <w:rFonts w:hint="eastAsia" w:ascii="宋体" w:hAnsi="宋体" w:cs="宋体"/>
          <w:color w:val="000000"/>
          <w:sz w:val="24"/>
          <w:szCs w:val="24"/>
          <w:highlight w:val="none"/>
        </w:rPr>
        <w:t>及《</w:t>
      </w:r>
      <w:r>
        <w:rPr>
          <w:rFonts w:hint="eastAsia" w:ascii="宋体" w:hAnsi="宋体" w:cs="宋体"/>
          <w:color w:val="000000"/>
          <w:sz w:val="24"/>
          <w:szCs w:val="24"/>
          <w:highlight w:val="none"/>
          <w:lang w:eastAsia="zh-CN"/>
        </w:rPr>
        <w:t>河南质量工程职业学院</w:t>
      </w:r>
      <w:r>
        <w:rPr>
          <w:rFonts w:hint="eastAsia" w:ascii="宋体" w:hAnsi="宋体" w:cs="宋体"/>
          <w:color w:val="000000"/>
          <w:sz w:val="24"/>
          <w:szCs w:val="24"/>
          <w:highlight w:val="none"/>
        </w:rPr>
        <w:t>》</w:t>
      </w:r>
      <w:r>
        <w:rPr>
          <w:rFonts w:hint="eastAsia" w:ascii="宋体" w:hAnsi="宋体" w:cs="宋体"/>
          <w:bCs/>
          <w:color w:val="000000"/>
          <w:kern w:val="0"/>
          <w:sz w:val="24"/>
          <w:szCs w:val="24"/>
          <w:highlight w:val="none"/>
          <w:lang w:bidi="ar"/>
        </w:rPr>
        <w:t>上发布。</w:t>
      </w:r>
      <w:r>
        <w:rPr>
          <w:rFonts w:hint="eastAsia" w:ascii="宋体" w:hAnsi="宋体" w:cs="宋体"/>
          <w:bCs/>
          <w:color w:val="000000"/>
          <w:kern w:val="0"/>
          <w:sz w:val="24"/>
          <w:szCs w:val="24"/>
          <w:highlight w:val="none"/>
          <w:lang w:eastAsia="zh-CN" w:bidi="ar"/>
        </w:rPr>
        <w:t>招标</w:t>
      </w:r>
      <w:r>
        <w:rPr>
          <w:rFonts w:hint="eastAsia" w:ascii="宋体" w:hAnsi="宋体" w:cs="宋体"/>
          <w:bCs/>
          <w:color w:val="000000"/>
          <w:kern w:val="0"/>
          <w:sz w:val="24"/>
          <w:szCs w:val="24"/>
          <w:highlight w:val="none"/>
          <w:lang w:bidi="ar"/>
        </w:rPr>
        <w:t>公告期限为五个工作日。</w:t>
      </w:r>
    </w:p>
    <w:p w14:paraId="6D80C431">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七、其他补充事宜</w:t>
      </w:r>
    </w:p>
    <w:p w14:paraId="7E74A96F">
      <w:pPr>
        <w:spacing w:line="440" w:lineRule="exact"/>
        <w:ind w:firstLine="480" w:firstLineChars="200"/>
        <w:jc w:val="left"/>
        <w:rPr>
          <w:rFonts w:hint="eastAsia" w:ascii="宋体" w:hAnsi="宋体" w:cs="宋体"/>
          <w:color w:val="000000"/>
          <w:sz w:val="24"/>
          <w:szCs w:val="24"/>
          <w:highlight w:val="none"/>
        </w:rPr>
      </w:pPr>
      <w:r>
        <w:rPr>
          <w:rFonts w:hint="eastAsia" w:ascii="宋体" w:hAnsi="宋体" w:cs="宋体"/>
          <w:color w:val="000000"/>
          <w:sz w:val="24"/>
          <w:szCs w:val="24"/>
          <w:highlight w:val="none"/>
        </w:rPr>
        <w:t>1.平顶山市公共资源交易中心全面实行在线“不见面”开标，供应商远程在线解密响应文件，不再到开标现场，供应商开标前应仔细阅读招标文件中《“不见面”开标注意事项及操作流程》。</w:t>
      </w:r>
    </w:p>
    <w:p w14:paraId="7FF15E79">
      <w:pPr>
        <w:spacing w:line="440" w:lineRule="exact"/>
        <w:ind w:right="395" w:firstLine="472" w:firstLineChars="200"/>
        <w:jc w:val="left"/>
        <w:rPr>
          <w:rFonts w:hint="eastAsia" w:ascii="宋体" w:hAnsi="宋体" w:cs="宋体"/>
          <w:color w:val="000000"/>
          <w:spacing w:val="-2"/>
          <w:sz w:val="24"/>
          <w:szCs w:val="24"/>
          <w:highlight w:val="none"/>
        </w:rPr>
      </w:pPr>
      <w:r>
        <w:rPr>
          <w:rFonts w:hint="eastAsia" w:ascii="宋体" w:hAnsi="宋体" w:cs="宋体"/>
          <w:color w:val="000000"/>
          <w:spacing w:val="-2"/>
          <w:sz w:val="24"/>
          <w:szCs w:val="24"/>
          <w:highlight w:val="none"/>
        </w:rPr>
        <w:t>2.监督部门：平顶山市财政局</w:t>
      </w:r>
    </w:p>
    <w:p w14:paraId="6ED76D7D">
      <w:pPr>
        <w:spacing w:line="440" w:lineRule="exact"/>
        <w:ind w:right="395" w:firstLine="708" w:firstLineChars="300"/>
        <w:jc w:val="left"/>
        <w:rPr>
          <w:rFonts w:hint="eastAsia" w:ascii="宋体" w:hAnsi="宋体" w:cs="宋体"/>
          <w:color w:val="000000"/>
          <w:spacing w:val="-2"/>
          <w:sz w:val="24"/>
          <w:szCs w:val="24"/>
          <w:highlight w:val="none"/>
        </w:rPr>
      </w:pPr>
      <w:r>
        <w:rPr>
          <w:rFonts w:hint="eastAsia" w:ascii="宋体" w:hAnsi="宋体" w:cs="宋体"/>
          <w:color w:val="000000"/>
          <w:spacing w:val="-2"/>
          <w:sz w:val="24"/>
          <w:szCs w:val="24"/>
          <w:highlight w:val="none"/>
        </w:rPr>
        <w:t>联系方式：0375-2627595</w:t>
      </w:r>
    </w:p>
    <w:p w14:paraId="51B04D01">
      <w:pPr>
        <w:spacing w:line="440" w:lineRule="exact"/>
        <w:ind w:firstLine="480" w:firstLineChars="200"/>
        <w:jc w:val="left"/>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3.</w:t>
      </w:r>
      <w:r>
        <w:rPr>
          <w:rFonts w:hint="eastAsia" w:ascii="宋体" w:hAnsi="宋体" w:cs="宋体"/>
          <w:color w:val="000000"/>
          <w:sz w:val="24"/>
          <w:szCs w:val="24"/>
          <w:highlight w:val="none"/>
        </w:rPr>
        <w:t>各</w:t>
      </w:r>
      <w:r>
        <w:rPr>
          <w:rFonts w:hint="eastAsia" w:ascii="宋体" w:hAnsi="宋体" w:cs="宋体"/>
          <w:color w:val="000000"/>
          <w:sz w:val="24"/>
          <w:szCs w:val="24"/>
          <w:highlight w:val="none"/>
          <w:lang w:eastAsia="zh-CN"/>
        </w:rPr>
        <w:t>供应商</w:t>
      </w:r>
      <w:r>
        <w:rPr>
          <w:rFonts w:hint="eastAsia" w:ascii="宋体" w:hAnsi="宋体" w:cs="宋体"/>
          <w:color w:val="000000"/>
          <w:sz w:val="24"/>
          <w:szCs w:val="24"/>
          <w:highlight w:val="none"/>
        </w:rPr>
        <w:t>如有异议可通过平顶山市公共资源交易平台向采购人（代理机构）、行政监督部门在线提出质疑（异议）、投诉。</w:t>
      </w:r>
    </w:p>
    <w:p w14:paraId="21AA7697">
      <w:pPr>
        <w:spacing w:line="440" w:lineRule="exact"/>
        <w:ind w:firstLine="480" w:firstLineChars="200"/>
        <w:jc w:val="left"/>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该公告已同步至“平顶山市公共资源交易中心微信公众号”，可通过公众号中的服务栏目进行查阅。</w:t>
      </w:r>
    </w:p>
    <w:p w14:paraId="6FF9E33B">
      <w:pPr>
        <w:spacing w:line="440" w:lineRule="exact"/>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八、凡对本次招标提出询问，请按照以下方式联系</w:t>
      </w:r>
    </w:p>
    <w:p w14:paraId="09F04BAC">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1.采购人信息</w:t>
      </w:r>
    </w:p>
    <w:p w14:paraId="237DA4FE">
      <w:pPr>
        <w:autoSpaceDE w:val="0"/>
        <w:adjustRightInd w:val="0"/>
        <w:snapToGrid w:val="0"/>
        <w:spacing w:line="440" w:lineRule="exact"/>
        <w:ind w:firstLine="480" w:firstLineChars="200"/>
        <w:jc w:val="left"/>
        <w:rPr>
          <w:rFonts w:hint="eastAsia" w:ascii="宋体" w:hAnsi="宋体" w:eastAsia="宋体" w:cs="宋体"/>
          <w:color w:val="000000"/>
          <w:sz w:val="24"/>
          <w:szCs w:val="24"/>
          <w:highlight w:val="none"/>
          <w:shd w:val="clear" w:color="auto" w:fill="FFFFFF"/>
          <w:lang w:eastAsia="zh-CN"/>
        </w:rPr>
      </w:pPr>
      <w:r>
        <w:rPr>
          <w:rFonts w:hint="eastAsia" w:ascii="宋体" w:hAnsi="宋体" w:cs="宋体"/>
          <w:color w:val="000000"/>
          <w:sz w:val="24"/>
          <w:szCs w:val="24"/>
          <w:highlight w:val="none"/>
          <w:shd w:val="clear" w:color="auto" w:fill="FFFFFF"/>
        </w:rPr>
        <w:t>名称：</w:t>
      </w:r>
      <w:r>
        <w:rPr>
          <w:rFonts w:hint="eastAsia" w:ascii="宋体" w:hAnsi="宋体" w:cs="宋体"/>
          <w:color w:val="000000"/>
          <w:sz w:val="24"/>
          <w:szCs w:val="24"/>
          <w:highlight w:val="none"/>
          <w:shd w:val="clear" w:color="auto" w:fill="FFFFFF"/>
          <w:lang w:eastAsia="zh-CN"/>
        </w:rPr>
        <w:t>河南质量工程职业学院</w:t>
      </w:r>
    </w:p>
    <w:p w14:paraId="1476BFC6">
      <w:pPr>
        <w:autoSpaceDE w:val="0"/>
        <w:adjustRightInd w:val="0"/>
        <w:snapToGrid w:val="0"/>
        <w:spacing w:line="440" w:lineRule="exact"/>
        <w:ind w:firstLine="480" w:firstLineChars="200"/>
        <w:jc w:val="left"/>
        <w:rPr>
          <w:rFonts w:hint="eastAsia" w:ascii="宋体" w:hAnsi="宋体" w:eastAsia="宋体" w:cs="宋体"/>
          <w:color w:val="000000"/>
          <w:sz w:val="24"/>
          <w:szCs w:val="24"/>
          <w:highlight w:val="none"/>
          <w:shd w:val="clear" w:color="auto" w:fill="FFFFFF"/>
          <w:lang w:eastAsia="zh-CN"/>
        </w:rPr>
      </w:pPr>
      <w:r>
        <w:rPr>
          <w:rFonts w:hint="eastAsia" w:ascii="宋体" w:hAnsi="宋体" w:cs="宋体"/>
          <w:color w:val="000000"/>
          <w:sz w:val="24"/>
          <w:szCs w:val="24"/>
          <w:highlight w:val="none"/>
          <w:shd w:val="clear" w:color="auto" w:fill="FFFFFF"/>
        </w:rPr>
        <w:t>地址：</w:t>
      </w:r>
      <w:r>
        <w:rPr>
          <w:rFonts w:hint="eastAsia" w:ascii="宋体" w:hAnsi="宋体" w:cs="宋体"/>
          <w:color w:val="000000"/>
          <w:sz w:val="24"/>
          <w:szCs w:val="24"/>
          <w:highlight w:val="none"/>
          <w:shd w:val="clear" w:color="auto" w:fill="FFFFFF"/>
          <w:lang w:eastAsia="zh-CN"/>
        </w:rPr>
        <w:t>河南省平顶山市姚电大道中段</w:t>
      </w:r>
    </w:p>
    <w:p w14:paraId="5A83A398">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联系人：</w:t>
      </w:r>
      <w:r>
        <w:rPr>
          <w:rFonts w:hint="eastAsia" w:ascii="宋体" w:hAnsi="宋体" w:cs="宋体"/>
          <w:color w:val="000000"/>
          <w:sz w:val="24"/>
          <w:szCs w:val="24"/>
          <w:highlight w:val="none"/>
          <w:shd w:val="clear" w:color="auto" w:fill="FFFFFF"/>
          <w:lang w:eastAsia="zh-CN"/>
        </w:rPr>
        <w:t>王先生</w:t>
      </w:r>
    </w:p>
    <w:p w14:paraId="1F2D9A09">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联系方式：</w:t>
      </w:r>
      <w:r>
        <w:rPr>
          <w:rFonts w:hint="eastAsia" w:ascii="宋体" w:hAnsi="宋体" w:cs="宋体"/>
          <w:color w:val="000000"/>
          <w:sz w:val="24"/>
          <w:szCs w:val="24"/>
          <w:highlight w:val="none"/>
          <w:shd w:val="clear" w:color="auto" w:fill="FFFFFF"/>
          <w:lang w:eastAsia="zh-CN"/>
        </w:rPr>
        <w:t>0375-7668752</w:t>
      </w:r>
    </w:p>
    <w:p w14:paraId="24A09BD2">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2.采购代理机构信息（如有）</w:t>
      </w:r>
    </w:p>
    <w:p w14:paraId="028876C3">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名称：河南荣之鑫工程管理有限公司</w:t>
      </w:r>
    </w:p>
    <w:p w14:paraId="09816BD2">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地址:平顶山市和顺路公园南门嘉荷天城0326003号</w:t>
      </w:r>
    </w:p>
    <w:p w14:paraId="2B8DE1A6">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联系人：张先生</w:t>
      </w:r>
    </w:p>
    <w:p w14:paraId="527AD1C7">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联系方式：17737565013</w:t>
      </w:r>
    </w:p>
    <w:p w14:paraId="6CCEDE75">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3.项目联系方式</w:t>
      </w:r>
    </w:p>
    <w:p w14:paraId="7ABDC65F">
      <w:pPr>
        <w:autoSpaceDE w:val="0"/>
        <w:adjustRightInd w:val="0"/>
        <w:snapToGrid w:val="0"/>
        <w:spacing w:line="440" w:lineRule="exact"/>
        <w:ind w:firstLine="480" w:firstLineChars="200"/>
        <w:jc w:val="left"/>
        <w:rPr>
          <w:rFonts w:hint="eastAsia" w:ascii="宋体" w:hAnsi="宋体" w:cs="宋体"/>
          <w:color w:val="000000"/>
          <w:sz w:val="24"/>
          <w:szCs w:val="24"/>
          <w:highlight w:val="none"/>
          <w:shd w:val="clear" w:color="auto" w:fill="FFFFFF"/>
        </w:rPr>
      </w:pPr>
      <w:r>
        <w:rPr>
          <w:rFonts w:hint="eastAsia" w:ascii="宋体" w:hAnsi="宋体" w:cs="宋体"/>
          <w:color w:val="000000"/>
          <w:sz w:val="24"/>
          <w:szCs w:val="24"/>
          <w:highlight w:val="none"/>
          <w:shd w:val="clear" w:color="auto" w:fill="FFFFFF"/>
        </w:rPr>
        <w:t>项目联系人：张先生</w:t>
      </w:r>
    </w:p>
    <w:p w14:paraId="568D7369">
      <w:pPr>
        <w:spacing w:line="440" w:lineRule="exact"/>
        <w:ind w:firstLine="480" w:firstLineChars="200"/>
        <w:rPr>
          <w:rFonts w:hint="eastAsia" w:ascii="宋体" w:hAnsi="宋体" w:cs="宋体"/>
          <w:color w:val="000000"/>
          <w:kern w:val="0"/>
          <w:sz w:val="24"/>
          <w:szCs w:val="24"/>
          <w:highlight w:val="none"/>
        </w:rPr>
      </w:pPr>
      <w:r>
        <w:rPr>
          <w:rFonts w:hint="eastAsia" w:ascii="宋体" w:hAnsi="宋体" w:cs="宋体"/>
          <w:color w:val="000000"/>
          <w:sz w:val="24"/>
          <w:szCs w:val="24"/>
          <w:highlight w:val="none"/>
          <w:shd w:val="clear" w:color="auto" w:fill="FFFFFF"/>
        </w:rPr>
        <w:t>联系方式：17737565013</w:t>
      </w:r>
    </w:p>
    <w:p w14:paraId="5B32FE40"/>
    <w:p w14:paraId="5A73FDDC">
      <w:pPr>
        <w:spacing w:line="440" w:lineRule="exact"/>
        <w:jc w:val="center"/>
        <w:rPr>
          <w:rFonts w:hint="eastAsia" w:ascii="宋体" w:hAnsi="宋体" w:cs="宋体"/>
          <w:b/>
          <w:bCs/>
          <w:sz w:val="24"/>
          <w:szCs w:val="24"/>
          <w:highlight w:val="none"/>
        </w:rPr>
      </w:pPr>
      <w:r>
        <w:rPr>
          <w:rFonts w:hint="eastAsia" w:ascii="宋体" w:hAnsi="宋体"/>
          <w:b/>
          <w:bCs/>
          <w:color w:val="000000" w:themeColor="text1"/>
          <w:sz w:val="30"/>
          <w:szCs w:val="30"/>
          <w:highlight w:val="none"/>
          <w14:textFill>
            <w14:solidFill>
              <w14:schemeClr w14:val="tx1"/>
            </w14:solidFill>
          </w14:textFill>
        </w:rPr>
        <w:br w:type="page"/>
      </w:r>
      <w:r>
        <w:rPr>
          <w:rFonts w:hint="eastAsia" w:ascii="宋体" w:hAnsi="宋体" w:cs="宋体"/>
          <w:b/>
          <w:kern w:val="0"/>
          <w:sz w:val="30"/>
          <w:szCs w:val="30"/>
          <w:highlight w:val="none"/>
          <w:shd w:val="clear" w:color="auto" w:fill="FFFFFF"/>
          <w:lang w:bidi="ar"/>
        </w:rPr>
        <w:t>温馨提示：</w:t>
      </w:r>
    </w:p>
    <w:p w14:paraId="625F3BCC">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本项目为全流程电子化交易项目，请认真阅读采购文件，并注意以下事项。</w:t>
      </w:r>
    </w:p>
    <w:p w14:paraId="23A72F67">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1.供应商应按采购文件规定编制、提交电子投标文件。</w:t>
      </w:r>
    </w:p>
    <w:p w14:paraId="66A4B65E">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2.本项目供应商不用再提供纸质投标文件。</w:t>
      </w:r>
    </w:p>
    <w:p w14:paraId="209354F8">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3.电子文件下载、制作、提交期间和开标（电子投标文件的解密）环节，供应商须使用CA数字证书（证书须在有效期内）。</w:t>
      </w:r>
    </w:p>
    <w:p w14:paraId="2E635810">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4.电子投标文件的制作</w:t>
      </w:r>
    </w:p>
    <w:p w14:paraId="29AD29C3">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4.1供应商登录《全国公共资源交易平台(河南省▪平顶山市)》公共资源交易系统（</w:t>
      </w:r>
      <w:r>
        <w:rPr>
          <w:rFonts w:hint="eastAsia" w:ascii="宋体" w:hAnsi="宋体" w:cs="宋体"/>
          <w:sz w:val="24"/>
          <w:szCs w:val="24"/>
          <w:highlight w:val="none"/>
          <w:lang w:eastAsia="zh-CN"/>
        </w:rPr>
        <w:t>http://ggzy.pds.gov.cn/dbgxz/72277.jhtml</w:t>
      </w:r>
      <w:r>
        <w:rPr>
          <w:rFonts w:hint="eastAsia" w:ascii="宋体" w:hAnsi="宋体" w:cs="宋体"/>
          <w:sz w:val="24"/>
          <w:szCs w:val="24"/>
          <w:highlight w:val="none"/>
        </w:rPr>
        <w:t>）下载“平顶山投标文件制作系统”，按采购文件要求制作电子投标文件。</w:t>
      </w:r>
    </w:p>
    <w:p w14:paraId="38D7D0CA">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电子投标文件的制作，参考《全国公共资源交易平台(河南省▪平顶山市)》公共资源交易系统——组件下载——交易系统操作手册（投标人、供应商）。</w:t>
      </w:r>
    </w:p>
    <w:p w14:paraId="6F8EB4DD">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4.2供应商须将采购文件要求的资质、业绩、荣誉及相关人员证明材料等资料原件扫描件（或图片）制作到所提交的电子投标文件中。</w:t>
      </w:r>
    </w:p>
    <w:p w14:paraId="0124BF90">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4.3供应商对同一项目多个标段进行投标的，应分别下载所投标段的采购文件，按标段制作电子投标文件，并按采购文件要求在相应位置加盖供应商电子印章和法人电子印章。</w:t>
      </w:r>
    </w:p>
    <w:p w14:paraId="7A05FEB0">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一个标段对应生成一个文件夹（xxxx项目xx标段）, 其中包含2个文件和1个文件夹。后缀名为“.file”的文件用于电子投标使用，名称为“备份”的文件夹使用电子介质存储，供开标现场备用。</w:t>
      </w:r>
    </w:p>
    <w:p w14:paraId="4FC82E1F">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5.加密电子投标文件的提交</w:t>
      </w:r>
    </w:p>
    <w:p w14:paraId="4358A3FE">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5.1加密电子投标文件应在采购文件规定的投标截止时间（开标时间）之前成功提交至《全国公共资源交易平台(河南省▪平顶山市)》公共资源交易系统（</w:t>
      </w:r>
      <w:r>
        <w:rPr>
          <w:rFonts w:hint="eastAsia" w:ascii="宋体" w:hAnsi="宋体" w:eastAsia="宋体" w:cs="宋体"/>
          <w:sz w:val="24"/>
          <w:szCs w:val="24"/>
        </w:rPr>
        <w:t>http://ggzy.pds.gov.cn/cas/login?service=http%3A%2F%2Fggzy.pds.gov.cn%2Fywpt%2Fj_login%2Fcas</w:t>
      </w:r>
      <w:r>
        <w:rPr>
          <w:rFonts w:hint="eastAsia" w:ascii="宋体" w:hAnsi="宋体" w:cs="宋体"/>
          <w:sz w:val="24"/>
          <w:szCs w:val="24"/>
          <w:highlight w:val="none"/>
        </w:rPr>
        <w:t>）。</w:t>
      </w:r>
    </w:p>
    <w:p w14:paraId="145C3A6A">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供应商应充分考虑并预留技术处理和上传数据所需时间。</w:t>
      </w:r>
    </w:p>
    <w:p w14:paraId="72EB57CD">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5.2供应商对同一项目多个标段进行投标的，加密电子投标文件应按标段分别提交。</w:t>
      </w:r>
    </w:p>
    <w:p w14:paraId="2D66614A">
      <w:pPr>
        <w:widowControl/>
        <w:spacing w:before="226" w:line="357" w:lineRule="auto"/>
        <w:jc w:val="center"/>
        <w:rPr>
          <w:rFonts w:hint="eastAsia" w:ascii="宋体" w:hAnsi="宋体" w:cs="宋体"/>
          <w:sz w:val="24"/>
          <w:szCs w:val="24"/>
          <w:highlight w:val="none"/>
        </w:rPr>
      </w:pPr>
      <w:r>
        <w:rPr>
          <w:rFonts w:hint="eastAsia" w:ascii="宋体" w:hAnsi="宋体" w:cs="宋体"/>
          <w:b/>
          <w:kern w:val="0"/>
          <w:sz w:val="24"/>
          <w:szCs w:val="24"/>
          <w:highlight w:val="none"/>
          <w:shd w:val="clear" w:color="auto" w:fill="FFFFFF"/>
          <w:lang w:bidi="ar"/>
        </w:rPr>
        <w:br w:type="page"/>
      </w:r>
      <w:r>
        <w:rPr>
          <w:rFonts w:hint="eastAsia" w:ascii="宋体" w:hAnsi="宋体" w:cs="宋体"/>
          <w:b/>
          <w:kern w:val="0"/>
          <w:sz w:val="30"/>
          <w:szCs w:val="30"/>
          <w:highlight w:val="none"/>
          <w:shd w:val="clear" w:color="auto" w:fill="FFFFFF"/>
          <w:lang w:bidi="ar"/>
        </w:rPr>
        <w:t>“不见面”开标注意事项</w:t>
      </w:r>
    </w:p>
    <w:p w14:paraId="2CC5399D">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1、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53D38DA8">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2、如出现投标人的电子投标文件无法解密的情况，投标人应及时联系招标人（代理机构）进行说明。投标文件解密异常，按以下步骤进行处理：</w:t>
      </w:r>
    </w:p>
    <w:p w14:paraId="3904A324">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（1）如果是投标文件自身问题导致投标文件无法解密的，该投标文件将不予接收、解密。</w:t>
      </w:r>
    </w:p>
    <w:p w14:paraId="4CF37C28">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（2）如果是电子化交易系统问题造成投标文件无法解密的，将由技术人员进行排查处理。如短时间内问题无法解决的，将由招标人（代理机构）联系监督部门申请暂停开标，待问题解决后继续开标。</w:t>
      </w:r>
    </w:p>
    <w:p w14:paraId="6EABCDBF">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3、所有投标文件解密完成后，由招标人（代理机构）操作，对开标结果进行公示。</w:t>
      </w:r>
    </w:p>
    <w:p w14:paraId="63595FAD">
      <w:pPr>
        <w:spacing w:line="44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4、投标人应保证在开标期间电话、电脑、网络等能够正常使用，投标人因停电、电脑病毒、网络堵塞等原因，未在规定的解密时间内对投标文件进行解密的，其投标文件不予接收。</w:t>
      </w:r>
    </w:p>
    <w:p w14:paraId="67A14DC0">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s="宋体"/>
          <w:sz w:val="24"/>
          <w:szCs w:val="24"/>
          <w:highlight w:val="none"/>
        </w:rPr>
        <w:t>5、解密完成后，投标人可登录到交易系统查看自己的投标报价。如对自己的报价内容有异议的，应在报价内容显示后20分钟内联系招标人（代理机构）进行质疑，投标人未在规定时间内提出质疑的，视为认可开标结果显示内容。</w:t>
      </w:r>
    </w:p>
    <w:p w14:paraId="0548661F">
      <w:pPr>
        <w:spacing w:line="440" w:lineRule="exact"/>
        <w:ind w:firstLine="420" w:firstLineChars="200"/>
        <w:rPr>
          <w:rFonts w:hint="eastAsia" w:ascii="宋体" w:hAnsi="宋体"/>
          <w:color w:val="000000" w:themeColor="text1"/>
          <w:highlight w:val="none"/>
          <w14:textFill>
            <w14:solidFill>
              <w14:schemeClr w14:val="tx1"/>
            </w14:solidFill>
          </w14:textFill>
        </w:rPr>
      </w:pPr>
    </w:p>
    <w:p w14:paraId="097CDE84">
      <w:pPr>
        <w:spacing w:line="440" w:lineRule="exact"/>
        <w:ind w:firstLine="480" w:firstLineChars="200"/>
        <w:jc w:val="left"/>
        <w:rPr>
          <w:rFonts w:hint="eastAsia" w:ascii="宋体" w:hAnsi="宋体"/>
          <w:color w:val="000000" w:themeColor="text1"/>
          <w:kern w:val="0"/>
          <w:sz w:val="24"/>
          <w:highlight w:val="none"/>
          <w14:textFill>
            <w14:solidFill>
              <w14:schemeClr w14:val="tx1"/>
            </w14:solidFill>
          </w14:textFill>
        </w:rPr>
      </w:pPr>
    </w:p>
    <w:p w14:paraId="230FD1BB">
      <w:pPr>
        <w:rPr>
          <w:color w:val="000000" w:themeColor="text1"/>
          <w:highlight w:val="none"/>
          <w14:textFill>
            <w14:solidFill>
              <w14:schemeClr w14:val="tx1"/>
            </w14:solidFill>
          </w14:textFill>
        </w:rPr>
      </w:pPr>
    </w:p>
    <w:p w14:paraId="4A1EAD90">
      <w:pPr>
        <w:rPr>
          <w:color w:val="000000" w:themeColor="text1"/>
          <w:highlight w:val="none"/>
          <w14:textFill>
            <w14:solidFill>
              <w14:schemeClr w14:val="tx1"/>
            </w14:solidFill>
          </w14:textFill>
        </w:rPr>
      </w:pPr>
    </w:p>
    <w:p w14:paraId="3EBA94F8">
      <w:pPr>
        <w:rPr>
          <w:color w:val="000000" w:themeColor="text1"/>
          <w:highlight w:val="none"/>
          <w14:textFill>
            <w14:solidFill>
              <w14:schemeClr w14:val="tx1"/>
            </w14:solidFill>
          </w14:textFill>
        </w:rPr>
      </w:pPr>
    </w:p>
    <w:p w14:paraId="2FF2F565">
      <w:pPr>
        <w:rPr>
          <w:color w:val="000000" w:themeColor="text1"/>
          <w:highlight w:val="none"/>
          <w14:textFill>
            <w14:solidFill>
              <w14:schemeClr w14:val="tx1"/>
            </w14:solidFill>
          </w14:textFill>
        </w:rPr>
      </w:pPr>
    </w:p>
    <w:p w14:paraId="3E4F80DE">
      <w:pPr>
        <w:rPr>
          <w:color w:val="000000" w:themeColor="text1"/>
          <w:highlight w:val="none"/>
          <w14:textFill>
            <w14:solidFill>
              <w14:schemeClr w14:val="tx1"/>
            </w14:solidFill>
          </w14:textFill>
        </w:rPr>
      </w:pPr>
    </w:p>
    <w:p w14:paraId="4A6AFE54">
      <w:pPr>
        <w:rPr>
          <w:color w:val="000000" w:themeColor="text1"/>
          <w:highlight w:val="none"/>
          <w14:textFill>
            <w14:solidFill>
              <w14:schemeClr w14:val="tx1"/>
            </w14:solidFill>
          </w14:textFill>
        </w:rPr>
      </w:pPr>
    </w:p>
    <w:bookmarkEnd w:id="6"/>
    <w:p w14:paraId="27310541">
      <w:pPr>
        <w:jc w:val="center"/>
        <w:outlineLvl w:val="0"/>
        <w:rPr>
          <w:rFonts w:hint="eastAsia" w:ascii="宋体" w:hAnsi="宋体"/>
          <w:b/>
          <w:bCs/>
          <w:color w:val="000000" w:themeColor="text1"/>
          <w:kern w:val="44"/>
          <w:sz w:val="36"/>
          <w:szCs w:val="36"/>
          <w:highlight w:val="none"/>
          <w14:textFill>
            <w14:solidFill>
              <w14:schemeClr w14:val="tx1"/>
            </w14:solidFill>
          </w14:textFill>
        </w:rPr>
      </w:pPr>
      <w:bookmarkStart w:id="7" w:name="_Toc26011"/>
      <w:bookmarkStart w:id="8" w:name="_Toc294794565"/>
      <w:bookmarkStart w:id="9" w:name="_Toc318932192"/>
      <w:r>
        <w:rPr>
          <w:rFonts w:hint="eastAsia" w:ascii="宋体" w:hAnsi="宋体"/>
          <w:b/>
          <w:bCs/>
          <w:color w:val="000000" w:themeColor="text1"/>
          <w:kern w:val="44"/>
          <w:sz w:val="36"/>
          <w:szCs w:val="36"/>
          <w:highlight w:val="none"/>
          <w14:textFill>
            <w14:solidFill>
              <w14:schemeClr w14:val="tx1"/>
            </w14:solidFill>
          </w14:textFill>
        </w:rPr>
        <w:br w:type="page"/>
      </w:r>
      <w:bookmarkStart w:id="10" w:name="_Toc22436"/>
      <w:r>
        <w:rPr>
          <w:rFonts w:hint="eastAsia" w:ascii="宋体" w:hAnsi="宋体"/>
          <w:b/>
          <w:bCs/>
          <w:color w:val="000000" w:themeColor="text1"/>
          <w:kern w:val="44"/>
          <w:sz w:val="36"/>
          <w:szCs w:val="36"/>
          <w:highlight w:val="none"/>
          <w14:textFill>
            <w14:solidFill>
              <w14:schemeClr w14:val="tx1"/>
            </w14:solidFill>
          </w14:textFill>
        </w:rPr>
        <w:t xml:space="preserve">第二章  </w:t>
      </w:r>
      <w:r>
        <w:rPr>
          <w:rFonts w:hint="eastAsia" w:ascii="宋体" w:hAnsi="宋体"/>
          <w:b/>
          <w:bCs/>
          <w:color w:val="000000" w:themeColor="text1"/>
          <w:kern w:val="44"/>
          <w:sz w:val="36"/>
          <w:szCs w:val="36"/>
          <w:highlight w:val="none"/>
          <w:lang w:eastAsia="zh-CN"/>
          <w14:textFill>
            <w14:solidFill>
              <w14:schemeClr w14:val="tx1"/>
            </w14:solidFill>
          </w14:textFill>
        </w:rPr>
        <w:t>供应商</w:t>
      </w:r>
      <w:r>
        <w:rPr>
          <w:rFonts w:hint="eastAsia" w:ascii="宋体" w:hAnsi="宋体"/>
          <w:b/>
          <w:bCs/>
          <w:color w:val="000000" w:themeColor="text1"/>
          <w:kern w:val="44"/>
          <w:sz w:val="36"/>
          <w:szCs w:val="36"/>
          <w:highlight w:val="none"/>
          <w14:textFill>
            <w14:solidFill>
              <w14:schemeClr w14:val="tx1"/>
            </w14:solidFill>
          </w14:textFill>
        </w:rPr>
        <w:t>须知</w:t>
      </w:r>
      <w:bookmarkEnd w:id="10"/>
    </w:p>
    <w:bookmarkEnd w:id="7"/>
    <w:bookmarkEnd w:id="8"/>
    <w:bookmarkEnd w:id="9"/>
    <w:p w14:paraId="760FE189">
      <w:pPr>
        <w:jc w:val="center"/>
        <w:outlineLvl w:val="1"/>
        <w:rPr>
          <w:rStyle w:val="35"/>
          <w:rFonts w:hint="eastAsia" w:ascii="宋体" w:hAnsi="宋体" w:eastAsia="宋体"/>
          <w:color w:val="000000" w:themeColor="text1"/>
          <w:highlight w:val="none"/>
          <w14:textFill>
            <w14:solidFill>
              <w14:schemeClr w14:val="tx1"/>
            </w14:solidFill>
          </w14:textFill>
        </w:rPr>
      </w:pPr>
      <w:bookmarkStart w:id="11" w:name="_Toc17311"/>
      <w:bookmarkStart w:id="12" w:name="_Toc20373"/>
      <w:r>
        <w:rPr>
          <w:rStyle w:val="35"/>
          <w:rFonts w:hint="eastAsia" w:ascii="宋体" w:hAnsi="宋体" w:eastAsia="宋体"/>
          <w:color w:val="000000" w:themeColor="text1"/>
          <w:highlight w:val="none"/>
          <w14:textFill>
            <w14:solidFill>
              <w14:schemeClr w14:val="tx1"/>
            </w14:solidFill>
          </w14:textFill>
        </w:rPr>
        <w:t>一．</w:t>
      </w:r>
      <w:r>
        <w:rPr>
          <w:rStyle w:val="35"/>
          <w:rFonts w:hint="eastAsia" w:ascii="宋体" w:hAnsi="宋体"/>
          <w:color w:val="000000" w:themeColor="text1"/>
          <w:highlight w:val="none"/>
          <w14:textFill>
            <w14:solidFill>
              <w14:schemeClr w14:val="tx1"/>
            </w14:solidFill>
          </w14:textFill>
        </w:rPr>
        <w:t>供应商</w:t>
      </w:r>
      <w:r>
        <w:rPr>
          <w:rStyle w:val="35"/>
          <w:rFonts w:hint="eastAsia" w:ascii="宋体" w:hAnsi="宋体" w:eastAsia="宋体"/>
          <w:color w:val="000000" w:themeColor="text1"/>
          <w:highlight w:val="none"/>
          <w14:textFill>
            <w14:solidFill>
              <w14:schemeClr w14:val="tx1"/>
            </w14:solidFill>
          </w14:textFill>
        </w:rPr>
        <w:t>须知前附表</w:t>
      </w:r>
      <w:bookmarkEnd w:id="11"/>
      <w:bookmarkEnd w:id="12"/>
    </w:p>
    <w:tbl>
      <w:tblPr>
        <w:tblStyle w:val="18"/>
        <w:tblW w:w="924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62"/>
        <w:gridCol w:w="2155"/>
        <w:gridCol w:w="6131"/>
      </w:tblGrid>
      <w:tr w14:paraId="6F524B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962" w:type="dxa"/>
            <w:vAlign w:val="center"/>
          </w:tcPr>
          <w:p w14:paraId="342CA644">
            <w:pPr>
              <w:widowControl w:val="0"/>
              <w:autoSpaceDE w:val="0"/>
              <w:autoSpaceDN w:val="0"/>
              <w:spacing w:before="50" w:line="440" w:lineRule="exact"/>
              <w:ind w:right="35"/>
              <w:jc w:val="center"/>
              <w:rPr>
                <w:rFonts w:hint="eastAsia" w:ascii="宋体" w:hAnsi="宋体" w:cs="宋体"/>
                <w:b/>
                <w:color w:val="000000" w:themeColor="text1"/>
                <w:spacing w:val="1"/>
                <w:kern w:val="0"/>
                <w:highlight w:val="none"/>
                <w14:textFill>
                  <w14:solidFill>
                    <w14:schemeClr w14:val="tx1"/>
                  </w14:solidFill>
                </w14:textFill>
              </w:rPr>
            </w:pPr>
            <w:r>
              <w:rPr>
                <w:rFonts w:hint="eastAsia" w:ascii="宋体" w:hAnsi="宋体" w:cs="宋体"/>
                <w:b/>
                <w:color w:val="000000" w:themeColor="text1"/>
                <w:spacing w:val="1"/>
                <w:kern w:val="0"/>
                <w:highlight w:val="none"/>
                <w14:textFill>
                  <w14:solidFill>
                    <w14:schemeClr w14:val="tx1"/>
                  </w14:solidFill>
                </w14:textFill>
              </w:rPr>
              <w:t>条款号</w:t>
            </w:r>
          </w:p>
        </w:tc>
        <w:tc>
          <w:tcPr>
            <w:tcW w:w="2155" w:type="dxa"/>
            <w:vAlign w:val="center"/>
          </w:tcPr>
          <w:p w14:paraId="2F3BAC47">
            <w:pPr>
              <w:widowControl w:val="0"/>
              <w:autoSpaceDE w:val="0"/>
              <w:autoSpaceDN w:val="0"/>
              <w:spacing w:before="50" w:line="440" w:lineRule="exact"/>
              <w:ind w:right="35"/>
              <w:jc w:val="center"/>
              <w:rPr>
                <w:rFonts w:hint="eastAsia" w:ascii="宋体" w:hAnsi="宋体" w:cs="宋体"/>
                <w:b/>
                <w:color w:val="000000" w:themeColor="text1"/>
                <w:spacing w:val="1"/>
                <w:kern w:val="0"/>
                <w:highlight w:val="none"/>
                <w14:textFill>
                  <w14:solidFill>
                    <w14:schemeClr w14:val="tx1"/>
                  </w14:solidFill>
                </w14:textFill>
              </w:rPr>
            </w:pPr>
            <w:r>
              <w:rPr>
                <w:rFonts w:hint="eastAsia" w:ascii="宋体" w:hAnsi="宋体" w:cs="宋体"/>
                <w:b/>
                <w:color w:val="000000" w:themeColor="text1"/>
                <w:spacing w:val="1"/>
                <w:kern w:val="0"/>
                <w:highlight w:val="none"/>
                <w14:textFill>
                  <w14:solidFill>
                    <w14:schemeClr w14:val="tx1"/>
                  </w14:solidFill>
                </w14:textFill>
              </w:rPr>
              <w:t>条款名称</w:t>
            </w:r>
          </w:p>
        </w:tc>
        <w:tc>
          <w:tcPr>
            <w:tcW w:w="6131" w:type="dxa"/>
            <w:vAlign w:val="center"/>
          </w:tcPr>
          <w:p w14:paraId="635B497A">
            <w:pPr>
              <w:widowControl w:val="0"/>
              <w:autoSpaceDE w:val="0"/>
              <w:autoSpaceDN w:val="0"/>
              <w:spacing w:before="50" w:line="440" w:lineRule="exact"/>
              <w:ind w:right="35"/>
              <w:jc w:val="center"/>
              <w:rPr>
                <w:rFonts w:hint="eastAsia" w:ascii="宋体" w:hAnsi="宋体" w:cs="宋体"/>
                <w:b/>
                <w:color w:val="000000" w:themeColor="text1"/>
                <w:spacing w:val="1"/>
                <w:kern w:val="0"/>
                <w:highlight w:val="none"/>
                <w14:textFill>
                  <w14:solidFill>
                    <w14:schemeClr w14:val="tx1"/>
                  </w14:solidFill>
                </w14:textFill>
              </w:rPr>
            </w:pPr>
            <w:r>
              <w:rPr>
                <w:rFonts w:hint="eastAsia" w:ascii="宋体" w:hAnsi="宋体" w:cs="宋体"/>
                <w:b/>
                <w:color w:val="000000" w:themeColor="text1"/>
                <w:spacing w:val="1"/>
                <w:kern w:val="0"/>
                <w:highlight w:val="none"/>
                <w14:textFill>
                  <w14:solidFill>
                    <w14:schemeClr w14:val="tx1"/>
                  </w14:solidFill>
                </w14:textFill>
              </w:rPr>
              <w:t>编 列 内 容</w:t>
            </w:r>
          </w:p>
        </w:tc>
      </w:tr>
      <w:tr w14:paraId="53876C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2A4F551C">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w:t>
            </w:r>
          </w:p>
        </w:tc>
        <w:tc>
          <w:tcPr>
            <w:tcW w:w="2155" w:type="dxa"/>
            <w:vAlign w:val="center"/>
          </w:tcPr>
          <w:p w14:paraId="4A9FDC73">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w:t>
            </w:r>
          </w:p>
        </w:tc>
        <w:tc>
          <w:tcPr>
            <w:tcW w:w="6131" w:type="dxa"/>
            <w:vAlign w:val="center"/>
          </w:tcPr>
          <w:p w14:paraId="0CA8FC4F">
            <w:pPr>
              <w:spacing w:line="440" w:lineRule="exact"/>
              <w:jc w:val="lef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w:t>
            </w:r>
            <w:r>
              <w:rPr>
                <w:rFonts w:hint="eastAsia" w:ascii="宋体" w:hAnsi="宋体" w:cs="宋体"/>
                <w:color w:val="000000" w:themeColor="text1"/>
                <w:highlight w:val="none"/>
                <w:lang w:eastAsia="zh-CN"/>
                <w14:textFill>
                  <w14:solidFill>
                    <w14:schemeClr w14:val="tx1"/>
                  </w14:solidFill>
                </w14:textFill>
              </w:rPr>
              <w:t>河南质量工程职业学院</w:t>
            </w:r>
          </w:p>
          <w:p w14:paraId="59C0C79E">
            <w:pPr>
              <w:spacing w:line="440" w:lineRule="exact"/>
              <w:jc w:val="lef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地址：</w:t>
            </w:r>
            <w:r>
              <w:rPr>
                <w:rFonts w:hint="eastAsia" w:ascii="宋体" w:hAnsi="宋体" w:cs="宋体"/>
                <w:color w:val="000000" w:themeColor="text1"/>
                <w:highlight w:val="none"/>
                <w:lang w:eastAsia="zh-CN"/>
                <w14:textFill>
                  <w14:solidFill>
                    <w14:schemeClr w14:val="tx1"/>
                  </w14:solidFill>
                </w14:textFill>
              </w:rPr>
              <w:t>河南省平顶山市姚电大道中段</w:t>
            </w:r>
          </w:p>
          <w:p w14:paraId="573A879A">
            <w:pPr>
              <w:spacing w:line="440" w:lineRule="exact"/>
              <w:jc w:val="lef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联系人：</w:t>
            </w:r>
            <w:r>
              <w:rPr>
                <w:rFonts w:hint="eastAsia" w:ascii="宋体" w:hAnsi="宋体" w:cs="宋体"/>
                <w:color w:val="000000" w:themeColor="text1"/>
                <w:highlight w:val="none"/>
                <w:lang w:eastAsia="zh-CN"/>
                <w14:textFill>
                  <w14:solidFill>
                    <w14:schemeClr w14:val="tx1"/>
                  </w14:solidFill>
                </w14:textFill>
              </w:rPr>
              <w:t>王先生</w:t>
            </w:r>
          </w:p>
          <w:p w14:paraId="44C058FB">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联系方式：</w:t>
            </w:r>
            <w:r>
              <w:rPr>
                <w:rFonts w:hint="eastAsia" w:ascii="宋体" w:hAnsi="宋体" w:cs="宋体"/>
                <w:color w:val="000000" w:themeColor="text1"/>
                <w:highlight w:val="none"/>
                <w:lang w:eastAsia="zh-CN"/>
                <w14:textFill>
                  <w14:solidFill>
                    <w14:schemeClr w14:val="tx1"/>
                  </w14:solidFill>
                </w14:textFill>
              </w:rPr>
              <w:t>0375-7668752</w:t>
            </w:r>
          </w:p>
        </w:tc>
      </w:tr>
      <w:tr w14:paraId="4048D1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962" w:type="dxa"/>
            <w:vAlign w:val="center"/>
          </w:tcPr>
          <w:p w14:paraId="4280C3A8">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2</w:t>
            </w:r>
          </w:p>
        </w:tc>
        <w:tc>
          <w:tcPr>
            <w:tcW w:w="2155" w:type="dxa"/>
            <w:vAlign w:val="center"/>
          </w:tcPr>
          <w:p w14:paraId="493BC3A7">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代理机构</w:t>
            </w:r>
          </w:p>
        </w:tc>
        <w:tc>
          <w:tcPr>
            <w:tcW w:w="6131" w:type="dxa"/>
            <w:vAlign w:val="center"/>
          </w:tcPr>
          <w:p w14:paraId="4E5C592B">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名称：河南荣之鑫工程管理有限公司</w:t>
            </w:r>
          </w:p>
          <w:p w14:paraId="01CF6C9F">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地址:平顶山市和顺路公园南门嘉荷天城0326003号</w:t>
            </w:r>
          </w:p>
          <w:p w14:paraId="49EE48B0">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联系人：张先生</w:t>
            </w:r>
          </w:p>
          <w:p w14:paraId="69475C59">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联系方式：17737565013</w:t>
            </w:r>
          </w:p>
        </w:tc>
      </w:tr>
      <w:tr w14:paraId="10984B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5" w:hRule="exact"/>
          <w:jc w:val="center"/>
        </w:trPr>
        <w:tc>
          <w:tcPr>
            <w:tcW w:w="962" w:type="dxa"/>
            <w:vAlign w:val="center"/>
          </w:tcPr>
          <w:p w14:paraId="4340ADC4">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3</w:t>
            </w:r>
          </w:p>
        </w:tc>
        <w:tc>
          <w:tcPr>
            <w:tcW w:w="2155" w:type="dxa"/>
            <w:vAlign w:val="center"/>
          </w:tcPr>
          <w:p w14:paraId="09B0E6E5">
            <w:pPr>
              <w:spacing w:line="440" w:lineRule="exact"/>
              <w:jc w:val="center"/>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项目名称</w:t>
            </w:r>
          </w:p>
        </w:tc>
        <w:tc>
          <w:tcPr>
            <w:tcW w:w="6131" w:type="dxa"/>
            <w:vAlign w:val="center"/>
          </w:tcPr>
          <w:p w14:paraId="4E2050E5">
            <w:pPr>
              <w:spacing w:line="440" w:lineRule="exact"/>
              <w:jc w:val="left"/>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河南质量工程职业学院标准化考场升级改造项目</w:t>
            </w:r>
          </w:p>
        </w:tc>
      </w:tr>
      <w:tr w14:paraId="3FEE50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7" w:hRule="exact"/>
          <w:jc w:val="center"/>
        </w:trPr>
        <w:tc>
          <w:tcPr>
            <w:tcW w:w="962" w:type="dxa"/>
            <w:vAlign w:val="center"/>
          </w:tcPr>
          <w:p w14:paraId="2A200FC4">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w:t>
            </w:r>
          </w:p>
        </w:tc>
        <w:tc>
          <w:tcPr>
            <w:tcW w:w="2155" w:type="dxa"/>
            <w:vAlign w:val="center"/>
          </w:tcPr>
          <w:p w14:paraId="2A939617">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资金来源及落实情况</w:t>
            </w:r>
          </w:p>
        </w:tc>
        <w:tc>
          <w:tcPr>
            <w:tcW w:w="6131" w:type="dxa"/>
            <w:vAlign w:val="center"/>
          </w:tcPr>
          <w:p w14:paraId="7143706A">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财政资金，已落实。</w:t>
            </w:r>
          </w:p>
        </w:tc>
      </w:tr>
      <w:tr w14:paraId="5743E9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13" w:hRule="exact"/>
          <w:jc w:val="center"/>
        </w:trPr>
        <w:tc>
          <w:tcPr>
            <w:tcW w:w="962" w:type="dxa"/>
            <w:vAlign w:val="center"/>
          </w:tcPr>
          <w:p w14:paraId="76CDC6D3">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5</w:t>
            </w:r>
          </w:p>
        </w:tc>
        <w:tc>
          <w:tcPr>
            <w:tcW w:w="2155" w:type="dxa"/>
            <w:vAlign w:val="center"/>
          </w:tcPr>
          <w:p w14:paraId="57F18FF7">
            <w:pPr>
              <w:spacing w:line="44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采购内容</w:t>
            </w:r>
          </w:p>
        </w:tc>
        <w:tc>
          <w:tcPr>
            <w:tcW w:w="6131" w:type="dxa"/>
            <w:vAlign w:val="center"/>
          </w:tcPr>
          <w:p w14:paraId="7D471850">
            <w:pPr>
              <w:widowControl w:val="0"/>
              <w:spacing w:line="44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对河南质量工程职业学院本部校区58个考场的监控系统和网上巡查系统进行全面更新，消除监控死角，提升图像清晰度。同时，建设一套独立的，具有先进的数字音频传输技术听力广播系统，以解决信号干扰和失真问题。实现国家教育考试标准化考场的全面升级，确保考试过程的公平、公正、安全、高效。</w:t>
            </w:r>
          </w:p>
        </w:tc>
      </w:tr>
      <w:tr w14:paraId="4BD57C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exact"/>
          <w:jc w:val="center"/>
        </w:trPr>
        <w:tc>
          <w:tcPr>
            <w:tcW w:w="962" w:type="dxa"/>
            <w:vAlign w:val="center"/>
          </w:tcPr>
          <w:p w14:paraId="3CB8E385">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6</w:t>
            </w:r>
          </w:p>
        </w:tc>
        <w:tc>
          <w:tcPr>
            <w:tcW w:w="2155" w:type="dxa"/>
            <w:vAlign w:val="center"/>
          </w:tcPr>
          <w:p w14:paraId="35EE53E3">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采购方式</w:t>
            </w:r>
          </w:p>
        </w:tc>
        <w:tc>
          <w:tcPr>
            <w:tcW w:w="6131" w:type="dxa"/>
            <w:vAlign w:val="center"/>
          </w:tcPr>
          <w:p w14:paraId="4ABBC533">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公开招标</w:t>
            </w:r>
          </w:p>
        </w:tc>
      </w:tr>
      <w:tr w14:paraId="65A432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exact"/>
          <w:jc w:val="center"/>
        </w:trPr>
        <w:tc>
          <w:tcPr>
            <w:tcW w:w="962" w:type="dxa"/>
            <w:vAlign w:val="center"/>
          </w:tcPr>
          <w:p w14:paraId="4AF80E70">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7</w:t>
            </w:r>
          </w:p>
        </w:tc>
        <w:tc>
          <w:tcPr>
            <w:tcW w:w="2155" w:type="dxa"/>
            <w:vAlign w:val="center"/>
          </w:tcPr>
          <w:p w14:paraId="19154BE5">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采购项目属性</w:t>
            </w:r>
          </w:p>
        </w:tc>
        <w:tc>
          <w:tcPr>
            <w:tcW w:w="6131" w:type="dxa"/>
            <w:vAlign w:val="center"/>
          </w:tcPr>
          <w:p w14:paraId="2A168A3C">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sym w:font="Wingdings 2" w:char="0052"/>
            </w:r>
            <w:r>
              <w:rPr>
                <w:rFonts w:hint="eastAsia" w:ascii="宋体" w:hAnsi="宋体" w:cs="宋体"/>
                <w:color w:val="000000" w:themeColor="text1"/>
                <w:highlight w:val="none"/>
                <w14:textFill>
                  <w14:solidFill>
                    <w14:schemeClr w14:val="tx1"/>
                  </w14:solidFill>
                </w14:textFill>
              </w:rPr>
              <w:t>货物      □服务       □工程</w:t>
            </w:r>
          </w:p>
        </w:tc>
      </w:tr>
      <w:tr w14:paraId="0F022E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exact"/>
          <w:jc w:val="center"/>
        </w:trPr>
        <w:tc>
          <w:tcPr>
            <w:tcW w:w="962" w:type="dxa"/>
            <w:vAlign w:val="center"/>
          </w:tcPr>
          <w:p w14:paraId="1F6FB9A7">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w:t>
            </w:r>
          </w:p>
        </w:tc>
        <w:tc>
          <w:tcPr>
            <w:tcW w:w="2155" w:type="dxa"/>
            <w:vAlign w:val="center"/>
          </w:tcPr>
          <w:p w14:paraId="5C9E2AF8">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合同履行期限</w:t>
            </w:r>
          </w:p>
        </w:tc>
        <w:tc>
          <w:tcPr>
            <w:tcW w:w="6131" w:type="dxa"/>
            <w:vAlign w:val="center"/>
          </w:tcPr>
          <w:p w14:paraId="7FF2C9BD">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同交货及安装期</w:t>
            </w:r>
          </w:p>
        </w:tc>
      </w:tr>
      <w:tr w14:paraId="36FF37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3" w:hRule="exact"/>
          <w:jc w:val="center"/>
        </w:trPr>
        <w:tc>
          <w:tcPr>
            <w:tcW w:w="962" w:type="dxa"/>
            <w:vAlign w:val="center"/>
          </w:tcPr>
          <w:p w14:paraId="4042C7CB">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w:t>
            </w:r>
          </w:p>
        </w:tc>
        <w:tc>
          <w:tcPr>
            <w:tcW w:w="2155" w:type="dxa"/>
            <w:vAlign w:val="center"/>
          </w:tcPr>
          <w:p w14:paraId="765C6921">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交货及安装期</w:t>
            </w:r>
          </w:p>
        </w:tc>
        <w:tc>
          <w:tcPr>
            <w:tcW w:w="6131" w:type="dxa"/>
            <w:vAlign w:val="center"/>
          </w:tcPr>
          <w:p w14:paraId="4863559B">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合同签订之日起</w:t>
            </w:r>
            <w:r>
              <w:rPr>
                <w:rFonts w:hint="eastAsia" w:ascii="宋体" w:hAnsi="宋体" w:cs="宋体"/>
                <w:color w:val="000000" w:themeColor="text1"/>
                <w:highlight w:val="none"/>
                <w:lang w:eastAsia="zh-CN"/>
                <w14:textFill>
                  <w14:solidFill>
                    <w14:schemeClr w14:val="tx1"/>
                  </w14:solidFill>
                </w14:textFill>
              </w:rPr>
              <w:t>30日历天</w:t>
            </w:r>
            <w:r>
              <w:rPr>
                <w:rFonts w:hint="eastAsia" w:ascii="宋体" w:hAnsi="宋体" w:cs="宋体"/>
                <w:color w:val="000000" w:themeColor="text1"/>
                <w:highlight w:val="none"/>
                <w14:textFill>
                  <w14:solidFill>
                    <w14:schemeClr w14:val="tx1"/>
                  </w14:solidFill>
                </w14:textFill>
              </w:rPr>
              <w:t>内安装调试完毕、交付使用</w:t>
            </w:r>
          </w:p>
        </w:tc>
      </w:tr>
      <w:tr w14:paraId="02C81E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62" w:type="dxa"/>
            <w:vAlign w:val="center"/>
          </w:tcPr>
          <w:p w14:paraId="0F7357F6">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10</w:t>
            </w:r>
          </w:p>
        </w:tc>
        <w:tc>
          <w:tcPr>
            <w:tcW w:w="2155" w:type="dxa"/>
            <w:vAlign w:val="center"/>
          </w:tcPr>
          <w:p w14:paraId="3CE8BE93">
            <w:pPr>
              <w:spacing w:line="440" w:lineRule="exact"/>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交货地点</w:t>
            </w:r>
          </w:p>
        </w:tc>
        <w:tc>
          <w:tcPr>
            <w:tcW w:w="6131" w:type="dxa"/>
            <w:vAlign w:val="center"/>
          </w:tcPr>
          <w:p w14:paraId="26A2DA95">
            <w:pPr>
              <w:spacing w:line="440" w:lineRule="exact"/>
              <w:rPr>
                <w:rFonts w:hint="eastAsia" w:ascii="宋体" w:hAnsi="宋体" w:cs="宋体"/>
                <w:color w:val="000000" w:themeColor="text1"/>
                <w:spacing w:val="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采购人指定地点</w:t>
            </w:r>
          </w:p>
        </w:tc>
      </w:tr>
      <w:tr w14:paraId="7A8DEF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1" w:hRule="atLeast"/>
          <w:jc w:val="center"/>
        </w:trPr>
        <w:tc>
          <w:tcPr>
            <w:tcW w:w="962" w:type="dxa"/>
            <w:vAlign w:val="center"/>
          </w:tcPr>
          <w:p w14:paraId="5C6B7218">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11</w:t>
            </w:r>
          </w:p>
        </w:tc>
        <w:tc>
          <w:tcPr>
            <w:tcW w:w="2155" w:type="dxa"/>
            <w:vAlign w:val="center"/>
          </w:tcPr>
          <w:p w14:paraId="17825E86">
            <w:pPr>
              <w:spacing w:line="44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质量要求</w:t>
            </w:r>
          </w:p>
        </w:tc>
        <w:tc>
          <w:tcPr>
            <w:tcW w:w="6131" w:type="dxa"/>
            <w:vAlign w:val="center"/>
          </w:tcPr>
          <w:p w14:paraId="0362CB80">
            <w:pPr>
              <w:spacing w:line="440" w:lineRule="exact"/>
              <w:jc w:val="left"/>
              <w:rPr>
                <w:rFonts w:hint="eastAsia" w:ascii="宋体" w:hAnsi="宋体" w:cs="宋体"/>
                <w:color w:val="000000" w:themeColor="text1"/>
                <w:spacing w:val="1"/>
                <w:highlight w:val="none"/>
                <w14:textFill>
                  <w14:solidFill>
                    <w14:schemeClr w14:val="tx1"/>
                  </w14:solidFill>
                </w14:textFill>
              </w:rPr>
            </w:pPr>
            <w:r>
              <w:rPr>
                <w:rFonts w:hint="eastAsia" w:ascii="宋体" w:hAnsi="宋体" w:cs="宋体"/>
                <w:color w:val="000000" w:themeColor="text1"/>
                <w:spacing w:val="1"/>
                <w:highlight w:val="none"/>
                <w14:textFill>
                  <w14:solidFill>
                    <w14:schemeClr w14:val="tx1"/>
                  </w14:solidFill>
                </w14:textFill>
              </w:rPr>
              <w:t>合格；</w:t>
            </w:r>
          </w:p>
        </w:tc>
      </w:tr>
      <w:tr w14:paraId="202B2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541DC4DC">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12</w:t>
            </w:r>
          </w:p>
        </w:tc>
        <w:tc>
          <w:tcPr>
            <w:tcW w:w="2155" w:type="dxa"/>
            <w:vAlign w:val="center"/>
          </w:tcPr>
          <w:p w14:paraId="2B1A39B8">
            <w:pPr>
              <w:widowControl w:val="0"/>
              <w:autoSpaceDE w:val="0"/>
              <w:autoSpaceDN w:val="0"/>
              <w:snapToGrid w:val="0"/>
              <w:spacing w:before="50" w:line="440" w:lineRule="exact"/>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lang w:eastAsia="zh-CN"/>
                <w14:textFill>
                  <w14:solidFill>
                    <w14:schemeClr w14:val="tx1"/>
                  </w14:solidFill>
                </w14:textFill>
              </w:rPr>
              <w:t>供应商</w:t>
            </w:r>
            <w:r>
              <w:rPr>
                <w:rFonts w:hint="eastAsia" w:ascii="宋体" w:hAnsi="宋体" w:cs="宋体"/>
                <w:color w:val="000000" w:themeColor="text1"/>
                <w:spacing w:val="1"/>
                <w:kern w:val="0"/>
                <w:highlight w:val="none"/>
                <w14:textFill>
                  <w14:solidFill>
                    <w14:schemeClr w14:val="tx1"/>
                  </w14:solidFill>
                </w14:textFill>
              </w:rPr>
              <w:t>资格要求</w:t>
            </w:r>
          </w:p>
        </w:tc>
        <w:tc>
          <w:tcPr>
            <w:tcW w:w="6131" w:type="dxa"/>
            <w:vAlign w:val="center"/>
          </w:tcPr>
          <w:p w14:paraId="3305417C">
            <w:pPr>
              <w:widowControl w:val="0"/>
              <w:snapToGrid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合格供应商：具备招标公告“二、申请人的资格要求”规定的条件。</w:t>
            </w:r>
          </w:p>
        </w:tc>
      </w:tr>
      <w:tr w14:paraId="3E6254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3074A353">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13</w:t>
            </w:r>
          </w:p>
        </w:tc>
        <w:tc>
          <w:tcPr>
            <w:tcW w:w="2155" w:type="dxa"/>
            <w:vAlign w:val="center"/>
          </w:tcPr>
          <w:p w14:paraId="496411F7">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是否接受联合体</w:t>
            </w:r>
          </w:p>
          <w:p w14:paraId="54C04125">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w:t>
            </w:r>
          </w:p>
        </w:tc>
        <w:tc>
          <w:tcPr>
            <w:tcW w:w="6131" w:type="dxa"/>
            <w:vAlign w:val="center"/>
          </w:tcPr>
          <w:p w14:paraId="7C50BA16">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sym w:font="Wingdings 2" w:char="0052"/>
            </w:r>
            <w:r>
              <w:rPr>
                <w:rFonts w:hint="eastAsia" w:ascii="宋体" w:hAnsi="宋体" w:cs="宋体"/>
                <w:color w:val="000000" w:themeColor="text1"/>
                <w:highlight w:val="none"/>
                <w14:textFill>
                  <w14:solidFill>
                    <w14:schemeClr w14:val="tx1"/>
                  </w14:solidFill>
                </w14:textFill>
              </w:rPr>
              <w:t>不接受</w:t>
            </w:r>
          </w:p>
          <w:p w14:paraId="6A41251B">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□接受</w:t>
            </w:r>
          </w:p>
        </w:tc>
      </w:tr>
      <w:tr w14:paraId="57E574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57490164">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14</w:t>
            </w:r>
          </w:p>
        </w:tc>
        <w:tc>
          <w:tcPr>
            <w:tcW w:w="2155" w:type="dxa"/>
            <w:vAlign w:val="center"/>
          </w:tcPr>
          <w:p w14:paraId="402E5291">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踏勘现场及答疑</w:t>
            </w:r>
          </w:p>
        </w:tc>
        <w:tc>
          <w:tcPr>
            <w:tcW w:w="6131" w:type="dxa"/>
            <w:vAlign w:val="center"/>
          </w:tcPr>
          <w:p w14:paraId="56941020">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sym w:font="Wingdings 2" w:char="0052"/>
            </w:r>
            <w:r>
              <w:rPr>
                <w:rFonts w:hint="eastAsia" w:ascii="宋体" w:hAnsi="宋体" w:cs="宋体"/>
                <w:color w:val="000000" w:themeColor="text1"/>
                <w:highlight w:val="none"/>
                <w14:textFill>
                  <w14:solidFill>
                    <w14:schemeClr w14:val="tx1"/>
                  </w14:solidFill>
                </w14:textFill>
              </w:rPr>
              <w:t>不组织 可自行勘察，相关费用自理。</w:t>
            </w:r>
          </w:p>
          <w:p w14:paraId="338EBF98">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□组织</w:t>
            </w:r>
          </w:p>
        </w:tc>
      </w:tr>
      <w:tr w14:paraId="761E08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4CCF17BF">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15</w:t>
            </w:r>
          </w:p>
        </w:tc>
        <w:tc>
          <w:tcPr>
            <w:tcW w:w="2155" w:type="dxa"/>
            <w:vAlign w:val="center"/>
          </w:tcPr>
          <w:p w14:paraId="7EF5F0BA">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投标预备会</w:t>
            </w:r>
          </w:p>
        </w:tc>
        <w:tc>
          <w:tcPr>
            <w:tcW w:w="6131" w:type="dxa"/>
            <w:vAlign w:val="center"/>
          </w:tcPr>
          <w:p w14:paraId="415823FB">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sym w:font="Wingdings 2" w:char="0052"/>
            </w:r>
            <w:r>
              <w:rPr>
                <w:rFonts w:hint="eastAsia" w:ascii="宋体" w:hAnsi="宋体" w:cs="宋体"/>
                <w:color w:val="000000" w:themeColor="text1"/>
                <w:highlight w:val="none"/>
                <w14:textFill>
                  <w14:solidFill>
                    <w14:schemeClr w14:val="tx1"/>
                  </w14:solidFill>
                </w14:textFill>
              </w:rPr>
              <w:t>不召开</w:t>
            </w:r>
          </w:p>
          <w:p w14:paraId="1626F9C8">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□召开</w:t>
            </w:r>
          </w:p>
        </w:tc>
      </w:tr>
      <w:tr w14:paraId="6CE5F9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15F0E48A">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16</w:t>
            </w:r>
          </w:p>
        </w:tc>
        <w:tc>
          <w:tcPr>
            <w:tcW w:w="2155" w:type="dxa"/>
            <w:vAlign w:val="center"/>
          </w:tcPr>
          <w:p w14:paraId="06DBDC58">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技术偏离</w:t>
            </w:r>
          </w:p>
        </w:tc>
        <w:tc>
          <w:tcPr>
            <w:tcW w:w="6131" w:type="dxa"/>
            <w:vAlign w:val="center"/>
          </w:tcPr>
          <w:p w14:paraId="6DA0E1A7">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□不允许负偏差</w:t>
            </w:r>
          </w:p>
          <w:p w14:paraId="529BC99F">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sym w:font="Wingdings 2" w:char="0052"/>
            </w:r>
            <w:r>
              <w:rPr>
                <w:rFonts w:hint="eastAsia" w:ascii="宋体" w:hAnsi="宋体" w:cs="宋体"/>
                <w:color w:val="000000" w:themeColor="text1"/>
                <w:highlight w:val="none"/>
                <w14:textFill>
                  <w14:solidFill>
                    <w14:schemeClr w14:val="tx1"/>
                  </w14:solidFill>
                </w14:textFill>
              </w:rPr>
              <w:t>允许</w:t>
            </w:r>
          </w:p>
        </w:tc>
      </w:tr>
      <w:tr w14:paraId="37EB52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54928E54">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17</w:t>
            </w:r>
          </w:p>
        </w:tc>
        <w:tc>
          <w:tcPr>
            <w:tcW w:w="2155" w:type="dxa"/>
            <w:vAlign w:val="center"/>
          </w:tcPr>
          <w:p w14:paraId="52420B5F">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构成招标文件的</w:t>
            </w:r>
          </w:p>
          <w:p w14:paraId="0E7AE9D4">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其他材料</w:t>
            </w:r>
          </w:p>
        </w:tc>
        <w:tc>
          <w:tcPr>
            <w:tcW w:w="6131" w:type="dxa"/>
            <w:vAlign w:val="center"/>
          </w:tcPr>
          <w:p w14:paraId="6579100E">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与本项目有关的解答、澄清、修改与补充等。当招标文件的答疑、澄清、补充或解释等文件的内容在同一内容的表述上不一致时，以最后发出的文件为准。</w:t>
            </w:r>
          </w:p>
        </w:tc>
      </w:tr>
      <w:tr w14:paraId="619FAF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04292ABD">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18</w:t>
            </w:r>
          </w:p>
        </w:tc>
        <w:tc>
          <w:tcPr>
            <w:tcW w:w="2155" w:type="dxa"/>
            <w:vAlign w:val="center"/>
          </w:tcPr>
          <w:p w14:paraId="31F5FDBA">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要求澄清招标文件的截止时间</w:t>
            </w:r>
          </w:p>
        </w:tc>
        <w:tc>
          <w:tcPr>
            <w:tcW w:w="6131" w:type="dxa"/>
            <w:vAlign w:val="center"/>
          </w:tcPr>
          <w:p w14:paraId="07023ACF">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按招标文件规定的投标文件截止前 15 日前</w:t>
            </w:r>
          </w:p>
        </w:tc>
      </w:tr>
      <w:tr w14:paraId="3198A1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962" w:type="dxa"/>
            <w:vAlign w:val="center"/>
          </w:tcPr>
          <w:p w14:paraId="23CCEEFB">
            <w:pPr>
              <w:widowControl w:val="0"/>
              <w:autoSpaceDE w:val="0"/>
              <w:autoSpaceDN w:val="0"/>
              <w:spacing w:before="50" w:line="440" w:lineRule="exact"/>
              <w:ind w:right="-20"/>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19</w:t>
            </w:r>
          </w:p>
        </w:tc>
        <w:tc>
          <w:tcPr>
            <w:tcW w:w="2155" w:type="dxa"/>
            <w:vAlign w:val="center"/>
          </w:tcPr>
          <w:p w14:paraId="77321CEA">
            <w:pPr>
              <w:widowControl w:val="0"/>
              <w:autoSpaceDE w:val="0"/>
              <w:autoSpaceDN w:val="0"/>
              <w:snapToGrid w:val="0"/>
              <w:spacing w:before="50" w:line="440" w:lineRule="exact"/>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投标截止时间</w:t>
            </w:r>
          </w:p>
        </w:tc>
        <w:tc>
          <w:tcPr>
            <w:tcW w:w="6131" w:type="dxa"/>
            <w:vAlign w:val="center"/>
          </w:tcPr>
          <w:p w14:paraId="4559A7F1">
            <w:pPr>
              <w:widowControl w:val="0"/>
              <w:snapToGrid w:val="0"/>
              <w:spacing w:line="44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2025年</w:t>
            </w:r>
            <w:r>
              <w:rPr>
                <w:rFonts w:hint="eastAsia" w:ascii="宋体" w:hAnsi="宋体" w:cs="宋体"/>
                <w:b/>
                <w:bCs/>
                <w:color w:val="000000" w:themeColor="text1"/>
                <w:highlight w:val="none"/>
                <w:lang w:val="en-US" w:eastAsia="zh-CN"/>
                <w14:textFill>
                  <w14:solidFill>
                    <w14:schemeClr w14:val="tx1"/>
                  </w14:solidFill>
                </w14:textFill>
              </w:rPr>
              <w:t>9</w:t>
            </w:r>
            <w:r>
              <w:rPr>
                <w:rFonts w:hint="eastAsia" w:ascii="宋体" w:hAnsi="宋体" w:cs="宋体"/>
                <w:b/>
                <w:bCs/>
                <w:color w:val="000000" w:themeColor="text1"/>
                <w:highlight w:val="none"/>
                <w14:textFill>
                  <w14:solidFill>
                    <w14:schemeClr w14:val="tx1"/>
                  </w14:solidFill>
                </w14:textFill>
              </w:rPr>
              <w:t>月</w:t>
            </w:r>
            <w:r>
              <w:rPr>
                <w:rFonts w:hint="eastAsia" w:ascii="宋体" w:hAnsi="宋体" w:cs="宋体"/>
                <w:b/>
                <w:bCs/>
                <w:color w:val="000000" w:themeColor="text1"/>
                <w:highlight w:val="none"/>
                <w:lang w:val="en-US" w:eastAsia="zh-CN"/>
                <w14:textFill>
                  <w14:solidFill>
                    <w14:schemeClr w14:val="tx1"/>
                  </w14:solidFill>
                </w14:textFill>
              </w:rPr>
              <w:t>10</w:t>
            </w:r>
            <w:r>
              <w:rPr>
                <w:rFonts w:hint="eastAsia" w:ascii="宋体" w:hAnsi="宋体" w:cs="宋体"/>
                <w:b/>
                <w:bCs/>
                <w:color w:val="000000" w:themeColor="text1"/>
                <w:highlight w:val="none"/>
                <w14:textFill>
                  <w14:solidFill>
                    <w14:schemeClr w14:val="tx1"/>
                  </w14:solidFill>
                </w14:textFill>
              </w:rPr>
              <w:t>日</w:t>
            </w:r>
            <w:r>
              <w:rPr>
                <w:rFonts w:hint="eastAsia" w:ascii="宋体" w:hAnsi="宋体" w:cs="宋体"/>
                <w:b/>
                <w:bCs/>
                <w:color w:val="000000" w:themeColor="text1"/>
                <w:highlight w:val="none"/>
                <w:lang w:val="en-US" w:eastAsia="zh-CN"/>
                <w14:textFill>
                  <w14:solidFill>
                    <w14:schemeClr w14:val="tx1"/>
                  </w14:solidFill>
                </w14:textFill>
              </w:rPr>
              <w:t>9</w:t>
            </w:r>
            <w:r>
              <w:rPr>
                <w:rFonts w:hint="eastAsia" w:ascii="宋体" w:hAnsi="宋体" w:cs="宋体"/>
                <w:b/>
                <w:bCs/>
                <w:color w:val="000000" w:themeColor="text1"/>
                <w:highlight w:val="none"/>
                <w14:textFill>
                  <w14:solidFill>
                    <w14:schemeClr w14:val="tx1"/>
                  </w14:solidFill>
                </w14:textFill>
              </w:rPr>
              <w:t>时</w:t>
            </w:r>
            <w:r>
              <w:rPr>
                <w:rFonts w:hint="eastAsia" w:ascii="宋体" w:hAnsi="宋体" w:cs="宋体"/>
                <w:b/>
                <w:bCs/>
                <w:color w:val="000000" w:themeColor="text1"/>
                <w:highlight w:val="none"/>
                <w:lang w:val="en-US" w:eastAsia="zh-CN"/>
                <w14:textFill>
                  <w14:solidFill>
                    <w14:schemeClr w14:val="tx1"/>
                  </w14:solidFill>
                </w14:textFill>
              </w:rPr>
              <w:t>00</w:t>
            </w:r>
            <w:r>
              <w:rPr>
                <w:rFonts w:hint="eastAsia" w:ascii="宋体" w:hAnsi="宋体" w:cs="宋体"/>
                <w:b/>
                <w:bCs/>
                <w:color w:val="000000" w:themeColor="text1"/>
                <w:highlight w:val="none"/>
                <w14:textFill>
                  <w14:solidFill>
                    <w14:schemeClr w14:val="tx1"/>
                  </w14:solidFill>
                </w14:textFill>
              </w:rPr>
              <w:t>分(北京时间）</w:t>
            </w:r>
            <w:r>
              <w:rPr>
                <w:rFonts w:hint="eastAsia" w:ascii="宋体" w:hAnsi="宋体" w:cs="宋体"/>
                <w:color w:val="000000" w:themeColor="text1"/>
                <w:highlight w:val="none"/>
                <w14:textFill>
                  <w14:solidFill>
                    <w14:schemeClr w14:val="tx1"/>
                  </w14:solidFill>
                </w14:textFill>
              </w:rPr>
              <w:t>注：全面实行在线“不见面”开标，</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远程在线解密投标文件，不再到开标现场，</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开标前应仔细阅读《“不见面”开标注意事项及操作流程》。</w:t>
            </w:r>
          </w:p>
        </w:tc>
      </w:tr>
      <w:tr w14:paraId="206CE7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962" w:type="dxa"/>
            <w:vAlign w:val="center"/>
          </w:tcPr>
          <w:p w14:paraId="770F14C5">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20</w:t>
            </w:r>
          </w:p>
        </w:tc>
        <w:tc>
          <w:tcPr>
            <w:tcW w:w="2155" w:type="dxa"/>
            <w:vAlign w:val="center"/>
          </w:tcPr>
          <w:p w14:paraId="06870918">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投标文件电子版</w:t>
            </w:r>
          </w:p>
        </w:tc>
        <w:tc>
          <w:tcPr>
            <w:tcW w:w="6131" w:type="dxa"/>
            <w:vAlign w:val="center"/>
          </w:tcPr>
          <w:p w14:paraId="18A1DB93">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加密版投标文件1份（.file格式），并按规定进行上传。</w:t>
            </w:r>
          </w:p>
        </w:tc>
      </w:tr>
      <w:tr w14:paraId="74B125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40A0B2F6">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21</w:t>
            </w:r>
          </w:p>
        </w:tc>
        <w:tc>
          <w:tcPr>
            <w:tcW w:w="2155" w:type="dxa"/>
            <w:vAlign w:val="center"/>
          </w:tcPr>
          <w:p w14:paraId="000E1D69">
            <w:pPr>
              <w:widowControl w:val="0"/>
              <w:autoSpaceDE w:val="0"/>
              <w:autoSpaceDN w:val="0"/>
              <w:snapToGrid w:val="0"/>
              <w:spacing w:before="50" w:line="440" w:lineRule="exact"/>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投标有效期</w:t>
            </w:r>
          </w:p>
        </w:tc>
        <w:tc>
          <w:tcPr>
            <w:tcW w:w="6131" w:type="dxa"/>
            <w:vAlign w:val="center"/>
          </w:tcPr>
          <w:p w14:paraId="3F675752">
            <w:pPr>
              <w:widowControl w:val="0"/>
              <w:snapToGrid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从投标截止之日起90日历天</w:t>
            </w:r>
          </w:p>
        </w:tc>
      </w:tr>
      <w:tr w14:paraId="5F6DD4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Merge w:val="restart"/>
            <w:vAlign w:val="center"/>
          </w:tcPr>
          <w:p w14:paraId="5386B22D">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22</w:t>
            </w:r>
          </w:p>
        </w:tc>
        <w:tc>
          <w:tcPr>
            <w:tcW w:w="2155" w:type="dxa"/>
          </w:tcPr>
          <w:p w14:paraId="64AC9E10">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投标保证金</w:t>
            </w:r>
          </w:p>
        </w:tc>
        <w:tc>
          <w:tcPr>
            <w:tcW w:w="6131" w:type="dxa"/>
          </w:tcPr>
          <w:p w14:paraId="2682A6E2">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不收取</w:t>
            </w:r>
          </w:p>
        </w:tc>
      </w:tr>
      <w:tr w14:paraId="05E837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Merge w:val="continue"/>
            <w:vAlign w:val="center"/>
          </w:tcPr>
          <w:p w14:paraId="676EFBE3">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p>
        </w:tc>
        <w:tc>
          <w:tcPr>
            <w:tcW w:w="2155" w:type="dxa"/>
            <w:vAlign w:val="center"/>
          </w:tcPr>
          <w:p w14:paraId="30D38F0D">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履约保证金</w:t>
            </w:r>
          </w:p>
        </w:tc>
        <w:tc>
          <w:tcPr>
            <w:tcW w:w="6131" w:type="dxa"/>
          </w:tcPr>
          <w:p w14:paraId="59A3659F">
            <w:pPr>
              <w:spacing w:line="400" w:lineRule="exact"/>
              <w:jc w:val="both"/>
              <w:rPr>
                <w:rFonts w:hint="default"/>
                <w:color w:val="000000" w:themeColor="text1"/>
                <w:highlight w:val="none"/>
                <w:lang w:val="en-US"/>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不收取</w:t>
            </w:r>
          </w:p>
        </w:tc>
      </w:tr>
      <w:tr w14:paraId="579A6F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Merge w:val="continue"/>
            <w:vAlign w:val="center"/>
          </w:tcPr>
          <w:p w14:paraId="7AA54D48">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p>
        </w:tc>
        <w:tc>
          <w:tcPr>
            <w:tcW w:w="2155" w:type="dxa"/>
          </w:tcPr>
          <w:p w14:paraId="32774096">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质量保证金</w:t>
            </w:r>
          </w:p>
        </w:tc>
        <w:tc>
          <w:tcPr>
            <w:tcW w:w="6131" w:type="dxa"/>
          </w:tcPr>
          <w:p w14:paraId="663FC693">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不收取</w:t>
            </w:r>
          </w:p>
        </w:tc>
      </w:tr>
      <w:tr w14:paraId="127DA7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Merge w:val="continue"/>
            <w:vAlign w:val="center"/>
          </w:tcPr>
          <w:p w14:paraId="7A2AE4DE">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p>
        </w:tc>
        <w:tc>
          <w:tcPr>
            <w:tcW w:w="2155" w:type="dxa"/>
          </w:tcPr>
          <w:p w14:paraId="1C9506CE">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招标文件费用</w:t>
            </w:r>
          </w:p>
        </w:tc>
        <w:tc>
          <w:tcPr>
            <w:tcW w:w="6131" w:type="dxa"/>
          </w:tcPr>
          <w:p w14:paraId="6F6E8E97">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不收取</w:t>
            </w:r>
          </w:p>
        </w:tc>
      </w:tr>
      <w:tr w14:paraId="7131FC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Align w:val="center"/>
          </w:tcPr>
          <w:p w14:paraId="5D420B4B">
            <w:pPr>
              <w:widowControl w:val="0"/>
              <w:autoSpaceDE w:val="0"/>
              <w:autoSpaceDN w:val="0"/>
              <w:spacing w:before="50" w:line="440" w:lineRule="exact"/>
              <w:ind w:right="35"/>
              <w:jc w:val="center"/>
              <w:rPr>
                <w:rFonts w:hint="eastAsia" w:ascii="宋体" w:hAnsi="宋体" w:cs="宋体"/>
                <w:color w:val="000000" w:themeColor="text1"/>
                <w:spacing w:val="1"/>
                <w:kern w:val="0"/>
                <w:highlight w:val="none"/>
                <w14:textFill>
                  <w14:solidFill>
                    <w14:schemeClr w14:val="tx1"/>
                  </w14:solidFill>
                </w14:textFill>
              </w:rPr>
            </w:pPr>
            <w:r>
              <w:rPr>
                <w:rFonts w:hint="eastAsia" w:ascii="宋体" w:hAnsi="宋体" w:cs="宋体"/>
                <w:color w:val="000000" w:themeColor="text1"/>
                <w:spacing w:val="1"/>
                <w:kern w:val="0"/>
                <w:highlight w:val="none"/>
                <w14:textFill>
                  <w14:solidFill>
                    <w14:schemeClr w14:val="tx1"/>
                  </w14:solidFill>
                </w14:textFill>
              </w:rPr>
              <w:t>23</w:t>
            </w:r>
          </w:p>
        </w:tc>
        <w:tc>
          <w:tcPr>
            <w:tcW w:w="2155" w:type="dxa"/>
            <w:vAlign w:val="center"/>
          </w:tcPr>
          <w:p w14:paraId="36DA666D">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签字或盖章要求</w:t>
            </w:r>
          </w:p>
        </w:tc>
        <w:tc>
          <w:tcPr>
            <w:tcW w:w="6131" w:type="dxa"/>
            <w:vAlign w:val="center"/>
          </w:tcPr>
          <w:p w14:paraId="59A1B9A8">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投标文件应按招标文件要求加盖单位公章、签字、盖章。投标文件中的各类证书及企业相关证明资料复印件须加盖</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电子印章。若被授权代理人签字或盖章的，投标文件中应附法定代表人有效授权委托书。</w:t>
            </w:r>
          </w:p>
        </w:tc>
      </w:tr>
      <w:tr w14:paraId="3616A2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962" w:type="dxa"/>
            <w:vAlign w:val="center"/>
          </w:tcPr>
          <w:p w14:paraId="681DC92E">
            <w:pPr>
              <w:widowControl w:val="0"/>
              <w:autoSpaceDE w:val="0"/>
              <w:autoSpaceDN w:val="0"/>
              <w:spacing w:before="50" w:line="440" w:lineRule="exact"/>
              <w:ind w:right="35"/>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24</w:t>
            </w:r>
          </w:p>
        </w:tc>
        <w:tc>
          <w:tcPr>
            <w:tcW w:w="2155" w:type="dxa"/>
            <w:vAlign w:val="center"/>
          </w:tcPr>
          <w:p w14:paraId="6A60FA37">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递交投标文件地点</w:t>
            </w:r>
          </w:p>
        </w:tc>
        <w:tc>
          <w:tcPr>
            <w:tcW w:w="6131" w:type="dxa"/>
            <w:vAlign w:val="center"/>
          </w:tcPr>
          <w:p w14:paraId="747E7850">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平顶山市公共资源交易中心电子交易系统</w:t>
            </w:r>
          </w:p>
        </w:tc>
      </w:tr>
      <w:tr w14:paraId="50B69A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62" w:type="dxa"/>
            <w:vAlign w:val="center"/>
          </w:tcPr>
          <w:p w14:paraId="1597985D">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25</w:t>
            </w:r>
          </w:p>
        </w:tc>
        <w:tc>
          <w:tcPr>
            <w:tcW w:w="2155" w:type="dxa"/>
            <w:vAlign w:val="center"/>
          </w:tcPr>
          <w:p w14:paraId="3E67FF2B">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开标时间和地点</w:t>
            </w:r>
          </w:p>
        </w:tc>
        <w:tc>
          <w:tcPr>
            <w:tcW w:w="6131" w:type="dxa"/>
            <w:vAlign w:val="center"/>
          </w:tcPr>
          <w:p w14:paraId="56BE3B25">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开标时间：同投标截止时间；</w:t>
            </w:r>
          </w:p>
          <w:p w14:paraId="246D4815">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开标地点：平顶山市公共资源交易中心</w:t>
            </w:r>
          </w:p>
        </w:tc>
      </w:tr>
      <w:tr w14:paraId="034E5B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962" w:type="dxa"/>
            <w:vAlign w:val="center"/>
          </w:tcPr>
          <w:p w14:paraId="16CBA9E2">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26</w:t>
            </w:r>
          </w:p>
        </w:tc>
        <w:tc>
          <w:tcPr>
            <w:tcW w:w="2155" w:type="dxa"/>
            <w:vAlign w:val="center"/>
          </w:tcPr>
          <w:p w14:paraId="5B49BE96">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开标程序</w:t>
            </w:r>
          </w:p>
        </w:tc>
        <w:tc>
          <w:tcPr>
            <w:tcW w:w="6131" w:type="dxa"/>
            <w:vAlign w:val="center"/>
          </w:tcPr>
          <w:p w14:paraId="4D4AB2B3">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（1）电子化投标文件采用双重加密方式。开标时，首先由</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使用 CA 证书，在规定时间内对其电子化投标文件进行首次解密，</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解密完成后，再由中介服务机构使用 CA 证书对投标文件进行再次解密。</w:t>
            </w:r>
          </w:p>
          <w:p w14:paraId="21D44D16">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（2）待所有</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投标文件解密完成后，由中介服务机构操作，对所有已解密投标文件进行唱标。</w:t>
            </w:r>
          </w:p>
        </w:tc>
      </w:tr>
      <w:tr w14:paraId="1429FF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962" w:type="dxa"/>
            <w:vAlign w:val="center"/>
          </w:tcPr>
          <w:p w14:paraId="3308BB9B">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27</w:t>
            </w:r>
          </w:p>
        </w:tc>
        <w:tc>
          <w:tcPr>
            <w:tcW w:w="2155" w:type="dxa"/>
            <w:vAlign w:val="center"/>
          </w:tcPr>
          <w:p w14:paraId="1CFE0A88">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评标委员会的组建</w:t>
            </w:r>
          </w:p>
        </w:tc>
        <w:tc>
          <w:tcPr>
            <w:tcW w:w="6131" w:type="dxa"/>
            <w:vAlign w:val="center"/>
          </w:tcPr>
          <w:p w14:paraId="159C1A18">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评标委员会确定方式：评标委员会由采购人代表和评审专家组成，成员人数应当为5人以上单数，其中评审专家不得少于成员总人数的三分之二。</w:t>
            </w:r>
          </w:p>
          <w:p w14:paraId="459E8040">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评标专家确定方式：在专家库中随机抽取</w:t>
            </w:r>
          </w:p>
          <w:p w14:paraId="25C5347A">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注：“上述规定为一组评标专家委员会组成方式，根据项目标段数量和评标工作量，可由多组专家委员会完成评审，但一个标段只能由一组评标专家委员会评审。”</w:t>
            </w:r>
          </w:p>
        </w:tc>
      </w:tr>
      <w:tr w14:paraId="39F6C9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962" w:type="dxa"/>
            <w:vAlign w:val="center"/>
          </w:tcPr>
          <w:p w14:paraId="0677D0D7">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28</w:t>
            </w:r>
          </w:p>
        </w:tc>
        <w:tc>
          <w:tcPr>
            <w:tcW w:w="2155" w:type="dxa"/>
            <w:vAlign w:val="center"/>
          </w:tcPr>
          <w:p w14:paraId="6E6B3210">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是否授权评标委会</w:t>
            </w:r>
          </w:p>
          <w:p w14:paraId="74C21048">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确定中标人</w:t>
            </w:r>
          </w:p>
        </w:tc>
        <w:tc>
          <w:tcPr>
            <w:tcW w:w="6131" w:type="dxa"/>
            <w:vAlign w:val="center"/>
          </w:tcPr>
          <w:p w14:paraId="2255D0E5">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否，由评标委员会按</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最后得分高低推荐前1-3名为中标候选人。若排名第一的中标候选人放弃中标、因不可抗力提出不能履行合同，采购人可以确定第二中标候选人为中标人；依此类推，或重新招标。当所有中标候选人因上述原因不能签订合同的，采购人将依法重新招标。</w:t>
            </w:r>
          </w:p>
        </w:tc>
      </w:tr>
      <w:tr w14:paraId="3DB684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962" w:type="dxa"/>
            <w:vAlign w:val="center"/>
          </w:tcPr>
          <w:p w14:paraId="2B1A396A">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29</w:t>
            </w:r>
          </w:p>
        </w:tc>
        <w:tc>
          <w:tcPr>
            <w:tcW w:w="2155" w:type="dxa"/>
            <w:vAlign w:val="center"/>
          </w:tcPr>
          <w:p w14:paraId="31CDCDC8">
            <w:pPr>
              <w:widowControl w:val="0"/>
              <w:spacing w:line="44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接收质疑函的方式和联系方式</w:t>
            </w:r>
          </w:p>
        </w:tc>
        <w:tc>
          <w:tcPr>
            <w:tcW w:w="6131" w:type="dxa"/>
            <w:vAlign w:val="center"/>
          </w:tcPr>
          <w:p w14:paraId="1562171A">
            <w:pPr>
              <w:widowControl w:val="0"/>
              <w:spacing w:line="440" w:lineRule="exact"/>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质疑函应在平顶山市公共资源交易系统中接收，质疑函的格式和内容应当符合相关法律法规的要求。联系方式如下：</w:t>
            </w:r>
          </w:p>
          <w:p w14:paraId="092254DC">
            <w:pPr>
              <w:widowControl w:val="0"/>
              <w:spacing w:line="440" w:lineRule="exact"/>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联系人：张先生    联系电话：17737565013</w:t>
            </w:r>
          </w:p>
          <w:p w14:paraId="342343AD">
            <w:pPr>
              <w:widowControl w:val="0"/>
              <w:spacing w:line="440" w:lineRule="exact"/>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对供应商提出的质疑，采购人、采购代理机构应当依法及时答复和处理，不得推诿扯皮故意刁难，须进行实质性回应。</w:t>
            </w:r>
          </w:p>
        </w:tc>
      </w:tr>
      <w:tr w14:paraId="357E23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962" w:type="dxa"/>
            <w:vAlign w:val="center"/>
          </w:tcPr>
          <w:p w14:paraId="024DE103">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30</w:t>
            </w:r>
          </w:p>
        </w:tc>
        <w:tc>
          <w:tcPr>
            <w:tcW w:w="2155" w:type="dxa"/>
            <w:vAlign w:val="center"/>
          </w:tcPr>
          <w:p w14:paraId="20CA327C">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最高投标限价</w:t>
            </w:r>
          </w:p>
        </w:tc>
        <w:tc>
          <w:tcPr>
            <w:tcW w:w="6131" w:type="dxa"/>
            <w:vAlign w:val="center"/>
          </w:tcPr>
          <w:p w14:paraId="1250AE0E">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最高限价：</w:t>
            </w:r>
            <w:r>
              <w:rPr>
                <w:rFonts w:hint="eastAsia" w:ascii="宋体" w:hAnsi="宋体" w:cs="宋体"/>
                <w:color w:val="000000" w:themeColor="text1"/>
                <w:highlight w:val="none"/>
                <w:lang w:eastAsia="zh-CN"/>
                <w14:textFill>
                  <w14:solidFill>
                    <w14:schemeClr w14:val="tx1"/>
                  </w14:solidFill>
                </w14:textFill>
              </w:rPr>
              <w:t>930000.00</w:t>
            </w:r>
            <w:r>
              <w:rPr>
                <w:rFonts w:hint="eastAsia" w:ascii="宋体" w:hAnsi="宋体" w:cs="宋体"/>
                <w:color w:val="000000" w:themeColor="text1"/>
                <w:highlight w:val="none"/>
                <w14:textFill>
                  <w14:solidFill>
                    <w14:schemeClr w14:val="tx1"/>
                  </w14:solidFill>
                </w14:textFill>
              </w:rPr>
              <w:t>元</w:t>
            </w:r>
          </w:p>
          <w:p w14:paraId="50039127">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注：超出最高限价按废标处理。</w:t>
            </w:r>
          </w:p>
        </w:tc>
      </w:tr>
      <w:tr w14:paraId="4FECCD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2" w:type="dxa"/>
            <w:vAlign w:val="center"/>
          </w:tcPr>
          <w:p w14:paraId="77C0C838">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31</w:t>
            </w:r>
          </w:p>
        </w:tc>
        <w:tc>
          <w:tcPr>
            <w:tcW w:w="2155" w:type="dxa"/>
            <w:vAlign w:val="center"/>
          </w:tcPr>
          <w:p w14:paraId="669CC0E9">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招标代理服务费</w:t>
            </w:r>
          </w:p>
        </w:tc>
        <w:tc>
          <w:tcPr>
            <w:tcW w:w="6131" w:type="dxa"/>
            <w:vAlign w:val="center"/>
          </w:tcPr>
          <w:p w14:paraId="6276DCB9">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中标人在领取中标通知书前，应按照豫招协《河南省招标代理服务收费指导意见》【2023】002号文规定，本项目代理服务费</w:t>
            </w:r>
            <w:r>
              <w:rPr>
                <w:rFonts w:hint="eastAsia" w:ascii="宋体" w:hAnsi="宋体" w:cs="宋体"/>
                <w:color w:val="000000" w:themeColor="text1"/>
                <w:highlight w:val="none"/>
                <w:lang w:val="en-US" w:eastAsia="zh-CN"/>
                <w14:textFill>
                  <w14:solidFill>
                    <w14:schemeClr w14:val="tx1"/>
                  </w14:solidFill>
                </w14:textFill>
              </w:rPr>
              <w:t>15800.00元</w:t>
            </w:r>
            <w:r>
              <w:rPr>
                <w:rFonts w:hint="eastAsia" w:ascii="宋体" w:hAnsi="宋体" w:cs="宋体"/>
                <w:color w:val="000000" w:themeColor="text1"/>
                <w:highlight w:val="none"/>
                <w14:textFill>
                  <w14:solidFill>
                    <w14:schemeClr w14:val="tx1"/>
                  </w14:solidFill>
                </w14:textFill>
              </w:rPr>
              <w:t>。</w:t>
            </w:r>
          </w:p>
          <w:p w14:paraId="51AC2D00">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应在中标后向招标代理人支付招标代理服务费。此项费用由</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cs="宋体"/>
                <w:color w:val="000000" w:themeColor="text1"/>
                <w:highlight w:val="none"/>
                <w14:textFill>
                  <w14:solidFill>
                    <w14:schemeClr w14:val="tx1"/>
                  </w14:solidFill>
                </w14:textFill>
              </w:rPr>
              <w:t>综合考虑到投标报价中，不单独列项报价。</w:t>
            </w:r>
          </w:p>
        </w:tc>
      </w:tr>
      <w:tr w14:paraId="61C3D5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962" w:type="dxa"/>
            <w:vAlign w:val="center"/>
          </w:tcPr>
          <w:p w14:paraId="436BCED6">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32</w:t>
            </w:r>
          </w:p>
        </w:tc>
        <w:tc>
          <w:tcPr>
            <w:tcW w:w="2155" w:type="dxa"/>
            <w:vAlign w:val="center"/>
          </w:tcPr>
          <w:p w14:paraId="039AC5BF">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付款方式</w:t>
            </w:r>
          </w:p>
        </w:tc>
        <w:tc>
          <w:tcPr>
            <w:tcW w:w="6131" w:type="dxa"/>
            <w:vAlign w:val="center"/>
          </w:tcPr>
          <w:p w14:paraId="1F113F96">
            <w:pPr>
              <w:pStyle w:val="51"/>
              <w:widowControl w:val="0"/>
              <w:spacing w:line="440" w:lineRule="exact"/>
              <w:ind w:firstLine="0"/>
              <w:rPr>
                <w:rFonts w:hint="eastAsia" w:ascii="宋体" w:hAnsi="宋体" w:eastAsia="宋体" w:cs="宋体"/>
                <w:color w:val="000000" w:themeColor="text1"/>
                <w:sz w:val="21"/>
                <w:highlight w:val="none"/>
                <w:lang w:eastAsia="zh-CN"/>
                <w14:textFill>
                  <w14:solidFill>
                    <w14:schemeClr w14:val="tx1"/>
                  </w14:solidFill>
                </w14:textFill>
              </w:rPr>
            </w:pPr>
            <w:r>
              <w:rPr>
                <w:rFonts w:hint="eastAsia" w:ascii="宋体" w:hAnsi="宋体" w:eastAsia="宋体" w:cs="宋体"/>
                <w:color w:val="000000" w:themeColor="text1"/>
                <w:sz w:val="21"/>
                <w:highlight w:val="none"/>
                <w:lang w:eastAsia="zh-CN"/>
                <w14:textFill>
                  <w14:solidFill>
                    <w14:schemeClr w14:val="tx1"/>
                  </w14:solidFill>
                </w14:textFill>
              </w:rPr>
              <w:t>合同签订后，验收合格正常运行45天后无质量问题一次性支付100%。</w:t>
            </w:r>
          </w:p>
        </w:tc>
      </w:tr>
      <w:tr w14:paraId="6EB4F9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3" w:hRule="atLeast"/>
          <w:jc w:val="center"/>
        </w:trPr>
        <w:tc>
          <w:tcPr>
            <w:tcW w:w="962" w:type="dxa"/>
            <w:vAlign w:val="center"/>
          </w:tcPr>
          <w:p w14:paraId="56EB173E">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w:t>
            </w:r>
          </w:p>
        </w:tc>
        <w:tc>
          <w:tcPr>
            <w:tcW w:w="8286" w:type="dxa"/>
            <w:gridSpan w:val="2"/>
            <w:vAlign w:val="center"/>
          </w:tcPr>
          <w:p w14:paraId="17BECF8E">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需要补充的其他内容</w:t>
            </w:r>
          </w:p>
        </w:tc>
      </w:tr>
      <w:tr w14:paraId="30E45D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4DD6BB8A">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33.1</w:t>
            </w:r>
          </w:p>
        </w:tc>
        <w:tc>
          <w:tcPr>
            <w:tcW w:w="2155" w:type="dxa"/>
            <w:vAlign w:val="center"/>
          </w:tcPr>
          <w:p w14:paraId="655CF1E3">
            <w:pPr>
              <w:widowControl w:val="0"/>
              <w:spacing w:line="440" w:lineRule="exact"/>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政采领域优化营商环境相关政策</w:t>
            </w:r>
          </w:p>
        </w:tc>
        <w:tc>
          <w:tcPr>
            <w:tcW w:w="6131" w:type="dxa"/>
            <w:vAlign w:val="center"/>
          </w:tcPr>
          <w:p w14:paraId="755FBDFD">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一、落实四个“一日办”精神：</w:t>
            </w:r>
          </w:p>
          <w:p w14:paraId="6AD185A8">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按照《平顶山市财政局关于压减政府采购各环节时限 进一步优化政府采购营商环境的通知》（平财购〔2021〕34号）通知，落实四个“一日办”精神：</w:t>
            </w:r>
          </w:p>
          <w:p w14:paraId="2A2037DC">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（1）在评审结束后1日内确定采购结果，同时对中标单位发出中标或成交通知书，并在网上进行公告；</w:t>
            </w:r>
          </w:p>
          <w:p w14:paraId="1A3E65D9">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（2）中标或成交通知书发出后，1日内与中标或成交供应商签订合同，合同签订当日完成合同备案工作；</w:t>
            </w:r>
          </w:p>
          <w:p w14:paraId="14708B32">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（3）政府采购项目供应商履约完成后，采购人应在供应商提出验收申请1个工作日内完成验收，同时在平顶山市政府采购网发布验收结果公告；</w:t>
            </w:r>
          </w:p>
          <w:p w14:paraId="7C1037EE">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（4）验收合格具备付款条件的项目，采购人要在1个工作日内按照合同约定支付项目资金。</w:t>
            </w:r>
          </w:p>
          <w:p w14:paraId="34544578">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注：签合同需法定代表人携带本人身份证（如为授权委托人，则携带法定代表人授权委托书及本人身份证）、单位公章、合同纸质版本一式六份及合同电子版。</w:t>
            </w:r>
          </w:p>
          <w:p w14:paraId="25D25900">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二、维护企业在政府采购活动中的知情权</w:t>
            </w:r>
          </w:p>
          <w:p w14:paraId="4E2C6EC1">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p w14:paraId="109C96A3">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三、提供中小企业声明函格式</w:t>
            </w:r>
          </w:p>
          <w:p w14:paraId="0CC6CF2F">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在采购文件中，采购代理机构应按照财政部、工信部印发的《政府采购促进中小企业发展管理办法》的通知精神（财库〔2020〕46号）提供中小企业声明函格式。</w:t>
            </w:r>
          </w:p>
          <w:p w14:paraId="1A6199EC">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根据《政府采购促进中小企业发展管理办法》（财库〔2020〕46号）第四条：在政府采购活动中，供应商提供的货物、工程或者服务符合下列情形的，享受本办法规定的中小企业扶持政策：</w:t>
            </w:r>
          </w:p>
          <w:p w14:paraId="05D80E12">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（一）在货物采购项目中，货物由中小企业制造，即货物由中小企业生产且使用该中小企业商号或者注册商标；</w:t>
            </w:r>
          </w:p>
          <w:p w14:paraId="73885A29">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（二）在工程采购项目中，工程由中小企业承建，即工程施工单位为中小企业；</w:t>
            </w:r>
          </w:p>
          <w:p w14:paraId="26433568">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（三）在服务采购项目中，服务由中小企业承接，即提供服务的人员为中小企业依照《中华人民共和国劳动合同法》订立劳动合同的从业人员。</w:t>
            </w:r>
          </w:p>
          <w:p w14:paraId="482D61F1">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在货物采购项目中，供应商提供的货物既有中小企业制造货物，也有大型企业制造货物的，不享受本办法规定的中小企业扶持政策。</w:t>
            </w:r>
          </w:p>
          <w:p w14:paraId="7A0508FE">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46AAAF1B">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四、推广政府采购合同融资</w:t>
            </w:r>
          </w:p>
          <w:p w14:paraId="311A0942">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要求采购人和代理机构将“政府采购合同融资告知函”写入竞争性磋商文件，鼓励中标供应商凭借采购合同申请贷款，助力解决中小企业融资难、融资贵的问题。</w:t>
            </w:r>
          </w:p>
          <w:p w14:paraId="696812C8">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五、落实预留采购份额</w:t>
            </w:r>
          </w:p>
          <w:p w14:paraId="1CB61313">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采购人应当按照财政部、工信部印发的《政府采购促进中小企业发展管理办法》的通知精神（财库〔2020〕46号）组织评估本部门及所属单位政府采购项目，统筹制定面向中小企业预留采购份额的具体方案，对适宜由中小企业提供的采购项目和采购包，预留采购份额专门面向中小企业采购，并在政府采购预算中单独列示。采购限额标准以上，200万元以下的货物和服务采购项目、400万元以下的工程采购项目，适宜由中小企业提供的，采购单位应当专门面向中小企业采购。超过200万元的货物和服务采购项目、超过400 万元的工程采购项目中适宜由中小企业提供的，预留该部分采购项目预算总额的30%以上专门面向中小企业采购，其中预留给小微企业的比例不低于60%。确实不适宜由中小企业提供的，应当参照《政府采购促进中小企业发展管理办法》第六条在采购文件中说明理由。按照平顶山市财政局出台的《平顶山市财政局关于进一步加大政府采购支持中小企业力度的通知》（平财购〔2022〕8号）的规定：超过400万元的工程采购项目中适宜由中小企业提供的，采购人在坚持公开公正、公平竞争原则和统一质量标准的前提下，2022年下半年面向中小企业的预留份额由30%以上阶段性提高至40%以上，其中预留给小微企业的比例不低于60%。</w:t>
            </w:r>
          </w:p>
          <w:p w14:paraId="70B5695A">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六、落实价格评审优惠政策</w:t>
            </w:r>
          </w:p>
          <w:p w14:paraId="1E6D932F">
            <w:pPr>
              <w:pStyle w:val="67"/>
              <w:widowControl w:val="0"/>
              <w:spacing w:line="440" w:lineRule="exact"/>
              <w:ind w:firstLine="210"/>
              <w:jc w:val="left"/>
              <w:rPr>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对于未预留份额专门面向中小企业采购的采购项目，以及预留份额项目中的非预留部分采购包，采购人、采购代理机构应当对符合《政府采购促进中小企业发展管理办法》（财库〔2020〕46号）规定的小微企业报价给予6%—10%（工程项目为 3%—5%）的扣除，用扣除后的价格参加评审。大中型企业与小微企业组成联合体或者大中型企业向小微企业分包的（联合协议或者分包意向协议约定小微企业的合同份额应占合同总金额的30%以上），给予联合体或大中型企业2%—3%（工程项目为1%—2%）的价格扣除优惠，用扣除后的价格参加评审。按照平顶山市财政局出台的《平顶山市财政局关于进一步加大政府采购支持中小企业力度的通知》（平财购〔2022〕8号）的规定：采购人在货物和服务采购项目中， 对于经主管预算单位统筹后未预留份额专门面向中小企业的采购项目，以及预留份额项目中的非预留部分采购包，给予小微企业10%—20%的价格扣除优惠。大中型企业与小微企业组成联合体或者大中型企业向小微企业分包的（联合协议或者分包意向协议约定小微企业的合同份额应占合同总金额的30%以上），给予联合体或大中型企业4%—6%的价格扣除优惠，用扣除后的价格参加评审。鼓励采购人结合采购标的相关行业平均利润率、市场竞争状况等从高选择价格扣除比例和评审优惠幅度，支持中小企业发展。上述政策应当在评审办法中注明确定值。</w:t>
            </w:r>
          </w:p>
        </w:tc>
      </w:tr>
      <w:tr w14:paraId="76B519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6460CBAC">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33.2</w:t>
            </w:r>
          </w:p>
        </w:tc>
        <w:tc>
          <w:tcPr>
            <w:tcW w:w="2155" w:type="dxa"/>
            <w:vAlign w:val="center"/>
          </w:tcPr>
          <w:p w14:paraId="009AC39F">
            <w:pPr>
              <w:widowControl w:val="0"/>
              <w:spacing w:line="440" w:lineRule="exact"/>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落实绿色产品（节能产品、环境标志产品）优先采购政策。</w:t>
            </w:r>
          </w:p>
        </w:tc>
        <w:tc>
          <w:tcPr>
            <w:tcW w:w="6131" w:type="dxa"/>
            <w:vAlign w:val="center"/>
          </w:tcPr>
          <w:p w14:paraId="16E12074">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采购代理机构在编制采购文件制定评审规则时，采用综合评分法的项目，对技术和价格给予一定幅度的加分：一是在价格项中，可以对绿色产品给予价格总分值3%-5%幅度不等的加分；二是在技术中，可以对绿色产品给予技术总分值3%-5%幅度不等的价格。采用最低评标价法，最低成交价的采购项目，对绿色产品可以在评审时对其投标价格给予2%-5%不等的价格扣除。一个产品，既属于优先采购的节能产品，又列入环境标志产品清单中，在评审规则中可以设置重复加分，也可以只算其中一个，这个权力有采购人掌握，应在采购文件中注明。上述政策应当在评审办法中</w:t>
            </w:r>
            <w:r>
              <w:rPr>
                <w:rFonts w:hint="eastAsia" w:ascii="宋体" w:hAnsi="宋体" w:cs="宋体"/>
                <w:b/>
                <w:color w:val="000000" w:themeColor="text1"/>
                <w:highlight w:val="none"/>
                <w14:textFill>
                  <w14:solidFill>
                    <w14:schemeClr w14:val="tx1"/>
                  </w14:solidFill>
                </w14:textFill>
              </w:rPr>
              <w:t>注明确定值。</w:t>
            </w:r>
          </w:p>
        </w:tc>
      </w:tr>
      <w:tr w14:paraId="67E5AE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201E5E41">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33.3</w:t>
            </w:r>
          </w:p>
        </w:tc>
        <w:tc>
          <w:tcPr>
            <w:tcW w:w="2155" w:type="dxa"/>
            <w:vAlign w:val="center"/>
          </w:tcPr>
          <w:p w14:paraId="0B5496D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本项目所属行业</w:t>
            </w:r>
          </w:p>
        </w:tc>
        <w:tc>
          <w:tcPr>
            <w:tcW w:w="6131" w:type="dxa"/>
            <w:vAlign w:val="center"/>
          </w:tcPr>
          <w:p w14:paraId="655908A8">
            <w:pPr>
              <w:pStyle w:val="16"/>
              <w:spacing w:after="0" w:line="440" w:lineRule="exact"/>
              <w:ind w:right="105" w:rightChars="50" w:firstLine="0" w:firstLineChars="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采购标的所属行业：工业</w:t>
            </w:r>
          </w:p>
          <w:p w14:paraId="5018952A">
            <w:pPr>
              <w:pStyle w:val="16"/>
              <w:spacing w:after="0" w:line="440" w:lineRule="exact"/>
              <w:ind w:right="105" w:rightChars="50" w:firstLine="0" w:firstLineChars="0"/>
              <w:rPr>
                <w:rFonts w:hint="eastAsia" w:ascii="宋体" w:hAnsi="宋体" w:cs="宋体"/>
                <w:bCs/>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划定标准（行业属性划分参照关于印发中小企业划型标准规定的通知(工信部联企业〔2011〕300号) ）</w:t>
            </w:r>
          </w:p>
        </w:tc>
      </w:tr>
      <w:tr w14:paraId="648FFB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5D90B6C9">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33.4</w:t>
            </w:r>
          </w:p>
        </w:tc>
        <w:tc>
          <w:tcPr>
            <w:tcW w:w="2155" w:type="dxa"/>
            <w:vAlign w:val="center"/>
          </w:tcPr>
          <w:p w14:paraId="77B9F946">
            <w:pPr>
              <w:widowControl w:val="0"/>
              <w:spacing w:line="440" w:lineRule="exact"/>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合同签订方式</w:t>
            </w:r>
          </w:p>
        </w:tc>
        <w:tc>
          <w:tcPr>
            <w:tcW w:w="6131" w:type="dxa"/>
            <w:vAlign w:val="center"/>
          </w:tcPr>
          <w:p w14:paraId="3BB8A284">
            <w:pPr>
              <w:pStyle w:val="67"/>
              <w:widowControl w:val="0"/>
              <w:spacing w:line="440" w:lineRule="exact"/>
              <w:ind w:right="105" w:rightChars="50" w:firstLine="0" w:firstLineChars="0"/>
              <w:rPr>
                <w:rFonts w:hint="eastAsia" w:ascii="宋体" w:hAnsi="宋体" w:cs="宋体"/>
                <w:color w:val="000000" w:themeColor="text1"/>
                <w:highlight w:val="none"/>
                <w:lang w:val="zh-TW"/>
                <w14:textFill>
                  <w14:solidFill>
                    <w14:schemeClr w14:val="tx1"/>
                  </w14:solidFill>
                </w14:textFill>
              </w:rPr>
            </w:pPr>
            <w:r>
              <w:rPr>
                <w:rFonts w:hint="eastAsia" w:ascii="宋体" w:hAnsi="宋体" w:cs="宋体"/>
                <w:color w:val="000000" w:themeColor="text1"/>
                <w:highlight w:val="none"/>
                <w:lang w:val="zh-TW"/>
                <w14:textFill>
                  <w14:solidFill>
                    <w14:schemeClr w14:val="tx1"/>
                  </w14:solidFill>
                </w14:textFill>
              </w:rPr>
              <w:t>合同在线签订，采购人与中标人（供应商）利用平顶山公共资源交易平台“合同在线签订模块”，将电子合同推送至对方进行审核，经双方确认均无异议通过后，进行在线签章，完成合同签订并公示。</w:t>
            </w:r>
          </w:p>
        </w:tc>
      </w:tr>
      <w:tr w14:paraId="58F73D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962" w:type="dxa"/>
            <w:vAlign w:val="center"/>
          </w:tcPr>
          <w:p w14:paraId="4A419364">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33.5</w:t>
            </w:r>
          </w:p>
        </w:tc>
        <w:tc>
          <w:tcPr>
            <w:tcW w:w="2155" w:type="dxa"/>
            <w:vAlign w:val="center"/>
          </w:tcPr>
          <w:p w14:paraId="4686664D">
            <w:pPr>
              <w:pStyle w:val="28"/>
              <w:spacing w:line="440" w:lineRule="exact"/>
              <w:jc w:val="center"/>
              <w:rPr>
                <w:rFonts w:hint="eastAsia" w:hAnsi="宋体" w:cs="宋体"/>
                <w:b/>
                <w:bCs/>
                <w:color w:val="000000" w:themeColor="text1"/>
                <w:kern w:val="2"/>
                <w:sz w:val="21"/>
                <w:szCs w:val="21"/>
                <w:highlight w:val="none"/>
                <w14:textFill>
                  <w14:solidFill>
                    <w14:schemeClr w14:val="tx1"/>
                  </w14:solidFill>
                </w14:textFill>
              </w:rPr>
            </w:pPr>
            <w:r>
              <w:rPr>
                <w:rFonts w:hint="eastAsia" w:hAnsi="宋体" w:cs="宋体"/>
                <w:b/>
                <w:bCs/>
                <w:color w:val="000000" w:themeColor="text1"/>
                <w:kern w:val="2"/>
                <w:sz w:val="21"/>
                <w:szCs w:val="21"/>
                <w:highlight w:val="none"/>
                <w14:textFill>
                  <w14:solidFill>
                    <w14:schemeClr w14:val="tx1"/>
                  </w14:solidFill>
                </w14:textFill>
              </w:rPr>
              <w:t>★专家特别注意</w:t>
            </w:r>
          </w:p>
          <w:p w14:paraId="07ADCD3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“四方信用评价”须知（采购人、代理机构、本项目评审专家、本项目中标供应商）</w:t>
            </w:r>
          </w:p>
        </w:tc>
        <w:tc>
          <w:tcPr>
            <w:tcW w:w="6131" w:type="dxa"/>
            <w:vAlign w:val="center"/>
          </w:tcPr>
          <w:p w14:paraId="78D1DD9C">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《河南省政府采购网》目前已增加“四方信用评价”功能。请本项目采购人、代理机构、本项目评审专家、本项目中标供应商，按照评价时间节点按时完成评价工作。</w:t>
            </w:r>
          </w:p>
          <w:p w14:paraId="5DCF1C07">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时间节点在评审结束后的五个工作日内。如果超期未评价，系统会默认超期不让评价。注：请各方注意时间，避免因超期未评价影响自身信用！</w:t>
            </w:r>
          </w:p>
          <w:p w14:paraId="1BBA1025">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1.采购人、采购代理机构应当在评审工作结束后五个工作日内对评审专家进行评价。</w:t>
            </w:r>
          </w:p>
          <w:p w14:paraId="30D6AE35">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2.采购人、评审专家、供应商应当在评审工作结束后五个工作日内对代理机构进行评价。</w:t>
            </w:r>
          </w:p>
          <w:p w14:paraId="5E49D3B3">
            <w:pPr>
              <w:spacing w:line="440" w:lineRule="exact"/>
              <w:rPr>
                <w:rStyle w:val="162"/>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3.采购人应当在合同履约完成后对中标供应商进行评价。</w:t>
            </w:r>
          </w:p>
          <w:p w14:paraId="7D631231">
            <w:pPr>
              <w:pStyle w:val="16"/>
              <w:spacing w:after="0" w:line="440" w:lineRule="exact"/>
              <w:ind w:right="105" w:rightChars="50" w:firstLine="0" w:firstLineChars="0"/>
              <w:rPr>
                <w:rFonts w:hint="eastAsia" w:ascii="宋体" w:hAnsi="宋体" w:cs="宋体"/>
                <w:color w:val="000000" w:themeColor="text1"/>
                <w:sz w:val="21"/>
                <w:szCs w:val="21"/>
                <w:highlight w:val="none"/>
                <w14:textFill>
                  <w14:solidFill>
                    <w14:schemeClr w14:val="tx1"/>
                  </w14:solidFill>
                </w14:textFill>
              </w:rPr>
            </w:pPr>
            <w:r>
              <w:rPr>
                <w:rStyle w:val="162"/>
                <w:rFonts w:hint="eastAsia" w:ascii="宋体" w:hAnsi="宋体" w:cs="宋体"/>
                <w:color w:val="000000" w:themeColor="text1"/>
                <w:sz w:val="21"/>
                <w:szCs w:val="21"/>
                <w:highlight w:val="none"/>
                <w14:textFill>
                  <w14:solidFill>
                    <w14:schemeClr w14:val="tx1"/>
                  </w14:solidFill>
                </w14:textFill>
              </w:rPr>
              <w:t>4.中标供应商应当在合同履约完成后对采购人进行评价。</w:t>
            </w:r>
          </w:p>
        </w:tc>
      </w:tr>
      <w:tr w14:paraId="01F2FF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7EEAEF7E">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33.6</w:t>
            </w:r>
          </w:p>
        </w:tc>
        <w:tc>
          <w:tcPr>
            <w:tcW w:w="2155" w:type="dxa"/>
            <w:vAlign w:val="center"/>
          </w:tcPr>
          <w:p w14:paraId="61EA018F">
            <w:pPr>
              <w:widowControl w:val="0"/>
              <w:spacing w:line="440" w:lineRule="exact"/>
              <w:jc w:val="center"/>
              <w:rPr>
                <w:rFonts w:hint="eastAsia"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开标程序</w:t>
            </w:r>
          </w:p>
        </w:tc>
        <w:tc>
          <w:tcPr>
            <w:tcW w:w="6131" w:type="dxa"/>
            <w:vAlign w:val="center"/>
          </w:tcPr>
          <w:p w14:paraId="5EEF1D98">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13A746C5">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2、如出现投标人的电子投标文件无法解密的情况，投标人应及时联系采购人（代理机构）进行说明。投标文件解密异常，按以下步骤进行处理：</w:t>
            </w:r>
          </w:p>
          <w:p w14:paraId="7E9EC85C">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（1）如果是投标文件自身问题导致投标文件无法解密的，该投标文件将不予接收、解密。</w:t>
            </w:r>
          </w:p>
          <w:p w14:paraId="0C422AEE">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（2）如果是电子化交易系统问题造成投标文件无法解密的，将由技术人员进行排查处理。如短时间内问题无法解决的，将由采购人（代理机构）联系监督部门申请暂停开标，待问题解决后继续开标。</w:t>
            </w:r>
          </w:p>
          <w:p w14:paraId="4BB11C5D">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3、所有投标文件解密完成后，由采购人（代理机构）操作，对开标结果进行公示。</w:t>
            </w:r>
          </w:p>
          <w:p w14:paraId="32D20577">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4、投标人应保证在开标期间电话、电脑、网络等能够正常使用，投标人因停电、电脑病毒、网络堵塞等原因，未在规定的解密时间内对投标文件进行解密的，其投标文件不予接收。</w:t>
            </w:r>
          </w:p>
          <w:p w14:paraId="12C093EB">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解密完成后，投标人可登录到交易系统查看自己的投标报价。如对自己的报价内容有异议的，应在报价内容显示后20分钟内联系采购人（代理机构）进行质疑，投标人未在规定时间内提出质疑的，视为认可开标结果显示内容。</w:t>
            </w:r>
          </w:p>
        </w:tc>
      </w:tr>
      <w:tr w14:paraId="14D226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02CEB7D1">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33.7</w:t>
            </w:r>
          </w:p>
        </w:tc>
        <w:tc>
          <w:tcPr>
            <w:tcW w:w="2155" w:type="dxa"/>
            <w:vAlign w:val="center"/>
          </w:tcPr>
          <w:p w14:paraId="2510E5F3">
            <w:pPr>
              <w:widowControl w:val="0"/>
              <w:spacing w:line="440" w:lineRule="exact"/>
              <w:jc w:val="center"/>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质保期</w:t>
            </w:r>
          </w:p>
        </w:tc>
        <w:tc>
          <w:tcPr>
            <w:tcW w:w="6131" w:type="dxa"/>
            <w:vAlign w:val="center"/>
          </w:tcPr>
          <w:p w14:paraId="06057A60">
            <w:pPr>
              <w:widowControl w:val="0"/>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3年(质保期自设备安装并验收合格之日起算）</w:t>
            </w:r>
          </w:p>
        </w:tc>
      </w:tr>
      <w:tr w14:paraId="192D2D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4CBC51CE">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33.8</w:t>
            </w:r>
          </w:p>
        </w:tc>
        <w:tc>
          <w:tcPr>
            <w:tcW w:w="2155" w:type="dxa"/>
            <w:vAlign w:val="center"/>
          </w:tcPr>
          <w:p w14:paraId="73F5D036">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设备维修</w:t>
            </w:r>
          </w:p>
        </w:tc>
        <w:tc>
          <w:tcPr>
            <w:tcW w:w="6131" w:type="dxa"/>
            <w:vAlign w:val="center"/>
          </w:tcPr>
          <w:p w14:paraId="672C3E7F">
            <w:pPr>
              <w:widowControl w:val="0"/>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质保期内所有</w:t>
            </w:r>
            <w:r>
              <w:rPr>
                <w:rFonts w:hint="eastAsia" w:ascii="宋体" w:hAnsi="宋体" w:cs="宋体"/>
                <w:color w:val="000000" w:themeColor="text1"/>
                <w:highlight w:val="none"/>
                <w14:textFill>
                  <w14:solidFill>
                    <w14:schemeClr w14:val="tx1"/>
                  </w14:solidFill>
                </w14:textFill>
              </w:rPr>
              <w:t>设备维修及更换所产生的费用，由中标供应商承担</w:t>
            </w:r>
          </w:p>
        </w:tc>
      </w:tr>
      <w:tr w14:paraId="3F6B1F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21BF074A">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33.9</w:t>
            </w:r>
          </w:p>
        </w:tc>
        <w:tc>
          <w:tcPr>
            <w:tcW w:w="2155" w:type="dxa"/>
            <w:vAlign w:val="center"/>
          </w:tcPr>
          <w:p w14:paraId="5D89855E">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中标公示</w:t>
            </w:r>
          </w:p>
        </w:tc>
        <w:tc>
          <w:tcPr>
            <w:tcW w:w="6131" w:type="dxa"/>
            <w:vAlign w:val="center"/>
          </w:tcPr>
          <w:p w14:paraId="1F70DC30">
            <w:pPr>
              <w:widowControl w:val="0"/>
              <w:spacing w:line="440" w:lineRule="exact"/>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在中标通知书发出前，采购人将中标供应商的情况予以公告，公告期不少于1个工作日。</w:t>
            </w:r>
          </w:p>
        </w:tc>
      </w:tr>
      <w:tr w14:paraId="743DDA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4" w:hRule="atLeast"/>
          <w:jc w:val="center"/>
        </w:trPr>
        <w:tc>
          <w:tcPr>
            <w:tcW w:w="962" w:type="dxa"/>
            <w:vAlign w:val="center"/>
          </w:tcPr>
          <w:p w14:paraId="00462997">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33.10</w:t>
            </w:r>
          </w:p>
        </w:tc>
        <w:tc>
          <w:tcPr>
            <w:tcW w:w="2155" w:type="dxa"/>
            <w:vAlign w:val="center"/>
          </w:tcPr>
          <w:p w14:paraId="079914A4">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★供应商特别注意</w:t>
            </w:r>
          </w:p>
        </w:tc>
        <w:tc>
          <w:tcPr>
            <w:tcW w:w="6131" w:type="dxa"/>
            <w:vAlign w:val="center"/>
          </w:tcPr>
          <w:p w14:paraId="19F306C2">
            <w:pPr>
              <w:pStyle w:val="16"/>
              <w:widowControl w:val="0"/>
              <w:spacing w:after="0" w:line="440" w:lineRule="exact"/>
              <w:ind w:left="63" w:leftChars="30" w:right="105" w:rightChars="50" w:firstLine="0" w:firstLineChars="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开标前需在“河南省政府采购网”完成供应商注册，以备中标后合同公示能够提取到供应商相关信息。</w:t>
            </w:r>
          </w:p>
        </w:tc>
      </w:tr>
      <w:tr w14:paraId="0661F6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962" w:type="dxa"/>
            <w:vAlign w:val="center"/>
          </w:tcPr>
          <w:p w14:paraId="20C0FE31">
            <w:pPr>
              <w:pStyle w:val="47"/>
              <w:widowControl w:val="0"/>
              <w:spacing w:line="440" w:lineRule="exact"/>
              <w:jc w:val="center"/>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33.11</w:t>
            </w:r>
          </w:p>
        </w:tc>
        <w:tc>
          <w:tcPr>
            <w:tcW w:w="2155" w:type="dxa"/>
            <w:vAlign w:val="center"/>
          </w:tcPr>
          <w:p w14:paraId="3C909B33">
            <w:pPr>
              <w:widowControl w:val="0"/>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解释权</w:t>
            </w:r>
          </w:p>
        </w:tc>
        <w:tc>
          <w:tcPr>
            <w:tcW w:w="6131" w:type="dxa"/>
            <w:vAlign w:val="center"/>
          </w:tcPr>
          <w:p w14:paraId="6ABA48A6">
            <w:pPr>
              <w:widowControl w:val="0"/>
              <w:spacing w:line="440" w:lineRule="exact"/>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本招标文件解释权归采购人。</w:t>
            </w:r>
          </w:p>
        </w:tc>
      </w:tr>
    </w:tbl>
    <w:p w14:paraId="1ACB3CF5">
      <w:pPr>
        <w:jc w:val="center"/>
        <w:outlineLvl w:val="1"/>
        <w:rPr>
          <w:rStyle w:val="35"/>
          <w:rFonts w:hint="eastAsia" w:ascii="宋体" w:hAnsi="宋体" w:eastAsia="宋体"/>
          <w:color w:val="000000" w:themeColor="text1"/>
          <w:highlight w:val="none"/>
          <w14:textFill>
            <w14:solidFill>
              <w14:schemeClr w14:val="tx1"/>
            </w14:solidFill>
          </w14:textFill>
        </w:rPr>
      </w:pPr>
      <w:bookmarkStart w:id="13" w:name="_Toc318932193"/>
      <w:bookmarkEnd w:id="13"/>
      <w:bookmarkStart w:id="14" w:name="_Toc5927"/>
      <w:bookmarkEnd w:id="14"/>
      <w:bookmarkStart w:id="15" w:name="_Toc6784"/>
      <w:bookmarkStart w:id="16" w:name="_Toc25986"/>
      <w:r>
        <w:rPr>
          <w:rStyle w:val="35"/>
          <w:rFonts w:hint="eastAsia" w:ascii="宋体" w:hAnsi="宋体" w:eastAsia="宋体"/>
          <w:color w:val="000000" w:themeColor="text1"/>
          <w:highlight w:val="none"/>
          <w14:textFill>
            <w14:solidFill>
              <w14:schemeClr w14:val="tx1"/>
            </w14:solidFill>
          </w14:textFill>
        </w:rPr>
        <w:t>二．</w:t>
      </w:r>
      <w:r>
        <w:rPr>
          <w:rStyle w:val="35"/>
          <w:rFonts w:hint="eastAsia" w:ascii="宋体" w:hAnsi="宋体"/>
          <w:color w:val="000000" w:themeColor="text1"/>
          <w:highlight w:val="none"/>
          <w14:textFill>
            <w14:solidFill>
              <w14:schemeClr w14:val="tx1"/>
            </w14:solidFill>
          </w14:textFill>
        </w:rPr>
        <w:t>供应商</w:t>
      </w:r>
      <w:r>
        <w:rPr>
          <w:rStyle w:val="35"/>
          <w:rFonts w:hint="eastAsia" w:ascii="宋体" w:hAnsi="宋体" w:eastAsia="宋体"/>
          <w:color w:val="000000" w:themeColor="text1"/>
          <w:highlight w:val="none"/>
          <w14:textFill>
            <w14:solidFill>
              <w14:schemeClr w14:val="tx1"/>
            </w14:solidFill>
          </w14:textFill>
        </w:rPr>
        <w:t>须知</w:t>
      </w:r>
      <w:bookmarkEnd w:id="15"/>
      <w:bookmarkEnd w:id="16"/>
    </w:p>
    <w:p w14:paraId="2F7E69F3">
      <w:pPr>
        <w:spacing w:before="156" w:after="156" w:line="42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（一）总  则</w:t>
      </w:r>
    </w:p>
    <w:p w14:paraId="369E4540">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1.项目说明</w:t>
      </w:r>
    </w:p>
    <w:p w14:paraId="694D703B">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w:t>
      </w:r>
      <w:r>
        <w:rPr>
          <w:rFonts w:hint="eastAsia" w:ascii="宋体" w:hAnsi="宋体"/>
          <w:color w:val="000000" w:themeColor="text1"/>
          <w:kern w:val="0"/>
          <w:sz w:val="24"/>
          <w:highlight w:val="none"/>
          <w14:textFill>
            <w14:solidFill>
              <w14:schemeClr w14:val="tx1"/>
            </w14:solidFill>
          </w14:textFill>
        </w:rPr>
        <w:t>根据《中华人民共和国政府采购法》及《政府采购货物和服务招标投标管理办法》等有关法律、法规和规章的规定，本招标项目已具备招标条件，现通过招标方式选定供货商。</w:t>
      </w:r>
    </w:p>
    <w:p w14:paraId="731EA5B5">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1.2 本项目采购人：见</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须知前附表。</w:t>
      </w:r>
    </w:p>
    <w:p w14:paraId="33C5A2E2">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1.3 本项目采购代理机构：见</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须知前附表。</w:t>
      </w:r>
    </w:p>
    <w:p w14:paraId="17335092">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1.4 本项目名称：见</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须知前附表。</w:t>
      </w:r>
    </w:p>
    <w:p w14:paraId="6142725F">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1.5 本项目采购内容：见</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须知前附表。</w:t>
      </w:r>
    </w:p>
    <w:p w14:paraId="61FEA543">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1.6 本项目</w:t>
      </w:r>
      <w:r>
        <w:rPr>
          <w:rFonts w:hint="eastAsia" w:ascii="宋体" w:hAnsi="宋体"/>
          <w:color w:val="000000" w:themeColor="text1"/>
          <w:sz w:val="24"/>
          <w:highlight w:val="none"/>
          <w14:textFill>
            <w14:solidFill>
              <w14:schemeClr w14:val="tx1"/>
            </w14:solidFill>
          </w14:textFill>
        </w:rPr>
        <w:t>交货及安装周期、</w:t>
      </w:r>
      <w:r>
        <w:rPr>
          <w:rFonts w:hint="eastAsia" w:ascii="宋体" w:hAnsi="宋体"/>
          <w:color w:val="000000" w:themeColor="text1"/>
          <w:kern w:val="0"/>
          <w:sz w:val="24"/>
          <w:szCs w:val="24"/>
          <w:highlight w:val="none"/>
          <w14:textFill>
            <w14:solidFill>
              <w14:schemeClr w14:val="tx1"/>
            </w14:solidFill>
          </w14:textFill>
        </w:rPr>
        <w:t>交货地点：见</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须知前附表。</w:t>
      </w:r>
    </w:p>
    <w:p w14:paraId="3DF9F74A">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2.有关定义</w:t>
      </w:r>
    </w:p>
    <w:p w14:paraId="71C9AFFF">
      <w:pPr>
        <w:tabs>
          <w:tab w:val="left" w:pos="540"/>
        </w:tabs>
        <w:spacing w:line="440" w:lineRule="exact"/>
        <w:ind w:firstLine="493"/>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2.1 采购人：采购人系指依法进行政府采购的国家机关、事业单位、团体组织。本次招标的采购人是</w:t>
      </w:r>
      <w:r>
        <w:rPr>
          <w:rFonts w:hint="eastAsia" w:ascii="宋体" w:hAnsi="宋体"/>
          <w:color w:val="000000" w:themeColor="text1"/>
          <w:kern w:val="0"/>
          <w:sz w:val="24"/>
          <w:szCs w:val="24"/>
          <w:highlight w:val="none"/>
          <w:lang w:eastAsia="zh-CN"/>
          <w14:textFill>
            <w14:solidFill>
              <w14:schemeClr w14:val="tx1"/>
            </w14:solidFill>
          </w14:textFill>
        </w:rPr>
        <w:t>河南质量工程职业学院</w:t>
      </w:r>
      <w:r>
        <w:rPr>
          <w:rFonts w:hint="eastAsia" w:ascii="宋体" w:hAnsi="宋体"/>
          <w:color w:val="000000" w:themeColor="text1"/>
          <w:kern w:val="0"/>
          <w:sz w:val="24"/>
          <w:szCs w:val="24"/>
          <w:highlight w:val="none"/>
          <w14:textFill>
            <w14:solidFill>
              <w14:schemeClr w14:val="tx1"/>
            </w14:solidFill>
          </w14:textFill>
        </w:rPr>
        <w:t>。</w:t>
      </w:r>
    </w:p>
    <w:p w14:paraId="3F9112B6">
      <w:pPr>
        <w:tabs>
          <w:tab w:val="left" w:pos="540"/>
        </w:tabs>
        <w:spacing w:line="440" w:lineRule="exact"/>
        <w:ind w:firstLine="493"/>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2.2 采购代理机构：采购代理机构系指根据采购人的委托依法办理招标事宜的中介机构。本次招标的采购代理机构是指受采购人委托组织招标的河南荣之鑫工程管理有限公司。</w:t>
      </w:r>
    </w:p>
    <w:p w14:paraId="0D307B31">
      <w:pPr>
        <w:shd w:val="clear" w:color="auto" w:fill="FFFFFF"/>
        <w:tabs>
          <w:tab w:val="left" w:pos="7665"/>
        </w:tabs>
        <w:snapToGrid w:val="0"/>
        <w:spacing w:line="440" w:lineRule="exact"/>
        <w:ind w:firstLine="480" w:firstLineChars="200"/>
        <w:rPr>
          <w:rFonts w:hint="eastAsia" w:ascii="宋体" w:hAnsi="宋体" w:eastAsia="宋体"/>
          <w:color w:val="000000" w:themeColor="text1"/>
          <w:kern w:val="0"/>
          <w:sz w:val="24"/>
          <w:szCs w:val="24"/>
          <w:highlight w:val="none"/>
          <w:lang w:eastAsia="zh-CN"/>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2.3合格的</w:t>
      </w:r>
      <w:r>
        <w:rPr>
          <w:rFonts w:hint="eastAsia" w:ascii="宋体" w:hAnsi="宋体"/>
          <w:color w:val="000000" w:themeColor="text1"/>
          <w:kern w:val="0"/>
          <w:sz w:val="24"/>
          <w:szCs w:val="24"/>
          <w:highlight w:val="none"/>
          <w:lang w:eastAsia="zh-CN"/>
          <w14:textFill>
            <w14:solidFill>
              <w14:schemeClr w14:val="tx1"/>
            </w14:solidFill>
          </w14:textFill>
        </w:rPr>
        <w:t>供应商</w:t>
      </w:r>
    </w:p>
    <w:p w14:paraId="19B9A235">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2.3.1具备</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资质要求的条件，见</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须知前附表；</w:t>
      </w:r>
    </w:p>
    <w:p w14:paraId="485D8BA1">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2.3.2购买了</w:t>
      </w:r>
      <w:r>
        <w:rPr>
          <w:rFonts w:hint="eastAsia" w:ascii="宋体" w:hAnsi="宋体"/>
          <w:color w:val="000000" w:themeColor="text1"/>
          <w:sz w:val="24"/>
          <w:szCs w:val="24"/>
          <w:highlight w:val="none"/>
          <w14:textFill>
            <w14:solidFill>
              <w14:schemeClr w14:val="tx1"/>
            </w14:solidFill>
          </w14:textFill>
        </w:rPr>
        <w:t>招标文件拟参加投标和向采购人提供货物及相应服务的</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w:t>
      </w:r>
    </w:p>
    <w:p w14:paraId="0351D55A">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2.3.3遵守国家有关的法律、法规和条例。</w:t>
      </w:r>
    </w:p>
    <w:p w14:paraId="23EA80BA">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bookmarkStart w:id="17" w:name="_Toc144974503"/>
      <w:bookmarkEnd w:id="17"/>
      <w:bookmarkStart w:id="18" w:name="_Toc152042311"/>
      <w:bookmarkEnd w:id="18"/>
      <w:bookmarkStart w:id="19" w:name="_Toc179632552"/>
      <w:bookmarkEnd w:id="19"/>
      <w:bookmarkStart w:id="20" w:name="_Toc292893102"/>
      <w:bookmarkEnd w:id="20"/>
      <w:bookmarkStart w:id="21" w:name="_Toc152045535"/>
      <w:bookmarkEnd w:id="21"/>
      <w:r>
        <w:rPr>
          <w:rFonts w:hint="eastAsia" w:ascii="宋体" w:hAnsi="宋体"/>
          <w:b/>
          <w:bCs/>
          <w:color w:val="000000" w:themeColor="text1"/>
          <w:kern w:val="0"/>
          <w:sz w:val="24"/>
          <w:szCs w:val="24"/>
          <w:highlight w:val="none"/>
          <w14:textFill>
            <w14:solidFill>
              <w14:schemeClr w14:val="tx1"/>
            </w14:solidFill>
          </w14:textFill>
        </w:rPr>
        <w:t>3.费用承担</w:t>
      </w:r>
    </w:p>
    <w:p w14:paraId="3D44972E">
      <w:pPr>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应承担其编制招标文件与递交投标文件所涉及的一切费用。不管结果如何，</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应自行承担投标的全部费用。</w:t>
      </w:r>
    </w:p>
    <w:p w14:paraId="717ADF73">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bookmarkStart w:id="22" w:name="_Toc179632554"/>
      <w:bookmarkEnd w:id="22"/>
      <w:bookmarkStart w:id="23" w:name="_Toc292893103"/>
      <w:bookmarkEnd w:id="23"/>
      <w:bookmarkStart w:id="24" w:name="_Toc144974505"/>
      <w:bookmarkEnd w:id="24"/>
      <w:bookmarkStart w:id="25" w:name="_Toc152045537"/>
      <w:bookmarkEnd w:id="25"/>
      <w:bookmarkStart w:id="26" w:name="_Toc152042313"/>
      <w:bookmarkEnd w:id="26"/>
      <w:r>
        <w:rPr>
          <w:rFonts w:hint="eastAsia" w:ascii="宋体" w:hAnsi="宋体"/>
          <w:b/>
          <w:bCs/>
          <w:color w:val="000000" w:themeColor="text1"/>
          <w:kern w:val="0"/>
          <w:sz w:val="24"/>
          <w:szCs w:val="24"/>
          <w:highlight w:val="none"/>
          <w14:textFill>
            <w14:solidFill>
              <w14:schemeClr w14:val="tx1"/>
            </w14:solidFill>
          </w14:textFill>
        </w:rPr>
        <w:t>4.语言文字</w:t>
      </w:r>
    </w:p>
    <w:p w14:paraId="2D726E05">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除专用术语外，与招标投标有关的语言均使用中文。专用术语应附有中文注释。</w:t>
      </w:r>
    </w:p>
    <w:p w14:paraId="70332A7B">
      <w:pPr>
        <w:spacing w:before="156" w:after="156"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（二）招标文件</w:t>
      </w:r>
    </w:p>
    <w:p w14:paraId="3D1AF0F3">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5.招标文件的组成</w:t>
      </w:r>
    </w:p>
    <w:p w14:paraId="629A7FEB">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本招标文件包括：</w:t>
      </w:r>
    </w:p>
    <w:p w14:paraId="7E4D0607">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（1）招标公告</w:t>
      </w:r>
    </w:p>
    <w:p w14:paraId="7808C528">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须知</w:t>
      </w:r>
    </w:p>
    <w:p w14:paraId="4A4574C9">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（3）评标办法</w:t>
      </w:r>
    </w:p>
    <w:p w14:paraId="7005C191">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（4）合同条款及格式</w:t>
      </w:r>
    </w:p>
    <w:p w14:paraId="38BA9599">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（5）采购需求</w:t>
      </w:r>
    </w:p>
    <w:p w14:paraId="745944EF">
      <w:pPr>
        <w:shd w:val="clear" w:color="auto" w:fill="FFFFFF"/>
        <w:tabs>
          <w:tab w:val="left" w:pos="7665"/>
        </w:tabs>
        <w:snapToGrid w:val="0"/>
        <w:spacing w:line="440" w:lineRule="exact"/>
        <w:ind w:firstLine="480" w:firstLineChars="200"/>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（6）投标文件格式</w:t>
      </w:r>
    </w:p>
    <w:p w14:paraId="4654104E">
      <w:pPr>
        <w:snapToGrid w:val="0"/>
        <w:spacing w:before="156" w:after="156" w:line="440" w:lineRule="exact"/>
        <w:ind w:firstLine="480" w:firstLineChars="200"/>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根据本须知对招标文件所作的澄清、修改，构成招标文件的组成部分。</w:t>
      </w:r>
    </w:p>
    <w:p w14:paraId="230D0825">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6. 招标文件的澄清和修改</w:t>
      </w:r>
    </w:p>
    <w:p w14:paraId="5883CCEC">
      <w:pPr>
        <w:shd w:val="clear" w:color="auto" w:fill="FFFFFF"/>
        <w:snapToGrid w:val="0"/>
        <w:spacing w:line="440" w:lineRule="exact"/>
        <w:ind w:firstLine="420" w:firstLineChars="175"/>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6.1</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应仔细阅读和检查招标文件的全部内容。如发现缺页或附件不全，应及时向采购人提出，以便补齐。</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若对招标文件有任何疑问，应在电子交易系统中向采购人提出澄清要求。无论是采购人根据需要主动对招标文件进行必要的澄清，或是根据</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的要求对招标文件作出澄清，采购人都将在电子交易系统中予以澄清，该答复作为招标文件的组成部分，具有约束作用。招标文件发出后，采购人可对招标文件进行必要的澄清或修改。</w:t>
      </w:r>
    </w:p>
    <w:p w14:paraId="319D64C9">
      <w:pPr>
        <w:shd w:val="clear" w:color="auto" w:fill="FFFFFF"/>
        <w:snapToGrid w:val="0"/>
        <w:spacing w:line="440" w:lineRule="exact"/>
        <w:ind w:firstLine="420" w:firstLineChars="175"/>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6.2招标文件的澄清、修改、补充等内容均以电子交易系统中发布的内容为准。当招标文件、招标文件的澄清、修改、补充等在同一内容的表述不一致时，以最后发出的文件为准。</w:t>
      </w:r>
    </w:p>
    <w:p w14:paraId="3E9B336E">
      <w:pPr>
        <w:shd w:val="clear" w:color="auto" w:fill="FFFFFF"/>
        <w:snapToGrid w:val="0"/>
        <w:spacing w:line="440" w:lineRule="exact"/>
        <w:ind w:firstLine="420" w:firstLineChars="175"/>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6.3为使</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在编制投标文件时有充分的时间对招标文件的澄清、修改、补充等内容进行研究，采购人将根据</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的延期投标意见酌情延长提交投标文件的截止时间，具体时间将在招标文件的修改、补充通知中予以明确；若所有</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认为招标文件的修改与补充不影响投标文件的编制，采购人将不予延长投标文件提交时间；若</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未提出书面延期投标意见且同意本项目开标时间，则采购人可以认为所有</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对招标文件的修改与补充通知不影响投标文件的编制，开标时间将不予延期。</w:t>
      </w:r>
    </w:p>
    <w:p w14:paraId="6342D0C8">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7. 答疑会</w:t>
      </w:r>
    </w:p>
    <w:p w14:paraId="36D0BAFE">
      <w:pPr>
        <w:shd w:val="clear" w:color="auto" w:fill="FFFFFF"/>
        <w:snapToGrid w:val="0"/>
        <w:spacing w:line="440" w:lineRule="exact"/>
        <w:ind w:firstLine="420" w:firstLineChars="175"/>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不召开答疑会，</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将需答疑的问题以应在电子交易系统中向采购人提出澄清要求。</w:t>
      </w:r>
    </w:p>
    <w:p w14:paraId="246C6A70">
      <w:pPr>
        <w:spacing w:before="156" w:after="156"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（三）投标文件</w:t>
      </w:r>
    </w:p>
    <w:p w14:paraId="229494CA">
      <w:pPr>
        <w:shd w:val="clear" w:color="auto" w:fill="FFFFFF"/>
        <w:snapToGrid w:val="0"/>
        <w:spacing w:after="120" w:line="440" w:lineRule="exac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8．投标文件的组成</w:t>
      </w:r>
    </w:p>
    <w:p w14:paraId="65CF8714">
      <w:pPr>
        <w:shd w:val="clear" w:color="auto" w:fill="FFFFFF"/>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投标文件的内容：</w:t>
      </w:r>
    </w:p>
    <w:p w14:paraId="5466D2F4">
      <w:pPr>
        <w:tabs>
          <w:tab w:val="left" w:pos="540"/>
        </w:tabs>
        <w:spacing w:line="440" w:lineRule="exact"/>
        <w:ind w:firstLine="493"/>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（1）投标函</w:t>
      </w:r>
    </w:p>
    <w:p w14:paraId="34A382BC">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（2）投标报价一览表</w:t>
      </w:r>
    </w:p>
    <w:p w14:paraId="3095D243">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（3）分项报价表</w:t>
      </w:r>
    </w:p>
    <w:p w14:paraId="2184D4DC">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（4）偏离表</w:t>
      </w:r>
    </w:p>
    <w:p w14:paraId="172F7EAC">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（5）法定代表人身份证明及授权委托书</w:t>
      </w:r>
    </w:p>
    <w:p w14:paraId="174DF501">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（6）服务承诺书</w:t>
      </w:r>
    </w:p>
    <w:p w14:paraId="11029D98">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（7）投标承诺书</w:t>
      </w:r>
    </w:p>
    <w:p w14:paraId="2C45694F">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（8）资格审查资料</w:t>
      </w:r>
    </w:p>
    <w:p w14:paraId="3EE1E8DA">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（9）</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认为有必要的其它资料</w:t>
      </w:r>
    </w:p>
    <w:p w14:paraId="18645F6D">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bookmarkStart w:id="27" w:name="_Toc152042324"/>
      <w:bookmarkEnd w:id="27"/>
      <w:bookmarkStart w:id="28" w:name="_Toc152045548"/>
      <w:bookmarkEnd w:id="28"/>
      <w:bookmarkStart w:id="29" w:name="_Toc292893113"/>
      <w:bookmarkEnd w:id="29"/>
      <w:bookmarkStart w:id="30" w:name="_Toc144974516"/>
      <w:bookmarkEnd w:id="30"/>
      <w:bookmarkStart w:id="31" w:name="_Toc179632566"/>
      <w:bookmarkEnd w:id="31"/>
      <w:r>
        <w:rPr>
          <w:rFonts w:hint="eastAsia" w:ascii="宋体" w:hAnsi="宋体"/>
          <w:b/>
          <w:bCs/>
          <w:color w:val="000000" w:themeColor="text1"/>
          <w:kern w:val="0"/>
          <w:sz w:val="24"/>
          <w:szCs w:val="24"/>
          <w:highlight w:val="none"/>
          <w14:textFill>
            <w14:solidFill>
              <w14:schemeClr w14:val="tx1"/>
            </w14:solidFill>
          </w14:textFill>
        </w:rPr>
        <w:t>9．投标报价</w:t>
      </w:r>
    </w:p>
    <w:p w14:paraId="060CB453">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9.1</w:t>
      </w:r>
      <w:r>
        <w:rPr>
          <w:rFonts w:hint="eastAsia" w:ascii="宋体" w:hAnsi="宋体"/>
          <w:color w:val="000000" w:themeColor="text1"/>
          <w:kern w:val="0"/>
          <w:sz w:val="24"/>
          <w:highlight w:val="none"/>
          <w:lang w:eastAsia="zh-CN"/>
          <w14:textFill>
            <w14:solidFill>
              <w14:schemeClr w14:val="tx1"/>
            </w14:solidFill>
          </w14:textFill>
        </w:rPr>
        <w:t>供应商</w:t>
      </w:r>
      <w:r>
        <w:rPr>
          <w:rFonts w:hint="eastAsia" w:ascii="宋体" w:hAnsi="宋体"/>
          <w:color w:val="000000" w:themeColor="text1"/>
          <w:kern w:val="0"/>
          <w:sz w:val="24"/>
          <w:highlight w:val="none"/>
          <w14:textFill>
            <w14:solidFill>
              <w14:schemeClr w14:val="tx1"/>
            </w14:solidFill>
          </w14:textFill>
        </w:rPr>
        <w:t>必须对本项目招标范围及内容进行完整报价。</w:t>
      </w:r>
    </w:p>
    <w:p w14:paraId="75C03DEA">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9.2</w:t>
      </w:r>
      <w:r>
        <w:rPr>
          <w:rFonts w:hint="eastAsia" w:ascii="宋体" w:hAnsi="宋体"/>
          <w:color w:val="000000" w:themeColor="text1"/>
          <w:kern w:val="0"/>
          <w:sz w:val="24"/>
          <w:highlight w:val="none"/>
          <w:lang w:eastAsia="zh-CN"/>
          <w14:textFill>
            <w14:solidFill>
              <w14:schemeClr w14:val="tx1"/>
            </w14:solidFill>
          </w14:textFill>
        </w:rPr>
        <w:t>供应商</w:t>
      </w:r>
      <w:r>
        <w:rPr>
          <w:rFonts w:hint="eastAsia" w:ascii="宋体" w:hAnsi="宋体"/>
          <w:color w:val="000000" w:themeColor="text1"/>
          <w:kern w:val="0"/>
          <w:sz w:val="24"/>
          <w:highlight w:val="none"/>
          <w14:textFill>
            <w14:solidFill>
              <w14:schemeClr w14:val="tx1"/>
            </w14:solidFill>
          </w14:textFill>
        </w:rPr>
        <w:t>所报的投标报价在合同执行过程中是固定不变的，不得以任何理由予以变更。任何包含价格调整的要求的投标，将被认为是非响应性投标而被拒绝。</w:t>
      </w:r>
    </w:p>
    <w:p w14:paraId="7D1DBECB">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9.3</w:t>
      </w:r>
      <w:r>
        <w:rPr>
          <w:rFonts w:hint="eastAsia" w:ascii="宋体" w:hAnsi="宋体"/>
          <w:color w:val="000000" w:themeColor="text1"/>
          <w:kern w:val="0"/>
          <w:sz w:val="24"/>
          <w:highlight w:val="none"/>
          <w:lang w:eastAsia="zh-CN"/>
          <w14:textFill>
            <w14:solidFill>
              <w14:schemeClr w14:val="tx1"/>
            </w14:solidFill>
          </w14:textFill>
        </w:rPr>
        <w:t>供应商</w:t>
      </w:r>
      <w:r>
        <w:rPr>
          <w:rFonts w:hint="eastAsia" w:ascii="宋体" w:hAnsi="宋体"/>
          <w:color w:val="000000" w:themeColor="text1"/>
          <w:kern w:val="0"/>
          <w:sz w:val="24"/>
          <w:highlight w:val="none"/>
          <w14:textFill>
            <w14:solidFill>
              <w14:schemeClr w14:val="tx1"/>
            </w14:solidFill>
          </w14:textFill>
        </w:rPr>
        <w:t>不得以低于成本的报价竞标，最低报价不作为中标的保证。</w:t>
      </w:r>
    </w:p>
    <w:p w14:paraId="41FA620D">
      <w:pPr>
        <w:widowControl w:val="0"/>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10.投标有效期</w:t>
      </w:r>
    </w:p>
    <w:p w14:paraId="593AD37A">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10.1在</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须知前附表规定的投标有效期内，</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不得要求撤销或修改其投标文件。</w:t>
      </w:r>
    </w:p>
    <w:p w14:paraId="7DFFA53B">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10.2出现特殊情况需要延长投标有效期的，采购人以书面形式通知所有</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延长投标有效期。</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同意延长的，不得要求或被允许修改或撤销其投标文件；</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拒绝延长的，其投标失效。</w:t>
      </w:r>
    </w:p>
    <w:p w14:paraId="20CE6D01">
      <w:pPr>
        <w:widowControl w:val="0"/>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11.投标保证金</w:t>
      </w:r>
    </w:p>
    <w:p w14:paraId="4112C02F">
      <w:pPr>
        <w:tabs>
          <w:tab w:val="left" w:pos="735"/>
        </w:tabs>
        <w:snapToGrid w:val="0"/>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本项目不收取。</w:t>
      </w:r>
    </w:p>
    <w:p w14:paraId="2CFCA9A9">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12.资格审查资料</w:t>
      </w:r>
    </w:p>
    <w:p w14:paraId="50DB32F2">
      <w:pPr>
        <w:shd w:val="clear" w:color="auto" w:fill="FFFFFF"/>
        <w:snapToGrid w:val="0"/>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lang w:eastAsia="zh-CN"/>
          <w14:textFill>
            <w14:solidFill>
              <w14:schemeClr w14:val="tx1"/>
            </w14:solidFill>
          </w14:textFill>
        </w:rPr>
        <w:t>供应商</w:t>
      </w:r>
      <w:r>
        <w:rPr>
          <w:rFonts w:hint="eastAsia" w:ascii="宋体" w:hAnsi="宋体"/>
          <w:color w:val="000000" w:themeColor="text1"/>
          <w:kern w:val="0"/>
          <w:sz w:val="24"/>
          <w:highlight w:val="none"/>
          <w14:textFill>
            <w14:solidFill>
              <w14:schemeClr w14:val="tx1"/>
            </w14:solidFill>
          </w14:textFill>
        </w:rPr>
        <w:t>在</w:t>
      </w:r>
      <w:r>
        <w:rPr>
          <w:rFonts w:hint="eastAsia" w:ascii="宋体" w:hAnsi="宋体"/>
          <w:color w:val="000000" w:themeColor="text1"/>
          <w:kern w:val="0"/>
          <w:sz w:val="24"/>
          <w:highlight w:val="none"/>
          <w:lang w:eastAsia="zh-CN"/>
          <w14:textFill>
            <w14:solidFill>
              <w14:schemeClr w14:val="tx1"/>
            </w14:solidFill>
          </w14:textFill>
        </w:rPr>
        <w:t>供应商</w:t>
      </w:r>
      <w:r>
        <w:rPr>
          <w:rFonts w:hint="eastAsia" w:ascii="宋体" w:hAnsi="宋体"/>
          <w:color w:val="000000" w:themeColor="text1"/>
          <w:kern w:val="0"/>
          <w:sz w:val="24"/>
          <w:highlight w:val="none"/>
          <w14:textFill>
            <w14:solidFill>
              <w14:schemeClr w14:val="tx1"/>
            </w14:solidFill>
          </w14:textFill>
        </w:rPr>
        <w:t>须知前附表规定的投标截止时间前由采购人或采购代理机构对下列资料进行资格审查</w:t>
      </w:r>
      <w:r>
        <w:rPr>
          <w:rFonts w:hint="eastAsia" w:ascii="宋体" w:hAnsi="宋体"/>
          <w:color w:val="000000" w:themeColor="text1"/>
          <w:kern w:val="0"/>
          <w:sz w:val="24"/>
          <w:szCs w:val="24"/>
          <w:highlight w:val="none"/>
          <w14:textFill>
            <w14:solidFill>
              <w14:schemeClr w14:val="tx1"/>
            </w14:solidFill>
          </w14:textFill>
        </w:rPr>
        <w:t>：</w:t>
      </w:r>
    </w:p>
    <w:p w14:paraId="1C7F1266">
      <w:pPr>
        <w:tabs>
          <w:tab w:val="left" w:pos="540"/>
        </w:tabs>
        <w:spacing w:line="440" w:lineRule="exact"/>
        <w:ind w:firstLine="480" w:firstLineChars="200"/>
        <w:jc w:val="left"/>
        <w:rPr>
          <w:rFonts w:hint="eastAsia" w:ascii="宋体" w:hAnsi="宋体"/>
          <w:color w:val="000000" w:themeColor="text1"/>
          <w:kern w:val="0"/>
          <w:sz w:val="24"/>
          <w:szCs w:val="24"/>
          <w:highlight w:val="none"/>
          <w14:textFill>
            <w14:solidFill>
              <w14:schemeClr w14:val="tx1"/>
            </w14:solidFill>
          </w14:textFill>
        </w:rPr>
      </w:pPr>
      <w:bookmarkStart w:id="32" w:name="_Toc179632572"/>
      <w:bookmarkStart w:id="33" w:name="_Toc144974522"/>
      <w:bookmarkStart w:id="34" w:name="_Toc152042330"/>
      <w:bookmarkStart w:id="35" w:name="_Toc292893118"/>
      <w:bookmarkStart w:id="36" w:name="_Toc152045554"/>
      <w:r>
        <w:rPr>
          <w:rFonts w:hint="eastAsia" w:ascii="宋体" w:hAnsi="宋体"/>
          <w:color w:val="000000" w:themeColor="text1"/>
          <w:kern w:val="0"/>
          <w:sz w:val="24"/>
          <w:szCs w:val="24"/>
          <w:highlight w:val="none"/>
          <w14:textFill>
            <w14:solidFill>
              <w14:schemeClr w14:val="tx1"/>
            </w14:solidFill>
          </w14:textFill>
        </w:rPr>
        <w:t>1.营业执照、税务登记证、组织机构代码证（或三证合一营业执照）</w:t>
      </w:r>
    </w:p>
    <w:p w14:paraId="44607785">
      <w:pPr>
        <w:tabs>
          <w:tab w:val="left" w:pos="540"/>
        </w:tabs>
        <w:spacing w:line="440" w:lineRule="exact"/>
        <w:ind w:firstLine="480" w:firstLineChars="200"/>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2.供应商相关承诺书</w:t>
      </w:r>
    </w:p>
    <w:p w14:paraId="68287FA6">
      <w:pPr>
        <w:tabs>
          <w:tab w:val="left" w:pos="540"/>
        </w:tabs>
        <w:spacing w:line="440" w:lineRule="exact"/>
        <w:ind w:firstLine="480" w:firstLineChars="200"/>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3.信用中国、中国执行信息公开网、中国政府采购网信用查询截图</w:t>
      </w:r>
    </w:p>
    <w:bookmarkEnd w:id="32"/>
    <w:bookmarkEnd w:id="33"/>
    <w:bookmarkEnd w:id="34"/>
    <w:bookmarkEnd w:id="35"/>
    <w:bookmarkEnd w:id="36"/>
    <w:p w14:paraId="5C94AD11">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13.投标文件的编制</w:t>
      </w:r>
    </w:p>
    <w:p w14:paraId="03A89F3B">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投标文件应按第六章“投标文件格式”进行编写，如有必要，可以增加附页，作为投标文件的组成部分。投标函在满足招标文件实质性要求的基础上，可以提出比招标文件要求更有利于采购人的承诺。</w:t>
      </w:r>
    </w:p>
    <w:p w14:paraId="2A4330AC">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14．投标文件格式</w:t>
      </w:r>
      <w:r>
        <w:rPr>
          <w:rFonts w:hint="eastAsia" w:ascii="宋体" w:hAnsi="宋体"/>
          <w:b/>
          <w:bCs/>
          <w:color w:val="000000" w:themeColor="text1"/>
          <w:sz w:val="24"/>
          <w:szCs w:val="24"/>
          <w:highlight w:val="none"/>
          <w14:textFill>
            <w14:solidFill>
              <w14:schemeClr w14:val="tx1"/>
            </w14:solidFill>
          </w14:textFill>
        </w:rPr>
        <w:tab/>
      </w:r>
    </w:p>
    <w:p w14:paraId="4AA126B0">
      <w:pPr>
        <w:shd w:val="clear" w:color="auto" w:fill="FFFFFF"/>
        <w:tabs>
          <w:tab w:val="left" w:pos="7665"/>
        </w:tabs>
        <w:snapToGrid w:val="0"/>
        <w:spacing w:line="440" w:lineRule="exact"/>
        <w:ind w:left="12" w:leftChars="6"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14.1 </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应严格按照招标文件中提供的</w:t>
      </w:r>
      <w:r>
        <w:rPr>
          <w:rFonts w:hint="eastAsia" w:ascii="宋体" w:hAnsi="宋体"/>
          <w:color w:val="000000" w:themeColor="text1"/>
          <w:kern w:val="0"/>
          <w:sz w:val="24"/>
          <w:szCs w:val="24"/>
          <w:highlight w:val="none"/>
          <w14:textFill>
            <w14:solidFill>
              <w14:schemeClr w14:val="tx1"/>
            </w14:solidFill>
          </w14:textFill>
        </w:rPr>
        <w:t>第六章</w:t>
      </w:r>
      <w:r>
        <w:rPr>
          <w:rFonts w:hint="eastAsia" w:ascii="宋体" w:hAnsi="宋体"/>
          <w:color w:val="000000" w:themeColor="text1"/>
          <w:sz w:val="24"/>
          <w:szCs w:val="24"/>
          <w:highlight w:val="none"/>
          <w14:textFill>
            <w14:solidFill>
              <w14:schemeClr w14:val="tx1"/>
            </w14:solidFill>
          </w14:textFill>
        </w:rPr>
        <w:t>“投标文件格式”填写相关内容。否则，将影响投标文件得分。第六</w:t>
      </w:r>
      <w:r>
        <w:rPr>
          <w:rFonts w:hint="eastAsia" w:ascii="宋体" w:hAnsi="宋体"/>
          <w:color w:val="000000" w:themeColor="text1"/>
          <w:kern w:val="0"/>
          <w:sz w:val="24"/>
          <w:szCs w:val="24"/>
          <w:highlight w:val="none"/>
          <w14:textFill>
            <w14:solidFill>
              <w14:schemeClr w14:val="tx1"/>
            </w14:solidFill>
          </w14:textFill>
        </w:rPr>
        <w:t>章</w:t>
      </w:r>
      <w:r>
        <w:rPr>
          <w:rFonts w:hint="eastAsia" w:ascii="宋体" w:hAnsi="宋体"/>
          <w:color w:val="000000" w:themeColor="text1"/>
          <w:sz w:val="24"/>
          <w:szCs w:val="24"/>
          <w:highlight w:val="none"/>
          <w14:textFill>
            <w14:solidFill>
              <w14:schemeClr w14:val="tx1"/>
            </w14:solidFill>
          </w14:textFill>
        </w:rPr>
        <w:t>“投标文件格式”规定之外允许</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可以自行编写。</w:t>
      </w:r>
    </w:p>
    <w:p w14:paraId="16367DAD">
      <w:pPr>
        <w:shd w:val="clear" w:color="auto" w:fill="FFFFFF"/>
        <w:tabs>
          <w:tab w:val="left" w:pos="7665"/>
        </w:tabs>
        <w:snapToGrid w:val="0"/>
        <w:spacing w:line="440" w:lineRule="exact"/>
        <w:ind w:left="12" w:leftChars="6"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14.2 对于没有格式要求的投标文件由</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自行编写。</w:t>
      </w:r>
    </w:p>
    <w:p w14:paraId="71978E0E">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15．投标有效期</w:t>
      </w:r>
    </w:p>
    <w:p w14:paraId="30D3704E">
      <w:pPr>
        <w:shd w:val="clear" w:color="auto" w:fill="FFFFFF"/>
        <w:tabs>
          <w:tab w:val="left" w:pos="7665"/>
        </w:tabs>
        <w:snapToGrid w:val="0"/>
        <w:spacing w:line="440" w:lineRule="exact"/>
        <w:ind w:left="12" w:leftChars="6"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15.1 投标有效期见</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须知前附表。投标有效期短于此规定期限的投标，将被拒绝。</w:t>
      </w:r>
    </w:p>
    <w:p w14:paraId="13782CAD">
      <w:pPr>
        <w:shd w:val="clear" w:color="auto" w:fill="FFFFFF"/>
        <w:tabs>
          <w:tab w:val="left" w:pos="7665"/>
        </w:tabs>
        <w:snapToGrid w:val="0"/>
        <w:spacing w:line="440" w:lineRule="exact"/>
        <w:ind w:left="12" w:leftChars="6"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15.2 特殊情况下，采购人可于投标有效期满之前要求</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同意延长有效期。拒绝延长投标有效期的</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不得再参与该项目后续采购活动。同意延长投标有效期的</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不能修改其投标文件。</w:t>
      </w:r>
    </w:p>
    <w:p w14:paraId="38CC7FB3">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16．投标文件的印制和签署</w:t>
      </w:r>
    </w:p>
    <w:p w14:paraId="478046C5">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16.1电子化投标文件的签章</w:t>
      </w:r>
    </w:p>
    <w:p w14:paraId="5FE8618B">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16.1.1供应商在生成电子化投标文件后，应对电子化投标文件进行签章，未进行签章的视为无效投标。</w:t>
      </w:r>
    </w:p>
    <w:p w14:paraId="7C92D277">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16.1.2招标文件中要求法定代表人或授权委托人签字或盖章的，供应商在进行电子化投标文件签章时，以签盖法定代表人签章为准。电子化投标文件具体制作教材请供应商通过CA证书登录平顶山市公共资源电子化交易系统在右上角“组建下载”中查看。</w:t>
      </w:r>
    </w:p>
    <w:p w14:paraId="4B3CF992">
      <w:pPr>
        <w:spacing w:before="156" w:after="156"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（四）投标</w:t>
      </w:r>
    </w:p>
    <w:p w14:paraId="080232F7">
      <w:pPr>
        <w:tabs>
          <w:tab w:val="left" w:pos="540"/>
        </w:tabs>
        <w:spacing w:line="480" w:lineRule="exact"/>
        <w:jc w:val="left"/>
        <w:rPr>
          <w:rFonts w:hint="eastAsia" w:ascii="宋体" w:hAnsi="宋体"/>
          <w:b/>
          <w:color w:val="000000" w:themeColor="text1"/>
          <w:kern w:val="0"/>
          <w:sz w:val="24"/>
          <w:highlight w:val="none"/>
          <w14:textFill>
            <w14:solidFill>
              <w14:schemeClr w14:val="tx1"/>
            </w14:solidFill>
          </w14:textFill>
        </w:rPr>
      </w:pPr>
      <w:bookmarkStart w:id="37" w:name="_Toc8041"/>
      <w:bookmarkStart w:id="38" w:name="_Toc11631"/>
      <w:bookmarkStart w:id="39" w:name="_Toc13209"/>
      <w:bookmarkStart w:id="40" w:name="_Toc6464"/>
      <w:bookmarkStart w:id="41" w:name="_Toc1251"/>
      <w:r>
        <w:rPr>
          <w:rFonts w:hint="eastAsia" w:ascii="宋体" w:hAnsi="宋体"/>
          <w:b/>
          <w:color w:val="000000" w:themeColor="text1"/>
          <w:kern w:val="0"/>
          <w:sz w:val="24"/>
          <w:highlight w:val="none"/>
          <w14:textFill>
            <w14:solidFill>
              <w14:schemeClr w14:val="tx1"/>
            </w14:solidFill>
          </w14:textFill>
        </w:rPr>
        <w:t>17. 电子化投标文件的格式及上传投标</w:t>
      </w:r>
    </w:p>
    <w:p w14:paraId="30B4A965">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17.1供应商所上传的电子化投标文件，应是通过中心投标文件制作系统制作的，经过签章和加密后生成的电子版投标文件。生成的电子版投标文件包含用于投标文件上传的主文件（项目文件格式为：xxx公司_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项目名称.bin），备份文件主要用于电子化开标出现技术问题后的补救，请供应商随身携带。</w:t>
      </w:r>
    </w:p>
    <w:bookmarkEnd w:id="37"/>
    <w:bookmarkEnd w:id="38"/>
    <w:bookmarkEnd w:id="39"/>
    <w:bookmarkEnd w:id="40"/>
    <w:bookmarkEnd w:id="41"/>
    <w:p w14:paraId="15314E58">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注：供应商投报多个标段的，根据标段制作各个标段的投标文件后上传</w:t>
      </w:r>
    </w:p>
    <w:p w14:paraId="6CA57C9C">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17.2电子化投标文件应在投标截止时间前成功上传至平顶山市公共资源电子化交易系统。至投标截止时间止，仍未上传成功的电子化投标文件将不予接收。</w:t>
      </w:r>
    </w:p>
    <w:p w14:paraId="09027180">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注：如按照电子化投标操作教材制作完成的电子化投标文件无法上传的，供应商应在投标截止时间前尽早的联系中心技术人员，以便有充分的时间进行处理。供应商应充分考虑到处理技术问题和上传数据等工作所需的时间问题，投标文件未在投标截止时间前成功上传的，其投标文件不予接收。</w:t>
      </w:r>
    </w:p>
    <w:p w14:paraId="52682D0F">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18．投标文件的递交</w:t>
      </w:r>
    </w:p>
    <w:p w14:paraId="79E555EA">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18.1 投标单位应在本须知前附表规定的地点，于投标截止时间前上传电子投标文件。</w:t>
      </w:r>
    </w:p>
    <w:p w14:paraId="01B0D433">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18.2 投标单位所上传的电子投标文件不予退还。</w:t>
      </w:r>
    </w:p>
    <w:p w14:paraId="1556CF43">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18.3 逾期上传的或者未送达指定地点的电子投标文件，采购人不予受理。</w:t>
      </w:r>
    </w:p>
    <w:p w14:paraId="525EBEE5">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bookmarkStart w:id="42" w:name="_Toc152045559"/>
      <w:bookmarkStart w:id="43" w:name="_Toc152042335"/>
      <w:bookmarkStart w:id="44" w:name="_Toc144974527"/>
      <w:bookmarkStart w:id="45" w:name="_Toc292893121"/>
      <w:bookmarkStart w:id="46" w:name="_Toc179632577"/>
      <w:r>
        <w:rPr>
          <w:rFonts w:hint="eastAsia" w:ascii="宋体" w:hAnsi="宋体"/>
          <w:b/>
          <w:color w:val="000000" w:themeColor="text1"/>
          <w:kern w:val="0"/>
          <w:sz w:val="24"/>
          <w:highlight w:val="none"/>
          <w14:textFill>
            <w14:solidFill>
              <w14:schemeClr w14:val="tx1"/>
            </w14:solidFill>
          </w14:textFill>
        </w:rPr>
        <w:t>19．投标文件的修改和撤回</w:t>
      </w:r>
    </w:p>
    <w:p w14:paraId="42C5964F">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19.1在本供应商须知前附表规定的投标截止时间前，供应商可以修改或撤回已上传的投标文件。</w:t>
      </w:r>
    </w:p>
    <w:p w14:paraId="24D91A08">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19.2投标单位修改或撤回已上传投标文件的书面通知应按照本须知要求加盖电子印章或签章。修改的内容为投标文件的组成部分。</w:t>
      </w:r>
    </w:p>
    <w:p w14:paraId="6118E6D3">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19.3在投标截止日期之后，供应商不得补充、修改投标文件。</w:t>
      </w:r>
    </w:p>
    <w:p w14:paraId="2FAC9EB6">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19.4在投标截止时间至投标有效期满之前，供应商不得撤回其投标文件。</w:t>
      </w:r>
    </w:p>
    <w:bookmarkEnd w:id="42"/>
    <w:bookmarkEnd w:id="43"/>
    <w:bookmarkEnd w:id="44"/>
    <w:bookmarkEnd w:id="45"/>
    <w:bookmarkEnd w:id="46"/>
    <w:p w14:paraId="420C26CD">
      <w:pPr>
        <w:spacing w:before="156" w:after="156"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（五）开标</w:t>
      </w:r>
    </w:p>
    <w:p w14:paraId="3D8E6B71">
      <w:pPr>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20．开标</w:t>
      </w:r>
    </w:p>
    <w:p w14:paraId="797D177A">
      <w:pPr>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20.1</w:t>
      </w:r>
      <w:r>
        <w:rPr>
          <w:rFonts w:hint="eastAsia" w:ascii="宋体" w:hAnsi="宋体"/>
          <w:color w:val="000000" w:themeColor="text1"/>
          <w:kern w:val="0"/>
          <w:sz w:val="24"/>
          <w:highlight w:val="none"/>
          <w14:textFill>
            <w14:solidFill>
              <w14:schemeClr w14:val="tx1"/>
            </w14:solidFill>
          </w14:textFill>
        </w:rPr>
        <w:t>开标时，</w:t>
      </w:r>
      <w:r>
        <w:rPr>
          <w:rFonts w:hint="eastAsia" w:ascii="宋体" w:hAnsi="宋体"/>
          <w:color w:val="000000" w:themeColor="text1"/>
          <w:kern w:val="0"/>
          <w:sz w:val="24"/>
          <w:highlight w:val="none"/>
          <w:lang w:eastAsia="zh-CN"/>
          <w14:textFill>
            <w14:solidFill>
              <w14:schemeClr w14:val="tx1"/>
            </w14:solidFill>
          </w14:textFill>
        </w:rPr>
        <w:t>供应商</w:t>
      </w:r>
      <w:r>
        <w:rPr>
          <w:rFonts w:hint="eastAsia" w:ascii="宋体" w:hAnsi="宋体"/>
          <w:color w:val="000000" w:themeColor="text1"/>
          <w:kern w:val="0"/>
          <w:sz w:val="24"/>
          <w:highlight w:val="none"/>
          <w14:textFill>
            <w14:solidFill>
              <w14:schemeClr w14:val="tx1"/>
            </w14:solidFill>
          </w14:textFill>
        </w:rPr>
        <w:t>采用网上远程异地解密时，请用CA证书登录平顶山市公共资源交易中心业务系统，进入本项目开标大厅点击解密来完成投标文件的解密工作。每位</w:t>
      </w:r>
      <w:r>
        <w:rPr>
          <w:rFonts w:hint="eastAsia" w:ascii="宋体" w:hAnsi="宋体"/>
          <w:color w:val="000000" w:themeColor="text1"/>
          <w:kern w:val="0"/>
          <w:sz w:val="24"/>
          <w:highlight w:val="none"/>
          <w:lang w:eastAsia="zh-CN"/>
          <w14:textFill>
            <w14:solidFill>
              <w14:schemeClr w14:val="tx1"/>
            </w14:solidFill>
          </w14:textFill>
        </w:rPr>
        <w:t>供应商</w:t>
      </w:r>
      <w:r>
        <w:rPr>
          <w:rFonts w:hint="eastAsia" w:ascii="宋体" w:hAnsi="宋体"/>
          <w:color w:val="000000" w:themeColor="text1"/>
          <w:kern w:val="0"/>
          <w:sz w:val="24"/>
          <w:highlight w:val="none"/>
          <w14:textFill>
            <w14:solidFill>
              <w14:schemeClr w14:val="tx1"/>
            </w14:solidFill>
          </w14:textFill>
        </w:rPr>
        <w:t>的解密时间从开标时间起60分钟内完成，超过规定时间解密的投标文件不予接收。</w:t>
      </w:r>
    </w:p>
    <w:p w14:paraId="50431D13">
      <w:pPr>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20.2如出现</w:t>
      </w: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的电子投标文件无法解密的情况，</w:t>
      </w: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应及时联系采购人（代理机构）进行说明。投标文件解密异常，按以下步骤进行处理：</w:t>
      </w:r>
    </w:p>
    <w:p w14:paraId="6D72FFD0">
      <w:pPr>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（1）如果是投标文件自身问题导致投标文件无法解密的，该投标文件将不予接收、解密。</w:t>
      </w:r>
    </w:p>
    <w:p w14:paraId="6AC7CF1C">
      <w:pPr>
        <w:widowControl w:val="0"/>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（2）如果是电子化交易系统问题造成投标文件无法解密的，将由技术人员进行排查处理。如短时间内问题无法解决的，将由采购人（代理机构）联系监督部门申请暂停开标，待问题解决后继续开标。</w:t>
      </w:r>
    </w:p>
    <w:p w14:paraId="3C4BFE1C">
      <w:pPr>
        <w:widowControl w:val="0"/>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20.3所有投标文件解密完成后，由采购人（代理机构）操作，对开标结果进行公示。</w:t>
      </w:r>
    </w:p>
    <w:p w14:paraId="5C873E47">
      <w:pPr>
        <w:widowControl w:val="0"/>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20.4</w:t>
      </w: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应保证在开标期间电话、电脑、网络等能够正常使用，</w:t>
      </w: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因停电、电脑病毒、网络堵塞等原因，未在规定的解密时间内对投标文件进行解密的，其投标文件不予接收。</w:t>
      </w:r>
    </w:p>
    <w:p w14:paraId="117D67C3">
      <w:pPr>
        <w:widowControl w:val="0"/>
        <w:tabs>
          <w:tab w:val="left" w:pos="540"/>
        </w:tabs>
        <w:spacing w:line="440" w:lineRule="exact"/>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20.5解密完成后，</w:t>
      </w: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可登录到交易系统查看自己的投标报价。如对自己的报价内容有异议的，应在报价内容显示后20分钟内联系采购人（代理机构）进行质疑，</w:t>
      </w: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未在规定时间内提出质疑的，视为认可开标结果显示内容。</w:t>
      </w:r>
    </w:p>
    <w:p w14:paraId="0A51441B">
      <w:pPr>
        <w:widowControl w:val="0"/>
        <w:tabs>
          <w:tab w:val="left" w:pos="540"/>
        </w:tabs>
        <w:spacing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（六）评标</w:t>
      </w:r>
    </w:p>
    <w:p w14:paraId="0079D0DC">
      <w:pPr>
        <w:widowControl w:val="0"/>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21. 评标委员会</w:t>
      </w:r>
    </w:p>
    <w:p w14:paraId="6BB6EEBD">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21.1评标由依法组建的评标委员会负责。</w:t>
      </w:r>
      <w:r>
        <w:rPr>
          <w:rFonts w:hint="eastAsia" w:ascii="宋体" w:hAnsi="宋体"/>
          <w:color w:val="000000" w:themeColor="text1"/>
          <w:sz w:val="24"/>
          <w:szCs w:val="24"/>
          <w:highlight w:val="none"/>
          <w14:textFill>
            <w14:solidFill>
              <w14:schemeClr w14:val="tx1"/>
            </w14:solidFill>
          </w14:textFill>
        </w:rPr>
        <w:t>评标专家</w:t>
      </w:r>
      <w:r>
        <w:rPr>
          <w:rFonts w:hint="eastAsia" w:ascii="宋体" w:hAnsi="宋体"/>
          <w:color w:val="000000" w:themeColor="text1"/>
          <w:kern w:val="0"/>
          <w:sz w:val="24"/>
          <w:szCs w:val="24"/>
          <w:highlight w:val="none"/>
          <w14:textFill>
            <w14:solidFill>
              <w14:schemeClr w14:val="tx1"/>
            </w14:solidFill>
          </w14:textFill>
        </w:rPr>
        <w:t>在招标监督部门的监督下，从评标专家库中随机抽取。评标委员会根据本项目招标文件的评定标办法独立完成评标工作</w:t>
      </w:r>
      <w:r>
        <w:rPr>
          <w:rFonts w:hint="eastAsia" w:ascii="宋体" w:hAnsi="宋体"/>
          <w:color w:val="000000" w:themeColor="text1"/>
          <w:sz w:val="24"/>
          <w:szCs w:val="24"/>
          <w:highlight w:val="none"/>
          <w14:textFill>
            <w14:solidFill>
              <w14:schemeClr w14:val="tx1"/>
            </w14:solidFill>
          </w14:textFill>
        </w:rPr>
        <w:t>，任何人不得干预评委的正常评标工作。</w:t>
      </w:r>
    </w:p>
    <w:p w14:paraId="2F7A4051">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21.2评标委员会成员有下列情形之一的，应当回避：</w:t>
      </w:r>
    </w:p>
    <w:p w14:paraId="49FB9E92">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（1）采购人或</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的主要负责人的近亲属；</w:t>
      </w:r>
    </w:p>
    <w:p w14:paraId="026B553F">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（2）项目主管部门或者行政监督部门的人员；</w:t>
      </w:r>
    </w:p>
    <w:p w14:paraId="00DD1148">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（3）与</w:t>
      </w:r>
      <w:r>
        <w:rPr>
          <w:rFonts w:hint="eastAsia" w:ascii="宋体" w:hAnsi="宋体"/>
          <w:color w:val="000000" w:themeColor="text1"/>
          <w:kern w:val="0"/>
          <w:sz w:val="24"/>
          <w:szCs w:val="24"/>
          <w:highlight w:val="none"/>
          <w:lang w:eastAsia="zh-CN"/>
          <w14:textFill>
            <w14:solidFill>
              <w14:schemeClr w14:val="tx1"/>
            </w14:solidFill>
          </w14:textFill>
        </w:rPr>
        <w:t>供应商</w:t>
      </w:r>
      <w:r>
        <w:rPr>
          <w:rFonts w:hint="eastAsia" w:ascii="宋体" w:hAnsi="宋体"/>
          <w:color w:val="000000" w:themeColor="text1"/>
          <w:kern w:val="0"/>
          <w:sz w:val="24"/>
          <w:szCs w:val="24"/>
          <w:highlight w:val="none"/>
          <w14:textFill>
            <w14:solidFill>
              <w14:schemeClr w14:val="tx1"/>
            </w14:solidFill>
          </w14:textFill>
        </w:rPr>
        <w:t>有经济利益关系，可能影响对投标公正评审的；</w:t>
      </w:r>
    </w:p>
    <w:p w14:paraId="568FC087">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（4）曾因在招标、评标以及其他与招标投标有关活动中从事违法行为而受过行政处罚或刑事处罚的。</w:t>
      </w:r>
    </w:p>
    <w:p w14:paraId="4785B357">
      <w:pPr>
        <w:widowControl w:val="0"/>
        <w:snapToGrid w:val="0"/>
        <w:spacing w:before="156" w:after="156" w:line="440" w:lineRule="exact"/>
        <w:jc w:val="left"/>
        <w:rPr>
          <w:rFonts w:hint="eastAsia" w:ascii="宋体" w:hAnsi="宋体"/>
          <w:b/>
          <w:bCs/>
          <w:color w:val="000000" w:themeColor="text1"/>
          <w:kern w:val="0"/>
          <w:sz w:val="24"/>
          <w:szCs w:val="24"/>
          <w:highlight w:val="none"/>
          <w14:textFill>
            <w14:solidFill>
              <w14:schemeClr w14:val="tx1"/>
            </w14:solidFill>
          </w14:textFill>
        </w:rPr>
      </w:pPr>
      <w:bookmarkStart w:id="47" w:name="_Toc152042340"/>
      <w:bookmarkEnd w:id="47"/>
      <w:bookmarkStart w:id="48" w:name="_Toc292893126"/>
      <w:bookmarkEnd w:id="48"/>
      <w:bookmarkStart w:id="49" w:name="_Toc144974532"/>
      <w:bookmarkEnd w:id="49"/>
      <w:bookmarkStart w:id="50" w:name="_Toc179632582"/>
      <w:bookmarkEnd w:id="50"/>
      <w:bookmarkStart w:id="51" w:name="_Toc152045564"/>
      <w:bookmarkEnd w:id="51"/>
      <w:bookmarkStart w:id="52" w:name="_Toc217446060"/>
      <w:r>
        <w:rPr>
          <w:rFonts w:hint="eastAsia" w:ascii="宋体" w:hAnsi="宋体"/>
          <w:b/>
          <w:bCs/>
          <w:color w:val="000000" w:themeColor="text1"/>
          <w:kern w:val="0"/>
          <w:sz w:val="24"/>
          <w:szCs w:val="24"/>
          <w:highlight w:val="none"/>
          <w14:textFill>
            <w14:solidFill>
              <w14:schemeClr w14:val="tx1"/>
            </w14:solidFill>
          </w14:textFill>
        </w:rPr>
        <w:t>22．评标原则</w:t>
      </w:r>
      <w:r>
        <w:rPr>
          <w:rFonts w:hint="eastAsia" w:ascii="宋体" w:hAnsi="宋体"/>
          <w:b/>
          <w:bCs/>
          <w:color w:val="000000" w:themeColor="text1"/>
          <w:kern w:val="0"/>
          <w:sz w:val="24"/>
          <w:szCs w:val="24"/>
          <w:highlight w:val="none"/>
          <w14:textFill>
            <w14:solidFill>
              <w14:schemeClr w14:val="tx1"/>
            </w14:solidFill>
          </w14:textFill>
        </w:rPr>
        <w:tab/>
      </w:r>
    </w:p>
    <w:p w14:paraId="18906ACF">
      <w:pPr>
        <w:widowControl w:val="0"/>
        <w:tabs>
          <w:tab w:val="left" w:pos="540"/>
        </w:tabs>
        <w:spacing w:line="440" w:lineRule="exact"/>
        <w:ind w:firstLine="495"/>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评标活动遵循公平、公正、科学和择优的原则。</w:t>
      </w:r>
    </w:p>
    <w:p w14:paraId="0E7C372D">
      <w:pPr>
        <w:widowControl w:val="0"/>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bookmarkStart w:id="53" w:name="_Toc179632583"/>
      <w:bookmarkEnd w:id="53"/>
      <w:bookmarkStart w:id="54" w:name="_Toc144974533"/>
      <w:bookmarkEnd w:id="54"/>
      <w:bookmarkStart w:id="55" w:name="_Toc292893127"/>
      <w:bookmarkEnd w:id="55"/>
      <w:bookmarkStart w:id="56" w:name="_Toc152042341"/>
      <w:bookmarkEnd w:id="56"/>
      <w:bookmarkStart w:id="57" w:name="_Toc152045565"/>
      <w:bookmarkEnd w:id="57"/>
      <w:r>
        <w:rPr>
          <w:rFonts w:hint="eastAsia" w:ascii="宋体" w:hAnsi="宋体"/>
          <w:b/>
          <w:color w:val="000000" w:themeColor="text1"/>
          <w:kern w:val="0"/>
          <w:sz w:val="24"/>
          <w:highlight w:val="none"/>
          <w14:textFill>
            <w14:solidFill>
              <w14:schemeClr w14:val="tx1"/>
            </w14:solidFill>
          </w14:textFill>
        </w:rPr>
        <w:t>23．评标</w:t>
      </w:r>
    </w:p>
    <w:p w14:paraId="50F4D02D">
      <w:pPr>
        <w:widowControl w:val="0"/>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评标委员会按照第三章“评标办法”规定的方法、评审因素、标准和程序对投标文件进行评审。第三章“评标办法”没有规定的方法、评审因素和标准，不作为评标依据。</w:t>
      </w:r>
    </w:p>
    <w:bookmarkEnd w:id="52"/>
    <w:p w14:paraId="00714D64">
      <w:pPr>
        <w:widowControl w:val="0"/>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bookmarkStart w:id="58" w:name="_Toc1862"/>
      <w:r>
        <w:rPr>
          <w:rFonts w:hint="eastAsia" w:ascii="宋体" w:hAnsi="宋体"/>
          <w:b/>
          <w:color w:val="000000" w:themeColor="text1"/>
          <w:kern w:val="0"/>
          <w:sz w:val="24"/>
          <w:highlight w:val="none"/>
          <w14:textFill>
            <w14:solidFill>
              <w14:schemeClr w14:val="tx1"/>
            </w14:solidFill>
          </w14:textFill>
        </w:rPr>
        <w:t>24．投标文件的初步评审</w:t>
      </w:r>
    </w:p>
    <w:p w14:paraId="7E610A7A">
      <w:pPr>
        <w:widowControl w:val="0"/>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24.1评标时，评标委员会将首先评定每份文件是否实质上响应了招标文件的要求。所谓实质上响应，是指投标文件应与招标文件的所有实质性条款、条件和要求相符，无显著差异或保留，或者对合同中约定的采购人的权利和供应商的义务方面造成重大的限制，纠正这些显著差异或保留将会对其他实质上响应招标文件要求的投标文件的供应商的竞争地位产生不公正的影响。</w:t>
      </w:r>
    </w:p>
    <w:p w14:paraId="53D59299">
      <w:pPr>
        <w:tabs>
          <w:tab w:val="left" w:pos="540"/>
        </w:tabs>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24.2实质上没响应招标文件要求的投标将被拒绝。供应商不得通过修正或撤销不合要求的偏离或保留从而使其投标成为实质上响应的投标。如发生下列情况之一的，不进入详细评审（打分程序）：</w:t>
      </w:r>
    </w:p>
    <w:p w14:paraId="4F217239">
      <w:pPr>
        <w:tabs>
          <w:tab w:val="left" w:pos="540"/>
        </w:tabs>
        <w:spacing w:line="480" w:lineRule="exact"/>
        <w:ind w:firstLine="495"/>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24.2.1投标文件（投标书）无投标单位电子印章并无法定代表人或法定代表人授权的代理人电子签章的；</w:t>
      </w:r>
    </w:p>
    <w:p w14:paraId="7D8C8EE4">
      <w:pPr>
        <w:tabs>
          <w:tab w:val="left" w:pos="540"/>
        </w:tabs>
        <w:snapToGrid w:val="0"/>
        <w:spacing w:line="480" w:lineRule="exact"/>
        <w:ind w:firstLine="495"/>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24.2.2投标单位递交两份或多份内容不同的投标文件，或在一份投标文件中对同一招标项目报有两个或多个报价，且未声明哪一个有效的；</w:t>
      </w:r>
    </w:p>
    <w:p w14:paraId="7961122E">
      <w:pPr>
        <w:tabs>
          <w:tab w:val="left" w:pos="540"/>
        </w:tabs>
        <w:snapToGrid w:val="0"/>
        <w:spacing w:line="480" w:lineRule="exact"/>
        <w:ind w:firstLine="495"/>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24.2.3投标文件附有招标方不能接受的条件的；</w:t>
      </w:r>
    </w:p>
    <w:p w14:paraId="13E7282B">
      <w:pPr>
        <w:tabs>
          <w:tab w:val="left" w:pos="540"/>
        </w:tabs>
        <w:snapToGrid w:val="0"/>
        <w:spacing w:line="480" w:lineRule="exact"/>
        <w:ind w:firstLine="495"/>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24.2.4投标文件中规定的其他情形。</w:t>
      </w:r>
    </w:p>
    <w:p w14:paraId="154EA786">
      <w:pPr>
        <w:tabs>
          <w:tab w:val="left" w:pos="540"/>
        </w:tabs>
        <w:snapToGrid w:val="0"/>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24.3投标文件一经开标，供应商无权予以更正或撤回。</w:t>
      </w:r>
    </w:p>
    <w:p w14:paraId="52D36249">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25．投标文件错误的修正</w:t>
      </w:r>
    </w:p>
    <w:p w14:paraId="4DD0A911">
      <w:pPr>
        <w:tabs>
          <w:tab w:val="left" w:pos="540"/>
        </w:tabs>
        <w:snapToGrid w:val="0"/>
        <w:spacing w:line="480" w:lineRule="exact"/>
        <w:ind w:firstLine="480" w:firstLineChars="200"/>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25.1评标委员会将对确定为实质上响应招标文件要求的投标文件进行校核，看其是否有计算或表达上的错误。开标时，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59CBF5A4">
      <w:pPr>
        <w:tabs>
          <w:tab w:val="left" w:pos="540"/>
        </w:tabs>
        <w:snapToGrid w:val="0"/>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25.2调整或修正投标文件的投标报价经供应商同意后，对供应商起约束作用。如果供应商不接受修正后的报价，则其投标将被拒绝，并不影响评标工作的进行。</w:t>
      </w:r>
    </w:p>
    <w:p w14:paraId="6E2F98F7">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26．投标文件的澄清</w:t>
      </w:r>
    </w:p>
    <w:p w14:paraId="3874B9AE">
      <w:pPr>
        <w:tabs>
          <w:tab w:val="left" w:pos="540"/>
        </w:tabs>
        <w:snapToGrid w:val="0"/>
        <w:spacing w:line="480" w:lineRule="exact"/>
        <w:ind w:firstLine="480" w:firstLineChars="200"/>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26.1在评标阶段，评标委员会认为需要时，可在电子交易系统中通知供应商要求澄清其投标文件中的问题，或者要求补充某些资料，对此，供应商不得拒绝。</w:t>
      </w:r>
    </w:p>
    <w:p w14:paraId="7AFC0B74">
      <w:pPr>
        <w:tabs>
          <w:tab w:val="left" w:pos="540"/>
        </w:tabs>
        <w:snapToGrid w:val="0"/>
        <w:spacing w:line="480" w:lineRule="exact"/>
        <w:ind w:firstLine="480" w:firstLineChars="200"/>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26.2有关澄清的答复，应在电子交易系统中进行，供应商不得借澄清问题的机会，与评标委员会及评标工作人员私下接触或对原投标报价或投标的实质性内容提出修改，但在评标中对发现的算术性差错进行的核实、修正，则不在此列。</w:t>
      </w:r>
    </w:p>
    <w:p w14:paraId="55255842">
      <w:pPr>
        <w:tabs>
          <w:tab w:val="left" w:pos="540"/>
        </w:tabs>
        <w:snapToGrid w:val="0"/>
        <w:spacing w:line="480" w:lineRule="exact"/>
        <w:ind w:firstLine="480" w:firstLineChars="200"/>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26.3评标委员会不接受供应商主动提出的澄清。</w:t>
      </w:r>
    </w:p>
    <w:p w14:paraId="35C93DE9">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27.投标文件的评价与比较</w:t>
      </w:r>
    </w:p>
    <w:p w14:paraId="5EEA047B">
      <w:pPr>
        <w:tabs>
          <w:tab w:val="left" w:pos="540"/>
        </w:tabs>
        <w:snapToGrid w:val="0"/>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27.1评标委员会依据本招标文件第三章“评标办法”对通过初审的投标文件进行评价和比较。</w:t>
      </w:r>
    </w:p>
    <w:p w14:paraId="149F553C">
      <w:pPr>
        <w:tabs>
          <w:tab w:val="left" w:pos="540"/>
        </w:tabs>
        <w:snapToGrid w:val="0"/>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27.2 评标委员会向采购人提交书面评标报告，并依次推荐综合得分排名位于前3名的合格供应商为中标候选供应商。</w:t>
      </w:r>
    </w:p>
    <w:p w14:paraId="48FE19DF">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28.评标过程的保密</w:t>
      </w:r>
    </w:p>
    <w:p w14:paraId="6B1DC262">
      <w:pPr>
        <w:tabs>
          <w:tab w:val="left" w:pos="540"/>
        </w:tabs>
        <w:snapToGrid w:val="0"/>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28.1 开标后，直至授予中标供应商合同为止，评标委员会成员和与评标工作有关的工作人员不得透露对投标文件的评审和比较、中标候选供应商的推荐情况以及与评标有关的其他情况。</w:t>
      </w:r>
    </w:p>
    <w:p w14:paraId="27832891">
      <w:pPr>
        <w:tabs>
          <w:tab w:val="left" w:pos="540"/>
        </w:tabs>
        <w:snapToGrid w:val="0"/>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28.2 在投标文件的评审和比较、中标候选供应商推荐以及授予合同的过程中，供应商向采购人和评标委员会施加影响的任何行为，都将会导致其投标被拒绝。</w:t>
      </w:r>
    </w:p>
    <w:p w14:paraId="11EA050D">
      <w:pPr>
        <w:tabs>
          <w:tab w:val="left" w:pos="540"/>
        </w:tabs>
        <w:snapToGrid w:val="0"/>
        <w:spacing w:line="480" w:lineRule="exact"/>
        <w:ind w:firstLine="493"/>
        <w:jc w:val="left"/>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28.3 中标供应商确定后，采购人不对未中标供应商就评标过程以及未能中标做出任何解释。未中标供应商不得向评标委员会组成人员或其他有关人员索问评标过程的情况和材料。</w:t>
      </w:r>
    </w:p>
    <w:p w14:paraId="6FA5F79C">
      <w:pPr>
        <w:snapToGrid w:val="0"/>
        <w:spacing w:before="156" w:after="156" w:line="480" w:lineRule="exact"/>
        <w:jc w:val="left"/>
        <w:rPr>
          <w:rFonts w:hint="eastAsia" w:ascii="宋体" w:hAnsi="宋体"/>
          <w:b/>
          <w:color w:val="000000" w:themeColor="text1"/>
          <w:kern w:val="0"/>
          <w:sz w:val="24"/>
          <w:highlight w:val="none"/>
          <w14:textFill>
            <w14:solidFill>
              <w14:schemeClr w14:val="tx1"/>
            </w14:solidFill>
          </w14:textFill>
        </w:rPr>
      </w:pPr>
      <w:bookmarkStart w:id="59" w:name="_Toc152042342"/>
      <w:bookmarkEnd w:id="59"/>
      <w:bookmarkStart w:id="60" w:name="_Toc144974534"/>
      <w:bookmarkEnd w:id="60"/>
      <w:bookmarkStart w:id="61" w:name="_Toc152045566"/>
      <w:bookmarkEnd w:id="61"/>
      <w:bookmarkStart w:id="62" w:name="_Toc179632584"/>
      <w:bookmarkEnd w:id="62"/>
      <w:bookmarkStart w:id="63" w:name="_Toc292893128"/>
      <w:bookmarkEnd w:id="63"/>
      <w:r>
        <w:rPr>
          <w:rFonts w:hint="eastAsia" w:ascii="宋体" w:hAnsi="宋体"/>
          <w:b/>
          <w:color w:val="000000" w:themeColor="text1"/>
          <w:kern w:val="0"/>
          <w:sz w:val="24"/>
          <w:highlight w:val="none"/>
          <w14:textFill>
            <w14:solidFill>
              <w14:schemeClr w14:val="tx1"/>
            </w14:solidFill>
          </w14:textFill>
        </w:rPr>
        <w:t>29.合同授予</w:t>
      </w:r>
    </w:p>
    <w:p w14:paraId="5B525B11">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bookmarkStart w:id="64" w:name="_Toc292893129"/>
      <w:bookmarkEnd w:id="64"/>
      <w:bookmarkStart w:id="65" w:name="_Toc144974535"/>
      <w:bookmarkEnd w:id="65"/>
      <w:bookmarkStart w:id="66" w:name="_Toc152045567"/>
      <w:bookmarkEnd w:id="66"/>
      <w:bookmarkStart w:id="67" w:name="_Toc179632585"/>
      <w:bookmarkEnd w:id="67"/>
      <w:bookmarkStart w:id="68" w:name="_Toc152042343"/>
      <w:bookmarkEnd w:id="68"/>
      <w:r>
        <w:rPr>
          <w:rFonts w:hint="eastAsia" w:ascii="宋体" w:hAnsi="宋体"/>
          <w:color w:val="000000" w:themeColor="text1"/>
          <w:kern w:val="0"/>
          <w:sz w:val="24"/>
          <w:highlight w:val="none"/>
          <w14:textFill>
            <w14:solidFill>
              <w14:schemeClr w14:val="tx1"/>
            </w14:solidFill>
          </w14:textFill>
        </w:rPr>
        <w:t>29.1 定标方式：采购人据评标委员会推荐的中标候选供应商确定中标供应商。</w:t>
      </w:r>
    </w:p>
    <w:p w14:paraId="5988452B">
      <w:pPr>
        <w:tabs>
          <w:tab w:val="left" w:pos="540"/>
        </w:tabs>
        <w:spacing w:line="480" w:lineRule="exact"/>
        <w:ind w:firstLine="495"/>
        <w:jc w:val="left"/>
        <w:rPr>
          <w:rFonts w:hint="eastAsia" w:ascii="宋体" w:hAnsi="宋体"/>
          <w:color w:val="000000" w:themeColor="text1"/>
          <w:kern w:val="0"/>
          <w:sz w:val="24"/>
          <w:highlight w:val="none"/>
          <w14:textFill>
            <w14:solidFill>
              <w14:schemeClr w14:val="tx1"/>
            </w14:solidFill>
          </w14:textFill>
        </w:rPr>
      </w:pPr>
      <w:bookmarkStart w:id="69" w:name="_Toc179632586"/>
      <w:bookmarkStart w:id="70" w:name="_Toc152045568"/>
      <w:bookmarkStart w:id="71" w:name="_Toc144974536"/>
      <w:bookmarkStart w:id="72" w:name="_Toc152042344"/>
      <w:bookmarkStart w:id="73" w:name="_Toc292893130"/>
      <w:r>
        <w:rPr>
          <w:rFonts w:hint="eastAsia" w:ascii="宋体" w:hAnsi="宋体"/>
          <w:color w:val="000000" w:themeColor="text1"/>
          <w:kern w:val="0"/>
          <w:sz w:val="24"/>
          <w:highlight w:val="none"/>
          <w14:textFill>
            <w14:solidFill>
              <w14:schemeClr w14:val="tx1"/>
            </w14:solidFill>
          </w14:textFill>
        </w:rPr>
        <w:t>29.2 招标方在授予合同时有权根据具体情况对招标文件规定的货物数量和服务予以增加或减少,但不得对单价或其它的条款做任何改变。</w:t>
      </w:r>
    </w:p>
    <w:bookmarkEnd w:id="69"/>
    <w:bookmarkEnd w:id="70"/>
    <w:bookmarkEnd w:id="71"/>
    <w:bookmarkEnd w:id="72"/>
    <w:bookmarkEnd w:id="73"/>
    <w:p w14:paraId="6EDCD97B">
      <w:pPr>
        <w:spacing w:line="480" w:lineRule="exact"/>
        <w:ind w:firstLine="470" w:firstLineChars="196"/>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29.3 中标通知：在规定的投标有效期内，采购人以书面形式向中标供应商发出中标通知书，同时将中标结果通知未中标的供应商。中标供应商在收到通知书后24小时内，应予以书面确认。中标通知书将成为合同的组成部分。</w:t>
      </w:r>
    </w:p>
    <w:p w14:paraId="011DA09E">
      <w:pPr>
        <w:snapToGrid w:val="0"/>
        <w:spacing w:before="156" w:after="156" w:line="440" w:lineRule="exact"/>
        <w:jc w:val="left"/>
        <w:rPr>
          <w:rFonts w:hint="eastAsia" w:ascii="宋体" w:hAnsi="宋体"/>
          <w:b/>
          <w:color w:val="000000" w:themeColor="text1"/>
          <w:kern w:val="0"/>
          <w:sz w:val="24"/>
          <w:highlight w:val="none"/>
          <w14:textFill>
            <w14:solidFill>
              <w14:schemeClr w14:val="tx1"/>
            </w14:solidFill>
          </w14:textFill>
        </w:rPr>
      </w:pPr>
      <w:bookmarkStart w:id="74" w:name="_Toc292893131"/>
      <w:bookmarkEnd w:id="74"/>
      <w:bookmarkStart w:id="75" w:name="_Toc144974538"/>
      <w:bookmarkEnd w:id="75"/>
      <w:bookmarkStart w:id="76" w:name="_Toc179632588"/>
      <w:bookmarkEnd w:id="76"/>
      <w:bookmarkStart w:id="77" w:name="_Toc152045570"/>
      <w:bookmarkEnd w:id="77"/>
      <w:bookmarkStart w:id="78" w:name="_Toc152042346"/>
      <w:bookmarkEnd w:id="78"/>
      <w:r>
        <w:rPr>
          <w:rFonts w:hint="eastAsia" w:ascii="宋体" w:hAnsi="宋体"/>
          <w:b/>
          <w:color w:val="000000" w:themeColor="text1"/>
          <w:kern w:val="0"/>
          <w:sz w:val="24"/>
          <w:highlight w:val="none"/>
          <w14:textFill>
            <w14:solidFill>
              <w14:schemeClr w14:val="tx1"/>
            </w14:solidFill>
          </w14:textFill>
        </w:rPr>
        <w:t>30．签订合同</w:t>
      </w:r>
    </w:p>
    <w:p w14:paraId="1638B774">
      <w:pPr>
        <w:spacing w:line="480" w:lineRule="exact"/>
        <w:ind w:firstLine="470" w:firstLineChars="196"/>
        <w:rPr>
          <w:rFonts w:hint="eastAsia" w:ascii="宋体" w:hAnsi="宋体"/>
          <w:color w:val="000000" w:themeColor="text1"/>
          <w:kern w:val="0"/>
          <w:sz w:val="24"/>
          <w:highlight w:val="none"/>
          <w14:textFill>
            <w14:solidFill>
              <w14:schemeClr w14:val="tx1"/>
            </w14:solidFill>
          </w14:textFill>
        </w:rPr>
      </w:pPr>
      <w:bookmarkStart w:id="79" w:name="_Toc179632589"/>
      <w:bookmarkStart w:id="80" w:name="_Toc292893132"/>
      <w:bookmarkStart w:id="81" w:name="_Toc152042347"/>
      <w:bookmarkStart w:id="82" w:name="_Toc144974539"/>
      <w:bookmarkStart w:id="83" w:name="_Toc152045571"/>
      <w:r>
        <w:rPr>
          <w:rFonts w:hint="eastAsia" w:ascii="宋体" w:hAnsi="宋体"/>
          <w:color w:val="000000" w:themeColor="text1"/>
          <w:kern w:val="0"/>
          <w:sz w:val="24"/>
          <w:highlight w:val="none"/>
          <w14:textFill>
            <w14:solidFill>
              <w14:schemeClr w14:val="tx1"/>
            </w14:solidFill>
          </w14:textFill>
        </w:rPr>
        <w:t>30.1采购人和中标供应商应当自中标通知书发出之日起规定时间内，根据招标文件和中标供应商的投标文件订立书面合同。中标供应商无正当理由拒签合同的，采购人取消其中标资格；给采购人造成的损失的，中标供应商还应当对造成的损失的部分予以赔偿，同时依法承担相应法律责任。</w:t>
      </w:r>
    </w:p>
    <w:p w14:paraId="2ACB2693">
      <w:pPr>
        <w:spacing w:line="480" w:lineRule="exact"/>
        <w:ind w:firstLine="470" w:firstLineChars="196"/>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30.2发出中标通知书后，采购人无正当理由拒签合同的，给中标供应商造成损失的，还应当赔偿损失。</w:t>
      </w:r>
    </w:p>
    <w:bookmarkEnd w:id="79"/>
    <w:bookmarkEnd w:id="80"/>
    <w:bookmarkEnd w:id="81"/>
    <w:bookmarkEnd w:id="82"/>
    <w:bookmarkEnd w:id="83"/>
    <w:p w14:paraId="1AEE152B">
      <w:pPr>
        <w:snapToGrid w:val="0"/>
        <w:spacing w:before="156" w:after="156" w:line="44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31.中标服务费</w:t>
      </w:r>
    </w:p>
    <w:p w14:paraId="50F77F7C">
      <w:pPr>
        <w:spacing w:line="480" w:lineRule="exact"/>
        <w:ind w:firstLine="470" w:firstLineChars="196"/>
        <w:rPr>
          <w:rFonts w:hint="eastAsia" w:ascii="宋体" w:hAnsi="宋体"/>
          <w:color w:val="000000" w:themeColor="text1"/>
          <w:kern w:val="0"/>
          <w:sz w:val="24"/>
          <w:highlight w:val="none"/>
          <w14:textFill>
            <w14:solidFill>
              <w14:schemeClr w14:val="tx1"/>
            </w14:solidFill>
          </w14:textFill>
        </w:rPr>
      </w:pPr>
      <w:bookmarkStart w:id="84" w:name="_Toc152045574"/>
      <w:bookmarkStart w:id="85" w:name="_Toc179632592"/>
      <w:bookmarkStart w:id="86" w:name="_Toc292893133"/>
      <w:bookmarkStart w:id="87" w:name="_Toc144974542"/>
      <w:bookmarkStart w:id="88" w:name="_Toc152042350"/>
      <w:r>
        <w:rPr>
          <w:rFonts w:hint="eastAsia" w:ascii="宋体" w:hAnsi="宋体"/>
          <w:color w:val="000000" w:themeColor="text1"/>
          <w:kern w:val="0"/>
          <w:sz w:val="24"/>
          <w:highlight w:val="none"/>
          <w14:textFill>
            <w14:solidFill>
              <w14:schemeClr w14:val="tx1"/>
            </w14:solidFill>
          </w14:textFill>
        </w:rPr>
        <w:t>供应商如果中标，则参照豫招协《河南省招标代理服务收费指导意见》【2023】002号文规定，本项目代理服务费</w:t>
      </w:r>
      <w:r>
        <w:rPr>
          <w:rFonts w:hint="eastAsia" w:ascii="宋体" w:hAnsi="宋体"/>
          <w:color w:val="000000" w:themeColor="text1"/>
          <w:kern w:val="0"/>
          <w:sz w:val="24"/>
          <w:highlight w:val="none"/>
          <w:lang w:val="en-US" w:eastAsia="zh-CN"/>
          <w14:textFill>
            <w14:solidFill>
              <w14:schemeClr w14:val="tx1"/>
            </w14:solidFill>
          </w14:textFill>
        </w:rPr>
        <w:t>15800.00</w:t>
      </w:r>
      <w:r>
        <w:rPr>
          <w:rFonts w:hint="eastAsia" w:ascii="宋体" w:hAnsi="宋体"/>
          <w:color w:val="000000" w:themeColor="text1"/>
          <w:kern w:val="0"/>
          <w:sz w:val="24"/>
          <w:highlight w:val="none"/>
          <w14:textFill>
            <w14:solidFill>
              <w14:schemeClr w14:val="tx1"/>
            </w14:solidFill>
          </w14:textFill>
        </w:rPr>
        <w:t>元，中标人向河南荣之鑫工程管理有限公司一次性交清本次项目招标代理服务费。</w:t>
      </w:r>
    </w:p>
    <w:bookmarkEnd w:id="84"/>
    <w:bookmarkEnd w:id="85"/>
    <w:bookmarkEnd w:id="86"/>
    <w:bookmarkEnd w:id="87"/>
    <w:bookmarkEnd w:id="88"/>
    <w:p w14:paraId="336F76ED">
      <w:pPr>
        <w:snapToGrid w:val="0"/>
        <w:spacing w:before="156" w:after="156" w:line="44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32.纪律和监督</w:t>
      </w:r>
    </w:p>
    <w:p w14:paraId="3ECBC005">
      <w:pPr>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bookmarkStart w:id="89" w:name="_Toc144974543"/>
      <w:bookmarkEnd w:id="89"/>
      <w:bookmarkStart w:id="90" w:name="_Toc152042351"/>
      <w:bookmarkEnd w:id="90"/>
      <w:bookmarkStart w:id="91" w:name="_Toc152045575"/>
      <w:bookmarkEnd w:id="91"/>
      <w:bookmarkStart w:id="92" w:name="_Toc292893134"/>
      <w:bookmarkEnd w:id="92"/>
      <w:bookmarkStart w:id="93" w:name="_Toc179632593"/>
      <w:bookmarkEnd w:id="93"/>
      <w:r>
        <w:rPr>
          <w:rFonts w:hint="eastAsia" w:ascii="宋体" w:hAnsi="宋体"/>
          <w:color w:val="000000" w:themeColor="text1"/>
          <w:kern w:val="0"/>
          <w:sz w:val="24"/>
          <w:highlight w:val="none"/>
          <w14:textFill>
            <w14:solidFill>
              <w14:schemeClr w14:val="tx1"/>
            </w14:solidFill>
          </w14:textFill>
        </w:rPr>
        <w:t>32.1对采购人的纪律要求：采购人不得泄漏招标投标活动中应当保密的情况和资料，不得与供应商串通损害国家利益、社会公共利益或者他人合法权益。</w:t>
      </w:r>
    </w:p>
    <w:p w14:paraId="708DBA49">
      <w:pPr>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bookmarkStart w:id="94" w:name="_Toc152045576"/>
      <w:bookmarkEnd w:id="94"/>
      <w:bookmarkStart w:id="95" w:name="_Toc152042352"/>
      <w:bookmarkEnd w:id="95"/>
      <w:bookmarkStart w:id="96" w:name="_Toc179632594"/>
      <w:bookmarkEnd w:id="96"/>
      <w:bookmarkStart w:id="97" w:name="_Toc144974544"/>
      <w:bookmarkEnd w:id="97"/>
      <w:bookmarkStart w:id="98" w:name="_Toc292893135"/>
      <w:bookmarkEnd w:id="98"/>
      <w:bookmarkStart w:id="99" w:name="_Toc292893136"/>
      <w:bookmarkStart w:id="100" w:name="_Toc152045577"/>
      <w:bookmarkStart w:id="101" w:name="_Toc152042353"/>
      <w:bookmarkStart w:id="102" w:name="_Toc179632595"/>
      <w:bookmarkStart w:id="103" w:name="_Toc144974545"/>
      <w:r>
        <w:rPr>
          <w:rFonts w:hint="eastAsia" w:ascii="宋体" w:hAnsi="宋体"/>
          <w:color w:val="000000" w:themeColor="text1"/>
          <w:kern w:val="0"/>
          <w:sz w:val="24"/>
          <w:highlight w:val="none"/>
          <w14:textFill>
            <w14:solidFill>
              <w14:schemeClr w14:val="tx1"/>
            </w14:solidFill>
          </w14:textFill>
        </w:rPr>
        <w:t>32.2 对供应商的纪律要求：供应商不得相互串通投标或者与采购人串通投标，不得向采购人或者评标委员会成员行贿谋取中标，不得以他人名义投标或者以其他方式弄虚作假骗取中标；供应商不得以任何方式干扰、影响评标工作。如发现供应商有上述不正当行为，将取消其投标资格或中标资格。</w:t>
      </w:r>
    </w:p>
    <w:bookmarkEnd w:id="99"/>
    <w:bookmarkEnd w:id="100"/>
    <w:bookmarkEnd w:id="101"/>
    <w:bookmarkEnd w:id="102"/>
    <w:bookmarkEnd w:id="103"/>
    <w:p w14:paraId="4C39FEF8">
      <w:pPr>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32.3 对评标委员会成员的纪律要求：评标委员会成员不得收受他人的财物或者其他好处，不得向他人透漏对投标文件的评审和比较、中标候选供应商的推荐情况以及评标有关的其他情况。在评标活动中，评标委员会成员不得擅离职守，影响评标程序正常进行，不得使用评标办法没有规定的评审因素和标准进行评标。</w:t>
      </w:r>
    </w:p>
    <w:p w14:paraId="0D9DF354">
      <w:pPr>
        <w:spacing w:line="440" w:lineRule="exact"/>
        <w:ind w:firstLine="480" w:firstLineChars="200"/>
        <w:rPr>
          <w:rFonts w:hint="eastAsia" w:ascii="宋体" w:hAnsi="宋体"/>
          <w:color w:val="000000" w:themeColor="text1"/>
          <w:kern w:val="0"/>
          <w:sz w:val="24"/>
          <w:highlight w:val="none"/>
          <w14:textFill>
            <w14:solidFill>
              <w14:schemeClr w14:val="tx1"/>
            </w14:solidFill>
          </w14:textFill>
        </w:rPr>
      </w:pPr>
      <w:bookmarkStart w:id="104" w:name="_Toc152042354"/>
      <w:bookmarkEnd w:id="104"/>
      <w:bookmarkStart w:id="105" w:name="_Toc179632596"/>
      <w:bookmarkEnd w:id="105"/>
      <w:bookmarkStart w:id="106" w:name="_Toc152045578"/>
      <w:bookmarkEnd w:id="106"/>
      <w:bookmarkStart w:id="107" w:name="_Toc144974546"/>
      <w:bookmarkEnd w:id="107"/>
      <w:bookmarkStart w:id="108" w:name="_Toc292893137"/>
      <w:bookmarkEnd w:id="108"/>
      <w:bookmarkStart w:id="109" w:name="_Toc152042355"/>
      <w:bookmarkEnd w:id="109"/>
      <w:r>
        <w:rPr>
          <w:rFonts w:hint="eastAsia" w:ascii="宋体" w:hAnsi="宋体"/>
          <w:color w:val="000000" w:themeColor="text1"/>
          <w:kern w:val="0"/>
          <w:sz w:val="24"/>
          <w:highlight w:val="none"/>
          <w14:textFill>
            <w14:solidFill>
              <w14:schemeClr w14:val="tx1"/>
            </w14:solidFill>
          </w14:textFill>
        </w:rPr>
        <w:t>32.4 对与评标活动有关的工作人员的纪律要求：与评标活动有关的工作人员不得收受他人的财物或者其他好处，不得向他人透漏对投标文件的评审和比较、中标候选供应商的推荐情况以及评标有关的其他情况。在评标活动中，与评标活动有关的工作人员不得擅离职守，影响评标程序正常进行。</w:t>
      </w:r>
    </w:p>
    <w:p w14:paraId="37A41721">
      <w:pPr>
        <w:snapToGrid w:val="0"/>
        <w:spacing w:before="156" w:after="156" w:line="440" w:lineRule="exact"/>
        <w:jc w:val="left"/>
        <w:rPr>
          <w:rFonts w:hint="eastAsia"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33.需要补充的其他内容（见供应商须知前附表）</w:t>
      </w:r>
    </w:p>
    <w:bookmarkEnd w:id="58"/>
    <w:p w14:paraId="19426414">
      <w:pPr>
        <w:pStyle w:val="29"/>
        <w:spacing w:before="100" w:after="100" w:line="360" w:lineRule="auto"/>
        <w:jc w:val="center"/>
        <w:rPr>
          <w:rFonts w:hint="eastAsia" w:ascii="宋体" w:hAnsi="宋体"/>
          <w:b w:val="0"/>
          <w:color w:val="000000" w:themeColor="text1"/>
          <w:kern w:val="0"/>
          <w:sz w:val="24"/>
          <w:highlight w:val="none"/>
          <w14:textFill>
            <w14:solidFill>
              <w14:schemeClr w14:val="tx1"/>
            </w14:solidFill>
          </w14:textFill>
        </w:rPr>
      </w:pPr>
      <w:r>
        <w:rPr>
          <w:rFonts w:hint="eastAsia" w:ascii="宋体" w:hAnsi="宋体"/>
          <w:b w:val="0"/>
          <w:color w:val="000000" w:themeColor="text1"/>
          <w:kern w:val="0"/>
          <w:sz w:val="24"/>
          <w:highlight w:val="none"/>
          <w14:textFill>
            <w14:solidFill>
              <w14:schemeClr w14:val="tx1"/>
            </w14:solidFill>
          </w14:textFill>
        </w:rPr>
        <w:br w:type="page"/>
      </w:r>
      <w:bookmarkStart w:id="110" w:name="_Toc29838"/>
      <w:r>
        <w:rPr>
          <w:rFonts w:hint="eastAsia" w:ascii="宋体" w:hAnsi="宋体"/>
          <w:color w:val="000000" w:themeColor="text1"/>
          <w:sz w:val="36"/>
          <w:szCs w:val="36"/>
          <w:highlight w:val="none"/>
          <w14:textFill>
            <w14:solidFill>
              <w14:schemeClr w14:val="tx1"/>
            </w14:solidFill>
          </w14:textFill>
        </w:rPr>
        <w:t>第三章  评标办法</w:t>
      </w:r>
      <w:bookmarkEnd w:id="110"/>
    </w:p>
    <w:p w14:paraId="38E03F2C">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一、评标、定标原则</w:t>
      </w:r>
    </w:p>
    <w:p w14:paraId="7D8BF90D">
      <w:pPr>
        <w:snapToGrid w:val="0"/>
        <w:spacing w:line="48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按照《中华人民共和国政府采购法》和七部委联合下发的《评标委员会和评标方法暂行规定》等的有关规定，坚持公开、公平、公正、诚实、守信、科学、择优的原则，反对不正当竞争。</w:t>
      </w:r>
    </w:p>
    <w:p w14:paraId="6EE5D7D9">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二、评标监督：由相关行政主管部门对招投标全过程进行监督。</w:t>
      </w:r>
    </w:p>
    <w:p w14:paraId="7AF64BB7">
      <w:pPr>
        <w:snapToGrid w:val="0"/>
        <w:spacing w:before="156" w:after="156" w:line="44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三、评标委员会</w:t>
      </w:r>
      <w:r>
        <w:rPr>
          <w:rFonts w:hint="eastAsia" w:ascii="宋体" w:hAnsi="宋体"/>
          <w:color w:val="000000" w:themeColor="text1"/>
          <w:sz w:val="24"/>
          <w:szCs w:val="24"/>
          <w:highlight w:val="none"/>
          <w14:textFill>
            <w14:solidFill>
              <w14:schemeClr w14:val="tx1"/>
            </w14:solidFill>
          </w14:textFill>
        </w:rPr>
        <w:t>：本项目评标委员会由采购人代表和评审专家组成，成员人数应当为5人以上单数，其中评审专家不得少于成员总人数的三分之二,在招标监督部门的监督下，从评标专家库中随机抽取。评标委员会根据本项目招标文件的评定标办法独立完成评标工作，任何人不得干预评委的正常评标工作。</w:t>
      </w:r>
    </w:p>
    <w:p w14:paraId="7BBCFDC9">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四、评标纪律：（评标现场宣读）</w:t>
      </w:r>
    </w:p>
    <w:p w14:paraId="262B9B84">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五、评标规则：</w:t>
      </w:r>
      <w:r>
        <w:rPr>
          <w:rFonts w:hint="eastAsia" w:ascii="宋体" w:hAnsi="宋体"/>
          <w:color w:val="000000" w:themeColor="text1"/>
          <w:sz w:val="24"/>
          <w:szCs w:val="24"/>
          <w:highlight w:val="none"/>
          <w14:textFill>
            <w14:solidFill>
              <w14:schemeClr w14:val="tx1"/>
            </w14:solidFill>
          </w14:textFill>
        </w:rPr>
        <w:t>采取百分制对各投标文件进行评审，计分过程按四舍五入取至小数点后两位，当出现并列时，保留至小数点后三位。具体评标过程分为两个阶段：</w:t>
      </w:r>
    </w:p>
    <w:p w14:paraId="73FFFD9E">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1．初步评审</w:t>
      </w:r>
    </w:p>
    <w:p w14:paraId="329B2F7A">
      <w:pPr>
        <w:snapToGrid w:val="0"/>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评委会首先按招标文件要求对</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的投标文件进行符合性评审。确认其投标文件是否实质上响应了招标文件的要求，对实质上响应招标文件要求的投标文件进行下一步评审。</w:t>
      </w:r>
    </w:p>
    <w:p w14:paraId="71CCFE2F">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2．细微偏差不影响投标文件的有效性</w:t>
      </w:r>
    </w:p>
    <w:p w14:paraId="426B16FC">
      <w:pPr>
        <w:snapToGrid w:val="0"/>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细微偏差是指投标文件在实质上响应招标文件要求，但个别地方存在漏项或者提供不了完整的技术信息和数据等情况，并且补正这些遗漏或者不完整不会对其他</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造成不公平的结果。如投标文件中数字大写和小写不一致的，以大写为准。</w:t>
      </w:r>
    </w:p>
    <w:p w14:paraId="6EF20AAB">
      <w:pPr>
        <w:snapToGrid w:val="0"/>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对于实质上符合招标文件要求的投标文件，采购人将对其投标文件的细微偏差进行校核。并对算数上和累积运算上的差错给与修正，这种修整应取得</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的同意并确认修正后的最终结果。如果</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拒绝确认，则其投标文件将不予评审。</w:t>
      </w:r>
    </w:p>
    <w:p w14:paraId="5E42B646">
      <w:pPr>
        <w:snapToGrid w:val="0"/>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评标委员会不对无效标评审。评标委员会不接受</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在投标文件递交截止时间之后主动进行的一切修正或撤销其不符合要求的偏差。</w:t>
      </w:r>
    </w:p>
    <w:p w14:paraId="2D124F9D">
      <w:pPr>
        <w:snapToGrid w:val="0"/>
        <w:spacing w:before="156" w:after="156"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3．详细评审</w:t>
      </w:r>
    </w:p>
    <w:p w14:paraId="74EE61A0">
      <w:pPr>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经初步评审合格的投标文件，评标委员会根据招标文件确定的评标标准和方法，对其投标文件做进一步评审与比较。</w:t>
      </w:r>
    </w:p>
    <w:p w14:paraId="519B5747">
      <w:pPr>
        <w:snapToGrid w:val="0"/>
        <w:spacing w:before="156" w:after="156" w:line="44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4．评标保密</w:t>
      </w:r>
    </w:p>
    <w:p w14:paraId="3E0C8B56">
      <w:pPr>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在确认中标供应商之前，凡属于投标文件的审查、澄清、评价和比较及有关授予合同的信息，凡参与评标的所有人员都不得向</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或与该过程无公务关系的其他人泄露。如果</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试图对采购人的评标过程或定标决定施加影响，则会导致其投标文件被拒绝。</w:t>
      </w:r>
    </w:p>
    <w:p w14:paraId="1A53AC6B">
      <w:pPr>
        <w:snapToGrid w:val="0"/>
        <w:spacing w:before="156" w:after="156" w:line="44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5．评标结果</w:t>
      </w:r>
    </w:p>
    <w:p w14:paraId="55FFAD51">
      <w:pPr>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评标委员会每位成员根据评标办法和标准，对所有投标文件进行集中审核分别打分后。各评委评分的算术平均值作为该</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的最终得分，计分取至小数点后两位，计分过程中小数点后第三位四舍五入。</w:t>
      </w:r>
    </w:p>
    <w:p w14:paraId="296FB536">
      <w:pPr>
        <w:snapToGrid w:val="0"/>
        <w:spacing w:before="156" w:after="156" w:line="44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6．定标</w:t>
      </w:r>
    </w:p>
    <w:p w14:paraId="7BB9A8D8">
      <w:pPr>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评标委员会将向采购人提交评标报告，并按照得分高低的顺序向采购人推荐排序前三名为中标候选供应商，采购人应当接受评标委员会推荐的中标候选供应商，不得在评标委员会推荐的中标候选供应商之外确定中标供应商。排名第一的中标候选供应商因不可抗力放弃中标或提出不能履行合同，采购人可依次确定排名第二或第三的中标候选供应商为中标供应商,也可以重新开展政府采购活动。</w:t>
      </w:r>
    </w:p>
    <w:p w14:paraId="4CF39CC2">
      <w:pPr>
        <w:snapToGrid w:val="0"/>
        <w:spacing w:before="156" w:after="156" w:line="44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7.评标的标准如下</w:t>
      </w:r>
    </w:p>
    <w:p w14:paraId="6D45E04C">
      <w:pPr>
        <w:snapToGrid w:val="0"/>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bookmarkStart w:id="111" w:name="_Toc318932195"/>
      <w:r>
        <w:rPr>
          <w:rFonts w:hint="eastAsia" w:ascii="宋体" w:hAnsi="宋体"/>
          <w:color w:val="000000" w:themeColor="text1"/>
          <w:sz w:val="24"/>
          <w:szCs w:val="24"/>
          <w:highlight w:val="none"/>
          <w14:textFill>
            <w14:solidFill>
              <w14:schemeClr w14:val="tx1"/>
            </w14:solidFill>
          </w14:textFill>
        </w:rPr>
        <w:t>评标委员会对初审后满足招标文件实质性要求的投标文件，按照本评分标准进行打分，并按得分由高到低顺序推荐3名中标候选供应商。综合评分相等时，以投标报价低的优先。</w:t>
      </w:r>
    </w:p>
    <w:p w14:paraId="2409B062">
      <w:pP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br w:type="page"/>
      </w:r>
    </w:p>
    <w:tbl>
      <w:tblPr>
        <w:tblStyle w:val="18"/>
        <w:tblW w:w="92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273"/>
        <w:gridCol w:w="6819"/>
      </w:tblGrid>
      <w:tr w14:paraId="12F9C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451" w:type="dxa"/>
            <w:gridSpan w:val="2"/>
            <w:tcBorders>
              <w:tl2br w:val="nil"/>
              <w:tr2bl w:val="nil"/>
            </w:tcBorders>
            <w:vAlign w:val="center"/>
          </w:tcPr>
          <w:p w14:paraId="28622888">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分值构成(总分100分)</w:t>
            </w:r>
          </w:p>
        </w:tc>
        <w:tc>
          <w:tcPr>
            <w:tcW w:w="6819" w:type="dxa"/>
            <w:tcBorders>
              <w:tl2br w:val="nil"/>
              <w:tr2bl w:val="nil"/>
            </w:tcBorders>
            <w:vAlign w:val="center"/>
          </w:tcPr>
          <w:p w14:paraId="0B5B1D93">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投标报价：30分</w:t>
            </w:r>
          </w:p>
          <w:p w14:paraId="3CAD5152">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技术部分：15分</w:t>
            </w:r>
          </w:p>
          <w:p w14:paraId="0BE49930">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综合部分：55分</w:t>
            </w:r>
          </w:p>
        </w:tc>
      </w:tr>
      <w:tr w14:paraId="1A0AC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1" w:type="dxa"/>
            <w:gridSpan w:val="2"/>
            <w:tcBorders>
              <w:tl2br w:val="nil"/>
              <w:tr2bl w:val="nil"/>
            </w:tcBorders>
            <w:vAlign w:val="center"/>
          </w:tcPr>
          <w:p w14:paraId="11A0EA84">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投标报价</w:t>
            </w:r>
          </w:p>
          <w:p w14:paraId="261F6C5F">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（30分）</w:t>
            </w:r>
          </w:p>
        </w:tc>
        <w:tc>
          <w:tcPr>
            <w:tcW w:w="6819" w:type="dxa"/>
            <w:tcBorders>
              <w:tl2br w:val="nil"/>
              <w:tr2bl w:val="nil"/>
            </w:tcBorders>
          </w:tcPr>
          <w:p w14:paraId="26262E08">
            <w:pPr>
              <w:pStyle w:val="16"/>
              <w:spacing w:after="0" w:line="440" w:lineRule="exact"/>
              <w:ind w:firstLine="0" w:firstLineChars="0"/>
              <w:jc w:val="left"/>
              <w:rPr>
                <w:rFonts w:hint="eastAsia" w:ascii="宋体" w:hAnsi="宋体" w:cs="宋体"/>
                <w:color w:val="000000" w:themeColor="text1"/>
                <w:sz w:val="21"/>
                <w:szCs w:val="21"/>
                <w:highlight w:val="none"/>
                <w:lang w:val="zh-CN"/>
                <w14:textFill>
                  <w14:solidFill>
                    <w14:schemeClr w14:val="tx1"/>
                  </w14:solidFill>
                </w14:textFill>
              </w:rPr>
            </w:pPr>
            <w:r>
              <w:rPr>
                <w:rFonts w:hint="eastAsia" w:ascii="宋体" w:hAnsi="宋体" w:cs="宋体"/>
                <w:color w:val="000000" w:themeColor="text1"/>
                <w:sz w:val="21"/>
                <w:szCs w:val="21"/>
                <w:highlight w:val="none"/>
                <w:lang w:val="zh-CN"/>
                <w14:textFill>
                  <w14:solidFill>
                    <w14:schemeClr w14:val="tx1"/>
                  </w14:solidFill>
                </w14:textFill>
              </w:rPr>
              <w:t>评标基准值=有效供应商的最低投标报价。</w:t>
            </w:r>
          </w:p>
          <w:p w14:paraId="7C90FEEA">
            <w:pPr>
              <w:pStyle w:val="16"/>
              <w:spacing w:after="0" w:line="440" w:lineRule="exact"/>
              <w:ind w:firstLine="0" w:firstLineChars="0"/>
              <w:jc w:val="left"/>
              <w:rPr>
                <w:rFonts w:hint="eastAsia" w:ascii="宋体" w:hAnsi="宋体" w:cs="宋体"/>
                <w:color w:val="000000" w:themeColor="text1"/>
                <w:sz w:val="21"/>
                <w:szCs w:val="21"/>
                <w:highlight w:val="none"/>
                <w:lang w:val="zh-CN"/>
                <w14:textFill>
                  <w14:solidFill>
                    <w14:schemeClr w14:val="tx1"/>
                  </w14:solidFill>
                </w14:textFill>
              </w:rPr>
            </w:pPr>
            <w:r>
              <w:rPr>
                <w:rFonts w:hint="eastAsia" w:ascii="宋体" w:hAnsi="宋体" w:cs="宋体"/>
                <w:color w:val="000000" w:themeColor="text1"/>
                <w:sz w:val="21"/>
                <w:szCs w:val="21"/>
                <w:highlight w:val="none"/>
                <w:lang w:val="zh-CN"/>
                <w14:textFill>
                  <w14:solidFill>
                    <w14:schemeClr w14:val="tx1"/>
                  </w14:solidFill>
                </w14:textFill>
              </w:rPr>
              <w:t>价格分统一采用低价优先法计算，即满足招标文件要求且投标价格最低的投标报投标价为评标基准价，其价格分为满分。其他供应商的价格分统一按照下面公式计算：投标报价得分=（评标基准价/投标报价）×</w:t>
            </w:r>
            <w:r>
              <w:rPr>
                <w:rFonts w:hint="eastAsia" w:ascii="宋体" w:hAnsi="宋体" w:cs="宋体"/>
                <w:color w:val="000000" w:themeColor="text1"/>
                <w:sz w:val="21"/>
                <w:szCs w:val="21"/>
                <w:highlight w:val="none"/>
                <w14:textFill>
                  <w14:solidFill>
                    <w14:schemeClr w14:val="tx1"/>
                  </w14:solidFill>
                </w14:textFill>
              </w:rPr>
              <w:t>3</w:t>
            </w:r>
            <w:r>
              <w:rPr>
                <w:rFonts w:hint="eastAsia" w:ascii="宋体" w:hAnsi="宋体" w:cs="宋体"/>
                <w:color w:val="000000" w:themeColor="text1"/>
                <w:sz w:val="21"/>
                <w:szCs w:val="21"/>
                <w:highlight w:val="none"/>
                <w:lang w:val="zh-CN"/>
                <w14:textFill>
                  <w14:solidFill>
                    <w14:schemeClr w14:val="tx1"/>
                  </w14:solidFill>
                </w14:textFill>
              </w:rPr>
              <w:t>0。</w:t>
            </w:r>
          </w:p>
          <w:p w14:paraId="4E2B5EB8">
            <w:pPr>
              <w:pStyle w:val="16"/>
              <w:spacing w:after="0" w:line="440" w:lineRule="exact"/>
              <w:ind w:firstLine="0" w:firstLineChars="0"/>
              <w:jc w:val="left"/>
              <w:rPr>
                <w:rFonts w:hint="eastAsia" w:ascii="宋体" w:hAnsi="宋体" w:cs="宋体"/>
                <w:color w:val="000000" w:themeColor="text1"/>
                <w:sz w:val="21"/>
                <w:szCs w:val="21"/>
                <w:highlight w:val="none"/>
                <w:lang w:val="zh-CN"/>
                <w14:textFill>
                  <w14:solidFill>
                    <w14:schemeClr w14:val="tx1"/>
                  </w14:solidFill>
                </w14:textFill>
              </w:rPr>
            </w:pPr>
            <w:r>
              <w:rPr>
                <w:rFonts w:hint="eastAsia" w:ascii="宋体" w:hAnsi="宋体" w:cs="宋体"/>
                <w:color w:val="000000" w:themeColor="text1"/>
                <w:sz w:val="21"/>
                <w:szCs w:val="21"/>
                <w:highlight w:val="none"/>
                <w:lang w:val="zh-CN"/>
                <w14:textFill>
                  <w14:solidFill>
                    <w14:schemeClr w14:val="tx1"/>
                  </w14:solidFill>
                </w14:textFill>
              </w:rPr>
              <w:t>注：</w:t>
            </w:r>
            <w:r>
              <w:rPr>
                <w:rFonts w:hint="eastAsia" w:ascii="宋体" w:hAnsi="宋体" w:cs="宋体"/>
                <w:color w:val="000000" w:themeColor="text1"/>
                <w:sz w:val="21"/>
                <w:szCs w:val="21"/>
                <w:highlight w:val="none"/>
                <w14:textFill>
                  <w14:solidFill>
                    <w14:schemeClr w14:val="tx1"/>
                  </w14:solidFill>
                </w14:textFill>
              </w:rPr>
              <w:t>1.</w:t>
            </w:r>
            <w:r>
              <w:rPr>
                <w:rFonts w:hint="eastAsia" w:ascii="宋体" w:hAnsi="宋体" w:cs="宋体"/>
                <w:color w:val="000000" w:themeColor="text1"/>
                <w:sz w:val="21"/>
                <w:szCs w:val="21"/>
                <w:highlight w:val="none"/>
                <w:lang w:val="zh-CN"/>
                <w14:textFill>
                  <w14:solidFill>
                    <w14:schemeClr w14:val="tx1"/>
                  </w14:solidFill>
                </w14:textFill>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76BC273B">
            <w:pPr>
              <w:pStyle w:val="16"/>
              <w:numPr>
                <w:ilvl w:val="0"/>
                <w:numId w:val="0"/>
              </w:numPr>
              <w:spacing w:after="0" w:line="440" w:lineRule="exact"/>
              <w:ind w:firstLine="0" w:firstLineChars="0"/>
              <w:jc w:val="left"/>
              <w:rPr>
                <w:rFonts w:hint="eastAsia" w:ascii="宋体" w:hAnsi="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lang w:val="zh-CN" w:eastAsia="zh-CN" w:bidi="ar-SA"/>
                <w14:textFill>
                  <w14:solidFill>
                    <w14:schemeClr w14:val="tx1"/>
                  </w14:solidFill>
                </w14:textFill>
              </w:rPr>
              <w:t>2.</w:t>
            </w:r>
            <w:r>
              <w:rPr>
                <w:rFonts w:hint="eastAsia" w:ascii="宋体" w:hAnsi="宋体" w:cs="宋体"/>
                <w:color w:val="000000" w:themeColor="text1"/>
                <w:sz w:val="21"/>
                <w:szCs w:val="21"/>
                <w:highlight w:val="none"/>
                <w:lang w:val="zh-CN"/>
                <w14:textFill>
                  <w14:solidFill>
                    <w14:schemeClr w14:val="tx1"/>
                  </w14:solidFill>
                </w14:textFill>
              </w:rPr>
              <w:t>有效供应商是指实质上响应招标文件要求并通过实质性审核未被否决投标的所有供应商。</w:t>
            </w:r>
          </w:p>
          <w:p w14:paraId="207637A2">
            <w:pPr>
              <w:pStyle w:val="17"/>
              <w:numPr>
                <w:ilvl w:val="0"/>
                <w:numId w:val="0"/>
              </w:num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（1）根据财政部、工业和信息化部印发的《政府采购促进中小企业发展管理办法》（财库[2020]46号）的规定，对小型和微型企业产品的价格给予20%的扣除（工程项目为5%），用扣除后的价格参与评审。</w:t>
            </w:r>
          </w:p>
          <w:p w14:paraId="5C076D61">
            <w:pPr>
              <w:pStyle w:val="17"/>
              <w:numPr>
                <w:ilvl w:val="0"/>
                <w:numId w:val="0"/>
              </w:num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（2）在政府采购活动中，供应商提供的货物、工程或者服务符合下列情形的，享受本办法规定的中小企业扶持政策：</w:t>
            </w:r>
          </w:p>
          <w:p w14:paraId="22DA6F3A">
            <w:pPr>
              <w:pStyle w:val="17"/>
              <w:numPr>
                <w:ilvl w:val="0"/>
                <w:numId w:val="0"/>
              </w:num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（一）在货物采购项目中，货物由中小企业制造，即货物由中小企业生产且使用该中小企业商号或者注册商标；</w:t>
            </w:r>
          </w:p>
          <w:p w14:paraId="424E23C1">
            <w:pPr>
              <w:pStyle w:val="17"/>
              <w:numPr>
                <w:ilvl w:val="0"/>
                <w:numId w:val="0"/>
              </w:num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（二）在工程采购项目中，工程由中小企业承建，即工程施工单位为中小企业；</w:t>
            </w:r>
          </w:p>
          <w:p w14:paraId="5712DB54">
            <w:pPr>
              <w:pStyle w:val="17"/>
              <w:numPr>
                <w:ilvl w:val="0"/>
                <w:numId w:val="0"/>
              </w:num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（三）在服务采购项目中，服务由中小企业承接，即提供服务的人员为中小企业依照《中华人民共和国劳动合同法》订立劳动合同的从业人员。</w:t>
            </w:r>
          </w:p>
          <w:p w14:paraId="61B36D73">
            <w:pPr>
              <w:pStyle w:val="17"/>
              <w:numPr>
                <w:ilvl w:val="0"/>
                <w:numId w:val="0"/>
              </w:num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在货物采购项目中，供应商提供的货物既有中小企业制造货物，也有大型企业制造货物的，不享受本办法规定的中小企业扶持政策。</w:t>
            </w:r>
          </w:p>
          <w:p w14:paraId="0A55329F">
            <w:pPr>
              <w:pStyle w:val="17"/>
              <w:numPr>
                <w:ilvl w:val="0"/>
                <w:numId w:val="0"/>
              </w:num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以联合体形式参加政府采购活动，联合体各方均为中小企业的，联合体视同中小企业。其中，联合体各方均为小微企业的，联合体视同小微企业。</w:t>
            </w:r>
          </w:p>
          <w:p w14:paraId="70DF78DE">
            <w:pPr>
              <w:pStyle w:val="17"/>
              <w:numPr>
                <w:ilvl w:val="0"/>
                <w:numId w:val="0"/>
              </w:num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中小企业参加政府采购活动，应当出具《中小企业声明函》，否则不得享受相关中小企业扶持政策。任何单位和个人不得要求供应商提供《中小企业声明函》之外的中小企业身份证明文件。</w:t>
            </w:r>
          </w:p>
          <w:p w14:paraId="68E8B030">
            <w:pPr>
              <w:pStyle w:val="17"/>
              <w:numPr>
                <w:ilvl w:val="0"/>
                <w:numId w:val="0"/>
              </w:num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四）根据财库〔2014〕68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投标提供由省级以上监狱管理局、戒毒管理局(含新疆生产建设兵团)出具的属于监狱企业的证明文件，不再提供《中小微企业声明函》。</w:t>
            </w:r>
          </w:p>
          <w:p w14:paraId="63D6C892">
            <w:pPr>
              <w:pStyle w:val="17"/>
              <w:numPr>
                <w:ilvl w:val="0"/>
                <w:numId w:val="0"/>
              </w:numP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（五）残疾人福利性单位视同小型或微型企业（投标人若为残疾人福利性单位，须按规定提供《残疾人福利性单位声明函》（见投标文件格式部分），并对其真实性负责；）</w:t>
            </w:r>
          </w:p>
          <w:p w14:paraId="756A3ECD">
            <w:pPr>
              <w:pStyle w:val="17"/>
              <w:numPr>
                <w:ilvl w:val="0"/>
                <w:numId w:val="0"/>
              </w:numPr>
              <w:rPr>
                <w:rFonts w:hint="eastAsia"/>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同一</w:t>
            </w:r>
            <w:r>
              <w:rPr>
                <w:rFonts w:hint="eastAsia" w:ascii="宋体" w:hAnsi="宋体" w:cs="宋体"/>
                <w:color w:val="000000" w:themeColor="text1"/>
                <w:kern w:val="2"/>
                <w:sz w:val="21"/>
                <w:szCs w:val="21"/>
                <w:highlight w:val="none"/>
                <w:lang w:val="en-US" w:eastAsia="zh-CN" w:bidi="ar-SA"/>
                <w14:textFill>
                  <w14:solidFill>
                    <w14:schemeClr w14:val="tx1"/>
                  </w14:solidFill>
                </w14:textFill>
              </w:rPr>
              <w:t>供应商</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，小型企业或微型企业、监狱企业、残疾人福利性单位价格扣除优惠只享受一次，不得重复享受。</w:t>
            </w:r>
          </w:p>
        </w:tc>
      </w:tr>
      <w:tr w14:paraId="1BB58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451" w:type="dxa"/>
            <w:gridSpan w:val="2"/>
            <w:tcBorders>
              <w:tl2br w:val="nil"/>
              <w:tr2bl w:val="nil"/>
            </w:tcBorders>
            <w:vAlign w:val="center"/>
          </w:tcPr>
          <w:p w14:paraId="2D30F394">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评分因素</w:t>
            </w:r>
          </w:p>
        </w:tc>
        <w:tc>
          <w:tcPr>
            <w:tcW w:w="6819" w:type="dxa"/>
            <w:tcBorders>
              <w:tl2br w:val="nil"/>
              <w:tr2bl w:val="nil"/>
            </w:tcBorders>
            <w:vAlign w:val="center"/>
          </w:tcPr>
          <w:p w14:paraId="6FBE0846">
            <w:pPr>
              <w:pStyle w:val="28"/>
              <w:spacing w:line="440" w:lineRule="exact"/>
              <w:jc w:val="center"/>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评分标准</w:t>
            </w:r>
          </w:p>
        </w:tc>
      </w:tr>
      <w:tr w14:paraId="6ABDD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451" w:type="dxa"/>
            <w:gridSpan w:val="2"/>
            <w:tcBorders>
              <w:tl2br w:val="nil"/>
              <w:tr2bl w:val="nil"/>
            </w:tcBorders>
            <w:vAlign w:val="center"/>
          </w:tcPr>
          <w:p w14:paraId="163D4EAB">
            <w:pPr>
              <w:pStyle w:val="28"/>
              <w:spacing w:line="440" w:lineRule="exact"/>
              <w:jc w:val="center"/>
              <w:rPr>
                <w:rFonts w:hint="eastAsia" w:hAnsi="宋体" w:cs="宋体"/>
                <w:color w:val="000000" w:themeColor="text1"/>
                <w:sz w:val="21"/>
                <w:szCs w:val="21"/>
                <w:highlight w:val="none"/>
                <w14:textFill>
                  <w14:solidFill>
                    <w14:schemeClr w14:val="tx1"/>
                  </w14:solidFill>
                </w14:textFill>
              </w:rPr>
            </w:pPr>
            <w:r>
              <w:rPr>
                <w:rFonts w:hint="eastAsia" w:hAnsi="宋体" w:cs="宋体"/>
                <w:b/>
                <w:bCs/>
                <w:color w:val="000000" w:themeColor="text1"/>
                <w:sz w:val="21"/>
                <w:szCs w:val="21"/>
                <w:highlight w:val="none"/>
                <w14:textFill>
                  <w14:solidFill>
                    <w14:schemeClr w14:val="tx1"/>
                  </w14:solidFill>
                </w14:textFill>
              </w:rPr>
              <w:t>技术部分（15分）</w:t>
            </w:r>
          </w:p>
        </w:tc>
        <w:tc>
          <w:tcPr>
            <w:tcW w:w="6819" w:type="dxa"/>
            <w:tcBorders>
              <w:tl2br w:val="nil"/>
              <w:tr2bl w:val="nil"/>
            </w:tcBorders>
            <w:vAlign w:val="center"/>
          </w:tcPr>
          <w:p w14:paraId="53B8B27C">
            <w:pPr>
              <w:pStyle w:val="96"/>
              <w:tabs>
                <w:tab w:val="left" w:pos="900"/>
              </w:tabs>
              <w:spacing w:line="440" w:lineRule="exact"/>
              <w:ind w:left="0"/>
              <w:rPr>
                <w:rFonts w:hint="eastAsia" w:ascii="宋体" w:hAnsi="宋体" w:cs="宋体"/>
                <w:color w:val="000000" w:themeColor="text1"/>
                <w:highlight w:val="none"/>
                <w14:textFill>
                  <w14:solidFill>
                    <w14:schemeClr w14:val="tx1"/>
                  </w14:solidFill>
                </w14:textFill>
              </w:rPr>
            </w:pPr>
            <w:r>
              <w:rPr>
                <w:rStyle w:val="162"/>
                <w:rFonts w:hint="eastAsia" w:ascii="宋体" w:hAnsi="宋体" w:cs="宋体"/>
                <w:color w:val="000000" w:themeColor="text1"/>
                <w:highlight w:val="none"/>
                <w14:textFill>
                  <w14:solidFill>
                    <w14:schemeClr w14:val="tx1"/>
                  </w14:solidFill>
                </w14:textFill>
              </w:rPr>
              <w:t>供应商对</w:t>
            </w:r>
            <w:r>
              <w:rPr>
                <w:rFonts w:hint="eastAsia" w:ascii="宋体" w:hAnsi="宋体" w:cs="宋体"/>
                <w:color w:val="000000" w:themeColor="text1"/>
                <w:highlight w:val="none"/>
                <w:lang w:val="zh-CN"/>
                <w14:textFill>
                  <w14:solidFill>
                    <w14:schemeClr w14:val="tx1"/>
                  </w14:solidFill>
                </w14:textFill>
              </w:rPr>
              <w:t>所投产品的技术参数、技术性能完全满足招标文件要求，得满分</w:t>
            </w:r>
            <w:r>
              <w:rPr>
                <w:rFonts w:hint="eastAsia" w:ascii="宋体" w:hAnsi="宋体" w:cs="宋体"/>
                <w:color w:val="000000" w:themeColor="text1"/>
                <w:highlight w:val="none"/>
                <w14:textFill>
                  <w14:solidFill>
                    <w14:schemeClr w14:val="tx1"/>
                  </w14:solidFill>
                </w14:textFill>
              </w:rPr>
              <w:t>15</w:t>
            </w:r>
            <w:r>
              <w:rPr>
                <w:rFonts w:hint="eastAsia" w:ascii="宋体" w:hAnsi="宋体" w:cs="宋体"/>
                <w:color w:val="000000" w:themeColor="text1"/>
                <w:highlight w:val="none"/>
                <w:lang w:val="zh-CN"/>
                <w14:textFill>
                  <w14:solidFill>
                    <w14:schemeClr w14:val="tx1"/>
                  </w14:solidFill>
                </w14:textFill>
              </w:rPr>
              <w:t>分，</w:t>
            </w:r>
            <w:bookmarkStart w:id="112" w:name="OLE_LINK3"/>
            <w:r>
              <w:rPr>
                <w:rStyle w:val="162"/>
                <w:rFonts w:hint="eastAsia" w:ascii="宋体" w:hAnsi="宋体" w:cs="宋体"/>
                <w:color w:val="000000" w:themeColor="text1"/>
                <w:highlight w:val="none"/>
                <w14:textFill>
                  <w14:solidFill>
                    <w14:schemeClr w14:val="tx1"/>
                  </w14:solidFill>
                </w14:textFill>
              </w:rPr>
              <w:t>技术参数每有一项负偏离的，扣1分</w:t>
            </w:r>
            <w:bookmarkEnd w:id="112"/>
            <w:r>
              <w:rPr>
                <w:rStyle w:val="162"/>
                <w:rFonts w:hint="eastAsia" w:ascii="宋体" w:hAnsi="宋体" w:cs="宋体"/>
                <w:color w:val="000000" w:themeColor="text1"/>
                <w:highlight w:val="none"/>
                <w14:textFill>
                  <w14:solidFill>
                    <w14:schemeClr w14:val="tx1"/>
                  </w14:solidFill>
                </w14:textFill>
              </w:rPr>
              <w:t>，扣完为止；</w:t>
            </w:r>
          </w:p>
        </w:tc>
      </w:tr>
      <w:tr w14:paraId="5FA64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8" w:type="dxa"/>
            <w:vMerge w:val="restart"/>
            <w:tcBorders>
              <w:tl2br w:val="nil"/>
              <w:tr2bl w:val="nil"/>
            </w:tcBorders>
            <w:vAlign w:val="center"/>
          </w:tcPr>
          <w:p w14:paraId="6AEAB4F8">
            <w:pPr>
              <w:adjustRightInd w:val="0"/>
              <w:snapToGrid w:val="0"/>
              <w:spacing w:line="440" w:lineRule="exact"/>
              <w:jc w:val="center"/>
              <w:rPr>
                <w:rFonts w:hint="eastAsia"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综合部分（55分）</w:t>
            </w:r>
          </w:p>
        </w:tc>
        <w:tc>
          <w:tcPr>
            <w:tcW w:w="1273" w:type="dxa"/>
            <w:tcBorders>
              <w:tl2br w:val="nil"/>
              <w:tr2bl w:val="nil"/>
            </w:tcBorders>
            <w:vAlign w:val="center"/>
          </w:tcPr>
          <w:p w14:paraId="20DC470E">
            <w:pPr>
              <w:spacing w:line="44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业绩</w:t>
            </w:r>
          </w:p>
          <w:p w14:paraId="7D892A75">
            <w:pPr>
              <w:spacing w:line="44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（2分）</w:t>
            </w:r>
          </w:p>
        </w:tc>
        <w:tc>
          <w:tcPr>
            <w:tcW w:w="6819" w:type="dxa"/>
            <w:tcBorders>
              <w:tl2br w:val="nil"/>
              <w:tr2bl w:val="nil"/>
            </w:tcBorders>
          </w:tcPr>
          <w:p w14:paraId="11E67369">
            <w:pPr>
              <w:spacing w:line="440" w:lineRule="exact"/>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供应商2022年以来（以合同签订时间为准）承担过类似项目的，每提供一份有效业绩得1分，最多得2分。</w:t>
            </w:r>
          </w:p>
          <w:p w14:paraId="340ED70E">
            <w:pPr>
              <w:spacing w:line="440" w:lineRule="exact"/>
              <w:jc w:val="left"/>
              <w:rPr>
                <w:rFonts w:hint="eastAsia" w:ascii="宋体" w:hAnsi="宋体" w:cs="宋体"/>
                <w:bCs/>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备注：有效业绩指投标文件中须同时提供项目中标公示截图、合同、中标通知书。</w:t>
            </w:r>
          </w:p>
        </w:tc>
      </w:tr>
      <w:tr w14:paraId="7295D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178" w:type="dxa"/>
            <w:vMerge w:val="continue"/>
            <w:tcBorders>
              <w:tl2br w:val="nil"/>
              <w:tr2bl w:val="nil"/>
            </w:tcBorders>
            <w:vAlign w:val="center"/>
          </w:tcPr>
          <w:p w14:paraId="0CD99E55">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53FA1262">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供货方案</w:t>
            </w:r>
          </w:p>
          <w:p w14:paraId="58D0A865">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（9分）</w:t>
            </w:r>
          </w:p>
        </w:tc>
        <w:tc>
          <w:tcPr>
            <w:tcW w:w="6819" w:type="dxa"/>
            <w:tcBorders>
              <w:tl2br w:val="nil"/>
              <w:tr2bl w:val="nil"/>
            </w:tcBorders>
            <w:vAlign w:val="center"/>
          </w:tcPr>
          <w:p w14:paraId="6C7C395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（1）供应商供货方案内容全面、安排科学、工作细致、逻辑清晰、可操性强、有保障措施；包括供货实施方案、供货期、供货保障措施、运输、设备安装调试、人员安排等优的得9分；</w:t>
            </w:r>
          </w:p>
          <w:p w14:paraId="4AF0654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（2）供应商供货方案内容不全、工作计划清晰、安排不太科学、针对性可操作性一般、措施保障不太具体；包括供货方案实施、供货期、供货保障措施、运输、设备安装调试、人员安排等内容良的得7分；</w:t>
            </w:r>
          </w:p>
          <w:p w14:paraId="3782DB0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（3）供应商供货方案内容不全、合理性针对性不强、保障措施不具体；包括供货方案实施、供货期、供货保障措施、运输、设备安装调试、人员安排等内容一般的得4分；</w:t>
            </w:r>
          </w:p>
          <w:p w14:paraId="46ADEE8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（4）供应商供货方案内容较差、合理性针对性较差、保障措施较差；包括供货方案实施、供货期、供货保障措施、运输、设备安装调试、人员安排等内容较差的得2分；</w:t>
            </w:r>
          </w:p>
          <w:p w14:paraId="1B9839C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（5）不提供得0分。</w:t>
            </w:r>
          </w:p>
        </w:tc>
      </w:tr>
      <w:tr w14:paraId="395E2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78" w:type="dxa"/>
            <w:vMerge w:val="continue"/>
            <w:tcBorders>
              <w:tl2br w:val="nil"/>
              <w:tr2bl w:val="nil"/>
            </w:tcBorders>
            <w:vAlign w:val="center"/>
          </w:tcPr>
          <w:p w14:paraId="0301B8CD">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3AA9038E">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安装调试方法与技术措施（9分）</w:t>
            </w:r>
          </w:p>
        </w:tc>
        <w:tc>
          <w:tcPr>
            <w:tcW w:w="6819" w:type="dxa"/>
            <w:tcBorders>
              <w:tl2br w:val="nil"/>
              <w:tr2bl w:val="nil"/>
            </w:tcBorders>
            <w:vAlign w:val="center"/>
          </w:tcPr>
          <w:p w14:paraId="457675F2">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根据供应商的安装调试方法与技术措施，从技术成熟度、先进性、安全性，功能完善性，合理性等综合评分：</w:t>
            </w:r>
          </w:p>
          <w:p w14:paraId="7B27B9D0">
            <w:pPr>
              <w:numPr>
                <w:ilvl w:val="0"/>
                <w:numId w:val="3"/>
              </w:num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安装调试方法与技术措施编写完善、详尽、合理、逻辑清晰、可行性程度高的得9分；</w:t>
            </w:r>
          </w:p>
          <w:p w14:paraId="05251270">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（2）安装调试方法与技术措施编较完善、较详尽、合理、逻辑较清晰、具有可行性的得7分；</w:t>
            </w:r>
          </w:p>
          <w:p w14:paraId="1B3BBDB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（3）安装调试方法与技术措施编写一般、但基本合理、基本可达到要求，可行性程度一般的得3分；</w:t>
            </w:r>
          </w:p>
          <w:p w14:paraId="2260060B">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（4）安装调试方法与技术措施编写较差、不合理、逻辑混乱、可行性程度差的得1分；</w:t>
            </w:r>
          </w:p>
          <w:p w14:paraId="13CA26F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（5）不提供得0分。</w:t>
            </w:r>
          </w:p>
        </w:tc>
      </w:tr>
      <w:tr w14:paraId="4F0162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178" w:type="dxa"/>
            <w:vMerge w:val="continue"/>
            <w:tcBorders>
              <w:tl2br w:val="nil"/>
              <w:tr2bl w:val="nil"/>
            </w:tcBorders>
            <w:vAlign w:val="center"/>
          </w:tcPr>
          <w:p w14:paraId="2C9416D7">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4003A8EC">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质量保证方案及措施</w:t>
            </w:r>
          </w:p>
          <w:p w14:paraId="7C4EB5FD">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（8分）</w:t>
            </w:r>
          </w:p>
        </w:tc>
        <w:tc>
          <w:tcPr>
            <w:tcW w:w="6819" w:type="dxa"/>
            <w:tcBorders>
              <w:tl2br w:val="nil"/>
              <w:tr2bl w:val="nil"/>
            </w:tcBorders>
            <w:vAlign w:val="center"/>
          </w:tcPr>
          <w:p w14:paraId="63BCEA3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根据供应商的质量保证方案及措施，从技术成熟度、先进性、安全性，功能合理性等综合评分：</w:t>
            </w:r>
          </w:p>
          <w:p w14:paraId="1250EC9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（1）质量保证方案及措施技术成熟、重点难点分析全面、内容详尽、合理、逻辑清晰、可行性程度高的得8分；</w:t>
            </w:r>
          </w:p>
          <w:p w14:paraId="6A6DFFE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（2）质量保证方案及措施编写较合理、逻辑较清晰、可行性程度一般的得6分；</w:t>
            </w:r>
          </w:p>
          <w:p w14:paraId="692C542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（3）质量保证方案及措施编写一般、但基本合理、逻辑一般清晰、可行性程度一般的得3分；</w:t>
            </w:r>
          </w:p>
          <w:p w14:paraId="202F8569">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（4）质量保证方案及措施编写简单、不合理、逻辑混乱、可行性程度差的得1分；</w:t>
            </w:r>
          </w:p>
          <w:p w14:paraId="06FF16C5">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（5）不提供得0分。</w:t>
            </w:r>
          </w:p>
        </w:tc>
      </w:tr>
      <w:tr w14:paraId="3D2055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178" w:type="dxa"/>
            <w:vMerge w:val="continue"/>
            <w:tcBorders>
              <w:tl2br w:val="nil"/>
              <w:tr2bl w:val="nil"/>
            </w:tcBorders>
            <w:vAlign w:val="center"/>
          </w:tcPr>
          <w:p w14:paraId="2527C144">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4E0BF8A6">
            <w:pPr>
              <w:pStyle w:val="96"/>
              <w:tabs>
                <w:tab w:val="left" w:pos="900"/>
              </w:tabs>
              <w:spacing w:line="440" w:lineRule="exact"/>
              <w:ind w:left="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售后服务方案内容及措施（8分）</w:t>
            </w:r>
          </w:p>
        </w:tc>
        <w:tc>
          <w:tcPr>
            <w:tcW w:w="6819" w:type="dxa"/>
            <w:tcBorders>
              <w:tl2br w:val="nil"/>
              <w:tr2bl w:val="nil"/>
            </w:tcBorders>
            <w:vAlign w:val="center"/>
          </w:tcPr>
          <w:p w14:paraId="596A1F1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售后服务方案内容及措施应考虑质保期内和质保期外，包括服务方式、应急措施、人员保障、响应时间、维修备品备件等进行综合评分：</w:t>
            </w:r>
          </w:p>
          <w:p w14:paraId="4963C54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（1）售后服务内容及措施详尽、合理、逻辑较清晰、可行性程度高的得8分；</w:t>
            </w:r>
          </w:p>
          <w:p w14:paraId="546F300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（2）售后服务内容及措施较详尽、基本合理、逻辑清晰、具有可行性程度的得6分；</w:t>
            </w:r>
          </w:p>
          <w:p w14:paraId="0BF6D3B4">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（3）售后服务内容及措施一般、合理性一般、逻辑性一般、可行性程度一般的得3分；</w:t>
            </w:r>
          </w:p>
          <w:p w14:paraId="473CCE4C">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（4）售后服务方案内容及措施简单、不合理、逻辑混乱、可行性程度差的得1分；</w:t>
            </w:r>
          </w:p>
          <w:p w14:paraId="1767EA2F">
            <w:pPr>
              <w:pStyle w:val="96"/>
              <w:tabs>
                <w:tab w:val="left" w:pos="900"/>
              </w:tabs>
              <w:spacing w:line="440" w:lineRule="exact"/>
              <w:ind w:left="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（5）不提供得0分。</w:t>
            </w:r>
          </w:p>
        </w:tc>
      </w:tr>
      <w:tr w14:paraId="28F3A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78" w:type="dxa"/>
            <w:vMerge w:val="continue"/>
            <w:tcBorders>
              <w:tl2br w:val="nil"/>
              <w:tr2bl w:val="nil"/>
            </w:tcBorders>
            <w:vAlign w:val="center"/>
          </w:tcPr>
          <w:p w14:paraId="0712B613">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5937E2F9">
            <w:pPr>
              <w:pStyle w:val="96"/>
              <w:tabs>
                <w:tab w:val="left" w:pos="900"/>
              </w:tabs>
              <w:spacing w:line="440" w:lineRule="exact"/>
              <w:ind w:left="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验收方案</w:t>
            </w:r>
          </w:p>
          <w:p w14:paraId="685AD685">
            <w:pPr>
              <w:pStyle w:val="96"/>
              <w:tabs>
                <w:tab w:val="left" w:pos="900"/>
              </w:tabs>
              <w:spacing w:line="440" w:lineRule="exact"/>
              <w:ind w:left="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（8分）</w:t>
            </w:r>
          </w:p>
        </w:tc>
        <w:tc>
          <w:tcPr>
            <w:tcW w:w="6819" w:type="dxa"/>
            <w:tcBorders>
              <w:tl2br w:val="nil"/>
              <w:tr2bl w:val="nil"/>
            </w:tcBorders>
            <w:vAlign w:val="center"/>
          </w:tcPr>
          <w:p w14:paraId="6DF606D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根据供应商针对本项目所提供的后期验收方案内容进行综合评分:</w:t>
            </w:r>
          </w:p>
          <w:p w14:paraId="3B01982B">
            <w:pPr>
              <w:spacing w:line="440" w:lineRule="exact"/>
              <w:rPr>
                <w:rFonts w:hint="eastAsia" w:ascii="宋体" w:hAnsi="宋体" w:cs="宋体"/>
                <w:color w:val="000000" w:themeColor="text1"/>
                <w:highlight w:val="none"/>
                <w14:textFill>
                  <w14:solidFill>
                    <w14:schemeClr w14:val="tx1"/>
                  </w14:solidFill>
                </w14:textFill>
              </w:rPr>
            </w:pPr>
            <w:bookmarkStart w:id="113" w:name="OLE_LINK2"/>
            <w:r>
              <w:rPr>
                <w:rFonts w:hint="eastAsia" w:ascii="宋体" w:hAnsi="宋体" w:cs="宋体"/>
                <w:color w:val="000000" w:themeColor="text1"/>
                <w:highlight w:val="none"/>
                <w14:textFill>
                  <w14:solidFill>
                    <w14:schemeClr w14:val="tx1"/>
                  </w14:solidFill>
                </w14:textFill>
              </w:rPr>
              <w:t>（1）内容详尽、合理、逻辑较清晰、可行性程度高的得8分；</w:t>
            </w:r>
          </w:p>
          <w:bookmarkEnd w:id="113"/>
          <w:p w14:paraId="70E9397D">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（2）内容较合理、逻辑清晰、可行性程度一般的得6分；</w:t>
            </w:r>
          </w:p>
          <w:p w14:paraId="5EE47DE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（3）内容一般、但基本合理、逻辑清晰、可行性程度一般的得3分；</w:t>
            </w:r>
          </w:p>
          <w:p w14:paraId="2DB6675F">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w:t>
            </w:r>
            <w:bookmarkStart w:id="114" w:name="OLE_LINK5"/>
            <w:r>
              <w:rPr>
                <w:rFonts w:hint="eastAsia" w:ascii="宋体" w:hAnsi="宋体" w:cs="宋体"/>
                <w:color w:val="000000" w:themeColor="text1"/>
                <w:highlight w:val="none"/>
                <w14:textFill>
                  <w14:solidFill>
                    <w14:schemeClr w14:val="tx1"/>
                  </w14:solidFill>
                </w14:textFill>
              </w:rPr>
              <w:t>内容简单、不合理、逻辑混乱、可行性程度差的得1分；</w:t>
            </w:r>
            <w:bookmarkEnd w:id="114"/>
          </w:p>
          <w:p w14:paraId="7EB90958">
            <w:pPr>
              <w:spacing w:line="440" w:lineRule="exact"/>
              <w:rPr>
                <w:rFonts w:hint="eastAsia" w:ascii="宋体" w:hAnsi="宋体" w:cs="宋体"/>
                <w:color w:val="000000" w:themeColor="text1"/>
                <w:highlight w:val="none"/>
                <w14:textFill>
                  <w14:solidFill>
                    <w14:schemeClr w14:val="tx1"/>
                  </w14:solidFill>
                </w14:textFill>
              </w:rPr>
            </w:pPr>
            <w:bookmarkStart w:id="115" w:name="OLE_LINK4"/>
            <w:r>
              <w:rPr>
                <w:rFonts w:hint="eastAsia" w:ascii="宋体" w:hAnsi="宋体" w:cs="宋体"/>
                <w:color w:val="000000" w:themeColor="text1"/>
                <w:highlight w:val="none"/>
                <w14:textFill>
                  <w14:solidFill>
                    <w14:schemeClr w14:val="tx1"/>
                  </w14:solidFill>
                </w14:textFill>
              </w:rPr>
              <w:t>（5）不提供得0分。</w:t>
            </w:r>
            <w:bookmarkEnd w:id="115"/>
          </w:p>
        </w:tc>
      </w:tr>
      <w:tr w14:paraId="4BC4A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78" w:type="dxa"/>
            <w:vMerge w:val="continue"/>
            <w:tcBorders>
              <w:tl2br w:val="nil"/>
              <w:tr2bl w:val="nil"/>
            </w:tcBorders>
            <w:vAlign w:val="center"/>
          </w:tcPr>
          <w:p w14:paraId="48DE0653">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40F8A4AD">
            <w:pPr>
              <w:pStyle w:val="96"/>
              <w:tabs>
                <w:tab w:val="left" w:pos="900"/>
              </w:tabs>
              <w:spacing w:line="440" w:lineRule="exact"/>
              <w:ind w:left="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质保期</w:t>
            </w:r>
          </w:p>
          <w:p w14:paraId="2D8B4409">
            <w:pPr>
              <w:jc w:val="center"/>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（3分）</w:t>
            </w:r>
          </w:p>
        </w:tc>
        <w:tc>
          <w:tcPr>
            <w:tcW w:w="6819" w:type="dxa"/>
            <w:tcBorders>
              <w:tl2br w:val="nil"/>
              <w:tr2bl w:val="nil"/>
            </w:tcBorders>
            <w:vAlign w:val="center"/>
          </w:tcPr>
          <w:p w14:paraId="398C45D3">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质保期满足招标文件要求的得基本分1分；每增加1年的加1分，最多加2分。本项最多得3分。</w:t>
            </w:r>
          </w:p>
        </w:tc>
      </w:tr>
      <w:tr w14:paraId="7407C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78" w:type="dxa"/>
            <w:vMerge w:val="continue"/>
            <w:tcBorders>
              <w:tl2br w:val="nil"/>
              <w:tr2bl w:val="nil"/>
            </w:tcBorders>
            <w:vAlign w:val="center"/>
          </w:tcPr>
          <w:p w14:paraId="43E423FB">
            <w:pPr>
              <w:adjustRightInd w:val="0"/>
              <w:snapToGrid w:val="0"/>
              <w:spacing w:line="440" w:lineRule="exact"/>
              <w:rPr>
                <w:rFonts w:hint="eastAsia" w:ascii="宋体" w:hAnsi="宋体" w:cs="宋体"/>
                <w:b/>
                <w:color w:val="000000" w:themeColor="text1"/>
                <w:highlight w:val="none"/>
                <w14:textFill>
                  <w14:solidFill>
                    <w14:schemeClr w14:val="tx1"/>
                  </w14:solidFill>
                </w14:textFill>
              </w:rPr>
            </w:pPr>
          </w:p>
        </w:tc>
        <w:tc>
          <w:tcPr>
            <w:tcW w:w="1273" w:type="dxa"/>
            <w:tcBorders>
              <w:tl2br w:val="nil"/>
              <w:tr2bl w:val="nil"/>
            </w:tcBorders>
            <w:vAlign w:val="center"/>
          </w:tcPr>
          <w:p w14:paraId="15096E6C">
            <w:pPr>
              <w:pStyle w:val="96"/>
              <w:tabs>
                <w:tab w:val="left" w:pos="900"/>
              </w:tabs>
              <w:spacing w:line="440" w:lineRule="exact"/>
              <w:ind w:left="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优惠承诺</w:t>
            </w:r>
          </w:p>
          <w:p w14:paraId="2833534F">
            <w:pPr>
              <w:pStyle w:val="96"/>
              <w:tabs>
                <w:tab w:val="left" w:pos="900"/>
              </w:tabs>
              <w:spacing w:line="440" w:lineRule="exact"/>
              <w:ind w:left="0"/>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（8分）</w:t>
            </w:r>
          </w:p>
        </w:tc>
        <w:tc>
          <w:tcPr>
            <w:tcW w:w="6819" w:type="dxa"/>
            <w:tcBorders>
              <w:tl2br w:val="nil"/>
              <w:tr2bl w:val="nil"/>
            </w:tcBorders>
            <w:vAlign w:val="center"/>
          </w:tcPr>
          <w:p w14:paraId="76B4887E">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根据供应商针对本项目所提供的优惠承诺进行综合打分。</w:t>
            </w:r>
          </w:p>
          <w:p w14:paraId="7FF25A36">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ascii="宋体" w:hAnsi="宋体" w:cs="宋体"/>
                <w:color w:val="000000" w:themeColor="text1"/>
                <w:highlight w:val="none"/>
                <w14:textFill>
                  <w14:solidFill>
                    <w14:schemeClr w14:val="tx1"/>
                  </w14:solidFill>
                </w14:textFill>
              </w:rPr>
              <w:t>优惠承诺符合</w:t>
            </w:r>
            <w:r>
              <w:rPr>
                <w:rFonts w:hint="eastAsia" w:ascii="宋体" w:hAnsi="宋体" w:cs="宋体"/>
                <w:color w:val="000000" w:themeColor="text1"/>
                <w:highlight w:val="none"/>
                <w14:textFill>
                  <w14:solidFill>
                    <w14:schemeClr w14:val="tx1"/>
                  </w14:solidFill>
                </w14:textFill>
              </w:rPr>
              <w:t>本项目</w:t>
            </w:r>
            <w:r>
              <w:rPr>
                <w:rFonts w:ascii="宋体" w:hAnsi="宋体" w:cs="宋体"/>
                <w:color w:val="000000" w:themeColor="text1"/>
                <w:highlight w:val="none"/>
                <w14:textFill>
                  <w14:solidFill>
                    <w14:schemeClr w14:val="tx1"/>
                  </w14:solidFill>
                </w14:textFill>
              </w:rPr>
              <w:t>实际情况，确保依法依规，优惠合理，详实可行的得</w:t>
            </w:r>
            <w:r>
              <w:rPr>
                <w:rFonts w:hint="eastAsia" w:ascii="宋体" w:hAnsi="宋体" w:cs="宋体"/>
                <w:color w:val="000000" w:themeColor="text1"/>
                <w:highlight w:val="none"/>
                <w14:textFill>
                  <w14:solidFill>
                    <w14:schemeClr w14:val="tx1"/>
                  </w14:solidFill>
                </w14:textFill>
              </w:rPr>
              <w:t>8</w:t>
            </w:r>
            <w:r>
              <w:rPr>
                <w:rFonts w:ascii="宋体" w:hAnsi="宋体" w:cs="宋体"/>
                <w:color w:val="000000" w:themeColor="text1"/>
                <w:highlight w:val="none"/>
                <w14:textFill>
                  <w14:solidFill>
                    <w14:schemeClr w14:val="tx1"/>
                  </w14:solidFill>
                </w14:textFill>
              </w:rPr>
              <w:t>分；</w:t>
            </w:r>
          </w:p>
          <w:p w14:paraId="1D841D08">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w:t>
            </w:r>
            <w:r>
              <w:rPr>
                <w:rFonts w:ascii="宋体" w:hAnsi="宋体" w:cs="宋体"/>
                <w:color w:val="000000" w:themeColor="text1"/>
                <w:highlight w:val="none"/>
                <w14:textFill>
                  <w14:solidFill>
                    <w14:schemeClr w14:val="tx1"/>
                  </w14:solidFill>
                </w14:textFill>
              </w:rPr>
              <w:t>优惠承诺符合</w:t>
            </w:r>
            <w:r>
              <w:rPr>
                <w:rFonts w:hint="eastAsia" w:ascii="宋体" w:hAnsi="宋体" w:cs="宋体"/>
                <w:color w:val="000000" w:themeColor="text1"/>
                <w:highlight w:val="none"/>
                <w14:textFill>
                  <w14:solidFill>
                    <w14:schemeClr w14:val="tx1"/>
                  </w14:solidFill>
                </w14:textFill>
              </w:rPr>
              <w:t>本项目</w:t>
            </w:r>
            <w:r>
              <w:rPr>
                <w:rFonts w:ascii="宋体" w:hAnsi="宋体" w:cs="宋体"/>
                <w:color w:val="000000" w:themeColor="text1"/>
                <w:highlight w:val="none"/>
                <w14:textFill>
                  <w14:solidFill>
                    <w14:schemeClr w14:val="tx1"/>
                  </w14:solidFill>
                </w14:textFill>
              </w:rPr>
              <w:t>实际情况，确保依法依规，优惠基本合理，基本详实可行的得</w:t>
            </w:r>
            <w:r>
              <w:rPr>
                <w:rFonts w:hint="eastAsia" w:ascii="宋体" w:hAnsi="宋体" w:cs="宋体"/>
                <w:color w:val="000000" w:themeColor="text1"/>
                <w:highlight w:val="none"/>
                <w14:textFill>
                  <w14:solidFill>
                    <w14:schemeClr w14:val="tx1"/>
                  </w14:solidFill>
                </w14:textFill>
              </w:rPr>
              <w:t>6</w:t>
            </w:r>
            <w:r>
              <w:rPr>
                <w:rFonts w:ascii="宋体" w:hAnsi="宋体" w:cs="宋体"/>
                <w:color w:val="000000" w:themeColor="text1"/>
                <w:highlight w:val="none"/>
                <w14:textFill>
                  <w14:solidFill>
                    <w14:schemeClr w14:val="tx1"/>
                  </w14:solidFill>
                </w14:textFill>
              </w:rPr>
              <w:t>分；</w:t>
            </w:r>
          </w:p>
          <w:p w14:paraId="327D7C71">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优惠承诺</w:t>
            </w:r>
            <w:bookmarkStart w:id="116" w:name="OLE_LINK6"/>
            <w:r>
              <w:rPr>
                <w:rFonts w:ascii="宋体" w:hAnsi="宋体" w:cs="宋体"/>
                <w:color w:val="000000" w:themeColor="text1"/>
                <w:highlight w:val="none"/>
                <w14:textFill>
                  <w14:solidFill>
                    <w14:schemeClr w14:val="tx1"/>
                  </w14:solidFill>
                </w14:textFill>
              </w:rPr>
              <w:t>符合</w:t>
            </w:r>
            <w:r>
              <w:rPr>
                <w:rFonts w:hint="eastAsia" w:ascii="宋体" w:hAnsi="宋体" w:cs="宋体"/>
                <w:color w:val="000000" w:themeColor="text1"/>
                <w:highlight w:val="none"/>
                <w14:textFill>
                  <w14:solidFill>
                    <w14:schemeClr w14:val="tx1"/>
                  </w14:solidFill>
                </w14:textFill>
              </w:rPr>
              <w:t>本项目</w:t>
            </w:r>
            <w:r>
              <w:rPr>
                <w:rFonts w:ascii="宋体" w:hAnsi="宋体" w:cs="宋体"/>
                <w:color w:val="000000" w:themeColor="text1"/>
                <w:highlight w:val="none"/>
                <w14:textFill>
                  <w14:solidFill>
                    <w14:schemeClr w14:val="tx1"/>
                  </w14:solidFill>
                </w14:textFill>
              </w:rPr>
              <w:t>实际情况，确保依法依规，优惠较少</w:t>
            </w:r>
            <w:bookmarkEnd w:id="116"/>
            <w:r>
              <w:rPr>
                <w:rFonts w:ascii="宋体" w:hAnsi="宋体" w:cs="宋体"/>
                <w:color w:val="000000" w:themeColor="text1"/>
                <w:highlight w:val="none"/>
                <w14:textFill>
                  <w14:solidFill>
                    <w14:schemeClr w14:val="tx1"/>
                  </w14:solidFill>
                </w14:textFill>
              </w:rPr>
              <w:t>，不够详实可行的得</w:t>
            </w:r>
            <w:r>
              <w:rPr>
                <w:rFonts w:hint="eastAsia" w:ascii="宋体" w:hAnsi="宋体" w:cs="宋体"/>
                <w:color w:val="000000" w:themeColor="text1"/>
                <w:highlight w:val="none"/>
                <w14:textFill>
                  <w14:solidFill>
                    <w14:schemeClr w14:val="tx1"/>
                  </w14:solidFill>
                </w14:textFill>
              </w:rPr>
              <w:t>3</w:t>
            </w:r>
            <w:r>
              <w:rPr>
                <w:rFonts w:ascii="宋体" w:hAnsi="宋体" w:cs="宋体"/>
                <w:color w:val="000000" w:themeColor="text1"/>
                <w:highlight w:val="none"/>
                <w14:textFill>
                  <w14:solidFill>
                    <w14:schemeClr w14:val="tx1"/>
                  </w14:solidFill>
                </w14:textFill>
              </w:rPr>
              <w:t>分；</w:t>
            </w:r>
          </w:p>
          <w:p w14:paraId="4D811C7A">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（4）优惠承诺不符合本项目实际情况，无法确保依法依规，优惠较少，可行性程度差的得1分；</w:t>
            </w:r>
          </w:p>
          <w:p w14:paraId="14D23007">
            <w:pPr>
              <w:spacing w:line="4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（5）不提供得0分。</w:t>
            </w:r>
          </w:p>
        </w:tc>
      </w:tr>
      <w:tr w14:paraId="0EFDB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270" w:type="dxa"/>
            <w:gridSpan w:val="3"/>
            <w:tcBorders>
              <w:tl2br w:val="nil"/>
              <w:tr2bl w:val="nil"/>
            </w:tcBorders>
            <w:vAlign w:val="center"/>
          </w:tcPr>
          <w:p w14:paraId="6A9EF1ED">
            <w:pPr>
              <w:pStyle w:val="28"/>
              <w:spacing w:line="440" w:lineRule="exact"/>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注：1、评委依据供应商投标文件的合理性、可行性、针对性进行评审并打分。</w:t>
            </w:r>
          </w:p>
          <w:p w14:paraId="5BBAE322">
            <w:pPr>
              <w:pStyle w:val="28"/>
              <w:spacing w:line="440" w:lineRule="exact"/>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2、本办法计算过程中分值按四舍五入保留三位小数，结果保留两位小数。</w:t>
            </w:r>
          </w:p>
          <w:p w14:paraId="7F57E68B">
            <w:pPr>
              <w:pStyle w:val="28"/>
              <w:spacing w:line="440" w:lineRule="exact"/>
              <w:rPr>
                <w:rFonts w:hint="eastAsia" w:hAnsi="宋体" w:cs="宋体"/>
                <w:b/>
                <w:color w:val="000000" w:themeColor="text1"/>
                <w:sz w:val="21"/>
                <w:szCs w:val="21"/>
                <w:highlight w:val="none"/>
                <w14:textFill>
                  <w14:solidFill>
                    <w14:schemeClr w14:val="tx1"/>
                  </w14:solidFill>
                </w14:textFill>
              </w:rPr>
            </w:pPr>
            <w:r>
              <w:rPr>
                <w:rFonts w:hint="eastAsia" w:hAnsi="宋体" w:cs="宋体"/>
                <w:b/>
                <w:color w:val="000000" w:themeColor="text1"/>
                <w:sz w:val="21"/>
                <w:szCs w:val="21"/>
                <w:highlight w:val="none"/>
                <w14:textFill>
                  <w14:solidFill>
                    <w14:schemeClr w14:val="tx1"/>
                  </w14:solidFill>
                </w14:textFill>
              </w:rPr>
              <w:t>3、供应商最终得分：各评委综合打分的算术平均值。</w:t>
            </w:r>
          </w:p>
        </w:tc>
      </w:tr>
    </w:tbl>
    <w:p w14:paraId="541D58E1">
      <w:pPr>
        <w:rPr>
          <w:color w:val="000000" w:themeColor="text1"/>
          <w:highlight w:val="none"/>
          <w14:textFill>
            <w14:solidFill>
              <w14:schemeClr w14:val="tx1"/>
            </w14:solidFill>
          </w14:textFill>
        </w:rPr>
      </w:pPr>
    </w:p>
    <w:p w14:paraId="09F4CDEC">
      <w:pPr>
        <w:keepNext/>
        <w:keepLines/>
        <w:spacing w:before="120" w:after="120" w:line="440" w:lineRule="exact"/>
        <w:ind w:firstLine="480" w:firstLineChars="200"/>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注：如果中标人提供虚假证件、证明材料，降低服务水平及产品质量，一经查出，除取消中标资格，还将其列入平顶山市政府采购黑名单，三年内不得参加平顶山市政府采购。</w:t>
      </w:r>
    </w:p>
    <w:p w14:paraId="3B5958C0">
      <w:pP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 xml:space="preserve"> </w:t>
      </w:r>
    </w:p>
    <w:bookmarkEnd w:id="111"/>
    <w:p w14:paraId="61A1E800">
      <w:pPr>
        <w:keepNext/>
        <w:keepLines/>
        <w:spacing w:before="120" w:after="120" w:line="440" w:lineRule="exact"/>
        <w:jc w:val="center"/>
        <w:outlineLvl w:val="0"/>
        <w:rPr>
          <w:rFonts w:hint="eastAsia" w:ascii="宋体" w:hAnsi="宋体"/>
          <w:color w:val="000000" w:themeColor="text1"/>
          <w:sz w:val="36"/>
          <w:szCs w:val="36"/>
          <w:highlight w:val="none"/>
          <w14:textFill>
            <w14:solidFill>
              <w14:schemeClr w14:val="tx1"/>
            </w14:solidFill>
          </w14:textFill>
        </w:rPr>
      </w:pPr>
      <w:bookmarkStart w:id="117" w:name="_Toc28948"/>
      <w:bookmarkEnd w:id="117"/>
      <w:r>
        <w:rPr>
          <w:rFonts w:hint="eastAsia" w:ascii="宋体" w:hAnsi="宋体"/>
          <w:color w:val="000000" w:themeColor="text1"/>
          <w:sz w:val="36"/>
          <w:szCs w:val="36"/>
          <w:highlight w:val="none"/>
          <w14:textFill>
            <w14:solidFill>
              <w14:schemeClr w14:val="tx1"/>
            </w14:solidFill>
          </w14:textFill>
        </w:rPr>
        <w:br w:type="page"/>
      </w:r>
      <w:bookmarkStart w:id="118" w:name="_Toc14014"/>
      <w:r>
        <w:rPr>
          <w:rFonts w:hint="eastAsia" w:ascii="宋体" w:hAnsi="宋体"/>
          <w:b/>
          <w:bCs/>
          <w:color w:val="000000" w:themeColor="text1"/>
          <w:kern w:val="44"/>
          <w:sz w:val="36"/>
          <w:szCs w:val="36"/>
          <w:highlight w:val="none"/>
          <w14:textFill>
            <w14:solidFill>
              <w14:schemeClr w14:val="tx1"/>
            </w14:solidFill>
          </w14:textFill>
        </w:rPr>
        <w:t>第四章  合同条款及格式</w:t>
      </w:r>
      <w:bookmarkEnd w:id="118"/>
    </w:p>
    <w:p w14:paraId="2AB96A02">
      <w:pPr>
        <w:spacing w:line="44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（以实际签订合同为准）</w:t>
      </w:r>
    </w:p>
    <w:p w14:paraId="1DD51301">
      <w:pPr>
        <w:spacing w:line="720" w:lineRule="auto"/>
        <w:jc w:val="left"/>
        <w:rPr>
          <w:rFonts w:hint="eastAsia" w:ascii="宋体" w:hAnsi="宋体" w:cs="宋体"/>
          <w:sz w:val="24"/>
          <w:highlight w:val="none"/>
        </w:rPr>
      </w:pPr>
      <w:r>
        <w:rPr>
          <w:rFonts w:hint="eastAsia" w:ascii="宋体" w:hAnsi="宋体" w:cs="宋体"/>
          <w:sz w:val="24"/>
          <w:highlight w:val="none"/>
        </w:rPr>
        <w:t>需方：</w:t>
      </w:r>
      <w:r>
        <w:rPr>
          <w:rFonts w:hint="eastAsia" w:ascii="宋体" w:hAnsi="宋体" w:cs="宋体"/>
          <w:sz w:val="24"/>
          <w:highlight w:val="none"/>
          <w:u w:val="single"/>
        </w:rPr>
        <w:t xml:space="preserve">                                       </w:t>
      </w:r>
      <w:r>
        <w:rPr>
          <w:rFonts w:hint="eastAsia" w:ascii="宋体" w:hAnsi="宋体" w:cs="宋体"/>
          <w:sz w:val="24"/>
          <w:highlight w:val="none"/>
        </w:rPr>
        <w:t>（以下简称甲方）</w:t>
      </w:r>
    </w:p>
    <w:p w14:paraId="1A6506E7">
      <w:pPr>
        <w:spacing w:line="720" w:lineRule="auto"/>
        <w:jc w:val="left"/>
        <w:rPr>
          <w:rFonts w:hint="eastAsia" w:ascii="宋体" w:hAnsi="宋体" w:cs="宋体"/>
          <w:sz w:val="24"/>
          <w:highlight w:val="none"/>
        </w:rPr>
      </w:pPr>
      <w:r>
        <w:rPr>
          <w:rFonts w:hint="eastAsia" w:ascii="宋体" w:hAnsi="宋体" w:cs="宋体"/>
          <w:sz w:val="24"/>
          <w:highlight w:val="none"/>
        </w:rPr>
        <w:t>供方：</w:t>
      </w:r>
      <w:r>
        <w:rPr>
          <w:rFonts w:hint="eastAsia" w:ascii="宋体" w:hAnsi="宋体" w:cs="宋体"/>
          <w:sz w:val="24"/>
          <w:highlight w:val="none"/>
          <w:u w:val="single"/>
        </w:rPr>
        <w:t xml:space="preserve">                                       </w:t>
      </w:r>
      <w:r>
        <w:rPr>
          <w:rFonts w:hint="eastAsia" w:ascii="宋体" w:hAnsi="宋体" w:cs="宋体"/>
          <w:sz w:val="24"/>
          <w:highlight w:val="none"/>
        </w:rPr>
        <w:t>（以下简称乙方）</w:t>
      </w:r>
    </w:p>
    <w:p w14:paraId="02562D0C">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经甲乙双方充分协商，按照乙方充分响应甲方招标文件要求的原则，特订立本合同，以便共同遵守。</w:t>
      </w:r>
    </w:p>
    <w:p w14:paraId="68790D0F">
      <w:pPr>
        <w:spacing w:line="440" w:lineRule="exact"/>
        <w:jc w:val="left"/>
        <w:rPr>
          <w:rFonts w:hint="eastAsia" w:ascii="宋体" w:hAnsi="宋体" w:cs="宋体"/>
          <w:sz w:val="24"/>
          <w:highlight w:val="none"/>
        </w:rPr>
      </w:pPr>
      <w:r>
        <w:rPr>
          <w:rFonts w:hint="eastAsia" w:ascii="宋体" w:hAnsi="宋体" w:cs="宋体"/>
          <w:sz w:val="24"/>
          <w:highlight w:val="none"/>
        </w:rPr>
        <w:t xml:space="preserve">    一、项目名称、价款、清单、供货时间</w:t>
      </w:r>
    </w:p>
    <w:p w14:paraId="54124279">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1.项目名称：</w:t>
      </w:r>
    </w:p>
    <w:p w14:paraId="64D47033">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2.合同总价（含货款、相关税费、包装运杂费、安装调试等全部费用）：</w:t>
      </w:r>
    </w:p>
    <w:p w14:paraId="067B8348">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 xml:space="preserve">    人民币：大写：</w:t>
      </w:r>
      <w:r>
        <w:rPr>
          <w:rFonts w:hint="eastAsia" w:ascii="宋体" w:hAnsi="宋体" w:cs="宋体"/>
          <w:sz w:val="24"/>
          <w:highlight w:val="none"/>
          <w:u w:val="single"/>
        </w:rPr>
        <w:t xml:space="preserve">                                       </w:t>
      </w:r>
    </w:p>
    <w:p w14:paraId="7560A409">
      <w:pPr>
        <w:spacing w:line="440" w:lineRule="exact"/>
        <w:ind w:firstLine="480" w:firstLineChars="200"/>
        <w:jc w:val="left"/>
        <w:rPr>
          <w:rFonts w:hint="eastAsia" w:ascii="宋体" w:hAnsi="宋体" w:cs="宋体"/>
          <w:sz w:val="24"/>
          <w:highlight w:val="none"/>
          <w:u w:val="single"/>
        </w:rPr>
      </w:pPr>
      <w:r>
        <w:rPr>
          <w:rFonts w:hint="eastAsia" w:ascii="宋体" w:hAnsi="宋体" w:cs="宋体"/>
          <w:sz w:val="24"/>
          <w:highlight w:val="none"/>
        </w:rPr>
        <w:t xml:space="preserve">            小写：</w:t>
      </w:r>
      <w:r>
        <w:rPr>
          <w:rFonts w:hint="eastAsia" w:ascii="宋体" w:hAnsi="宋体" w:cs="宋体"/>
          <w:sz w:val="24"/>
          <w:highlight w:val="none"/>
          <w:u w:val="single"/>
        </w:rPr>
        <w:t xml:space="preserve">                                       </w:t>
      </w:r>
    </w:p>
    <w:p w14:paraId="08804123">
      <w:pPr>
        <w:numPr>
          <w:ilvl w:val="0"/>
          <w:numId w:val="4"/>
        </w:num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供货内容要求：由乙方按甲方招标文件确定的采购项目及技术标准要求供货（附采购货物清单，格式见下表），乙方自负费用将合同标的送达甲方指定地点。</w:t>
      </w:r>
    </w:p>
    <w:tbl>
      <w:tblPr>
        <w:tblStyle w:val="18"/>
        <w:tblpPr w:leftFromText="180" w:rightFromText="180" w:vertAnchor="text" w:horzAnchor="margin" w:tblpXSpec="center" w:tblpY="1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1"/>
        <w:gridCol w:w="2131"/>
        <w:gridCol w:w="2131"/>
      </w:tblGrid>
      <w:tr w14:paraId="5D53C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129" w:type="dxa"/>
            <w:tcBorders>
              <w:top w:val="single" w:color="auto" w:sz="12" w:space="0"/>
            </w:tcBorders>
            <w:noWrap w:val="0"/>
            <w:vAlign w:val="center"/>
          </w:tcPr>
          <w:p w14:paraId="6A0AAFB5">
            <w:pPr>
              <w:spacing w:line="440" w:lineRule="exact"/>
              <w:jc w:val="center"/>
              <w:rPr>
                <w:rFonts w:hint="eastAsia" w:ascii="宋体" w:hAnsi="宋体" w:cs="宋体"/>
                <w:highlight w:val="none"/>
              </w:rPr>
            </w:pPr>
            <w:r>
              <w:rPr>
                <w:rFonts w:hint="eastAsia" w:ascii="宋体" w:hAnsi="宋体" w:cs="宋体"/>
                <w:highlight w:val="none"/>
              </w:rPr>
              <w:t>产品名称</w:t>
            </w:r>
          </w:p>
        </w:tc>
        <w:tc>
          <w:tcPr>
            <w:tcW w:w="2131" w:type="dxa"/>
            <w:tcBorders>
              <w:top w:val="single" w:color="auto" w:sz="12" w:space="0"/>
            </w:tcBorders>
            <w:noWrap w:val="0"/>
            <w:vAlign w:val="center"/>
          </w:tcPr>
          <w:p w14:paraId="368BE345">
            <w:pPr>
              <w:spacing w:line="440" w:lineRule="exact"/>
              <w:jc w:val="center"/>
              <w:rPr>
                <w:rFonts w:hint="eastAsia" w:ascii="宋体" w:hAnsi="宋体" w:cs="宋体"/>
                <w:highlight w:val="none"/>
              </w:rPr>
            </w:pPr>
            <w:r>
              <w:rPr>
                <w:rFonts w:hint="eastAsia" w:ascii="宋体" w:hAnsi="宋体" w:cs="宋体"/>
                <w:highlight w:val="none"/>
              </w:rPr>
              <w:t>规格型号</w:t>
            </w:r>
          </w:p>
        </w:tc>
        <w:tc>
          <w:tcPr>
            <w:tcW w:w="2131" w:type="dxa"/>
            <w:tcBorders>
              <w:top w:val="single" w:color="auto" w:sz="12" w:space="0"/>
            </w:tcBorders>
            <w:noWrap w:val="0"/>
            <w:vAlign w:val="center"/>
          </w:tcPr>
          <w:p w14:paraId="387929CE">
            <w:pPr>
              <w:spacing w:line="440" w:lineRule="exact"/>
              <w:jc w:val="center"/>
              <w:rPr>
                <w:rFonts w:hint="eastAsia" w:ascii="宋体" w:hAnsi="宋体" w:cs="宋体"/>
                <w:highlight w:val="none"/>
              </w:rPr>
            </w:pPr>
            <w:r>
              <w:rPr>
                <w:rFonts w:hint="eastAsia" w:ascii="宋体" w:hAnsi="宋体" w:cs="宋体"/>
                <w:highlight w:val="none"/>
              </w:rPr>
              <w:t>单位</w:t>
            </w:r>
          </w:p>
        </w:tc>
        <w:tc>
          <w:tcPr>
            <w:tcW w:w="2131" w:type="dxa"/>
            <w:tcBorders>
              <w:top w:val="single" w:color="auto" w:sz="12" w:space="0"/>
            </w:tcBorders>
            <w:noWrap w:val="0"/>
            <w:vAlign w:val="center"/>
          </w:tcPr>
          <w:p w14:paraId="73C6CAC4">
            <w:pPr>
              <w:spacing w:line="440" w:lineRule="exact"/>
              <w:jc w:val="center"/>
              <w:rPr>
                <w:rFonts w:hint="eastAsia" w:ascii="宋体" w:hAnsi="宋体" w:cs="宋体"/>
                <w:highlight w:val="none"/>
              </w:rPr>
            </w:pPr>
            <w:r>
              <w:rPr>
                <w:rFonts w:hint="eastAsia" w:ascii="宋体" w:hAnsi="宋体" w:cs="宋体"/>
                <w:highlight w:val="none"/>
              </w:rPr>
              <w:t>数量</w:t>
            </w:r>
          </w:p>
        </w:tc>
      </w:tr>
      <w:tr w14:paraId="69CEB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29" w:type="dxa"/>
            <w:noWrap w:val="0"/>
            <w:vAlign w:val="center"/>
          </w:tcPr>
          <w:p w14:paraId="1A80D1EA">
            <w:pPr>
              <w:spacing w:line="440" w:lineRule="exact"/>
              <w:jc w:val="center"/>
              <w:rPr>
                <w:rFonts w:hint="eastAsia" w:ascii="宋体" w:hAnsi="宋体" w:cs="宋体"/>
                <w:sz w:val="24"/>
                <w:highlight w:val="none"/>
              </w:rPr>
            </w:pPr>
          </w:p>
        </w:tc>
        <w:tc>
          <w:tcPr>
            <w:tcW w:w="2131" w:type="dxa"/>
            <w:noWrap w:val="0"/>
            <w:vAlign w:val="center"/>
          </w:tcPr>
          <w:p w14:paraId="2478D44F">
            <w:pPr>
              <w:spacing w:line="440" w:lineRule="exact"/>
              <w:jc w:val="center"/>
              <w:rPr>
                <w:rFonts w:hint="eastAsia" w:ascii="宋体" w:hAnsi="宋体" w:cs="宋体"/>
                <w:sz w:val="24"/>
                <w:highlight w:val="none"/>
              </w:rPr>
            </w:pPr>
          </w:p>
        </w:tc>
        <w:tc>
          <w:tcPr>
            <w:tcW w:w="2131" w:type="dxa"/>
            <w:noWrap w:val="0"/>
            <w:vAlign w:val="center"/>
          </w:tcPr>
          <w:p w14:paraId="6C4205EF">
            <w:pPr>
              <w:spacing w:line="440" w:lineRule="exact"/>
              <w:jc w:val="center"/>
              <w:rPr>
                <w:rFonts w:hint="eastAsia" w:ascii="宋体" w:hAnsi="宋体" w:cs="宋体"/>
                <w:sz w:val="24"/>
                <w:highlight w:val="none"/>
              </w:rPr>
            </w:pPr>
          </w:p>
        </w:tc>
        <w:tc>
          <w:tcPr>
            <w:tcW w:w="2131" w:type="dxa"/>
            <w:noWrap w:val="0"/>
            <w:vAlign w:val="center"/>
          </w:tcPr>
          <w:p w14:paraId="1E2091D2">
            <w:pPr>
              <w:spacing w:line="440" w:lineRule="exact"/>
              <w:jc w:val="center"/>
              <w:rPr>
                <w:rFonts w:hint="eastAsia" w:ascii="宋体" w:hAnsi="宋体" w:cs="宋体"/>
                <w:sz w:val="24"/>
                <w:highlight w:val="none"/>
              </w:rPr>
            </w:pPr>
          </w:p>
        </w:tc>
      </w:tr>
      <w:tr w14:paraId="37F31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15" w:hRule="atLeast"/>
          <w:jc w:val="center"/>
        </w:trPr>
        <w:tc>
          <w:tcPr>
            <w:tcW w:w="2129" w:type="dxa"/>
            <w:tcBorders>
              <w:bottom w:val="single" w:color="auto" w:sz="12" w:space="0"/>
            </w:tcBorders>
            <w:noWrap w:val="0"/>
            <w:vAlign w:val="center"/>
          </w:tcPr>
          <w:p w14:paraId="4CB5A83C">
            <w:pPr>
              <w:spacing w:line="440" w:lineRule="exact"/>
              <w:jc w:val="center"/>
              <w:rPr>
                <w:rFonts w:hint="eastAsia" w:ascii="宋体" w:hAnsi="宋体" w:cs="宋体"/>
                <w:sz w:val="24"/>
                <w:highlight w:val="none"/>
              </w:rPr>
            </w:pPr>
          </w:p>
        </w:tc>
        <w:tc>
          <w:tcPr>
            <w:tcW w:w="2131" w:type="dxa"/>
            <w:tcBorders>
              <w:bottom w:val="single" w:color="auto" w:sz="12" w:space="0"/>
            </w:tcBorders>
            <w:noWrap w:val="0"/>
            <w:vAlign w:val="center"/>
          </w:tcPr>
          <w:p w14:paraId="2378C81E">
            <w:pPr>
              <w:spacing w:line="440" w:lineRule="exact"/>
              <w:jc w:val="center"/>
              <w:rPr>
                <w:rFonts w:hint="eastAsia" w:ascii="宋体" w:hAnsi="宋体" w:cs="宋体"/>
                <w:sz w:val="24"/>
                <w:highlight w:val="none"/>
              </w:rPr>
            </w:pPr>
          </w:p>
        </w:tc>
        <w:tc>
          <w:tcPr>
            <w:tcW w:w="2131" w:type="dxa"/>
            <w:tcBorders>
              <w:bottom w:val="single" w:color="auto" w:sz="12" w:space="0"/>
            </w:tcBorders>
            <w:noWrap w:val="0"/>
            <w:vAlign w:val="center"/>
          </w:tcPr>
          <w:p w14:paraId="7F6E8225">
            <w:pPr>
              <w:spacing w:line="440" w:lineRule="exact"/>
              <w:jc w:val="center"/>
              <w:rPr>
                <w:rFonts w:hint="eastAsia" w:ascii="宋体" w:hAnsi="宋体" w:cs="宋体"/>
                <w:sz w:val="24"/>
                <w:highlight w:val="none"/>
              </w:rPr>
            </w:pPr>
          </w:p>
        </w:tc>
        <w:tc>
          <w:tcPr>
            <w:tcW w:w="2131" w:type="dxa"/>
            <w:tcBorders>
              <w:bottom w:val="single" w:color="auto" w:sz="12" w:space="0"/>
            </w:tcBorders>
            <w:noWrap w:val="0"/>
            <w:vAlign w:val="center"/>
          </w:tcPr>
          <w:p w14:paraId="003D3655">
            <w:pPr>
              <w:spacing w:line="440" w:lineRule="exact"/>
              <w:jc w:val="center"/>
              <w:rPr>
                <w:rFonts w:hint="eastAsia" w:ascii="宋体" w:hAnsi="宋体" w:cs="宋体"/>
                <w:sz w:val="24"/>
                <w:highlight w:val="none"/>
              </w:rPr>
            </w:pPr>
          </w:p>
        </w:tc>
      </w:tr>
    </w:tbl>
    <w:p w14:paraId="04E9935A">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4.交货期：合同签订之日起</w:t>
      </w:r>
      <w:r>
        <w:rPr>
          <w:rFonts w:hint="eastAsia" w:ascii="宋体" w:hAnsi="宋体" w:cs="宋体"/>
          <w:sz w:val="24"/>
          <w:highlight w:val="none"/>
          <w:u w:val="single"/>
        </w:rPr>
        <w:t xml:space="preserve">    </w:t>
      </w:r>
      <w:r>
        <w:rPr>
          <w:rFonts w:hint="eastAsia" w:ascii="宋体" w:hAnsi="宋体" w:cs="宋体"/>
          <w:sz w:val="24"/>
          <w:highlight w:val="none"/>
        </w:rPr>
        <w:t>日内供货、安装调试完毕。若不按时供货，每超期一天扣中标价的1%。</w:t>
      </w:r>
    </w:p>
    <w:p w14:paraId="372DD441">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二、项目质量及技术要求</w:t>
      </w:r>
    </w:p>
    <w:p w14:paraId="2651F676">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乙方必须按投标标的内容及其要求组织供货，按时交付使用，并负责免费安装、调试、培训。乙方保证产品是原装合格新产品，特殊产品须有合法证明。产品质量应当符合国家有关质量法律法规规定。保质期内乙方应对项目全部质量负责，包括设备因工艺或材料等缺陷引起的任何不足或故障，费用由乙方负担。乙方应保证甲方在使用该系统的任何一部分时不受第三方提出侵犯专利权、商标权和工业设计权的起诉，一旦出现侵权行为，由乙方负全部责任。安装调试和施工过程中的人身和财物安全由乙方负全责，甲方不承担任何责任。</w:t>
      </w:r>
    </w:p>
    <w:p w14:paraId="4860C567">
      <w:pPr>
        <w:numPr>
          <w:ilvl w:val="0"/>
          <w:numId w:val="5"/>
        </w:num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验收与异议</w:t>
      </w:r>
    </w:p>
    <w:p w14:paraId="3C94A915">
      <w:pPr>
        <w:spacing w:line="440" w:lineRule="exact"/>
        <w:jc w:val="left"/>
        <w:rPr>
          <w:rFonts w:hint="eastAsia" w:ascii="宋体" w:hAnsi="宋体" w:cs="宋体"/>
          <w:sz w:val="24"/>
          <w:highlight w:val="none"/>
        </w:rPr>
      </w:pPr>
      <w:r>
        <w:rPr>
          <w:rFonts w:hint="eastAsia" w:ascii="宋体" w:hAnsi="宋体" w:cs="宋体"/>
          <w:sz w:val="24"/>
          <w:highlight w:val="none"/>
        </w:rPr>
        <w:t xml:space="preserve">    甲方验收时，乙方须将货物和《验收单》、发票、《产品说明书》、《保修卡》、《合格证》等资料当面交给甲方指定使用单位。安装调试完成后由甲方使用单位在《验收单》上签字盖章，甲乙双方和政府采购办公室分别持有保存，并作为付款的重要依据。</w:t>
      </w:r>
    </w:p>
    <w:p w14:paraId="61463E16">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提出异议的期限和方法：</w:t>
      </w:r>
    </w:p>
    <w:p w14:paraId="5B290AC2">
      <w:pPr>
        <w:numPr>
          <w:ilvl w:val="0"/>
          <w:numId w:val="6"/>
        </w:num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甲方使用单位在验收中，如果发现产品的品种、型号、规格和质量不符合规定，应在3日内向乙方提出书面异议，甲方使用单位有权拒收不符合合同规定的产品。</w:t>
      </w:r>
    </w:p>
    <w:p w14:paraId="28A7D07F">
      <w:pPr>
        <w:numPr>
          <w:ilvl w:val="0"/>
          <w:numId w:val="6"/>
        </w:num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甲方因使用、保管、保养不善等造成产品质量下降的，不得提出异议。</w:t>
      </w:r>
    </w:p>
    <w:p w14:paraId="072A474C">
      <w:pPr>
        <w:numPr>
          <w:ilvl w:val="0"/>
          <w:numId w:val="6"/>
        </w:num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乙方在接到甲方书面异议后，应在3天内负责处理，否则，即视为默认甲方提出的异议和处理意见。</w:t>
      </w:r>
    </w:p>
    <w:p w14:paraId="35F7013F">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四、结算方式及期限</w:t>
      </w:r>
    </w:p>
    <w:p w14:paraId="2D54845F">
      <w:pPr>
        <w:widowControl/>
        <w:numPr>
          <w:ilvl w:val="0"/>
          <w:numId w:val="7"/>
        </w:numPr>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质量、售后服务</w:t>
      </w:r>
    </w:p>
    <w:p w14:paraId="7B3AB0FC">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质量及售后服务由乙方负责，并按乙方在投标时的承诺执行。</w:t>
      </w:r>
    </w:p>
    <w:p w14:paraId="414CA26E">
      <w:pPr>
        <w:widowControl/>
        <w:shd w:val="clear" w:color="auto" w:fill="FFFFFF"/>
        <w:spacing w:line="440" w:lineRule="exact"/>
        <w:ind w:right="53"/>
        <w:textAlignment w:val="bottom"/>
        <w:rPr>
          <w:rFonts w:hint="eastAsia" w:ascii="宋体" w:hAnsi="宋体" w:cs="宋体"/>
          <w:sz w:val="24"/>
          <w:highlight w:val="none"/>
        </w:rPr>
      </w:pPr>
      <w:r>
        <w:rPr>
          <w:rFonts w:hint="eastAsia" w:ascii="宋体" w:hAnsi="宋体" w:cs="宋体"/>
          <w:sz w:val="24"/>
          <w:highlight w:val="none"/>
        </w:rPr>
        <w:t xml:space="preserve">    六、违约责任</w:t>
      </w:r>
    </w:p>
    <w:p w14:paraId="38687AD4">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1.乙方不能按期交货的（合同约定交货日期内），每超过一天扣总货款的1%。且甲方有权解除该合同，并要求乙方赔偿合同标的价10%的违约金。</w:t>
      </w:r>
    </w:p>
    <w:p w14:paraId="4D8B4476">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2.乙方所交产品品种、型号、规格、质量不符合规定的，由乙方负责更换，并承担调换或退货而支付的所有费用。</w:t>
      </w:r>
    </w:p>
    <w:p w14:paraId="6533A6C6">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3.甲乙双方的任何一方由于不可抗力的原因，应及时向对方通报不能履行或不能完全履行的理由，酌情考虑是否可以延期履行、部分履行或者不履行合同，并根据违约后果可部分或全部免予承担违约责任。</w:t>
      </w:r>
    </w:p>
    <w:p w14:paraId="0450496C">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4.其它违约行为由甲乙双方按《中华人民共和国</w:t>
      </w:r>
      <w:r>
        <w:rPr>
          <w:rFonts w:hint="eastAsia" w:ascii="宋体" w:hAnsi="宋体" w:cs="宋体"/>
          <w:sz w:val="24"/>
          <w:highlight w:val="none"/>
          <w:lang w:eastAsia="zh-CN"/>
        </w:rPr>
        <w:t>民法典</w:t>
      </w:r>
      <w:r>
        <w:rPr>
          <w:rFonts w:hint="eastAsia" w:ascii="宋体" w:hAnsi="宋体" w:cs="宋体"/>
          <w:sz w:val="24"/>
          <w:highlight w:val="none"/>
        </w:rPr>
        <w:t>》和国家相关法律法规规定执行。</w:t>
      </w:r>
    </w:p>
    <w:p w14:paraId="6DC41B8E">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七、其他</w:t>
      </w:r>
    </w:p>
    <w:p w14:paraId="4A84ACBB">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1.本合同如发生纠纷，当事人双方应当及时协商解决，协商不成时，申请履约地主管部门仲裁或向履约地人民法院诉讼。</w:t>
      </w:r>
    </w:p>
    <w:p w14:paraId="304A1209">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2.本合同自签订之日起生效，合同执行期间，甲乙双方均不得随意变更或解除合同。合同如有未尽事宜，须经双方共同协商，做出补充规定，补充规定与本合同具有同等效力。本合同一式肆份，甲、乙双方各执贰份。</w:t>
      </w:r>
    </w:p>
    <w:p w14:paraId="22A106EA">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需方(甲方):(盖章)</w:t>
      </w:r>
      <w:r>
        <w:rPr>
          <w:rFonts w:hint="eastAsia" w:ascii="宋体" w:hAnsi="宋体" w:cs="宋体"/>
          <w:sz w:val="24"/>
          <w:highlight w:val="none"/>
          <w:u w:val="single"/>
        </w:rPr>
        <w:t xml:space="preserve">                                                     </w:t>
      </w:r>
    </w:p>
    <w:p w14:paraId="519731E9">
      <w:pPr>
        <w:spacing w:line="440" w:lineRule="exact"/>
        <w:ind w:firstLine="480" w:firstLineChars="200"/>
        <w:jc w:val="left"/>
        <w:rPr>
          <w:rFonts w:hint="eastAsia" w:ascii="宋体" w:hAnsi="宋体" w:cs="宋体"/>
          <w:sz w:val="24"/>
          <w:highlight w:val="none"/>
        </w:rPr>
      </w:pPr>
      <w:r>
        <w:rPr>
          <w:rFonts w:hint="eastAsia" w:ascii="宋体" w:hAnsi="宋体" w:cs="宋体"/>
          <w:sz w:val="24"/>
          <w:highlight w:val="none"/>
        </w:rPr>
        <w:t>代表人:(签字)</w:t>
      </w:r>
      <w:r>
        <w:rPr>
          <w:rFonts w:hint="eastAsia" w:ascii="宋体" w:hAnsi="宋体" w:cs="宋体"/>
          <w:sz w:val="24"/>
          <w:highlight w:val="none"/>
          <w:u w:val="single"/>
        </w:rPr>
        <w:t xml:space="preserve">                                </w:t>
      </w:r>
    </w:p>
    <w:p w14:paraId="3C231E14">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u w:val="single"/>
        </w:rPr>
        <w:t xml:space="preserve">                                        </w:t>
      </w:r>
    </w:p>
    <w:p w14:paraId="5974154C">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供方(乙方):(盖章)</w:t>
      </w:r>
      <w:r>
        <w:rPr>
          <w:rFonts w:hint="eastAsia" w:ascii="宋体" w:hAnsi="宋体" w:cs="宋体"/>
          <w:sz w:val="24"/>
          <w:highlight w:val="none"/>
          <w:u w:val="single"/>
        </w:rPr>
        <w:t xml:space="preserve">                            </w:t>
      </w:r>
    </w:p>
    <w:p w14:paraId="570B4E74">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代表人:(签字)</w:t>
      </w:r>
      <w:r>
        <w:rPr>
          <w:rFonts w:hint="eastAsia" w:ascii="宋体" w:hAnsi="宋体" w:cs="宋体"/>
          <w:sz w:val="24"/>
          <w:highlight w:val="none"/>
          <w:u w:val="single"/>
        </w:rPr>
        <w:t xml:space="preserve">                                 </w:t>
      </w:r>
    </w:p>
    <w:p w14:paraId="3AF47679">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地址:</w:t>
      </w:r>
      <w:r>
        <w:rPr>
          <w:rFonts w:hint="eastAsia" w:ascii="宋体" w:hAnsi="宋体" w:cs="宋体"/>
          <w:sz w:val="24"/>
          <w:highlight w:val="none"/>
          <w:u w:val="single"/>
        </w:rPr>
        <w:t xml:space="preserve">                                        </w:t>
      </w:r>
    </w:p>
    <w:p w14:paraId="5B7B4E50">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开户银行:</w:t>
      </w:r>
      <w:r>
        <w:rPr>
          <w:rFonts w:hint="eastAsia" w:ascii="宋体" w:hAnsi="宋体" w:cs="宋体"/>
          <w:sz w:val="24"/>
          <w:highlight w:val="none"/>
          <w:u w:val="single"/>
        </w:rPr>
        <w:t xml:space="preserve">                                    </w:t>
      </w:r>
    </w:p>
    <w:p w14:paraId="0BFBE86B">
      <w:pPr>
        <w:widowControl/>
        <w:shd w:val="clear" w:color="auto" w:fill="FFFFFF"/>
        <w:spacing w:line="440" w:lineRule="exact"/>
        <w:ind w:right="53" w:firstLine="480" w:firstLineChars="200"/>
        <w:textAlignment w:val="bottom"/>
        <w:rPr>
          <w:rFonts w:hint="eastAsia" w:ascii="宋体" w:hAnsi="宋体" w:cs="宋体"/>
          <w:sz w:val="24"/>
          <w:highlight w:val="none"/>
          <w:u w:val="single"/>
        </w:rPr>
      </w:pPr>
      <w:r>
        <w:rPr>
          <w:rFonts w:hint="eastAsia" w:ascii="宋体" w:hAnsi="宋体" w:cs="宋体"/>
          <w:sz w:val="24"/>
          <w:highlight w:val="none"/>
        </w:rPr>
        <w:t>账号:</w:t>
      </w:r>
      <w:r>
        <w:rPr>
          <w:rFonts w:hint="eastAsia" w:ascii="宋体" w:hAnsi="宋体" w:cs="宋体"/>
          <w:sz w:val="24"/>
          <w:highlight w:val="none"/>
          <w:u w:val="single"/>
        </w:rPr>
        <w:t xml:space="preserve">                                        </w:t>
      </w:r>
    </w:p>
    <w:p w14:paraId="2D9E0E0E">
      <w:pPr>
        <w:widowControl/>
        <w:shd w:val="clear" w:color="auto" w:fill="FFFFFF"/>
        <w:spacing w:line="440" w:lineRule="exact"/>
        <w:ind w:right="53" w:firstLine="480" w:firstLineChars="200"/>
        <w:textAlignment w:val="bottom"/>
        <w:rPr>
          <w:rFonts w:hint="eastAsia" w:ascii="宋体" w:hAnsi="宋体" w:eastAsia="宋体" w:cs="宋体"/>
          <w:sz w:val="24"/>
          <w:highlight w:val="none"/>
          <w:u w:val="none"/>
          <w:lang w:eastAsia="zh-CN"/>
        </w:rPr>
      </w:pPr>
      <w:r>
        <w:rPr>
          <w:rFonts w:hint="eastAsia" w:ascii="宋体" w:hAnsi="宋体" w:cs="宋体"/>
          <w:sz w:val="24"/>
          <w:highlight w:val="none"/>
          <w:u w:val="none"/>
          <w:lang w:eastAsia="zh-CN"/>
        </w:rPr>
        <w:t>统一信用代码：</w:t>
      </w:r>
      <w:r>
        <w:rPr>
          <w:rFonts w:hint="eastAsia" w:ascii="宋体" w:hAnsi="宋体" w:cs="宋体"/>
          <w:sz w:val="24"/>
          <w:highlight w:val="none"/>
          <w:u w:val="single"/>
        </w:rPr>
        <w:t xml:space="preserve">                               </w:t>
      </w:r>
    </w:p>
    <w:p w14:paraId="23BDAF0D">
      <w:pPr>
        <w:widowControl/>
        <w:shd w:val="clear" w:color="auto" w:fill="FFFFFF"/>
        <w:spacing w:line="440" w:lineRule="exact"/>
        <w:ind w:right="53" w:firstLine="480" w:firstLineChars="200"/>
        <w:jc w:val="right"/>
        <w:textAlignment w:val="bottom"/>
        <w:rPr>
          <w:rFonts w:hint="eastAsia" w:ascii="宋体" w:hAnsi="宋体" w:cs="宋体"/>
          <w:sz w:val="24"/>
          <w:highlight w:val="none"/>
          <w:u w:val="single"/>
        </w:rPr>
      </w:pPr>
    </w:p>
    <w:p w14:paraId="6484B227">
      <w:pPr>
        <w:widowControl/>
        <w:shd w:val="clear" w:color="auto" w:fill="FFFFFF"/>
        <w:spacing w:line="440" w:lineRule="exact"/>
        <w:ind w:right="53" w:firstLine="480" w:firstLineChars="200"/>
        <w:jc w:val="right"/>
        <w:textAlignment w:val="bottom"/>
        <w:rPr>
          <w:rFonts w:hint="eastAsia"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6ED7A564">
      <w:pPr>
        <w:widowControl/>
        <w:shd w:val="clear" w:color="auto" w:fill="FFFFFF"/>
        <w:spacing w:line="440" w:lineRule="exact"/>
        <w:ind w:right="53" w:firstLine="480" w:firstLineChars="200"/>
        <w:textAlignment w:val="bottom"/>
        <w:rPr>
          <w:rFonts w:hint="eastAsia" w:ascii="宋体" w:hAnsi="宋体" w:cs="宋体"/>
          <w:sz w:val="24"/>
          <w:highlight w:val="none"/>
        </w:rPr>
      </w:pPr>
      <w:r>
        <w:rPr>
          <w:rFonts w:hint="eastAsia" w:ascii="宋体" w:hAnsi="宋体" w:cs="宋体"/>
          <w:sz w:val="24"/>
          <w:highlight w:val="none"/>
        </w:rPr>
        <w:t>附:采购货物清单、质量及服务承诺等。</w:t>
      </w:r>
    </w:p>
    <w:p w14:paraId="3120FC09">
      <w:pPr>
        <w:spacing w:line="440" w:lineRule="exact"/>
        <w:jc w:val="center"/>
        <w:rPr>
          <w:rFonts w:hint="eastAsia" w:ascii="宋体" w:hAnsi="宋体" w:cs="宋体"/>
          <w:highlight w:val="none"/>
        </w:rPr>
      </w:pPr>
    </w:p>
    <w:p w14:paraId="2EEAFA47">
      <w:pPr>
        <w:spacing w:line="440" w:lineRule="exact"/>
        <w:rPr>
          <w:rFonts w:hint="eastAsia" w:ascii="宋体" w:hAnsi="宋体" w:cs="宋体"/>
          <w:highlight w:val="none"/>
        </w:rPr>
      </w:pPr>
    </w:p>
    <w:p w14:paraId="2D2CBEAA">
      <w:pPr>
        <w:spacing w:line="480" w:lineRule="auto"/>
        <w:jc w:val="center"/>
        <w:rPr>
          <w:rFonts w:hint="eastAsia" w:ascii="宋体" w:hAnsi="宋体" w:cs="宋体"/>
          <w:b/>
          <w:bCs/>
          <w:color w:val="000000" w:themeColor="text1"/>
          <w:sz w:val="72"/>
          <w:szCs w:val="72"/>
          <w:highlight w:val="none"/>
          <w14:textFill>
            <w14:solidFill>
              <w14:schemeClr w14:val="tx1"/>
            </w14:solidFill>
          </w14:textFill>
        </w:rPr>
      </w:pPr>
    </w:p>
    <w:p w14:paraId="546CADD9">
      <w:pPr>
        <w:rPr>
          <w:rFonts w:hint="eastAsia" w:ascii="宋体" w:hAnsi="宋体" w:cs="宋体"/>
          <w:color w:val="000000" w:themeColor="text1"/>
          <w:sz w:val="24"/>
          <w:szCs w:val="24"/>
          <w:highlight w:val="none"/>
          <w14:textFill>
            <w14:solidFill>
              <w14:schemeClr w14:val="tx1"/>
            </w14:solidFill>
          </w14:textFill>
        </w:rPr>
      </w:pPr>
    </w:p>
    <w:p w14:paraId="39E98A35">
      <w:pPr>
        <w:pStyle w:val="110"/>
        <w:ind w:firstLine="480"/>
        <w:rPr>
          <w:rFonts w:hint="eastAsia" w:cs="宋体"/>
          <w:color w:val="000000" w:themeColor="text1"/>
          <w:sz w:val="24"/>
          <w:szCs w:val="24"/>
          <w:highlight w:val="none"/>
          <w14:textFill>
            <w14:solidFill>
              <w14:schemeClr w14:val="tx1"/>
            </w14:solidFill>
          </w14:textFill>
        </w:rPr>
      </w:pPr>
    </w:p>
    <w:p w14:paraId="6A1D6E51">
      <w:pPr>
        <w:pStyle w:val="29"/>
        <w:spacing w:before="100" w:after="100" w:line="360" w:lineRule="auto"/>
        <w:jc w:val="center"/>
        <w:outlineLvl w:val="9"/>
        <w:rPr>
          <w:rFonts w:hint="eastAsia" w:ascii="宋体" w:hAnsi="宋体"/>
          <w:color w:val="000000" w:themeColor="text1"/>
          <w:sz w:val="22"/>
          <w:szCs w:val="22"/>
          <w:highlight w:val="none"/>
          <w14:textFill>
            <w14:solidFill>
              <w14:schemeClr w14:val="tx1"/>
            </w14:solidFill>
          </w14:textFill>
        </w:rPr>
      </w:pPr>
      <w:bookmarkStart w:id="119" w:name="_Toc14781"/>
      <w:bookmarkEnd w:id="119"/>
      <w:r>
        <w:rPr>
          <w:rFonts w:hint="eastAsia" w:ascii="宋体" w:hAnsi="宋体" w:cs="宋体"/>
          <w:color w:val="000000" w:themeColor="text1"/>
          <w:sz w:val="24"/>
          <w:szCs w:val="24"/>
          <w:highlight w:val="none"/>
          <w14:textFill>
            <w14:solidFill>
              <w14:schemeClr w14:val="tx1"/>
            </w14:solidFill>
          </w14:textFill>
        </w:rPr>
        <w:br w:type="page"/>
      </w:r>
      <w:bookmarkStart w:id="120" w:name="_Toc11572"/>
    </w:p>
    <w:p w14:paraId="2AA546A1">
      <w:pPr>
        <w:rPr>
          <w:rFonts w:hint="eastAsia" w:ascii="宋体" w:hAnsi="宋体" w:cs="宋体"/>
          <w:b/>
          <w:bCs/>
          <w:color w:val="000000" w:themeColor="text1"/>
          <w:sz w:val="28"/>
          <w:szCs w:val="28"/>
          <w:highlight w:val="none"/>
          <w14:textFill>
            <w14:solidFill>
              <w14:schemeClr w14:val="tx1"/>
            </w14:solidFill>
          </w14:textFill>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AndChars" w:linePitch="312" w:charSpace="0"/>
        </w:sectPr>
      </w:pPr>
    </w:p>
    <w:p w14:paraId="07DEB326">
      <w:pPr>
        <w:numPr>
          <w:ilvl w:val="0"/>
          <w:numId w:val="0"/>
        </w:numPr>
        <w:jc w:val="center"/>
        <w:outlineLvl w:val="0"/>
        <w:rPr>
          <w:rFonts w:hint="eastAsia" w:ascii="宋体" w:hAnsi="宋体"/>
          <w:b/>
          <w:bCs/>
          <w:color w:val="000000" w:themeColor="text1"/>
          <w:sz w:val="36"/>
          <w:szCs w:val="36"/>
          <w:highlight w:val="none"/>
          <w14:textFill>
            <w14:solidFill>
              <w14:schemeClr w14:val="tx1"/>
            </w14:solidFill>
          </w14:textFill>
        </w:rPr>
      </w:pPr>
      <w:bookmarkStart w:id="121" w:name="_Toc31208"/>
      <w:r>
        <w:rPr>
          <w:rFonts w:hint="eastAsia" w:ascii="宋体" w:hAnsi="宋体" w:eastAsia="宋体" w:cs="Times New Roman"/>
          <w:b/>
          <w:bCs/>
          <w:color w:val="000000" w:themeColor="text1"/>
          <w:kern w:val="2"/>
          <w:sz w:val="36"/>
          <w:szCs w:val="36"/>
          <w:highlight w:val="none"/>
          <w:lang w:val="en-US" w:eastAsia="zh-CN" w:bidi="ar-SA"/>
          <w14:textFill>
            <w14:solidFill>
              <w14:schemeClr w14:val="tx1"/>
            </w14:solidFill>
          </w14:textFill>
        </w:rPr>
        <w:t>第五章</w:t>
      </w:r>
      <w:r>
        <w:rPr>
          <w:rFonts w:hint="eastAsia" w:ascii="宋体" w:hAnsi="宋体" w:cs="Times New Roman"/>
          <w:b/>
          <w:bCs/>
          <w:color w:val="000000" w:themeColor="text1"/>
          <w:kern w:val="2"/>
          <w:sz w:val="36"/>
          <w:szCs w:val="36"/>
          <w:highlight w:val="none"/>
          <w:lang w:val="en-US" w:eastAsia="zh-CN" w:bidi="ar-SA"/>
          <w14:textFill>
            <w14:solidFill>
              <w14:schemeClr w14:val="tx1"/>
            </w14:solidFill>
          </w14:textFill>
        </w:rPr>
        <w:t xml:space="preserve">  </w:t>
      </w:r>
      <w:r>
        <w:rPr>
          <w:rFonts w:hint="eastAsia" w:ascii="宋体" w:hAnsi="宋体"/>
          <w:b/>
          <w:bCs/>
          <w:color w:val="000000" w:themeColor="text1"/>
          <w:sz w:val="36"/>
          <w:szCs w:val="36"/>
          <w:highlight w:val="none"/>
          <w14:textFill>
            <w14:solidFill>
              <w14:schemeClr w14:val="tx1"/>
            </w14:solidFill>
          </w14:textFill>
        </w:rPr>
        <w:t>采购需求</w:t>
      </w:r>
      <w:bookmarkEnd w:id="121"/>
    </w:p>
    <w:tbl>
      <w:tblPr>
        <w:tblStyle w:val="18"/>
        <w:tblW w:w="995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32"/>
        <w:gridCol w:w="1404"/>
        <w:gridCol w:w="5984"/>
        <w:gridCol w:w="862"/>
        <w:gridCol w:w="769"/>
      </w:tblGrid>
      <w:tr w14:paraId="7E762F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9951" w:type="dxa"/>
            <w:gridSpan w:val="5"/>
            <w:tcBorders>
              <w:tl2br w:val="nil"/>
              <w:tr2bl w:val="nil"/>
            </w:tcBorders>
            <w:shd w:val="clear" w:color="auto" w:fill="auto"/>
            <w:vAlign w:val="center"/>
          </w:tcPr>
          <w:p w14:paraId="21428E0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color w:val="000000"/>
                <w:kern w:val="0"/>
                <w:sz w:val="21"/>
                <w:szCs w:val="21"/>
                <w:lang w:bidi="ar"/>
              </w:rPr>
            </w:pPr>
            <w:r>
              <w:rPr>
                <w:rFonts w:hint="eastAsia" w:ascii="宋体" w:hAnsi="宋体" w:eastAsia="宋体" w:cs="宋体"/>
                <w:b/>
                <w:bCs/>
                <w:color w:val="000000"/>
                <w:kern w:val="0"/>
                <w:sz w:val="21"/>
                <w:szCs w:val="21"/>
                <w:lang w:bidi="ar"/>
              </w:rPr>
              <w:t>河南质量工程职业学院标准化考场升级改造项目建设清单</w:t>
            </w:r>
          </w:p>
        </w:tc>
      </w:tr>
      <w:bookmarkEnd w:id="120"/>
      <w:tr w14:paraId="79E7B9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932" w:type="dxa"/>
            <w:tcBorders>
              <w:tl2br w:val="nil"/>
              <w:tr2bl w:val="nil"/>
            </w:tcBorders>
            <w:shd w:val="clear" w:color="auto" w:fill="auto"/>
            <w:vAlign w:val="center"/>
          </w:tcPr>
          <w:p w14:paraId="1BEE884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序号</w:t>
            </w:r>
          </w:p>
        </w:tc>
        <w:tc>
          <w:tcPr>
            <w:tcW w:w="1404" w:type="dxa"/>
            <w:tcBorders>
              <w:tl2br w:val="nil"/>
              <w:tr2bl w:val="nil"/>
            </w:tcBorders>
            <w:shd w:val="clear" w:color="auto" w:fill="auto"/>
            <w:vAlign w:val="center"/>
          </w:tcPr>
          <w:p w14:paraId="1BD5AA4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设备名称</w:t>
            </w:r>
          </w:p>
        </w:tc>
        <w:tc>
          <w:tcPr>
            <w:tcW w:w="5984" w:type="dxa"/>
            <w:tcBorders>
              <w:tl2br w:val="nil"/>
              <w:tr2bl w:val="nil"/>
            </w:tcBorders>
            <w:shd w:val="clear" w:color="auto" w:fill="auto"/>
            <w:noWrap/>
            <w:vAlign w:val="center"/>
          </w:tcPr>
          <w:p w14:paraId="42DC105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技术规格要求</w:t>
            </w:r>
          </w:p>
        </w:tc>
        <w:tc>
          <w:tcPr>
            <w:tcW w:w="862" w:type="dxa"/>
            <w:tcBorders>
              <w:tl2br w:val="nil"/>
              <w:tr2bl w:val="nil"/>
            </w:tcBorders>
            <w:shd w:val="clear" w:color="auto" w:fill="auto"/>
            <w:vAlign w:val="center"/>
          </w:tcPr>
          <w:p w14:paraId="105B179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单位</w:t>
            </w:r>
          </w:p>
        </w:tc>
        <w:tc>
          <w:tcPr>
            <w:tcW w:w="769" w:type="dxa"/>
            <w:tcBorders>
              <w:tl2br w:val="nil"/>
              <w:tr2bl w:val="nil"/>
            </w:tcBorders>
            <w:shd w:val="clear" w:color="auto" w:fill="auto"/>
            <w:vAlign w:val="center"/>
          </w:tcPr>
          <w:p w14:paraId="1F38504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数量</w:t>
            </w:r>
          </w:p>
        </w:tc>
      </w:tr>
      <w:tr w14:paraId="29C9D3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32" w:type="dxa"/>
            <w:tcBorders>
              <w:tl2br w:val="nil"/>
              <w:tr2bl w:val="nil"/>
            </w:tcBorders>
            <w:shd w:val="clear" w:color="auto" w:fill="auto"/>
            <w:vAlign w:val="center"/>
          </w:tcPr>
          <w:p w14:paraId="7526EC7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1404" w:type="dxa"/>
            <w:tcBorders>
              <w:tl2br w:val="nil"/>
              <w:tr2bl w:val="nil"/>
            </w:tcBorders>
            <w:shd w:val="clear" w:color="auto" w:fill="FFFFFF"/>
            <w:vAlign w:val="center"/>
          </w:tcPr>
          <w:p w14:paraId="259DCA4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摄像头（含专业支架、电源、存储卡等）</w:t>
            </w:r>
          </w:p>
        </w:tc>
        <w:tc>
          <w:tcPr>
            <w:tcW w:w="5984" w:type="dxa"/>
            <w:tcBorders>
              <w:tl2br w:val="nil"/>
              <w:tr2bl w:val="nil"/>
            </w:tcBorders>
            <w:shd w:val="clear" w:color="auto" w:fill="auto"/>
            <w:vAlign w:val="center"/>
          </w:tcPr>
          <w:p w14:paraId="1C7A6CF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1、符合《国家教育考试网上巡查系统视频标准技术规范（2017版）》相关技术规范；</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2、采用高性能两百万像素1/2.7英寸CMOS图像传感器，低照度效果好，图像清晰度高；</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3、可输出200万(1920*1080)@25fps；</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4、支持H.264、H.265、MPEG-4视频编码格式；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5、支持智能红外功能，红外夜视距目标轮廓可达50米；</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6、支持走廊模式，宽动态，3D降噪，强光抑制，背光补偿，数字水印，适用不同监控环境；</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7、支持ROI，SMART H.264/H.265，灵活编码，适用不同带宽和存储环境；</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8、支持虚焦侦测，区域入侵，绊线入侵，场景变更，外部报警,音频检测，电压检测；</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9、支持PS系统流和TS传输流的封装；</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10、支持人脸区域自动曝光，根据场景和光照自动调节曝光参数，支持人脸增强功能；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11、支持DC12V/POE电方式，方便工程安装；</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12、镜头焦距2.8mm。</w:t>
            </w:r>
          </w:p>
        </w:tc>
        <w:tc>
          <w:tcPr>
            <w:tcW w:w="862" w:type="dxa"/>
            <w:tcBorders>
              <w:tl2br w:val="nil"/>
              <w:tr2bl w:val="nil"/>
            </w:tcBorders>
            <w:shd w:val="clear" w:color="auto" w:fill="auto"/>
            <w:vAlign w:val="center"/>
          </w:tcPr>
          <w:p w14:paraId="71432DD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06BB3A0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65</w:t>
            </w:r>
          </w:p>
        </w:tc>
      </w:tr>
      <w:tr w14:paraId="53448F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16" w:hRule="atLeast"/>
          <w:jc w:val="center"/>
        </w:trPr>
        <w:tc>
          <w:tcPr>
            <w:tcW w:w="932" w:type="dxa"/>
            <w:tcBorders>
              <w:tl2br w:val="nil"/>
              <w:tr2bl w:val="nil"/>
            </w:tcBorders>
            <w:shd w:val="clear" w:color="auto" w:fill="auto"/>
            <w:vAlign w:val="center"/>
          </w:tcPr>
          <w:p w14:paraId="2C147BD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1404" w:type="dxa"/>
            <w:tcBorders>
              <w:tl2br w:val="nil"/>
              <w:tr2bl w:val="nil"/>
            </w:tcBorders>
            <w:shd w:val="clear" w:color="auto" w:fill="FFFFFF"/>
            <w:vAlign w:val="center"/>
          </w:tcPr>
          <w:p w14:paraId="628CD3F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拾音器</w:t>
            </w:r>
          </w:p>
        </w:tc>
        <w:tc>
          <w:tcPr>
            <w:tcW w:w="5984" w:type="dxa"/>
            <w:tcBorders>
              <w:tl2br w:val="nil"/>
              <w:tr2bl w:val="nil"/>
            </w:tcBorders>
            <w:shd w:val="clear" w:color="auto" w:fill="auto"/>
            <w:vAlign w:val="center"/>
          </w:tcPr>
          <w:p w14:paraId="2FA4CCF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1、频率响应范围应包含80Hz～16KHz；</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2、灵敏度≥-34dB；</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3、信噪比:≥60dB(1米m40dB音源SPL)，≥30dB(10米m40dB音源SPL)1KHz At 1Pa；</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4、高保真麦克风，全向拾音，要求声音清晰；</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5、采用高保真、低噪声处理芯片；</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6、应内置ESD雷击保护、电源极性反接保护和静电保护功能；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7、铝合金外壳材质；</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8、内置前置放大电路，可直接驱动耳机；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9、应支持DC12V供电。</w:t>
            </w:r>
          </w:p>
        </w:tc>
        <w:tc>
          <w:tcPr>
            <w:tcW w:w="862" w:type="dxa"/>
            <w:tcBorders>
              <w:tl2br w:val="nil"/>
              <w:tr2bl w:val="nil"/>
            </w:tcBorders>
            <w:shd w:val="clear" w:color="auto" w:fill="auto"/>
            <w:vAlign w:val="center"/>
          </w:tcPr>
          <w:p w14:paraId="4FF73C8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支</w:t>
            </w:r>
          </w:p>
        </w:tc>
        <w:tc>
          <w:tcPr>
            <w:tcW w:w="769" w:type="dxa"/>
            <w:tcBorders>
              <w:tl2br w:val="nil"/>
              <w:tr2bl w:val="nil"/>
            </w:tcBorders>
            <w:shd w:val="clear" w:color="auto" w:fill="auto"/>
            <w:vAlign w:val="center"/>
          </w:tcPr>
          <w:p w14:paraId="5995E2D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65</w:t>
            </w:r>
          </w:p>
        </w:tc>
      </w:tr>
      <w:tr w14:paraId="163A7C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932" w:type="dxa"/>
            <w:tcBorders>
              <w:tl2br w:val="nil"/>
              <w:tr2bl w:val="nil"/>
            </w:tcBorders>
            <w:shd w:val="clear" w:color="auto" w:fill="auto"/>
            <w:vAlign w:val="center"/>
          </w:tcPr>
          <w:p w14:paraId="7345C76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1404" w:type="dxa"/>
            <w:tcBorders>
              <w:tl2br w:val="nil"/>
              <w:tr2bl w:val="nil"/>
            </w:tcBorders>
            <w:shd w:val="clear" w:color="auto" w:fill="FFFFFF"/>
            <w:vAlign w:val="center"/>
          </w:tcPr>
          <w:p w14:paraId="6703362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考场交换机</w:t>
            </w:r>
          </w:p>
        </w:tc>
        <w:tc>
          <w:tcPr>
            <w:tcW w:w="5984" w:type="dxa"/>
            <w:tcBorders>
              <w:tl2br w:val="nil"/>
              <w:tr2bl w:val="nil"/>
            </w:tcBorders>
            <w:shd w:val="clear" w:color="auto" w:fill="auto"/>
            <w:vAlign w:val="center"/>
          </w:tcPr>
          <w:p w14:paraId="7EA413A6">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5口交换机：外电，4+2口千兆，铁壳交换机</w:t>
            </w:r>
          </w:p>
        </w:tc>
        <w:tc>
          <w:tcPr>
            <w:tcW w:w="862" w:type="dxa"/>
            <w:tcBorders>
              <w:tl2br w:val="nil"/>
              <w:tr2bl w:val="nil"/>
            </w:tcBorders>
            <w:shd w:val="clear" w:color="auto" w:fill="auto"/>
            <w:vAlign w:val="center"/>
          </w:tcPr>
          <w:p w14:paraId="39E2F5C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31EF204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59</w:t>
            </w:r>
          </w:p>
        </w:tc>
      </w:tr>
      <w:tr w14:paraId="1945F8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932" w:type="dxa"/>
            <w:tcBorders>
              <w:tl2br w:val="nil"/>
              <w:tr2bl w:val="nil"/>
            </w:tcBorders>
            <w:shd w:val="clear" w:color="auto" w:fill="auto"/>
            <w:vAlign w:val="center"/>
          </w:tcPr>
          <w:p w14:paraId="672A5CC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1404" w:type="dxa"/>
            <w:tcBorders>
              <w:tl2br w:val="nil"/>
              <w:tr2bl w:val="nil"/>
            </w:tcBorders>
            <w:shd w:val="clear" w:color="auto" w:fill="FFFFFF"/>
            <w:vAlign w:val="center"/>
          </w:tcPr>
          <w:p w14:paraId="03DAFB1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设备箱</w:t>
            </w:r>
          </w:p>
        </w:tc>
        <w:tc>
          <w:tcPr>
            <w:tcW w:w="5984" w:type="dxa"/>
            <w:tcBorders>
              <w:tl2br w:val="nil"/>
              <w:tr2bl w:val="nil"/>
            </w:tcBorders>
            <w:shd w:val="clear" w:color="auto" w:fill="auto"/>
            <w:vAlign w:val="center"/>
          </w:tcPr>
          <w:p w14:paraId="4170605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定制，用于集中安放电源模块、交换机、插排等。</w:t>
            </w:r>
          </w:p>
        </w:tc>
        <w:tc>
          <w:tcPr>
            <w:tcW w:w="862" w:type="dxa"/>
            <w:tcBorders>
              <w:tl2br w:val="nil"/>
              <w:tr2bl w:val="nil"/>
            </w:tcBorders>
            <w:shd w:val="clear" w:color="auto" w:fill="auto"/>
            <w:vAlign w:val="center"/>
          </w:tcPr>
          <w:p w14:paraId="3C884E4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769" w:type="dxa"/>
            <w:tcBorders>
              <w:tl2br w:val="nil"/>
              <w:tr2bl w:val="nil"/>
            </w:tcBorders>
            <w:shd w:val="clear" w:color="auto" w:fill="auto"/>
            <w:vAlign w:val="center"/>
          </w:tcPr>
          <w:p w14:paraId="65EC5DD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59</w:t>
            </w:r>
          </w:p>
        </w:tc>
      </w:tr>
      <w:tr w14:paraId="6C0DEC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932" w:type="dxa"/>
            <w:tcBorders>
              <w:tl2br w:val="nil"/>
              <w:tr2bl w:val="nil"/>
            </w:tcBorders>
            <w:shd w:val="clear" w:color="auto" w:fill="auto"/>
            <w:vAlign w:val="center"/>
          </w:tcPr>
          <w:p w14:paraId="6577A16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404" w:type="dxa"/>
            <w:tcBorders>
              <w:tl2br w:val="nil"/>
              <w:tr2bl w:val="nil"/>
            </w:tcBorders>
            <w:shd w:val="clear" w:color="auto" w:fill="FFFFFF"/>
            <w:vAlign w:val="center"/>
          </w:tcPr>
          <w:p w14:paraId="57E62F5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rPr>
              <w:t>16口汇聚交换机</w:t>
            </w:r>
          </w:p>
        </w:tc>
        <w:tc>
          <w:tcPr>
            <w:tcW w:w="5984" w:type="dxa"/>
            <w:tcBorders>
              <w:tl2br w:val="nil"/>
              <w:tr2bl w:val="nil"/>
            </w:tcBorders>
            <w:shd w:val="clear" w:color="auto" w:fill="auto"/>
            <w:vAlign w:val="center"/>
          </w:tcPr>
          <w:p w14:paraId="40E02BA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16个10M/100M/1000M自适应电口，非网管，桌面级，交换容量32Gbps，包转发率24Mpps，</w:t>
            </w:r>
          </w:p>
        </w:tc>
        <w:tc>
          <w:tcPr>
            <w:tcW w:w="862" w:type="dxa"/>
            <w:tcBorders>
              <w:tl2br w:val="nil"/>
              <w:tr2bl w:val="nil"/>
            </w:tcBorders>
            <w:shd w:val="clear" w:color="auto" w:fill="auto"/>
            <w:noWrap/>
            <w:vAlign w:val="center"/>
          </w:tcPr>
          <w:p w14:paraId="532DAA0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7ED420B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r>
      <w:tr w14:paraId="30C319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95" w:hRule="atLeast"/>
          <w:jc w:val="center"/>
        </w:trPr>
        <w:tc>
          <w:tcPr>
            <w:tcW w:w="932" w:type="dxa"/>
            <w:tcBorders>
              <w:tl2br w:val="nil"/>
              <w:tr2bl w:val="nil"/>
            </w:tcBorders>
            <w:shd w:val="clear" w:color="auto" w:fill="auto"/>
            <w:vAlign w:val="center"/>
          </w:tcPr>
          <w:p w14:paraId="02281A4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404" w:type="dxa"/>
            <w:tcBorders>
              <w:tl2br w:val="nil"/>
              <w:tr2bl w:val="nil"/>
            </w:tcBorders>
            <w:shd w:val="clear" w:color="auto" w:fill="FFFFFF"/>
            <w:vAlign w:val="center"/>
          </w:tcPr>
          <w:p w14:paraId="285FDBDB">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color w:val="000000"/>
                <w:sz w:val="21"/>
                <w:szCs w:val="21"/>
              </w:rPr>
            </w:pPr>
            <w:r>
              <w:rPr>
                <w:rFonts w:hint="eastAsia" w:ascii="宋体" w:hAnsi="宋体" w:eastAsia="宋体" w:cs="宋体"/>
                <w:sz w:val="21"/>
                <w:szCs w:val="21"/>
              </w:rPr>
              <w:t>24口汇聚交换机</w:t>
            </w:r>
          </w:p>
        </w:tc>
        <w:tc>
          <w:tcPr>
            <w:tcW w:w="5984" w:type="dxa"/>
            <w:tcBorders>
              <w:tl2br w:val="nil"/>
              <w:tr2bl w:val="nil"/>
            </w:tcBorders>
            <w:shd w:val="clear" w:color="auto" w:fill="auto"/>
            <w:vAlign w:val="center"/>
          </w:tcPr>
          <w:p w14:paraId="2A392C1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1、交换容量≥336Gbps，转发性能≥125Mpps，官网最小值为准，提供官网截图和链接证明并加盖厂家公章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2、10/100/1000M自适应以太网端口≥24个，1G SFP光接口≥4个</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3、要求所投设备MAC地址≥16K</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4、要求所投设备支持1对1、基于流、基于VLAN的镜像；支持RSPAN</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5、支持CPU保护功能，能限制非法报文对CPU的攻击，保护交换机在各种环境下稳定工作</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★6、支持专门基础网络保护机制，能够限制用户向网络中发送数据包的速率，对有攻击行为的用户进行隔离，保证设备和整网的安全稳定运行，提供官网截图和链接证明并加盖厂家公章</w:t>
            </w:r>
          </w:p>
        </w:tc>
        <w:tc>
          <w:tcPr>
            <w:tcW w:w="862" w:type="dxa"/>
            <w:tcBorders>
              <w:tl2br w:val="nil"/>
              <w:tr2bl w:val="nil"/>
            </w:tcBorders>
            <w:shd w:val="clear" w:color="auto" w:fill="FFFFFF"/>
            <w:vAlign w:val="center"/>
          </w:tcPr>
          <w:p w14:paraId="6B647D8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0BF4627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r>
      <w:tr w14:paraId="7C75C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26" w:hRule="atLeast"/>
          <w:jc w:val="center"/>
        </w:trPr>
        <w:tc>
          <w:tcPr>
            <w:tcW w:w="932" w:type="dxa"/>
            <w:tcBorders>
              <w:tl2br w:val="nil"/>
              <w:tr2bl w:val="nil"/>
            </w:tcBorders>
            <w:shd w:val="clear" w:color="auto" w:fill="auto"/>
            <w:vAlign w:val="center"/>
          </w:tcPr>
          <w:p w14:paraId="2E66A2F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404" w:type="dxa"/>
            <w:tcBorders>
              <w:tl2br w:val="nil"/>
              <w:tr2bl w:val="nil"/>
            </w:tcBorders>
            <w:shd w:val="clear" w:color="auto" w:fill="FFFFFF"/>
            <w:vAlign w:val="center"/>
          </w:tcPr>
          <w:p w14:paraId="0073C64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电源系统布线</w:t>
            </w:r>
          </w:p>
        </w:tc>
        <w:tc>
          <w:tcPr>
            <w:tcW w:w="5984" w:type="dxa"/>
            <w:tcBorders>
              <w:tl2br w:val="nil"/>
              <w:tr2bl w:val="nil"/>
            </w:tcBorders>
            <w:shd w:val="clear" w:color="auto" w:fill="auto"/>
            <w:vAlign w:val="center"/>
          </w:tcPr>
          <w:p w14:paraId="44EF545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要求考场所有标考设备全部通过UPS电源进行统一供电；需提供电源布线所需RVV线缆（纯铜线芯，线径按设备要求规格）、线槽/管、电源插座、辅材辅料等电源布线所需材料，所有材料要求不低于国标标准；负责电源系统布线施工、测试、验收等工作。</w:t>
            </w:r>
          </w:p>
        </w:tc>
        <w:tc>
          <w:tcPr>
            <w:tcW w:w="862" w:type="dxa"/>
            <w:tcBorders>
              <w:tl2br w:val="nil"/>
              <w:tr2bl w:val="nil"/>
            </w:tcBorders>
            <w:shd w:val="clear" w:color="auto" w:fill="auto"/>
            <w:vAlign w:val="center"/>
          </w:tcPr>
          <w:p w14:paraId="2A005C6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769" w:type="dxa"/>
            <w:tcBorders>
              <w:tl2br w:val="nil"/>
              <w:tr2bl w:val="nil"/>
            </w:tcBorders>
            <w:shd w:val="clear" w:color="auto" w:fill="auto"/>
            <w:vAlign w:val="center"/>
          </w:tcPr>
          <w:p w14:paraId="7DF3A94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59</w:t>
            </w:r>
          </w:p>
        </w:tc>
      </w:tr>
      <w:tr w14:paraId="1E5014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901" w:hRule="atLeast"/>
          <w:jc w:val="center"/>
        </w:trPr>
        <w:tc>
          <w:tcPr>
            <w:tcW w:w="932" w:type="dxa"/>
            <w:tcBorders>
              <w:tl2br w:val="nil"/>
              <w:tr2bl w:val="nil"/>
            </w:tcBorders>
            <w:shd w:val="clear" w:color="auto" w:fill="auto"/>
            <w:vAlign w:val="center"/>
          </w:tcPr>
          <w:p w14:paraId="16BAE36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404" w:type="dxa"/>
            <w:tcBorders>
              <w:tl2br w:val="nil"/>
              <w:tr2bl w:val="nil"/>
            </w:tcBorders>
            <w:shd w:val="clear" w:color="auto" w:fill="FFFFFF"/>
            <w:vAlign w:val="center"/>
          </w:tcPr>
          <w:p w14:paraId="4790A11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网络系统布线</w:t>
            </w:r>
          </w:p>
        </w:tc>
        <w:tc>
          <w:tcPr>
            <w:tcW w:w="5984" w:type="dxa"/>
            <w:tcBorders>
              <w:tl2br w:val="nil"/>
              <w:tr2bl w:val="nil"/>
            </w:tcBorders>
            <w:shd w:val="clear" w:color="auto" w:fill="auto"/>
            <w:vAlign w:val="center"/>
          </w:tcPr>
          <w:p w14:paraId="1ACC279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要求完成考场的视频巡查、身份验证等系统的网络布线；提供网络布线所需的双绞线（不低于国标超五类，纯铜线芯）、线槽/管、网络插座、网络模块、辅材辅料等网络布线所需材料，所有材料要求不低于国标标准；负责网络系统布线施工、测试、验收等工作。</w:t>
            </w:r>
          </w:p>
        </w:tc>
        <w:tc>
          <w:tcPr>
            <w:tcW w:w="862" w:type="dxa"/>
            <w:tcBorders>
              <w:tl2br w:val="nil"/>
              <w:tr2bl w:val="nil"/>
            </w:tcBorders>
            <w:shd w:val="clear" w:color="auto" w:fill="auto"/>
            <w:vAlign w:val="center"/>
          </w:tcPr>
          <w:p w14:paraId="0A214D9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769" w:type="dxa"/>
            <w:tcBorders>
              <w:tl2br w:val="nil"/>
              <w:tr2bl w:val="nil"/>
            </w:tcBorders>
            <w:shd w:val="clear" w:color="auto" w:fill="auto"/>
            <w:vAlign w:val="center"/>
          </w:tcPr>
          <w:p w14:paraId="2EAF559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59</w:t>
            </w:r>
          </w:p>
        </w:tc>
      </w:tr>
      <w:tr w14:paraId="571E86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09" w:hRule="atLeast"/>
          <w:jc w:val="center"/>
        </w:trPr>
        <w:tc>
          <w:tcPr>
            <w:tcW w:w="932" w:type="dxa"/>
            <w:tcBorders>
              <w:tl2br w:val="nil"/>
              <w:tr2bl w:val="nil"/>
            </w:tcBorders>
            <w:shd w:val="clear" w:color="auto" w:fill="auto"/>
            <w:vAlign w:val="center"/>
          </w:tcPr>
          <w:p w14:paraId="7AAA42C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404" w:type="dxa"/>
            <w:tcBorders>
              <w:tl2br w:val="nil"/>
              <w:tr2bl w:val="nil"/>
            </w:tcBorders>
            <w:shd w:val="clear" w:color="auto" w:fill="FFFFFF"/>
            <w:vAlign w:val="center"/>
          </w:tcPr>
          <w:p w14:paraId="7238B8D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高清SIP管理平台</w:t>
            </w:r>
          </w:p>
        </w:tc>
        <w:tc>
          <w:tcPr>
            <w:tcW w:w="5984" w:type="dxa"/>
            <w:tcBorders>
              <w:tl2br w:val="nil"/>
              <w:tr2bl w:val="nil"/>
            </w:tcBorders>
            <w:shd w:val="clear" w:color="auto" w:fill="auto"/>
            <w:vAlign w:val="center"/>
          </w:tcPr>
          <w:p w14:paraId="755434CB">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1、符合《国家教育考试网上巡查系统视频标准技术规范（2017版）》相关技术规范；</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2、具备实时操作系统Linux，支持国产嵌入式CPU，单颗CPU核心数在6核或以上，本身具有抗病毒和抗攻击能力；</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3、支持标准SIP 2.0，支持域、子域管理，可最多支持5级域、子域；</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4、支持SIP向上级的主动注册与多级注册的管理；</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5、支持IP、UDP、RTP、RTCP、SIP、TCP/IP、DHCP、PPPOE等网络协议；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★6、支持以北斗/GPS/NTP为时间源对服务器进行自动校时，设备具有北斗外置有源天线接口；</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7、支持多转发分布式部署协同工作，支持媒体流分发，满足大路数高清视频流的转发需求；</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8、支持根据网络情况和使用需求，动态调整视频分辨率；</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9、支持考场编排报表，并可打印考场编号；</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★10、支持根据组网模式、上下级机构拓扑关系生成可视化3D拓扑结构图，支持以3D形式展示系统实时运行状态，SIP工作状态、转发工作状态、平台间SIP注册状态、数据流状态等；</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11、支持根据考试类型进行视频图像上传控制；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12、可设置SIP路由器的相关信息；</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★13、支持在拓扑图中添加存储服务器、摄像机等前端设备，可快速搜索摄像机信息并绑定到指定存储服务器，提供拖动方式调整摄像机对应的存储服务器通道功能；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14、可设置分发服务器的相关信息；</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15、可设置客户端、巡查主机、控制器等账号权限；</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备注：以上加★参数需提供第三方权威检测报告加以佐证。</w:t>
            </w:r>
          </w:p>
        </w:tc>
        <w:tc>
          <w:tcPr>
            <w:tcW w:w="862" w:type="dxa"/>
            <w:tcBorders>
              <w:tl2br w:val="nil"/>
              <w:tr2bl w:val="nil"/>
            </w:tcBorders>
            <w:shd w:val="clear" w:color="auto" w:fill="FFFFFF"/>
            <w:vAlign w:val="center"/>
          </w:tcPr>
          <w:p w14:paraId="741A064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00C334E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6750E0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59" w:hRule="atLeast"/>
          <w:jc w:val="center"/>
        </w:trPr>
        <w:tc>
          <w:tcPr>
            <w:tcW w:w="932" w:type="dxa"/>
            <w:tcBorders>
              <w:tl2br w:val="nil"/>
              <w:tr2bl w:val="nil"/>
            </w:tcBorders>
            <w:shd w:val="clear" w:color="auto" w:fill="auto"/>
            <w:vAlign w:val="center"/>
          </w:tcPr>
          <w:p w14:paraId="3EB1334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404" w:type="dxa"/>
            <w:tcBorders>
              <w:tl2br w:val="nil"/>
              <w:tr2bl w:val="nil"/>
            </w:tcBorders>
            <w:shd w:val="clear" w:color="auto" w:fill="FFFFFF"/>
            <w:vAlign w:val="center"/>
          </w:tcPr>
          <w:p w14:paraId="53D6D96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高清媒体转发服务器</w:t>
            </w:r>
          </w:p>
        </w:tc>
        <w:tc>
          <w:tcPr>
            <w:tcW w:w="5984" w:type="dxa"/>
            <w:tcBorders>
              <w:tl2br w:val="nil"/>
              <w:tr2bl w:val="nil"/>
            </w:tcBorders>
            <w:shd w:val="clear" w:color="auto" w:fill="auto"/>
            <w:vAlign w:val="center"/>
          </w:tcPr>
          <w:p w14:paraId="45FC23F3">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1、符合《国家教育考试网上巡查系统视频标准技术规范（2017版）》相关技术规范；</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2、具备实时操作系统Linux，支持国产嵌入式CPU，单颗CPU核心数在6核或以上，本身具有抗病毒和抗攻击能力；</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3、支持网络拥塞控制等功能；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4、支持IP、UDP、RTP、RTCP、SIP、TCP/IP、DHCP、PPPOE等网络协议；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5、支持媒体流分发；</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6、在千兆网络条件下，转发吞吐量在600Mbps以上；</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7、支持多转发分布式部署协同工作，满足大路数高清视频流的转发需求；</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8、支持点播、组播、广播；</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★9、支持访问控制功能，关闭不需要的服务和端口，设置网络地址范围等条件限制终端登录；</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以上加★参数需提供第三方权威检测报告加以佐证。</w:t>
            </w:r>
          </w:p>
        </w:tc>
        <w:tc>
          <w:tcPr>
            <w:tcW w:w="862" w:type="dxa"/>
            <w:tcBorders>
              <w:tl2br w:val="nil"/>
              <w:tr2bl w:val="nil"/>
            </w:tcBorders>
            <w:shd w:val="clear" w:color="auto" w:fill="FFFFFF"/>
            <w:vAlign w:val="center"/>
          </w:tcPr>
          <w:p w14:paraId="6918F1C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6413921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5A9F25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59" w:hRule="atLeast"/>
          <w:jc w:val="center"/>
        </w:trPr>
        <w:tc>
          <w:tcPr>
            <w:tcW w:w="932" w:type="dxa"/>
            <w:tcBorders>
              <w:tl2br w:val="nil"/>
              <w:tr2bl w:val="nil"/>
            </w:tcBorders>
            <w:shd w:val="clear" w:color="auto" w:fill="auto"/>
            <w:vAlign w:val="center"/>
          </w:tcPr>
          <w:p w14:paraId="3135186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1404" w:type="dxa"/>
            <w:tcBorders>
              <w:tl2br w:val="nil"/>
              <w:tr2bl w:val="nil"/>
            </w:tcBorders>
            <w:shd w:val="clear" w:color="auto" w:fill="FFFFFF"/>
            <w:vAlign w:val="center"/>
          </w:tcPr>
          <w:p w14:paraId="2BD9266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标考网络流媒体存储管理平台</w:t>
            </w:r>
          </w:p>
        </w:tc>
        <w:tc>
          <w:tcPr>
            <w:tcW w:w="5984" w:type="dxa"/>
            <w:tcBorders>
              <w:tl2br w:val="nil"/>
              <w:tr2bl w:val="nil"/>
            </w:tcBorders>
            <w:shd w:val="clear" w:color="auto" w:fill="FFFFFF"/>
            <w:vAlign w:val="center"/>
          </w:tcPr>
          <w:p w14:paraId="4D99375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★1、符合《国家教育考试网上巡查系统视频标准技术规范（2017版）》相关技术规范；</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2、嵌入式设备，Linux操作系统；</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3、最大支持128路网络视频接入，最大存储码流为768Mbps；</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4、支持录像安全管理：支持录像加锁功能，加锁后录像不会被覆盖，并支持录像添加数字水印，支持九宫格图案密码解锁功能；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5、支持数据备份功能：支持USB本地备份、USB DVD刻录机备份、eSata接口同步备份、Web端网络下载备份；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运行稳定性：支持设备集群管理方式，当设备故障时备机可替换故障设备工作，故障恢复后可将存储的录像回传会原设备，同时支持双系统切换功能，当一个系统无法正常启动时，另一个操作系统能够正常工作；</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7、回放功能：支持秒级回放、即时回放、常规回放、事件回放、智能回放、切片回放、标签回放、外部文件回放、日志回放等多种回放方式；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8、智能检测功能：支持接入的画面绊线入侵、区域入侵、穿越围栏、移动侦测、人脸检测、物品遗留、物品搬移检测，并支持热度图和客流统计；</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9、支持16个SATA接口（可热插拔），支持Raid0、Raid1、Raid5、Raid6、Raid10、JBOD等多种数据模式;支持独立的eSATA扩展，支持录像和备份；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10、支持断网续传功能，能将前端网络摄像机断网这段时间内SD卡中的录像回传到NVR；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★11、支持报警预录功能：当收到报警联动触发信号时，能启动设备相应的通道进行联动记录，能够预录报警触发前最大600s的音视频；</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以上加★参数需提供第三方权威检测报告加以佐证。</w:t>
            </w:r>
          </w:p>
        </w:tc>
        <w:tc>
          <w:tcPr>
            <w:tcW w:w="862" w:type="dxa"/>
            <w:tcBorders>
              <w:tl2br w:val="nil"/>
              <w:tr2bl w:val="nil"/>
            </w:tcBorders>
            <w:shd w:val="clear" w:color="auto" w:fill="FFFFFF"/>
            <w:vAlign w:val="center"/>
          </w:tcPr>
          <w:p w14:paraId="328C3C0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7475E48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69D29B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7" w:hRule="atLeast"/>
          <w:jc w:val="center"/>
        </w:trPr>
        <w:tc>
          <w:tcPr>
            <w:tcW w:w="932" w:type="dxa"/>
            <w:tcBorders>
              <w:tl2br w:val="nil"/>
              <w:tr2bl w:val="nil"/>
            </w:tcBorders>
            <w:shd w:val="clear" w:color="auto" w:fill="auto"/>
            <w:vAlign w:val="center"/>
          </w:tcPr>
          <w:p w14:paraId="51CCEED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1404" w:type="dxa"/>
            <w:tcBorders>
              <w:tl2br w:val="nil"/>
              <w:tr2bl w:val="nil"/>
            </w:tcBorders>
            <w:shd w:val="clear" w:color="auto" w:fill="FFFFFF"/>
            <w:vAlign w:val="center"/>
          </w:tcPr>
          <w:p w14:paraId="21DCE44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存储硬盘</w:t>
            </w:r>
          </w:p>
        </w:tc>
        <w:tc>
          <w:tcPr>
            <w:tcW w:w="5984" w:type="dxa"/>
            <w:tcBorders>
              <w:tl2br w:val="nil"/>
              <w:tr2bl w:val="nil"/>
            </w:tcBorders>
            <w:shd w:val="clear" w:color="auto" w:fill="auto"/>
            <w:vAlign w:val="center"/>
          </w:tcPr>
          <w:p w14:paraId="15BB9C4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≥6T SATA 企业级硬盘</w:t>
            </w:r>
          </w:p>
        </w:tc>
        <w:tc>
          <w:tcPr>
            <w:tcW w:w="862" w:type="dxa"/>
            <w:tcBorders>
              <w:tl2br w:val="nil"/>
              <w:tr2bl w:val="nil"/>
            </w:tcBorders>
            <w:shd w:val="clear" w:color="auto" w:fill="FFFFFF"/>
            <w:vAlign w:val="center"/>
          </w:tcPr>
          <w:p w14:paraId="7A0D73C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块</w:t>
            </w:r>
          </w:p>
        </w:tc>
        <w:tc>
          <w:tcPr>
            <w:tcW w:w="769" w:type="dxa"/>
            <w:tcBorders>
              <w:tl2br w:val="nil"/>
              <w:tr2bl w:val="nil"/>
            </w:tcBorders>
            <w:shd w:val="clear" w:color="auto" w:fill="auto"/>
            <w:vAlign w:val="center"/>
          </w:tcPr>
          <w:p w14:paraId="6C81546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r>
      <w:tr w14:paraId="3CEF15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528" w:hRule="atLeast"/>
          <w:jc w:val="center"/>
        </w:trPr>
        <w:tc>
          <w:tcPr>
            <w:tcW w:w="932" w:type="dxa"/>
            <w:tcBorders>
              <w:tl2br w:val="nil"/>
              <w:tr2bl w:val="nil"/>
            </w:tcBorders>
            <w:shd w:val="clear" w:color="auto" w:fill="auto"/>
            <w:vAlign w:val="center"/>
          </w:tcPr>
          <w:p w14:paraId="6775B19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highlight w:val="none"/>
                <w:lang w:bidi="ar"/>
              </w:rPr>
              <w:t>13</w:t>
            </w:r>
          </w:p>
        </w:tc>
        <w:tc>
          <w:tcPr>
            <w:tcW w:w="1404" w:type="dxa"/>
            <w:tcBorders>
              <w:tl2br w:val="nil"/>
              <w:tr2bl w:val="nil"/>
            </w:tcBorders>
            <w:shd w:val="clear" w:color="auto" w:fill="FFFFFF"/>
            <w:vAlign w:val="center"/>
          </w:tcPr>
          <w:p w14:paraId="1D9318A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核心交换机</w:t>
            </w:r>
          </w:p>
        </w:tc>
        <w:tc>
          <w:tcPr>
            <w:tcW w:w="5984" w:type="dxa"/>
            <w:tcBorders>
              <w:tl2br w:val="nil"/>
              <w:tr2bl w:val="nil"/>
            </w:tcBorders>
            <w:shd w:val="clear" w:color="auto" w:fill="FFFFFF"/>
            <w:vAlign w:val="center"/>
          </w:tcPr>
          <w:p w14:paraId="2DF75D5F">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1、交换容量≥2.4Tbps，包转发率≥650Mpps，提供官网截图和链接证明并加盖厂家公章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2、10/100/1000M自适应电口≥24个，1G/10G SFP+光口≥8个</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3、支持2个模块化电源插槽，可实现1+1冗余</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4、设备可提供业务扩展槽≥1个，可支持同时扩展4个10G和2个100G端口，提供官网截图和链接证明并加盖厂家公章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5、整机采用绿色环保设计，满负荷情况下功耗≤85W(带扩展卡)，提供官网截图和链接证明并加盖厂家公章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6、支持RIP/RIPng，OSPFv2/v3，BGP4/4+，IS-ISv4/v6，支持IGMP v1/v2/v3，PIM-SM等组播协议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支持基础网络保护策略：限制用户向网络中发送ARP报文、ICMP请求报文、DHCP请求报文的数率，对超过限速阈值的报文进行丢弃处理，能够识别攻击行为，对有攻击行为的用户进行隔离；提供官网截图和链接证明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8、支持基于流的采样功能：对所选数据流包头中的源IP地址、目的IP地址、协议号、源端口号、包长等信息进行采样，并发送至网管主机；提供具有 CMA或CNAS认证章的第三方权威机构检验报告证明并加盖厂家公章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★9、为保证设备在受到外界机械碰撞时能够正常运行，要求所投交换机IK防护测试级别至少达到IK05，提供国家认可的检测机构出具的IK防护等级测试报告并加盖厂家公章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★10、为保证IPv6的可部署性和应用性，所投交换机需具备IPv6 Ready Phase2认证证书，提供权威机构的检测证书并加盖厂家公章</w:t>
            </w:r>
          </w:p>
        </w:tc>
        <w:tc>
          <w:tcPr>
            <w:tcW w:w="862" w:type="dxa"/>
            <w:tcBorders>
              <w:tl2br w:val="nil"/>
              <w:tr2bl w:val="nil"/>
            </w:tcBorders>
            <w:shd w:val="clear" w:color="auto" w:fill="FFFFFF"/>
            <w:vAlign w:val="center"/>
          </w:tcPr>
          <w:p w14:paraId="4D2F35C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0B5F263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r>
      <w:tr w14:paraId="5DED3D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55" w:hRule="atLeast"/>
          <w:jc w:val="center"/>
        </w:trPr>
        <w:tc>
          <w:tcPr>
            <w:tcW w:w="932" w:type="dxa"/>
            <w:tcBorders>
              <w:tl2br w:val="nil"/>
              <w:tr2bl w:val="nil"/>
            </w:tcBorders>
            <w:shd w:val="clear" w:color="auto" w:fill="auto"/>
            <w:vAlign w:val="center"/>
          </w:tcPr>
          <w:p w14:paraId="4ADF209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14</w:t>
            </w:r>
          </w:p>
        </w:tc>
        <w:tc>
          <w:tcPr>
            <w:tcW w:w="1404" w:type="dxa"/>
            <w:tcBorders>
              <w:tl2br w:val="nil"/>
              <w:tr2bl w:val="nil"/>
            </w:tcBorders>
            <w:shd w:val="clear" w:color="auto" w:fill="FFFFFF"/>
            <w:vAlign w:val="center"/>
          </w:tcPr>
          <w:p w14:paraId="0DC4C8B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UPS后备电源系统</w:t>
            </w:r>
          </w:p>
        </w:tc>
        <w:tc>
          <w:tcPr>
            <w:tcW w:w="5984" w:type="dxa"/>
            <w:tcBorders>
              <w:tl2br w:val="nil"/>
              <w:tr2bl w:val="nil"/>
            </w:tcBorders>
            <w:shd w:val="clear" w:color="auto" w:fill="auto"/>
            <w:vAlign w:val="center"/>
          </w:tcPr>
          <w:p w14:paraId="31780108">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 本项目要求采用在线式双变换高频型UPS，三进单出/单进单出现场可调，容量不低于15kVA/13.5kW。</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 输出为额定阻性负载时，输入电压范围应不小于：304~456VAC。</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 输入功率因数：100%非线性负载时≥0.994，50%非线性负载时≥0.993，30%非线性负载时≥0.971。</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 输入电电流谐波成份：100％非线性负载≤4.8%，50%非线性负载≤7.9%，30％非线性负载≤16.9%。</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 输出为空载和额定阻性负载，调节输入电压为UPS上、下限值时，其稳压精度应≤0.35%。</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 额定输出功率因数应≥0.9。</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 输出波形失真度，正常工作、额定阻性负载：≤0.9%；电池逆变工作，额定阻性负载：≤0.9%。</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 系统效率：额定阻性负载时≥95%，50%额定阻性负载时≥94.5%，30%额定阻性负载时≥93.9%。</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 外接电池电压：不低于192VDC一组。</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10. 应具备直流冷启动功能：UPS主机在没有接入市电时，可通过蓄电池组直接开机。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11. 应具备并机功能，支持不少于3台并机运行。</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12. UPS主机人机界面应配置LCD显示屏，同时应配置LED故障、状态显示灯，方便现场运维。</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13. 须标配RS232端口，免费提供通讯协议及监控软件，软件应支持大部分常用操作系统。可支持本地监控，或多台UPS主机集中监控。</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★14. 要求UPS主机中的功率板采用涂敷三防漆工艺，具有防潮、防尘、防漏电、防腐蚀、防锈、防盐雾、防震、防老化、绝缘、耐电晕等性能；投标时须提供由厂家出具的满足上述要求的技术证明文件（不限于对工艺流程、检验标准等做详细描述），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15. UPS主机须满足YD/T 1095-2018《通信用交流不间断电源（UPS）》标准要求，提供本项目UPS主机同规格、同型号的泰尔认证证书，并提供本项目UPS主机同系列的泰尔检验报告复印件，并加盖厂家公章。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16. UPS主机须满足CQC3108-2011《不间断电源节能认证技术规范》标准要求，提供本项目UPS主机同型号、同规格的中国节能产品认证证书及中国节能产品认证试验报告复印件，并加盖厂家公章。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17. UPS主机须通过CE认证，认证范围须包含本项目投标型号，投标时须提供CE认证证书、ROHS认证证书，并加盖厂家公章。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18. UPS主机须符合GB/T 4208-2017《外壳防护等级（IP代码）》标准中IP21的要求，提供本项目UPS主机同系列的防护等级检验报告复印件，并加盖厂家公章</w:t>
            </w:r>
          </w:p>
        </w:tc>
        <w:tc>
          <w:tcPr>
            <w:tcW w:w="862" w:type="dxa"/>
            <w:tcBorders>
              <w:tl2br w:val="nil"/>
              <w:tr2bl w:val="nil"/>
            </w:tcBorders>
            <w:shd w:val="clear" w:color="auto" w:fill="FFFFFF"/>
            <w:vAlign w:val="center"/>
          </w:tcPr>
          <w:p w14:paraId="4415AB3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769" w:type="dxa"/>
            <w:tcBorders>
              <w:tl2br w:val="nil"/>
              <w:tr2bl w:val="nil"/>
            </w:tcBorders>
            <w:shd w:val="clear" w:color="auto" w:fill="auto"/>
            <w:vAlign w:val="center"/>
          </w:tcPr>
          <w:p w14:paraId="5A1A5B0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7A4FE9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450" w:hRule="atLeast"/>
          <w:jc w:val="center"/>
        </w:trPr>
        <w:tc>
          <w:tcPr>
            <w:tcW w:w="932" w:type="dxa"/>
            <w:tcBorders>
              <w:tl2br w:val="nil"/>
              <w:tr2bl w:val="nil"/>
            </w:tcBorders>
            <w:shd w:val="clear" w:color="auto" w:fill="auto"/>
            <w:vAlign w:val="center"/>
          </w:tcPr>
          <w:p w14:paraId="102C7B1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15</w:t>
            </w:r>
          </w:p>
        </w:tc>
        <w:tc>
          <w:tcPr>
            <w:tcW w:w="1404" w:type="dxa"/>
            <w:tcBorders>
              <w:tl2br w:val="nil"/>
              <w:tr2bl w:val="nil"/>
            </w:tcBorders>
            <w:shd w:val="clear" w:color="auto" w:fill="auto"/>
            <w:vAlign w:val="center"/>
          </w:tcPr>
          <w:p w14:paraId="0849F05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服务器机柜</w:t>
            </w:r>
          </w:p>
        </w:tc>
        <w:tc>
          <w:tcPr>
            <w:tcW w:w="5984" w:type="dxa"/>
            <w:tcBorders>
              <w:tl2br w:val="nil"/>
              <w:tr2bl w:val="nil"/>
            </w:tcBorders>
            <w:shd w:val="clear" w:color="auto" w:fill="auto"/>
            <w:vAlign w:val="center"/>
          </w:tcPr>
          <w:p w14:paraId="4BFB550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1、网孔前门</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2、网孔后门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3、4根立柱标明U方孔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4、4个承重轮子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5、4个可调地脚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6、50套机柜专用螺丝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7、前、后、侧门可拆卸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8、前后立柱可前后快捷移动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9、立柱之间宽度19英寸标准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10、钢板全部采用优质冷轧材料制作、厚度2.0㎜、1.2㎜、1.0㎜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11、机柜表面采用脱脂、酸洗、防绣、静电喷塑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12、机柜采用拆卸结构,适合安装网络产品、光纤产品,小型服务器</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技术标准:</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符合ANSI/EIA RS-310-D、IEC297-2、DIN41491；PART1、DIN41494；PART7、GB/T3047.2-92标准；兼容ETSI公制标准。</w:t>
            </w:r>
          </w:p>
        </w:tc>
        <w:tc>
          <w:tcPr>
            <w:tcW w:w="862" w:type="dxa"/>
            <w:tcBorders>
              <w:tl2br w:val="nil"/>
              <w:tr2bl w:val="nil"/>
            </w:tcBorders>
            <w:shd w:val="clear" w:color="auto" w:fill="auto"/>
            <w:noWrap/>
            <w:vAlign w:val="center"/>
          </w:tcPr>
          <w:p w14:paraId="39B9409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2440894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73185B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932" w:type="dxa"/>
            <w:tcBorders>
              <w:tl2br w:val="nil"/>
              <w:tr2bl w:val="nil"/>
            </w:tcBorders>
            <w:shd w:val="clear" w:color="auto" w:fill="auto"/>
            <w:vAlign w:val="center"/>
          </w:tcPr>
          <w:p w14:paraId="5A77648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1404" w:type="dxa"/>
            <w:tcBorders>
              <w:tl2br w:val="nil"/>
              <w:tr2bl w:val="nil"/>
            </w:tcBorders>
            <w:shd w:val="clear" w:color="auto" w:fill="auto"/>
            <w:vAlign w:val="center"/>
          </w:tcPr>
          <w:p w14:paraId="5117DF9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音、视频光纤收发器</w:t>
            </w:r>
          </w:p>
        </w:tc>
        <w:tc>
          <w:tcPr>
            <w:tcW w:w="5984" w:type="dxa"/>
            <w:tcBorders>
              <w:tl2br w:val="nil"/>
              <w:tr2bl w:val="nil"/>
            </w:tcBorders>
            <w:shd w:val="clear" w:color="auto" w:fill="auto"/>
            <w:vAlign w:val="center"/>
          </w:tcPr>
          <w:p w14:paraId="0AC52AB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外电，单模单纤千兆 SC口 20km</w:t>
            </w:r>
          </w:p>
        </w:tc>
        <w:tc>
          <w:tcPr>
            <w:tcW w:w="862" w:type="dxa"/>
            <w:tcBorders>
              <w:tl2br w:val="nil"/>
              <w:tr2bl w:val="nil"/>
            </w:tcBorders>
            <w:shd w:val="clear" w:color="auto" w:fill="auto"/>
            <w:vAlign w:val="center"/>
          </w:tcPr>
          <w:p w14:paraId="7FD5CB1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对</w:t>
            </w:r>
          </w:p>
        </w:tc>
        <w:tc>
          <w:tcPr>
            <w:tcW w:w="769" w:type="dxa"/>
            <w:tcBorders>
              <w:tl2br w:val="nil"/>
              <w:tr2bl w:val="nil"/>
            </w:tcBorders>
            <w:shd w:val="clear" w:color="auto" w:fill="auto"/>
            <w:vAlign w:val="center"/>
          </w:tcPr>
          <w:p w14:paraId="6745936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2 </w:t>
            </w:r>
          </w:p>
        </w:tc>
      </w:tr>
      <w:tr w14:paraId="030B57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32" w:type="dxa"/>
            <w:tcBorders>
              <w:tl2br w:val="nil"/>
              <w:tr2bl w:val="nil"/>
            </w:tcBorders>
            <w:shd w:val="clear" w:color="auto" w:fill="auto"/>
            <w:vAlign w:val="center"/>
          </w:tcPr>
          <w:p w14:paraId="7CA63BF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17</w:t>
            </w:r>
          </w:p>
        </w:tc>
        <w:tc>
          <w:tcPr>
            <w:tcW w:w="1404" w:type="dxa"/>
            <w:tcBorders>
              <w:tl2br w:val="nil"/>
              <w:tr2bl w:val="nil"/>
            </w:tcBorders>
            <w:shd w:val="clear" w:color="auto" w:fill="auto"/>
            <w:vAlign w:val="center"/>
          </w:tcPr>
          <w:p w14:paraId="070830C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电源布线</w:t>
            </w:r>
          </w:p>
        </w:tc>
        <w:tc>
          <w:tcPr>
            <w:tcW w:w="5984" w:type="dxa"/>
            <w:tcBorders>
              <w:tl2br w:val="nil"/>
              <w:tr2bl w:val="nil"/>
            </w:tcBorders>
            <w:shd w:val="clear" w:color="auto" w:fill="auto"/>
            <w:vAlign w:val="center"/>
          </w:tcPr>
          <w:p w14:paraId="47CCE3F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负责完成从视频指挥室UPS电源输出至考场、视频监考室的所在楼层主干电源系统布线，含RVV电缆（纯铜线芯），线管/槽，辅材辅料，施工，测试、验收等工作。</w:t>
            </w:r>
          </w:p>
        </w:tc>
        <w:tc>
          <w:tcPr>
            <w:tcW w:w="862" w:type="dxa"/>
            <w:tcBorders>
              <w:tl2br w:val="nil"/>
              <w:tr2bl w:val="nil"/>
            </w:tcBorders>
            <w:shd w:val="clear" w:color="auto" w:fill="auto"/>
            <w:vAlign w:val="center"/>
          </w:tcPr>
          <w:p w14:paraId="64D3702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项</w:t>
            </w:r>
          </w:p>
        </w:tc>
        <w:tc>
          <w:tcPr>
            <w:tcW w:w="769" w:type="dxa"/>
            <w:tcBorders>
              <w:tl2br w:val="nil"/>
              <w:tr2bl w:val="nil"/>
            </w:tcBorders>
            <w:shd w:val="clear" w:color="auto" w:fill="auto"/>
            <w:vAlign w:val="center"/>
          </w:tcPr>
          <w:p w14:paraId="7C54D02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79966B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66" w:hRule="atLeast"/>
          <w:jc w:val="center"/>
        </w:trPr>
        <w:tc>
          <w:tcPr>
            <w:tcW w:w="932" w:type="dxa"/>
            <w:tcBorders>
              <w:tl2br w:val="nil"/>
              <w:tr2bl w:val="nil"/>
            </w:tcBorders>
            <w:shd w:val="clear" w:color="auto" w:fill="auto"/>
            <w:vAlign w:val="center"/>
          </w:tcPr>
          <w:p w14:paraId="64CEBCE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18</w:t>
            </w:r>
          </w:p>
        </w:tc>
        <w:tc>
          <w:tcPr>
            <w:tcW w:w="1404" w:type="dxa"/>
            <w:tcBorders>
              <w:tl2br w:val="nil"/>
              <w:tr2bl w:val="nil"/>
            </w:tcBorders>
            <w:shd w:val="clear" w:color="auto" w:fill="auto"/>
            <w:vAlign w:val="center"/>
          </w:tcPr>
          <w:p w14:paraId="0CFD6F7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光纤布线</w:t>
            </w:r>
          </w:p>
        </w:tc>
        <w:tc>
          <w:tcPr>
            <w:tcW w:w="5984" w:type="dxa"/>
            <w:tcBorders>
              <w:tl2br w:val="nil"/>
              <w:tr2bl w:val="nil"/>
            </w:tcBorders>
            <w:shd w:val="clear" w:color="auto" w:fill="auto"/>
            <w:vAlign w:val="center"/>
          </w:tcPr>
          <w:p w14:paraId="72D2877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负责完成从视频指挥室至致知楼楼的主干光纤系统布线，含单模光纤，线管/槽，辅材辅料，施工，测试、验收等工作。</w:t>
            </w:r>
          </w:p>
        </w:tc>
        <w:tc>
          <w:tcPr>
            <w:tcW w:w="862" w:type="dxa"/>
            <w:tcBorders>
              <w:tl2br w:val="nil"/>
              <w:tr2bl w:val="nil"/>
            </w:tcBorders>
            <w:shd w:val="clear" w:color="auto" w:fill="auto"/>
            <w:vAlign w:val="center"/>
          </w:tcPr>
          <w:p w14:paraId="65B6EFB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项</w:t>
            </w:r>
          </w:p>
        </w:tc>
        <w:tc>
          <w:tcPr>
            <w:tcW w:w="769" w:type="dxa"/>
            <w:tcBorders>
              <w:tl2br w:val="nil"/>
              <w:tr2bl w:val="nil"/>
            </w:tcBorders>
            <w:shd w:val="clear" w:color="auto" w:fill="auto"/>
            <w:vAlign w:val="center"/>
          </w:tcPr>
          <w:p w14:paraId="584DB22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2622B5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7" w:hRule="atLeast"/>
          <w:jc w:val="center"/>
        </w:trPr>
        <w:tc>
          <w:tcPr>
            <w:tcW w:w="932" w:type="dxa"/>
            <w:tcBorders>
              <w:tl2br w:val="nil"/>
              <w:tr2bl w:val="nil"/>
            </w:tcBorders>
            <w:shd w:val="clear" w:color="auto" w:fill="auto"/>
            <w:vAlign w:val="center"/>
          </w:tcPr>
          <w:p w14:paraId="6C9A778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19</w:t>
            </w:r>
          </w:p>
        </w:tc>
        <w:tc>
          <w:tcPr>
            <w:tcW w:w="1404" w:type="dxa"/>
            <w:tcBorders>
              <w:tl2br w:val="nil"/>
              <w:tr2bl w:val="nil"/>
            </w:tcBorders>
            <w:shd w:val="clear" w:color="auto" w:fill="auto"/>
            <w:noWrap/>
            <w:vAlign w:val="center"/>
          </w:tcPr>
          <w:p w14:paraId="7428D4A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信息技术服务费</w:t>
            </w:r>
          </w:p>
        </w:tc>
        <w:tc>
          <w:tcPr>
            <w:tcW w:w="5984" w:type="dxa"/>
            <w:tcBorders>
              <w:tl2br w:val="nil"/>
              <w:tr2bl w:val="nil"/>
            </w:tcBorders>
            <w:shd w:val="clear" w:color="auto" w:fill="auto"/>
            <w:vAlign w:val="center"/>
          </w:tcPr>
          <w:p w14:paraId="6E64A03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（本项目连接省网链路接通调试，安装调试等。）</w:t>
            </w:r>
          </w:p>
        </w:tc>
        <w:tc>
          <w:tcPr>
            <w:tcW w:w="862" w:type="dxa"/>
            <w:tcBorders>
              <w:tl2br w:val="nil"/>
              <w:tr2bl w:val="nil"/>
            </w:tcBorders>
            <w:shd w:val="clear" w:color="auto" w:fill="auto"/>
            <w:noWrap/>
            <w:vAlign w:val="center"/>
          </w:tcPr>
          <w:p w14:paraId="51AE2A3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项</w:t>
            </w:r>
          </w:p>
        </w:tc>
        <w:tc>
          <w:tcPr>
            <w:tcW w:w="769" w:type="dxa"/>
            <w:tcBorders>
              <w:tl2br w:val="nil"/>
              <w:tr2bl w:val="nil"/>
            </w:tcBorders>
            <w:shd w:val="clear" w:color="auto" w:fill="auto"/>
            <w:vAlign w:val="center"/>
          </w:tcPr>
          <w:p w14:paraId="36DC98E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 </w:t>
            </w:r>
          </w:p>
        </w:tc>
      </w:tr>
      <w:tr w14:paraId="747D2D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932" w:type="dxa"/>
            <w:tcBorders>
              <w:tl2br w:val="nil"/>
              <w:tr2bl w:val="nil"/>
            </w:tcBorders>
            <w:shd w:val="clear" w:color="auto" w:fill="auto"/>
            <w:vAlign w:val="center"/>
          </w:tcPr>
          <w:p w14:paraId="4526323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w:t>
            </w:r>
          </w:p>
        </w:tc>
        <w:tc>
          <w:tcPr>
            <w:tcW w:w="1404" w:type="dxa"/>
            <w:tcBorders>
              <w:tl2br w:val="nil"/>
              <w:tr2bl w:val="nil"/>
            </w:tcBorders>
            <w:shd w:val="clear" w:color="auto" w:fill="auto"/>
            <w:noWrap/>
            <w:vAlign w:val="center"/>
          </w:tcPr>
          <w:p w14:paraId="43CC3EC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数码CD播放器</w:t>
            </w:r>
          </w:p>
        </w:tc>
        <w:tc>
          <w:tcPr>
            <w:tcW w:w="5984" w:type="dxa"/>
            <w:tcBorders>
              <w:tl2br w:val="nil"/>
              <w:tr2bl w:val="nil"/>
            </w:tcBorders>
            <w:shd w:val="clear" w:color="auto" w:fill="auto"/>
            <w:vAlign w:val="center"/>
          </w:tcPr>
          <w:p w14:paraId="3E56F2C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1.吸入式机芯，防尘效果更好，使用寿命更长；</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2.多种播放模式，如单曲一次.单曲循环.全部循环等；</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3.支持CD/VCD/DVD等多种播放格式；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4.支持外接U盘，具有切换光盘/U盘模式播放按钮。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5.支持不少于1路音频信号左右声道输出、1路色差视频输出；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★6.音频失真度：≤0.1%（1KHz），输出幅度：≥500mV。（提供第三方权威检测机构出具的具有CMA、CNAS认证标识的检验报告复印件以证明满足此项参数，并加盖厂家公章）</w:t>
            </w:r>
          </w:p>
        </w:tc>
        <w:tc>
          <w:tcPr>
            <w:tcW w:w="862" w:type="dxa"/>
            <w:tcBorders>
              <w:tl2br w:val="nil"/>
              <w:tr2bl w:val="nil"/>
            </w:tcBorders>
            <w:shd w:val="clear" w:color="auto" w:fill="auto"/>
            <w:noWrap/>
            <w:vAlign w:val="center"/>
          </w:tcPr>
          <w:p w14:paraId="42683DD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525B161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252623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9" w:hRule="atLeast"/>
          <w:jc w:val="center"/>
        </w:trPr>
        <w:tc>
          <w:tcPr>
            <w:tcW w:w="932" w:type="dxa"/>
            <w:tcBorders>
              <w:tl2br w:val="nil"/>
              <w:tr2bl w:val="nil"/>
            </w:tcBorders>
            <w:shd w:val="clear" w:color="auto" w:fill="auto"/>
            <w:vAlign w:val="center"/>
          </w:tcPr>
          <w:p w14:paraId="745533D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21</w:t>
            </w:r>
          </w:p>
        </w:tc>
        <w:tc>
          <w:tcPr>
            <w:tcW w:w="1404" w:type="dxa"/>
            <w:tcBorders>
              <w:tl2br w:val="nil"/>
              <w:tr2bl w:val="nil"/>
            </w:tcBorders>
            <w:shd w:val="clear" w:color="auto" w:fill="auto"/>
            <w:noWrap/>
            <w:vAlign w:val="center"/>
          </w:tcPr>
          <w:p w14:paraId="57B4729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调音台</w:t>
            </w:r>
          </w:p>
        </w:tc>
        <w:tc>
          <w:tcPr>
            <w:tcW w:w="5984" w:type="dxa"/>
            <w:tcBorders>
              <w:tl2br w:val="nil"/>
              <w:tr2bl w:val="nil"/>
            </w:tcBorders>
            <w:shd w:val="clear" w:color="auto" w:fill="auto"/>
            <w:vAlign w:val="center"/>
          </w:tcPr>
          <w:p w14:paraId="6EC1DAC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1.不少于8路话筒、2组立体声输入、1组辅助返回输入、1组录音输入；</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2.不少于1组主输出、2个辅助输出、2个编组输出、1组录音输出、1个耳机监听输出；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3.单声道输入具有48V幻象供电和100Hz低切功能，话筒输入支持高中低三段均衡调节；</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4.内置蓝牙模块，支持蓝牙输入音频实现无线播放音乐；</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5.支持连接电脑，通过声卡输入输出音频到电脑；</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具有USB播放和U盘录音功能，歌曲播放时液晶显示屏可以显示歌曲名字和歌词，支持循环模式选择；（提供第三方权威检测机构出具的具有CMA、CNAS认证标识的检验报告复印件以证明满足此项参数，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内置效果器，效果器延时时间和重复比例连续可调，效果可以加入主输入，也可以加入辅助AUX输出。（提供第三方权威检测机构出具的具有CMA、CNAS认证标识的检验报告复印件以证明满足此项参数，并加盖厂家公章）</w:t>
            </w:r>
          </w:p>
        </w:tc>
        <w:tc>
          <w:tcPr>
            <w:tcW w:w="862" w:type="dxa"/>
            <w:tcBorders>
              <w:tl2br w:val="nil"/>
              <w:tr2bl w:val="nil"/>
            </w:tcBorders>
            <w:shd w:val="clear" w:color="auto" w:fill="auto"/>
            <w:noWrap/>
            <w:vAlign w:val="center"/>
          </w:tcPr>
          <w:p w14:paraId="52597BD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25437C3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578A08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932" w:type="dxa"/>
            <w:tcBorders>
              <w:tl2br w:val="nil"/>
              <w:tr2bl w:val="nil"/>
            </w:tcBorders>
            <w:shd w:val="clear" w:color="auto" w:fill="auto"/>
            <w:vAlign w:val="center"/>
          </w:tcPr>
          <w:p w14:paraId="13FB2D60">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22</w:t>
            </w:r>
          </w:p>
        </w:tc>
        <w:tc>
          <w:tcPr>
            <w:tcW w:w="1404" w:type="dxa"/>
            <w:tcBorders>
              <w:tl2br w:val="nil"/>
              <w:tr2bl w:val="nil"/>
            </w:tcBorders>
            <w:shd w:val="clear" w:color="auto" w:fill="auto"/>
            <w:vAlign w:val="center"/>
          </w:tcPr>
          <w:p w14:paraId="31F6E01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听力系统管理主机（含软件）</w:t>
            </w:r>
          </w:p>
        </w:tc>
        <w:tc>
          <w:tcPr>
            <w:tcW w:w="5984" w:type="dxa"/>
            <w:tcBorders>
              <w:tl2br w:val="nil"/>
              <w:tr2bl w:val="nil"/>
            </w:tcBorders>
            <w:shd w:val="clear" w:color="auto" w:fill="auto"/>
            <w:vAlign w:val="center"/>
          </w:tcPr>
          <w:p w14:paraId="6CAC4B0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1.云平台广播系统中央服务器，提供核心应用程序后台服务；</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2.采用不小于15英寸LED液晶显示屏设计，具有简单易用的触摸屏操控，内置抽拉式键盘，操作方便；</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3.具有DVI高清数字接口和HDMI高清输出接口；</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4.内置EZ系统调整模式,可对控制主机内嵌核心部件进行温度检测；</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具有ESD静电防护功能，采用主动式保护电路设计配置，可以强化主板每个接口的静电防护能力，并延长组件的使用寿命；（提供第三方权威检测机构出具的具有CMA、CNAS认证标识的检验报告复印件以证明满足此项参数，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6.采用内存优化设计，可以提升内存稳定性与兼容性，降低内存延迟，提升内存超频幅度；</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★7.内置电源监视模块，可对服务器内核心输出电源的电压情况进行监视；（提供第三方权威检测机构出具的具有CMA、CNAS认证标识的检验报告复印件以证明满足此项参数，并加盖厂家公章）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8.采用工业级专用主板设计，自带开关机设置功能，可以用于定时驱动开机运行，实现无人值守；</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支持多种APM电源管理模式，支持多种模式唤醒：如远程网络唤醒.预约RTC唤醒等模式，实现多种使用环境下不同的操作；（提供第三方权威检测机构出具的具有CMA、CNAS认证标识的检验报告复印件以证明满足此项参数，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10.采用不劣于英特尔六核i5-10400F高速处理器，内置≥120G SSD固态硬盘，内置≥8G内存，可扩展64G内存；</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11.内置不劣于7.1声道高品质RealtekALC887声卡，具有高保真的线路音频，可以实现高品质的音频传输；</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12.采用嵌入式内置光驱设计，支持CD-ROM、DVD-ROM等光驱类型，具有刻录功能；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13.工业级工控机机箱设计，钢结构机箱，具有较高的防磁、防尘、防冲击的能力；</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14.具有不少于1路RJ45网络接口、1路PS/2接口、1路RS232通信串口、1路DVI视频接口、1路HDMI视频接口、1路VGA视频接口、4路USB 2.0、4路USB 3.2接口和3路3.5mm/RCA音频接口；</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★15.话筒配置支持一键报警操作，通过配置话筒报警任务，可对任务进行添加、编辑和删除，任务音量、播放模式、音源类型和音频文件可自由选择；（投标时需提供软件功能截图，并加盖厂家公章）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16.支持音源优先级设置，可对紧急求助、报警呼叫、监听、对讲、寻呼、文字广播、定时任务、终端点播、实时采播、实时文件播放、定时采播、定时打铃等优先级进行自由排序并进行保存；（投标时需提供软件功能截图，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17.具有登录日志管理功能，记录用户登录的记录，可根据登录地址、登录名称、登录状态、登录时间等信息进行日志的搜索，也可进行删除、清空、解锁、导出等操作。（投标时需提供软件功能截图，并加盖厂家公章）</w:t>
            </w:r>
          </w:p>
        </w:tc>
        <w:tc>
          <w:tcPr>
            <w:tcW w:w="862" w:type="dxa"/>
            <w:tcBorders>
              <w:tl2br w:val="nil"/>
              <w:tr2bl w:val="nil"/>
            </w:tcBorders>
            <w:shd w:val="clear" w:color="auto" w:fill="auto"/>
            <w:noWrap/>
            <w:vAlign w:val="center"/>
          </w:tcPr>
          <w:p w14:paraId="492E6C4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noWrap/>
            <w:vAlign w:val="center"/>
          </w:tcPr>
          <w:p w14:paraId="6326CD0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538160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932" w:type="dxa"/>
            <w:tcBorders>
              <w:tl2br w:val="nil"/>
              <w:tr2bl w:val="nil"/>
            </w:tcBorders>
            <w:shd w:val="clear" w:color="auto" w:fill="auto"/>
            <w:vAlign w:val="center"/>
          </w:tcPr>
          <w:p w14:paraId="09EC272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23</w:t>
            </w:r>
          </w:p>
        </w:tc>
        <w:tc>
          <w:tcPr>
            <w:tcW w:w="1404" w:type="dxa"/>
            <w:tcBorders>
              <w:tl2br w:val="nil"/>
              <w:tr2bl w:val="nil"/>
            </w:tcBorders>
            <w:shd w:val="clear" w:color="auto" w:fill="auto"/>
            <w:vAlign w:val="center"/>
          </w:tcPr>
          <w:p w14:paraId="62863CC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16口汇聚交换机</w:t>
            </w:r>
          </w:p>
        </w:tc>
        <w:tc>
          <w:tcPr>
            <w:tcW w:w="5984" w:type="dxa"/>
            <w:tcBorders>
              <w:tl2br w:val="nil"/>
              <w:tr2bl w:val="nil"/>
            </w:tcBorders>
            <w:shd w:val="clear" w:color="auto" w:fill="auto"/>
            <w:vAlign w:val="center"/>
          </w:tcPr>
          <w:p w14:paraId="677D89D5">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16个10M/100M/1000M自适应电口，非网管，桌面级，交换容量32Gbps，包转发率24Mpps，</w:t>
            </w:r>
          </w:p>
        </w:tc>
        <w:tc>
          <w:tcPr>
            <w:tcW w:w="862" w:type="dxa"/>
            <w:tcBorders>
              <w:tl2br w:val="nil"/>
              <w:tr2bl w:val="nil"/>
            </w:tcBorders>
            <w:shd w:val="clear" w:color="auto" w:fill="auto"/>
            <w:noWrap/>
            <w:vAlign w:val="center"/>
          </w:tcPr>
          <w:p w14:paraId="7908E16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noWrap/>
            <w:vAlign w:val="center"/>
          </w:tcPr>
          <w:p w14:paraId="01BE2CE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r>
      <w:tr w14:paraId="57F1EE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40" w:hRule="atLeast"/>
          <w:jc w:val="center"/>
        </w:trPr>
        <w:tc>
          <w:tcPr>
            <w:tcW w:w="932" w:type="dxa"/>
            <w:tcBorders>
              <w:tl2br w:val="nil"/>
              <w:tr2bl w:val="nil"/>
            </w:tcBorders>
            <w:shd w:val="clear" w:color="auto" w:fill="auto"/>
            <w:vAlign w:val="center"/>
          </w:tcPr>
          <w:p w14:paraId="0B7E4B1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24</w:t>
            </w:r>
          </w:p>
        </w:tc>
        <w:tc>
          <w:tcPr>
            <w:tcW w:w="1404" w:type="dxa"/>
            <w:tcBorders>
              <w:tl2br w:val="nil"/>
              <w:tr2bl w:val="nil"/>
            </w:tcBorders>
            <w:shd w:val="clear" w:color="auto" w:fill="auto"/>
            <w:vAlign w:val="center"/>
          </w:tcPr>
          <w:p w14:paraId="6E27F97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24口汇聚交换机</w:t>
            </w:r>
          </w:p>
        </w:tc>
        <w:tc>
          <w:tcPr>
            <w:tcW w:w="5984" w:type="dxa"/>
            <w:tcBorders>
              <w:tl2br w:val="nil"/>
              <w:tr2bl w:val="nil"/>
            </w:tcBorders>
            <w:shd w:val="clear" w:color="auto" w:fill="auto"/>
            <w:vAlign w:val="center"/>
          </w:tcPr>
          <w:p w14:paraId="746B356A">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1、交换容量≥336Gbps，转发性能≥125Mpps，官网最小值为准，提供官网截图和链接证明并加盖厂家公章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2、10/100/1000M自适应以太网端口≥24个，1G SFP光接口≥4个</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3、要求所投设备MAC地址≥16K</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4、要求所投设备支持1对1、基于流、基于VLAN的镜像；支持RSPAN</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5、支持CPU保护功能，能限制非法报文对CPU的攻击，保护交换机在各种环境下稳定工作</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★6、支持专门基础网络保护机制，能够限制用户向网络中发送数据包的速率，对有攻击行为的用户进行隔离，保证设备和整网的安全稳定运行，提供官网截图和链接证明并加盖厂家公章</w:t>
            </w:r>
          </w:p>
        </w:tc>
        <w:tc>
          <w:tcPr>
            <w:tcW w:w="862" w:type="dxa"/>
            <w:tcBorders>
              <w:tl2br w:val="nil"/>
              <w:tr2bl w:val="nil"/>
            </w:tcBorders>
            <w:shd w:val="clear" w:color="auto" w:fill="auto"/>
            <w:noWrap/>
            <w:vAlign w:val="center"/>
          </w:tcPr>
          <w:p w14:paraId="215532E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noWrap/>
            <w:vAlign w:val="center"/>
          </w:tcPr>
          <w:p w14:paraId="4FD08B5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r>
      <w:tr w14:paraId="4A705A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190" w:hRule="atLeast"/>
          <w:jc w:val="center"/>
        </w:trPr>
        <w:tc>
          <w:tcPr>
            <w:tcW w:w="932" w:type="dxa"/>
            <w:tcBorders>
              <w:tl2br w:val="nil"/>
              <w:tr2bl w:val="nil"/>
            </w:tcBorders>
            <w:shd w:val="clear" w:color="auto" w:fill="auto"/>
            <w:vAlign w:val="center"/>
          </w:tcPr>
          <w:p w14:paraId="5FCE9B3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25</w:t>
            </w:r>
          </w:p>
        </w:tc>
        <w:tc>
          <w:tcPr>
            <w:tcW w:w="1404" w:type="dxa"/>
            <w:tcBorders>
              <w:tl2br w:val="nil"/>
              <w:tr2bl w:val="nil"/>
            </w:tcBorders>
            <w:shd w:val="clear" w:color="auto" w:fill="auto"/>
            <w:vAlign w:val="center"/>
          </w:tcPr>
          <w:p w14:paraId="7C10D0B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前置放大器</w:t>
            </w:r>
          </w:p>
        </w:tc>
        <w:tc>
          <w:tcPr>
            <w:tcW w:w="5984" w:type="dxa"/>
            <w:tcBorders>
              <w:tl2br w:val="nil"/>
              <w:tr2bl w:val="nil"/>
            </w:tcBorders>
            <w:shd w:val="clear" w:color="auto" w:fill="auto"/>
            <w:vAlign w:val="center"/>
          </w:tcPr>
          <w:p w14:paraId="2C24AC52">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1.具有≥5路话筒（MIC）输入，≥3路标准信号线路（AUX）输入，≥2路紧急线路（EMC）输入；</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2.第5个话筒（MIC5）具有最高优先.强行切入优先功能；MIC5和EMC最高优先权限功能可通过拔动开关交替选择；</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3.≥2路紧急输入线路具有二级优先，强行切入优先功能；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4.MIC1.2.3.4.5 和2路紧急输入（EMC）通道均附设有线路辅助输入接口功能；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5.具有默音深度调节旋钮和EMC输入增益调节旋钮。</w:t>
            </w:r>
          </w:p>
        </w:tc>
        <w:tc>
          <w:tcPr>
            <w:tcW w:w="862" w:type="dxa"/>
            <w:tcBorders>
              <w:tl2br w:val="nil"/>
              <w:tr2bl w:val="nil"/>
            </w:tcBorders>
            <w:shd w:val="clear" w:color="auto" w:fill="auto"/>
            <w:noWrap/>
            <w:vAlign w:val="center"/>
          </w:tcPr>
          <w:p w14:paraId="487DACC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noWrap/>
            <w:vAlign w:val="center"/>
          </w:tcPr>
          <w:p w14:paraId="08982C6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r>
      <w:tr w14:paraId="30A4AB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21" w:hRule="atLeast"/>
          <w:jc w:val="center"/>
        </w:trPr>
        <w:tc>
          <w:tcPr>
            <w:tcW w:w="932" w:type="dxa"/>
            <w:tcBorders>
              <w:tl2br w:val="nil"/>
              <w:tr2bl w:val="nil"/>
            </w:tcBorders>
            <w:shd w:val="clear" w:color="auto" w:fill="auto"/>
            <w:vAlign w:val="center"/>
          </w:tcPr>
          <w:p w14:paraId="36193AF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26</w:t>
            </w:r>
          </w:p>
        </w:tc>
        <w:tc>
          <w:tcPr>
            <w:tcW w:w="1404" w:type="dxa"/>
            <w:tcBorders>
              <w:tl2br w:val="nil"/>
              <w:tr2bl w:val="nil"/>
            </w:tcBorders>
            <w:shd w:val="clear" w:color="auto" w:fill="auto"/>
            <w:vAlign w:val="center"/>
          </w:tcPr>
          <w:p w14:paraId="30B9BE6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主备切换器</w:t>
            </w:r>
          </w:p>
        </w:tc>
        <w:tc>
          <w:tcPr>
            <w:tcW w:w="5984" w:type="dxa"/>
            <w:tcBorders>
              <w:tl2br w:val="nil"/>
              <w:tr2bl w:val="nil"/>
            </w:tcBorders>
            <w:shd w:val="clear" w:color="auto" w:fill="auto"/>
            <w:vAlign w:val="center"/>
          </w:tcPr>
          <w:p w14:paraId="6CCCD69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1.具有自动检测功放故障状态功能，并将故障的主功放信号自动切换至备用功放，支持≥5台主功放和≥一台备用功放备份切换；</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2.实时功放状态检测，并且以不同的指示灯颜色显示；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3.单机支持一主一备，二主一备，三主一备，四主一备，五主一备等种模式。</w:t>
            </w:r>
          </w:p>
        </w:tc>
        <w:tc>
          <w:tcPr>
            <w:tcW w:w="862" w:type="dxa"/>
            <w:tcBorders>
              <w:tl2br w:val="nil"/>
              <w:tr2bl w:val="nil"/>
            </w:tcBorders>
            <w:shd w:val="clear" w:color="auto" w:fill="auto"/>
            <w:noWrap/>
            <w:vAlign w:val="center"/>
          </w:tcPr>
          <w:p w14:paraId="25F54AC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noWrap/>
            <w:vAlign w:val="center"/>
          </w:tcPr>
          <w:p w14:paraId="54F03EC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r>
      <w:tr w14:paraId="506611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932" w:type="dxa"/>
            <w:tcBorders>
              <w:tl2br w:val="nil"/>
              <w:tr2bl w:val="nil"/>
            </w:tcBorders>
            <w:shd w:val="clear" w:color="auto" w:fill="auto"/>
            <w:vAlign w:val="center"/>
          </w:tcPr>
          <w:p w14:paraId="79FCAD1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27</w:t>
            </w:r>
          </w:p>
        </w:tc>
        <w:tc>
          <w:tcPr>
            <w:tcW w:w="1404" w:type="dxa"/>
            <w:tcBorders>
              <w:tl2br w:val="nil"/>
              <w:tr2bl w:val="nil"/>
            </w:tcBorders>
            <w:shd w:val="clear" w:color="auto" w:fill="auto"/>
            <w:vAlign w:val="center"/>
          </w:tcPr>
          <w:p w14:paraId="13BFFE1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纯后级广播功放</w:t>
            </w:r>
          </w:p>
        </w:tc>
        <w:tc>
          <w:tcPr>
            <w:tcW w:w="5984" w:type="dxa"/>
            <w:tcBorders>
              <w:tl2br w:val="nil"/>
              <w:tr2bl w:val="nil"/>
            </w:tcBorders>
            <w:shd w:val="clear" w:color="auto" w:fill="auto"/>
            <w:vAlign w:val="center"/>
          </w:tcPr>
          <w:p w14:paraId="5B81B604">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1.标准机柜式设计，3U高度，专业纯后级功率放大器；</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2.≥1路TRS线路输入，≥1路TRS线路级联输出，≥1路XLR线路输入，≥1路XLR线路级联输出；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3.设置有一个总音量调节旋钮，可对音量大小进行调节；</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4.具有短路、过载、过热、饱和失真、直流输出、独立的启动保护线路等保护功能；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5.放大电路独特，功率输出稳定、强劲，且负载能力高；                                                                                                                                                                                                   6.带压限电路，可限制输入信号过大，独立的静噪音线路处理。                                                                                                                                                                      7.支持100V、70V定压输出和4-16Ω定阻输出，输出功率≥1200W。</w:t>
            </w:r>
          </w:p>
        </w:tc>
        <w:tc>
          <w:tcPr>
            <w:tcW w:w="862" w:type="dxa"/>
            <w:tcBorders>
              <w:tl2br w:val="nil"/>
              <w:tr2bl w:val="nil"/>
            </w:tcBorders>
            <w:shd w:val="clear" w:color="auto" w:fill="auto"/>
            <w:noWrap/>
            <w:vAlign w:val="center"/>
          </w:tcPr>
          <w:p w14:paraId="67D34A8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noWrap/>
            <w:vAlign w:val="center"/>
          </w:tcPr>
          <w:p w14:paraId="068A96E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r>
      <w:tr w14:paraId="15C1E0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09" w:hRule="atLeast"/>
          <w:jc w:val="center"/>
        </w:trPr>
        <w:tc>
          <w:tcPr>
            <w:tcW w:w="932" w:type="dxa"/>
            <w:tcBorders>
              <w:tl2br w:val="nil"/>
              <w:tr2bl w:val="nil"/>
            </w:tcBorders>
            <w:shd w:val="clear" w:color="auto" w:fill="auto"/>
            <w:vAlign w:val="center"/>
          </w:tcPr>
          <w:p w14:paraId="27B096C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28</w:t>
            </w:r>
          </w:p>
        </w:tc>
        <w:tc>
          <w:tcPr>
            <w:tcW w:w="1404" w:type="dxa"/>
            <w:tcBorders>
              <w:tl2br w:val="nil"/>
              <w:tr2bl w:val="nil"/>
            </w:tcBorders>
            <w:shd w:val="clear" w:color="auto" w:fill="auto"/>
            <w:vAlign w:val="center"/>
          </w:tcPr>
          <w:p w14:paraId="0F82EF1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8路电源时序器</w:t>
            </w:r>
          </w:p>
        </w:tc>
        <w:tc>
          <w:tcPr>
            <w:tcW w:w="5984" w:type="dxa"/>
            <w:tcBorders>
              <w:tl2br w:val="nil"/>
              <w:tr2bl w:val="nil"/>
            </w:tcBorders>
            <w:shd w:val="clear" w:color="auto" w:fill="auto"/>
            <w:vAlign w:val="center"/>
          </w:tcPr>
          <w:p w14:paraId="373184D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1.配置彩屏显示窗口，可以实时显示当前电压、日期时间等信息，内置时钟芯片，可根据日期时间设定，实现定时开关机功能；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2.支持有效按开机先前及后、关机则先后及前的顺序开关，每路输出带指示灯，开关控制电源；</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3.总共可控制≥8路管理电源，每路延时开启及关闭时间可在0-999秒自定义设置，同时还具有≥2路辅助通道；</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4.单路额定输出电流≥10A，通道开关状态额定输出电流≥30A；</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5.主机配置有一路短路输入和输出口，可实现多台链接使用；</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6.配置RS232接口，支持外部中央控制设备控制，≥6种波特率可选择；</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7.支持实现远程集中控制，每台设备自带设备编码ID检测和设置；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8.支持面板Lock锁定功能，内置≥8组设备开关场景数据保存/调用。</w:t>
            </w:r>
          </w:p>
        </w:tc>
        <w:tc>
          <w:tcPr>
            <w:tcW w:w="862" w:type="dxa"/>
            <w:tcBorders>
              <w:tl2br w:val="nil"/>
              <w:tr2bl w:val="nil"/>
            </w:tcBorders>
            <w:shd w:val="clear" w:color="auto" w:fill="auto"/>
            <w:noWrap/>
            <w:vAlign w:val="center"/>
          </w:tcPr>
          <w:p w14:paraId="14FAC20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noWrap/>
            <w:vAlign w:val="center"/>
          </w:tcPr>
          <w:p w14:paraId="3E0134A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r>
      <w:tr w14:paraId="4AAEE1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99" w:hRule="atLeast"/>
          <w:jc w:val="center"/>
        </w:trPr>
        <w:tc>
          <w:tcPr>
            <w:tcW w:w="932" w:type="dxa"/>
            <w:tcBorders>
              <w:tl2br w:val="nil"/>
              <w:tr2bl w:val="nil"/>
            </w:tcBorders>
            <w:shd w:val="clear" w:color="auto" w:fill="auto"/>
            <w:vAlign w:val="center"/>
          </w:tcPr>
          <w:p w14:paraId="62CD3C8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29</w:t>
            </w:r>
          </w:p>
        </w:tc>
        <w:tc>
          <w:tcPr>
            <w:tcW w:w="1404" w:type="dxa"/>
            <w:tcBorders>
              <w:tl2br w:val="nil"/>
              <w:tr2bl w:val="nil"/>
            </w:tcBorders>
            <w:shd w:val="clear" w:color="auto" w:fill="auto"/>
            <w:vAlign w:val="center"/>
          </w:tcPr>
          <w:p w14:paraId="7D65892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智慧云平台广播系统网络音箱（2*30W）</w:t>
            </w:r>
          </w:p>
        </w:tc>
        <w:tc>
          <w:tcPr>
            <w:tcW w:w="5984" w:type="dxa"/>
            <w:tcBorders>
              <w:tl2br w:val="nil"/>
              <w:tr2bl w:val="nil"/>
            </w:tcBorders>
            <w:shd w:val="clear" w:color="auto" w:fill="auto"/>
            <w:vAlign w:val="center"/>
          </w:tcPr>
          <w:p w14:paraId="7D42A34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1.一体化壁挂式设计，集成≥2×30W数字功放、网络解码和音箱，支持外扩≥30W/8Ω无源定阻音箱；</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2.支持AUX本地音频输入和本地话筒输入；</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3.采用静态IP地址设计，当网络发生改变时地址不会丢失，可以保障工作稳定运行；</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4.支持网络传输音频文件，可以本地解码CD级音质和播放高音质发烧级别的音频文件；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5.支持文字广播，可直接将文字转换为音频文件，并通过平台实现对终端的播放；</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6.支持扩展手机蓝牙模块，通过手机蓝牙连接设备，可实现无线音频传输播放；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★7.支持APR、IP、UDP、TCP、ICPM和IGPM等网络协议，支持跨网段跨路由设置，支持局域网和广域网；（提供第三方权威检测机构出具的具有CMA、CNAS认证标识的检验报告复印件以证明满足此项参数，并加盖厂家公章）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8.网络延迟：文件播放：&lt;50ms，实时讲话：&lt;150ms，音频位率：8Kbps-320Kbps自适应；</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9.支持平台一键设备巡检功能，可终端设备的功放过流、功放过热、过压保护、低压检测、线路开路、线路短路、网络状态进行检测，并可通过平台查看检测结果，巡检时不影响广播正常播放；</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10.具有网路优先、话筒优先、音源优先、音源和话筒优先、话筒和网络优先、网络和音源优先等音源优先级选择，实现自由调节网络、线路和话筒各端口的优先级顺序，确保关键信息优先传达；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11.支持定压备份功能，当网络无信号输入时，自动切换到定压100V备份输入。</w:t>
            </w:r>
          </w:p>
        </w:tc>
        <w:tc>
          <w:tcPr>
            <w:tcW w:w="862" w:type="dxa"/>
            <w:tcBorders>
              <w:tl2br w:val="nil"/>
              <w:tr2bl w:val="nil"/>
            </w:tcBorders>
            <w:shd w:val="clear" w:color="auto" w:fill="auto"/>
            <w:noWrap/>
            <w:vAlign w:val="center"/>
          </w:tcPr>
          <w:p w14:paraId="705D0DD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对</w:t>
            </w:r>
          </w:p>
        </w:tc>
        <w:tc>
          <w:tcPr>
            <w:tcW w:w="769" w:type="dxa"/>
            <w:tcBorders>
              <w:tl2br w:val="nil"/>
              <w:tr2bl w:val="nil"/>
            </w:tcBorders>
            <w:shd w:val="clear" w:color="auto" w:fill="auto"/>
            <w:noWrap/>
            <w:vAlign w:val="center"/>
          </w:tcPr>
          <w:p w14:paraId="4A97B59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59</w:t>
            </w:r>
          </w:p>
        </w:tc>
      </w:tr>
      <w:tr w14:paraId="10D65C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46" w:hRule="atLeast"/>
          <w:jc w:val="center"/>
        </w:trPr>
        <w:tc>
          <w:tcPr>
            <w:tcW w:w="932" w:type="dxa"/>
            <w:tcBorders>
              <w:tl2br w:val="nil"/>
              <w:tr2bl w:val="nil"/>
            </w:tcBorders>
            <w:shd w:val="clear" w:color="auto" w:fill="auto"/>
            <w:vAlign w:val="center"/>
          </w:tcPr>
          <w:p w14:paraId="66AFBB1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30</w:t>
            </w:r>
          </w:p>
        </w:tc>
        <w:tc>
          <w:tcPr>
            <w:tcW w:w="1404" w:type="dxa"/>
            <w:tcBorders>
              <w:tl2br w:val="nil"/>
              <w:tr2bl w:val="nil"/>
            </w:tcBorders>
            <w:shd w:val="clear" w:color="auto" w:fill="auto"/>
            <w:vAlign w:val="center"/>
          </w:tcPr>
          <w:p w14:paraId="17BFDCE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监听音箱</w:t>
            </w:r>
          </w:p>
        </w:tc>
        <w:tc>
          <w:tcPr>
            <w:tcW w:w="5984" w:type="dxa"/>
            <w:tcBorders>
              <w:tl2br w:val="nil"/>
              <w:tr2bl w:val="nil"/>
            </w:tcBorders>
            <w:shd w:val="clear" w:color="auto" w:fill="auto"/>
            <w:vAlign w:val="center"/>
          </w:tcPr>
          <w:p w14:paraId="24C821F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1.一体化壁挂式设计，集成≥2×20W数字功放、网络解码和音箱，支持外扩≥20W/8Ω无源定阻音箱；</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2.支持AUX本地音频输入和本地话筒输入，话筒输入音量可调节；</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3.采用静态IP地址设计，当网络发生改变时地址不会丢失，可以保障工作稳定运行；</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4.支持IP网络传输音频文件，可以本地解码CD级音质和播放高音质发烧级别的音频文件；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5.支持文字广播，可直接将文字转换为音频文件，并通过平台实现对终端的播放；</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6.具有电源状态、网络状态、蓝牙状态和故障状态等多种状态指示灯，可以清晰了解音箱的工作状态；（提供第三方权威检测机构出具的具有CMA、CNAS认证标识的检验报告复印件以证明满足此项参数，并加盖厂家公章，中标后检测报告原件及设备功能备查）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7.支持APR、IP、UDP、TCP、ICPM和IGPM等网络协议，支持跨网段跨路由设置，支持局域网和广域网；</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★8.网络延迟：文件播放：&lt;50ms，实时讲话：&lt;150ms，音频位率：8Kbps-320Kbps自适应；（提供第三方权威检测机构出具的具有CMA、CNAS认证标识的检验报告复印件以证明满足此项参数，并加盖厂家公章）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9.支持平台一键设备巡检功能，可终端设备的功放过流、功放过热、过压保护、低压检测、线路开路、线路短路、网络状态进行检测，并可通过平台查看检测结果，巡检时不影响广播正常播放；</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10.具有网路优先、话筒优先、音源优先、音源和话筒优先、话筒和网络优先、网络和音源优先等音源优先级选择，实现自由调节网络、线路和话筒各端口的优先级顺序，确保关键信息优先传达。</w:t>
            </w:r>
          </w:p>
        </w:tc>
        <w:tc>
          <w:tcPr>
            <w:tcW w:w="862" w:type="dxa"/>
            <w:tcBorders>
              <w:tl2br w:val="nil"/>
              <w:tr2bl w:val="nil"/>
            </w:tcBorders>
            <w:shd w:val="clear" w:color="auto" w:fill="auto"/>
            <w:noWrap/>
            <w:vAlign w:val="center"/>
          </w:tcPr>
          <w:p w14:paraId="6B4CED6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noWrap/>
            <w:vAlign w:val="center"/>
          </w:tcPr>
          <w:p w14:paraId="26900D5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5BC30B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978" w:hRule="atLeast"/>
          <w:jc w:val="center"/>
        </w:trPr>
        <w:tc>
          <w:tcPr>
            <w:tcW w:w="932" w:type="dxa"/>
            <w:tcBorders>
              <w:tl2br w:val="nil"/>
              <w:tr2bl w:val="nil"/>
            </w:tcBorders>
            <w:shd w:val="clear" w:color="auto" w:fill="auto"/>
            <w:vAlign w:val="center"/>
          </w:tcPr>
          <w:p w14:paraId="5F6D946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w:t>
            </w:r>
          </w:p>
        </w:tc>
        <w:tc>
          <w:tcPr>
            <w:tcW w:w="1404" w:type="dxa"/>
            <w:tcBorders>
              <w:tl2br w:val="nil"/>
              <w:tr2bl w:val="nil"/>
            </w:tcBorders>
            <w:shd w:val="clear" w:color="auto" w:fill="auto"/>
            <w:vAlign w:val="center"/>
          </w:tcPr>
          <w:p w14:paraId="00DF166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校时服务器</w:t>
            </w:r>
          </w:p>
        </w:tc>
        <w:tc>
          <w:tcPr>
            <w:tcW w:w="5984" w:type="dxa"/>
            <w:tcBorders>
              <w:tl2br w:val="nil"/>
              <w:tr2bl w:val="nil"/>
            </w:tcBorders>
            <w:shd w:val="clear" w:color="auto" w:fill="auto"/>
            <w:vAlign w:val="center"/>
          </w:tcPr>
          <w:p w14:paraId="4DC304EE">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1.采用进口工业级芯片，结合低功耗、无风扇设计，确保设备在各种恶劣环境下稳定运行；</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2.使用嵌入式系统，避免数据被篡改，保证系统、数据安全性；</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★3.支持GPS、北斗等主流卫星导航系统，可实现全球范围内的精准定位与授时服务；（投标时需提供含有“北斗卫星定位校时、网络授时”字样的软件著作权登记证书以证明满足此项参数，并加盖厂家公章）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4.支持NTPV2、NTPV3、NTPV4、SNTP等多种协议，支持服务器模式和广播模式；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5.内部精度不低于100纳秒，通过网络授时精度可达0.2至10毫秒，确保时间同步的准确性；</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6.支持跨网段授时，可为客户端提供授时服务，支持设置卫星失锁后继续守时的时间；</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7.Web网页配置和管理，不需安装第三方软件，Web网页直接查询设备IP信息、工作状态、卫星数量、时间来源、系统时间、开机时间、对时次数、对时记录等信息；</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8.当无法获取卫星信号的情况下，手动设置设备时间，支持登录密码管理，防止无关人员修改设备信息；</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9.支持选配温补晶振、恒温晶振等高精度守时模块，进一步提升时间同步的稳定性与准确性；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10.接口不少于：1*RS232、1*Reset恢复出厂设置、1*RJ45。</w:t>
            </w:r>
          </w:p>
        </w:tc>
        <w:tc>
          <w:tcPr>
            <w:tcW w:w="862" w:type="dxa"/>
            <w:tcBorders>
              <w:tl2br w:val="nil"/>
              <w:tr2bl w:val="nil"/>
            </w:tcBorders>
            <w:shd w:val="clear" w:color="auto" w:fill="auto"/>
            <w:noWrap/>
            <w:vAlign w:val="center"/>
          </w:tcPr>
          <w:p w14:paraId="75B05B8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noWrap/>
            <w:vAlign w:val="center"/>
          </w:tcPr>
          <w:p w14:paraId="0053E6B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711893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06" w:hRule="atLeast"/>
          <w:jc w:val="center"/>
        </w:trPr>
        <w:tc>
          <w:tcPr>
            <w:tcW w:w="932" w:type="dxa"/>
            <w:tcBorders>
              <w:tl2br w:val="nil"/>
              <w:tr2bl w:val="nil"/>
            </w:tcBorders>
            <w:shd w:val="clear" w:color="auto" w:fill="auto"/>
            <w:vAlign w:val="center"/>
          </w:tcPr>
          <w:p w14:paraId="50248B4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32</w:t>
            </w:r>
          </w:p>
        </w:tc>
        <w:tc>
          <w:tcPr>
            <w:tcW w:w="1404" w:type="dxa"/>
            <w:tcBorders>
              <w:tl2br w:val="nil"/>
              <w:tr2bl w:val="nil"/>
            </w:tcBorders>
            <w:shd w:val="clear" w:color="auto" w:fill="auto"/>
            <w:vAlign w:val="center"/>
          </w:tcPr>
          <w:p w14:paraId="2E9FF6D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听力网络系统话筒</w:t>
            </w:r>
          </w:p>
        </w:tc>
        <w:tc>
          <w:tcPr>
            <w:tcW w:w="5984" w:type="dxa"/>
            <w:tcBorders>
              <w:tl2br w:val="nil"/>
              <w:tr2bl w:val="nil"/>
            </w:tcBorders>
            <w:shd w:val="clear" w:color="auto" w:fill="auto"/>
            <w:vAlign w:val="center"/>
          </w:tcPr>
          <w:p w14:paraId="0DC170F0">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1.釆用≥7英寸电容触屏显示屏设计，支持通过触屏对U盘/SD卡内文件进行本地播放和实现本地扩声，并发送到指定终端播放；</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2.配置页面可显示当前设备的配置信息，支持修改设备IP地址、子网掩码、默认网关、服务器地址、服务器端口和WEB端口等信息；</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具有不同的亮度级调节和一键全区报警按钮，点击时可以触发平台预设好的全区报警任务，可再次点击报警按钮关闭报警任务，也可通过触屏关闭；（投标时需提供含有“亮度级调节、一键全区报警”字样的软件著作权登记证书复印件佐证该功能，并加盖厂家公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采用嵌入式计算机技术和DSP音频处理技术设计，支持IEEE802.3at标准的POE供电；（提供第三方权威检测机构出具的具有CMA、CNAS认证标识的检验报告复印件以证明满足此项参数，并加盖厂家公章，中标后检测报告原件及设备功能备查）</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具有≥40个自定义触摸按键，支持一键呼叫广播功能，一键寻呼静音，可以直接操作呼叫任意终端；（提供第三方权威检测机构出具的具有CMA、CNAS认证标识的检验报告复印件以证明满足此项参数，并加盖厂家公章，中标后检测报告原件及设备功能备查）</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6.≥1路网络硬件音频解码，支持TCP/IP、UDP、IGMP（组播）协议， 可网络化传输16位立体声CD音质的音频信号；</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7.配置≥5W监听喇叭，具有任务监听功能，可实现任意监听其他终端的实时任务；</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8.支持双路混音/多路混音功能，配置高灵敏度长咪杆，具有灯环指示；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9.报警音频/短路音频输入时，具有不少于两路短路输出可以用于触发预置语音提示和控制门禁联动输入短路信号；</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10.支持≥1路标准3.5mm音频输入接口，用于接收外部音频输入，支持≥1路标准3.5mm音频输出接口，用于将终端的音频输送给外部播出设备；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11.支持DHCP,兼容路由器、交换机、网桥网关、Modem, Intelnet、2G、3G、4G、组播、单播等任意网络结构；</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12.具有双向对讲功能，允许双方同时进行语音通信，用户可以在本机轻松查阅对讲记录，并回拨历史对讲终端；</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13.具有呼叫自动转接服务，对讲系统内置呼叫转移功能，支持最多三级呼叫转移，确保在通话过程中，若受理端无法接听，可自动将呼叫转接至其他指定终端；</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14.具有呼叫指定转接功能，系统支持手动转接，用户可根据实际需求，手动指定受理端进行接听处理；</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15.具有呼叫排队转接功能，系统具备呼叫排队机制，对于未接通的呼叫请求，可自动排队等待处理，用户可对排队中的呼叫请求进行手动转接；</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16.具有录音喊话功能，支持用户预先录制喊话音频内容，通过录音的试听功能即时确认音质与效果，录制完成后，用户不仅可以直接进行广播，还能将录音文件安全地保存在本地SD卡上，便于后续查阅或导出使用。</w:t>
            </w:r>
          </w:p>
        </w:tc>
        <w:tc>
          <w:tcPr>
            <w:tcW w:w="862" w:type="dxa"/>
            <w:tcBorders>
              <w:tl2br w:val="nil"/>
              <w:tr2bl w:val="nil"/>
            </w:tcBorders>
            <w:shd w:val="clear" w:color="auto" w:fill="auto"/>
            <w:noWrap/>
            <w:vAlign w:val="center"/>
          </w:tcPr>
          <w:p w14:paraId="6698E33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noWrap/>
            <w:vAlign w:val="center"/>
          </w:tcPr>
          <w:p w14:paraId="55F2180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396489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901" w:hRule="atLeast"/>
          <w:jc w:val="center"/>
        </w:trPr>
        <w:tc>
          <w:tcPr>
            <w:tcW w:w="932" w:type="dxa"/>
            <w:tcBorders>
              <w:tl2br w:val="nil"/>
              <w:tr2bl w:val="nil"/>
            </w:tcBorders>
            <w:shd w:val="clear" w:color="auto" w:fill="auto"/>
            <w:vAlign w:val="center"/>
          </w:tcPr>
          <w:p w14:paraId="31108F6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33</w:t>
            </w:r>
          </w:p>
        </w:tc>
        <w:tc>
          <w:tcPr>
            <w:tcW w:w="1404" w:type="dxa"/>
            <w:tcBorders>
              <w:tl2br w:val="nil"/>
              <w:tr2bl w:val="nil"/>
            </w:tcBorders>
            <w:shd w:val="clear" w:color="auto" w:fill="auto"/>
            <w:vAlign w:val="center"/>
          </w:tcPr>
          <w:p w14:paraId="29B20EE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听力系统音频采集终端</w:t>
            </w:r>
          </w:p>
        </w:tc>
        <w:tc>
          <w:tcPr>
            <w:tcW w:w="5984" w:type="dxa"/>
            <w:tcBorders>
              <w:tl2br w:val="nil"/>
              <w:tr2bl w:val="nil"/>
            </w:tcBorders>
            <w:shd w:val="clear" w:color="auto" w:fill="auto"/>
            <w:vAlign w:val="center"/>
          </w:tcPr>
          <w:p w14:paraId="23ACF79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1.采用标准机柜式设计，配置≥4.3英寸全彩色触屏显示屏，文字和图形结合的菜单界面，操作更简单易懂；</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2.支持外接U盘或SD卡进行本地音源的点播与采集广播，最大可扩展至32G内存；</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3.支持实时将外接的音源信号转换成数字化网络音频信号进行传输，实现本地音源广播到指定的分组终端；</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具有≥1路话筒全区采集物理按键和1路全区网络报警按键，支持一键恢复出厂功能；（提供第三方权威检测机构出具的具有CMA、CNAS认证标识的检验报告复印件以证明满足此项参数，并加盖厂家公章，中标后检测报告原件及设备功能备查）</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5.支持≥10级亮度调节，可以根据现场不同的光线环境进行调节，提高眼睛的舒适度，也更加节能环保；</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6.配置3-5W监听喇叭，可自由选择关闭或打开，也可将音频输出到功放/有源音箱实现音源监听；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7.具有不少于1路10/100M RJ45网络交换机接口、2路本地话筒、2路本地线路输入接口和1路音频输出接口；</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具有播放操作栏，可实现进入播放列表、上一曲、播放/暂停、下一曲、选择播放顺序（随机播放、单曲循环、列表循环）、返回等操作。（提供第三方权威检测机构出具的具有CMA、CNAS认证标识的检验报告复印件以证明满足此项参数，并加盖厂家公章，中标后检测报告原件及设备功能备查）</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9.支持自动采集功能，内置智能自动采集模块，一旦音源信号接入指定端口，立即自动启动采集任务，当音源信号中断后的10秒内，系统将自动终止采集；</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10.配备≥40个可自定义快捷分组，通过在平台软件配置和控制分组信息与状态开关；</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11.支持ARP、UDP、TCP/IP、ICMP等网络协议；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12.输入电源：AC220V/50Hz。</w:t>
            </w:r>
          </w:p>
        </w:tc>
        <w:tc>
          <w:tcPr>
            <w:tcW w:w="862" w:type="dxa"/>
            <w:tcBorders>
              <w:tl2br w:val="nil"/>
              <w:tr2bl w:val="nil"/>
            </w:tcBorders>
            <w:shd w:val="clear" w:color="auto" w:fill="auto"/>
            <w:noWrap/>
            <w:vAlign w:val="center"/>
          </w:tcPr>
          <w:p w14:paraId="0213236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noWrap/>
            <w:vAlign w:val="center"/>
          </w:tcPr>
          <w:p w14:paraId="74C34F6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6A0CB6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67" w:hRule="atLeast"/>
          <w:jc w:val="center"/>
        </w:trPr>
        <w:tc>
          <w:tcPr>
            <w:tcW w:w="932" w:type="dxa"/>
            <w:tcBorders>
              <w:tl2br w:val="nil"/>
              <w:tr2bl w:val="nil"/>
            </w:tcBorders>
            <w:shd w:val="clear" w:color="auto" w:fill="auto"/>
            <w:vAlign w:val="center"/>
          </w:tcPr>
          <w:p w14:paraId="7BAA302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34</w:t>
            </w:r>
          </w:p>
        </w:tc>
        <w:tc>
          <w:tcPr>
            <w:tcW w:w="1404" w:type="dxa"/>
            <w:tcBorders>
              <w:tl2br w:val="nil"/>
              <w:tr2bl w:val="nil"/>
            </w:tcBorders>
            <w:shd w:val="clear" w:color="auto" w:fill="auto"/>
            <w:vAlign w:val="center"/>
          </w:tcPr>
          <w:p w14:paraId="3AF1E1C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听力模拟系统麦克风</w:t>
            </w:r>
          </w:p>
        </w:tc>
        <w:tc>
          <w:tcPr>
            <w:tcW w:w="5984" w:type="dxa"/>
            <w:tcBorders>
              <w:tl2br w:val="nil"/>
              <w:tr2bl w:val="nil"/>
            </w:tcBorders>
            <w:shd w:val="clear" w:color="auto" w:fill="auto"/>
            <w:vAlign w:val="center"/>
          </w:tcPr>
          <w:p w14:paraId="773F0AD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1.换能方式：电容式；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2.频率响应：40Hz-16KHz；</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3.指向性：心型指向；</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4.输出阻抗≥200Ω；</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5.灵敏度≥-38dB；</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6.供电电压不劣于DC9V/AC11.4V；</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7.带前奏音，灯环提示；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8.咪管长度≥420mm</w:t>
            </w:r>
          </w:p>
        </w:tc>
        <w:tc>
          <w:tcPr>
            <w:tcW w:w="862" w:type="dxa"/>
            <w:tcBorders>
              <w:tl2br w:val="nil"/>
              <w:tr2bl w:val="nil"/>
            </w:tcBorders>
            <w:shd w:val="clear" w:color="auto" w:fill="auto"/>
            <w:vAlign w:val="center"/>
          </w:tcPr>
          <w:p w14:paraId="62E13CE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482014A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34024C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932" w:type="dxa"/>
            <w:tcBorders>
              <w:tl2br w:val="nil"/>
              <w:tr2bl w:val="nil"/>
            </w:tcBorders>
            <w:shd w:val="clear" w:color="auto" w:fill="auto"/>
            <w:vAlign w:val="center"/>
          </w:tcPr>
          <w:p w14:paraId="112766C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35</w:t>
            </w:r>
          </w:p>
        </w:tc>
        <w:tc>
          <w:tcPr>
            <w:tcW w:w="1404" w:type="dxa"/>
            <w:tcBorders>
              <w:tl2br w:val="nil"/>
              <w:tr2bl w:val="nil"/>
            </w:tcBorders>
            <w:shd w:val="clear" w:color="auto" w:fill="auto"/>
            <w:vAlign w:val="center"/>
          </w:tcPr>
          <w:p w14:paraId="23EB6E7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楼层机柜</w:t>
            </w:r>
          </w:p>
        </w:tc>
        <w:tc>
          <w:tcPr>
            <w:tcW w:w="5984" w:type="dxa"/>
            <w:tcBorders>
              <w:tl2br w:val="nil"/>
              <w:tr2bl w:val="nil"/>
            </w:tcBorders>
            <w:shd w:val="clear" w:color="auto" w:fill="auto"/>
            <w:vAlign w:val="center"/>
          </w:tcPr>
          <w:p w14:paraId="2133225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600*600*600</w:t>
            </w:r>
          </w:p>
        </w:tc>
        <w:tc>
          <w:tcPr>
            <w:tcW w:w="862" w:type="dxa"/>
            <w:tcBorders>
              <w:tl2br w:val="nil"/>
              <w:tr2bl w:val="nil"/>
            </w:tcBorders>
            <w:shd w:val="clear" w:color="auto" w:fill="auto"/>
            <w:noWrap/>
            <w:vAlign w:val="center"/>
          </w:tcPr>
          <w:p w14:paraId="66BB59F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个</w:t>
            </w:r>
          </w:p>
        </w:tc>
        <w:tc>
          <w:tcPr>
            <w:tcW w:w="769" w:type="dxa"/>
            <w:tcBorders>
              <w:tl2br w:val="nil"/>
              <w:tr2bl w:val="nil"/>
            </w:tcBorders>
            <w:shd w:val="clear" w:color="auto" w:fill="auto"/>
            <w:vAlign w:val="center"/>
          </w:tcPr>
          <w:p w14:paraId="37ACB92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r>
      <w:tr w14:paraId="5E6940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932" w:type="dxa"/>
            <w:tcBorders>
              <w:tl2br w:val="nil"/>
              <w:tr2bl w:val="nil"/>
            </w:tcBorders>
            <w:shd w:val="clear" w:color="auto" w:fill="auto"/>
            <w:vAlign w:val="center"/>
          </w:tcPr>
          <w:p w14:paraId="208A7D5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36</w:t>
            </w:r>
          </w:p>
        </w:tc>
        <w:tc>
          <w:tcPr>
            <w:tcW w:w="1404" w:type="dxa"/>
            <w:tcBorders>
              <w:tl2br w:val="nil"/>
              <w:tr2bl w:val="nil"/>
            </w:tcBorders>
            <w:shd w:val="clear" w:color="auto" w:fill="auto"/>
            <w:vAlign w:val="center"/>
          </w:tcPr>
          <w:p w14:paraId="59D9156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音频线</w:t>
            </w:r>
          </w:p>
        </w:tc>
        <w:tc>
          <w:tcPr>
            <w:tcW w:w="5984" w:type="dxa"/>
            <w:tcBorders>
              <w:tl2br w:val="nil"/>
              <w:tr2bl w:val="nil"/>
            </w:tcBorders>
            <w:shd w:val="clear" w:color="auto" w:fill="auto"/>
            <w:vAlign w:val="center"/>
          </w:tcPr>
          <w:p w14:paraId="00754A87">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国标</w:t>
            </w:r>
          </w:p>
        </w:tc>
        <w:tc>
          <w:tcPr>
            <w:tcW w:w="862" w:type="dxa"/>
            <w:tcBorders>
              <w:tl2br w:val="nil"/>
              <w:tr2bl w:val="nil"/>
            </w:tcBorders>
            <w:shd w:val="clear" w:color="auto" w:fill="auto"/>
            <w:noWrap/>
            <w:vAlign w:val="center"/>
          </w:tcPr>
          <w:p w14:paraId="38F8788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米</w:t>
            </w:r>
          </w:p>
        </w:tc>
        <w:tc>
          <w:tcPr>
            <w:tcW w:w="769" w:type="dxa"/>
            <w:tcBorders>
              <w:tl2br w:val="nil"/>
              <w:tr2bl w:val="nil"/>
            </w:tcBorders>
            <w:shd w:val="clear" w:color="auto" w:fill="auto"/>
            <w:vAlign w:val="center"/>
          </w:tcPr>
          <w:p w14:paraId="1B94D82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2600</w:t>
            </w:r>
          </w:p>
        </w:tc>
      </w:tr>
      <w:tr w14:paraId="3154E8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7" w:hRule="atLeast"/>
          <w:jc w:val="center"/>
        </w:trPr>
        <w:tc>
          <w:tcPr>
            <w:tcW w:w="932" w:type="dxa"/>
            <w:tcBorders>
              <w:tl2br w:val="nil"/>
              <w:tr2bl w:val="nil"/>
            </w:tcBorders>
            <w:shd w:val="clear" w:color="auto" w:fill="auto"/>
            <w:vAlign w:val="center"/>
          </w:tcPr>
          <w:p w14:paraId="19EFF5B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37</w:t>
            </w:r>
          </w:p>
        </w:tc>
        <w:tc>
          <w:tcPr>
            <w:tcW w:w="1404" w:type="dxa"/>
            <w:tcBorders>
              <w:tl2br w:val="nil"/>
              <w:tr2bl w:val="nil"/>
            </w:tcBorders>
            <w:shd w:val="clear" w:color="auto" w:fill="auto"/>
            <w:vAlign w:val="center"/>
          </w:tcPr>
          <w:p w14:paraId="6478EA3C">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网线超五类</w:t>
            </w:r>
          </w:p>
        </w:tc>
        <w:tc>
          <w:tcPr>
            <w:tcW w:w="5984" w:type="dxa"/>
            <w:tcBorders>
              <w:tl2br w:val="nil"/>
              <w:tr2bl w:val="nil"/>
            </w:tcBorders>
            <w:shd w:val="clear" w:color="auto" w:fill="auto"/>
            <w:vAlign w:val="center"/>
          </w:tcPr>
          <w:p w14:paraId="68D7342C">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国标</w:t>
            </w:r>
          </w:p>
        </w:tc>
        <w:tc>
          <w:tcPr>
            <w:tcW w:w="862" w:type="dxa"/>
            <w:tcBorders>
              <w:tl2br w:val="nil"/>
              <w:tr2bl w:val="nil"/>
            </w:tcBorders>
            <w:shd w:val="clear" w:color="auto" w:fill="auto"/>
            <w:noWrap/>
            <w:vAlign w:val="center"/>
          </w:tcPr>
          <w:p w14:paraId="2E795A5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箱</w:t>
            </w:r>
          </w:p>
        </w:tc>
        <w:tc>
          <w:tcPr>
            <w:tcW w:w="769" w:type="dxa"/>
            <w:tcBorders>
              <w:tl2br w:val="nil"/>
              <w:tr2bl w:val="nil"/>
            </w:tcBorders>
            <w:shd w:val="clear" w:color="auto" w:fill="auto"/>
            <w:vAlign w:val="center"/>
          </w:tcPr>
          <w:p w14:paraId="69F98C6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r>
      <w:tr w14:paraId="1A1CFC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088" w:hRule="atLeast"/>
          <w:jc w:val="center"/>
        </w:trPr>
        <w:tc>
          <w:tcPr>
            <w:tcW w:w="932" w:type="dxa"/>
            <w:tcBorders>
              <w:tl2br w:val="nil"/>
              <w:tr2bl w:val="nil"/>
            </w:tcBorders>
            <w:shd w:val="clear" w:color="auto" w:fill="auto"/>
            <w:vAlign w:val="center"/>
          </w:tcPr>
          <w:p w14:paraId="395B395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38</w:t>
            </w:r>
          </w:p>
        </w:tc>
        <w:tc>
          <w:tcPr>
            <w:tcW w:w="1404" w:type="dxa"/>
            <w:tcBorders>
              <w:tl2br w:val="nil"/>
              <w:tr2bl w:val="nil"/>
            </w:tcBorders>
            <w:shd w:val="clear" w:color="auto" w:fill="auto"/>
            <w:vAlign w:val="center"/>
          </w:tcPr>
          <w:p w14:paraId="00157DF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服务器机柜</w:t>
            </w:r>
          </w:p>
        </w:tc>
        <w:tc>
          <w:tcPr>
            <w:tcW w:w="5984" w:type="dxa"/>
            <w:tcBorders>
              <w:tl2br w:val="nil"/>
              <w:tr2bl w:val="nil"/>
            </w:tcBorders>
            <w:shd w:val="clear" w:color="auto" w:fill="auto"/>
            <w:vAlign w:val="center"/>
          </w:tcPr>
          <w:p w14:paraId="249479CD">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1、网孔前门</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2、网孔后门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3、4根立柱标明U方孔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4、4个承重轮子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5、4个可调地脚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6、50套机柜专用螺丝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7、前、后、侧门可拆卸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8、前后立柱可前后快捷移动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9、立柱之间宽度19英寸标准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10、钢板全部采用优质冷轧材料制作、厚度2.0㎜、1.2㎜、1.0㎜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11、机柜表面采用脱脂、酸洗、防绣、静电喷塑 </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12、机柜采用拆卸结构,适合安装网络产品、光纤产品,小型服务器</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技术标准:</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符合ANSI/EIA RS-310-D、IEC297-2、DIN41491；PART1、DIN41494；PART7、GB/T3047.2-92标准；兼容ETSI公制标准。</w:t>
            </w:r>
          </w:p>
        </w:tc>
        <w:tc>
          <w:tcPr>
            <w:tcW w:w="862" w:type="dxa"/>
            <w:tcBorders>
              <w:tl2br w:val="nil"/>
              <w:tr2bl w:val="nil"/>
            </w:tcBorders>
            <w:shd w:val="clear" w:color="auto" w:fill="auto"/>
            <w:noWrap/>
            <w:vAlign w:val="center"/>
          </w:tcPr>
          <w:p w14:paraId="7EE8D1F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769" w:type="dxa"/>
            <w:tcBorders>
              <w:tl2br w:val="nil"/>
              <w:tr2bl w:val="nil"/>
            </w:tcBorders>
            <w:shd w:val="clear" w:color="auto" w:fill="auto"/>
            <w:vAlign w:val="center"/>
          </w:tcPr>
          <w:p w14:paraId="448B1BB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r>
      <w:tr w14:paraId="71FFA1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32" w:type="dxa"/>
            <w:tcBorders>
              <w:tl2br w:val="nil"/>
              <w:tr2bl w:val="nil"/>
            </w:tcBorders>
            <w:shd w:val="clear" w:color="auto" w:fill="auto"/>
            <w:vAlign w:val="center"/>
          </w:tcPr>
          <w:p w14:paraId="71A6EFD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39</w:t>
            </w:r>
          </w:p>
        </w:tc>
        <w:tc>
          <w:tcPr>
            <w:tcW w:w="1404" w:type="dxa"/>
            <w:tcBorders>
              <w:tl2br w:val="nil"/>
              <w:tr2bl w:val="nil"/>
            </w:tcBorders>
            <w:shd w:val="clear" w:color="auto" w:fill="auto"/>
            <w:vAlign w:val="center"/>
          </w:tcPr>
          <w:p w14:paraId="55A9FE8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其它辅材</w:t>
            </w:r>
          </w:p>
        </w:tc>
        <w:tc>
          <w:tcPr>
            <w:tcW w:w="5984" w:type="dxa"/>
            <w:tcBorders>
              <w:tl2br w:val="nil"/>
              <w:tr2bl w:val="nil"/>
            </w:tcBorders>
            <w:shd w:val="clear" w:color="auto" w:fill="auto"/>
            <w:vAlign w:val="center"/>
          </w:tcPr>
          <w:p w14:paraId="64B0C481">
            <w:pPr>
              <w:keepNext w:val="0"/>
              <w:keepLines w:val="0"/>
              <w:pageBreakBefore w:val="0"/>
              <w:widowControl/>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000000"/>
                <w:kern w:val="0"/>
                <w:sz w:val="21"/>
                <w:szCs w:val="21"/>
                <w:lang w:bidi="ar"/>
              </w:rPr>
            </w:pPr>
          </w:p>
        </w:tc>
        <w:tc>
          <w:tcPr>
            <w:tcW w:w="862" w:type="dxa"/>
            <w:tcBorders>
              <w:tl2br w:val="nil"/>
              <w:tr2bl w:val="nil"/>
            </w:tcBorders>
            <w:shd w:val="clear" w:color="auto" w:fill="auto"/>
            <w:noWrap/>
            <w:vAlign w:val="center"/>
          </w:tcPr>
          <w:p w14:paraId="7A9838D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项</w:t>
            </w:r>
          </w:p>
        </w:tc>
        <w:tc>
          <w:tcPr>
            <w:tcW w:w="769" w:type="dxa"/>
            <w:tcBorders>
              <w:tl2br w:val="nil"/>
              <w:tr2bl w:val="nil"/>
            </w:tcBorders>
            <w:shd w:val="clear" w:color="auto" w:fill="auto"/>
            <w:vAlign w:val="center"/>
          </w:tcPr>
          <w:p w14:paraId="4F13ACC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1</w:t>
            </w:r>
          </w:p>
        </w:tc>
      </w:tr>
    </w:tbl>
    <w:p w14:paraId="15E34AB7">
      <w:pPr>
        <w:spacing w:line="480" w:lineRule="exact"/>
        <w:ind w:firstLine="440" w:firstLineChars="200"/>
        <w:jc w:val="left"/>
        <w:rPr>
          <w:rFonts w:hint="default" w:ascii="宋体" w:hAnsi="宋体" w:eastAsia="宋体" w:cs="宋体"/>
          <w:b/>
          <w:bCs w:val="0"/>
          <w:sz w:val="22"/>
          <w:szCs w:val="22"/>
          <w:highlight w:val="none"/>
          <w:lang w:val="en-US" w:eastAsia="zh-CN"/>
        </w:rPr>
      </w:pPr>
      <w:r>
        <w:rPr>
          <w:rFonts w:hint="default" w:ascii="宋体" w:hAnsi="宋体" w:eastAsia="宋体" w:cs="宋体"/>
          <w:b/>
          <w:bCs w:val="0"/>
          <w:sz w:val="22"/>
          <w:szCs w:val="22"/>
          <w:highlight w:val="none"/>
          <w:lang w:val="en-US" w:eastAsia="zh-CN"/>
        </w:rPr>
        <w:t>核心产品：</w:t>
      </w:r>
    </w:p>
    <w:p w14:paraId="67576256">
      <w:pPr>
        <w:numPr>
          <w:ilvl w:val="0"/>
          <w:numId w:val="0"/>
        </w:numPr>
        <w:spacing w:line="480" w:lineRule="exact"/>
        <w:ind w:firstLine="440" w:firstLineChars="200"/>
        <w:jc w:val="left"/>
        <w:rPr>
          <w:rFonts w:hint="eastAsia" w:ascii="宋体" w:hAnsi="宋体" w:eastAsia="宋体" w:cs="宋体"/>
          <w:b/>
          <w:bCs w:val="0"/>
          <w:sz w:val="22"/>
          <w:szCs w:val="22"/>
          <w:highlight w:val="none"/>
          <w:lang w:val="en-US" w:eastAsia="zh-CN"/>
        </w:rPr>
      </w:pPr>
      <w:r>
        <w:rPr>
          <w:rFonts w:hint="eastAsia" w:ascii="宋体" w:hAnsi="宋体" w:eastAsia="宋体" w:cs="宋体"/>
          <w:b/>
          <w:bCs w:val="0"/>
          <w:kern w:val="2"/>
          <w:sz w:val="22"/>
          <w:szCs w:val="22"/>
          <w:lang w:val="en-US" w:eastAsia="zh-CN" w:bidi="ar-SA"/>
        </w:rPr>
        <w:t>1.</w:t>
      </w:r>
      <w:r>
        <w:rPr>
          <w:rFonts w:hint="eastAsia" w:ascii="宋体" w:hAnsi="宋体" w:eastAsia="宋体" w:cs="宋体"/>
          <w:b/>
          <w:bCs w:val="0"/>
          <w:sz w:val="22"/>
          <w:szCs w:val="22"/>
          <w:highlight w:val="none"/>
          <w:lang w:val="en-US" w:eastAsia="zh-CN"/>
        </w:rPr>
        <w:t>核心交换机</w:t>
      </w:r>
    </w:p>
    <w:p w14:paraId="159BFC77">
      <w:pPr>
        <w:numPr>
          <w:ilvl w:val="0"/>
          <w:numId w:val="0"/>
        </w:numPr>
        <w:spacing w:line="480" w:lineRule="exact"/>
        <w:ind w:firstLine="440" w:firstLineChars="200"/>
        <w:jc w:val="left"/>
        <w:rPr>
          <w:rFonts w:hint="default" w:ascii="宋体" w:hAnsi="宋体" w:eastAsia="宋体" w:cs="宋体"/>
          <w:b/>
          <w:bCs w:val="0"/>
          <w:kern w:val="2"/>
          <w:sz w:val="22"/>
          <w:szCs w:val="22"/>
          <w:lang w:val="en-US" w:eastAsia="zh-CN" w:bidi="ar-SA"/>
        </w:rPr>
      </w:pPr>
      <w:r>
        <w:rPr>
          <w:rFonts w:hint="eastAsia" w:ascii="宋体" w:hAnsi="宋体" w:eastAsia="宋体" w:cs="宋体"/>
          <w:b/>
          <w:bCs w:val="0"/>
          <w:kern w:val="2"/>
          <w:sz w:val="22"/>
          <w:szCs w:val="22"/>
          <w:lang w:val="en-US" w:eastAsia="zh-CN" w:bidi="ar-SA"/>
        </w:rPr>
        <w:t>2.高清SIP管理平台</w:t>
      </w:r>
    </w:p>
    <w:p w14:paraId="08304EB6">
      <w:pPr>
        <w:numPr>
          <w:ilvl w:val="0"/>
          <w:numId w:val="0"/>
        </w:numPr>
        <w:spacing w:line="480" w:lineRule="exact"/>
        <w:ind w:firstLine="440" w:firstLineChars="200"/>
        <w:jc w:val="left"/>
        <w:rPr>
          <w:rFonts w:hint="eastAsia" w:ascii="宋体" w:hAnsi="宋体" w:eastAsia="宋体" w:cs="宋体"/>
          <w:b/>
          <w:bCs w:val="0"/>
          <w:kern w:val="2"/>
          <w:sz w:val="22"/>
          <w:szCs w:val="22"/>
          <w:lang w:val="en-US" w:eastAsia="zh-CN" w:bidi="ar-SA"/>
        </w:rPr>
      </w:pPr>
      <w:r>
        <w:rPr>
          <w:rFonts w:hint="eastAsia" w:ascii="宋体" w:hAnsi="宋体" w:eastAsia="宋体" w:cs="宋体"/>
          <w:b/>
          <w:bCs w:val="0"/>
          <w:kern w:val="2"/>
          <w:sz w:val="22"/>
          <w:szCs w:val="22"/>
          <w:lang w:val="en-US" w:eastAsia="zh-CN" w:bidi="ar-SA"/>
        </w:rPr>
        <w:t>3.标考网络流媒体存储管理平台</w:t>
      </w:r>
    </w:p>
    <w:p w14:paraId="328B1C42">
      <w:pPr>
        <w:numPr>
          <w:ilvl w:val="0"/>
          <w:numId w:val="0"/>
        </w:numPr>
        <w:spacing w:line="480" w:lineRule="exact"/>
        <w:ind w:firstLine="440" w:firstLineChars="200"/>
        <w:jc w:val="left"/>
        <w:rPr>
          <w:rFonts w:hint="default" w:ascii="宋体" w:hAnsi="宋体" w:eastAsia="宋体" w:cs="宋体"/>
          <w:b/>
          <w:bCs w:val="0"/>
          <w:kern w:val="2"/>
          <w:sz w:val="22"/>
          <w:szCs w:val="22"/>
          <w:lang w:val="en-US" w:eastAsia="zh-CN" w:bidi="ar-SA"/>
        </w:rPr>
      </w:pPr>
      <w:r>
        <w:rPr>
          <w:rFonts w:hint="eastAsia" w:ascii="宋体" w:hAnsi="宋体" w:eastAsia="宋体" w:cs="宋体"/>
          <w:b/>
          <w:bCs w:val="0"/>
          <w:kern w:val="2"/>
          <w:sz w:val="22"/>
          <w:szCs w:val="22"/>
          <w:lang w:val="en-US" w:eastAsia="zh-CN" w:bidi="ar-SA"/>
        </w:rPr>
        <w:t>4.智慧云平台广播系统网络音箱（2*30W）</w:t>
      </w:r>
    </w:p>
    <w:p w14:paraId="61776228">
      <w:pPr>
        <w:rPr>
          <w:rFonts w:hint="eastAsia" w:ascii="宋体" w:hAnsi="宋体"/>
          <w:color w:val="000000" w:themeColor="text1"/>
          <w:sz w:val="36"/>
          <w:szCs w:val="36"/>
          <w:highlight w:val="none"/>
          <w14:textFill>
            <w14:solidFill>
              <w14:schemeClr w14:val="tx1"/>
            </w14:solidFill>
          </w14:textFill>
        </w:rPr>
      </w:pPr>
      <w:bookmarkStart w:id="122" w:name="_Toc19501"/>
      <w:r>
        <w:rPr>
          <w:rFonts w:hint="eastAsia" w:ascii="宋体" w:hAnsi="宋体"/>
          <w:color w:val="000000" w:themeColor="text1"/>
          <w:sz w:val="36"/>
          <w:szCs w:val="36"/>
          <w:highlight w:val="none"/>
          <w14:textFill>
            <w14:solidFill>
              <w14:schemeClr w14:val="tx1"/>
            </w14:solidFill>
          </w14:textFill>
        </w:rPr>
        <w:br w:type="page"/>
      </w:r>
    </w:p>
    <w:p w14:paraId="574CCC26">
      <w:pPr>
        <w:pStyle w:val="29"/>
        <w:jc w:val="center"/>
        <w:rPr>
          <w:rFonts w:hint="eastAsia"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t>第六章  投标文件格式</w:t>
      </w:r>
      <w:bookmarkEnd w:id="122"/>
    </w:p>
    <w:p w14:paraId="439F36C9">
      <w:pPr>
        <w:spacing w:before="312"/>
        <w:jc w:val="center"/>
        <w:rPr>
          <w:rFonts w:hint="eastAsia" w:ascii="宋体" w:hAnsi="宋体" w:eastAsia="宋体"/>
          <w:b/>
          <w:bCs/>
          <w:color w:val="000000" w:themeColor="text1"/>
          <w:kern w:val="0"/>
          <w:sz w:val="40"/>
          <w:szCs w:val="40"/>
          <w:highlight w:val="none"/>
          <w:lang w:eastAsia="zh-CN"/>
          <w14:textFill>
            <w14:solidFill>
              <w14:schemeClr w14:val="tx1"/>
            </w14:solidFill>
          </w14:textFill>
        </w:rPr>
      </w:pPr>
      <w:r>
        <w:rPr>
          <w:rFonts w:hint="eastAsia" w:ascii="宋体" w:hAnsi="宋体"/>
          <w:b/>
          <w:bCs/>
          <w:color w:val="000000" w:themeColor="text1"/>
          <w:kern w:val="0"/>
          <w:sz w:val="40"/>
          <w:szCs w:val="40"/>
          <w:highlight w:val="none"/>
          <w:lang w:eastAsia="zh-CN"/>
          <w14:textFill>
            <w14:solidFill>
              <w14:schemeClr w14:val="tx1"/>
            </w14:solidFill>
          </w14:textFill>
        </w:rPr>
        <w:t>河南质量工程职业学院标准化考场升级改造项目</w:t>
      </w:r>
    </w:p>
    <w:p w14:paraId="66F46261">
      <w:pPr>
        <w:spacing w:before="312"/>
        <w:jc w:val="center"/>
        <w:rPr>
          <w:rFonts w:hint="eastAsia" w:ascii="宋体" w:hAnsi="宋体"/>
          <w:color w:val="000000" w:themeColor="text1"/>
          <w:sz w:val="72"/>
          <w:szCs w:val="72"/>
          <w:highlight w:val="none"/>
          <w14:textFill>
            <w14:solidFill>
              <w14:schemeClr w14:val="tx1"/>
            </w14:solidFill>
          </w14:textFill>
        </w:rPr>
      </w:pPr>
    </w:p>
    <w:p w14:paraId="072FE663">
      <w:pPr>
        <w:spacing w:before="312"/>
        <w:jc w:val="center"/>
        <w:rPr>
          <w:rFonts w:hint="eastAsia" w:ascii="宋体" w:hAnsi="宋体"/>
          <w:color w:val="000000" w:themeColor="text1"/>
          <w:sz w:val="72"/>
          <w:szCs w:val="72"/>
          <w:highlight w:val="none"/>
          <w14:textFill>
            <w14:solidFill>
              <w14:schemeClr w14:val="tx1"/>
            </w14:solidFill>
          </w14:textFill>
        </w:rPr>
      </w:pPr>
      <w:r>
        <w:rPr>
          <w:rFonts w:hint="eastAsia" w:ascii="宋体" w:hAnsi="宋体"/>
          <w:color w:val="000000" w:themeColor="text1"/>
          <w:sz w:val="72"/>
          <w:szCs w:val="72"/>
          <w:highlight w:val="none"/>
          <w14:textFill>
            <w14:solidFill>
              <w14:schemeClr w14:val="tx1"/>
            </w14:solidFill>
          </w14:textFill>
        </w:rPr>
        <w:t>投  标  文  件</w:t>
      </w:r>
    </w:p>
    <w:p w14:paraId="4B5BEE00">
      <w:pPr>
        <w:jc w:val="center"/>
        <w:rPr>
          <w:rFonts w:hint="eastAsia" w:ascii="宋体" w:hAnsi="宋体"/>
          <w:color w:val="000000" w:themeColor="text1"/>
          <w:sz w:val="30"/>
          <w:szCs w:val="30"/>
          <w:highlight w:val="none"/>
          <w14:textFill>
            <w14:solidFill>
              <w14:schemeClr w14:val="tx1"/>
            </w14:solidFill>
          </w14:textFill>
        </w:rPr>
      </w:pPr>
    </w:p>
    <w:p w14:paraId="2C0BE479">
      <w:pPr>
        <w:jc w:val="center"/>
        <w:rPr>
          <w:rFonts w:hint="eastAsia" w:ascii="宋体" w:hAnsi="宋体"/>
          <w:color w:val="000000" w:themeColor="text1"/>
          <w:sz w:val="30"/>
          <w:szCs w:val="30"/>
          <w:highlight w:val="none"/>
          <w14:textFill>
            <w14:solidFill>
              <w14:schemeClr w14:val="tx1"/>
            </w14:solidFill>
          </w14:textFill>
        </w:rPr>
      </w:pPr>
    </w:p>
    <w:p w14:paraId="7A0C042A">
      <w:pPr>
        <w:jc w:val="center"/>
        <w:rPr>
          <w:rFonts w:hint="eastAsia" w:ascii="宋体" w:hAnsi="宋体"/>
          <w:b/>
          <w:color w:val="000000" w:themeColor="text1"/>
          <w:sz w:val="30"/>
          <w:highlight w:val="none"/>
          <w14:textFill>
            <w14:solidFill>
              <w14:schemeClr w14:val="tx1"/>
            </w14:solidFill>
          </w14:textFill>
        </w:rPr>
      </w:pPr>
      <w:r>
        <w:rPr>
          <w:rFonts w:hint="eastAsia" w:ascii="宋体" w:hAnsi="宋体"/>
          <w:b/>
          <w:color w:val="000000" w:themeColor="text1"/>
          <w:sz w:val="30"/>
          <w:highlight w:val="none"/>
          <w14:textFill>
            <w14:solidFill>
              <w14:schemeClr w14:val="tx1"/>
            </w14:solidFill>
          </w14:textFill>
        </w:rPr>
        <w:t>项目编号：</w:t>
      </w:r>
    </w:p>
    <w:p w14:paraId="20105CAF">
      <w:pPr>
        <w:ind w:firstLine="2520" w:firstLineChars="1050"/>
        <w:rPr>
          <w:rFonts w:hint="eastAsia" w:ascii="宋体" w:hAnsi="宋体"/>
          <w:color w:val="000000" w:themeColor="text1"/>
          <w:sz w:val="24"/>
          <w:szCs w:val="24"/>
          <w:highlight w:val="none"/>
          <w14:textFill>
            <w14:solidFill>
              <w14:schemeClr w14:val="tx1"/>
            </w14:solidFill>
          </w14:textFill>
        </w:rPr>
      </w:pPr>
    </w:p>
    <w:p w14:paraId="0EA6594C">
      <w:pPr>
        <w:jc w:val="center"/>
        <w:rPr>
          <w:rFonts w:hint="eastAsia" w:ascii="宋体" w:hAnsi="宋体"/>
          <w:color w:val="000000" w:themeColor="text1"/>
          <w:sz w:val="24"/>
          <w:szCs w:val="24"/>
          <w:highlight w:val="none"/>
          <w14:textFill>
            <w14:solidFill>
              <w14:schemeClr w14:val="tx1"/>
            </w14:solidFill>
          </w14:textFill>
        </w:rPr>
      </w:pPr>
    </w:p>
    <w:p w14:paraId="34133644">
      <w:pPr>
        <w:jc w:val="center"/>
        <w:rPr>
          <w:rFonts w:hint="eastAsia" w:ascii="宋体" w:hAnsi="宋体"/>
          <w:color w:val="000000" w:themeColor="text1"/>
          <w:sz w:val="24"/>
          <w:szCs w:val="24"/>
          <w:highlight w:val="none"/>
          <w14:textFill>
            <w14:solidFill>
              <w14:schemeClr w14:val="tx1"/>
            </w14:solidFill>
          </w14:textFill>
        </w:rPr>
      </w:pPr>
    </w:p>
    <w:p w14:paraId="669019AD">
      <w:pPr>
        <w:jc w:val="center"/>
        <w:rPr>
          <w:rFonts w:hint="eastAsia" w:ascii="宋体" w:hAnsi="宋体"/>
          <w:color w:val="000000" w:themeColor="text1"/>
          <w:sz w:val="24"/>
          <w:szCs w:val="24"/>
          <w:highlight w:val="none"/>
          <w14:textFill>
            <w14:solidFill>
              <w14:schemeClr w14:val="tx1"/>
            </w14:solidFill>
          </w14:textFill>
        </w:rPr>
      </w:pPr>
    </w:p>
    <w:p w14:paraId="45B4D681">
      <w:pPr>
        <w:jc w:val="center"/>
        <w:rPr>
          <w:rFonts w:hint="eastAsia" w:ascii="宋体" w:hAnsi="宋体"/>
          <w:color w:val="000000" w:themeColor="text1"/>
          <w:sz w:val="24"/>
          <w:szCs w:val="24"/>
          <w:highlight w:val="none"/>
          <w14:textFill>
            <w14:solidFill>
              <w14:schemeClr w14:val="tx1"/>
            </w14:solidFill>
          </w14:textFill>
        </w:rPr>
      </w:pPr>
    </w:p>
    <w:p w14:paraId="6070FAB2">
      <w:pPr>
        <w:jc w:val="center"/>
        <w:rPr>
          <w:rFonts w:hint="eastAsia" w:ascii="宋体" w:hAnsi="宋体"/>
          <w:color w:val="000000" w:themeColor="text1"/>
          <w:sz w:val="24"/>
          <w:szCs w:val="24"/>
          <w:highlight w:val="none"/>
          <w14:textFill>
            <w14:solidFill>
              <w14:schemeClr w14:val="tx1"/>
            </w14:solidFill>
          </w14:textFill>
        </w:rPr>
      </w:pPr>
    </w:p>
    <w:p w14:paraId="21DEED51">
      <w:pPr>
        <w:jc w:val="center"/>
        <w:rPr>
          <w:rFonts w:hint="eastAsia" w:ascii="宋体" w:hAnsi="宋体"/>
          <w:color w:val="000000" w:themeColor="text1"/>
          <w:sz w:val="24"/>
          <w:szCs w:val="24"/>
          <w:highlight w:val="none"/>
          <w14:textFill>
            <w14:solidFill>
              <w14:schemeClr w14:val="tx1"/>
            </w14:solidFill>
          </w14:textFill>
        </w:rPr>
      </w:pPr>
    </w:p>
    <w:p w14:paraId="4EA6E7D2">
      <w:pPr>
        <w:rPr>
          <w:rFonts w:hint="eastAsia" w:ascii="宋体" w:hAnsi="宋体"/>
          <w:color w:val="000000" w:themeColor="text1"/>
          <w:sz w:val="24"/>
          <w:szCs w:val="24"/>
          <w:highlight w:val="none"/>
          <w14:textFill>
            <w14:solidFill>
              <w14:schemeClr w14:val="tx1"/>
            </w14:solidFill>
          </w14:textFill>
        </w:rPr>
      </w:pPr>
    </w:p>
    <w:p w14:paraId="26BD8D9F">
      <w:pPr>
        <w:jc w:val="center"/>
        <w:rPr>
          <w:rFonts w:hint="eastAsia" w:ascii="宋体" w:hAnsi="宋体"/>
          <w:color w:val="000000" w:themeColor="text1"/>
          <w:sz w:val="24"/>
          <w:szCs w:val="24"/>
          <w:highlight w:val="none"/>
          <w14:textFill>
            <w14:solidFill>
              <w14:schemeClr w14:val="tx1"/>
            </w14:solidFill>
          </w14:textFill>
        </w:rPr>
      </w:pPr>
    </w:p>
    <w:p w14:paraId="3D048067">
      <w:pPr>
        <w:rPr>
          <w:rFonts w:hint="eastAsia" w:ascii="宋体" w:hAnsi="宋体"/>
          <w:color w:val="000000" w:themeColor="text1"/>
          <w:sz w:val="24"/>
          <w:szCs w:val="24"/>
          <w:highlight w:val="none"/>
          <w14:textFill>
            <w14:solidFill>
              <w14:schemeClr w14:val="tx1"/>
            </w14:solidFill>
          </w14:textFill>
        </w:rPr>
      </w:pPr>
    </w:p>
    <w:p w14:paraId="05188098">
      <w:pPr>
        <w:jc w:val="center"/>
        <w:rPr>
          <w:rFonts w:hint="eastAsia" w:ascii="宋体" w:hAnsi="宋体"/>
          <w:color w:val="000000" w:themeColor="text1"/>
          <w:sz w:val="24"/>
          <w:szCs w:val="24"/>
          <w:highlight w:val="none"/>
          <w14:textFill>
            <w14:solidFill>
              <w14:schemeClr w14:val="tx1"/>
            </w14:solidFill>
          </w14:textFill>
        </w:rPr>
      </w:pPr>
    </w:p>
    <w:p w14:paraId="166BA02C">
      <w:pPr>
        <w:spacing w:line="600" w:lineRule="exact"/>
        <w:ind w:right="560" w:firstLine="1400" w:firstLineChars="500"/>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投    标    人：（电子印章）</w:t>
      </w:r>
      <w:r>
        <w:rPr>
          <w:rFonts w:hint="eastAsia" w:ascii="宋体" w:hAnsi="宋体"/>
          <w:color w:val="000000" w:themeColor="text1"/>
          <w:sz w:val="28"/>
          <w:szCs w:val="28"/>
          <w:highlight w:val="none"/>
          <w:u w:val="single"/>
          <w14:textFill>
            <w14:solidFill>
              <w14:schemeClr w14:val="tx1"/>
            </w14:solidFill>
          </w14:textFill>
        </w:rPr>
        <w:t xml:space="preserve">             </w:t>
      </w:r>
    </w:p>
    <w:p w14:paraId="1BEC5A9A">
      <w:pPr>
        <w:spacing w:line="600" w:lineRule="exact"/>
        <w:ind w:right="561" w:firstLine="1400" w:firstLineChars="500"/>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法 定 代 表 人：（电子签章）</w:t>
      </w:r>
      <w:r>
        <w:rPr>
          <w:rFonts w:hint="eastAsia" w:ascii="宋体" w:hAnsi="宋体"/>
          <w:color w:val="000000" w:themeColor="text1"/>
          <w:sz w:val="28"/>
          <w:szCs w:val="28"/>
          <w:highlight w:val="none"/>
          <w:u w:val="single"/>
          <w14:textFill>
            <w14:solidFill>
              <w14:schemeClr w14:val="tx1"/>
            </w14:solidFill>
          </w14:textFill>
        </w:rPr>
        <w:t xml:space="preserve">             </w:t>
      </w:r>
    </w:p>
    <w:p w14:paraId="08C1C978">
      <w:pPr>
        <w:spacing w:line="600" w:lineRule="exact"/>
        <w:jc w:val="center"/>
        <w:rPr>
          <w:rFonts w:hint="eastAsia" w:ascii="宋体" w:hAnsi="宋体"/>
          <w:color w:val="000000" w:themeColor="text1"/>
          <w:sz w:val="28"/>
          <w:szCs w:val="28"/>
          <w:highlight w:val="none"/>
          <w14:textFill>
            <w14:solidFill>
              <w14:schemeClr w14:val="tx1"/>
            </w14:solidFill>
          </w14:textFill>
        </w:rPr>
      </w:pPr>
    </w:p>
    <w:p w14:paraId="62C1DA60">
      <w:pPr>
        <w:jc w:val="center"/>
        <w:rPr>
          <w:rFonts w:hint="eastAsia" w:ascii="宋体" w:hAnsi="宋体"/>
          <w:color w:val="000000" w:themeColor="text1"/>
          <w:sz w:val="28"/>
          <w:szCs w:val="28"/>
          <w:highlight w:val="none"/>
          <w14:textFill>
            <w14:solidFill>
              <w14:schemeClr w14:val="tx1"/>
            </w14:solidFill>
          </w14:textFill>
        </w:rPr>
      </w:pPr>
      <w:r>
        <w:rPr>
          <w:rFonts w:hint="eastAsia" w:ascii="宋体" w:hAnsi="宋体"/>
          <w:color w:val="000000" w:themeColor="text1"/>
          <w:sz w:val="28"/>
          <w:szCs w:val="28"/>
          <w:highlight w:val="none"/>
          <w14:textFill>
            <w14:solidFill>
              <w14:schemeClr w14:val="tx1"/>
            </w14:solidFill>
          </w14:textFill>
        </w:rPr>
        <w:t>年  月  日</w:t>
      </w:r>
    </w:p>
    <w:p w14:paraId="6AF3A408">
      <w:pPr>
        <w:jc w:val="center"/>
        <w:rPr>
          <w:rFonts w:hint="eastAsia" w:ascii="宋体" w:hAnsi="宋体"/>
          <w:color w:val="000000" w:themeColor="text1"/>
          <w:sz w:val="36"/>
          <w:szCs w:val="36"/>
          <w:highlight w:val="none"/>
          <w14:textFill>
            <w14:solidFill>
              <w14:schemeClr w14:val="tx1"/>
            </w14:solidFill>
          </w14:textFill>
        </w:rPr>
      </w:pPr>
      <w:r>
        <w:rPr>
          <w:rFonts w:hint="eastAsia" w:ascii="宋体" w:hAnsi="宋体"/>
          <w:color w:val="000000" w:themeColor="text1"/>
          <w:sz w:val="36"/>
          <w:szCs w:val="36"/>
          <w:highlight w:val="none"/>
          <w14:textFill>
            <w14:solidFill>
              <w14:schemeClr w14:val="tx1"/>
            </w14:solidFill>
          </w14:textFill>
        </w:rPr>
        <w:br w:type="page"/>
      </w:r>
      <w:r>
        <w:rPr>
          <w:rFonts w:hint="eastAsia" w:ascii="宋体" w:hAnsi="宋体"/>
          <w:color w:val="000000" w:themeColor="text1"/>
          <w:sz w:val="36"/>
          <w:szCs w:val="36"/>
          <w:highlight w:val="none"/>
          <w14:textFill>
            <w14:solidFill>
              <w14:schemeClr w14:val="tx1"/>
            </w14:solidFill>
          </w14:textFill>
        </w:rPr>
        <w:t>目    录</w:t>
      </w:r>
    </w:p>
    <w:p w14:paraId="4AD8D021">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一.投标函</w:t>
      </w:r>
    </w:p>
    <w:p w14:paraId="131C9269">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二.投标报价一览表</w:t>
      </w:r>
    </w:p>
    <w:p w14:paraId="6D425EE2">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三.分项报价表</w:t>
      </w:r>
    </w:p>
    <w:p w14:paraId="0D7961C2">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四.偏离表</w:t>
      </w:r>
    </w:p>
    <w:p w14:paraId="78E5CE20">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五.法定代表人身份证明及授权委托书</w:t>
      </w:r>
    </w:p>
    <w:p w14:paraId="6DD3210C">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六.服务承诺书</w:t>
      </w:r>
    </w:p>
    <w:p w14:paraId="48709FBC">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七.投标承诺书</w:t>
      </w:r>
    </w:p>
    <w:p w14:paraId="11B21F2E">
      <w:pPr>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八.资格审查资料</w:t>
      </w:r>
    </w:p>
    <w:p w14:paraId="44FD4D07">
      <w:pPr>
        <w:spacing w:line="440" w:lineRule="exact"/>
        <w:ind w:firstLine="600" w:firstLineChars="200"/>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t>九.</w:t>
      </w:r>
      <w:r>
        <w:rPr>
          <w:rFonts w:hint="eastAsia" w:ascii="宋体" w:hAnsi="宋体"/>
          <w:color w:val="000000" w:themeColor="text1"/>
          <w:sz w:val="30"/>
          <w:szCs w:val="30"/>
          <w:highlight w:val="none"/>
          <w:lang w:eastAsia="zh-CN"/>
          <w14:textFill>
            <w14:solidFill>
              <w14:schemeClr w14:val="tx1"/>
            </w14:solidFill>
          </w14:textFill>
        </w:rPr>
        <w:t>供应商</w:t>
      </w:r>
      <w:r>
        <w:rPr>
          <w:rFonts w:hint="eastAsia" w:ascii="宋体" w:hAnsi="宋体"/>
          <w:color w:val="000000" w:themeColor="text1"/>
          <w:sz w:val="30"/>
          <w:szCs w:val="30"/>
          <w:highlight w:val="none"/>
          <w14:textFill>
            <w14:solidFill>
              <w14:schemeClr w14:val="tx1"/>
            </w14:solidFill>
          </w14:textFill>
        </w:rPr>
        <w:t>认为有必要的其它资料</w:t>
      </w:r>
    </w:p>
    <w:p w14:paraId="0E298258">
      <w:pPr>
        <w:ind w:firstLine="600" w:firstLineChars="200"/>
        <w:rPr>
          <w:rFonts w:hint="eastAsia" w:ascii="宋体" w:hAnsi="宋体"/>
          <w:color w:val="000000" w:themeColor="text1"/>
          <w:sz w:val="30"/>
          <w:szCs w:val="30"/>
          <w:highlight w:val="none"/>
          <w14:textFill>
            <w14:solidFill>
              <w14:schemeClr w14:val="tx1"/>
            </w14:solidFill>
          </w14:textFill>
        </w:rPr>
      </w:pPr>
    </w:p>
    <w:p w14:paraId="0BC121BA">
      <w:pPr>
        <w:spacing w:line="440" w:lineRule="exact"/>
        <w:rPr>
          <w:rFonts w:hint="eastAsia" w:ascii="宋体" w:hAnsi="宋体"/>
          <w:color w:val="000000" w:themeColor="text1"/>
          <w:sz w:val="30"/>
          <w:szCs w:val="30"/>
          <w:highlight w:val="none"/>
          <w14:textFill>
            <w14:solidFill>
              <w14:schemeClr w14:val="tx1"/>
            </w14:solidFill>
          </w14:textFill>
        </w:rPr>
      </w:pPr>
    </w:p>
    <w:p w14:paraId="02A5A39E">
      <w:pPr>
        <w:jc w:val="center"/>
        <w:rPr>
          <w:rFonts w:hint="eastAsia" w:ascii="宋体" w:hAnsi="宋体"/>
          <w:b/>
          <w:bCs/>
          <w:color w:val="000000" w:themeColor="text1"/>
          <w:sz w:val="32"/>
          <w:szCs w:val="32"/>
          <w:highlight w:val="none"/>
          <w14:textFill>
            <w14:solidFill>
              <w14:schemeClr w14:val="tx1"/>
            </w14:solidFill>
          </w14:textFill>
        </w:rPr>
      </w:pPr>
    </w:p>
    <w:p w14:paraId="3D560475">
      <w:pPr>
        <w:jc w:val="center"/>
        <w:rPr>
          <w:rFonts w:hint="eastAsia" w:ascii="宋体" w:hAnsi="宋体"/>
          <w:b/>
          <w:bCs/>
          <w:color w:val="000000" w:themeColor="text1"/>
          <w:sz w:val="32"/>
          <w:szCs w:val="32"/>
          <w:highlight w:val="none"/>
          <w14:textFill>
            <w14:solidFill>
              <w14:schemeClr w14:val="tx1"/>
            </w14:solidFill>
          </w14:textFill>
        </w:rPr>
      </w:pPr>
    </w:p>
    <w:p w14:paraId="4D11D97F">
      <w:pPr>
        <w:jc w:val="center"/>
        <w:rPr>
          <w:rFonts w:hint="eastAsia" w:ascii="宋体" w:hAnsi="宋体"/>
          <w:b/>
          <w:bCs/>
          <w:color w:val="000000" w:themeColor="text1"/>
          <w:sz w:val="32"/>
          <w:szCs w:val="32"/>
          <w:highlight w:val="none"/>
          <w14:textFill>
            <w14:solidFill>
              <w14:schemeClr w14:val="tx1"/>
            </w14:solidFill>
          </w14:textFill>
        </w:rPr>
      </w:pPr>
    </w:p>
    <w:p w14:paraId="2E7D1F49">
      <w:pPr>
        <w:jc w:val="center"/>
        <w:rPr>
          <w:rFonts w:hint="eastAsia" w:ascii="宋体" w:hAnsi="宋体"/>
          <w:b/>
          <w:bCs/>
          <w:color w:val="000000" w:themeColor="text1"/>
          <w:sz w:val="32"/>
          <w:szCs w:val="32"/>
          <w:highlight w:val="none"/>
          <w14:textFill>
            <w14:solidFill>
              <w14:schemeClr w14:val="tx1"/>
            </w14:solidFill>
          </w14:textFill>
        </w:rPr>
      </w:pPr>
    </w:p>
    <w:p w14:paraId="3DC1D565">
      <w:pPr>
        <w:jc w:val="center"/>
        <w:rPr>
          <w:rFonts w:hint="eastAsia" w:ascii="宋体" w:hAnsi="宋体"/>
          <w:b/>
          <w:bCs/>
          <w:color w:val="000000" w:themeColor="text1"/>
          <w:sz w:val="32"/>
          <w:szCs w:val="32"/>
          <w:highlight w:val="none"/>
          <w14:textFill>
            <w14:solidFill>
              <w14:schemeClr w14:val="tx1"/>
            </w14:solidFill>
          </w14:textFill>
        </w:rPr>
      </w:pPr>
    </w:p>
    <w:p w14:paraId="727F9592">
      <w:pPr>
        <w:jc w:val="center"/>
        <w:rPr>
          <w:rFonts w:hint="eastAsia" w:ascii="宋体" w:hAnsi="宋体"/>
          <w:b/>
          <w:bCs/>
          <w:color w:val="000000" w:themeColor="text1"/>
          <w:sz w:val="32"/>
          <w:szCs w:val="32"/>
          <w:highlight w:val="none"/>
          <w14:textFill>
            <w14:solidFill>
              <w14:schemeClr w14:val="tx1"/>
            </w14:solidFill>
          </w14:textFill>
        </w:rPr>
      </w:pPr>
    </w:p>
    <w:p w14:paraId="37C52B56">
      <w:pPr>
        <w:jc w:val="center"/>
        <w:rPr>
          <w:rFonts w:hint="eastAsia" w:ascii="宋体" w:hAnsi="宋体"/>
          <w:b/>
          <w:bCs/>
          <w:color w:val="000000" w:themeColor="text1"/>
          <w:sz w:val="32"/>
          <w:szCs w:val="32"/>
          <w:highlight w:val="none"/>
          <w14:textFill>
            <w14:solidFill>
              <w14:schemeClr w14:val="tx1"/>
            </w14:solidFill>
          </w14:textFill>
        </w:rPr>
      </w:pPr>
    </w:p>
    <w:p w14:paraId="01DB89FA">
      <w:pPr>
        <w:jc w:val="center"/>
        <w:rPr>
          <w:rFonts w:hint="eastAsia" w:ascii="宋体" w:hAnsi="宋体"/>
          <w:b/>
          <w:bCs/>
          <w:color w:val="000000" w:themeColor="text1"/>
          <w:sz w:val="32"/>
          <w:szCs w:val="32"/>
          <w:highlight w:val="none"/>
          <w14:textFill>
            <w14:solidFill>
              <w14:schemeClr w14:val="tx1"/>
            </w14:solidFill>
          </w14:textFill>
        </w:rPr>
      </w:pPr>
    </w:p>
    <w:p w14:paraId="760C88CA">
      <w:pPr>
        <w:jc w:val="center"/>
        <w:rPr>
          <w:rFonts w:hint="eastAsia" w:ascii="宋体" w:hAnsi="宋体"/>
          <w:b/>
          <w:bCs/>
          <w:color w:val="000000" w:themeColor="text1"/>
          <w:sz w:val="32"/>
          <w:szCs w:val="32"/>
          <w:highlight w:val="none"/>
          <w14:textFill>
            <w14:solidFill>
              <w14:schemeClr w14:val="tx1"/>
            </w14:solidFill>
          </w14:textFill>
        </w:rPr>
      </w:pPr>
    </w:p>
    <w:p w14:paraId="296DA436">
      <w:pPr>
        <w:rPr>
          <w:rFonts w:hint="eastAsia" w:ascii="宋体" w:hAnsi="宋体"/>
          <w:b/>
          <w:bCs/>
          <w:color w:val="000000" w:themeColor="text1"/>
          <w:sz w:val="32"/>
          <w:szCs w:val="32"/>
          <w:highlight w:val="none"/>
          <w14:textFill>
            <w14:solidFill>
              <w14:schemeClr w14:val="tx1"/>
            </w14:solidFill>
          </w14:textFill>
        </w:rPr>
      </w:pPr>
    </w:p>
    <w:p w14:paraId="39CDB86A">
      <w:pPr>
        <w:snapToGrid w:val="0"/>
        <w:jc w:val="center"/>
        <w:outlineLvl w:val="1"/>
        <w:rPr>
          <w:rFonts w:hint="eastAsia" w:ascii="宋体" w:hAnsi="宋体"/>
          <w:b/>
          <w:bCs/>
          <w:color w:val="000000" w:themeColor="text1"/>
          <w:sz w:val="32"/>
          <w:szCs w:val="32"/>
          <w:highlight w:val="none"/>
          <w14:textFill>
            <w14:solidFill>
              <w14:schemeClr w14:val="tx1"/>
            </w14:solidFill>
          </w14:textFill>
        </w:rPr>
      </w:pPr>
      <w:bookmarkStart w:id="123" w:name="_Toc1281"/>
      <w:bookmarkEnd w:id="123"/>
      <w:bookmarkStart w:id="124" w:name="_Toc5955"/>
      <w:bookmarkStart w:id="125" w:name="_Toc17855"/>
      <w:r>
        <w:rPr>
          <w:rFonts w:hint="eastAsia" w:ascii="宋体" w:hAnsi="宋体"/>
          <w:b/>
          <w:bCs/>
          <w:color w:val="000000" w:themeColor="text1"/>
          <w:sz w:val="32"/>
          <w:szCs w:val="32"/>
          <w:highlight w:val="none"/>
          <w14:textFill>
            <w14:solidFill>
              <w14:schemeClr w14:val="tx1"/>
            </w14:solidFill>
          </w14:textFill>
        </w:rPr>
        <w:t>一．投标函</w:t>
      </w:r>
      <w:bookmarkEnd w:id="124"/>
      <w:bookmarkEnd w:id="125"/>
    </w:p>
    <w:p w14:paraId="10975F91">
      <w:pPr>
        <w:spacing w:line="420" w:lineRule="exact"/>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致：</w:t>
      </w:r>
      <w:r>
        <w:rPr>
          <w:rFonts w:hint="eastAsia" w:ascii="宋体" w:hAnsi="宋体"/>
          <w:b/>
          <w:bCs/>
          <w:color w:val="000000" w:themeColor="text1"/>
          <w:sz w:val="24"/>
          <w:szCs w:val="24"/>
          <w:highlight w:val="none"/>
          <w:lang w:eastAsia="zh-CN"/>
          <w14:textFill>
            <w14:solidFill>
              <w14:schemeClr w14:val="tx1"/>
            </w14:solidFill>
          </w14:textFill>
        </w:rPr>
        <w:t>河南质量工程职业学院</w:t>
      </w:r>
      <w:r>
        <w:rPr>
          <w:rFonts w:hint="eastAsia" w:ascii="宋体" w:hAnsi="宋体"/>
          <w:b/>
          <w:bCs/>
          <w:color w:val="000000" w:themeColor="text1"/>
          <w:sz w:val="24"/>
          <w:szCs w:val="24"/>
          <w:highlight w:val="none"/>
          <w14:textFill>
            <w14:solidFill>
              <w14:schemeClr w14:val="tx1"/>
            </w14:solidFill>
          </w14:textFill>
        </w:rPr>
        <w:t>：</w:t>
      </w:r>
    </w:p>
    <w:p w14:paraId="55C30595">
      <w:pPr>
        <w:pStyle w:val="98"/>
        <w:snapToGrid w:val="0"/>
        <w:spacing w:line="40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我方已仔细研究</w:t>
      </w:r>
      <w:r>
        <w:rPr>
          <w:rFonts w:hint="eastAsia" w:ascii="宋体" w:hAnsi="宋体"/>
          <w:color w:val="000000" w:themeColor="text1"/>
          <w:sz w:val="24"/>
          <w:szCs w:val="24"/>
          <w:highlight w:val="none"/>
          <w:u w:val="single"/>
          <w14:textFill>
            <w14:solidFill>
              <w14:schemeClr w14:val="tx1"/>
            </w14:solidFill>
          </w14:textFill>
        </w:rPr>
        <w:t xml:space="preserve">  （项目名称）  </w:t>
      </w:r>
      <w:r>
        <w:rPr>
          <w:rFonts w:hint="eastAsia" w:ascii="宋体" w:hAnsi="宋体"/>
          <w:color w:val="000000" w:themeColor="text1"/>
          <w:sz w:val="24"/>
          <w:szCs w:val="24"/>
          <w:highlight w:val="none"/>
          <w14:textFill>
            <w14:solidFill>
              <w14:schemeClr w14:val="tx1"/>
            </w14:solidFill>
          </w14:textFill>
        </w:rPr>
        <w:t>招标文件的全部内容。综合项目实际情况并研究该项目招标文件的内容后，针对该项目，我方愿意以大写</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，小写</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元的投标报价，按招标文件要求供货并安装。签字代表</w:t>
      </w:r>
      <w:r>
        <w:rPr>
          <w:rFonts w:hint="eastAsia" w:ascii="宋体" w:hAnsi="宋体"/>
          <w:color w:val="000000" w:themeColor="text1"/>
          <w:sz w:val="24"/>
          <w:szCs w:val="24"/>
          <w:highlight w:val="none"/>
          <w:u w:val="single"/>
          <w14:textFill>
            <w14:solidFill>
              <w14:schemeClr w14:val="tx1"/>
            </w14:solidFill>
          </w14:textFill>
        </w:rPr>
        <w:t xml:space="preserve"> （姓名）</w:t>
      </w:r>
      <w:r>
        <w:rPr>
          <w:rFonts w:hint="eastAsia" w:ascii="宋体" w:hAnsi="宋体"/>
          <w:color w:val="000000" w:themeColor="text1"/>
          <w:sz w:val="24"/>
          <w:szCs w:val="24"/>
          <w:highlight w:val="none"/>
          <w14:textFill>
            <w14:solidFill>
              <w14:schemeClr w14:val="tx1"/>
            </w14:solidFill>
          </w14:textFill>
        </w:rPr>
        <w:t>经正式授权并代表</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u w:val="single"/>
          <w:lang w:eastAsia="zh-CN"/>
          <w14:textFill>
            <w14:solidFill>
              <w14:schemeClr w14:val="tx1"/>
            </w14:solidFill>
          </w14:textFill>
        </w:rPr>
        <w:t>供应商</w:t>
      </w:r>
      <w:r>
        <w:rPr>
          <w:rFonts w:hint="eastAsia" w:ascii="宋体" w:hAnsi="宋体"/>
          <w:color w:val="000000" w:themeColor="text1"/>
          <w:sz w:val="24"/>
          <w:szCs w:val="24"/>
          <w:highlight w:val="none"/>
          <w:u w:val="single"/>
          <w14:textFill>
            <w14:solidFill>
              <w14:schemeClr w14:val="tx1"/>
            </w14:solidFill>
          </w14:textFill>
        </w:rPr>
        <w:t xml:space="preserve">名称） </w:t>
      </w:r>
      <w:r>
        <w:rPr>
          <w:rFonts w:hint="eastAsia" w:ascii="宋体" w:hAnsi="宋体"/>
          <w:color w:val="000000" w:themeColor="text1"/>
          <w:sz w:val="24"/>
          <w:szCs w:val="24"/>
          <w:highlight w:val="none"/>
          <w14:textFill>
            <w14:solidFill>
              <w14:schemeClr w14:val="tx1"/>
            </w14:solidFill>
          </w14:textFill>
        </w:rPr>
        <w:t>提交招标文件要求的全套投标文件，包括：</w:t>
      </w:r>
    </w:p>
    <w:p w14:paraId="4F29F72E">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 招标文件 “投标文件及格式”中要求的投标文件；</w:t>
      </w:r>
    </w:p>
    <w:p w14:paraId="56B8D7CB">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 其他资料。</w:t>
      </w:r>
    </w:p>
    <w:p w14:paraId="1DF9ED46">
      <w:pPr>
        <w:pStyle w:val="102"/>
        <w:spacing w:line="420" w:lineRule="exact"/>
        <w:ind w:firstLine="48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据此函，签字人宣布同意如下：</w:t>
      </w:r>
    </w:p>
    <w:p w14:paraId="5E377686">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 我方将按招标文件的规定履行合同责任和义务。</w:t>
      </w:r>
    </w:p>
    <w:p w14:paraId="2D90B237">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 我方已详细审查全部招标文件，包括修改文件（如有）及全部参考资料和附件。我们完全理解并同意放弃对这方面有不明及误解的权力。</w:t>
      </w:r>
    </w:p>
    <w:p w14:paraId="544B2ABC">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 我方同意所提交的投标文件在招标文件的供应商须知规定的投标有效期内有效并在此期间接受约束。</w:t>
      </w:r>
    </w:p>
    <w:p w14:paraId="5F244DC3">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 我方同意提供按照贵方可能要求的与其投标有关的一切数据或资料，完全理解贵方不一定接受最低投标报价的投标或收到的任何投标。</w:t>
      </w:r>
    </w:p>
    <w:p w14:paraId="337DE3FF">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 一旦我方中标，我们将根据招标文件的规定，严格按照《中华人民共和国</w:t>
      </w:r>
      <w:r>
        <w:rPr>
          <w:rFonts w:hint="eastAsia" w:ascii="宋体" w:hAnsi="宋体"/>
          <w:color w:val="000000" w:themeColor="text1"/>
          <w:sz w:val="24"/>
          <w:highlight w:val="none"/>
          <w:lang w:eastAsia="zh-CN"/>
          <w14:textFill>
            <w14:solidFill>
              <w14:schemeClr w14:val="tx1"/>
            </w14:solidFill>
          </w14:textFill>
        </w:rPr>
        <w:t>民法典</w:t>
      </w:r>
      <w:r>
        <w:rPr>
          <w:rFonts w:hint="eastAsia" w:ascii="宋体" w:hAnsi="宋体"/>
          <w:color w:val="000000" w:themeColor="text1"/>
          <w:sz w:val="24"/>
          <w:highlight w:val="none"/>
          <w14:textFill>
            <w14:solidFill>
              <w14:schemeClr w14:val="tx1"/>
            </w14:solidFill>
          </w14:textFill>
        </w:rPr>
        <w:t>》履行自己的责任和义务,并保证于投标报价表中规定的时间交货，交付使用、验收。</w:t>
      </w:r>
    </w:p>
    <w:p w14:paraId="2096E323">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 我方若获得中标，保证按有关规定向代理公司支付中标服务费。</w:t>
      </w:r>
    </w:p>
    <w:p w14:paraId="42C2003E">
      <w:pPr>
        <w:spacing w:line="42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 其他补充说明：</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w:t>
      </w:r>
    </w:p>
    <w:p w14:paraId="046CB24C">
      <w:pPr>
        <w:tabs>
          <w:tab w:val="left" w:pos="6633"/>
        </w:tabs>
        <w:snapToGrid w:val="0"/>
        <w:spacing w:line="400" w:lineRule="exact"/>
        <w:jc w:val="left"/>
        <w:rPr>
          <w:rFonts w:hint="eastAsia" w:ascii="宋体" w:hAnsi="宋体"/>
          <w:color w:val="000000" w:themeColor="text1"/>
          <w:sz w:val="24"/>
          <w:szCs w:val="24"/>
          <w:highlight w:val="none"/>
          <w14:textFill>
            <w14:solidFill>
              <w14:schemeClr w14:val="tx1"/>
            </w14:solidFill>
          </w14:textFill>
        </w:rPr>
      </w:pPr>
    </w:p>
    <w:p w14:paraId="08EAC7A7">
      <w:pPr>
        <w:tabs>
          <w:tab w:val="left" w:pos="6633"/>
        </w:tabs>
        <w:snapToGrid w:val="0"/>
        <w:spacing w:line="400" w:lineRule="exact"/>
        <w:jc w:val="left"/>
        <w:rPr>
          <w:rFonts w:hint="eastAsia" w:ascii="宋体" w:hAnsi="宋体"/>
          <w:color w:val="000000" w:themeColor="text1"/>
          <w:sz w:val="24"/>
          <w:szCs w:val="24"/>
          <w:highlight w:val="none"/>
          <w14:textFill>
            <w14:solidFill>
              <w14:schemeClr w14:val="tx1"/>
            </w14:solidFill>
          </w14:textFill>
        </w:rPr>
      </w:pPr>
    </w:p>
    <w:p w14:paraId="6BD27852">
      <w:pPr>
        <w:pStyle w:val="51"/>
        <w:ind w:firstLine="0"/>
        <w:rPr>
          <w:rFonts w:hint="eastAsia" w:ascii="宋体" w:hAnsi="宋体"/>
          <w:color w:val="000000" w:themeColor="text1"/>
          <w:highlight w:val="none"/>
          <w14:textFill>
            <w14:solidFill>
              <w14:schemeClr w14:val="tx1"/>
            </w14:solidFill>
          </w14:textFill>
        </w:rPr>
      </w:pPr>
    </w:p>
    <w:p w14:paraId="29428B80">
      <w:pPr>
        <w:tabs>
          <w:tab w:val="left" w:pos="6633"/>
        </w:tabs>
        <w:snapToGrid w:val="0"/>
        <w:spacing w:line="400" w:lineRule="exact"/>
        <w:jc w:val="left"/>
        <w:rPr>
          <w:rFonts w:hint="eastAsia" w:ascii="宋体" w:hAnsi="宋体"/>
          <w:color w:val="000000" w:themeColor="text1"/>
          <w:sz w:val="24"/>
          <w:szCs w:val="24"/>
          <w:highlight w:val="none"/>
          <w14:textFill>
            <w14:solidFill>
              <w14:schemeClr w14:val="tx1"/>
            </w14:solidFill>
          </w14:textFill>
        </w:rPr>
      </w:pPr>
    </w:p>
    <w:p w14:paraId="1ED67AC3">
      <w:pPr>
        <w:tabs>
          <w:tab w:val="left" w:pos="6633"/>
        </w:tabs>
        <w:snapToGrid w:val="0"/>
        <w:spacing w:line="400" w:lineRule="exact"/>
        <w:jc w:val="left"/>
        <w:rPr>
          <w:rFonts w:hint="eastAsia" w:ascii="宋体" w:hAnsi="宋体"/>
          <w:color w:val="000000" w:themeColor="text1"/>
          <w:sz w:val="24"/>
          <w:szCs w:val="24"/>
          <w:highlight w:val="none"/>
          <w14:textFill>
            <w14:solidFill>
              <w14:schemeClr w14:val="tx1"/>
            </w14:solidFill>
          </w14:textFill>
        </w:rPr>
      </w:pPr>
    </w:p>
    <w:p w14:paraId="5E4342B4">
      <w:pPr>
        <w:tabs>
          <w:tab w:val="left" w:pos="6633"/>
        </w:tabs>
        <w:spacing w:line="440" w:lineRule="exact"/>
        <w:ind w:firstLine="2880" w:firstLineChars="1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6DDC89D6">
      <w:pPr>
        <w:tabs>
          <w:tab w:val="left" w:pos="6633"/>
        </w:tabs>
        <w:snapToGrid w:val="0"/>
        <w:spacing w:line="400" w:lineRule="exact"/>
        <w:jc w:val="left"/>
        <w:rPr>
          <w:rFonts w:hint="eastAsia" w:ascii="宋体" w:hAnsi="宋体"/>
          <w:color w:val="000000" w:themeColor="text1"/>
          <w:sz w:val="24"/>
          <w:szCs w:val="24"/>
          <w:highlight w:val="none"/>
          <w14:textFill>
            <w14:solidFill>
              <w14:schemeClr w14:val="tx1"/>
            </w14:solidFill>
          </w14:textFill>
        </w:rPr>
      </w:pPr>
    </w:p>
    <w:p w14:paraId="65B91D56">
      <w:pPr>
        <w:pStyle w:val="67"/>
        <w:ind w:firstLine="240"/>
        <w:rPr>
          <w:rFonts w:hint="eastAsia" w:ascii="宋体" w:hAnsi="宋体"/>
          <w:color w:val="000000" w:themeColor="text1"/>
          <w:sz w:val="24"/>
          <w:szCs w:val="24"/>
          <w:highlight w:val="none"/>
          <w14:textFill>
            <w14:solidFill>
              <w14:schemeClr w14:val="tx1"/>
            </w14:solidFill>
          </w14:textFill>
        </w:rPr>
      </w:pPr>
    </w:p>
    <w:p w14:paraId="28EBF26F">
      <w:pPr>
        <w:pStyle w:val="67"/>
        <w:ind w:firstLine="210"/>
        <w:rPr>
          <w:rFonts w:hint="eastAsia" w:ascii="宋体" w:hAnsi="宋体"/>
          <w:color w:val="000000" w:themeColor="text1"/>
          <w:highlight w:val="none"/>
          <w14:textFill>
            <w14:solidFill>
              <w14:schemeClr w14:val="tx1"/>
            </w14:solidFill>
          </w14:textFill>
        </w:rPr>
      </w:pPr>
    </w:p>
    <w:p w14:paraId="4E4C411E">
      <w:pPr>
        <w:pStyle w:val="67"/>
        <w:ind w:firstLine="210"/>
        <w:rPr>
          <w:rFonts w:hint="eastAsia" w:ascii="宋体" w:hAnsi="宋体"/>
          <w:color w:val="000000" w:themeColor="text1"/>
          <w:highlight w:val="none"/>
          <w14:textFill>
            <w14:solidFill>
              <w14:schemeClr w14:val="tx1"/>
            </w14:solidFill>
          </w14:textFill>
        </w:rPr>
      </w:pPr>
    </w:p>
    <w:p w14:paraId="583957C7">
      <w:pPr>
        <w:rPr>
          <w:color w:val="000000" w:themeColor="text1"/>
          <w:highlight w:val="none"/>
          <w14:textFill>
            <w14:solidFill>
              <w14:schemeClr w14:val="tx1"/>
            </w14:solidFill>
          </w14:textFill>
        </w:rPr>
      </w:pPr>
    </w:p>
    <w:p w14:paraId="58941173">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26" w:name="_Toc6618"/>
      <w:bookmarkEnd w:id="126"/>
      <w:bookmarkStart w:id="127" w:name="_Toc28865"/>
      <w:bookmarkStart w:id="128" w:name="_Toc3053"/>
      <w:r>
        <w:rPr>
          <w:rFonts w:hint="eastAsia" w:ascii="宋体" w:hAnsi="宋体"/>
          <w:b/>
          <w:bCs/>
          <w:color w:val="000000" w:themeColor="text1"/>
          <w:sz w:val="32"/>
          <w:szCs w:val="32"/>
          <w:highlight w:val="none"/>
          <w14:textFill>
            <w14:solidFill>
              <w14:schemeClr w14:val="tx1"/>
            </w14:solidFill>
          </w14:textFill>
        </w:rPr>
        <w:t>二．投标报价一览表</w:t>
      </w:r>
      <w:bookmarkEnd w:id="127"/>
      <w:bookmarkEnd w:id="128"/>
    </w:p>
    <w:tbl>
      <w:tblPr>
        <w:tblStyle w:val="1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479"/>
        <w:gridCol w:w="6301"/>
      </w:tblGrid>
      <w:tr w14:paraId="26E589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53" w:hRule="atLeast"/>
          <w:jc w:val="center"/>
        </w:trPr>
        <w:tc>
          <w:tcPr>
            <w:tcW w:w="2479" w:type="dxa"/>
            <w:vAlign w:val="center"/>
          </w:tcPr>
          <w:p w14:paraId="15EF3C63">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投标单位名称</w:t>
            </w:r>
          </w:p>
        </w:tc>
        <w:tc>
          <w:tcPr>
            <w:tcW w:w="6301" w:type="dxa"/>
            <w:vAlign w:val="center"/>
          </w:tcPr>
          <w:p w14:paraId="0201905A">
            <w:pPr>
              <w:spacing w:line="400" w:lineRule="exact"/>
              <w:jc w:val="center"/>
              <w:rPr>
                <w:rFonts w:hint="eastAsia" w:ascii="宋体" w:hAnsi="宋体"/>
                <w:color w:val="000000" w:themeColor="text1"/>
                <w:highlight w:val="none"/>
                <w14:textFill>
                  <w14:solidFill>
                    <w14:schemeClr w14:val="tx1"/>
                  </w14:solidFill>
                </w14:textFill>
              </w:rPr>
            </w:pPr>
          </w:p>
        </w:tc>
      </w:tr>
      <w:tr w14:paraId="554F95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1" w:hRule="atLeast"/>
          <w:jc w:val="center"/>
        </w:trPr>
        <w:tc>
          <w:tcPr>
            <w:tcW w:w="2479" w:type="dxa"/>
            <w:vAlign w:val="center"/>
          </w:tcPr>
          <w:p w14:paraId="33FF945E">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项目名称</w:t>
            </w:r>
          </w:p>
        </w:tc>
        <w:tc>
          <w:tcPr>
            <w:tcW w:w="6301" w:type="dxa"/>
            <w:vAlign w:val="center"/>
          </w:tcPr>
          <w:p w14:paraId="3C5D6201">
            <w:pPr>
              <w:spacing w:line="400" w:lineRule="exact"/>
              <w:jc w:val="center"/>
              <w:rPr>
                <w:rFonts w:hint="eastAsia" w:ascii="宋体" w:hAnsi="宋体"/>
                <w:color w:val="000000" w:themeColor="text1"/>
                <w:highlight w:val="none"/>
                <w14:textFill>
                  <w14:solidFill>
                    <w14:schemeClr w14:val="tx1"/>
                  </w14:solidFill>
                </w14:textFill>
              </w:rPr>
            </w:pPr>
          </w:p>
        </w:tc>
      </w:tr>
      <w:tr w14:paraId="26C7AE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39" w:hRule="atLeast"/>
          <w:jc w:val="center"/>
        </w:trPr>
        <w:tc>
          <w:tcPr>
            <w:tcW w:w="2479" w:type="dxa"/>
            <w:vAlign w:val="center"/>
          </w:tcPr>
          <w:p w14:paraId="7D0C61C4">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投标报价</w:t>
            </w:r>
          </w:p>
        </w:tc>
        <w:tc>
          <w:tcPr>
            <w:tcW w:w="6301" w:type="dxa"/>
            <w:vAlign w:val="center"/>
          </w:tcPr>
          <w:p w14:paraId="3756AD1C">
            <w:pPr>
              <w:spacing w:line="400" w:lineRule="exact"/>
              <w:ind w:firstLine="1995" w:firstLineChars="95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大写</w:t>
            </w:r>
            <w:r>
              <w:rPr>
                <w:rFonts w:hint="eastAsia" w:ascii="宋体" w:hAnsi="宋体"/>
                <w:color w:val="000000" w:themeColor="text1"/>
                <w:highlight w:val="none"/>
                <w:u w:val="single"/>
                <w14:textFill>
                  <w14:solidFill>
                    <w14:schemeClr w14:val="tx1"/>
                  </w14:solidFill>
                </w14:textFill>
              </w:rPr>
              <w:t xml:space="preserve">              </w:t>
            </w:r>
          </w:p>
          <w:p w14:paraId="13E8CE68">
            <w:pPr>
              <w:spacing w:line="400" w:lineRule="exact"/>
              <w:ind w:firstLine="1995" w:firstLineChars="95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小写</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元</w:t>
            </w:r>
          </w:p>
        </w:tc>
      </w:tr>
      <w:tr w14:paraId="06E8D6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3" w:hRule="atLeast"/>
          <w:jc w:val="center"/>
        </w:trPr>
        <w:tc>
          <w:tcPr>
            <w:tcW w:w="2479" w:type="dxa"/>
            <w:vAlign w:val="center"/>
          </w:tcPr>
          <w:p w14:paraId="52B85937">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交货及安装周期</w:t>
            </w:r>
          </w:p>
        </w:tc>
        <w:tc>
          <w:tcPr>
            <w:tcW w:w="6301" w:type="dxa"/>
            <w:vAlign w:val="center"/>
          </w:tcPr>
          <w:p w14:paraId="682567A7">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合同签订之日起</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日历天内安装调试完毕、交付使用</w:t>
            </w:r>
          </w:p>
        </w:tc>
      </w:tr>
      <w:tr w14:paraId="403AF9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1" w:hRule="atLeast"/>
          <w:jc w:val="center"/>
        </w:trPr>
        <w:tc>
          <w:tcPr>
            <w:tcW w:w="2479" w:type="dxa"/>
            <w:vAlign w:val="center"/>
          </w:tcPr>
          <w:p w14:paraId="29666B48">
            <w:pPr>
              <w:pStyle w:val="67"/>
              <w:spacing w:after="0" w:line="400" w:lineRule="exact"/>
              <w:ind w:firstLine="0" w:firstLineChars="0"/>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质量要求</w:t>
            </w:r>
          </w:p>
        </w:tc>
        <w:tc>
          <w:tcPr>
            <w:tcW w:w="6301" w:type="dxa"/>
            <w:vAlign w:val="center"/>
          </w:tcPr>
          <w:p w14:paraId="2251DF48">
            <w:pPr>
              <w:spacing w:line="400" w:lineRule="exact"/>
              <w:jc w:val="center"/>
              <w:rPr>
                <w:rFonts w:hint="eastAsia" w:ascii="宋体" w:hAnsi="宋体"/>
                <w:color w:val="000000" w:themeColor="text1"/>
                <w:highlight w:val="none"/>
                <w14:textFill>
                  <w14:solidFill>
                    <w14:schemeClr w14:val="tx1"/>
                  </w14:solidFill>
                </w14:textFill>
              </w:rPr>
            </w:pPr>
          </w:p>
        </w:tc>
      </w:tr>
      <w:tr w14:paraId="2522D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1" w:hRule="atLeast"/>
          <w:jc w:val="center"/>
        </w:trPr>
        <w:tc>
          <w:tcPr>
            <w:tcW w:w="2479" w:type="dxa"/>
            <w:vAlign w:val="center"/>
          </w:tcPr>
          <w:p w14:paraId="095F3071">
            <w:pPr>
              <w:pStyle w:val="67"/>
              <w:spacing w:after="0" w:line="400" w:lineRule="exact"/>
              <w:ind w:firstLine="0" w:firstLineChars="0"/>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质保期</w:t>
            </w:r>
          </w:p>
        </w:tc>
        <w:tc>
          <w:tcPr>
            <w:tcW w:w="6301" w:type="dxa"/>
            <w:vAlign w:val="center"/>
          </w:tcPr>
          <w:p w14:paraId="4E0C26E0">
            <w:pPr>
              <w:spacing w:line="400" w:lineRule="exact"/>
              <w:jc w:val="center"/>
              <w:rPr>
                <w:rFonts w:hint="eastAsia" w:ascii="宋体" w:hAnsi="宋体"/>
                <w:color w:val="000000" w:themeColor="text1"/>
                <w:highlight w:val="none"/>
                <w14:textFill>
                  <w14:solidFill>
                    <w14:schemeClr w14:val="tx1"/>
                  </w14:solidFill>
                </w14:textFill>
              </w:rPr>
            </w:pPr>
          </w:p>
        </w:tc>
      </w:tr>
      <w:tr w14:paraId="48E89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71" w:hRule="atLeast"/>
          <w:jc w:val="center"/>
        </w:trPr>
        <w:tc>
          <w:tcPr>
            <w:tcW w:w="2479" w:type="dxa"/>
            <w:vAlign w:val="center"/>
          </w:tcPr>
          <w:p w14:paraId="3851E47A">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投标有效期</w:t>
            </w:r>
          </w:p>
        </w:tc>
        <w:tc>
          <w:tcPr>
            <w:tcW w:w="6301" w:type="dxa"/>
            <w:vAlign w:val="center"/>
          </w:tcPr>
          <w:p w14:paraId="0D5A2675">
            <w:pPr>
              <w:spacing w:line="400" w:lineRule="exact"/>
              <w:jc w:val="center"/>
              <w:rPr>
                <w:rFonts w:hint="eastAsia" w:ascii="宋体" w:hAnsi="宋体"/>
                <w:color w:val="000000" w:themeColor="text1"/>
                <w:highlight w:val="none"/>
                <w14:textFill>
                  <w14:solidFill>
                    <w14:schemeClr w14:val="tx1"/>
                  </w14:solidFill>
                </w14:textFill>
              </w:rPr>
            </w:pPr>
          </w:p>
        </w:tc>
      </w:tr>
      <w:tr w14:paraId="11BD53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94" w:hRule="atLeast"/>
          <w:jc w:val="center"/>
        </w:trPr>
        <w:tc>
          <w:tcPr>
            <w:tcW w:w="2479" w:type="dxa"/>
            <w:vAlign w:val="center"/>
          </w:tcPr>
          <w:p w14:paraId="10EDBF04">
            <w:pPr>
              <w:spacing w:line="400" w:lineRule="exact"/>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其它说明</w:t>
            </w:r>
          </w:p>
        </w:tc>
        <w:tc>
          <w:tcPr>
            <w:tcW w:w="6301" w:type="dxa"/>
            <w:vAlign w:val="center"/>
          </w:tcPr>
          <w:p w14:paraId="744A1614">
            <w:pPr>
              <w:spacing w:line="400" w:lineRule="exact"/>
              <w:jc w:val="center"/>
              <w:rPr>
                <w:rFonts w:hint="eastAsia" w:ascii="宋体" w:hAnsi="宋体"/>
                <w:color w:val="000000" w:themeColor="text1"/>
                <w:highlight w:val="none"/>
                <w14:textFill>
                  <w14:solidFill>
                    <w14:schemeClr w14:val="tx1"/>
                  </w14:solidFill>
                </w14:textFill>
              </w:rPr>
            </w:pPr>
          </w:p>
        </w:tc>
      </w:tr>
    </w:tbl>
    <w:p w14:paraId="073BE661">
      <w:pPr>
        <w:rPr>
          <w:rFonts w:hint="eastAsia" w:ascii="宋体" w:hAnsi="宋体"/>
          <w:color w:val="000000" w:themeColor="text1"/>
          <w:sz w:val="24"/>
          <w:szCs w:val="24"/>
          <w:highlight w:val="none"/>
          <w14:textFill>
            <w14:solidFill>
              <w14:schemeClr w14:val="tx1"/>
            </w14:solidFill>
          </w14:textFill>
        </w:rPr>
      </w:pPr>
    </w:p>
    <w:p w14:paraId="4BDE2877">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4DF9E765">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7339711A">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7E95EB9C">
      <w:pPr>
        <w:rPr>
          <w:rFonts w:hint="eastAsia" w:ascii="宋体" w:hAnsi="宋体"/>
          <w:color w:val="000000" w:themeColor="text1"/>
          <w:sz w:val="24"/>
          <w:szCs w:val="24"/>
          <w:highlight w:val="none"/>
          <w14:textFill>
            <w14:solidFill>
              <w14:schemeClr w14:val="tx1"/>
            </w14:solidFill>
          </w14:textFill>
        </w:rPr>
      </w:pPr>
    </w:p>
    <w:p w14:paraId="5E9C7743">
      <w:pPr>
        <w:tabs>
          <w:tab w:val="left" w:pos="618"/>
        </w:tabs>
        <w:spacing w:line="440" w:lineRule="exact"/>
        <w:ind w:firstLine="480" w:firstLineChars="200"/>
        <w:rPr>
          <w:rFonts w:hint="eastAsia" w:ascii="宋体" w:hAnsi="宋体"/>
          <w:color w:val="000000" w:themeColor="text1"/>
          <w:sz w:val="24"/>
          <w:highlight w:val="none"/>
          <w14:textFill>
            <w14:solidFill>
              <w14:schemeClr w14:val="tx1"/>
            </w14:solidFill>
          </w14:textFill>
        </w:rPr>
      </w:pPr>
    </w:p>
    <w:p w14:paraId="4984509B">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29" w:name="_Toc676"/>
      <w:bookmarkEnd w:id="129"/>
      <w:r>
        <w:rPr>
          <w:rFonts w:hint="eastAsia" w:ascii="宋体" w:hAnsi="宋体"/>
          <w:b/>
          <w:bCs/>
          <w:color w:val="000000" w:themeColor="text1"/>
          <w:sz w:val="32"/>
          <w:szCs w:val="32"/>
          <w:highlight w:val="none"/>
          <w14:textFill>
            <w14:solidFill>
              <w14:schemeClr w14:val="tx1"/>
            </w14:solidFill>
          </w14:textFill>
        </w:rPr>
        <w:br w:type="page"/>
      </w:r>
      <w:bookmarkStart w:id="130" w:name="_Toc29367"/>
      <w:bookmarkStart w:id="131" w:name="_Toc13631"/>
      <w:r>
        <w:rPr>
          <w:rFonts w:hint="eastAsia" w:ascii="宋体" w:hAnsi="宋体"/>
          <w:b/>
          <w:bCs/>
          <w:color w:val="000000" w:themeColor="text1"/>
          <w:sz w:val="32"/>
          <w:szCs w:val="32"/>
          <w:highlight w:val="none"/>
          <w14:textFill>
            <w14:solidFill>
              <w14:schemeClr w14:val="tx1"/>
            </w14:solidFill>
          </w14:textFill>
        </w:rPr>
        <w:t>三．分项报价表</w:t>
      </w:r>
      <w:bookmarkEnd w:id="130"/>
      <w:bookmarkEnd w:id="131"/>
    </w:p>
    <w:tbl>
      <w:tblPr>
        <w:tblStyle w:val="18"/>
        <w:tblW w:w="0" w:type="auto"/>
        <w:tblInd w:w="-10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
      <w:tblGrid>
        <w:gridCol w:w="881"/>
        <w:gridCol w:w="1408"/>
        <w:gridCol w:w="933"/>
        <w:gridCol w:w="2030"/>
        <w:gridCol w:w="901"/>
        <w:gridCol w:w="975"/>
        <w:gridCol w:w="967"/>
        <w:gridCol w:w="965"/>
      </w:tblGrid>
      <w:tr w14:paraId="6F7033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983" w:hRule="atLeast"/>
        </w:trPr>
        <w:tc>
          <w:tcPr>
            <w:tcW w:w="881" w:type="dxa"/>
            <w:vAlign w:val="center"/>
          </w:tcPr>
          <w:p w14:paraId="7302C3B8">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序号</w:t>
            </w:r>
          </w:p>
        </w:tc>
        <w:tc>
          <w:tcPr>
            <w:tcW w:w="2341" w:type="dxa"/>
            <w:gridSpan w:val="2"/>
            <w:vAlign w:val="center"/>
          </w:tcPr>
          <w:p w14:paraId="5C9DD599">
            <w:pPr>
              <w:snapToGrid w:val="0"/>
              <w:spacing w:line="4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货物名称</w:t>
            </w:r>
          </w:p>
        </w:tc>
        <w:tc>
          <w:tcPr>
            <w:tcW w:w="2030" w:type="dxa"/>
            <w:vAlign w:val="center"/>
          </w:tcPr>
          <w:p w14:paraId="3CC69707">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品牌（厂家）、型号和规格</w:t>
            </w:r>
          </w:p>
        </w:tc>
        <w:tc>
          <w:tcPr>
            <w:tcW w:w="901" w:type="dxa"/>
            <w:vAlign w:val="center"/>
          </w:tcPr>
          <w:p w14:paraId="7F76941B">
            <w:pPr>
              <w:snapToGrid w:val="0"/>
              <w:spacing w:line="4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单位</w:t>
            </w:r>
          </w:p>
        </w:tc>
        <w:tc>
          <w:tcPr>
            <w:tcW w:w="975" w:type="dxa"/>
            <w:vAlign w:val="center"/>
          </w:tcPr>
          <w:p w14:paraId="587D12E8">
            <w:pPr>
              <w:snapToGrid w:val="0"/>
              <w:spacing w:line="4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数量</w:t>
            </w:r>
          </w:p>
        </w:tc>
        <w:tc>
          <w:tcPr>
            <w:tcW w:w="967" w:type="dxa"/>
            <w:vAlign w:val="center"/>
          </w:tcPr>
          <w:p w14:paraId="2757AB98">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单价</w:t>
            </w:r>
          </w:p>
          <w:p w14:paraId="308A7380">
            <w:pPr>
              <w:snapToGrid w:val="0"/>
              <w:spacing w:line="4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（元）</w:t>
            </w:r>
          </w:p>
        </w:tc>
        <w:tc>
          <w:tcPr>
            <w:tcW w:w="965" w:type="dxa"/>
            <w:vAlign w:val="center"/>
          </w:tcPr>
          <w:p w14:paraId="3B4F6189">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合价</w:t>
            </w:r>
          </w:p>
          <w:p w14:paraId="3DD5BF03">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（元）</w:t>
            </w:r>
          </w:p>
        </w:tc>
      </w:tr>
      <w:tr w14:paraId="09D505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1246" w:hRule="atLeast"/>
        </w:trPr>
        <w:tc>
          <w:tcPr>
            <w:tcW w:w="881" w:type="dxa"/>
            <w:vAlign w:val="center"/>
          </w:tcPr>
          <w:p w14:paraId="699719F3">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1</w:t>
            </w:r>
          </w:p>
        </w:tc>
        <w:tc>
          <w:tcPr>
            <w:tcW w:w="2341" w:type="dxa"/>
            <w:gridSpan w:val="2"/>
            <w:vAlign w:val="center"/>
          </w:tcPr>
          <w:p w14:paraId="30480984">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2030" w:type="dxa"/>
            <w:vAlign w:val="center"/>
          </w:tcPr>
          <w:p w14:paraId="40BF37EB">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01" w:type="dxa"/>
            <w:vAlign w:val="center"/>
          </w:tcPr>
          <w:p w14:paraId="516DDBFA">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p w14:paraId="692943B2">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75" w:type="dxa"/>
            <w:vAlign w:val="center"/>
          </w:tcPr>
          <w:p w14:paraId="7ADA4306">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7" w:type="dxa"/>
            <w:vAlign w:val="center"/>
          </w:tcPr>
          <w:p w14:paraId="0D00DFA9">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5" w:type="dxa"/>
            <w:vAlign w:val="center"/>
          </w:tcPr>
          <w:p w14:paraId="020F2977">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r>
      <w:tr w14:paraId="448F38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1246" w:hRule="atLeast"/>
        </w:trPr>
        <w:tc>
          <w:tcPr>
            <w:tcW w:w="881" w:type="dxa"/>
            <w:vAlign w:val="center"/>
          </w:tcPr>
          <w:p w14:paraId="6838EAD7">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2</w:t>
            </w:r>
          </w:p>
        </w:tc>
        <w:tc>
          <w:tcPr>
            <w:tcW w:w="2341" w:type="dxa"/>
            <w:gridSpan w:val="2"/>
            <w:vAlign w:val="center"/>
          </w:tcPr>
          <w:p w14:paraId="7A166AB1">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2030" w:type="dxa"/>
            <w:vAlign w:val="center"/>
          </w:tcPr>
          <w:p w14:paraId="0D19226C">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01" w:type="dxa"/>
            <w:vAlign w:val="center"/>
          </w:tcPr>
          <w:p w14:paraId="2136A9CD">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75" w:type="dxa"/>
            <w:vAlign w:val="center"/>
          </w:tcPr>
          <w:p w14:paraId="068CF7E4">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7" w:type="dxa"/>
            <w:vAlign w:val="center"/>
          </w:tcPr>
          <w:p w14:paraId="4943F6C5">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5" w:type="dxa"/>
            <w:vAlign w:val="center"/>
          </w:tcPr>
          <w:p w14:paraId="51951AAB">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r>
      <w:tr w14:paraId="7A65D0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1246" w:hRule="atLeast"/>
        </w:trPr>
        <w:tc>
          <w:tcPr>
            <w:tcW w:w="881" w:type="dxa"/>
            <w:vAlign w:val="center"/>
          </w:tcPr>
          <w:p w14:paraId="7F332A14">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w:t>
            </w:r>
          </w:p>
        </w:tc>
        <w:tc>
          <w:tcPr>
            <w:tcW w:w="2341" w:type="dxa"/>
            <w:gridSpan w:val="2"/>
            <w:vAlign w:val="center"/>
          </w:tcPr>
          <w:p w14:paraId="35F9193A">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2030" w:type="dxa"/>
            <w:vAlign w:val="center"/>
          </w:tcPr>
          <w:p w14:paraId="07F984A4">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01" w:type="dxa"/>
            <w:vAlign w:val="center"/>
          </w:tcPr>
          <w:p w14:paraId="36557502">
            <w:pPr>
              <w:spacing w:line="300" w:lineRule="exact"/>
              <w:jc w:val="center"/>
              <w:rPr>
                <w:rFonts w:hint="eastAsia" w:ascii="宋体" w:hAnsi="宋体"/>
                <w:color w:val="000000" w:themeColor="text1"/>
                <w:kern w:val="0"/>
                <w:sz w:val="24"/>
                <w:szCs w:val="24"/>
                <w:highlight w:val="none"/>
                <w14:textFill>
                  <w14:solidFill>
                    <w14:schemeClr w14:val="tx1"/>
                  </w14:solidFill>
                </w14:textFill>
              </w:rPr>
            </w:pPr>
          </w:p>
        </w:tc>
        <w:tc>
          <w:tcPr>
            <w:tcW w:w="975" w:type="dxa"/>
            <w:vAlign w:val="center"/>
          </w:tcPr>
          <w:p w14:paraId="6033DBB8">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7" w:type="dxa"/>
            <w:vAlign w:val="center"/>
          </w:tcPr>
          <w:p w14:paraId="736D8081">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5" w:type="dxa"/>
            <w:vAlign w:val="center"/>
          </w:tcPr>
          <w:p w14:paraId="1EBF90DB">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r>
      <w:tr w14:paraId="7DD91C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1325" w:hRule="atLeast"/>
        </w:trPr>
        <w:tc>
          <w:tcPr>
            <w:tcW w:w="2289" w:type="dxa"/>
            <w:gridSpan w:val="2"/>
            <w:vAlign w:val="center"/>
          </w:tcPr>
          <w:p w14:paraId="331C302F">
            <w:pPr>
              <w:snapToGrid w:val="0"/>
              <w:spacing w:line="400" w:lineRule="exact"/>
              <w:jc w:val="center"/>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本表报价合计</w:t>
            </w:r>
          </w:p>
          <w:p w14:paraId="1D9D7DDB">
            <w:pPr>
              <w:snapToGrid w:val="0"/>
              <w:spacing w:line="400" w:lineRule="exact"/>
              <w:jc w:val="center"/>
              <w:rPr>
                <w:rFonts w:hint="eastAsia" w:ascii="宋体" w:hAnsi="宋体"/>
                <w:b/>
                <w:bCs/>
                <w:color w:val="000000" w:themeColor="text1"/>
                <w:kern w:val="0"/>
                <w:sz w:val="24"/>
                <w:szCs w:val="24"/>
                <w:highlight w:val="none"/>
                <w14:textFill>
                  <w14:solidFill>
                    <w14:schemeClr w14:val="tx1"/>
                  </w14:solidFill>
                </w14:textFill>
              </w:rPr>
            </w:pPr>
            <w:r>
              <w:rPr>
                <w:rFonts w:hint="eastAsia" w:ascii="宋体" w:hAnsi="宋体"/>
                <w:b/>
                <w:bCs/>
                <w:color w:val="000000" w:themeColor="text1"/>
                <w:kern w:val="0"/>
                <w:sz w:val="24"/>
                <w:szCs w:val="24"/>
                <w:highlight w:val="none"/>
                <w14:textFill>
                  <w14:solidFill>
                    <w14:schemeClr w14:val="tx1"/>
                  </w14:solidFill>
                </w14:textFill>
              </w:rPr>
              <w:t>（大写）</w:t>
            </w:r>
          </w:p>
        </w:tc>
        <w:tc>
          <w:tcPr>
            <w:tcW w:w="5806" w:type="dxa"/>
            <w:gridSpan w:val="5"/>
            <w:vAlign w:val="center"/>
          </w:tcPr>
          <w:p w14:paraId="7DC57196">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c>
          <w:tcPr>
            <w:tcW w:w="965" w:type="dxa"/>
            <w:vAlign w:val="center"/>
          </w:tcPr>
          <w:p w14:paraId="33FB0EE8">
            <w:pPr>
              <w:snapToGrid w:val="0"/>
              <w:spacing w:line="400" w:lineRule="exact"/>
              <w:jc w:val="center"/>
              <w:rPr>
                <w:rFonts w:hint="eastAsia" w:ascii="宋体" w:hAnsi="宋体"/>
                <w:color w:val="000000" w:themeColor="text1"/>
                <w:sz w:val="24"/>
                <w:szCs w:val="24"/>
                <w:highlight w:val="none"/>
                <w14:textFill>
                  <w14:solidFill>
                    <w14:schemeClr w14:val="tx1"/>
                  </w14:solidFill>
                </w14:textFill>
              </w:rPr>
            </w:pPr>
          </w:p>
        </w:tc>
      </w:tr>
    </w:tbl>
    <w:p w14:paraId="5383703C">
      <w:pPr>
        <w:jc w:val="center"/>
        <w:rPr>
          <w:rFonts w:hint="eastAsia" w:ascii="宋体" w:hAnsi="宋体"/>
          <w:color w:val="000000" w:themeColor="text1"/>
          <w:sz w:val="24"/>
          <w:szCs w:val="24"/>
          <w:highlight w:val="none"/>
          <w14:textFill>
            <w14:solidFill>
              <w14:schemeClr w14:val="tx1"/>
            </w14:solidFill>
          </w14:textFill>
        </w:rPr>
      </w:pPr>
    </w:p>
    <w:p w14:paraId="02DE3296">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0F7695EA">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4B10D037">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6F487E8A">
      <w:pPr>
        <w:rPr>
          <w:rFonts w:hint="eastAsia" w:ascii="宋体" w:hAnsi="宋体"/>
          <w:color w:val="000000" w:themeColor="text1"/>
          <w:sz w:val="24"/>
          <w:szCs w:val="24"/>
          <w:highlight w:val="none"/>
          <w14:textFill>
            <w14:solidFill>
              <w14:schemeClr w14:val="tx1"/>
            </w14:solidFill>
          </w14:textFill>
        </w:rPr>
      </w:pPr>
    </w:p>
    <w:p w14:paraId="1ACFCBBE">
      <w:pPr>
        <w:spacing w:line="360" w:lineRule="auto"/>
        <w:jc w:val="center"/>
        <w:rPr>
          <w:rFonts w:hint="eastAsia" w:ascii="宋体" w:hAnsi="宋体"/>
          <w:color w:val="000000" w:themeColor="text1"/>
          <w:sz w:val="24"/>
          <w:szCs w:val="24"/>
          <w:highlight w:val="none"/>
          <w14:textFill>
            <w14:solidFill>
              <w14:schemeClr w14:val="tx1"/>
            </w14:solidFill>
          </w14:textFill>
        </w:rPr>
      </w:pPr>
    </w:p>
    <w:p w14:paraId="7402BE9C">
      <w:pPr>
        <w:spacing w:line="360" w:lineRule="auto"/>
        <w:jc w:val="center"/>
        <w:rPr>
          <w:rFonts w:hint="eastAsia" w:ascii="宋体" w:hAnsi="宋体"/>
          <w:color w:val="000000" w:themeColor="text1"/>
          <w:sz w:val="24"/>
          <w:szCs w:val="24"/>
          <w:highlight w:val="none"/>
          <w14:textFill>
            <w14:solidFill>
              <w14:schemeClr w14:val="tx1"/>
            </w14:solidFill>
          </w14:textFill>
        </w:rPr>
      </w:pPr>
    </w:p>
    <w:p w14:paraId="35355712">
      <w:pPr>
        <w:spacing w:line="360" w:lineRule="auto"/>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 1.型号和规格必须详细说明。</w:t>
      </w:r>
    </w:p>
    <w:p w14:paraId="528BDC54">
      <w:pPr>
        <w:spacing w:line="360" w:lineRule="auto"/>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2.此表仅为格式示例,不具有约束性,</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可根据需要对表进行扩展或修改。</w:t>
      </w:r>
    </w:p>
    <w:p w14:paraId="578D31E6">
      <w:pPr>
        <w:jc w:val="center"/>
        <w:rPr>
          <w:rFonts w:hint="eastAsia" w:ascii="宋体" w:hAnsi="宋体"/>
          <w:color w:val="000000" w:themeColor="text1"/>
          <w:sz w:val="24"/>
          <w:szCs w:val="24"/>
          <w:highlight w:val="none"/>
          <w14:textFill>
            <w14:solidFill>
              <w14:schemeClr w14:val="tx1"/>
            </w14:solidFill>
          </w14:textFill>
        </w:rPr>
      </w:pPr>
    </w:p>
    <w:p w14:paraId="48F999F4">
      <w:pPr>
        <w:jc w:val="center"/>
        <w:rPr>
          <w:rFonts w:hint="eastAsia" w:ascii="宋体" w:hAnsi="宋体"/>
          <w:color w:val="000000" w:themeColor="text1"/>
          <w:sz w:val="24"/>
          <w:szCs w:val="24"/>
          <w:highlight w:val="none"/>
          <w14:textFill>
            <w14:solidFill>
              <w14:schemeClr w14:val="tx1"/>
            </w14:solidFill>
          </w14:textFill>
        </w:rPr>
      </w:pPr>
    </w:p>
    <w:p w14:paraId="3C3AB3A0">
      <w:pPr>
        <w:jc w:val="center"/>
        <w:rPr>
          <w:rFonts w:hint="eastAsia" w:ascii="宋体" w:hAnsi="宋体"/>
          <w:color w:val="000000" w:themeColor="text1"/>
          <w:sz w:val="24"/>
          <w:szCs w:val="24"/>
          <w:highlight w:val="none"/>
          <w14:textFill>
            <w14:solidFill>
              <w14:schemeClr w14:val="tx1"/>
            </w14:solidFill>
          </w14:textFill>
        </w:rPr>
      </w:pPr>
    </w:p>
    <w:p w14:paraId="2F27931D">
      <w:pPr>
        <w:jc w:val="center"/>
        <w:rPr>
          <w:rFonts w:hint="eastAsia" w:ascii="宋体" w:hAnsi="宋体"/>
          <w:color w:val="000000" w:themeColor="text1"/>
          <w:sz w:val="24"/>
          <w:szCs w:val="24"/>
          <w:highlight w:val="none"/>
          <w14:textFill>
            <w14:solidFill>
              <w14:schemeClr w14:val="tx1"/>
            </w14:solidFill>
          </w14:textFill>
        </w:rPr>
      </w:pPr>
    </w:p>
    <w:p w14:paraId="79BEEB9A">
      <w:pPr>
        <w:jc w:val="center"/>
        <w:rPr>
          <w:rFonts w:hint="eastAsia" w:ascii="宋体" w:hAnsi="宋体"/>
          <w:color w:val="000000" w:themeColor="text1"/>
          <w:sz w:val="24"/>
          <w:szCs w:val="24"/>
          <w:highlight w:val="none"/>
          <w14:textFill>
            <w14:solidFill>
              <w14:schemeClr w14:val="tx1"/>
            </w14:solidFill>
          </w14:textFill>
        </w:rPr>
      </w:pPr>
    </w:p>
    <w:p w14:paraId="70FB8BA8">
      <w:pPr>
        <w:jc w:val="center"/>
        <w:rPr>
          <w:rFonts w:hint="eastAsia" w:ascii="宋体" w:hAnsi="宋体"/>
          <w:color w:val="000000" w:themeColor="text1"/>
          <w:sz w:val="24"/>
          <w:szCs w:val="24"/>
          <w:highlight w:val="none"/>
          <w14:textFill>
            <w14:solidFill>
              <w14:schemeClr w14:val="tx1"/>
            </w14:solidFill>
          </w14:textFill>
        </w:rPr>
      </w:pPr>
    </w:p>
    <w:p w14:paraId="64E4F9B5">
      <w:pPr>
        <w:rPr>
          <w:rFonts w:hint="eastAsia" w:ascii="宋体" w:hAnsi="宋体"/>
          <w:b/>
          <w:bCs/>
          <w:color w:val="000000" w:themeColor="text1"/>
          <w:sz w:val="32"/>
          <w:szCs w:val="32"/>
          <w:highlight w:val="none"/>
          <w14:textFill>
            <w14:solidFill>
              <w14:schemeClr w14:val="tx1"/>
            </w14:solidFill>
          </w14:textFill>
        </w:rPr>
      </w:pPr>
      <w:bookmarkStart w:id="132" w:name="_Toc3446"/>
      <w:bookmarkEnd w:id="132"/>
      <w:bookmarkStart w:id="133" w:name="_Toc27111"/>
      <w:r>
        <w:rPr>
          <w:rFonts w:hint="eastAsia" w:ascii="宋体" w:hAnsi="宋体"/>
          <w:b/>
          <w:bCs/>
          <w:color w:val="000000" w:themeColor="text1"/>
          <w:sz w:val="32"/>
          <w:szCs w:val="32"/>
          <w:highlight w:val="none"/>
          <w14:textFill>
            <w14:solidFill>
              <w14:schemeClr w14:val="tx1"/>
            </w14:solidFill>
          </w14:textFill>
        </w:rPr>
        <w:br w:type="page"/>
      </w:r>
    </w:p>
    <w:p w14:paraId="7E067110">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34" w:name="_Toc17780"/>
      <w:r>
        <w:rPr>
          <w:rFonts w:hint="eastAsia" w:ascii="宋体" w:hAnsi="宋体"/>
          <w:b/>
          <w:bCs/>
          <w:color w:val="000000" w:themeColor="text1"/>
          <w:sz w:val="32"/>
          <w:szCs w:val="32"/>
          <w:highlight w:val="none"/>
          <w14:textFill>
            <w14:solidFill>
              <w14:schemeClr w14:val="tx1"/>
            </w14:solidFill>
          </w14:textFill>
        </w:rPr>
        <w:t>四．偏离表</w:t>
      </w:r>
      <w:bookmarkEnd w:id="133"/>
      <w:bookmarkEnd w:id="134"/>
    </w:p>
    <w:p w14:paraId="500A1EFA">
      <w:pPr>
        <w:spacing w:line="440" w:lineRule="exact"/>
        <w:jc w:val="center"/>
        <w:rPr>
          <w:rFonts w:hint="eastAsia" w:ascii="宋体" w:hAnsi="宋体"/>
          <w:b/>
          <w:bCs/>
          <w:color w:val="000000" w:themeColor="text1"/>
          <w:sz w:val="28"/>
          <w:szCs w:val="28"/>
          <w:highlight w:val="none"/>
          <w14:textFill>
            <w14:solidFill>
              <w14:schemeClr w14:val="tx1"/>
            </w14:solidFill>
          </w14:textFill>
        </w:rPr>
      </w:pPr>
    </w:p>
    <w:p w14:paraId="77E8D2B3">
      <w:pPr>
        <w:spacing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技术偏离表</w:t>
      </w:r>
    </w:p>
    <w:p w14:paraId="01297AA6">
      <w:pPr>
        <w:jc w:val="center"/>
        <w:rPr>
          <w:rFonts w:hint="eastAsia" w:ascii="宋体" w:hAnsi="宋体"/>
          <w:color w:val="000000" w:themeColor="text1"/>
          <w:sz w:val="24"/>
          <w:szCs w:val="24"/>
          <w:highlight w:val="none"/>
          <w14:textFill>
            <w14:solidFill>
              <w14:schemeClr w14:val="tx1"/>
            </w14:solidFill>
          </w14:textFill>
        </w:rPr>
      </w:pPr>
    </w:p>
    <w:p w14:paraId="41A6E203">
      <w:pPr>
        <w:jc w:val="left"/>
        <w:rPr>
          <w:rFonts w:hint="eastAsia" w:ascii="宋体" w:hAnsi="宋体"/>
          <w:color w:val="000000" w:themeColor="text1"/>
          <w:sz w:val="24"/>
          <w:szCs w:val="24"/>
          <w:highlight w:val="none"/>
          <w:u w:val="single"/>
          <w14:textFill>
            <w14:solidFill>
              <w14:schemeClr w14:val="tx1"/>
            </w14:solidFill>
          </w14:textFill>
        </w:rPr>
      </w:pPr>
    </w:p>
    <w:tbl>
      <w:tblPr>
        <w:tblStyle w:val="1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22"/>
        <w:gridCol w:w="1588"/>
        <w:gridCol w:w="1762"/>
        <w:gridCol w:w="1763"/>
        <w:gridCol w:w="1762"/>
        <w:gridCol w:w="1763"/>
      </w:tblGrid>
      <w:tr w14:paraId="5A6467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899" w:hRule="atLeast"/>
          <w:jc w:val="center"/>
        </w:trPr>
        <w:tc>
          <w:tcPr>
            <w:tcW w:w="1022" w:type="dxa"/>
            <w:vAlign w:val="center"/>
          </w:tcPr>
          <w:p w14:paraId="2EDD5E8A">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序号</w:t>
            </w:r>
          </w:p>
        </w:tc>
        <w:tc>
          <w:tcPr>
            <w:tcW w:w="1588" w:type="dxa"/>
            <w:vAlign w:val="center"/>
          </w:tcPr>
          <w:p w14:paraId="6E21DF05">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货物名称</w:t>
            </w:r>
          </w:p>
        </w:tc>
        <w:tc>
          <w:tcPr>
            <w:tcW w:w="1762" w:type="dxa"/>
            <w:vAlign w:val="center"/>
          </w:tcPr>
          <w:p w14:paraId="72E778E6">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招标规格</w:t>
            </w:r>
          </w:p>
        </w:tc>
        <w:tc>
          <w:tcPr>
            <w:tcW w:w="1763" w:type="dxa"/>
            <w:vAlign w:val="center"/>
          </w:tcPr>
          <w:p w14:paraId="499C871B">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投标规格</w:t>
            </w:r>
          </w:p>
        </w:tc>
        <w:tc>
          <w:tcPr>
            <w:tcW w:w="1762" w:type="dxa"/>
            <w:vAlign w:val="center"/>
          </w:tcPr>
          <w:p w14:paraId="0CB206FB">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偏离度</w:t>
            </w:r>
          </w:p>
        </w:tc>
        <w:tc>
          <w:tcPr>
            <w:tcW w:w="1763" w:type="dxa"/>
            <w:vAlign w:val="center"/>
          </w:tcPr>
          <w:p w14:paraId="7AD656AC">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说明</w:t>
            </w:r>
          </w:p>
        </w:tc>
      </w:tr>
      <w:tr w14:paraId="7142F4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870" w:hRule="atLeast"/>
          <w:jc w:val="center"/>
        </w:trPr>
        <w:tc>
          <w:tcPr>
            <w:tcW w:w="1022" w:type="dxa"/>
            <w:vAlign w:val="center"/>
          </w:tcPr>
          <w:p w14:paraId="191D06F3">
            <w:pPr>
              <w:jc w:val="center"/>
              <w:rPr>
                <w:rFonts w:hint="eastAsia" w:ascii="宋体" w:hAnsi="宋体"/>
                <w:color w:val="000000" w:themeColor="text1"/>
                <w:highlight w:val="none"/>
                <w14:textFill>
                  <w14:solidFill>
                    <w14:schemeClr w14:val="tx1"/>
                  </w14:solidFill>
                </w14:textFill>
              </w:rPr>
            </w:pPr>
          </w:p>
        </w:tc>
        <w:tc>
          <w:tcPr>
            <w:tcW w:w="1588" w:type="dxa"/>
            <w:vAlign w:val="center"/>
          </w:tcPr>
          <w:p w14:paraId="23488C09">
            <w:pPr>
              <w:spacing w:line="360" w:lineRule="auto"/>
              <w:ind w:left="50" w:right="-176" w:rightChars="-84" w:hanging="50" w:hangingChars="24"/>
              <w:rPr>
                <w:rFonts w:hint="eastAsia" w:ascii="宋体" w:hAnsi="宋体"/>
                <w:color w:val="000000" w:themeColor="text1"/>
                <w:highlight w:val="none"/>
                <w14:textFill>
                  <w14:solidFill>
                    <w14:schemeClr w14:val="tx1"/>
                  </w14:solidFill>
                </w14:textFill>
              </w:rPr>
            </w:pPr>
          </w:p>
        </w:tc>
        <w:tc>
          <w:tcPr>
            <w:tcW w:w="1762" w:type="dxa"/>
            <w:vAlign w:val="center"/>
          </w:tcPr>
          <w:p w14:paraId="1F478934">
            <w:pPr>
              <w:spacing w:line="360" w:lineRule="auto"/>
              <w:ind w:left="50" w:right="-176" w:rightChars="-84" w:hanging="50" w:hangingChars="24"/>
              <w:rPr>
                <w:rFonts w:hint="eastAsia" w:ascii="宋体" w:hAnsi="宋体"/>
                <w:color w:val="000000" w:themeColor="text1"/>
                <w:highlight w:val="none"/>
                <w14:textFill>
                  <w14:solidFill>
                    <w14:schemeClr w14:val="tx1"/>
                  </w14:solidFill>
                </w14:textFill>
              </w:rPr>
            </w:pPr>
          </w:p>
        </w:tc>
        <w:tc>
          <w:tcPr>
            <w:tcW w:w="1763" w:type="dxa"/>
            <w:vAlign w:val="center"/>
          </w:tcPr>
          <w:p w14:paraId="550D7A9E">
            <w:pPr>
              <w:jc w:val="center"/>
              <w:rPr>
                <w:rFonts w:hint="eastAsia" w:ascii="宋体" w:hAnsi="宋体"/>
                <w:color w:val="000000" w:themeColor="text1"/>
                <w:highlight w:val="none"/>
                <w14:textFill>
                  <w14:solidFill>
                    <w14:schemeClr w14:val="tx1"/>
                  </w14:solidFill>
                </w14:textFill>
              </w:rPr>
            </w:pPr>
          </w:p>
        </w:tc>
        <w:tc>
          <w:tcPr>
            <w:tcW w:w="1762" w:type="dxa"/>
            <w:vAlign w:val="center"/>
          </w:tcPr>
          <w:p w14:paraId="14D0DF64">
            <w:pPr>
              <w:jc w:val="center"/>
              <w:rPr>
                <w:rFonts w:hint="eastAsia" w:ascii="宋体" w:hAnsi="宋体"/>
                <w:color w:val="000000" w:themeColor="text1"/>
                <w:highlight w:val="none"/>
                <w:u w:val="single"/>
                <w14:textFill>
                  <w14:solidFill>
                    <w14:schemeClr w14:val="tx1"/>
                  </w14:solidFill>
                </w14:textFill>
              </w:rPr>
            </w:pPr>
          </w:p>
        </w:tc>
        <w:tc>
          <w:tcPr>
            <w:tcW w:w="1763" w:type="dxa"/>
            <w:vAlign w:val="center"/>
          </w:tcPr>
          <w:p w14:paraId="769AD9E9">
            <w:pPr>
              <w:jc w:val="center"/>
              <w:rPr>
                <w:rFonts w:hint="eastAsia" w:ascii="宋体" w:hAnsi="宋体"/>
                <w:color w:val="000000" w:themeColor="text1"/>
                <w:highlight w:val="none"/>
                <w:u w:val="single"/>
                <w14:textFill>
                  <w14:solidFill>
                    <w14:schemeClr w14:val="tx1"/>
                  </w14:solidFill>
                </w14:textFill>
              </w:rPr>
            </w:pPr>
          </w:p>
        </w:tc>
      </w:tr>
      <w:tr w14:paraId="7396E1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870" w:hRule="atLeast"/>
          <w:jc w:val="center"/>
        </w:trPr>
        <w:tc>
          <w:tcPr>
            <w:tcW w:w="1022" w:type="dxa"/>
            <w:vAlign w:val="center"/>
          </w:tcPr>
          <w:p w14:paraId="677E950C">
            <w:pPr>
              <w:jc w:val="center"/>
              <w:rPr>
                <w:rFonts w:hint="eastAsia" w:ascii="宋体" w:hAnsi="宋体"/>
                <w:color w:val="000000" w:themeColor="text1"/>
                <w:highlight w:val="none"/>
                <w14:textFill>
                  <w14:solidFill>
                    <w14:schemeClr w14:val="tx1"/>
                  </w14:solidFill>
                </w14:textFill>
              </w:rPr>
            </w:pPr>
          </w:p>
        </w:tc>
        <w:tc>
          <w:tcPr>
            <w:tcW w:w="1588" w:type="dxa"/>
            <w:vAlign w:val="center"/>
          </w:tcPr>
          <w:p w14:paraId="48A88A8C">
            <w:pPr>
              <w:spacing w:line="360" w:lineRule="auto"/>
              <w:ind w:left="-109" w:leftChars="-52" w:right="-176" w:rightChars="-84"/>
              <w:jc w:val="center"/>
              <w:rPr>
                <w:rFonts w:hint="eastAsia" w:ascii="宋体" w:hAnsi="宋体"/>
                <w:color w:val="000000" w:themeColor="text1"/>
                <w:highlight w:val="none"/>
                <w14:textFill>
                  <w14:solidFill>
                    <w14:schemeClr w14:val="tx1"/>
                  </w14:solidFill>
                </w14:textFill>
              </w:rPr>
            </w:pPr>
          </w:p>
        </w:tc>
        <w:tc>
          <w:tcPr>
            <w:tcW w:w="1762" w:type="dxa"/>
            <w:vAlign w:val="center"/>
          </w:tcPr>
          <w:p w14:paraId="7F5A3D66">
            <w:pPr>
              <w:spacing w:line="360" w:lineRule="auto"/>
              <w:ind w:left="-109" w:leftChars="-52" w:right="-176" w:rightChars="-84"/>
              <w:jc w:val="center"/>
              <w:rPr>
                <w:rFonts w:hint="eastAsia" w:ascii="宋体" w:hAnsi="宋体"/>
                <w:color w:val="000000" w:themeColor="text1"/>
                <w:highlight w:val="none"/>
                <w14:textFill>
                  <w14:solidFill>
                    <w14:schemeClr w14:val="tx1"/>
                  </w14:solidFill>
                </w14:textFill>
              </w:rPr>
            </w:pPr>
          </w:p>
        </w:tc>
        <w:tc>
          <w:tcPr>
            <w:tcW w:w="1763" w:type="dxa"/>
            <w:vAlign w:val="center"/>
          </w:tcPr>
          <w:p w14:paraId="646D2832">
            <w:pPr>
              <w:ind w:left="-109" w:leftChars="-52"/>
              <w:jc w:val="center"/>
              <w:rPr>
                <w:rFonts w:hint="eastAsia" w:ascii="宋体" w:hAnsi="宋体"/>
                <w:color w:val="000000" w:themeColor="text1"/>
                <w:highlight w:val="none"/>
                <w:u w:val="single"/>
                <w14:textFill>
                  <w14:solidFill>
                    <w14:schemeClr w14:val="tx1"/>
                  </w14:solidFill>
                </w14:textFill>
              </w:rPr>
            </w:pPr>
          </w:p>
        </w:tc>
        <w:tc>
          <w:tcPr>
            <w:tcW w:w="1762" w:type="dxa"/>
            <w:vAlign w:val="center"/>
          </w:tcPr>
          <w:p w14:paraId="7DBEDCB2">
            <w:pPr>
              <w:ind w:firstLine="1155" w:firstLineChars="550"/>
              <w:rPr>
                <w:rFonts w:hint="eastAsia" w:ascii="宋体" w:hAnsi="宋体"/>
                <w:color w:val="000000" w:themeColor="text1"/>
                <w:highlight w:val="none"/>
                <w:u w:val="single"/>
                <w14:textFill>
                  <w14:solidFill>
                    <w14:schemeClr w14:val="tx1"/>
                  </w14:solidFill>
                </w14:textFill>
              </w:rPr>
            </w:pPr>
          </w:p>
        </w:tc>
        <w:tc>
          <w:tcPr>
            <w:tcW w:w="1763" w:type="dxa"/>
            <w:vAlign w:val="center"/>
          </w:tcPr>
          <w:p w14:paraId="37929240">
            <w:pPr>
              <w:ind w:firstLine="1155" w:firstLineChars="550"/>
              <w:rPr>
                <w:rFonts w:hint="eastAsia" w:ascii="宋体" w:hAnsi="宋体"/>
                <w:color w:val="000000" w:themeColor="text1"/>
                <w:highlight w:val="none"/>
                <w:u w:val="single"/>
                <w14:textFill>
                  <w14:solidFill>
                    <w14:schemeClr w14:val="tx1"/>
                  </w14:solidFill>
                </w14:textFill>
              </w:rPr>
            </w:pPr>
          </w:p>
        </w:tc>
      </w:tr>
      <w:tr w14:paraId="68E9B1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870" w:hRule="atLeast"/>
          <w:jc w:val="center"/>
        </w:trPr>
        <w:tc>
          <w:tcPr>
            <w:tcW w:w="1022" w:type="dxa"/>
            <w:vAlign w:val="center"/>
          </w:tcPr>
          <w:p w14:paraId="15E2D29B">
            <w:pPr>
              <w:jc w:val="center"/>
              <w:rPr>
                <w:rFonts w:hint="eastAsia" w:ascii="宋体" w:hAnsi="宋体"/>
                <w:color w:val="000000" w:themeColor="text1"/>
                <w:highlight w:val="none"/>
                <w14:textFill>
                  <w14:solidFill>
                    <w14:schemeClr w14:val="tx1"/>
                  </w14:solidFill>
                </w14:textFill>
              </w:rPr>
            </w:pPr>
          </w:p>
        </w:tc>
        <w:tc>
          <w:tcPr>
            <w:tcW w:w="1588" w:type="dxa"/>
            <w:vAlign w:val="center"/>
          </w:tcPr>
          <w:p w14:paraId="5FB04EBF">
            <w:pPr>
              <w:spacing w:line="360" w:lineRule="auto"/>
              <w:ind w:left="-109" w:leftChars="-52" w:right="-176" w:rightChars="-84"/>
              <w:jc w:val="center"/>
              <w:rPr>
                <w:rFonts w:hint="eastAsia" w:ascii="宋体" w:hAnsi="宋体"/>
                <w:color w:val="000000" w:themeColor="text1"/>
                <w:highlight w:val="none"/>
                <w14:textFill>
                  <w14:solidFill>
                    <w14:schemeClr w14:val="tx1"/>
                  </w14:solidFill>
                </w14:textFill>
              </w:rPr>
            </w:pPr>
          </w:p>
        </w:tc>
        <w:tc>
          <w:tcPr>
            <w:tcW w:w="1762" w:type="dxa"/>
            <w:vAlign w:val="center"/>
          </w:tcPr>
          <w:p w14:paraId="61D7DA11">
            <w:pPr>
              <w:spacing w:line="360" w:lineRule="auto"/>
              <w:ind w:left="-109" w:leftChars="-52" w:right="-176" w:rightChars="-84"/>
              <w:jc w:val="center"/>
              <w:rPr>
                <w:rFonts w:hint="eastAsia" w:ascii="宋体" w:hAnsi="宋体"/>
                <w:color w:val="000000" w:themeColor="text1"/>
                <w:highlight w:val="none"/>
                <w14:textFill>
                  <w14:solidFill>
                    <w14:schemeClr w14:val="tx1"/>
                  </w14:solidFill>
                </w14:textFill>
              </w:rPr>
            </w:pPr>
          </w:p>
        </w:tc>
        <w:tc>
          <w:tcPr>
            <w:tcW w:w="1763" w:type="dxa"/>
            <w:vAlign w:val="center"/>
          </w:tcPr>
          <w:p w14:paraId="63D7632B">
            <w:pPr>
              <w:ind w:left="-109" w:leftChars="-52"/>
              <w:jc w:val="center"/>
              <w:rPr>
                <w:rFonts w:hint="eastAsia" w:ascii="宋体" w:hAnsi="宋体"/>
                <w:color w:val="000000" w:themeColor="text1"/>
                <w:highlight w:val="none"/>
                <w:u w:val="single"/>
                <w14:textFill>
                  <w14:solidFill>
                    <w14:schemeClr w14:val="tx1"/>
                  </w14:solidFill>
                </w14:textFill>
              </w:rPr>
            </w:pPr>
          </w:p>
        </w:tc>
        <w:tc>
          <w:tcPr>
            <w:tcW w:w="1762" w:type="dxa"/>
            <w:vAlign w:val="center"/>
          </w:tcPr>
          <w:p w14:paraId="7298AB86">
            <w:pPr>
              <w:ind w:firstLine="1155" w:firstLineChars="550"/>
              <w:rPr>
                <w:rFonts w:hint="eastAsia" w:ascii="宋体" w:hAnsi="宋体"/>
                <w:color w:val="000000" w:themeColor="text1"/>
                <w:highlight w:val="none"/>
                <w:u w:val="single"/>
                <w14:textFill>
                  <w14:solidFill>
                    <w14:schemeClr w14:val="tx1"/>
                  </w14:solidFill>
                </w14:textFill>
              </w:rPr>
            </w:pPr>
          </w:p>
        </w:tc>
        <w:tc>
          <w:tcPr>
            <w:tcW w:w="1763" w:type="dxa"/>
            <w:vAlign w:val="center"/>
          </w:tcPr>
          <w:p w14:paraId="158D36EF">
            <w:pPr>
              <w:ind w:firstLine="1155" w:firstLineChars="550"/>
              <w:rPr>
                <w:rFonts w:hint="eastAsia" w:ascii="宋体" w:hAnsi="宋体"/>
                <w:color w:val="000000" w:themeColor="text1"/>
                <w:highlight w:val="none"/>
                <w:u w:val="single"/>
                <w14:textFill>
                  <w14:solidFill>
                    <w14:schemeClr w14:val="tx1"/>
                  </w14:solidFill>
                </w14:textFill>
              </w:rPr>
            </w:pPr>
          </w:p>
        </w:tc>
      </w:tr>
      <w:tr w14:paraId="70EC26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863" w:hRule="atLeast"/>
          <w:jc w:val="center"/>
        </w:trPr>
        <w:tc>
          <w:tcPr>
            <w:tcW w:w="1022" w:type="dxa"/>
            <w:vAlign w:val="center"/>
          </w:tcPr>
          <w:p w14:paraId="1D3835D1">
            <w:pPr>
              <w:jc w:val="center"/>
              <w:rPr>
                <w:rFonts w:hint="eastAsia" w:ascii="宋体" w:hAnsi="宋体"/>
                <w:color w:val="000000" w:themeColor="text1"/>
                <w:highlight w:val="none"/>
                <w14:textFill>
                  <w14:solidFill>
                    <w14:schemeClr w14:val="tx1"/>
                  </w14:solidFill>
                </w14:textFill>
              </w:rPr>
            </w:pPr>
          </w:p>
        </w:tc>
        <w:tc>
          <w:tcPr>
            <w:tcW w:w="1588" w:type="dxa"/>
            <w:vAlign w:val="center"/>
          </w:tcPr>
          <w:p w14:paraId="2564ABEA">
            <w:pPr>
              <w:jc w:val="center"/>
              <w:rPr>
                <w:rFonts w:hint="eastAsia" w:ascii="宋体" w:hAnsi="宋体"/>
                <w:color w:val="000000" w:themeColor="text1"/>
                <w:highlight w:val="none"/>
                <w14:textFill>
                  <w14:solidFill>
                    <w14:schemeClr w14:val="tx1"/>
                  </w14:solidFill>
                </w14:textFill>
              </w:rPr>
            </w:pPr>
          </w:p>
        </w:tc>
        <w:tc>
          <w:tcPr>
            <w:tcW w:w="1762" w:type="dxa"/>
            <w:vAlign w:val="center"/>
          </w:tcPr>
          <w:p w14:paraId="675CC17D">
            <w:pPr>
              <w:jc w:val="center"/>
              <w:rPr>
                <w:rFonts w:hint="eastAsia" w:ascii="宋体" w:hAnsi="宋体"/>
                <w:color w:val="000000" w:themeColor="text1"/>
                <w:highlight w:val="none"/>
                <w14:textFill>
                  <w14:solidFill>
                    <w14:schemeClr w14:val="tx1"/>
                  </w14:solidFill>
                </w14:textFill>
              </w:rPr>
            </w:pPr>
          </w:p>
        </w:tc>
        <w:tc>
          <w:tcPr>
            <w:tcW w:w="1763" w:type="dxa"/>
            <w:vAlign w:val="center"/>
          </w:tcPr>
          <w:p w14:paraId="38B02637">
            <w:pPr>
              <w:rPr>
                <w:rFonts w:hint="eastAsia" w:ascii="宋体" w:hAnsi="宋体"/>
                <w:color w:val="000000" w:themeColor="text1"/>
                <w:highlight w:val="none"/>
                <w14:textFill>
                  <w14:solidFill>
                    <w14:schemeClr w14:val="tx1"/>
                  </w14:solidFill>
                </w14:textFill>
              </w:rPr>
            </w:pPr>
          </w:p>
        </w:tc>
        <w:tc>
          <w:tcPr>
            <w:tcW w:w="1762" w:type="dxa"/>
            <w:vAlign w:val="center"/>
          </w:tcPr>
          <w:p w14:paraId="1CB96084">
            <w:pPr>
              <w:rPr>
                <w:rFonts w:hint="eastAsia" w:ascii="宋体" w:hAnsi="宋体"/>
                <w:color w:val="000000" w:themeColor="text1"/>
                <w:highlight w:val="none"/>
                <w14:textFill>
                  <w14:solidFill>
                    <w14:schemeClr w14:val="tx1"/>
                  </w14:solidFill>
                </w14:textFill>
              </w:rPr>
            </w:pPr>
          </w:p>
        </w:tc>
        <w:tc>
          <w:tcPr>
            <w:tcW w:w="1763" w:type="dxa"/>
            <w:vAlign w:val="center"/>
          </w:tcPr>
          <w:p w14:paraId="6E09ED8D">
            <w:pPr>
              <w:rPr>
                <w:rFonts w:hint="eastAsia" w:ascii="宋体" w:hAnsi="宋体"/>
                <w:color w:val="000000" w:themeColor="text1"/>
                <w:highlight w:val="none"/>
                <w14:textFill>
                  <w14:solidFill>
                    <w14:schemeClr w14:val="tx1"/>
                  </w14:solidFill>
                </w14:textFill>
              </w:rPr>
            </w:pPr>
          </w:p>
        </w:tc>
      </w:tr>
      <w:tr w14:paraId="2EED87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17" w:hRule="atLeast"/>
          <w:jc w:val="center"/>
        </w:trPr>
        <w:tc>
          <w:tcPr>
            <w:tcW w:w="1022" w:type="dxa"/>
            <w:vAlign w:val="center"/>
          </w:tcPr>
          <w:p w14:paraId="6F96BAEF">
            <w:pPr>
              <w:jc w:val="center"/>
              <w:rPr>
                <w:rFonts w:hint="eastAsia" w:ascii="宋体" w:hAnsi="宋体"/>
                <w:color w:val="000000" w:themeColor="text1"/>
                <w:highlight w:val="none"/>
                <w14:textFill>
                  <w14:solidFill>
                    <w14:schemeClr w14:val="tx1"/>
                  </w14:solidFill>
                </w14:textFill>
              </w:rPr>
            </w:pPr>
          </w:p>
        </w:tc>
        <w:tc>
          <w:tcPr>
            <w:tcW w:w="1588" w:type="dxa"/>
            <w:vAlign w:val="center"/>
          </w:tcPr>
          <w:p w14:paraId="387A9B5F">
            <w:pPr>
              <w:jc w:val="center"/>
              <w:rPr>
                <w:rFonts w:hint="eastAsia" w:ascii="宋体" w:hAnsi="宋体"/>
                <w:color w:val="000000" w:themeColor="text1"/>
                <w:highlight w:val="none"/>
                <w14:textFill>
                  <w14:solidFill>
                    <w14:schemeClr w14:val="tx1"/>
                  </w14:solidFill>
                </w14:textFill>
              </w:rPr>
            </w:pPr>
          </w:p>
        </w:tc>
        <w:tc>
          <w:tcPr>
            <w:tcW w:w="1762" w:type="dxa"/>
            <w:vAlign w:val="center"/>
          </w:tcPr>
          <w:p w14:paraId="349A044F">
            <w:pPr>
              <w:jc w:val="center"/>
              <w:rPr>
                <w:rFonts w:hint="eastAsia" w:ascii="宋体" w:hAnsi="宋体"/>
                <w:color w:val="000000" w:themeColor="text1"/>
                <w:highlight w:val="none"/>
                <w14:textFill>
                  <w14:solidFill>
                    <w14:schemeClr w14:val="tx1"/>
                  </w14:solidFill>
                </w14:textFill>
              </w:rPr>
            </w:pPr>
          </w:p>
        </w:tc>
        <w:tc>
          <w:tcPr>
            <w:tcW w:w="1763" w:type="dxa"/>
            <w:vAlign w:val="center"/>
          </w:tcPr>
          <w:p w14:paraId="7EE425E8">
            <w:pPr>
              <w:rPr>
                <w:rFonts w:hint="eastAsia" w:ascii="宋体" w:hAnsi="宋体"/>
                <w:color w:val="000000" w:themeColor="text1"/>
                <w:highlight w:val="none"/>
                <w14:textFill>
                  <w14:solidFill>
                    <w14:schemeClr w14:val="tx1"/>
                  </w14:solidFill>
                </w14:textFill>
              </w:rPr>
            </w:pPr>
          </w:p>
        </w:tc>
        <w:tc>
          <w:tcPr>
            <w:tcW w:w="1762" w:type="dxa"/>
            <w:vAlign w:val="center"/>
          </w:tcPr>
          <w:p w14:paraId="564303F8">
            <w:pPr>
              <w:rPr>
                <w:rFonts w:hint="eastAsia" w:ascii="宋体" w:hAnsi="宋体"/>
                <w:color w:val="000000" w:themeColor="text1"/>
                <w:highlight w:val="none"/>
                <w14:textFill>
                  <w14:solidFill>
                    <w14:schemeClr w14:val="tx1"/>
                  </w14:solidFill>
                </w14:textFill>
              </w:rPr>
            </w:pPr>
          </w:p>
        </w:tc>
        <w:tc>
          <w:tcPr>
            <w:tcW w:w="1763" w:type="dxa"/>
            <w:vAlign w:val="center"/>
          </w:tcPr>
          <w:p w14:paraId="6F6D6888">
            <w:pPr>
              <w:rPr>
                <w:rFonts w:hint="eastAsia" w:ascii="宋体" w:hAnsi="宋体"/>
                <w:color w:val="000000" w:themeColor="text1"/>
                <w:highlight w:val="none"/>
                <w14:textFill>
                  <w14:solidFill>
                    <w14:schemeClr w14:val="tx1"/>
                  </w14:solidFill>
                </w14:textFill>
              </w:rPr>
            </w:pPr>
          </w:p>
        </w:tc>
      </w:tr>
    </w:tbl>
    <w:p w14:paraId="6685BBCF">
      <w:pPr>
        <w:ind w:left="-315" w:leftChars="-150" w:right="-378" w:rightChars="-180"/>
        <w:rPr>
          <w:rFonts w:hint="eastAsia" w:ascii="宋体" w:hAnsi="宋体"/>
          <w:b/>
          <w:bCs/>
          <w:color w:val="000000" w:themeColor="text1"/>
          <w:sz w:val="24"/>
          <w:szCs w:val="24"/>
          <w:highlight w:val="none"/>
          <w14:textFill>
            <w14:solidFill>
              <w14:schemeClr w14:val="tx1"/>
            </w14:solidFill>
          </w14:textFill>
        </w:rPr>
      </w:pPr>
    </w:p>
    <w:p w14:paraId="1659C990">
      <w:pPr>
        <w:ind w:left="-315" w:leftChars="-150" w:right="-378" w:rightChars="-18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递交的技术规格与招标文件的技术规格的要求有不同时，应逐条列在技术偏离表中。</w:t>
      </w:r>
    </w:p>
    <w:p w14:paraId="28B17479">
      <w:pPr>
        <w:ind w:left="-315" w:leftChars="-150" w:right="-378" w:rightChars="-180"/>
        <w:rPr>
          <w:rFonts w:hint="eastAsia" w:ascii="宋体" w:hAnsi="宋体"/>
          <w:color w:val="000000" w:themeColor="text1"/>
          <w:sz w:val="24"/>
          <w:szCs w:val="24"/>
          <w:highlight w:val="none"/>
          <w14:textFill>
            <w14:solidFill>
              <w14:schemeClr w14:val="tx1"/>
            </w14:solidFill>
          </w14:textFill>
        </w:rPr>
      </w:pPr>
    </w:p>
    <w:p w14:paraId="769E8783">
      <w:pPr>
        <w:ind w:left="-315" w:leftChars="-150" w:right="-378" w:rightChars="-180"/>
        <w:rPr>
          <w:rFonts w:hint="eastAsia" w:ascii="宋体" w:hAnsi="宋体"/>
          <w:color w:val="000000" w:themeColor="text1"/>
          <w:sz w:val="24"/>
          <w:szCs w:val="24"/>
          <w:highlight w:val="none"/>
          <w14:textFill>
            <w14:solidFill>
              <w14:schemeClr w14:val="tx1"/>
            </w14:solidFill>
          </w14:textFill>
        </w:rPr>
      </w:pPr>
    </w:p>
    <w:p w14:paraId="43071FE7">
      <w:pPr>
        <w:ind w:left="-315" w:leftChars="-150" w:right="-378" w:rightChars="-180"/>
        <w:rPr>
          <w:rFonts w:hint="eastAsia" w:ascii="宋体" w:hAnsi="宋体"/>
          <w:color w:val="000000" w:themeColor="text1"/>
          <w:sz w:val="24"/>
          <w:szCs w:val="24"/>
          <w:highlight w:val="none"/>
          <w14:textFill>
            <w14:solidFill>
              <w14:schemeClr w14:val="tx1"/>
            </w14:solidFill>
          </w14:textFill>
        </w:rPr>
      </w:pPr>
    </w:p>
    <w:p w14:paraId="705140B8">
      <w:pPr>
        <w:ind w:left="-315" w:leftChars="-150" w:right="-378" w:rightChars="-180"/>
        <w:rPr>
          <w:rFonts w:hint="eastAsia" w:ascii="宋体" w:hAnsi="宋体"/>
          <w:color w:val="000000" w:themeColor="text1"/>
          <w:sz w:val="24"/>
          <w:szCs w:val="24"/>
          <w:highlight w:val="none"/>
          <w14:textFill>
            <w14:solidFill>
              <w14:schemeClr w14:val="tx1"/>
            </w14:solidFill>
          </w14:textFill>
        </w:rPr>
      </w:pPr>
    </w:p>
    <w:p w14:paraId="32A717CD">
      <w:pPr>
        <w:jc w:val="center"/>
        <w:rPr>
          <w:rFonts w:hint="eastAsia" w:ascii="宋体" w:hAnsi="宋体"/>
          <w:color w:val="000000" w:themeColor="text1"/>
          <w:highlight w:val="none"/>
          <w14:textFill>
            <w14:solidFill>
              <w14:schemeClr w14:val="tx1"/>
            </w14:solidFill>
          </w14:textFill>
        </w:rPr>
      </w:pPr>
    </w:p>
    <w:p w14:paraId="4AE81752">
      <w:pPr>
        <w:jc w:val="center"/>
        <w:rPr>
          <w:rFonts w:hint="eastAsia" w:ascii="宋体" w:hAnsi="宋体"/>
          <w:color w:val="000000" w:themeColor="text1"/>
          <w:highlight w:val="none"/>
          <w14:textFill>
            <w14:solidFill>
              <w14:schemeClr w14:val="tx1"/>
            </w14:solidFill>
          </w14:textFill>
        </w:rPr>
      </w:pPr>
    </w:p>
    <w:p w14:paraId="364F398A">
      <w:pPr>
        <w:jc w:val="center"/>
        <w:rPr>
          <w:rFonts w:hint="eastAsia" w:ascii="宋体" w:hAnsi="宋体"/>
          <w:color w:val="000000" w:themeColor="text1"/>
          <w:highlight w:val="none"/>
          <w14:textFill>
            <w14:solidFill>
              <w14:schemeClr w14:val="tx1"/>
            </w14:solidFill>
          </w14:textFill>
        </w:rPr>
      </w:pPr>
    </w:p>
    <w:p w14:paraId="7B109173">
      <w:pPr>
        <w:jc w:val="center"/>
        <w:rPr>
          <w:rFonts w:hint="eastAsia" w:ascii="宋体" w:hAnsi="宋体"/>
          <w:color w:val="000000" w:themeColor="text1"/>
          <w:highlight w:val="none"/>
          <w14:textFill>
            <w14:solidFill>
              <w14:schemeClr w14:val="tx1"/>
            </w14:solidFill>
          </w14:textFill>
        </w:rPr>
      </w:pPr>
    </w:p>
    <w:p w14:paraId="7D8B5F8C">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104F7D17">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04A57D4D">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71C2F306">
      <w:pPr>
        <w:ind w:firstLine="2164" w:firstLineChars="902"/>
        <w:rPr>
          <w:rFonts w:hint="eastAsia" w:ascii="宋体" w:hAnsi="宋体"/>
          <w:color w:val="000000" w:themeColor="text1"/>
          <w:sz w:val="24"/>
          <w:szCs w:val="24"/>
          <w:highlight w:val="none"/>
          <w14:textFill>
            <w14:solidFill>
              <w14:schemeClr w14:val="tx1"/>
            </w14:solidFill>
          </w14:textFill>
        </w:rPr>
      </w:pPr>
    </w:p>
    <w:p w14:paraId="59105282">
      <w:pPr>
        <w:jc w:val="center"/>
        <w:rPr>
          <w:rFonts w:hint="eastAsia" w:ascii="宋体" w:hAnsi="宋体"/>
          <w:color w:val="000000" w:themeColor="text1"/>
          <w:sz w:val="24"/>
          <w:szCs w:val="24"/>
          <w:highlight w:val="none"/>
          <w14:textFill>
            <w14:solidFill>
              <w14:schemeClr w14:val="tx1"/>
            </w14:solidFill>
          </w14:textFill>
        </w:rPr>
      </w:pPr>
    </w:p>
    <w:p w14:paraId="1E624F39">
      <w:pPr>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商务偏离表</w:t>
      </w:r>
    </w:p>
    <w:tbl>
      <w:tblPr>
        <w:tblStyle w:val="1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41"/>
        <w:gridCol w:w="3024"/>
        <w:gridCol w:w="3390"/>
        <w:gridCol w:w="1875"/>
      </w:tblGrid>
      <w:tr w14:paraId="2AC489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72" w:hRule="atLeast"/>
          <w:jc w:val="center"/>
        </w:trPr>
        <w:tc>
          <w:tcPr>
            <w:tcW w:w="1041" w:type="dxa"/>
            <w:vAlign w:val="center"/>
          </w:tcPr>
          <w:p w14:paraId="3B7F64E6">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序号</w:t>
            </w:r>
          </w:p>
        </w:tc>
        <w:tc>
          <w:tcPr>
            <w:tcW w:w="3024" w:type="dxa"/>
            <w:vAlign w:val="center"/>
          </w:tcPr>
          <w:p w14:paraId="550D1079">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招标文件的商务条款</w:t>
            </w:r>
          </w:p>
        </w:tc>
        <w:tc>
          <w:tcPr>
            <w:tcW w:w="3390" w:type="dxa"/>
            <w:vAlign w:val="center"/>
          </w:tcPr>
          <w:p w14:paraId="0A541E48">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投标文件的商务条款</w:t>
            </w:r>
          </w:p>
        </w:tc>
        <w:tc>
          <w:tcPr>
            <w:tcW w:w="1875" w:type="dxa"/>
            <w:vAlign w:val="center"/>
          </w:tcPr>
          <w:p w14:paraId="18BCC63D">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说明</w:t>
            </w:r>
          </w:p>
        </w:tc>
      </w:tr>
      <w:tr w14:paraId="433723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17" w:hRule="atLeast"/>
          <w:jc w:val="center"/>
        </w:trPr>
        <w:tc>
          <w:tcPr>
            <w:tcW w:w="1041" w:type="dxa"/>
            <w:vAlign w:val="center"/>
          </w:tcPr>
          <w:p w14:paraId="5A1A7E1C">
            <w:pPr>
              <w:jc w:val="center"/>
              <w:rPr>
                <w:rFonts w:hint="eastAsia" w:ascii="宋体" w:hAnsi="宋体"/>
                <w:color w:val="000000" w:themeColor="text1"/>
                <w:highlight w:val="none"/>
                <w14:textFill>
                  <w14:solidFill>
                    <w14:schemeClr w14:val="tx1"/>
                  </w14:solidFill>
                </w14:textFill>
              </w:rPr>
            </w:pPr>
          </w:p>
        </w:tc>
        <w:tc>
          <w:tcPr>
            <w:tcW w:w="3024" w:type="dxa"/>
            <w:vAlign w:val="center"/>
          </w:tcPr>
          <w:p w14:paraId="642FC7E4">
            <w:pPr>
              <w:spacing w:line="360" w:lineRule="auto"/>
              <w:rPr>
                <w:rFonts w:hint="eastAsia" w:ascii="宋体" w:hAnsi="宋体"/>
                <w:color w:val="000000" w:themeColor="text1"/>
                <w:highlight w:val="none"/>
                <w14:textFill>
                  <w14:solidFill>
                    <w14:schemeClr w14:val="tx1"/>
                  </w14:solidFill>
                </w14:textFill>
              </w:rPr>
            </w:pPr>
          </w:p>
        </w:tc>
        <w:tc>
          <w:tcPr>
            <w:tcW w:w="3390" w:type="dxa"/>
            <w:vAlign w:val="center"/>
          </w:tcPr>
          <w:p w14:paraId="5CA70C35">
            <w:pPr>
              <w:jc w:val="center"/>
              <w:rPr>
                <w:rFonts w:hint="eastAsia" w:ascii="宋体" w:hAnsi="宋体"/>
                <w:color w:val="000000" w:themeColor="text1"/>
                <w:highlight w:val="none"/>
                <w:u w:val="single"/>
                <w14:textFill>
                  <w14:solidFill>
                    <w14:schemeClr w14:val="tx1"/>
                  </w14:solidFill>
                </w14:textFill>
              </w:rPr>
            </w:pPr>
          </w:p>
        </w:tc>
        <w:tc>
          <w:tcPr>
            <w:tcW w:w="1875" w:type="dxa"/>
            <w:vAlign w:val="center"/>
          </w:tcPr>
          <w:p w14:paraId="480B256C">
            <w:pPr>
              <w:jc w:val="center"/>
              <w:rPr>
                <w:rFonts w:hint="eastAsia" w:ascii="宋体" w:hAnsi="宋体"/>
                <w:color w:val="000000" w:themeColor="text1"/>
                <w:highlight w:val="none"/>
                <w:u w:val="single"/>
                <w14:textFill>
                  <w14:solidFill>
                    <w14:schemeClr w14:val="tx1"/>
                  </w14:solidFill>
                </w14:textFill>
              </w:rPr>
            </w:pPr>
          </w:p>
        </w:tc>
      </w:tr>
      <w:tr w14:paraId="646F5E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17" w:hRule="atLeast"/>
          <w:jc w:val="center"/>
        </w:trPr>
        <w:tc>
          <w:tcPr>
            <w:tcW w:w="1041" w:type="dxa"/>
            <w:vAlign w:val="center"/>
          </w:tcPr>
          <w:p w14:paraId="1CDCB39D">
            <w:pPr>
              <w:jc w:val="center"/>
              <w:rPr>
                <w:rFonts w:hint="eastAsia" w:ascii="宋体" w:hAnsi="宋体"/>
                <w:color w:val="000000" w:themeColor="text1"/>
                <w:highlight w:val="none"/>
                <w14:textFill>
                  <w14:solidFill>
                    <w14:schemeClr w14:val="tx1"/>
                  </w14:solidFill>
                </w14:textFill>
              </w:rPr>
            </w:pPr>
          </w:p>
        </w:tc>
        <w:tc>
          <w:tcPr>
            <w:tcW w:w="3024" w:type="dxa"/>
            <w:vAlign w:val="center"/>
          </w:tcPr>
          <w:p w14:paraId="15B3E75E">
            <w:pPr>
              <w:spacing w:line="360" w:lineRule="auto"/>
              <w:jc w:val="center"/>
              <w:rPr>
                <w:rFonts w:hint="eastAsia" w:ascii="宋体" w:hAnsi="宋体"/>
                <w:color w:val="000000" w:themeColor="text1"/>
                <w:highlight w:val="none"/>
                <w14:textFill>
                  <w14:solidFill>
                    <w14:schemeClr w14:val="tx1"/>
                  </w14:solidFill>
                </w14:textFill>
              </w:rPr>
            </w:pPr>
          </w:p>
        </w:tc>
        <w:tc>
          <w:tcPr>
            <w:tcW w:w="3390" w:type="dxa"/>
            <w:vAlign w:val="center"/>
          </w:tcPr>
          <w:p w14:paraId="183665C5">
            <w:pPr>
              <w:rPr>
                <w:rFonts w:hint="eastAsia" w:ascii="宋体" w:hAnsi="宋体"/>
                <w:color w:val="000000" w:themeColor="text1"/>
                <w:highlight w:val="none"/>
                <w:u w:val="single"/>
                <w14:textFill>
                  <w14:solidFill>
                    <w14:schemeClr w14:val="tx1"/>
                  </w14:solidFill>
                </w14:textFill>
              </w:rPr>
            </w:pPr>
          </w:p>
        </w:tc>
        <w:tc>
          <w:tcPr>
            <w:tcW w:w="1875" w:type="dxa"/>
            <w:vAlign w:val="center"/>
          </w:tcPr>
          <w:p w14:paraId="3C6A1520">
            <w:pPr>
              <w:rPr>
                <w:rFonts w:hint="eastAsia" w:ascii="宋体" w:hAnsi="宋体"/>
                <w:color w:val="000000" w:themeColor="text1"/>
                <w:highlight w:val="none"/>
                <w:u w:val="single"/>
                <w14:textFill>
                  <w14:solidFill>
                    <w14:schemeClr w14:val="tx1"/>
                  </w14:solidFill>
                </w14:textFill>
              </w:rPr>
            </w:pPr>
          </w:p>
        </w:tc>
      </w:tr>
      <w:tr w14:paraId="3075BC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17" w:hRule="atLeast"/>
          <w:jc w:val="center"/>
        </w:trPr>
        <w:tc>
          <w:tcPr>
            <w:tcW w:w="1041" w:type="dxa"/>
            <w:vAlign w:val="center"/>
          </w:tcPr>
          <w:p w14:paraId="0A953842">
            <w:pPr>
              <w:jc w:val="center"/>
              <w:rPr>
                <w:rFonts w:hint="eastAsia" w:ascii="宋体" w:hAnsi="宋体"/>
                <w:color w:val="000000" w:themeColor="text1"/>
                <w:highlight w:val="none"/>
                <w14:textFill>
                  <w14:solidFill>
                    <w14:schemeClr w14:val="tx1"/>
                  </w14:solidFill>
                </w14:textFill>
              </w:rPr>
            </w:pPr>
          </w:p>
        </w:tc>
        <w:tc>
          <w:tcPr>
            <w:tcW w:w="3024" w:type="dxa"/>
            <w:vAlign w:val="center"/>
          </w:tcPr>
          <w:p w14:paraId="59B125CC">
            <w:pPr>
              <w:spacing w:line="360" w:lineRule="auto"/>
              <w:jc w:val="center"/>
              <w:rPr>
                <w:rFonts w:hint="eastAsia" w:ascii="宋体" w:hAnsi="宋体"/>
                <w:color w:val="000000" w:themeColor="text1"/>
                <w:highlight w:val="none"/>
                <w14:textFill>
                  <w14:solidFill>
                    <w14:schemeClr w14:val="tx1"/>
                  </w14:solidFill>
                </w14:textFill>
              </w:rPr>
            </w:pPr>
          </w:p>
        </w:tc>
        <w:tc>
          <w:tcPr>
            <w:tcW w:w="3390" w:type="dxa"/>
            <w:vAlign w:val="center"/>
          </w:tcPr>
          <w:p w14:paraId="3C363FFC">
            <w:pPr>
              <w:rPr>
                <w:rFonts w:hint="eastAsia" w:ascii="宋体" w:hAnsi="宋体"/>
                <w:color w:val="000000" w:themeColor="text1"/>
                <w:highlight w:val="none"/>
                <w:u w:val="single"/>
                <w14:textFill>
                  <w14:solidFill>
                    <w14:schemeClr w14:val="tx1"/>
                  </w14:solidFill>
                </w14:textFill>
              </w:rPr>
            </w:pPr>
          </w:p>
        </w:tc>
        <w:tc>
          <w:tcPr>
            <w:tcW w:w="1875" w:type="dxa"/>
            <w:vAlign w:val="center"/>
          </w:tcPr>
          <w:p w14:paraId="508B9D4D">
            <w:pPr>
              <w:rPr>
                <w:rFonts w:hint="eastAsia" w:ascii="宋体" w:hAnsi="宋体"/>
                <w:color w:val="000000" w:themeColor="text1"/>
                <w:highlight w:val="none"/>
                <w:u w:val="single"/>
                <w14:textFill>
                  <w14:solidFill>
                    <w14:schemeClr w14:val="tx1"/>
                  </w14:solidFill>
                </w14:textFill>
              </w:rPr>
            </w:pPr>
          </w:p>
        </w:tc>
      </w:tr>
      <w:tr w14:paraId="2B1606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909" w:hRule="atLeast"/>
          <w:jc w:val="center"/>
        </w:trPr>
        <w:tc>
          <w:tcPr>
            <w:tcW w:w="1041" w:type="dxa"/>
            <w:vAlign w:val="center"/>
          </w:tcPr>
          <w:p w14:paraId="42D71EFC">
            <w:pPr>
              <w:jc w:val="center"/>
              <w:rPr>
                <w:rFonts w:hint="eastAsia" w:ascii="宋体" w:hAnsi="宋体"/>
                <w:color w:val="000000" w:themeColor="text1"/>
                <w:highlight w:val="none"/>
                <w14:textFill>
                  <w14:solidFill>
                    <w14:schemeClr w14:val="tx1"/>
                  </w14:solidFill>
                </w14:textFill>
              </w:rPr>
            </w:pPr>
          </w:p>
        </w:tc>
        <w:tc>
          <w:tcPr>
            <w:tcW w:w="3024" w:type="dxa"/>
            <w:vAlign w:val="center"/>
          </w:tcPr>
          <w:p w14:paraId="0E336C15">
            <w:pPr>
              <w:jc w:val="center"/>
              <w:rPr>
                <w:rFonts w:hint="eastAsia" w:ascii="宋体" w:hAnsi="宋体"/>
                <w:color w:val="000000" w:themeColor="text1"/>
                <w:highlight w:val="none"/>
                <w14:textFill>
                  <w14:solidFill>
                    <w14:schemeClr w14:val="tx1"/>
                  </w14:solidFill>
                </w14:textFill>
              </w:rPr>
            </w:pPr>
          </w:p>
        </w:tc>
        <w:tc>
          <w:tcPr>
            <w:tcW w:w="3390" w:type="dxa"/>
            <w:vAlign w:val="center"/>
          </w:tcPr>
          <w:p w14:paraId="6B777BEC">
            <w:pPr>
              <w:rPr>
                <w:rFonts w:hint="eastAsia" w:ascii="宋体" w:hAnsi="宋体"/>
                <w:color w:val="000000" w:themeColor="text1"/>
                <w:highlight w:val="none"/>
                <w14:textFill>
                  <w14:solidFill>
                    <w14:schemeClr w14:val="tx1"/>
                  </w14:solidFill>
                </w14:textFill>
              </w:rPr>
            </w:pPr>
          </w:p>
        </w:tc>
        <w:tc>
          <w:tcPr>
            <w:tcW w:w="1875" w:type="dxa"/>
            <w:vAlign w:val="center"/>
          </w:tcPr>
          <w:p w14:paraId="570755FD">
            <w:pPr>
              <w:rPr>
                <w:rFonts w:hint="eastAsia" w:ascii="宋体" w:hAnsi="宋体"/>
                <w:color w:val="000000" w:themeColor="text1"/>
                <w:highlight w:val="none"/>
                <w14:textFill>
                  <w14:solidFill>
                    <w14:schemeClr w14:val="tx1"/>
                  </w14:solidFill>
                </w14:textFill>
              </w:rPr>
            </w:pPr>
          </w:p>
        </w:tc>
      </w:tr>
      <w:tr w14:paraId="13B902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1005" w:hRule="atLeast"/>
          <w:jc w:val="center"/>
        </w:trPr>
        <w:tc>
          <w:tcPr>
            <w:tcW w:w="1041" w:type="dxa"/>
            <w:vAlign w:val="center"/>
          </w:tcPr>
          <w:p w14:paraId="3DF003A2">
            <w:pPr>
              <w:jc w:val="center"/>
              <w:rPr>
                <w:rFonts w:hint="eastAsia" w:ascii="宋体" w:hAnsi="宋体"/>
                <w:color w:val="000000" w:themeColor="text1"/>
                <w:highlight w:val="none"/>
                <w14:textFill>
                  <w14:solidFill>
                    <w14:schemeClr w14:val="tx1"/>
                  </w14:solidFill>
                </w14:textFill>
              </w:rPr>
            </w:pPr>
          </w:p>
        </w:tc>
        <w:tc>
          <w:tcPr>
            <w:tcW w:w="3024" w:type="dxa"/>
            <w:vAlign w:val="center"/>
          </w:tcPr>
          <w:p w14:paraId="3401F6F1">
            <w:pPr>
              <w:jc w:val="center"/>
              <w:rPr>
                <w:rFonts w:hint="eastAsia" w:ascii="宋体" w:hAnsi="宋体"/>
                <w:color w:val="000000" w:themeColor="text1"/>
                <w:highlight w:val="none"/>
                <w14:textFill>
                  <w14:solidFill>
                    <w14:schemeClr w14:val="tx1"/>
                  </w14:solidFill>
                </w14:textFill>
              </w:rPr>
            </w:pPr>
          </w:p>
        </w:tc>
        <w:tc>
          <w:tcPr>
            <w:tcW w:w="3390" w:type="dxa"/>
            <w:vAlign w:val="center"/>
          </w:tcPr>
          <w:p w14:paraId="4BC4DB9B">
            <w:pPr>
              <w:rPr>
                <w:rFonts w:hint="eastAsia" w:ascii="宋体" w:hAnsi="宋体"/>
                <w:color w:val="000000" w:themeColor="text1"/>
                <w:highlight w:val="none"/>
                <w14:textFill>
                  <w14:solidFill>
                    <w14:schemeClr w14:val="tx1"/>
                  </w14:solidFill>
                </w14:textFill>
              </w:rPr>
            </w:pPr>
          </w:p>
        </w:tc>
        <w:tc>
          <w:tcPr>
            <w:tcW w:w="1875" w:type="dxa"/>
            <w:vAlign w:val="center"/>
          </w:tcPr>
          <w:p w14:paraId="5BAAEC42">
            <w:pPr>
              <w:rPr>
                <w:rFonts w:hint="eastAsia" w:ascii="宋体" w:hAnsi="宋体"/>
                <w:color w:val="000000" w:themeColor="text1"/>
                <w:highlight w:val="none"/>
                <w14:textFill>
                  <w14:solidFill>
                    <w14:schemeClr w14:val="tx1"/>
                  </w14:solidFill>
                </w14:textFill>
              </w:rPr>
            </w:pPr>
          </w:p>
        </w:tc>
      </w:tr>
    </w:tbl>
    <w:p w14:paraId="2112E124">
      <w:pPr>
        <w:jc w:val="center"/>
        <w:rPr>
          <w:rFonts w:hint="eastAsia" w:ascii="宋体" w:hAnsi="宋体"/>
          <w:color w:val="000000" w:themeColor="text1"/>
          <w:sz w:val="24"/>
          <w:szCs w:val="24"/>
          <w:highlight w:val="none"/>
          <w14:textFill>
            <w14:solidFill>
              <w14:schemeClr w14:val="tx1"/>
            </w14:solidFill>
          </w14:textFill>
        </w:rPr>
      </w:pPr>
    </w:p>
    <w:p w14:paraId="2E7DA161">
      <w:pPr>
        <w:ind w:left="-315" w:leftChars="-150" w:right="-378" w:rightChars="-18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w:t>
      </w:r>
      <w:r>
        <w:rPr>
          <w:rFonts w:hint="eastAsia" w:ascii="宋体" w:hAnsi="宋体"/>
          <w:color w:val="000000" w:themeColor="text1"/>
          <w:sz w:val="24"/>
          <w:szCs w:val="24"/>
          <w:highlight w:val="none"/>
          <w:lang w:eastAsia="zh-CN"/>
          <w14:textFill>
            <w14:solidFill>
              <w14:schemeClr w14:val="tx1"/>
            </w14:solidFill>
          </w14:textFill>
        </w:rPr>
        <w:t>供应商</w:t>
      </w:r>
      <w:r>
        <w:rPr>
          <w:rFonts w:hint="eastAsia" w:ascii="宋体" w:hAnsi="宋体"/>
          <w:color w:val="000000" w:themeColor="text1"/>
          <w:sz w:val="24"/>
          <w:szCs w:val="24"/>
          <w:highlight w:val="none"/>
          <w14:textFill>
            <w14:solidFill>
              <w14:schemeClr w14:val="tx1"/>
            </w14:solidFill>
          </w14:textFill>
        </w:rPr>
        <w:t>递交的投标文件与招标文件的商务要求的要求有不同时，应逐条列在商务偏离表中。</w:t>
      </w:r>
    </w:p>
    <w:p w14:paraId="6ED80D40">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p>
    <w:p w14:paraId="6E7B9AD3">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73ADB870">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737095E7">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58420A97">
      <w:pPr>
        <w:jc w:val="center"/>
        <w:rPr>
          <w:rFonts w:hint="eastAsia" w:ascii="宋体" w:hAnsi="宋体"/>
          <w:color w:val="000000" w:themeColor="text1"/>
          <w:sz w:val="24"/>
          <w:szCs w:val="24"/>
          <w:highlight w:val="none"/>
          <w14:textFill>
            <w14:solidFill>
              <w14:schemeClr w14:val="tx1"/>
            </w14:solidFill>
          </w14:textFill>
        </w:rPr>
      </w:pPr>
    </w:p>
    <w:p w14:paraId="3A1B1532">
      <w:pPr>
        <w:jc w:val="center"/>
        <w:rPr>
          <w:rFonts w:hint="eastAsia" w:ascii="宋体" w:hAnsi="宋体"/>
          <w:color w:val="000000" w:themeColor="text1"/>
          <w:sz w:val="24"/>
          <w:szCs w:val="24"/>
          <w:highlight w:val="none"/>
          <w14:textFill>
            <w14:solidFill>
              <w14:schemeClr w14:val="tx1"/>
            </w14:solidFill>
          </w14:textFill>
        </w:rPr>
      </w:pPr>
    </w:p>
    <w:p w14:paraId="7F9857AC">
      <w:pPr>
        <w:jc w:val="center"/>
        <w:rPr>
          <w:rFonts w:hint="eastAsia" w:ascii="宋体" w:hAnsi="宋体"/>
          <w:color w:val="000000" w:themeColor="text1"/>
          <w:sz w:val="24"/>
          <w:szCs w:val="24"/>
          <w:highlight w:val="none"/>
          <w14:textFill>
            <w14:solidFill>
              <w14:schemeClr w14:val="tx1"/>
            </w14:solidFill>
          </w14:textFill>
        </w:rPr>
      </w:pPr>
    </w:p>
    <w:p w14:paraId="7EDEB103">
      <w:pPr>
        <w:jc w:val="center"/>
        <w:rPr>
          <w:rFonts w:hint="eastAsia" w:ascii="宋体" w:hAnsi="宋体"/>
          <w:color w:val="000000" w:themeColor="text1"/>
          <w:sz w:val="24"/>
          <w:szCs w:val="24"/>
          <w:highlight w:val="none"/>
          <w14:textFill>
            <w14:solidFill>
              <w14:schemeClr w14:val="tx1"/>
            </w14:solidFill>
          </w14:textFill>
        </w:rPr>
      </w:pPr>
    </w:p>
    <w:p w14:paraId="0AB8F0C1">
      <w:pPr>
        <w:jc w:val="center"/>
        <w:rPr>
          <w:rFonts w:hint="eastAsia" w:ascii="宋体" w:hAnsi="宋体"/>
          <w:color w:val="000000" w:themeColor="text1"/>
          <w:sz w:val="24"/>
          <w:szCs w:val="24"/>
          <w:highlight w:val="none"/>
          <w14:textFill>
            <w14:solidFill>
              <w14:schemeClr w14:val="tx1"/>
            </w14:solidFill>
          </w14:textFill>
        </w:rPr>
      </w:pPr>
    </w:p>
    <w:p w14:paraId="245F0BA9">
      <w:pPr>
        <w:jc w:val="center"/>
        <w:rPr>
          <w:rFonts w:hint="eastAsia" w:ascii="宋体" w:hAnsi="宋体"/>
          <w:color w:val="000000" w:themeColor="text1"/>
          <w:sz w:val="24"/>
          <w:szCs w:val="24"/>
          <w:highlight w:val="none"/>
          <w14:textFill>
            <w14:solidFill>
              <w14:schemeClr w14:val="tx1"/>
            </w14:solidFill>
          </w14:textFill>
        </w:rPr>
      </w:pPr>
    </w:p>
    <w:p w14:paraId="55276015">
      <w:pPr>
        <w:jc w:val="center"/>
        <w:rPr>
          <w:rFonts w:hint="eastAsia" w:ascii="宋体" w:hAnsi="宋体"/>
          <w:color w:val="000000" w:themeColor="text1"/>
          <w:sz w:val="24"/>
          <w:szCs w:val="24"/>
          <w:highlight w:val="none"/>
          <w14:textFill>
            <w14:solidFill>
              <w14:schemeClr w14:val="tx1"/>
            </w14:solidFill>
          </w14:textFill>
        </w:rPr>
      </w:pPr>
    </w:p>
    <w:p w14:paraId="2D68A3B0">
      <w:pPr>
        <w:jc w:val="center"/>
        <w:rPr>
          <w:rFonts w:hint="eastAsia" w:ascii="宋体" w:hAnsi="宋体"/>
          <w:color w:val="000000" w:themeColor="text1"/>
          <w:sz w:val="24"/>
          <w:szCs w:val="24"/>
          <w:highlight w:val="none"/>
          <w14:textFill>
            <w14:solidFill>
              <w14:schemeClr w14:val="tx1"/>
            </w14:solidFill>
          </w14:textFill>
        </w:rPr>
      </w:pPr>
    </w:p>
    <w:p w14:paraId="7AA6AC0F">
      <w:pPr>
        <w:jc w:val="center"/>
        <w:rPr>
          <w:rFonts w:hint="eastAsia" w:ascii="宋体" w:hAnsi="宋体"/>
          <w:color w:val="000000" w:themeColor="text1"/>
          <w:sz w:val="24"/>
          <w:szCs w:val="24"/>
          <w:highlight w:val="none"/>
          <w14:textFill>
            <w14:solidFill>
              <w14:schemeClr w14:val="tx1"/>
            </w14:solidFill>
          </w14:textFill>
        </w:rPr>
      </w:pPr>
    </w:p>
    <w:p w14:paraId="24B6D85F">
      <w:pPr>
        <w:jc w:val="center"/>
        <w:rPr>
          <w:rFonts w:hint="eastAsia" w:ascii="宋体" w:hAnsi="宋体"/>
          <w:color w:val="000000" w:themeColor="text1"/>
          <w:sz w:val="24"/>
          <w:szCs w:val="24"/>
          <w:highlight w:val="none"/>
          <w14:textFill>
            <w14:solidFill>
              <w14:schemeClr w14:val="tx1"/>
            </w14:solidFill>
          </w14:textFill>
        </w:rPr>
      </w:pPr>
    </w:p>
    <w:p w14:paraId="3727503E">
      <w:pPr>
        <w:jc w:val="center"/>
        <w:rPr>
          <w:rFonts w:hint="eastAsia" w:ascii="宋体" w:hAnsi="宋体"/>
          <w:color w:val="000000" w:themeColor="text1"/>
          <w:sz w:val="24"/>
          <w:szCs w:val="24"/>
          <w:highlight w:val="none"/>
          <w14:textFill>
            <w14:solidFill>
              <w14:schemeClr w14:val="tx1"/>
            </w14:solidFill>
          </w14:textFill>
        </w:rPr>
      </w:pPr>
    </w:p>
    <w:p w14:paraId="1144B022">
      <w:pPr>
        <w:jc w:val="center"/>
        <w:rPr>
          <w:rFonts w:hint="eastAsia" w:ascii="宋体" w:hAnsi="宋体"/>
          <w:color w:val="000000" w:themeColor="text1"/>
          <w:sz w:val="24"/>
          <w:szCs w:val="24"/>
          <w:highlight w:val="none"/>
          <w14:textFill>
            <w14:solidFill>
              <w14:schemeClr w14:val="tx1"/>
            </w14:solidFill>
          </w14:textFill>
        </w:rPr>
      </w:pPr>
    </w:p>
    <w:p w14:paraId="438733CB">
      <w:pPr>
        <w:ind w:firstLine="2164" w:firstLineChars="902"/>
        <w:rPr>
          <w:rFonts w:hint="eastAsia" w:ascii="宋体" w:hAnsi="宋体"/>
          <w:color w:val="000000" w:themeColor="text1"/>
          <w:sz w:val="24"/>
          <w:szCs w:val="24"/>
          <w:highlight w:val="none"/>
          <w14:textFill>
            <w14:solidFill>
              <w14:schemeClr w14:val="tx1"/>
            </w14:solidFill>
          </w14:textFill>
        </w:rPr>
      </w:pPr>
    </w:p>
    <w:p w14:paraId="3738B2A5">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35" w:name="_Toc11231"/>
      <w:bookmarkEnd w:id="135"/>
      <w:bookmarkStart w:id="136" w:name="_Toc30608"/>
      <w:bookmarkStart w:id="137" w:name="_Toc3460"/>
      <w:r>
        <w:rPr>
          <w:rFonts w:hint="eastAsia" w:ascii="宋体" w:hAnsi="宋体"/>
          <w:b/>
          <w:bCs/>
          <w:color w:val="000000" w:themeColor="text1"/>
          <w:sz w:val="32"/>
          <w:szCs w:val="32"/>
          <w:highlight w:val="none"/>
          <w14:textFill>
            <w14:solidFill>
              <w14:schemeClr w14:val="tx1"/>
            </w14:solidFill>
          </w14:textFill>
        </w:rPr>
        <w:t>五．法定代表人身份证明及授权委托书</w:t>
      </w:r>
      <w:bookmarkEnd w:id="136"/>
      <w:bookmarkEnd w:id="137"/>
    </w:p>
    <w:p w14:paraId="4E7BF676">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14:paraId="640F2B8C">
      <w:pPr>
        <w:jc w:val="center"/>
        <w:rPr>
          <w:rFonts w:hint="eastAsia" w:ascii="宋体" w:hAnsi="宋体"/>
          <w:b/>
          <w:bCs/>
          <w:color w:val="000000" w:themeColor="text1"/>
          <w:sz w:val="32"/>
          <w:szCs w:val="32"/>
          <w:highlight w:val="none"/>
          <w14:textFill>
            <w14:solidFill>
              <w14:schemeClr w14:val="tx1"/>
            </w14:solidFill>
          </w14:textFill>
        </w:rPr>
      </w:pPr>
    </w:p>
    <w:p w14:paraId="6BB6A560">
      <w:pPr>
        <w:spacing w:line="440" w:lineRule="exact"/>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法定代表人身份证明</w:t>
      </w:r>
    </w:p>
    <w:p w14:paraId="7C6A47EC">
      <w:pPr>
        <w:spacing w:line="440" w:lineRule="exact"/>
        <w:jc w:val="center"/>
        <w:rPr>
          <w:rFonts w:hint="eastAsia" w:ascii="宋体" w:hAnsi="宋体"/>
          <w:b/>
          <w:bCs/>
          <w:color w:val="000000" w:themeColor="text1"/>
          <w:sz w:val="28"/>
          <w:szCs w:val="28"/>
          <w:highlight w:val="none"/>
          <w14:textFill>
            <w14:solidFill>
              <w14:schemeClr w14:val="tx1"/>
            </w14:solidFill>
          </w14:textFill>
        </w:rPr>
      </w:pPr>
    </w:p>
    <w:p w14:paraId="7522778C">
      <w:pPr>
        <w:spacing w:line="600" w:lineRule="exact"/>
        <w:ind w:firstLine="720" w:firstLineChars="3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企业名称：</w:t>
      </w:r>
      <w:r>
        <w:rPr>
          <w:rFonts w:hint="eastAsia" w:ascii="宋体" w:hAnsi="宋体"/>
          <w:color w:val="000000" w:themeColor="text1"/>
          <w:sz w:val="24"/>
          <w:szCs w:val="24"/>
          <w:highlight w:val="none"/>
          <w:u w:val="single"/>
          <w14:textFill>
            <w14:solidFill>
              <w14:schemeClr w14:val="tx1"/>
            </w14:solidFill>
          </w14:textFill>
        </w:rPr>
        <w:t xml:space="preserve">                             </w:t>
      </w:r>
    </w:p>
    <w:p w14:paraId="72B13306">
      <w:pPr>
        <w:spacing w:line="600" w:lineRule="exact"/>
        <w:ind w:firstLine="720" w:firstLineChars="3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    址：</w:t>
      </w:r>
      <w:r>
        <w:rPr>
          <w:rFonts w:hint="eastAsia" w:ascii="宋体" w:hAnsi="宋体"/>
          <w:color w:val="000000" w:themeColor="text1"/>
          <w:sz w:val="24"/>
          <w:szCs w:val="24"/>
          <w:highlight w:val="none"/>
          <w:u w:val="single"/>
          <w14:textFill>
            <w14:solidFill>
              <w14:schemeClr w14:val="tx1"/>
            </w14:solidFill>
          </w14:textFill>
        </w:rPr>
        <w:t xml:space="preserve">                             </w:t>
      </w:r>
    </w:p>
    <w:p w14:paraId="5DC83A59">
      <w:pPr>
        <w:spacing w:line="600" w:lineRule="exact"/>
        <w:ind w:firstLine="720" w:firstLineChars="3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姓    名：</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性别：</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职务：</w:t>
      </w:r>
      <w:r>
        <w:rPr>
          <w:rFonts w:hint="eastAsia" w:ascii="宋体" w:hAnsi="宋体"/>
          <w:color w:val="000000" w:themeColor="text1"/>
          <w:sz w:val="24"/>
          <w:szCs w:val="24"/>
          <w:highlight w:val="none"/>
          <w:u w:val="single"/>
          <w14:textFill>
            <w14:solidFill>
              <w14:schemeClr w14:val="tx1"/>
            </w14:solidFill>
          </w14:textFill>
        </w:rPr>
        <w:t xml:space="preserve">      </w:t>
      </w:r>
    </w:p>
    <w:p w14:paraId="3A014A4C">
      <w:pPr>
        <w:spacing w:line="600" w:lineRule="exact"/>
        <w:ind w:left="242" w:leftChars="-342" w:hanging="960" w:hangingChars="4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系</w:t>
      </w:r>
      <w:r>
        <w:rPr>
          <w:rFonts w:hint="eastAsia" w:ascii="宋体" w:hAnsi="宋体"/>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szCs w:val="24"/>
          <w:highlight w:val="none"/>
          <w:u w:val="single"/>
          <w:lang w:eastAsia="zh-CN"/>
          <w14:textFill>
            <w14:solidFill>
              <w14:schemeClr w14:val="tx1"/>
            </w14:solidFill>
          </w14:textFill>
        </w:rPr>
        <w:t>供应商</w:t>
      </w:r>
      <w:r>
        <w:rPr>
          <w:rFonts w:hint="eastAsia" w:ascii="宋体" w:hAnsi="宋体"/>
          <w:color w:val="000000" w:themeColor="text1"/>
          <w:sz w:val="24"/>
          <w:szCs w:val="24"/>
          <w:highlight w:val="none"/>
          <w:u w:val="single"/>
          <w14:textFill>
            <w14:solidFill>
              <w14:schemeClr w14:val="tx1"/>
            </w14:solidFill>
          </w14:textFill>
        </w:rPr>
        <w:t>名称）</w:t>
      </w:r>
      <w:r>
        <w:rPr>
          <w:rFonts w:hint="eastAsia" w:ascii="宋体" w:hAnsi="宋体"/>
          <w:color w:val="000000" w:themeColor="text1"/>
          <w:sz w:val="24"/>
          <w:szCs w:val="24"/>
          <w:highlight w:val="none"/>
          <w14:textFill>
            <w14:solidFill>
              <w14:schemeClr w14:val="tx1"/>
            </w14:solidFill>
          </w14:textFill>
        </w:rPr>
        <w:t>的法定代表人。能够为</w:t>
      </w:r>
      <w:r>
        <w:rPr>
          <w:rFonts w:hint="eastAsia" w:ascii="宋体" w:hAnsi="宋体"/>
          <w:color w:val="000000" w:themeColor="text1"/>
          <w:sz w:val="24"/>
          <w:szCs w:val="24"/>
          <w:highlight w:val="none"/>
          <w:u w:val="single"/>
          <w14:textFill>
            <w14:solidFill>
              <w14:schemeClr w14:val="tx1"/>
            </w14:solidFill>
          </w14:textFill>
        </w:rPr>
        <w:t>（投标项目名称）</w:t>
      </w:r>
      <w:r>
        <w:rPr>
          <w:rFonts w:hint="eastAsia" w:ascii="宋体" w:hAnsi="宋体"/>
          <w:color w:val="000000" w:themeColor="text1"/>
          <w:sz w:val="24"/>
          <w:szCs w:val="24"/>
          <w:highlight w:val="none"/>
          <w14:textFill>
            <w14:solidFill>
              <w14:schemeClr w14:val="tx1"/>
            </w14:solidFill>
          </w14:textFill>
        </w:rPr>
        <w:t>签署投标文件，进行合同谈判、签署合同及处理与之有关的一切事务。</w:t>
      </w:r>
    </w:p>
    <w:p w14:paraId="6D453690">
      <w:pPr>
        <w:spacing w:line="440" w:lineRule="exact"/>
        <w:ind w:left="242" w:leftChars="-342" w:hanging="960" w:hangingChars="400"/>
        <w:rPr>
          <w:rFonts w:hint="eastAsia" w:ascii="宋体" w:hAnsi="宋体"/>
          <w:color w:val="000000" w:themeColor="text1"/>
          <w:sz w:val="24"/>
          <w:szCs w:val="24"/>
          <w:highlight w:val="none"/>
          <w14:textFill>
            <w14:solidFill>
              <w14:schemeClr w14:val="tx1"/>
            </w14:solidFill>
          </w14:textFill>
        </w:rPr>
      </w:pPr>
    </w:p>
    <w:p w14:paraId="3CF37774">
      <w:pPr>
        <w:spacing w:line="440" w:lineRule="exact"/>
        <w:ind w:left="242" w:leftChars="-342" w:hanging="960" w:hangingChars="400"/>
        <w:rPr>
          <w:rFonts w:hint="eastAsia" w:ascii="宋体" w:hAnsi="宋体"/>
          <w:color w:val="000000" w:themeColor="text1"/>
          <w:sz w:val="24"/>
          <w:szCs w:val="24"/>
          <w:highlight w:val="none"/>
          <w14:textFill>
            <w14:solidFill>
              <w14:schemeClr w14:val="tx1"/>
            </w14:solidFill>
          </w14:textFill>
        </w:rPr>
      </w:pPr>
    </w:p>
    <w:p w14:paraId="12C9522A">
      <w:pPr>
        <w:spacing w:line="440" w:lineRule="exact"/>
        <w:ind w:left="242" w:leftChars="-342" w:hanging="960" w:hangingChars="400"/>
        <w:rPr>
          <w:rFonts w:hint="eastAsia" w:ascii="宋体" w:hAnsi="宋体"/>
          <w:color w:val="000000" w:themeColor="text1"/>
          <w:sz w:val="24"/>
          <w:szCs w:val="24"/>
          <w:highlight w:val="none"/>
          <w14:textFill>
            <w14:solidFill>
              <w14:schemeClr w14:val="tx1"/>
            </w14:solidFill>
          </w14:textFill>
        </w:rPr>
      </w:pPr>
    </w:p>
    <w:p w14:paraId="5EEAF114">
      <w:pPr>
        <w:spacing w:line="440" w:lineRule="exact"/>
        <w:ind w:left="238" w:leftChars="99" w:hanging="31" w:hangingChars="13"/>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特此证明。</w:t>
      </w:r>
    </w:p>
    <w:p w14:paraId="5FB8BC80">
      <w:pPr>
        <w:spacing w:line="440" w:lineRule="exact"/>
        <w:ind w:left="238" w:leftChars="99" w:hanging="31" w:hangingChars="13"/>
        <w:rPr>
          <w:rFonts w:hint="eastAsia" w:ascii="宋体" w:hAnsi="宋体"/>
          <w:color w:val="000000" w:themeColor="text1"/>
          <w:sz w:val="24"/>
          <w:szCs w:val="24"/>
          <w:highlight w:val="none"/>
          <w14:textFill>
            <w14:solidFill>
              <w14:schemeClr w14:val="tx1"/>
            </w14:solidFill>
          </w14:textFill>
        </w:rPr>
      </w:pPr>
    </w:p>
    <w:p w14:paraId="14D3FEE4">
      <w:pPr>
        <w:spacing w:line="440" w:lineRule="exact"/>
        <w:ind w:left="238" w:leftChars="99" w:hanging="31" w:hangingChars="13"/>
        <w:rPr>
          <w:rFonts w:hint="eastAsia" w:ascii="宋体" w:hAnsi="宋体"/>
          <w:color w:val="000000" w:themeColor="text1"/>
          <w:sz w:val="24"/>
          <w:szCs w:val="24"/>
          <w:highlight w:val="none"/>
          <w14:textFill>
            <w14:solidFill>
              <w14:schemeClr w14:val="tx1"/>
            </w14:solidFill>
          </w14:textFill>
        </w:rPr>
      </w:pPr>
    </w:p>
    <w:p w14:paraId="09672774">
      <w:pPr>
        <w:spacing w:line="440" w:lineRule="exact"/>
        <w:ind w:left="238" w:leftChars="99" w:hanging="31" w:hangingChars="13"/>
        <w:rPr>
          <w:rFonts w:hint="eastAsia" w:ascii="宋体" w:hAnsi="宋体"/>
          <w:color w:val="000000" w:themeColor="text1"/>
          <w:sz w:val="24"/>
          <w:szCs w:val="24"/>
          <w:highlight w:val="none"/>
          <w14:textFill>
            <w14:solidFill>
              <w14:schemeClr w14:val="tx1"/>
            </w14:solidFill>
          </w14:textFill>
        </w:rPr>
      </w:pPr>
    </w:p>
    <w:p w14:paraId="3342A9AF">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5981DFB7">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1F02337F">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483FD22E">
      <w:pPr>
        <w:jc w:val="center"/>
        <w:rPr>
          <w:rFonts w:hint="eastAsia" w:ascii="宋体" w:hAnsi="宋体"/>
          <w:color w:val="000000" w:themeColor="text1"/>
          <w:sz w:val="24"/>
          <w:szCs w:val="24"/>
          <w:highlight w:val="none"/>
          <w14:textFill>
            <w14:solidFill>
              <w14:schemeClr w14:val="tx1"/>
            </w14:solidFill>
          </w14:textFill>
        </w:rPr>
      </w:pPr>
    </w:p>
    <w:p w14:paraId="0B61109F">
      <w:pPr>
        <w:jc w:val="center"/>
        <w:rPr>
          <w:rFonts w:hint="eastAsia" w:ascii="宋体" w:hAnsi="宋体"/>
          <w:color w:val="000000" w:themeColor="text1"/>
          <w:sz w:val="24"/>
          <w:szCs w:val="24"/>
          <w:highlight w:val="none"/>
          <w14:textFill>
            <w14:solidFill>
              <w14:schemeClr w14:val="tx1"/>
            </w14:solidFill>
          </w14:textFill>
        </w:rPr>
      </w:pPr>
    </w:p>
    <w:p w14:paraId="29C6F7BB">
      <w:pPr>
        <w:jc w:val="center"/>
        <w:rPr>
          <w:rFonts w:hint="eastAsia" w:ascii="宋体" w:hAnsi="宋体"/>
          <w:color w:val="000000" w:themeColor="text1"/>
          <w:sz w:val="24"/>
          <w:szCs w:val="24"/>
          <w:highlight w:val="none"/>
          <w14:textFill>
            <w14:solidFill>
              <w14:schemeClr w14:val="tx1"/>
            </w14:solidFill>
          </w14:textFill>
        </w:rPr>
      </w:pPr>
    </w:p>
    <w:p w14:paraId="3F63DEFB">
      <w:pPr>
        <w:jc w:val="center"/>
        <w:rPr>
          <w:rFonts w:hint="eastAsia" w:ascii="宋体" w:hAnsi="宋体"/>
          <w:color w:val="000000" w:themeColor="text1"/>
          <w:sz w:val="24"/>
          <w:szCs w:val="24"/>
          <w:highlight w:val="none"/>
          <w14:textFill>
            <w14:solidFill>
              <w14:schemeClr w14:val="tx1"/>
            </w14:solidFill>
          </w14:textFill>
        </w:rPr>
      </w:pPr>
    </w:p>
    <w:p w14:paraId="49C4272F">
      <w:pPr>
        <w:jc w:val="center"/>
        <w:rPr>
          <w:rFonts w:hint="eastAsia" w:ascii="宋体" w:hAnsi="宋体"/>
          <w:color w:val="000000" w:themeColor="text1"/>
          <w:sz w:val="24"/>
          <w:szCs w:val="24"/>
          <w:highlight w:val="none"/>
          <w14:textFill>
            <w14:solidFill>
              <w14:schemeClr w14:val="tx1"/>
            </w14:solidFill>
          </w14:textFill>
        </w:rPr>
      </w:pPr>
    </w:p>
    <w:p w14:paraId="7FA1D99C">
      <w:pPr>
        <w:jc w:val="center"/>
        <w:rPr>
          <w:rFonts w:hint="eastAsia" w:ascii="宋体" w:hAnsi="宋体"/>
          <w:b/>
          <w:bCs/>
          <w:color w:val="000000" w:themeColor="text1"/>
          <w:sz w:val="32"/>
          <w:szCs w:val="32"/>
          <w:highlight w:val="none"/>
          <w14:textFill>
            <w14:solidFill>
              <w14:schemeClr w14:val="tx1"/>
            </w14:solidFill>
          </w14:textFill>
        </w:rPr>
      </w:pPr>
    </w:p>
    <w:p w14:paraId="3E8560EB">
      <w:pPr>
        <w:jc w:val="center"/>
        <w:rPr>
          <w:rFonts w:hint="eastAsia" w:ascii="宋体" w:hAnsi="宋体"/>
          <w:b/>
          <w:bCs/>
          <w:color w:val="000000" w:themeColor="text1"/>
          <w:sz w:val="32"/>
          <w:szCs w:val="32"/>
          <w:highlight w:val="none"/>
          <w14:textFill>
            <w14:solidFill>
              <w14:schemeClr w14:val="tx1"/>
            </w14:solidFill>
          </w14:textFill>
        </w:rPr>
      </w:pPr>
    </w:p>
    <w:p w14:paraId="03584815">
      <w:pPr>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授权委托书</w:t>
      </w:r>
    </w:p>
    <w:p w14:paraId="23BAD978">
      <w:pPr>
        <w:spacing w:line="360" w:lineRule="auto"/>
        <w:ind w:firstLine="480" w:firstLineChars="200"/>
        <w:rPr>
          <w:rFonts w:hint="eastAsia" w:ascii="宋体" w:hAnsi="宋体"/>
          <w:color w:val="000000" w:themeColor="text1"/>
          <w:sz w:val="24"/>
          <w:szCs w:val="24"/>
          <w:highlight w:val="none"/>
          <w14:textFill>
            <w14:solidFill>
              <w14:schemeClr w14:val="tx1"/>
            </w14:solidFill>
          </w14:textFill>
        </w:rPr>
      </w:pPr>
    </w:p>
    <w:p w14:paraId="204BACAD">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本人</w:t>
      </w:r>
      <w:r>
        <w:rPr>
          <w:rFonts w:hint="eastAsia" w:ascii="宋体" w:hAnsi="宋体"/>
          <w:color w:val="000000" w:themeColor="text1"/>
          <w:sz w:val="24"/>
          <w:szCs w:val="24"/>
          <w:highlight w:val="none"/>
          <w:u w:val="single"/>
          <w14:textFill>
            <w14:solidFill>
              <w14:schemeClr w14:val="tx1"/>
            </w14:solidFill>
          </w14:textFill>
        </w:rPr>
        <w:t>（姓名）</w:t>
      </w:r>
      <w:r>
        <w:rPr>
          <w:rFonts w:hint="eastAsia" w:ascii="宋体" w:hAnsi="宋体"/>
          <w:color w:val="000000" w:themeColor="text1"/>
          <w:sz w:val="24"/>
          <w:szCs w:val="24"/>
          <w:highlight w:val="none"/>
          <w14:textFill>
            <w14:solidFill>
              <w14:schemeClr w14:val="tx1"/>
            </w14:solidFill>
          </w14:textFill>
        </w:rPr>
        <w:t>系</w:t>
      </w:r>
      <w:r>
        <w:rPr>
          <w:rFonts w:hint="eastAsia" w:ascii="宋体" w:hAnsi="宋体"/>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szCs w:val="24"/>
          <w:highlight w:val="none"/>
          <w:u w:val="single"/>
          <w:lang w:eastAsia="zh-CN"/>
          <w14:textFill>
            <w14:solidFill>
              <w14:schemeClr w14:val="tx1"/>
            </w14:solidFill>
          </w14:textFill>
        </w:rPr>
        <w:t>供应商</w:t>
      </w:r>
      <w:r>
        <w:rPr>
          <w:rFonts w:hint="eastAsia" w:ascii="宋体" w:hAnsi="宋体"/>
          <w:color w:val="000000" w:themeColor="text1"/>
          <w:sz w:val="24"/>
          <w:szCs w:val="24"/>
          <w:highlight w:val="none"/>
          <w:u w:val="single"/>
          <w14:textFill>
            <w14:solidFill>
              <w14:schemeClr w14:val="tx1"/>
            </w14:solidFill>
          </w14:textFill>
        </w:rPr>
        <w:t>名称）</w:t>
      </w:r>
      <w:r>
        <w:rPr>
          <w:rFonts w:hint="eastAsia" w:ascii="宋体" w:hAnsi="宋体"/>
          <w:color w:val="000000" w:themeColor="text1"/>
          <w:sz w:val="24"/>
          <w:szCs w:val="24"/>
          <w:highlight w:val="none"/>
          <w14:textFill>
            <w14:solidFill>
              <w14:schemeClr w14:val="tx1"/>
            </w14:solidFill>
          </w14:textFill>
        </w:rPr>
        <w:t>的法定代表人，现委托</w:t>
      </w:r>
      <w:r>
        <w:rPr>
          <w:rFonts w:hint="eastAsia" w:ascii="宋体" w:hAnsi="宋体"/>
          <w:color w:val="000000" w:themeColor="text1"/>
          <w:sz w:val="24"/>
          <w:szCs w:val="24"/>
          <w:highlight w:val="none"/>
          <w:u w:val="single"/>
          <w14:textFill>
            <w14:solidFill>
              <w14:schemeClr w14:val="tx1"/>
            </w14:solidFill>
          </w14:textFill>
        </w:rPr>
        <w:t xml:space="preserve">  （姓名）  </w:t>
      </w:r>
      <w:r>
        <w:rPr>
          <w:rFonts w:hint="eastAsia" w:ascii="宋体" w:hAnsi="宋体"/>
          <w:color w:val="000000" w:themeColor="text1"/>
          <w:sz w:val="24"/>
          <w:szCs w:val="24"/>
          <w:highlight w:val="none"/>
          <w14:textFill>
            <w14:solidFill>
              <w14:schemeClr w14:val="tx1"/>
            </w14:solidFill>
          </w14:textFill>
        </w:rPr>
        <w:t>为我方代理人，联系方式</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。代理人根据授权，以我方名义签署、澄清、说明、补正、递交、撤回、修改</w:t>
      </w:r>
      <w:r>
        <w:rPr>
          <w:rFonts w:hint="eastAsia" w:ascii="宋体" w:hAnsi="宋体"/>
          <w:color w:val="000000" w:themeColor="text1"/>
          <w:sz w:val="24"/>
          <w:szCs w:val="24"/>
          <w:highlight w:val="none"/>
          <w:u w:val="single"/>
          <w14:textFill>
            <w14:solidFill>
              <w14:schemeClr w14:val="tx1"/>
            </w14:solidFill>
          </w14:textFill>
        </w:rPr>
        <w:t xml:space="preserve"> （项目名称） </w:t>
      </w:r>
      <w:r>
        <w:rPr>
          <w:rFonts w:hint="eastAsia" w:ascii="宋体" w:hAnsi="宋体"/>
          <w:color w:val="000000" w:themeColor="text1"/>
          <w:sz w:val="24"/>
          <w:szCs w:val="24"/>
          <w:highlight w:val="none"/>
          <w14:textFill>
            <w14:solidFill>
              <w14:schemeClr w14:val="tx1"/>
            </w14:solidFill>
          </w14:textFill>
        </w:rPr>
        <w:t>投标文件、签订合同和处理有关事宜，其法律后果由我方承担。</w:t>
      </w:r>
    </w:p>
    <w:p w14:paraId="11E8D2B9">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委托期限：</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w:t>
      </w:r>
    </w:p>
    <w:p w14:paraId="312D6EEC">
      <w:pPr>
        <w:spacing w:line="44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代理人无转委托权，特此证明。</w:t>
      </w:r>
    </w:p>
    <w:p w14:paraId="1BF00FB0">
      <w:pPr>
        <w:suppressAutoHyphens/>
        <w:spacing w:line="440" w:lineRule="exact"/>
        <w:ind w:firstLine="480" w:firstLineChars="200"/>
        <w:jc w:val="left"/>
        <w:rPr>
          <w:rFonts w:hint="eastAsia" w:ascii="宋体" w:hAnsi="宋体"/>
          <w:color w:val="000000" w:themeColor="text1"/>
          <w:kern w:val="0"/>
          <w:sz w:val="24"/>
          <w:szCs w:val="24"/>
          <w:highlight w:val="none"/>
          <w:lang w:bidi="ar"/>
          <w14:textFill>
            <w14:solidFill>
              <w14:schemeClr w14:val="tx1"/>
            </w14:solidFill>
          </w14:textFill>
        </w:rPr>
      </w:pPr>
      <w:r>
        <w:rPr>
          <w:rFonts w:hint="eastAsia" w:ascii="宋体" w:hAnsi="宋体"/>
          <w:color w:val="000000" w:themeColor="text1"/>
          <w:kern w:val="0"/>
          <w:sz w:val="24"/>
          <w:szCs w:val="24"/>
          <w:highlight w:val="none"/>
          <w:lang w:bidi="ar"/>
          <w14:textFill>
            <w14:solidFill>
              <w14:schemeClr w14:val="tx1"/>
            </w14:solidFill>
          </w14:textFill>
        </w:rPr>
        <w:t>附：法定代表人及授权委托人身份证明</w:t>
      </w:r>
    </w:p>
    <w:p w14:paraId="398BC53D">
      <w:pPr>
        <w:suppressAutoHyphens/>
        <w:spacing w:line="440" w:lineRule="exact"/>
        <w:jc w:val="left"/>
        <w:rPr>
          <w:rFonts w:hint="eastAsia" w:ascii="宋体" w:hAnsi="宋体"/>
          <w:color w:val="000000" w:themeColor="text1"/>
          <w:kern w:val="0"/>
          <w:sz w:val="24"/>
          <w:szCs w:val="24"/>
          <w:highlight w:val="none"/>
          <w:lang w:bidi="ar"/>
          <w14:textFill>
            <w14:solidFill>
              <w14:schemeClr w14:val="tx1"/>
            </w14:solidFill>
          </w14:textFill>
        </w:rPr>
      </w:pPr>
      <w:r>
        <w:rPr>
          <w:rFonts w:hint="eastAsia" w:ascii="宋体" w:hAnsi="宋体"/>
          <w:color w:val="000000" w:themeColor="text1"/>
          <w:kern w:val="0"/>
          <w:sz w:val="24"/>
          <w:szCs w:val="24"/>
          <w:highlight w:val="none"/>
          <w:lang w:bidi="ar"/>
          <w14:textFill>
            <w14:solidFill>
              <w14:schemeClr w14:val="tx1"/>
            </w14:solidFill>
          </w14:textFill>
        </w:rPr>
        <w:t xml:space="preserve"> </w:t>
      </w:r>
    </w:p>
    <w:p w14:paraId="79D52078">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p>
    <w:p w14:paraId="4214AC2E">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p>
    <w:p w14:paraId="1D6C41CA">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p>
    <w:p w14:paraId="27302600">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r>
        <w:rPr>
          <w:rFonts w:hint="eastAsia" w:ascii="宋体" w:hAnsi="宋体"/>
          <w:color w:val="000000" w:themeColor="text1"/>
          <w:kern w:val="0"/>
          <w:sz w:val="24"/>
          <w:szCs w:val="24"/>
          <w:highlight w:val="none"/>
          <w:lang w:bidi="ar"/>
          <w14:textFill>
            <w14:solidFill>
              <w14:schemeClr w14:val="tx1"/>
            </w14:solidFill>
          </w14:textFill>
        </w:rPr>
        <w:t>投  标  人（电子印章）：</w:t>
      </w:r>
      <w:r>
        <w:rPr>
          <w:rFonts w:hint="eastAsia" w:ascii="宋体" w:hAnsi="宋体"/>
          <w:color w:val="000000" w:themeColor="text1"/>
          <w:kern w:val="0"/>
          <w:sz w:val="24"/>
          <w:szCs w:val="24"/>
          <w:highlight w:val="none"/>
          <w:u w:val="single"/>
          <w:lang w:bidi="ar"/>
          <w14:textFill>
            <w14:solidFill>
              <w14:schemeClr w14:val="tx1"/>
            </w14:solidFill>
          </w14:textFill>
        </w:rPr>
        <w:t xml:space="preserve">                       </w:t>
      </w:r>
    </w:p>
    <w:p w14:paraId="2D1272DF">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r>
        <w:rPr>
          <w:rFonts w:hint="eastAsia" w:ascii="宋体" w:hAnsi="宋体"/>
          <w:color w:val="000000" w:themeColor="text1"/>
          <w:kern w:val="0"/>
          <w:sz w:val="24"/>
          <w:szCs w:val="24"/>
          <w:highlight w:val="none"/>
          <w:lang w:bidi="ar"/>
          <w14:textFill>
            <w14:solidFill>
              <w14:schemeClr w14:val="tx1"/>
            </w14:solidFill>
          </w14:textFill>
        </w:rPr>
        <w:t>法定代表人（电子签章）：</w:t>
      </w:r>
      <w:r>
        <w:rPr>
          <w:rFonts w:hint="eastAsia" w:ascii="宋体" w:hAnsi="宋体"/>
          <w:color w:val="000000" w:themeColor="text1"/>
          <w:kern w:val="0"/>
          <w:sz w:val="24"/>
          <w:szCs w:val="24"/>
          <w:highlight w:val="none"/>
          <w:u w:val="single"/>
          <w:lang w:bidi="ar"/>
          <w14:textFill>
            <w14:solidFill>
              <w14:schemeClr w14:val="tx1"/>
            </w14:solidFill>
          </w14:textFill>
        </w:rPr>
        <w:t xml:space="preserve">                  </w:t>
      </w:r>
    </w:p>
    <w:p w14:paraId="2A6A7580">
      <w:pPr>
        <w:suppressAutoHyphens/>
        <w:spacing w:line="600" w:lineRule="exact"/>
        <w:ind w:firstLine="2880" w:firstLineChars="1200"/>
        <w:jc w:val="left"/>
        <w:rPr>
          <w:rFonts w:hint="eastAsia" w:ascii="宋体" w:hAnsi="宋体"/>
          <w:color w:val="000000" w:themeColor="text1"/>
          <w:kern w:val="0"/>
          <w:sz w:val="24"/>
          <w:szCs w:val="24"/>
          <w:highlight w:val="none"/>
          <w:lang w:bidi="ar"/>
          <w14:textFill>
            <w14:solidFill>
              <w14:schemeClr w14:val="tx1"/>
            </w14:solidFill>
          </w14:textFill>
        </w:rPr>
      </w:pPr>
      <w:r>
        <w:rPr>
          <w:rFonts w:hint="eastAsia" w:ascii="宋体" w:hAnsi="宋体"/>
          <w:color w:val="000000" w:themeColor="text1"/>
          <w:kern w:val="0"/>
          <w:sz w:val="24"/>
          <w:szCs w:val="24"/>
          <w:highlight w:val="none"/>
          <w:lang w:bidi="ar"/>
          <w14:textFill>
            <w14:solidFill>
              <w14:schemeClr w14:val="tx1"/>
            </w14:solidFill>
          </w14:textFill>
        </w:rPr>
        <w:t>日期：</w:t>
      </w:r>
      <w:r>
        <w:rPr>
          <w:rFonts w:hint="eastAsia" w:ascii="宋体" w:hAnsi="宋体"/>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color w:val="000000" w:themeColor="text1"/>
          <w:kern w:val="0"/>
          <w:sz w:val="24"/>
          <w:szCs w:val="24"/>
          <w:highlight w:val="none"/>
          <w:lang w:bidi="ar"/>
          <w14:textFill>
            <w14:solidFill>
              <w14:schemeClr w14:val="tx1"/>
            </w14:solidFill>
          </w14:textFill>
        </w:rPr>
        <w:t>年</w:t>
      </w:r>
      <w:r>
        <w:rPr>
          <w:rFonts w:hint="eastAsia" w:ascii="宋体" w:hAnsi="宋体"/>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color w:val="000000" w:themeColor="text1"/>
          <w:kern w:val="0"/>
          <w:sz w:val="24"/>
          <w:szCs w:val="24"/>
          <w:highlight w:val="none"/>
          <w:lang w:bidi="ar"/>
          <w14:textFill>
            <w14:solidFill>
              <w14:schemeClr w14:val="tx1"/>
            </w14:solidFill>
          </w14:textFill>
        </w:rPr>
        <w:t>月</w:t>
      </w:r>
      <w:r>
        <w:rPr>
          <w:rFonts w:hint="eastAsia" w:ascii="宋体" w:hAnsi="宋体"/>
          <w:color w:val="000000" w:themeColor="text1"/>
          <w:kern w:val="0"/>
          <w:sz w:val="24"/>
          <w:szCs w:val="24"/>
          <w:highlight w:val="none"/>
          <w:u w:val="single"/>
          <w:lang w:bidi="ar"/>
          <w14:textFill>
            <w14:solidFill>
              <w14:schemeClr w14:val="tx1"/>
            </w14:solidFill>
          </w14:textFill>
        </w:rPr>
        <w:t xml:space="preserve">       </w:t>
      </w:r>
      <w:r>
        <w:rPr>
          <w:rFonts w:hint="eastAsia" w:ascii="宋体" w:hAnsi="宋体"/>
          <w:color w:val="000000" w:themeColor="text1"/>
          <w:kern w:val="0"/>
          <w:sz w:val="24"/>
          <w:szCs w:val="24"/>
          <w:highlight w:val="none"/>
          <w:lang w:bidi="ar"/>
          <w14:textFill>
            <w14:solidFill>
              <w14:schemeClr w14:val="tx1"/>
            </w14:solidFill>
          </w14:textFill>
        </w:rPr>
        <w:t>日</w:t>
      </w:r>
    </w:p>
    <w:p w14:paraId="45BA41FE">
      <w:pPr>
        <w:spacing w:line="440" w:lineRule="exact"/>
        <w:ind w:firstLine="2520" w:firstLineChars="1050"/>
        <w:rPr>
          <w:rFonts w:hint="eastAsia" w:ascii="宋体" w:hAnsi="宋体"/>
          <w:color w:val="000000" w:themeColor="text1"/>
          <w:sz w:val="24"/>
          <w:highlight w:val="none"/>
          <w:u w:val="single"/>
          <w14:textFill>
            <w14:solidFill>
              <w14:schemeClr w14:val="tx1"/>
            </w14:solidFill>
          </w14:textFill>
        </w:rPr>
      </w:pPr>
    </w:p>
    <w:p w14:paraId="6712B62D">
      <w:pPr>
        <w:spacing w:line="360" w:lineRule="auto"/>
        <w:jc w:val="center"/>
        <w:rPr>
          <w:rFonts w:hint="eastAsia" w:ascii="宋体" w:hAnsi="宋体"/>
          <w:color w:val="000000" w:themeColor="text1"/>
          <w:highlight w:val="none"/>
          <w14:textFill>
            <w14:solidFill>
              <w14:schemeClr w14:val="tx1"/>
            </w14:solidFill>
          </w14:textFill>
        </w:rPr>
      </w:pPr>
    </w:p>
    <w:p w14:paraId="78CB3EA6">
      <w:pPr>
        <w:jc w:val="center"/>
        <w:rPr>
          <w:rFonts w:hint="eastAsia" w:ascii="宋体" w:hAnsi="宋体"/>
          <w:b/>
          <w:bCs/>
          <w:color w:val="000000" w:themeColor="text1"/>
          <w:sz w:val="32"/>
          <w:szCs w:val="32"/>
          <w:highlight w:val="none"/>
          <w14:textFill>
            <w14:solidFill>
              <w14:schemeClr w14:val="tx1"/>
            </w14:solidFill>
          </w14:textFill>
        </w:rPr>
      </w:pPr>
    </w:p>
    <w:p w14:paraId="7FB581E1">
      <w:pPr>
        <w:jc w:val="center"/>
        <w:rPr>
          <w:rFonts w:hint="eastAsia" w:ascii="宋体" w:hAnsi="宋体"/>
          <w:b/>
          <w:bCs/>
          <w:color w:val="000000" w:themeColor="text1"/>
          <w:sz w:val="32"/>
          <w:szCs w:val="32"/>
          <w:highlight w:val="none"/>
          <w14:textFill>
            <w14:solidFill>
              <w14:schemeClr w14:val="tx1"/>
            </w14:solidFill>
          </w14:textFill>
        </w:rPr>
      </w:pPr>
    </w:p>
    <w:p w14:paraId="424492B4">
      <w:pPr>
        <w:pStyle w:val="51"/>
        <w:rPr>
          <w:rFonts w:hint="eastAsia" w:ascii="宋体" w:hAnsi="宋体"/>
          <w:b/>
          <w:bCs/>
          <w:color w:val="000000" w:themeColor="text1"/>
          <w:szCs w:val="32"/>
          <w:highlight w:val="none"/>
          <w14:textFill>
            <w14:solidFill>
              <w14:schemeClr w14:val="tx1"/>
            </w14:solidFill>
          </w14:textFill>
        </w:rPr>
      </w:pPr>
    </w:p>
    <w:p w14:paraId="12D8993A">
      <w:pPr>
        <w:pStyle w:val="51"/>
        <w:rPr>
          <w:rFonts w:hint="eastAsia" w:ascii="宋体" w:hAnsi="宋体"/>
          <w:b/>
          <w:bCs/>
          <w:color w:val="000000" w:themeColor="text1"/>
          <w:szCs w:val="32"/>
          <w:highlight w:val="none"/>
          <w14:textFill>
            <w14:solidFill>
              <w14:schemeClr w14:val="tx1"/>
            </w14:solidFill>
          </w14:textFill>
        </w:rPr>
      </w:pPr>
    </w:p>
    <w:p w14:paraId="3983191B">
      <w:pPr>
        <w:pStyle w:val="51"/>
        <w:rPr>
          <w:rFonts w:hint="eastAsia" w:ascii="宋体" w:hAnsi="宋体"/>
          <w:b/>
          <w:bCs/>
          <w:color w:val="000000" w:themeColor="text1"/>
          <w:szCs w:val="32"/>
          <w:highlight w:val="none"/>
          <w14:textFill>
            <w14:solidFill>
              <w14:schemeClr w14:val="tx1"/>
            </w14:solidFill>
          </w14:textFill>
        </w:rPr>
      </w:pPr>
    </w:p>
    <w:p w14:paraId="727A04AB">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38" w:name="_Toc10427"/>
      <w:bookmarkEnd w:id="138"/>
      <w:r>
        <w:rPr>
          <w:rFonts w:hint="eastAsia" w:ascii="宋体" w:hAnsi="宋体"/>
          <w:b/>
          <w:bCs/>
          <w:color w:val="000000" w:themeColor="text1"/>
          <w:sz w:val="32"/>
          <w:szCs w:val="32"/>
          <w:highlight w:val="none"/>
          <w14:textFill>
            <w14:solidFill>
              <w14:schemeClr w14:val="tx1"/>
            </w14:solidFill>
          </w14:textFill>
        </w:rPr>
        <w:br w:type="page"/>
      </w:r>
      <w:bookmarkStart w:id="139" w:name="_Toc1462"/>
      <w:bookmarkStart w:id="140" w:name="_Toc9116"/>
      <w:r>
        <w:rPr>
          <w:rFonts w:hint="eastAsia" w:ascii="宋体" w:hAnsi="宋体"/>
          <w:b/>
          <w:bCs/>
          <w:color w:val="000000" w:themeColor="text1"/>
          <w:sz w:val="32"/>
          <w:szCs w:val="32"/>
          <w:highlight w:val="none"/>
          <w14:textFill>
            <w14:solidFill>
              <w14:schemeClr w14:val="tx1"/>
            </w14:solidFill>
          </w14:textFill>
        </w:rPr>
        <w:t>六．服务承诺书</w:t>
      </w:r>
      <w:bookmarkEnd w:id="139"/>
      <w:bookmarkEnd w:id="140"/>
    </w:p>
    <w:p w14:paraId="1E6D35AF">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承诺可包括“评分因素及分值”部分，还可以涉及项目的具体实施方案等</w:t>
      </w:r>
      <w:r>
        <w:rPr>
          <w:rFonts w:hint="eastAsia" w:ascii="宋体" w:hAnsi="宋体"/>
          <w:b/>
          <w:bCs/>
          <w:color w:val="000000" w:themeColor="text1"/>
          <w:sz w:val="24"/>
          <w:szCs w:val="24"/>
          <w:highlight w:val="none"/>
          <w:lang w:eastAsia="zh-CN"/>
          <w14:textFill>
            <w14:solidFill>
              <w14:schemeClr w14:val="tx1"/>
            </w14:solidFill>
          </w14:textFill>
        </w:rPr>
        <w:t>供应商</w:t>
      </w:r>
      <w:r>
        <w:rPr>
          <w:rFonts w:hint="eastAsia" w:ascii="宋体" w:hAnsi="宋体"/>
          <w:b/>
          <w:bCs/>
          <w:color w:val="000000" w:themeColor="text1"/>
          <w:sz w:val="24"/>
          <w:szCs w:val="24"/>
          <w:highlight w:val="none"/>
          <w14:textFill>
            <w14:solidFill>
              <w14:schemeClr w14:val="tx1"/>
            </w14:solidFill>
          </w14:textFill>
        </w:rPr>
        <w:t>认为有必要的其它内容。</w:t>
      </w:r>
    </w:p>
    <w:p w14:paraId="28CFADE5">
      <w:pPr>
        <w:jc w:val="left"/>
        <w:rPr>
          <w:rFonts w:hint="eastAsia" w:ascii="宋体" w:hAnsi="宋体"/>
          <w:b/>
          <w:bCs/>
          <w:color w:val="000000" w:themeColor="text1"/>
          <w:sz w:val="24"/>
          <w:szCs w:val="24"/>
          <w:highlight w:val="none"/>
          <w14:textFill>
            <w14:solidFill>
              <w14:schemeClr w14:val="tx1"/>
            </w14:solidFill>
          </w14:textFill>
        </w:rPr>
      </w:pPr>
    </w:p>
    <w:tbl>
      <w:tblPr>
        <w:tblStyle w:val="18"/>
        <w:tblW w:w="936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360"/>
      </w:tblGrid>
      <w:tr w14:paraId="4A6833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610" w:hRule="atLeast"/>
          <w:jc w:val="center"/>
        </w:trPr>
        <w:tc>
          <w:tcPr>
            <w:tcW w:w="9360" w:type="dxa"/>
          </w:tcPr>
          <w:p w14:paraId="7979FA83">
            <w:pPr>
              <w:spacing w:after="312" w:line="440" w:lineRule="exact"/>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承诺内容包括：</w:t>
            </w:r>
          </w:p>
          <w:p w14:paraId="46553810">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6A8E4187">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54F868EE">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6EB3BA17">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61BCD381">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7853C80C">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2206B007">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5D03D90B">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5AE8D64A">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3D07827B">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211EA76C">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67B732D0">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124B9E5F">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1BC0D526">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3A17D944">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2F79CB02">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7DFAF564">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eastAsia="zh-CN"/>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（电子印章）</w:t>
            </w:r>
          </w:p>
          <w:p w14:paraId="77AF109C">
            <w:pPr>
              <w:spacing w:line="480" w:lineRule="auto"/>
              <w:ind w:right="277" w:rightChars="132"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（电子签章）</w:t>
            </w:r>
          </w:p>
          <w:p w14:paraId="55293C5D">
            <w:pPr>
              <w:spacing w:line="600" w:lineRule="exact"/>
              <w:ind w:firstLine="2880" w:firstLineChars="1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14:paraId="7AE4AFF2">
            <w:pPr>
              <w:spacing w:line="600" w:lineRule="exact"/>
              <w:ind w:left="1560" w:leftChars="743" w:firstLine="1560" w:firstLineChars="650"/>
              <w:jc w:val="center"/>
              <w:rPr>
                <w:rFonts w:hint="eastAsia" w:ascii="宋体" w:hAnsi="宋体"/>
                <w:color w:val="000000" w:themeColor="text1"/>
                <w:sz w:val="24"/>
                <w:szCs w:val="24"/>
                <w:highlight w:val="none"/>
                <w14:textFill>
                  <w14:solidFill>
                    <w14:schemeClr w14:val="tx1"/>
                  </w14:solidFill>
                </w14:textFill>
              </w:rPr>
            </w:pPr>
          </w:p>
        </w:tc>
      </w:tr>
    </w:tbl>
    <w:p w14:paraId="74B27414">
      <w:pPr>
        <w:jc w:val="center"/>
        <w:rPr>
          <w:rFonts w:hint="eastAsia" w:ascii="宋体" w:hAnsi="宋体"/>
          <w:b/>
          <w:bCs/>
          <w:color w:val="000000" w:themeColor="text1"/>
          <w:sz w:val="32"/>
          <w:szCs w:val="32"/>
          <w:highlight w:val="none"/>
          <w14:textFill>
            <w14:solidFill>
              <w14:schemeClr w14:val="tx1"/>
            </w14:solidFill>
          </w14:textFill>
        </w:rPr>
      </w:pPr>
    </w:p>
    <w:p w14:paraId="42BD5AB7">
      <w:pPr>
        <w:jc w:val="center"/>
        <w:rPr>
          <w:rFonts w:hint="eastAsia" w:ascii="宋体" w:hAnsi="宋体"/>
          <w:b/>
          <w:bCs/>
          <w:color w:val="000000" w:themeColor="text1"/>
          <w:sz w:val="32"/>
          <w:szCs w:val="32"/>
          <w:highlight w:val="none"/>
          <w14:textFill>
            <w14:solidFill>
              <w14:schemeClr w14:val="tx1"/>
            </w14:solidFill>
          </w14:textFill>
        </w:rPr>
      </w:pPr>
    </w:p>
    <w:p w14:paraId="577A883C">
      <w:pPr>
        <w:rPr>
          <w:rFonts w:hint="eastAsia" w:ascii="宋体" w:hAnsi="宋体"/>
          <w:b/>
          <w:bCs/>
          <w:color w:val="000000" w:themeColor="text1"/>
          <w:sz w:val="32"/>
          <w:szCs w:val="32"/>
          <w:highlight w:val="none"/>
          <w14:textFill>
            <w14:solidFill>
              <w14:schemeClr w14:val="tx1"/>
            </w14:solidFill>
          </w14:textFill>
        </w:rPr>
      </w:pPr>
    </w:p>
    <w:p w14:paraId="01C54007">
      <w:pPr>
        <w:pStyle w:val="64"/>
        <w:shd w:val="clear" w:color="auto" w:fill="FFFFFF"/>
        <w:jc w:val="center"/>
        <w:outlineLvl w:val="1"/>
        <w:rPr>
          <w:rFonts w:hint="eastAsia" w:ascii="宋体" w:hAnsi="宋体"/>
          <w:b/>
          <w:color w:val="000000" w:themeColor="text1"/>
          <w:sz w:val="32"/>
          <w:szCs w:val="32"/>
          <w:highlight w:val="none"/>
          <w14:textFill>
            <w14:solidFill>
              <w14:schemeClr w14:val="tx1"/>
            </w14:solidFill>
          </w14:textFill>
        </w:rPr>
      </w:pPr>
      <w:bookmarkStart w:id="141" w:name="_Toc19832"/>
      <w:bookmarkStart w:id="142" w:name="_Toc17285"/>
      <w:bookmarkStart w:id="143" w:name="_Toc11216"/>
      <w:r>
        <w:rPr>
          <w:rFonts w:hint="eastAsia" w:ascii="宋体" w:hAnsi="宋体"/>
          <w:b/>
          <w:color w:val="000000" w:themeColor="text1"/>
          <w:sz w:val="32"/>
          <w:szCs w:val="32"/>
          <w:highlight w:val="none"/>
          <w14:textFill>
            <w14:solidFill>
              <w14:schemeClr w14:val="tx1"/>
            </w14:solidFill>
          </w14:textFill>
        </w:rPr>
        <w:t>七</w:t>
      </w:r>
      <w:r>
        <w:rPr>
          <w:rFonts w:hint="eastAsia" w:ascii="宋体" w:hAnsi="宋体"/>
          <w:b/>
          <w:bCs/>
          <w:color w:val="000000" w:themeColor="text1"/>
          <w:sz w:val="32"/>
          <w:szCs w:val="32"/>
          <w:highlight w:val="none"/>
          <w14:textFill>
            <w14:solidFill>
              <w14:schemeClr w14:val="tx1"/>
            </w14:solidFill>
          </w14:textFill>
        </w:rPr>
        <w:t>．</w:t>
      </w:r>
      <w:r>
        <w:rPr>
          <w:rFonts w:hint="eastAsia" w:ascii="宋体" w:hAnsi="宋体"/>
          <w:b/>
          <w:color w:val="000000" w:themeColor="text1"/>
          <w:sz w:val="32"/>
          <w:szCs w:val="32"/>
          <w:highlight w:val="none"/>
          <w14:textFill>
            <w14:solidFill>
              <w14:schemeClr w14:val="tx1"/>
            </w14:solidFill>
          </w14:textFill>
        </w:rPr>
        <w:t>投标承诺书</w:t>
      </w:r>
      <w:bookmarkEnd w:id="141"/>
      <w:bookmarkEnd w:id="142"/>
    </w:p>
    <w:p w14:paraId="074746DF">
      <w:pPr>
        <w:pStyle w:val="64"/>
        <w:shd w:val="clear" w:color="auto" w:fill="FFFFFF"/>
        <w:jc w:val="center"/>
        <w:outlineLvl w:val="2"/>
        <w:rPr>
          <w:rFonts w:hint="eastAsia" w:ascii="宋体" w:hAnsi="宋体"/>
          <w:b/>
          <w:color w:val="000000" w:themeColor="text1"/>
          <w:sz w:val="28"/>
          <w:szCs w:val="28"/>
          <w:highlight w:val="none"/>
          <w14:textFill>
            <w14:solidFill>
              <w14:schemeClr w14:val="tx1"/>
            </w14:solidFill>
          </w14:textFill>
        </w:rPr>
      </w:pPr>
      <w:bookmarkStart w:id="144" w:name="_Toc4161"/>
      <w:bookmarkStart w:id="145" w:name="_Toc32427"/>
      <w:r>
        <w:rPr>
          <w:rFonts w:hint="eastAsia" w:ascii="宋体" w:hAnsi="宋体"/>
          <w:b/>
          <w:color w:val="000000" w:themeColor="text1"/>
          <w:sz w:val="28"/>
          <w:szCs w:val="28"/>
          <w:highlight w:val="none"/>
          <w14:textFill>
            <w14:solidFill>
              <w14:schemeClr w14:val="tx1"/>
            </w14:solidFill>
          </w14:textFill>
        </w:rPr>
        <w:t>1、投标承诺函</w:t>
      </w:r>
      <w:bookmarkEnd w:id="144"/>
      <w:bookmarkEnd w:id="145"/>
    </w:p>
    <w:p w14:paraId="240A508A">
      <w:pPr>
        <w:pStyle w:val="64"/>
        <w:shd w:val="clear" w:color="auto" w:fill="FFFFFF"/>
        <w:spacing w:line="360" w:lineRule="auto"/>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致</w:t>
      </w:r>
      <w:r>
        <w:rPr>
          <w:rFonts w:hint="eastAsia" w:ascii="宋体" w:hAnsi="宋体"/>
          <w:color w:val="000000" w:themeColor="text1"/>
          <w:highlight w:val="none"/>
          <w:u w:val="single"/>
          <w:lang w:val="zh-CN"/>
          <w14:textFill>
            <w14:solidFill>
              <w14:schemeClr w14:val="tx1"/>
            </w14:solidFill>
          </w14:textFill>
        </w:rPr>
        <w:t>（采购人及采购代理机构）</w:t>
      </w:r>
      <w:r>
        <w:rPr>
          <w:rFonts w:hint="eastAsia" w:ascii="宋体" w:hAnsi="宋体"/>
          <w:color w:val="000000" w:themeColor="text1"/>
          <w:highlight w:val="none"/>
          <w:lang w:val="zh-CN"/>
          <w14:textFill>
            <w14:solidFill>
              <w14:schemeClr w14:val="tx1"/>
            </w14:solidFill>
          </w14:textFill>
        </w:rPr>
        <w:t>：</w:t>
      </w:r>
    </w:p>
    <w:p w14:paraId="38272808">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我公司作为本次采购项目的供应商，根据招标文件要求，现郑重承诺如下：</w:t>
      </w:r>
    </w:p>
    <w:p w14:paraId="11DA2119">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一、具备《中华人民共和国政府采购法》第二十二条第一款和本项目规定的条件：</w:t>
      </w:r>
    </w:p>
    <w:p w14:paraId="1063B819">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（一）具有独立承担民事责任的能力；</w:t>
      </w:r>
    </w:p>
    <w:p w14:paraId="241372F6">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（二）具有良好的商业信誉和健全的财务会计制度；</w:t>
      </w:r>
    </w:p>
    <w:p w14:paraId="7AD67A0C">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（三）具有履行合同所必需的设备和专业技术能力；</w:t>
      </w:r>
    </w:p>
    <w:p w14:paraId="68C0BBCC">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w:t>
      </w:r>
      <w:r>
        <w:rPr>
          <w:rFonts w:hint="eastAsia" w:ascii="宋体" w:hAnsi="宋体"/>
          <w:color w:val="000000" w:themeColor="text1"/>
          <w:highlight w:val="none"/>
          <w14:textFill>
            <w14:solidFill>
              <w14:schemeClr w14:val="tx1"/>
            </w14:solidFill>
          </w14:textFill>
        </w:rPr>
        <w:t>四</w:t>
      </w:r>
      <w:r>
        <w:rPr>
          <w:rFonts w:hint="eastAsia" w:ascii="宋体" w:hAnsi="宋体"/>
          <w:color w:val="000000" w:themeColor="text1"/>
          <w:highlight w:val="none"/>
          <w:lang w:val="zh-CN"/>
          <w14:textFill>
            <w14:solidFill>
              <w14:schemeClr w14:val="tx1"/>
            </w14:solidFill>
          </w14:textFill>
        </w:rPr>
        <w:t>）</w:t>
      </w:r>
      <w:r>
        <w:rPr>
          <w:rFonts w:hint="eastAsia" w:ascii="宋体" w:hAnsi="宋体"/>
          <w:color w:val="000000" w:themeColor="text1"/>
          <w:highlight w:val="none"/>
          <w14:textFill>
            <w14:solidFill>
              <w14:schemeClr w14:val="tx1"/>
            </w14:solidFill>
          </w14:textFill>
        </w:rPr>
        <w:t>有依法缴纳税收和社会保障资金的良好记录；</w:t>
      </w:r>
    </w:p>
    <w:p w14:paraId="4E54DAB0">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（五）参加政府采购活动前三年内，在经营活动中没有重大违法记录；</w:t>
      </w:r>
    </w:p>
    <w:p w14:paraId="710FBBCA">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（六）法律、行政法规规定的其他条件；</w:t>
      </w:r>
    </w:p>
    <w:p w14:paraId="7C686A22">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（七）根据采购项目提出的特殊条件。</w:t>
      </w:r>
    </w:p>
    <w:p w14:paraId="252D959D">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709F34E6">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三、参加本次招标采购活动，不存在与单位负责人为同一人或者存在直接控股、管理关系的其他供应商参与同一合同项下的政府采购活动的行为。</w:t>
      </w:r>
    </w:p>
    <w:p w14:paraId="5BA3FBC6">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四、参加本次招标采购活动，不存在为采购项目提供整体设计、规范编制或者项目管理、监理、检测等服务的行为。</w:t>
      </w:r>
    </w:p>
    <w:p w14:paraId="591DC133">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五、参加本次招标采购活动，不存在和其他供应商在同一合同项下的采购项目中，同时委托同一个自然人、同一家庭的人员、同一单位的人员作为代理人的行为。</w:t>
      </w:r>
    </w:p>
    <w:p w14:paraId="29565A33">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六、投标人参加本次政府采购活动要求在近三年内投标人和其法定代表人没有行贿犯罪行为。</w:t>
      </w:r>
    </w:p>
    <w:p w14:paraId="54CB2529">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七、参加本次招标采购活动，不存在联合体投标。</w:t>
      </w:r>
    </w:p>
    <w:p w14:paraId="5357D1F8">
      <w:pPr>
        <w:pStyle w:val="64"/>
        <w:shd w:val="clear" w:color="auto" w:fill="FFFFFF"/>
        <w:spacing w:before="0" w:beforeAutospacing="0" w:after="0" w:afterAutospacing="0" w:line="440" w:lineRule="exact"/>
        <w:ind w:firstLine="482"/>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八、投标文件中提供的任何材料资料和技术、服务、商务等响应承诺情况都是真实的、有效的、合法的。</w:t>
      </w:r>
    </w:p>
    <w:p w14:paraId="5CFF4A56">
      <w:pPr>
        <w:pStyle w:val="64"/>
        <w:shd w:val="clear" w:color="auto" w:fill="FFFFFF"/>
        <w:spacing w:before="0" w:beforeAutospacing="0" w:after="0" w:afterAutospacing="0" w:line="440" w:lineRule="exact"/>
        <w:ind w:firstLine="482"/>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九、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14:paraId="0957B586">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十、存在以下行为之一的愿意接受相关部门的处理：</w:t>
      </w:r>
    </w:p>
    <w:p w14:paraId="536ECBBA">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（一）投标有效期内撤销投标文件的；</w:t>
      </w:r>
    </w:p>
    <w:p w14:paraId="6E16BD77">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（二）在采购人确定中标人以前放弃中标候选资格的；</w:t>
      </w:r>
    </w:p>
    <w:p w14:paraId="185C7987">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（三）由于中标人的原因未能按照招标文件的规定与采购人签订合同；</w:t>
      </w:r>
    </w:p>
    <w:p w14:paraId="0C9571A1">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（四）在投标文件中提供虚假材料谋取中标；</w:t>
      </w:r>
    </w:p>
    <w:p w14:paraId="771CAA04">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（五）与采购人、其他供应商或者采购代理机构恶意串通的；</w:t>
      </w:r>
    </w:p>
    <w:p w14:paraId="64577983">
      <w:pPr>
        <w:pStyle w:val="64"/>
        <w:shd w:val="clear" w:color="auto" w:fill="FFFFFF"/>
        <w:spacing w:before="0" w:beforeAutospacing="0" w:after="0" w:afterAutospacing="0" w:line="440" w:lineRule="exact"/>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（六）投标有效期内，投标人在政府采购活动中有违法、违规、违纪行为。</w:t>
      </w:r>
    </w:p>
    <w:p w14:paraId="3E86AD53">
      <w:pPr>
        <w:pStyle w:val="64"/>
        <w:shd w:val="clear" w:color="auto" w:fill="FFFFFF"/>
        <w:spacing w:before="0" w:beforeAutospacing="0" w:after="0" w:afterAutospacing="0" w:line="440" w:lineRule="exact"/>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由此产生的一切法律后果和责任由我公司承担。我公司声明放弃对此提出任何异议和追索的权利。</w:t>
      </w:r>
    </w:p>
    <w:p w14:paraId="41B1782F">
      <w:pPr>
        <w:pStyle w:val="64"/>
        <w:shd w:val="clear" w:color="auto" w:fill="FFFFFF"/>
        <w:spacing w:before="0" w:beforeAutospacing="0" w:after="0" w:afterAutospacing="0" w:line="440" w:lineRule="exact"/>
        <w:ind w:firstLine="69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本公司对上述承诺的内容事项真实性负责。如经查实上述承诺的内容事项存在虚假，我公司愿意接受以提供虚假材料谋取中标追究法律责任。</w:t>
      </w:r>
    </w:p>
    <w:p w14:paraId="6BF255D1">
      <w:pPr>
        <w:pStyle w:val="64"/>
        <w:shd w:val="clear" w:color="auto" w:fill="FFFFFF"/>
        <w:spacing w:before="0" w:beforeAutospacing="0" w:after="0" w:afterAutospacing="0" w:line="440" w:lineRule="exact"/>
        <w:ind w:firstLine="465"/>
        <w:rPr>
          <w:rFonts w:hint="eastAsia" w:ascii="宋体" w:hAnsi="宋体"/>
          <w:color w:val="000000" w:themeColor="text1"/>
          <w:spacing w:val="8"/>
          <w:highlight w:val="none"/>
          <w:shd w:val="clear" w:color="auto" w:fill="FFFFFF"/>
          <w14:textFill>
            <w14:solidFill>
              <w14:schemeClr w14:val="tx1"/>
            </w14:solidFill>
          </w14:textFill>
        </w:rPr>
      </w:pPr>
    </w:p>
    <w:p w14:paraId="22215F66">
      <w:pPr>
        <w:pStyle w:val="64"/>
        <w:shd w:val="clear" w:color="auto" w:fill="FFFFFF"/>
        <w:spacing w:before="0" w:beforeAutospacing="0" w:after="0" w:afterAutospacing="0" w:line="440" w:lineRule="exact"/>
        <w:ind w:firstLine="465"/>
        <w:rPr>
          <w:rFonts w:hint="eastAsia" w:ascii="宋体" w:hAnsi="宋体"/>
          <w:color w:val="000000" w:themeColor="text1"/>
          <w:spacing w:val="8"/>
          <w:highlight w:val="none"/>
          <w:shd w:val="clear" w:color="auto" w:fill="FFFFFF"/>
          <w14:textFill>
            <w14:solidFill>
              <w14:schemeClr w14:val="tx1"/>
            </w14:solidFill>
          </w14:textFill>
        </w:rPr>
      </w:pPr>
    </w:p>
    <w:p w14:paraId="7E88E05A">
      <w:pPr>
        <w:pStyle w:val="64"/>
        <w:shd w:val="clear" w:color="auto" w:fill="FFFFFF"/>
        <w:spacing w:before="0" w:beforeAutospacing="0" w:after="0" w:afterAutospacing="0" w:line="440" w:lineRule="exact"/>
        <w:ind w:firstLine="465"/>
        <w:rPr>
          <w:rFonts w:hint="eastAsia" w:ascii="宋体" w:hAnsi="宋体"/>
          <w:color w:val="000000" w:themeColor="text1"/>
          <w:spacing w:val="8"/>
          <w:highlight w:val="none"/>
          <w:shd w:val="clear" w:color="auto" w:fill="FFFFFF"/>
          <w14:textFill>
            <w14:solidFill>
              <w14:schemeClr w14:val="tx1"/>
            </w14:solidFill>
          </w14:textFill>
        </w:rPr>
      </w:pPr>
      <w:r>
        <w:rPr>
          <w:rFonts w:hint="eastAsia" w:ascii="宋体" w:hAnsi="宋体"/>
          <w:color w:val="000000" w:themeColor="text1"/>
          <w:spacing w:val="8"/>
          <w:highlight w:val="none"/>
          <w:shd w:val="clear" w:color="auto" w:fill="FFFFFF"/>
          <w:lang w:eastAsia="zh-CN"/>
          <w14:textFill>
            <w14:solidFill>
              <w14:schemeClr w14:val="tx1"/>
            </w14:solidFill>
          </w14:textFill>
        </w:rPr>
        <w:t>供应商</w:t>
      </w:r>
      <w:r>
        <w:rPr>
          <w:rFonts w:hint="eastAsia" w:ascii="宋体" w:hAnsi="宋体"/>
          <w:color w:val="000000" w:themeColor="text1"/>
          <w:spacing w:val="8"/>
          <w:highlight w:val="none"/>
          <w:shd w:val="clear" w:color="auto" w:fill="FFFFFF"/>
          <w14:textFill>
            <w14:solidFill>
              <w14:schemeClr w14:val="tx1"/>
            </w14:solidFill>
          </w14:textFill>
        </w:rPr>
        <w:t>名称：</w:t>
      </w:r>
      <w:r>
        <w:rPr>
          <w:rFonts w:hint="eastAsia" w:ascii="宋体" w:hAnsi="宋体"/>
          <w:color w:val="000000" w:themeColor="text1"/>
          <w:spacing w:val="8"/>
          <w:highlight w:val="none"/>
          <w:u w:val="single"/>
          <w:shd w:val="clear" w:color="auto" w:fill="FFFFFF"/>
          <w14:textFill>
            <w14:solidFill>
              <w14:schemeClr w14:val="tx1"/>
            </w14:solidFill>
          </w14:textFill>
        </w:rPr>
        <w:t xml:space="preserve">                                </w:t>
      </w:r>
      <w:r>
        <w:rPr>
          <w:rFonts w:hint="eastAsia" w:ascii="宋体" w:hAnsi="宋体"/>
          <w:color w:val="000000" w:themeColor="text1"/>
          <w:spacing w:val="8"/>
          <w:highlight w:val="none"/>
          <w:shd w:val="clear" w:color="auto" w:fill="FFFFFF"/>
          <w14:textFill>
            <w14:solidFill>
              <w14:schemeClr w14:val="tx1"/>
            </w14:solidFill>
          </w14:textFill>
        </w:rPr>
        <w:t>（</w:t>
      </w:r>
      <w:r>
        <w:rPr>
          <w:rFonts w:hint="eastAsia" w:ascii="宋体" w:hAnsi="宋体"/>
          <w:color w:val="000000" w:themeColor="text1"/>
          <w:highlight w:val="none"/>
          <w:lang w:val="zh-CN"/>
          <w14:textFill>
            <w14:solidFill>
              <w14:schemeClr w14:val="tx1"/>
            </w14:solidFill>
          </w14:textFill>
        </w:rPr>
        <w:t>电子印章</w:t>
      </w:r>
      <w:r>
        <w:rPr>
          <w:rFonts w:hint="eastAsia" w:ascii="宋体" w:hAnsi="宋体"/>
          <w:color w:val="000000" w:themeColor="text1"/>
          <w:spacing w:val="8"/>
          <w:highlight w:val="none"/>
          <w:shd w:val="clear" w:color="auto" w:fill="FFFFFF"/>
          <w14:textFill>
            <w14:solidFill>
              <w14:schemeClr w14:val="tx1"/>
            </w14:solidFill>
          </w14:textFill>
        </w:rPr>
        <w:t>）</w:t>
      </w:r>
    </w:p>
    <w:p w14:paraId="3E9619B7">
      <w:pPr>
        <w:pStyle w:val="64"/>
        <w:shd w:val="clear" w:color="auto" w:fill="FFFFFF"/>
        <w:spacing w:before="0" w:beforeAutospacing="0" w:after="0" w:afterAutospacing="0" w:line="440" w:lineRule="exact"/>
        <w:ind w:firstLine="465"/>
        <w:rPr>
          <w:rFonts w:hint="eastAsia" w:ascii="宋体" w:hAnsi="宋体"/>
          <w:color w:val="000000" w:themeColor="text1"/>
          <w:spacing w:val="8"/>
          <w:highlight w:val="none"/>
          <w:shd w:val="clear" w:color="auto" w:fill="FFFFFF"/>
          <w14:textFill>
            <w14:solidFill>
              <w14:schemeClr w14:val="tx1"/>
            </w14:solidFill>
          </w14:textFill>
        </w:rPr>
      </w:pPr>
      <w:r>
        <w:rPr>
          <w:rFonts w:hint="eastAsia" w:ascii="宋体" w:hAnsi="宋体"/>
          <w:color w:val="000000" w:themeColor="text1"/>
          <w:spacing w:val="8"/>
          <w:highlight w:val="none"/>
          <w:shd w:val="clear" w:color="auto" w:fill="FFFFFF"/>
          <w14:textFill>
            <w14:solidFill>
              <w14:schemeClr w14:val="tx1"/>
            </w14:solidFill>
          </w14:textFill>
        </w:rPr>
        <w:t>法定代表人：</w:t>
      </w:r>
      <w:r>
        <w:rPr>
          <w:rFonts w:hint="eastAsia" w:ascii="宋体" w:hAnsi="宋体"/>
          <w:color w:val="000000" w:themeColor="text1"/>
          <w:spacing w:val="8"/>
          <w:highlight w:val="none"/>
          <w:u w:val="single"/>
          <w:shd w:val="clear" w:color="auto" w:fill="FFFFFF"/>
          <w14:textFill>
            <w14:solidFill>
              <w14:schemeClr w14:val="tx1"/>
            </w14:solidFill>
          </w14:textFill>
        </w:rPr>
        <w:t xml:space="preserve">                       </w:t>
      </w:r>
      <w:r>
        <w:rPr>
          <w:rFonts w:hint="eastAsia" w:ascii="宋体" w:hAnsi="宋体"/>
          <w:color w:val="000000" w:themeColor="text1"/>
          <w:spacing w:val="8"/>
          <w:highlight w:val="none"/>
          <w:shd w:val="clear" w:color="auto" w:fill="FFFFFF"/>
          <w14:textFill>
            <w14:solidFill>
              <w14:schemeClr w14:val="tx1"/>
            </w14:solidFill>
          </w14:textFill>
        </w:rPr>
        <w:t>（</w:t>
      </w:r>
      <w:r>
        <w:rPr>
          <w:rFonts w:hint="eastAsia" w:ascii="宋体" w:hAnsi="宋体"/>
          <w:color w:val="000000" w:themeColor="text1"/>
          <w:highlight w:val="none"/>
          <w:lang w:val="zh-CN"/>
          <w14:textFill>
            <w14:solidFill>
              <w14:schemeClr w14:val="tx1"/>
            </w14:solidFill>
          </w14:textFill>
        </w:rPr>
        <w:t>电子签章</w:t>
      </w:r>
      <w:r>
        <w:rPr>
          <w:rFonts w:hint="eastAsia" w:ascii="宋体" w:hAnsi="宋体"/>
          <w:color w:val="000000" w:themeColor="text1"/>
          <w:spacing w:val="8"/>
          <w:highlight w:val="none"/>
          <w:shd w:val="clear" w:color="auto" w:fill="FFFFFF"/>
          <w14:textFill>
            <w14:solidFill>
              <w14:schemeClr w14:val="tx1"/>
            </w14:solidFill>
          </w14:textFill>
        </w:rPr>
        <w:t>）</w:t>
      </w:r>
    </w:p>
    <w:p w14:paraId="0299334F">
      <w:pPr>
        <w:pStyle w:val="64"/>
        <w:shd w:val="clear" w:color="auto" w:fill="FFFFFF"/>
        <w:spacing w:before="0" w:beforeAutospacing="0" w:after="0" w:afterAutospacing="0" w:line="440" w:lineRule="exact"/>
        <w:ind w:firstLine="46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日       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月</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w:t>
      </w:r>
    </w:p>
    <w:p w14:paraId="6473A70D">
      <w:pPr>
        <w:rPr>
          <w:rFonts w:hint="eastAsia" w:ascii="宋体" w:hAnsi="宋体"/>
          <w:color w:val="000000" w:themeColor="text1"/>
          <w:highlight w:val="none"/>
          <w14:textFill>
            <w14:solidFill>
              <w14:schemeClr w14:val="tx1"/>
            </w14:solidFill>
          </w14:textFill>
        </w:rPr>
      </w:pPr>
    </w:p>
    <w:p w14:paraId="27FE011E">
      <w:pPr>
        <w:rPr>
          <w:rFonts w:hint="eastAsia" w:ascii="宋体" w:hAnsi="宋体"/>
          <w:color w:val="000000" w:themeColor="text1"/>
          <w:highlight w:val="none"/>
          <w14:textFill>
            <w14:solidFill>
              <w14:schemeClr w14:val="tx1"/>
            </w14:solidFill>
          </w14:textFill>
        </w:rPr>
      </w:pPr>
    </w:p>
    <w:p w14:paraId="67CEC383">
      <w:pPr>
        <w:rPr>
          <w:rFonts w:hint="eastAsia" w:ascii="宋体" w:hAnsi="宋体"/>
          <w:color w:val="000000" w:themeColor="text1"/>
          <w:highlight w:val="none"/>
          <w14:textFill>
            <w14:solidFill>
              <w14:schemeClr w14:val="tx1"/>
            </w14:solidFill>
          </w14:textFill>
        </w:rPr>
      </w:pPr>
    </w:p>
    <w:p w14:paraId="5C64A3F2">
      <w:pPr>
        <w:rPr>
          <w:rFonts w:hint="eastAsia" w:ascii="宋体" w:hAnsi="宋体"/>
          <w:color w:val="000000" w:themeColor="text1"/>
          <w:highlight w:val="none"/>
          <w14:textFill>
            <w14:solidFill>
              <w14:schemeClr w14:val="tx1"/>
            </w14:solidFill>
          </w14:textFill>
        </w:rPr>
      </w:pPr>
    </w:p>
    <w:p w14:paraId="73A061CA">
      <w:pPr>
        <w:rPr>
          <w:rFonts w:hint="eastAsia" w:ascii="宋体" w:hAnsi="宋体"/>
          <w:color w:val="000000" w:themeColor="text1"/>
          <w:highlight w:val="none"/>
          <w14:textFill>
            <w14:solidFill>
              <w14:schemeClr w14:val="tx1"/>
            </w14:solidFill>
          </w14:textFill>
        </w:rPr>
      </w:pPr>
    </w:p>
    <w:p w14:paraId="4AB14F32">
      <w:pPr>
        <w:rPr>
          <w:rFonts w:hint="eastAsia" w:ascii="宋体" w:hAnsi="宋体"/>
          <w:color w:val="000000" w:themeColor="text1"/>
          <w:highlight w:val="none"/>
          <w14:textFill>
            <w14:solidFill>
              <w14:schemeClr w14:val="tx1"/>
            </w14:solidFill>
          </w14:textFill>
        </w:rPr>
      </w:pPr>
    </w:p>
    <w:p w14:paraId="33900209">
      <w:pPr>
        <w:rPr>
          <w:rFonts w:hint="eastAsia" w:ascii="宋体" w:hAnsi="宋体"/>
          <w:color w:val="000000" w:themeColor="text1"/>
          <w:highlight w:val="none"/>
          <w14:textFill>
            <w14:solidFill>
              <w14:schemeClr w14:val="tx1"/>
            </w14:solidFill>
          </w14:textFill>
        </w:rPr>
      </w:pPr>
    </w:p>
    <w:p w14:paraId="7CEECC8B">
      <w:pPr>
        <w:rPr>
          <w:rFonts w:hint="eastAsia" w:ascii="宋体" w:hAnsi="宋体"/>
          <w:color w:val="000000" w:themeColor="text1"/>
          <w:highlight w:val="none"/>
          <w14:textFill>
            <w14:solidFill>
              <w14:schemeClr w14:val="tx1"/>
            </w14:solidFill>
          </w14:textFill>
        </w:rPr>
      </w:pPr>
    </w:p>
    <w:p w14:paraId="38CFEDAF">
      <w:pPr>
        <w:rPr>
          <w:rFonts w:hint="eastAsia" w:ascii="宋体" w:hAnsi="宋体"/>
          <w:color w:val="000000" w:themeColor="text1"/>
          <w:highlight w:val="none"/>
          <w14:textFill>
            <w14:solidFill>
              <w14:schemeClr w14:val="tx1"/>
            </w14:solidFill>
          </w14:textFill>
        </w:rPr>
      </w:pPr>
    </w:p>
    <w:p w14:paraId="0D209430">
      <w:pPr>
        <w:rPr>
          <w:rFonts w:hint="eastAsia" w:ascii="宋体" w:hAnsi="宋体"/>
          <w:color w:val="000000" w:themeColor="text1"/>
          <w:highlight w:val="none"/>
          <w14:textFill>
            <w14:solidFill>
              <w14:schemeClr w14:val="tx1"/>
            </w14:solidFill>
          </w14:textFill>
        </w:rPr>
      </w:pPr>
    </w:p>
    <w:p w14:paraId="3BB1A6C9">
      <w:pPr>
        <w:rPr>
          <w:rFonts w:hint="eastAsia" w:ascii="宋体" w:hAnsi="宋体"/>
          <w:color w:val="000000" w:themeColor="text1"/>
          <w:highlight w:val="none"/>
          <w14:textFill>
            <w14:solidFill>
              <w14:schemeClr w14:val="tx1"/>
            </w14:solidFill>
          </w14:textFill>
        </w:rPr>
      </w:pPr>
    </w:p>
    <w:p w14:paraId="6A1AA59B">
      <w:pPr>
        <w:rPr>
          <w:rFonts w:hint="eastAsia" w:ascii="宋体" w:hAnsi="宋体"/>
          <w:color w:val="000000" w:themeColor="text1"/>
          <w:highlight w:val="none"/>
          <w14:textFill>
            <w14:solidFill>
              <w14:schemeClr w14:val="tx1"/>
            </w14:solidFill>
          </w14:textFill>
        </w:rPr>
      </w:pPr>
    </w:p>
    <w:p w14:paraId="3E30576B">
      <w:pPr>
        <w:rPr>
          <w:rFonts w:hint="eastAsia" w:ascii="宋体" w:hAnsi="宋体"/>
          <w:color w:val="000000" w:themeColor="text1"/>
          <w:highlight w:val="none"/>
          <w14:textFill>
            <w14:solidFill>
              <w14:schemeClr w14:val="tx1"/>
            </w14:solidFill>
          </w14:textFill>
        </w:rPr>
      </w:pPr>
    </w:p>
    <w:p w14:paraId="7C352A39">
      <w:pPr>
        <w:rPr>
          <w:rFonts w:hint="eastAsia" w:ascii="宋体" w:hAnsi="宋体"/>
          <w:color w:val="000000" w:themeColor="text1"/>
          <w:highlight w:val="none"/>
          <w14:textFill>
            <w14:solidFill>
              <w14:schemeClr w14:val="tx1"/>
            </w14:solidFill>
          </w14:textFill>
        </w:rPr>
      </w:pPr>
    </w:p>
    <w:p w14:paraId="5720340F">
      <w:pPr>
        <w:pStyle w:val="64"/>
        <w:shd w:val="clear" w:color="auto" w:fill="FFFFFF"/>
        <w:jc w:val="center"/>
        <w:outlineLvl w:val="2"/>
        <w:rPr>
          <w:rFonts w:hint="eastAsia" w:ascii="宋体" w:hAnsi="宋体"/>
          <w:b/>
          <w:color w:val="000000" w:themeColor="text1"/>
          <w:sz w:val="28"/>
          <w:szCs w:val="28"/>
          <w:highlight w:val="none"/>
          <w14:textFill>
            <w14:solidFill>
              <w14:schemeClr w14:val="tx1"/>
            </w14:solidFill>
          </w14:textFill>
        </w:rPr>
      </w:pPr>
      <w:bookmarkStart w:id="146" w:name="_Toc6856"/>
      <w:bookmarkStart w:id="147" w:name="_Toc17709"/>
      <w:r>
        <w:rPr>
          <w:rFonts w:hint="eastAsia" w:ascii="宋体" w:hAnsi="宋体"/>
          <w:b/>
          <w:color w:val="000000" w:themeColor="text1"/>
          <w:sz w:val="28"/>
          <w:szCs w:val="28"/>
          <w:highlight w:val="none"/>
          <w14:textFill>
            <w14:solidFill>
              <w14:schemeClr w14:val="tx1"/>
            </w14:solidFill>
          </w14:textFill>
        </w:rPr>
        <w:t>2、招标代理服务费承诺函</w:t>
      </w:r>
      <w:bookmarkEnd w:id="146"/>
      <w:bookmarkEnd w:id="147"/>
    </w:p>
    <w:p w14:paraId="3453739C">
      <w:pPr>
        <w:pStyle w:val="64"/>
        <w:shd w:val="clear" w:color="auto" w:fill="FFFFFF"/>
        <w:spacing w:line="360" w:lineRule="auto"/>
        <w:ind w:firstLine="480"/>
        <w:rPr>
          <w:rFonts w:hint="eastAsia" w:ascii="宋体" w:hAnsi="宋体"/>
          <w:color w:val="000000" w:themeColor="text1"/>
          <w:highlight w:val="none"/>
          <w:lang w:val="zh-CN"/>
          <w14:textFill>
            <w14:solidFill>
              <w14:schemeClr w14:val="tx1"/>
            </w14:solidFill>
          </w14:textFill>
        </w:rPr>
      </w:pPr>
    </w:p>
    <w:p w14:paraId="6FDB3113">
      <w:pPr>
        <w:pStyle w:val="64"/>
        <w:shd w:val="clear" w:color="auto" w:fill="FFFFFF"/>
        <w:spacing w:line="360" w:lineRule="auto"/>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致</w:t>
      </w:r>
      <w:r>
        <w:rPr>
          <w:rFonts w:hint="eastAsia" w:ascii="宋体" w:hAnsi="宋体"/>
          <w:color w:val="000000" w:themeColor="text1"/>
          <w:highlight w:val="none"/>
          <w:u w:val="single"/>
          <w:lang w:val="zh-CN"/>
          <w14:textFill>
            <w14:solidFill>
              <w14:schemeClr w14:val="tx1"/>
            </w14:solidFill>
          </w14:textFill>
        </w:rPr>
        <w:t>（采购人及采购代理机构）</w:t>
      </w:r>
      <w:r>
        <w:rPr>
          <w:rFonts w:hint="eastAsia" w:ascii="宋体" w:hAnsi="宋体"/>
          <w:color w:val="000000" w:themeColor="text1"/>
          <w:highlight w:val="none"/>
          <w:lang w:val="zh-CN"/>
          <w14:textFill>
            <w14:solidFill>
              <w14:schemeClr w14:val="tx1"/>
            </w14:solidFill>
          </w14:textFill>
        </w:rPr>
        <w:t>：</w:t>
      </w:r>
    </w:p>
    <w:p w14:paraId="784FF598">
      <w:pPr>
        <w:pStyle w:val="64"/>
        <w:shd w:val="clear" w:color="auto" w:fill="FFFFFF"/>
        <w:spacing w:line="360" w:lineRule="auto"/>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我们在贵公司组织的（项目名称：</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lang w:val="zh-CN"/>
          <w14:textFill>
            <w14:solidFill>
              <w14:schemeClr w14:val="tx1"/>
            </w14:solidFill>
          </w14:textFill>
        </w:rPr>
        <w:t>，项目编号：</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lang w:val="zh-CN"/>
          <w14:textFill>
            <w14:solidFill>
              <w14:schemeClr w14:val="tx1"/>
            </w14:solidFill>
          </w14:textFill>
        </w:rPr>
        <w:t>）招标中若获中标，我们保证在中标公告发布后5个工作日内，按招标文件的规定，以支票、银行转账、汇票或现金，向</w:t>
      </w:r>
      <w:r>
        <w:rPr>
          <w:rFonts w:hint="eastAsia" w:ascii="宋体" w:hAnsi="宋体"/>
          <w:color w:val="000000" w:themeColor="text1"/>
          <w:highlight w:val="none"/>
          <w14:textFill>
            <w14:solidFill>
              <w14:schemeClr w14:val="tx1"/>
            </w14:solidFill>
          </w14:textFill>
        </w:rPr>
        <w:t>河南荣之鑫工程管理有限公司</w:t>
      </w:r>
      <w:r>
        <w:rPr>
          <w:rFonts w:hint="eastAsia" w:ascii="宋体" w:hAnsi="宋体"/>
          <w:color w:val="000000" w:themeColor="text1"/>
          <w:highlight w:val="none"/>
          <w:lang w:val="zh-CN"/>
          <w14:textFill>
            <w14:solidFill>
              <w14:schemeClr w14:val="tx1"/>
            </w14:solidFill>
          </w14:textFill>
        </w:rPr>
        <w:t>一次性支付招标代理服务费用。否则，由此产生的一切法律后果和责任由我公司承担。我公司声明放弃对此提出任何异议和追索的权利。</w:t>
      </w:r>
    </w:p>
    <w:p w14:paraId="2E46437D">
      <w:pPr>
        <w:pStyle w:val="64"/>
        <w:shd w:val="clear" w:color="auto" w:fill="FFFFFF"/>
        <w:spacing w:line="360" w:lineRule="auto"/>
        <w:ind w:firstLine="480"/>
        <w:rPr>
          <w:rFonts w:hint="eastAsia" w:ascii="宋体" w:hAnsi="宋体"/>
          <w:color w:val="000000" w:themeColor="text1"/>
          <w:highlight w:val="none"/>
          <w:lang w:val="zh-CN"/>
          <w14:textFill>
            <w14:solidFill>
              <w14:schemeClr w14:val="tx1"/>
            </w14:solidFill>
          </w14:textFill>
        </w:rPr>
      </w:pPr>
      <w:r>
        <w:rPr>
          <w:rFonts w:hint="eastAsia" w:ascii="宋体" w:hAnsi="宋体"/>
          <w:color w:val="000000" w:themeColor="text1"/>
          <w:highlight w:val="none"/>
          <w:lang w:val="zh-CN"/>
          <w14:textFill>
            <w14:solidFill>
              <w14:schemeClr w14:val="tx1"/>
            </w14:solidFill>
          </w14:textFill>
        </w:rPr>
        <w:t>特此承诺。</w:t>
      </w:r>
    </w:p>
    <w:p w14:paraId="2CA6D367">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p>
    <w:p w14:paraId="1FEC9F55">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p>
    <w:p w14:paraId="145CDA41">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p>
    <w:p w14:paraId="6C8CA7CF">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p>
    <w:p w14:paraId="445297DF">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p>
    <w:p w14:paraId="5CA52A19">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r>
        <w:rPr>
          <w:rFonts w:hint="eastAsia" w:ascii="宋体" w:hAnsi="宋体"/>
          <w:color w:val="000000" w:themeColor="text1"/>
          <w:spacing w:val="8"/>
          <w:highlight w:val="none"/>
          <w:shd w:val="clear" w:color="auto" w:fill="FFFFFF"/>
          <w:lang w:eastAsia="zh-CN"/>
          <w14:textFill>
            <w14:solidFill>
              <w14:schemeClr w14:val="tx1"/>
            </w14:solidFill>
          </w14:textFill>
        </w:rPr>
        <w:t>供应商</w:t>
      </w:r>
      <w:r>
        <w:rPr>
          <w:rFonts w:hint="eastAsia" w:ascii="宋体" w:hAnsi="宋体"/>
          <w:color w:val="000000" w:themeColor="text1"/>
          <w:spacing w:val="8"/>
          <w:highlight w:val="none"/>
          <w:shd w:val="clear" w:color="auto" w:fill="FFFFFF"/>
          <w14:textFill>
            <w14:solidFill>
              <w14:schemeClr w14:val="tx1"/>
            </w14:solidFill>
          </w14:textFill>
        </w:rPr>
        <w:t>名称：</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spacing w:val="8"/>
          <w:highlight w:val="none"/>
          <w:shd w:val="clear" w:color="auto" w:fill="FFFFFF"/>
          <w14:textFill>
            <w14:solidFill>
              <w14:schemeClr w14:val="tx1"/>
            </w14:solidFill>
          </w14:textFill>
        </w:rPr>
        <w:t>（</w:t>
      </w:r>
      <w:r>
        <w:rPr>
          <w:rFonts w:hint="eastAsia" w:ascii="宋体" w:hAnsi="宋体"/>
          <w:color w:val="000000" w:themeColor="text1"/>
          <w:highlight w:val="none"/>
          <w:lang w:val="zh-CN"/>
          <w14:textFill>
            <w14:solidFill>
              <w14:schemeClr w14:val="tx1"/>
            </w14:solidFill>
          </w14:textFill>
        </w:rPr>
        <w:t>电子印章</w:t>
      </w:r>
      <w:r>
        <w:rPr>
          <w:rFonts w:hint="eastAsia" w:ascii="宋体" w:hAnsi="宋体"/>
          <w:color w:val="000000" w:themeColor="text1"/>
          <w:spacing w:val="8"/>
          <w:highlight w:val="none"/>
          <w:shd w:val="clear" w:color="auto" w:fill="FFFFFF"/>
          <w14:textFill>
            <w14:solidFill>
              <w14:schemeClr w14:val="tx1"/>
            </w14:solidFill>
          </w14:textFill>
        </w:rPr>
        <w:t>）</w:t>
      </w:r>
    </w:p>
    <w:p w14:paraId="4CB3A830">
      <w:pPr>
        <w:pStyle w:val="64"/>
        <w:shd w:val="clear" w:color="auto" w:fill="FFFFFF"/>
        <w:spacing w:line="360" w:lineRule="auto"/>
        <w:ind w:firstLine="465"/>
        <w:rPr>
          <w:rFonts w:hint="eastAsia" w:ascii="宋体" w:hAnsi="宋体"/>
          <w:color w:val="000000" w:themeColor="text1"/>
          <w:spacing w:val="8"/>
          <w:highlight w:val="none"/>
          <w:shd w:val="clear" w:color="auto" w:fill="FFFFFF"/>
          <w14:textFill>
            <w14:solidFill>
              <w14:schemeClr w14:val="tx1"/>
            </w14:solidFill>
          </w14:textFill>
        </w:rPr>
      </w:pPr>
      <w:r>
        <w:rPr>
          <w:rFonts w:hint="eastAsia" w:ascii="宋体" w:hAnsi="宋体"/>
          <w:color w:val="000000" w:themeColor="text1"/>
          <w:spacing w:val="8"/>
          <w:highlight w:val="none"/>
          <w:shd w:val="clear" w:color="auto" w:fill="FFFFFF"/>
          <w14:textFill>
            <w14:solidFill>
              <w14:schemeClr w14:val="tx1"/>
            </w14:solidFill>
          </w14:textFill>
        </w:rPr>
        <w:t>法定代表人：</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spacing w:val="8"/>
          <w:highlight w:val="none"/>
          <w:shd w:val="clear" w:color="auto" w:fill="FFFFFF"/>
          <w14:textFill>
            <w14:solidFill>
              <w14:schemeClr w14:val="tx1"/>
            </w14:solidFill>
          </w14:textFill>
        </w:rPr>
        <w:t>（</w:t>
      </w:r>
      <w:r>
        <w:rPr>
          <w:rFonts w:hint="eastAsia" w:ascii="宋体" w:hAnsi="宋体"/>
          <w:color w:val="000000" w:themeColor="text1"/>
          <w:highlight w:val="none"/>
          <w:lang w:val="zh-CN"/>
          <w14:textFill>
            <w14:solidFill>
              <w14:schemeClr w14:val="tx1"/>
            </w14:solidFill>
          </w14:textFill>
        </w:rPr>
        <w:t>电子签章</w:t>
      </w:r>
      <w:r>
        <w:rPr>
          <w:rFonts w:hint="eastAsia" w:ascii="宋体" w:hAnsi="宋体"/>
          <w:color w:val="000000" w:themeColor="text1"/>
          <w:spacing w:val="8"/>
          <w:highlight w:val="none"/>
          <w:shd w:val="clear" w:color="auto" w:fill="FFFFFF"/>
          <w14:textFill>
            <w14:solidFill>
              <w14:schemeClr w14:val="tx1"/>
            </w14:solidFill>
          </w14:textFill>
        </w:rPr>
        <w:t>）</w:t>
      </w:r>
    </w:p>
    <w:p w14:paraId="136551FB">
      <w:pPr>
        <w:pStyle w:val="64"/>
        <w:shd w:val="clear" w:color="auto" w:fill="FFFFFF"/>
        <w:spacing w:line="360" w:lineRule="auto"/>
        <w:ind w:firstLine="465"/>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日       期：</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月</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日</w:t>
      </w:r>
    </w:p>
    <w:p w14:paraId="61545400">
      <w:pPr>
        <w:jc w:val="center"/>
        <w:rPr>
          <w:rFonts w:hint="eastAsia" w:ascii="宋体" w:hAnsi="宋体"/>
          <w:b/>
          <w:bCs/>
          <w:color w:val="000000" w:themeColor="text1"/>
          <w:sz w:val="32"/>
          <w:szCs w:val="32"/>
          <w:highlight w:val="none"/>
          <w14:textFill>
            <w14:solidFill>
              <w14:schemeClr w14:val="tx1"/>
            </w14:solidFill>
          </w14:textFill>
        </w:rPr>
      </w:pPr>
    </w:p>
    <w:p w14:paraId="136333D3">
      <w:pPr>
        <w:rPr>
          <w:rFonts w:hint="eastAsia" w:ascii="宋体" w:hAnsi="宋体"/>
          <w:color w:val="000000" w:themeColor="text1"/>
          <w:highlight w:val="none"/>
          <w14:textFill>
            <w14:solidFill>
              <w14:schemeClr w14:val="tx1"/>
            </w14:solidFill>
          </w14:textFill>
        </w:rPr>
      </w:pPr>
    </w:p>
    <w:p w14:paraId="038CDFB5">
      <w:pPr>
        <w:rPr>
          <w:rFonts w:hint="eastAsia" w:ascii="宋体" w:hAnsi="宋体"/>
          <w:color w:val="000000" w:themeColor="text1"/>
          <w:highlight w:val="none"/>
          <w14:textFill>
            <w14:solidFill>
              <w14:schemeClr w14:val="tx1"/>
            </w14:solidFill>
          </w14:textFill>
        </w:rPr>
      </w:pPr>
    </w:p>
    <w:p w14:paraId="294829B3">
      <w:pPr>
        <w:rPr>
          <w:rFonts w:hint="eastAsia" w:ascii="宋体" w:hAnsi="宋体"/>
          <w:color w:val="000000" w:themeColor="text1"/>
          <w:highlight w:val="none"/>
          <w14:textFill>
            <w14:solidFill>
              <w14:schemeClr w14:val="tx1"/>
            </w14:solidFill>
          </w14:textFill>
        </w:rPr>
      </w:pPr>
    </w:p>
    <w:bookmarkEnd w:id="143"/>
    <w:p w14:paraId="1C7C5F5F">
      <w:pPr>
        <w:jc w:val="center"/>
        <w:outlineLvl w:val="1"/>
        <w:rPr>
          <w:rFonts w:hint="eastAsia" w:ascii="宋体" w:hAnsi="宋体"/>
          <w:b/>
          <w:bCs/>
          <w:color w:val="000000" w:themeColor="text1"/>
          <w:sz w:val="32"/>
          <w:szCs w:val="32"/>
          <w:highlight w:val="none"/>
          <w14:textFill>
            <w14:solidFill>
              <w14:schemeClr w14:val="tx1"/>
            </w14:solidFill>
          </w14:textFill>
        </w:rPr>
      </w:pPr>
      <w:bookmarkStart w:id="148" w:name="_Toc28677"/>
      <w:bookmarkStart w:id="149" w:name="_Toc24433"/>
      <w:r>
        <w:rPr>
          <w:rFonts w:hint="eastAsia" w:ascii="宋体" w:hAnsi="宋体"/>
          <w:b/>
          <w:bCs/>
          <w:color w:val="000000" w:themeColor="text1"/>
          <w:sz w:val="32"/>
          <w:szCs w:val="32"/>
          <w:highlight w:val="none"/>
          <w14:textFill>
            <w14:solidFill>
              <w14:schemeClr w14:val="tx1"/>
            </w14:solidFill>
          </w14:textFill>
        </w:rPr>
        <w:t>八．资格审查资料</w:t>
      </w:r>
      <w:bookmarkEnd w:id="148"/>
      <w:bookmarkEnd w:id="149"/>
    </w:p>
    <w:p w14:paraId="3B269853">
      <w:pPr>
        <w:jc w:val="center"/>
        <w:rPr>
          <w:rFonts w:hint="eastAsia" w:ascii="宋体" w:hAnsi="宋体"/>
          <w:color w:val="000000" w:themeColor="text1"/>
          <w:sz w:val="44"/>
          <w:szCs w:val="44"/>
          <w:highlight w:val="none"/>
          <w14:textFill>
            <w14:solidFill>
              <w14:schemeClr w14:val="tx1"/>
            </w14:solidFill>
          </w14:textFill>
        </w:rPr>
      </w:pPr>
    </w:p>
    <w:p w14:paraId="42F839E9">
      <w:pPr>
        <w:spacing w:line="440" w:lineRule="exact"/>
        <w:rPr>
          <w:rFonts w:hint="eastAsia" w:ascii="宋体" w:hAnsi="宋体"/>
          <w:color w:val="000000" w:themeColor="text1"/>
          <w:sz w:val="24"/>
          <w:szCs w:val="24"/>
          <w:highlight w:val="none"/>
          <w14:textFill>
            <w14:solidFill>
              <w14:schemeClr w14:val="tx1"/>
            </w14:solidFill>
          </w14:textFill>
        </w:rPr>
      </w:pPr>
    </w:p>
    <w:p w14:paraId="7C2A5E29">
      <w:pPr>
        <w:spacing w:line="440" w:lineRule="exact"/>
        <w:rPr>
          <w:rFonts w:hint="eastAsia" w:ascii="宋体" w:hAnsi="宋体"/>
          <w:color w:val="000000" w:themeColor="text1"/>
          <w:sz w:val="24"/>
          <w:szCs w:val="24"/>
          <w:highlight w:val="none"/>
          <w14:textFill>
            <w14:solidFill>
              <w14:schemeClr w14:val="tx1"/>
            </w14:solidFill>
          </w14:textFill>
        </w:rPr>
      </w:pPr>
    </w:p>
    <w:p w14:paraId="531F8E49">
      <w:pPr>
        <w:spacing w:line="440" w:lineRule="exact"/>
        <w:rPr>
          <w:rFonts w:hint="eastAsia" w:ascii="宋体" w:hAnsi="宋体"/>
          <w:color w:val="000000" w:themeColor="text1"/>
          <w:sz w:val="24"/>
          <w:szCs w:val="24"/>
          <w:highlight w:val="none"/>
          <w14:textFill>
            <w14:solidFill>
              <w14:schemeClr w14:val="tx1"/>
            </w14:solidFill>
          </w14:textFill>
        </w:rPr>
      </w:pPr>
    </w:p>
    <w:p w14:paraId="79752004">
      <w:pPr>
        <w:spacing w:line="440" w:lineRule="exact"/>
        <w:rPr>
          <w:rFonts w:hint="eastAsia" w:ascii="宋体" w:hAnsi="宋体"/>
          <w:color w:val="000000" w:themeColor="text1"/>
          <w:sz w:val="24"/>
          <w:szCs w:val="24"/>
          <w:highlight w:val="none"/>
          <w14:textFill>
            <w14:solidFill>
              <w14:schemeClr w14:val="tx1"/>
            </w14:solidFill>
          </w14:textFill>
        </w:rPr>
      </w:pPr>
    </w:p>
    <w:p w14:paraId="3EEE21AF">
      <w:pPr>
        <w:spacing w:line="440" w:lineRule="exact"/>
        <w:jc w:val="center"/>
        <w:rPr>
          <w:rFonts w:hint="eastAsia" w:ascii="宋体" w:hAnsi="宋体"/>
          <w:b/>
          <w:bCs/>
          <w:color w:val="000000" w:themeColor="text1"/>
          <w:sz w:val="24"/>
          <w:szCs w:val="24"/>
          <w:highlight w:val="none"/>
          <w14:textFill>
            <w14:solidFill>
              <w14:schemeClr w14:val="tx1"/>
            </w14:solidFill>
          </w14:textFill>
        </w:rPr>
      </w:pPr>
    </w:p>
    <w:p w14:paraId="05456818">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5768C396">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2D804510">
      <w:pPr>
        <w:spacing w:line="440" w:lineRule="exact"/>
        <w:jc w:val="center"/>
        <w:outlineLvl w:val="1"/>
        <w:rPr>
          <w:rFonts w:hint="eastAsia" w:ascii="宋体" w:hAnsi="宋体"/>
          <w:b/>
          <w:bCs/>
          <w:color w:val="000000" w:themeColor="text1"/>
          <w:sz w:val="32"/>
          <w:szCs w:val="32"/>
          <w:highlight w:val="none"/>
          <w14:textFill>
            <w14:solidFill>
              <w14:schemeClr w14:val="tx1"/>
            </w14:solidFill>
          </w14:textFill>
        </w:rPr>
      </w:pPr>
      <w:bookmarkStart w:id="150" w:name="_Toc28614"/>
      <w:bookmarkEnd w:id="150"/>
      <w:r>
        <w:rPr>
          <w:rFonts w:hint="eastAsia" w:ascii="宋体" w:hAnsi="宋体"/>
          <w:b/>
          <w:bCs/>
          <w:color w:val="000000" w:themeColor="text1"/>
          <w:sz w:val="32"/>
          <w:szCs w:val="32"/>
          <w:highlight w:val="none"/>
          <w14:textFill>
            <w14:solidFill>
              <w14:schemeClr w14:val="tx1"/>
            </w14:solidFill>
          </w14:textFill>
        </w:rPr>
        <w:br w:type="page"/>
      </w:r>
      <w:bookmarkStart w:id="151" w:name="_Toc3669"/>
      <w:bookmarkStart w:id="152" w:name="_Toc359"/>
      <w:r>
        <w:rPr>
          <w:rFonts w:hint="eastAsia" w:ascii="宋体" w:hAnsi="宋体"/>
          <w:b/>
          <w:bCs/>
          <w:color w:val="000000" w:themeColor="text1"/>
          <w:sz w:val="32"/>
          <w:szCs w:val="32"/>
          <w:highlight w:val="none"/>
          <w14:textFill>
            <w14:solidFill>
              <w14:schemeClr w14:val="tx1"/>
            </w14:solidFill>
          </w14:textFill>
        </w:rPr>
        <w:t>九．</w:t>
      </w:r>
      <w:r>
        <w:rPr>
          <w:rFonts w:hint="eastAsia" w:ascii="宋体" w:hAnsi="宋体"/>
          <w:b/>
          <w:bCs/>
          <w:color w:val="000000" w:themeColor="text1"/>
          <w:sz w:val="32"/>
          <w:szCs w:val="32"/>
          <w:highlight w:val="none"/>
          <w:lang w:eastAsia="zh-CN"/>
          <w14:textFill>
            <w14:solidFill>
              <w14:schemeClr w14:val="tx1"/>
            </w14:solidFill>
          </w14:textFill>
        </w:rPr>
        <w:t>供应商</w:t>
      </w:r>
      <w:r>
        <w:rPr>
          <w:rFonts w:hint="eastAsia" w:ascii="宋体" w:hAnsi="宋体"/>
          <w:b/>
          <w:bCs/>
          <w:color w:val="000000" w:themeColor="text1"/>
          <w:sz w:val="32"/>
          <w:szCs w:val="32"/>
          <w:highlight w:val="none"/>
          <w14:textFill>
            <w14:solidFill>
              <w14:schemeClr w14:val="tx1"/>
            </w14:solidFill>
          </w14:textFill>
        </w:rPr>
        <w:t>认为有必要的其它资料</w:t>
      </w:r>
      <w:bookmarkEnd w:id="151"/>
      <w:bookmarkEnd w:id="152"/>
    </w:p>
    <w:p w14:paraId="5DE7538A">
      <w:pPr>
        <w:spacing w:line="440" w:lineRule="exact"/>
        <w:jc w:val="center"/>
        <w:rPr>
          <w:rFonts w:hint="eastAsia" w:ascii="宋体" w:hAnsi="宋体"/>
          <w:b/>
          <w:bCs/>
          <w:color w:val="000000" w:themeColor="text1"/>
          <w:sz w:val="24"/>
          <w:szCs w:val="24"/>
          <w:highlight w:val="none"/>
          <w14:textFill>
            <w14:solidFill>
              <w14:schemeClr w14:val="tx1"/>
            </w14:solidFill>
          </w14:textFill>
        </w:rPr>
      </w:pPr>
    </w:p>
    <w:p w14:paraId="1D0A7253">
      <w:pPr>
        <w:spacing w:line="440" w:lineRule="exact"/>
        <w:jc w:val="center"/>
        <w:rPr>
          <w:rFonts w:hint="eastAsia" w:ascii="宋体" w:hAnsi="宋体"/>
          <w:color w:val="000000" w:themeColor="text1"/>
          <w:sz w:val="24"/>
          <w:szCs w:val="24"/>
          <w:highlight w:val="none"/>
          <w14:textFill>
            <w14:solidFill>
              <w14:schemeClr w14:val="tx1"/>
            </w14:solidFill>
          </w14:textFill>
        </w:rPr>
      </w:pPr>
    </w:p>
    <w:p w14:paraId="3AF7EAFE">
      <w:pPr>
        <w:rPr>
          <w:rFonts w:hint="eastAsia" w:ascii="宋体" w:hAnsi="宋体"/>
          <w:color w:val="000000" w:themeColor="text1"/>
          <w:highlight w:val="none"/>
          <w14:textFill>
            <w14:solidFill>
              <w14:schemeClr w14:val="tx1"/>
            </w14:solidFill>
          </w14:textFill>
        </w:rPr>
      </w:pPr>
    </w:p>
    <w:p w14:paraId="71B7EEC3">
      <w:pPr>
        <w:rPr>
          <w:rFonts w:hint="eastAsia" w:ascii="宋体" w:hAnsi="宋体"/>
          <w:color w:val="000000" w:themeColor="text1"/>
          <w:highlight w:val="none"/>
          <w14:textFill>
            <w14:solidFill>
              <w14:schemeClr w14:val="tx1"/>
            </w14:solidFill>
          </w14:textFill>
        </w:rPr>
      </w:pPr>
    </w:p>
    <w:p w14:paraId="62850119">
      <w:pPr>
        <w:rPr>
          <w:rFonts w:hint="eastAsia" w:ascii="宋体" w:hAnsi="宋体"/>
          <w:color w:val="000000" w:themeColor="text1"/>
          <w:highlight w:val="none"/>
          <w14:textFill>
            <w14:solidFill>
              <w14:schemeClr w14:val="tx1"/>
            </w14:solidFill>
          </w14:textFill>
        </w:rPr>
      </w:pPr>
    </w:p>
    <w:p w14:paraId="2AF0E2D4">
      <w:pPr>
        <w:pStyle w:val="51"/>
        <w:rPr>
          <w:rFonts w:hint="eastAsia" w:ascii="宋体" w:hAnsi="宋体"/>
          <w:color w:val="000000" w:themeColor="text1"/>
          <w:highlight w:val="none"/>
          <w14:textFill>
            <w14:solidFill>
              <w14:schemeClr w14:val="tx1"/>
            </w14:solidFill>
          </w14:textFill>
        </w:rPr>
      </w:pPr>
    </w:p>
    <w:p w14:paraId="190024D2">
      <w:pPr>
        <w:pStyle w:val="51"/>
        <w:rPr>
          <w:rFonts w:hint="eastAsia" w:ascii="宋体" w:hAnsi="宋体"/>
          <w:color w:val="000000" w:themeColor="text1"/>
          <w:highlight w:val="none"/>
          <w14:textFill>
            <w14:solidFill>
              <w14:schemeClr w14:val="tx1"/>
            </w14:solidFill>
          </w14:textFill>
        </w:rPr>
      </w:pPr>
    </w:p>
    <w:p w14:paraId="0AA025CC">
      <w:pPr>
        <w:pStyle w:val="51"/>
        <w:rPr>
          <w:rFonts w:hint="eastAsia" w:ascii="宋体" w:hAnsi="宋体"/>
          <w:color w:val="000000" w:themeColor="text1"/>
          <w:highlight w:val="none"/>
          <w14:textFill>
            <w14:solidFill>
              <w14:schemeClr w14:val="tx1"/>
            </w14:solidFill>
          </w14:textFill>
        </w:rPr>
      </w:pPr>
    </w:p>
    <w:p w14:paraId="0326308D">
      <w:pPr>
        <w:pStyle w:val="51"/>
        <w:rPr>
          <w:rFonts w:hint="eastAsia" w:ascii="宋体" w:hAnsi="宋体"/>
          <w:color w:val="000000" w:themeColor="text1"/>
          <w:highlight w:val="none"/>
          <w14:textFill>
            <w14:solidFill>
              <w14:schemeClr w14:val="tx1"/>
            </w14:solidFill>
          </w14:textFill>
        </w:rPr>
      </w:pPr>
    </w:p>
    <w:p w14:paraId="2BF23F59">
      <w:pPr>
        <w:pStyle w:val="51"/>
        <w:rPr>
          <w:rFonts w:hint="eastAsia" w:ascii="宋体" w:hAnsi="宋体"/>
          <w:color w:val="000000" w:themeColor="text1"/>
          <w:highlight w:val="none"/>
          <w14:textFill>
            <w14:solidFill>
              <w14:schemeClr w14:val="tx1"/>
            </w14:solidFill>
          </w14:textFill>
        </w:rPr>
      </w:pPr>
    </w:p>
    <w:p w14:paraId="40A85028">
      <w:pPr>
        <w:pStyle w:val="51"/>
        <w:rPr>
          <w:rFonts w:hint="eastAsia" w:ascii="宋体" w:hAnsi="宋体"/>
          <w:color w:val="000000" w:themeColor="text1"/>
          <w:highlight w:val="none"/>
          <w14:textFill>
            <w14:solidFill>
              <w14:schemeClr w14:val="tx1"/>
            </w14:solidFill>
          </w14:textFill>
        </w:rPr>
      </w:pPr>
    </w:p>
    <w:p w14:paraId="5AFB4B84">
      <w:pPr>
        <w:pStyle w:val="51"/>
        <w:rPr>
          <w:rFonts w:hint="eastAsia" w:ascii="宋体" w:hAnsi="宋体"/>
          <w:color w:val="000000" w:themeColor="text1"/>
          <w:highlight w:val="none"/>
          <w14:textFill>
            <w14:solidFill>
              <w14:schemeClr w14:val="tx1"/>
            </w14:solidFill>
          </w14:textFill>
        </w:rPr>
      </w:pPr>
    </w:p>
    <w:p w14:paraId="4E06F139">
      <w:pPr>
        <w:pStyle w:val="51"/>
        <w:rPr>
          <w:rFonts w:hint="eastAsia" w:ascii="宋体" w:hAnsi="宋体"/>
          <w:color w:val="000000" w:themeColor="text1"/>
          <w:highlight w:val="none"/>
          <w14:textFill>
            <w14:solidFill>
              <w14:schemeClr w14:val="tx1"/>
            </w14:solidFill>
          </w14:textFill>
        </w:rPr>
      </w:pPr>
    </w:p>
    <w:p w14:paraId="5FE4925B">
      <w:pPr>
        <w:pStyle w:val="51"/>
        <w:rPr>
          <w:rFonts w:hint="eastAsia" w:ascii="宋体" w:hAnsi="宋体"/>
          <w:color w:val="000000" w:themeColor="text1"/>
          <w:highlight w:val="none"/>
          <w14:textFill>
            <w14:solidFill>
              <w14:schemeClr w14:val="tx1"/>
            </w14:solidFill>
          </w14:textFill>
        </w:rPr>
      </w:pPr>
    </w:p>
    <w:p w14:paraId="1C42FB66">
      <w:pPr>
        <w:pStyle w:val="51"/>
        <w:rPr>
          <w:rFonts w:hint="eastAsia" w:ascii="宋体" w:hAnsi="宋体"/>
          <w:color w:val="000000" w:themeColor="text1"/>
          <w:highlight w:val="none"/>
          <w14:textFill>
            <w14:solidFill>
              <w14:schemeClr w14:val="tx1"/>
            </w14:solidFill>
          </w14:textFill>
        </w:rPr>
      </w:pPr>
    </w:p>
    <w:p w14:paraId="59B8C435">
      <w:pPr>
        <w:pStyle w:val="51"/>
        <w:rPr>
          <w:rFonts w:hint="eastAsia" w:ascii="宋体" w:hAnsi="宋体"/>
          <w:color w:val="000000" w:themeColor="text1"/>
          <w:highlight w:val="none"/>
          <w14:textFill>
            <w14:solidFill>
              <w14:schemeClr w14:val="tx1"/>
            </w14:solidFill>
          </w14:textFill>
        </w:rPr>
      </w:pPr>
    </w:p>
    <w:p w14:paraId="37C2D855">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653D681E">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614D47C6">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36A07D82">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670B3D4B">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6AC0313D">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6D793F3B">
      <w:pPr>
        <w:spacing w:line="276" w:lineRule="auto"/>
        <w:jc w:val="center"/>
        <w:rPr>
          <w:rFonts w:hint="eastAsia" w:ascii="宋体" w:hAnsi="宋体"/>
          <w:color w:val="000000" w:themeColor="text1"/>
          <w:sz w:val="30"/>
          <w:szCs w:val="30"/>
          <w:highlight w:val="none"/>
          <w14:textFill>
            <w14:solidFill>
              <w14:schemeClr w14:val="tx1"/>
            </w14:solidFill>
          </w14:textFill>
        </w:rPr>
      </w:pPr>
    </w:p>
    <w:p w14:paraId="49E1CB44">
      <w:pPr>
        <w:spacing w:line="276" w:lineRule="auto"/>
        <w:jc w:val="left"/>
        <w:rPr>
          <w:rFonts w:ascii="宋体" w:hAnsi="Courier New"/>
          <w:b/>
          <w:bCs/>
          <w:color w:val="000000" w:themeColor="text1"/>
          <w:kern w:val="0"/>
          <w:sz w:val="28"/>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br w:type="page"/>
      </w:r>
      <w:r>
        <w:rPr>
          <w:rFonts w:hint="eastAsia"/>
          <w:b/>
          <w:bCs/>
          <w:color w:val="000000" w:themeColor="text1"/>
          <w:sz w:val="28"/>
          <w:szCs w:val="24"/>
          <w:highlight w:val="none"/>
          <w14:textFill>
            <w14:solidFill>
              <w14:schemeClr w14:val="tx1"/>
            </w14:solidFill>
          </w14:textFill>
        </w:rPr>
        <w:t>附件1：</w:t>
      </w:r>
      <w:r>
        <w:rPr>
          <w:rFonts w:hint="eastAsia" w:ascii="宋体" w:hAnsi="Courier New"/>
          <w:b/>
          <w:bCs/>
          <w:color w:val="000000" w:themeColor="text1"/>
          <w:kern w:val="0"/>
          <w:sz w:val="28"/>
          <w:szCs w:val="24"/>
          <w:highlight w:val="none"/>
          <w14:textFill>
            <w14:solidFill>
              <w14:schemeClr w14:val="tx1"/>
            </w14:solidFill>
          </w14:textFill>
        </w:rPr>
        <w:t>河南省政府采购合同融资告知函</w:t>
      </w:r>
    </w:p>
    <w:p w14:paraId="02BBFA49">
      <w:pPr>
        <w:spacing w:line="480" w:lineRule="exact"/>
        <w:ind w:firstLine="480" w:firstLineChars="200"/>
        <w:rPr>
          <w:rFonts w:hint="eastAsia" w:ascii="宋体" w:hAnsi="宋体"/>
          <w:color w:val="000000" w:themeColor="text1"/>
          <w:sz w:val="24"/>
          <w:highlight w:val="none"/>
          <w14:textFill>
            <w14:solidFill>
              <w14:schemeClr w14:val="tx1"/>
            </w14:solidFill>
          </w14:textFill>
        </w:rPr>
      </w:pPr>
    </w:p>
    <w:p w14:paraId="6A79E9E9">
      <w:pPr>
        <w:spacing w:line="48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各供应商：</w:t>
      </w:r>
    </w:p>
    <w:p w14:paraId="0EE1FDFF">
      <w:pPr>
        <w:spacing w:line="48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欢迎贵公司参与河南省政府采购活动！</w:t>
      </w:r>
    </w:p>
    <w:p w14:paraId="6DA6EF29">
      <w:pPr>
        <w:spacing w:line="48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政府采购合同融资是河南省财政厅支持中小微企业发展，针对参与政府采购活动的供应商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590414B5">
      <w:pPr>
        <w:spacing w:line="48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贷款渠道和提供贷款的金融机构，可在河南省政府采购网“河南省政府采购合同融资平台”查询联系。</w:t>
      </w:r>
    </w:p>
    <w:p w14:paraId="353CD353">
      <w:pPr>
        <w:widowControl w:val="0"/>
        <w:spacing w:after="120"/>
        <w:ind w:firstLine="300" w:firstLineChars="100"/>
        <w:rPr>
          <w:rFonts w:hint="eastAsia" w:ascii="宋体" w:hAnsi="宋体"/>
          <w:color w:val="000000" w:themeColor="text1"/>
          <w:kern w:val="0"/>
          <w:sz w:val="30"/>
          <w:szCs w:val="30"/>
          <w:highlight w:val="none"/>
          <w14:textFill>
            <w14:solidFill>
              <w14:schemeClr w14:val="tx1"/>
            </w14:solidFill>
          </w14:textFill>
        </w:rPr>
      </w:pPr>
    </w:p>
    <w:p w14:paraId="2D07FD40">
      <w:pPr>
        <w:rPr>
          <w:color w:val="000000" w:themeColor="text1"/>
          <w:highlight w:val="none"/>
          <w14:textFill>
            <w14:solidFill>
              <w14:schemeClr w14:val="tx1"/>
            </w14:solidFill>
          </w14:textFill>
        </w:rPr>
      </w:pPr>
    </w:p>
    <w:p w14:paraId="1F4D89B0">
      <w:pPr>
        <w:widowControl w:val="0"/>
        <w:ind w:firstLine="420"/>
        <w:rPr>
          <w:rFonts w:hint="eastAsia" w:ascii="宋体" w:hAnsi="宋体"/>
          <w:color w:val="000000" w:themeColor="text1"/>
          <w:sz w:val="30"/>
          <w:szCs w:val="30"/>
          <w:highlight w:val="none"/>
          <w14:textFill>
            <w14:solidFill>
              <w14:schemeClr w14:val="tx1"/>
            </w14:solidFill>
          </w14:textFill>
        </w:rPr>
      </w:pPr>
    </w:p>
    <w:p w14:paraId="1D32300A">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1C63E244">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6B88DF5C">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533020CE">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54031AAF">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31B82368">
      <w:pPr>
        <w:spacing w:before="100" w:beforeAutospacing="1" w:after="100" w:afterAutospacing="1"/>
        <w:jc w:val="left"/>
        <w:rPr>
          <w:rFonts w:hint="eastAsia" w:ascii="宋体" w:hAnsi="宋体"/>
          <w:color w:val="000000" w:themeColor="text1"/>
          <w:kern w:val="0"/>
          <w:sz w:val="30"/>
          <w:szCs w:val="30"/>
          <w:highlight w:val="none"/>
          <w14:textFill>
            <w14:solidFill>
              <w14:schemeClr w14:val="tx1"/>
            </w14:solidFill>
          </w14:textFill>
        </w:rPr>
      </w:pPr>
    </w:p>
    <w:p w14:paraId="29DB8691">
      <w:pPr>
        <w:spacing w:line="276" w:lineRule="auto"/>
        <w:jc w:val="left"/>
        <w:rPr>
          <w:rFonts w:hint="eastAsia" w:ascii="宋体" w:hAnsi="宋体"/>
          <w:color w:val="000000" w:themeColor="text1"/>
          <w:sz w:val="30"/>
          <w:szCs w:val="30"/>
          <w:highlight w:val="none"/>
          <w14:textFill>
            <w14:solidFill>
              <w14:schemeClr w14:val="tx1"/>
            </w14:solidFill>
          </w14:textFill>
        </w:rPr>
      </w:pPr>
    </w:p>
    <w:p w14:paraId="708B2D32">
      <w:pPr>
        <w:spacing w:line="276" w:lineRule="auto"/>
        <w:jc w:val="left"/>
        <w:rPr>
          <w:rFonts w:ascii="宋体" w:hAnsi="Courier New"/>
          <w:b/>
          <w:bCs/>
          <w:color w:val="000000" w:themeColor="text1"/>
          <w:kern w:val="0"/>
          <w:sz w:val="28"/>
          <w:szCs w:val="24"/>
          <w:highlight w:val="none"/>
          <w14:textFill>
            <w14:solidFill>
              <w14:schemeClr w14:val="tx1"/>
            </w14:solidFill>
          </w14:textFill>
        </w:rPr>
      </w:pPr>
      <w:r>
        <w:rPr>
          <w:rFonts w:hint="eastAsia" w:ascii="宋体" w:hAnsi="Courier New"/>
          <w:b/>
          <w:bCs/>
          <w:color w:val="000000" w:themeColor="text1"/>
          <w:kern w:val="0"/>
          <w:sz w:val="28"/>
          <w:szCs w:val="24"/>
          <w:highlight w:val="none"/>
          <w14:textFill>
            <w14:solidFill>
              <w14:schemeClr w14:val="tx1"/>
            </w14:solidFill>
          </w14:textFill>
        </w:rPr>
        <w:t>附件2：小微企业需提供声明函</w:t>
      </w:r>
    </w:p>
    <w:p w14:paraId="4B33C4E2">
      <w:pPr>
        <w:pStyle w:val="10"/>
        <w:ind w:firstLine="0"/>
        <w:jc w:val="center"/>
        <w:rPr>
          <w:rFonts w:hint="eastAsia" w:ascii="宋体" w:hAnsi="宋体"/>
          <w:color w:val="000000" w:themeColor="text1"/>
          <w:sz w:val="24"/>
          <w:szCs w:val="24"/>
          <w:highlight w:val="none"/>
          <w14:textFill>
            <w14:solidFill>
              <w14:schemeClr w14:val="tx1"/>
            </w14:solidFill>
          </w14:textFill>
        </w:rPr>
      </w:pPr>
      <w:r>
        <w:rPr>
          <w:rFonts w:hint="eastAsia" w:ascii="宋体" w:hAnsi="Courier New"/>
          <w:b/>
          <w:bCs/>
          <w:color w:val="000000" w:themeColor="text1"/>
          <w:kern w:val="0"/>
          <w:sz w:val="28"/>
          <w:szCs w:val="24"/>
          <w:highlight w:val="none"/>
          <w14:textFill>
            <w14:solidFill>
              <w14:schemeClr w14:val="tx1"/>
            </w14:solidFill>
          </w14:textFill>
        </w:rPr>
        <w:t>中小企业声明函（货物）（如有）</w:t>
      </w:r>
    </w:p>
    <w:p w14:paraId="1178B24C">
      <w:pPr>
        <w:spacing w:line="6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本公司（联合体）郑重声明，根据《政府采购促进中小企业发展管理办法》 （财库﹝2020﹞46 号）的规定，本公司（联合体）参加</w:t>
      </w:r>
      <w:r>
        <w:rPr>
          <w:rFonts w:hint="eastAsia" w:ascii="宋体" w:hAnsi="宋体"/>
          <w:color w:val="000000" w:themeColor="text1"/>
          <w:sz w:val="24"/>
          <w:highlight w:val="none"/>
          <w:u w:val="single"/>
          <w14:textFill>
            <w14:solidFill>
              <w14:schemeClr w14:val="tx1"/>
            </w14:solidFill>
          </w14:textFill>
        </w:rPr>
        <w:t xml:space="preserve"> （单位名称） </w:t>
      </w:r>
      <w:r>
        <w:rPr>
          <w:rFonts w:hint="eastAsia" w:ascii="宋体" w:hAnsi="宋体"/>
          <w:color w:val="000000" w:themeColor="text1"/>
          <w:sz w:val="24"/>
          <w:highlight w:val="none"/>
          <w14:textFill>
            <w14:solidFill>
              <w14:schemeClr w14:val="tx1"/>
            </w14:solidFill>
          </w14:textFill>
        </w:rPr>
        <w:t>的</w:t>
      </w:r>
      <w:r>
        <w:rPr>
          <w:rFonts w:hint="eastAsia" w:ascii="宋体" w:hAnsi="宋体"/>
          <w:color w:val="000000" w:themeColor="text1"/>
          <w:sz w:val="24"/>
          <w:highlight w:val="none"/>
          <w:u w:val="single"/>
          <w14:textFill>
            <w14:solidFill>
              <w14:schemeClr w14:val="tx1"/>
            </w14:solidFill>
          </w14:textFill>
        </w:rPr>
        <w:t xml:space="preserve"> （项目名称） </w:t>
      </w:r>
      <w:r>
        <w:rPr>
          <w:rFonts w:hint="eastAsia" w:ascii="宋体" w:hAnsi="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14:paraId="3523EBC2">
      <w:pPr>
        <w:spacing w:line="6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hint="eastAsia" w:ascii="宋体" w:hAnsi="宋体"/>
          <w:color w:val="000000" w:themeColor="text1"/>
          <w:sz w:val="24"/>
          <w:highlight w:val="none"/>
          <w:u w:val="single"/>
          <w14:textFill>
            <w14:solidFill>
              <w14:schemeClr w14:val="tx1"/>
            </w14:solidFill>
          </w14:textFill>
        </w:rPr>
        <w:t xml:space="preserve"> （标的名称） </w:t>
      </w:r>
      <w:r>
        <w:rPr>
          <w:rFonts w:hint="eastAsia" w:ascii="宋体" w:hAnsi="宋体"/>
          <w:color w:val="000000" w:themeColor="text1"/>
          <w:sz w:val="24"/>
          <w:highlight w:val="none"/>
          <w14:textFill>
            <w14:solidFill>
              <w14:schemeClr w14:val="tx1"/>
            </w14:solidFill>
          </w14:textFill>
        </w:rPr>
        <w:t>，属于</w:t>
      </w:r>
      <w:r>
        <w:rPr>
          <w:rFonts w:hint="eastAsia" w:ascii="宋体" w:hAnsi="宋体"/>
          <w:color w:val="000000" w:themeColor="text1"/>
          <w:sz w:val="24"/>
          <w:highlight w:val="none"/>
          <w:u w:val="single"/>
          <w14:textFill>
            <w14:solidFill>
              <w14:schemeClr w14:val="tx1"/>
            </w14:solidFill>
          </w14:textFill>
        </w:rPr>
        <w:t xml:space="preserve"> （采购文件中明确的所属行业）行业</w:t>
      </w:r>
      <w:r>
        <w:rPr>
          <w:rFonts w:hint="eastAsia" w:ascii="宋体" w:hAnsi="宋体"/>
          <w:color w:val="000000" w:themeColor="text1"/>
          <w:sz w:val="24"/>
          <w:highlight w:val="none"/>
          <w14:textFill>
            <w14:solidFill>
              <w14:schemeClr w14:val="tx1"/>
            </w14:solidFill>
          </w14:textFill>
        </w:rPr>
        <w:t xml:space="preserve"> ；制造商为 </w:t>
      </w:r>
      <w:r>
        <w:rPr>
          <w:rFonts w:hint="eastAsia" w:ascii="宋体" w:hAnsi="宋体"/>
          <w:color w:val="000000" w:themeColor="text1"/>
          <w:sz w:val="24"/>
          <w:highlight w:val="none"/>
          <w:u w:val="single"/>
          <w14:textFill>
            <w14:solidFill>
              <w14:schemeClr w14:val="tx1"/>
            </w14:solidFill>
          </w14:textFill>
        </w:rPr>
        <w:t xml:space="preserve">（企业名称） </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万元，属于</w:t>
      </w:r>
      <w:r>
        <w:rPr>
          <w:rFonts w:hint="eastAsia" w:ascii="宋体" w:hAnsi="宋体"/>
          <w:color w:val="000000" w:themeColor="text1"/>
          <w:sz w:val="24"/>
          <w:highlight w:val="none"/>
          <w:u w:val="single"/>
          <w14:textFill>
            <w14:solidFill>
              <w14:schemeClr w14:val="tx1"/>
            </w14:solidFill>
          </w14:textFill>
        </w:rPr>
        <w:t xml:space="preserve"> （中型企业、小型企业、微型企业） </w:t>
      </w:r>
      <w:r>
        <w:rPr>
          <w:rFonts w:hint="eastAsia" w:ascii="宋体" w:hAnsi="宋体"/>
          <w:color w:val="000000" w:themeColor="text1"/>
          <w:sz w:val="24"/>
          <w:highlight w:val="none"/>
          <w14:textFill>
            <w14:solidFill>
              <w14:schemeClr w14:val="tx1"/>
            </w14:solidFill>
          </w14:textFill>
        </w:rPr>
        <w:t>；</w:t>
      </w:r>
    </w:p>
    <w:p w14:paraId="446F82CE">
      <w:pPr>
        <w:spacing w:line="6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u w:val="single"/>
          <w14:textFill>
            <w14:solidFill>
              <w14:schemeClr w14:val="tx1"/>
            </w14:solidFill>
          </w14:textFill>
        </w:rPr>
        <w:t xml:space="preserve"> （标的名称） </w:t>
      </w:r>
      <w:r>
        <w:rPr>
          <w:rFonts w:hint="eastAsia" w:ascii="宋体" w:hAnsi="宋体"/>
          <w:color w:val="000000" w:themeColor="text1"/>
          <w:sz w:val="24"/>
          <w:highlight w:val="none"/>
          <w14:textFill>
            <w14:solidFill>
              <w14:schemeClr w14:val="tx1"/>
            </w14:solidFill>
          </w14:textFill>
        </w:rPr>
        <w:t>，属于</w:t>
      </w:r>
      <w:r>
        <w:rPr>
          <w:rFonts w:hint="eastAsia" w:ascii="宋体" w:hAnsi="宋体"/>
          <w:color w:val="000000" w:themeColor="text1"/>
          <w:sz w:val="24"/>
          <w:highlight w:val="none"/>
          <w:u w:val="single"/>
          <w14:textFill>
            <w14:solidFill>
              <w14:schemeClr w14:val="tx1"/>
            </w14:solidFill>
          </w14:textFill>
        </w:rPr>
        <w:t xml:space="preserve"> （采购文件中明确的所属行业）行业</w:t>
      </w:r>
      <w:r>
        <w:rPr>
          <w:rFonts w:hint="eastAsia" w:ascii="宋体" w:hAnsi="宋体"/>
          <w:color w:val="000000" w:themeColor="text1"/>
          <w:sz w:val="24"/>
          <w:highlight w:val="none"/>
          <w14:textFill>
            <w14:solidFill>
              <w14:schemeClr w14:val="tx1"/>
            </w14:solidFill>
          </w14:textFill>
        </w:rPr>
        <w:t xml:space="preserve"> ；制造商为 </w:t>
      </w:r>
      <w:r>
        <w:rPr>
          <w:rFonts w:hint="eastAsia" w:ascii="宋体" w:hAnsi="宋体"/>
          <w:color w:val="000000" w:themeColor="text1"/>
          <w:sz w:val="24"/>
          <w:highlight w:val="none"/>
          <w:u w:val="single"/>
          <w14:textFill>
            <w14:solidFill>
              <w14:schemeClr w14:val="tx1"/>
            </w14:solidFill>
          </w14:textFill>
        </w:rPr>
        <w:t xml:space="preserve">（企业名称） </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万元，属于</w:t>
      </w:r>
      <w:r>
        <w:rPr>
          <w:rFonts w:hint="eastAsia" w:ascii="宋体" w:hAnsi="宋体"/>
          <w:color w:val="000000" w:themeColor="text1"/>
          <w:sz w:val="24"/>
          <w:highlight w:val="none"/>
          <w:u w:val="single"/>
          <w14:textFill>
            <w14:solidFill>
              <w14:schemeClr w14:val="tx1"/>
            </w14:solidFill>
          </w14:textFill>
        </w:rPr>
        <w:t xml:space="preserve"> （中型企业、小型企业、微型企业） </w:t>
      </w:r>
      <w:r>
        <w:rPr>
          <w:rFonts w:hint="eastAsia" w:ascii="宋体" w:hAnsi="宋体"/>
          <w:color w:val="000000" w:themeColor="text1"/>
          <w:sz w:val="24"/>
          <w:highlight w:val="none"/>
          <w14:textFill>
            <w14:solidFill>
              <w14:schemeClr w14:val="tx1"/>
            </w14:solidFill>
          </w14:textFill>
        </w:rPr>
        <w:t>；</w:t>
      </w:r>
    </w:p>
    <w:p w14:paraId="7E4C806C">
      <w:pPr>
        <w:spacing w:line="6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w:t>
      </w:r>
    </w:p>
    <w:p w14:paraId="4A6AEBEE">
      <w:pPr>
        <w:spacing w:line="600" w:lineRule="exact"/>
        <w:ind w:firstLine="480" w:firstLineChars="20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4C491043">
      <w:pPr>
        <w:jc w:val="left"/>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本企业对上述声明内容的真实性负责。如有虚假，将依法承担相应责任。</w:t>
      </w:r>
    </w:p>
    <w:p w14:paraId="215C7F4F">
      <w:pPr>
        <w:pStyle w:val="113"/>
        <w:spacing w:line="360" w:lineRule="auto"/>
        <w:jc w:val="center"/>
        <w:rPr>
          <w:rFonts w:hint="eastAsia" w:hAnsi="宋体" w:cs="宋体"/>
          <w:b/>
          <w:bCs/>
          <w:color w:val="000000" w:themeColor="text1"/>
          <w:sz w:val="24"/>
          <w:szCs w:val="24"/>
          <w:highlight w:val="none"/>
          <w14:textFill>
            <w14:solidFill>
              <w14:schemeClr w14:val="tx1"/>
            </w14:solidFill>
          </w14:textFill>
        </w:rPr>
      </w:pPr>
    </w:p>
    <w:p w14:paraId="252882FE">
      <w:pPr>
        <w:pStyle w:val="113"/>
        <w:spacing w:line="360" w:lineRule="auto"/>
        <w:jc w:val="center"/>
        <w:rPr>
          <w:rFonts w:hint="eastAsia" w:hAnsi="宋体" w:cs="宋体"/>
          <w:b/>
          <w:bCs/>
          <w:color w:val="000000" w:themeColor="text1"/>
          <w:sz w:val="24"/>
          <w:szCs w:val="24"/>
          <w:highlight w:val="none"/>
          <w14:textFill>
            <w14:solidFill>
              <w14:schemeClr w14:val="tx1"/>
            </w14:solidFill>
          </w14:textFill>
        </w:rPr>
      </w:pPr>
    </w:p>
    <w:p w14:paraId="153711BD">
      <w:pPr>
        <w:spacing w:line="360" w:lineRule="auto"/>
        <w:ind w:right="480" w:firstLine="4680" w:firstLineChars="1950"/>
        <w:rPr>
          <w:rFonts w:hint="eastAsia" w:ascii="宋体" w:hAnsi="宋体"/>
          <w:color w:val="000000" w:themeColor="text1"/>
          <w:sz w:val="24"/>
          <w:szCs w:val="24"/>
          <w:highlight w:val="none"/>
          <w14:textFill>
            <w14:solidFill>
              <w14:schemeClr w14:val="tx1"/>
            </w14:solidFill>
          </w14:textFill>
        </w:rPr>
      </w:pPr>
      <w:bookmarkStart w:id="153" w:name="_Toc9456"/>
      <w:bookmarkEnd w:id="153"/>
      <w:bookmarkStart w:id="154" w:name="_Toc25658"/>
      <w:bookmarkEnd w:id="154"/>
      <w:bookmarkStart w:id="155" w:name="_Toc14428"/>
      <w:bookmarkEnd w:id="155"/>
      <w:bookmarkStart w:id="156" w:name="_Toc15943"/>
      <w:bookmarkEnd w:id="156"/>
      <w:bookmarkStart w:id="157" w:name="_Toc19557"/>
      <w:bookmarkEnd w:id="157"/>
      <w:bookmarkStart w:id="158" w:name="_Toc13878"/>
      <w:bookmarkEnd w:id="158"/>
      <w:bookmarkStart w:id="159" w:name="_Toc11777"/>
      <w:bookmarkEnd w:id="159"/>
      <w:bookmarkStart w:id="160" w:name="_Toc22147"/>
      <w:bookmarkEnd w:id="160"/>
      <w:bookmarkStart w:id="161" w:name="_Toc21667"/>
      <w:bookmarkEnd w:id="161"/>
      <w:bookmarkStart w:id="162" w:name="_Toc12805"/>
      <w:bookmarkEnd w:id="162"/>
      <w:bookmarkStart w:id="163" w:name="_Toc26376"/>
      <w:bookmarkEnd w:id="163"/>
      <w:bookmarkStart w:id="164" w:name="_Toc11149"/>
      <w:bookmarkEnd w:id="164"/>
      <w:bookmarkStart w:id="165" w:name="_Toc28742"/>
      <w:bookmarkEnd w:id="165"/>
      <w:bookmarkStart w:id="166" w:name="_Toc23075"/>
      <w:bookmarkEnd w:id="166"/>
      <w:bookmarkStart w:id="167" w:name="_Toc12001"/>
      <w:bookmarkEnd w:id="167"/>
      <w:bookmarkStart w:id="168" w:name="_Toc22668"/>
      <w:bookmarkEnd w:id="168"/>
      <w:bookmarkStart w:id="169" w:name="_Toc1211"/>
      <w:bookmarkEnd w:id="169"/>
      <w:bookmarkStart w:id="170" w:name="_Toc32767"/>
      <w:bookmarkEnd w:id="170"/>
      <w:bookmarkStart w:id="171" w:name="_Toc10964"/>
      <w:bookmarkEnd w:id="171"/>
      <w:bookmarkStart w:id="172" w:name="_Toc27008"/>
      <w:bookmarkEnd w:id="172"/>
      <w:r>
        <w:rPr>
          <w:rFonts w:hint="eastAsia" w:ascii="宋体" w:hAnsi="宋体"/>
          <w:color w:val="000000" w:themeColor="text1"/>
          <w:sz w:val="24"/>
          <w:szCs w:val="24"/>
          <w:highlight w:val="none"/>
          <w14:textFill>
            <w14:solidFill>
              <w14:schemeClr w14:val="tx1"/>
            </w14:solidFill>
          </w14:textFill>
        </w:rPr>
        <w:t>企业名称（盖章）：</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 xml:space="preserve">           </w:t>
      </w:r>
    </w:p>
    <w:p w14:paraId="2624F728">
      <w:pPr>
        <w:spacing w:line="360" w:lineRule="auto"/>
        <w:ind w:firstLine="2880" w:firstLineChars="1200"/>
        <w:jc w:val="righ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 xml:space="preserve">   日期：</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年</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p w14:paraId="5379FC44">
      <w:pPr>
        <w:jc w:val="left"/>
        <w:rPr>
          <w:rFonts w:hint="eastAsia"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注：</w:t>
      </w:r>
      <w:r>
        <w:rPr>
          <w:rFonts w:hint="eastAsia" w:ascii="宋体" w:hAnsi="宋体" w:cs="宋体"/>
          <w:color w:val="000000" w:themeColor="text1"/>
          <w:kern w:val="0"/>
          <w:sz w:val="24"/>
          <w:szCs w:val="24"/>
          <w:highlight w:val="none"/>
          <w:vertAlign w:val="superscript"/>
          <w14:textFill>
            <w14:solidFill>
              <w14:schemeClr w14:val="tx1"/>
            </w14:solidFill>
          </w14:textFill>
        </w:rPr>
        <w:t xml:space="preserve"> </w:t>
      </w:r>
      <w:r>
        <w:rPr>
          <w:rFonts w:hint="eastAsia" w:ascii="宋体" w:hAnsi="宋体" w:cs="宋体"/>
          <w:color w:val="000000" w:themeColor="text1"/>
          <w:kern w:val="0"/>
          <w:sz w:val="24"/>
          <w:szCs w:val="24"/>
          <w:highlight w:val="none"/>
          <w14:textFill>
            <w14:solidFill>
              <w14:schemeClr w14:val="tx1"/>
            </w14:solidFill>
          </w14:textFill>
        </w:rPr>
        <w:t>从业人员、营业收入、资产总额填报上一年度数据，无上一年度数据的新成立企业可不填报。</w:t>
      </w:r>
    </w:p>
    <w:p w14:paraId="3FBFA073">
      <w:pPr>
        <w:spacing w:line="276" w:lineRule="auto"/>
        <w:jc w:val="center"/>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br w:type="page"/>
      </w:r>
      <w:r>
        <w:rPr>
          <w:rFonts w:hint="eastAsia" w:ascii="宋体" w:hAnsi="宋体"/>
          <w:color w:val="000000" w:themeColor="text1"/>
          <w:sz w:val="30"/>
          <w:szCs w:val="30"/>
          <w:highlight w:val="none"/>
          <w14:textFill>
            <w14:solidFill>
              <w14:schemeClr w14:val="tx1"/>
            </w14:solidFill>
          </w14:textFill>
        </w:rPr>
        <w:t>关于监狱企业（如有）</w:t>
      </w:r>
    </w:p>
    <w:p w14:paraId="43264D4A">
      <w:pPr>
        <w:spacing w:line="480" w:lineRule="auto"/>
        <w:jc w:val="left"/>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1、政府采购政策</w:t>
      </w:r>
    </w:p>
    <w:p w14:paraId="5BCC1460">
      <w:pPr>
        <w:spacing w:line="480" w:lineRule="auto"/>
        <w:ind w:firstLine="480" w:firstLineChars="200"/>
        <w:jc w:val="lef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财政部、司法部关于政府采购支持监狱企业发展有关问题的通知（财库【2014】68号）</w:t>
      </w:r>
    </w:p>
    <w:p w14:paraId="2070CE44">
      <w:pPr>
        <w:spacing w:line="480" w:lineRule="auto"/>
        <w:jc w:val="left"/>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2、附证明材料</w:t>
      </w:r>
    </w:p>
    <w:p w14:paraId="55F0CD7E">
      <w:pPr>
        <w:spacing w:line="480" w:lineRule="auto"/>
        <w:ind w:firstLine="480" w:firstLineChars="200"/>
        <w:jc w:val="left"/>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提供由省级以上监狱管理局、戒毒管理局（含新疆生产建设兵团）出具的属于监狱企业的证明文件，否则投标报价评审时不予价格扣除优惠。</w:t>
      </w:r>
    </w:p>
    <w:p w14:paraId="1752881C">
      <w:pPr>
        <w:spacing w:line="276" w:lineRule="auto"/>
        <w:jc w:val="center"/>
        <w:rPr>
          <w:rFonts w:hint="eastAsia" w:ascii="宋体" w:hAnsi="宋体"/>
          <w:color w:val="000000" w:themeColor="text1"/>
          <w:highlight w:val="none"/>
          <w14:textFill>
            <w14:solidFill>
              <w14:schemeClr w14:val="tx1"/>
            </w14:solidFill>
          </w14:textFill>
        </w:rPr>
      </w:pPr>
      <w:bookmarkStart w:id="173" w:name="_Toc797"/>
      <w:bookmarkEnd w:id="173"/>
      <w:bookmarkStart w:id="174" w:name="_Toc4163"/>
      <w:bookmarkEnd w:id="174"/>
      <w:bookmarkStart w:id="175" w:name="_Toc23541"/>
      <w:bookmarkEnd w:id="175"/>
      <w:bookmarkStart w:id="176" w:name="_Toc8829"/>
      <w:bookmarkEnd w:id="176"/>
      <w:bookmarkStart w:id="177" w:name="_Toc29136"/>
      <w:bookmarkEnd w:id="177"/>
      <w:bookmarkStart w:id="178" w:name="_Toc16430"/>
      <w:bookmarkEnd w:id="178"/>
      <w:bookmarkStart w:id="179" w:name="_Toc27314"/>
      <w:bookmarkEnd w:id="179"/>
      <w:bookmarkStart w:id="180" w:name="_Toc18268"/>
      <w:bookmarkEnd w:id="180"/>
      <w:bookmarkStart w:id="181" w:name="_Toc23611"/>
      <w:bookmarkEnd w:id="181"/>
      <w:bookmarkStart w:id="182" w:name="_Toc16088"/>
      <w:bookmarkEnd w:id="182"/>
      <w:bookmarkStart w:id="183" w:name="_Toc16786"/>
      <w:bookmarkEnd w:id="183"/>
      <w:bookmarkStart w:id="184" w:name="_Toc23431"/>
      <w:bookmarkEnd w:id="184"/>
      <w:bookmarkStart w:id="185" w:name="_Toc6120"/>
      <w:bookmarkEnd w:id="185"/>
      <w:bookmarkStart w:id="186" w:name="_Toc17427"/>
      <w:bookmarkEnd w:id="186"/>
      <w:bookmarkStart w:id="187" w:name="_Toc4710"/>
      <w:bookmarkEnd w:id="187"/>
      <w:bookmarkStart w:id="188" w:name="_Toc11061"/>
      <w:bookmarkEnd w:id="188"/>
      <w:bookmarkStart w:id="189" w:name="_Toc25936"/>
      <w:bookmarkEnd w:id="189"/>
      <w:bookmarkStart w:id="190" w:name="_Toc22643"/>
      <w:bookmarkEnd w:id="190"/>
      <w:bookmarkStart w:id="191" w:name="_Toc18807"/>
      <w:bookmarkEnd w:id="191"/>
      <w:bookmarkStart w:id="192" w:name="_Toc31222"/>
      <w:bookmarkEnd w:id="192"/>
      <w:bookmarkStart w:id="193" w:name="_Toc27643"/>
      <w:bookmarkEnd w:id="193"/>
      <w:r>
        <w:rPr>
          <w:rFonts w:hint="eastAsia" w:ascii="宋体" w:hAnsi="宋体"/>
          <w:color w:val="000000" w:themeColor="text1"/>
          <w:highlight w:val="none"/>
          <w14:textFill>
            <w14:solidFill>
              <w14:schemeClr w14:val="tx1"/>
            </w14:solidFill>
          </w14:textFill>
        </w:rPr>
        <w:br w:type="page"/>
      </w:r>
      <w:r>
        <w:rPr>
          <w:rFonts w:hint="eastAsia" w:ascii="宋体" w:hAnsi="宋体"/>
          <w:color w:val="000000" w:themeColor="text1"/>
          <w:sz w:val="30"/>
          <w:szCs w:val="30"/>
          <w:highlight w:val="none"/>
          <w14:textFill>
            <w14:solidFill>
              <w14:schemeClr w14:val="tx1"/>
            </w14:solidFill>
          </w14:textFill>
        </w:rPr>
        <w:t>关于促进残疾人就业的政府采购政策（如有）</w:t>
      </w:r>
    </w:p>
    <w:p w14:paraId="742C782B">
      <w:pPr>
        <w:spacing w:line="480" w:lineRule="auto"/>
        <w:jc w:val="center"/>
        <w:rPr>
          <w:rFonts w:hint="eastAsia" w:hAnsi="宋体"/>
          <w:color w:val="000000" w:themeColor="text1"/>
          <w:highlight w:val="none"/>
          <w14:textFill>
            <w14:solidFill>
              <w14:schemeClr w14:val="tx1"/>
            </w14:solidFill>
          </w14:textFill>
        </w:rPr>
      </w:pPr>
      <w:bookmarkStart w:id="194" w:name="sendNo"/>
      <w:bookmarkEnd w:id="194"/>
      <w:r>
        <w:rPr>
          <w:rFonts w:hint="eastAsia" w:hAnsi="宋体"/>
          <w:color w:val="000000" w:themeColor="text1"/>
          <w:highlight w:val="none"/>
          <w14:textFill>
            <w14:solidFill>
              <w14:schemeClr w14:val="tx1"/>
            </w14:solidFill>
          </w14:textFill>
        </w:rPr>
        <w:t xml:space="preserve"> </w:t>
      </w:r>
    </w:p>
    <w:p w14:paraId="77A9B45F">
      <w:pPr>
        <w:spacing w:line="480" w:lineRule="auto"/>
        <w:jc w:val="left"/>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1、政府采购政策</w:t>
      </w:r>
    </w:p>
    <w:p w14:paraId="4574F1AF">
      <w:pPr>
        <w:spacing w:line="480" w:lineRule="auto"/>
        <w:ind w:left="360"/>
        <w:jc w:val="left"/>
        <w:rPr>
          <w:rFonts w:hint="eastAsia" w:ascii="宋体" w:hAnsi="宋体"/>
          <w:color w:val="000000" w:themeColor="text1"/>
          <w:spacing w:val="6"/>
          <w:sz w:val="24"/>
          <w:szCs w:val="24"/>
          <w:highlight w:val="none"/>
          <w14:textFill>
            <w14:solidFill>
              <w14:schemeClr w14:val="tx1"/>
            </w14:solidFill>
          </w14:textFill>
        </w:rPr>
      </w:pPr>
      <w:r>
        <w:rPr>
          <w:rFonts w:hint="eastAsia" w:ascii="宋体" w:hAnsi="宋体"/>
          <w:color w:val="000000" w:themeColor="text1"/>
          <w:spacing w:val="6"/>
          <w:sz w:val="24"/>
          <w:szCs w:val="24"/>
          <w:highlight w:val="none"/>
          <w14:textFill>
            <w14:solidFill>
              <w14:schemeClr w14:val="tx1"/>
            </w14:solidFill>
          </w14:textFill>
        </w:rPr>
        <w:t>关于促进残疾人就业政府采购政策的通知（财库〔2017〕141号）</w:t>
      </w:r>
      <w:r>
        <w:rPr>
          <w:rFonts w:hint="eastAsia" w:ascii="宋体" w:hAnsi="宋体"/>
          <w:bCs/>
          <w:color w:val="000000" w:themeColor="text1"/>
          <w:kern w:val="0"/>
          <w:sz w:val="24"/>
          <w:szCs w:val="24"/>
          <w:highlight w:val="none"/>
          <w14:textFill>
            <w14:solidFill>
              <w14:schemeClr w14:val="tx1"/>
            </w14:solidFill>
          </w14:textFill>
        </w:rPr>
        <w:t xml:space="preserve"> </w:t>
      </w:r>
      <w:r>
        <w:rPr>
          <w:rFonts w:hint="eastAsia" w:ascii="宋体" w:hAnsi="宋体"/>
          <w:color w:val="000000" w:themeColor="text1"/>
          <w:kern w:val="0"/>
          <w:sz w:val="24"/>
          <w:szCs w:val="24"/>
          <w:highlight w:val="none"/>
          <w14:textFill>
            <w14:solidFill>
              <w14:schemeClr w14:val="tx1"/>
            </w14:solidFill>
          </w14:textFill>
        </w:rPr>
        <w:t xml:space="preserve"> </w:t>
      </w:r>
    </w:p>
    <w:p w14:paraId="3E2714AD">
      <w:pPr>
        <w:spacing w:line="480" w:lineRule="auto"/>
        <w:jc w:val="left"/>
        <w:rPr>
          <w:rFonts w:hint="eastAsia" w:ascii="宋体" w:hAnsi="宋体"/>
          <w:bCs/>
          <w:color w:val="000000" w:themeColor="text1"/>
          <w:kern w:val="0"/>
          <w:sz w:val="24"/>
          <w:szCs w:val="24"/>
          <w:highlight w:val="none"/>
          <w14:textFill>
            <w14:solidFill>
              <w14:schemeClr w14:val="tx1"/>
            </w14:solidFill>
          </w14:textFill>
        </w:rPr>
      </w:pPr>
      <w:bookmarkStart w:id="195" w:name="toDeptId"/>
      <w:bookmarkEnd w:id="195"/>
      <w:r>
        <w:rPr>
          <w:rFonts w:hint="eastAsia" w:ascii="宋体" w:hAnsi="宋体"/>
          <w:bCs/>
          <w:color w:val="000000" w:themeColor="text1"/>
          <w:kern w:val="0"/>
          <w:sz w:val="24"/>
          <w:szCs w:val="24"/>
          <w:highlight w:val="none"/>
          <w14:textFill>
            <w14:solidFill>
              <w14:schemeClr w14:val="tx1"/>
            </w14:solidFill>
          </w14:textFill>
        </w:rPr>
        <w:t>2、附声明函（</w:t>
      </w:r>
      <w:r>
        <w:rPr>
          <w:rFonts w:hint="eastAsia" w:ascii="宋体" w:hAnsi="宋体"/>
          <w:color w:val="000000" w:themeColor="text1"/>
          <w:sz w:val="24"/>
          <w:szCs w:val="24"/>
          <w:highlight w:val="none"/>
          <w14:textFill>
            <w14:solidFill>
              <w14:schemeClr w14:val="tx1"/>
            </w14:solidFill>
          </w14:textFill>
        </w:rPr>
        <w:t>无声明函投标报价评审时不予价格扣除优惠</w:t>
      </w:r>
      <w:r>
        <w:rPr>
          <w:rFonts w:hint="eastAsia" w:ascii="宋体" w:hAnsi="宋体"/>
          <w:bCs/>
          <w:color w:val="000000" w:themeColor="text1"/>
          <w:kern w:val="0"/>
          <w:sz w:val="24"/>
          <w:szCs w:val="24"/>
          <w:highlight w:val="none"/>
          <w14:textFill>
            <w14:solidFill>
              <w14:schemeClr w14:val="tx1"/>
            </w14:solidFill>
          </w14:textFill>
        </w:rPr>
        <w:t>）</w:t>
      </w:r>
    </w:p>
    <w:p w14:paraId="02870F28">
      <w:pPr>
        <w:spacing w:line="360" w:lineRule="auto"/>
        <w:jc w:val="left"/>
        <w:rPr>
          <w:rFonts w:hint="eastAsia" w:hAnsi="宋体"/>
          <w:color w:val="000000" w:themeColor="text1"/>
          <w:kern w:val="0"/>
          <w:highlight w:val="none"/>
          <w14:textFill>
            <w14:solidFill>
              <w14:schemeClr w14:val="tx1"/>
            </w14:solidFill>
          </w14:textFill>
        </w:rPr>
      </w:pPr>
      <w:r>
        <w:rPr>
          <w:rFonts w:hint="eastAsia" w:hAnsi="宋体"/>
          <w:color w:val="000000" w:themeColor="text1"/>
          <w:kern w:val="0"/>
          <w:highlight w:val="none"/>
          <w14:textFill>
            <w14:solidFill>
              <w14:schemeClr w14:val="tx1"/>
            </w14:solidFill>
          </w14:textFill>
        </w:rPr>
        <w:t xml:space="preserve"> </w:t>
      </w:r>
    </w:p>
    <w:p w14:paraId="05285ED2">
      <w:pPr>
        <w:spacing w:line="360" w:lineRule="auto"/>
        <w:jc w:val="left"/>
        <w:rPr>
          <w:rFonts w:hint="eastAsia" w:hAnsi="宋体"/>
          <w:color w:val="000000" w:themeColor="text1"/>
          <w:kern w:val="0"/>
          <w:highlight w:val="none"/>
          <w14:textFill>
            <w14:solidFill>
              <w14:schemeClr w14:val="tx1"/>
            </w14:solidFill>
          </w14:textFill>
        </w:rPr>
      </w:pPr>
      <w:r>
        <w:rPr>
          <w:rFonts w:hint="eastAsia" w:hAnsi="宋体"/>
          <w:color w:val="000000" w:themeColor="text1"/>
          <w:kern w:val="0"/>
          <w:highlight w:val="none"/>
          <w14:textFill>
            <w14:solidFill>
              <w14:schemeClr w14:val="tx1"/>
            </w14:solidFill>
          </w14:textFill>
        </w:rPr>
        <w:t xml:space="preserve"> </w:t>
      </w:r>
    </w:p>
    <w:p w14:paraId="33B4C311">
      <w:pPr>
        <w:widowControl w:val="0"/>
        <w:ind w:firstLine="570"/>
        <w:rPr>
          <w:rFonts w:hint="eastAsia" w:ascii="Calibri" w:hAnsi="宋体"/>
          <w:color w:val="000000" w:themeColor="text1"/>
          <w:kern w:val="0"/>
          <w:highlight w:val="none"/>
          <w14:textFill>
            <w14:solidFill>
              <w14:schemeClr w14:val="tx1"/>
            </w14:solidFill>
          </w14:textFill>
        </w:rPr>
      </w:pPr>
    </w:p>
    <w:p w14:paraId="544C5D30">
      <w:pPr>
        <w:widowControl w:val="0"/>
        <w:ind w:firstLine="570"/>
        <w:rPr>
          <w:rFonts w:hint="eastAsia" w:ascii="Calibri" w:hAnsi="宋体"/>
          <w:color w:val="000000" w:themeColor="text1"/>
          <w:kern w:val="0"/>
          <w:highlight w:val="none"/>
          <w14:textFill>
            <w14:solidFill>
              <w14:schemeClr w14:val="tx1"/>
            </w14:solidFill>
          </w14:textFill>
        </w:rPr>
      </w:pPr>
    </w:p>
    <w:p w14:paraId="4E47A257">
      <w:pPr>
        <w:widowControl w:val="0"/>
        <w:ind w:firstLine="570"/>
        <w:rPr>
          <w:rFonts w:hint="eastAsia" w:ascii="Calibri" w:hAnsi="宋体"/>
          <w:color w:val="000000" w:themeColor="text1"/>
          <w:kern w:val="0"/>
          <w:highlight w:val="none"/>
          <w14:textFill>
            <w14:solidFill>
              <w14:schemeClr w14:val="tx1"/>
            </w14:solidFill>
          </w14:textFill>
        </w:rPr>
      </w:pPr>
    </w:p>
    <w:p w14:paraId="6605389E">
      <w:pPr>
        <w:widowControl w:val="0"/>
        <w:ind w:firstLine="570"/>
        <w:rPr>
          <w:rFonts w:hint="eastAsia" w:ascii="Calibri" w:hAnsi="宋体"/>
          <w:color w:val="000000" w:themeColor="text1"/>
          <w:kern w:val="0"/>
          <w:highlight w:val="none"/>
          <w14:textFill>
            <w14:solidFill>
              <w14:schemeClr w14:val="tx1"/>
            </w14:solidFill>
          </w14:textFill>
        </w:rPr>
      </w:pPr>
    </w:p>
    <w:p w14:paraId="42DF5B51">
      <w:pPr>
        <w:spacing w:line="360" w:lineRule="auto"/>
        <w:jc w:val="left"/>
        <w:rPr>
          <w:rFonts w:hint="eastAsia" w:hAnsi="宋体"/>
          <w:color w:val="000000" w:themeColor="text1"/>
          <w:kern w:val="0"/>
          <w:highlight w:val="none"/>
          <w14:textFill>
            <w14:solidFill>
              <w14:schemeClr w14:val="tx1"/>
            </w14:solidFill>
          </w14:textFill>
        </w:rPr>
      </w:pPr>
      <w:r>
        <w:rPr>
          <w:rFonts w:hint="eastAsia" w:hAnsi="宋体"/>
          <w:color w:val="000000" w:themeColor="text1"/>
          <w:kern w:val="0"/>
          <w:highlight w:val="none"/>
          <w14:textFill>
            <w14:solidFill>
              <w14:schemeClr w14:val="tx1"/>
            </w14:solidFill>
          </w14:textFill>
        </w:rPr>
        <w:t xml:space="preserve"> </w:t>
      </w:r>
    </w:p>
    <w:p w14:paraId="7612413E">
      <w:pPr>
        <w:spacing w:line="360" w:lineRule="auto"/>
        <w:jc w:val="center"/>
        <w:rPr>
          <w:rFonts w:hint="eastAsia" w:hAnsi="宋体"/>
          <w:b/>
          <w:bCs/>
          <w:color w:val="000000" w:themeColor="text1"/>
          <w:spacing w:val="6"/>
          <w:highlight w:val="none"/>
          <w14:textFill>
            <w14:solidFill>
              <w14:schemeClr w14:val="tx1"/>
            </w14:solidFill>
          </w14:textFill>
        </w:rPr>
      </w:pPr>
      <w:bookmarkStart w:id="196" w:name="OLE_LINK13"/>
      <w:bookmarkEnd w:id="196"/>
      <w:bookmarkStart w:id="197" w:name="OLE_LINK14"/>
    </w:p>
    <w:bookmarkEnd w:id="197"/>
    <w:p w14:paraId="466623F2">
      <w:pPr>
        <w:spacing w:line="276" w:lineRule="auto"/>
        <w:jc w:val="center"/>
        <w:rPr>
          <w:rFonts w:hint="eastAsia" w:hAnsi="宋体"/>
          <w:b/>
          <w:bCs/>
          <w:color w:val="000000" w:themeColor="text1"/>
          <w:spacing w:val="6"/>
          <w:highlight w:val="none"/>
          <w14:textFill>
            <w14:solidFill>
              <w14:schemeClr w14:val="tx1"/>
            </w14:solidFill>
          </w14:textFill>
        </w:rPr>
      </w:pPr>
      <w:r>
        <w:rPr>
          <w:rFonts w:hint="eastAsia" w:hAnsi="宋体"/>
          <w:b/>
          <w:bCs/>
          <w:color w:val="000000" w:themeColor="text1"/>
          <w:spacing w:val="6"/>
          <w:highlight w:val="none"/>
          <w14:textFill>
            <w14:solidFill>
              <w14:schemeClr w14:val="tx1"/>
            </w14:solidFill>
          </w14:textFill>
        </w:rPr>
        <w:br w:type="page"/>
      </w:r>
      <w:r>
        <w:rPr>
          <w:rFonts w:hint="eastAsia" w:ascii="宋体" w:hAnsi="宋体"/>
          <w:color w:val="000000" w:themeColor="text1"/>
          <w:sz w:val="30"/>
          <w:szCs w:val="30"/>
          <w:highlight w:val="none"/>
          <w14:textFill>
            <w14:solidFill>
              <w14:schemeClr w14:val="tx1"/>
            </w14:solidFill>
          </w14:textFill>
        </w:rPr>
        <w:t>残疾人福利性单位声明函</w:t>
      </w:r>
    </w:p>
    <w:p w14:paraId="056F180F">
      <w:pPr>
        <w:spacing w:line="360" w:lineRule="auto"/>
        <w:rPr>
          <w:rFonts w:hint="eastAsia" w:hAnsi="宋体"/>
          <w:b/>
          <w:bCs/>
          <w:color w:val="000000" w:themeColor="text1"/>
          <w:spacing w:val="6"/>
          <w:highlight w:val="none"/>
          <w14:textFill>
            <w14:solidFill>
              <w14:schemeClr w14:val="tx1"/>
            </w14:solidFill>
          </w14:textFill>
        </w:rPr>
      </w:pPr>
      <w:r>
        <w:rPr>
          <w:rFonts w:hint="eastAsia" w:hAnsi="宋体"/>
          <w:b/>
          <w:bCs/>
          <w:color w:val="000000" w:themeColor="text1"/>
          <w:spacing w:val="6"/>
          <w:highlight w:val="none"/>
          <w14:textFill>
            <w14:solidFill>
              <w14:schemeClr w14:val="tx1"/>
            </w14:solidFill>
          </w14:textFill>
        </w:rPr>
        <w:t xml:space="preserve"> </w:t>
      </w:r>
    </w:p>
    <w:p w14:paraId="40ABB99E">
      <w:pPr>
        <w:spacing w:line="360" w:lineRule="auto"/>
        <w:ind w:firstLine="504" w:firstLineChars="200"/>
        <w:rPr>
          <w:rFonts w:hint="eastAsia" w:ascii="宋体" w:hAnsi="宋体"/>
          <w:color w:val="000000" w:themeColor="text1"/>
          <w:spacing w:val="6"/>
          <w:sz w:val="24"/>
          <w:szCs w:val="24"/>
          <w:highlight w:val="none"/>
          <w14:textFill>
            <w14:solidFill>
              <w14:schemeClr w14:val="tx1"/>
            </w14:solidFill>
          </w14:textFill>
        </w:rPr>
      </w:pPr>
      <w:r>
        <w:rPr>
          <w:rFonts w:hint="eastAsia" w:ascii="宋体" w:hAnsi="宋体"/>
          <w:color w:val="000000" w:themeColor="text1"/>
          <w:spacing w:val="6"/>
          <w:sz w:val="24"/>
          <w:szCs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宋体" w:hAnsi="宋体"/>
          <w:color w:val="000000" w:themeColor="text1"/>
          <w:sz w:val="24"/>
          <w:szCs w:val="24"/>
          <w:highlight w:val="none"/>
          <w14:textFill>
            <w14:solidFill>
              <w14:schemeClr w14:val="tx1"/>
            </w14:solidFill>
          </w14:textFill>
        </w:rPr>
        <w:t>〔2017〕141</w:t>
      </w:r>
      <w:r>
        <w:rPr>
          <w:rFonts w:hint="eastAsia" w:ascii="宋体" w:hAnsi="宋体"/>
          <w:color w:val="000000" w:themeColor="text1"/>
          <w:spacing w:val="6"/>
          <w:sz w:val="24"/>
          <w:szCs w:val="24"/>
          <w:highlight w:val="none"/>
          <w14:textFill>
            <w14:solidFill>
              <w14:schemeClr w14:val="tx1"/>
            </w14:solidFill>
          </w14:textFill>
        </w:rPr>
        <w:t>号）的规定，本单位为符合条件的残疾人福利性单位，且本单位参加</w:t>
      </w:r>
      <w:r>
        <w:rPr>
          <w:rFonts w:hint="eastAsia" w:ascii="宋体" w:hAnsi="宋体"/>
          <w:color w:val="000000" w:themeColor="text1"/>
          <w:spacing w:val="6"/>
          <w:sz w:val="24"/>
          <w:szCs w:val="24"/>
          <w:highlight w:val="none"/>
          <w:u w:val="single"/>
          <w14:textFill>
            <w14:solidFill>
              <w14:schemeClr w14:val="tx1"/>
            </w14:solidFill>
          </w14:textFill>
        </w:rPr>
        <w:t xml:space="preserve">             </w:t>
      </w:r>
      <w:r>
        <w:rPr>
          <w:rFonts w:hint="eastAsia" w:ascii="宋体" w:hAnsi="宋体"/>
          <w:color w:val="000000" w:themeColor="text1"/>
          <w:spacing w:val="6"/>
          <w:sz w:val="24"/>
          <w:szCs w:val="24"/>
          <w:highlight w:val="none"/>
          <w14:textFill>
            <w14:solidFill>
              <w14:schemeClr w14:val="tx1"/>
            </w14:solidFill>
          </w14:textFill>
        </w:rPr>
        <w:t>单位的</w:t>
      </w:r>
      <w:r>
        <w:rPr>
          <w:rFonts w:hint="eastAsia" w:ascii="宋体" w:hAnsi="宋体"/>
          <w:color w:val="000000" w:themeColor="text1"/>
          <w:spacing w:val="6"/>
          <w:sz w:val="24"/>
          <w:szCs w:val="24"/>
          <w:highlight w:val="none"/>
          <w:u w:val="single"/>
          <w14:textFill>
            <w14:solidFill>
              <w14:schemeClr w14:val="tx1"/>
            </w14:solidFill>
          </w14:textFill>
        </w:rPr>
        <w:t xml:space="preserve">             </w:t>
      </w:r>
      <w:r>
        <w:rPr>
          <w:rFonts w:hint="eastAsia" w:ascii="宋体" w:hAnsi="宋体"/>
          <w:color w:val="000000" w:themeColor="text1"/>
          <w:spacing w:val="6"/>
          <w:sz w:val="24"/>
          <w:szCs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4147F304">
      <w:pPr>
        <w:spacing w:line="360" w:lineRule="auto"/>
        <w:ind w:firstLine="504" w:firstLineChars="200"/>
        <w:rPr>
          <w:rFonts w:hint="eastAsia" w:ascii="宋体" w:hAnsi="宋体"/>
          <w:color w:val="000000" w:themeColor="text1"/>
          <w:spacing w:val="6"/>
          <w:sz w:val="24"/>
          <w:szCs w:val="24"/>
          <w:highlight w:val="none"/>
          <w14:textFill>
            <w14:solidFill>
              <w14:schemeClr w14:val="tx1"/>
            </w14:solidFill>
          </w14:textFill>
        </w:rPr>
      </w:pPr>
      <w:r>
        <w:rPr>
          <w:rFonts w:hint="eastAsia" w:ascii="宋体" w:hAnsi="宋体"/>
          <w:color w:val="000000" w:themeColor="text1"/>
          <w:spacing w:val="6"/>
          <w:sz w:val="24"/>
          <w:szCs w:val="24"/>
          <w:highlight w:val="none"/>
          <w14:textFill>
            <w14:solidFill>
              <w14:schemeClr w14:val="tx1"/>
            </w14:solidFill>
          </w14:textFill>
        </w:rPr>
        <w:t>本单位对上述声明的真实性负责。如有虚假，将依法承担相应责任。</w:t>
      </w:r>
    </w:p>
    <w:p w14:paraId="3C131E8F">
      <w:pPr>
        <w:spacing w:line="360" w:lineRule="auto"/>
        <w:ind w:firstLine="504" w:firstLineChars="200"/>
        <w:rPr>
          <w:rFonts w:hint="eastAsia" w:ascii="宋体" w:hAnsi="宋体"/>
          <w:color w:val="000000" w:themeColor="text1"/>
          <w:spacing w:val="6"/>
          <w:sz w:val="24"/>
          <w:szCs w:val="24"/>
          <w:highlight w:val="none"/>
          <w14:textFill>
            <w14:solidFill>
              <w14:schemeClr w14:val="tx1"/>
            </w14:solidFill>
          </w14:textFill>
        </w:rPr>
      </w:pPr>
      <w:r>
        <w:rPr>
          <w:rFonts w:hint="eastAsia" w:ascii="宋体" w:hAnsi="宋体"/>
          <w:color w:val="000000" w:themeColor="text1"/>
          <w:spacing w:val="6"/>
          <w:sz w:val="24"/>
          <w:szCs w:val="24"/>
          <w:highlight w:val="none"/>
          <w14:textFill>
            <w14:solidFill>
              <w14:schemeClr w14:val="tx1"/>
            </w14:solidFill>
          </w14:textFill>
        </w:rPr>
        <w:t xml:space="preserve"> </w:t>
      </w:r>
    </w:p>
    <w:p w14:paraId="00FBB6D9">
      <w:pPr>
        <w:autoSpaceDE w:val="0"/>
        <w:autoSpaceDN w:val="0"/>
        <w:spacing w:line="360" w:lineRule="auto"/>
        <w:ind w:left="2601" w:right="-20"/>
        <w:jc w:val="left"/>
        <w:rPr>
          <w:rFonts w:hint="eastAsia" w:ascii="宋体" w:hAnsi="宋体"/>
          <w:color w:val="000000" w:themeColor="text1"/>
          <w:kern w:val="0"/>
          <w:position w:val="-2"/>
          <w:sz w:val="24"/>
          <w:szCs w:val="24"/>
          <w:highlight w:val="none"/>
          <w14:textFill>
            <w14:solidFill>
              <w14:schemeClr w14:val="tx1"/>
            </w14:solidFill>
          </w14:textFill>
        </w:rPr>
      </w:pPr>
      <w:r>
        <w:rPr>
          <w:rFonts w:hint="eastAsia" w:ascii="宋体" w:hAnsi="宋体"/>
          <w:color w:val="000000" w:themeColor="text1"/>
          <w:kern w:val="0"/>
          <w:position w:val="-2"/>
          <w:sz w:val="24"/>
          <w:szCs w:val="24"/>
          <w:highlight w:val="none"/>
          <w14:textFill>
            <w14:solidFill>
              <w14:schemeClr w14:val="tx1"/>
            </w14:solidFill>
          </w14:textFill>
        </w:rPr>
        <w:t xml:space="preserve"> </w:t>
      </w:r>
    </w:p>
    <w:p w14:paraId="6C6F6ACA">
      <w:pPr>
        <w:autoSpaceDE w:val="0"/>
        <w:autoSpaceDN w:val="0"/>
        <w:spacing w:line="360" w:lineRule="auto"/>
        <w:ind w:left="2601" w:right="-20"/>
        <w:jc w:val="left"/>
        <w:rPr>
          <w:rFonts w:hint="eastAsia" w:ascii="宋体" w:hAnsi="宋体"/>
          <w:color w:val="000000" w:themeColor="text1"/>
          <w:kern w:val="0"/>
          <w:position w:val="-2"/>
          <w:sz w:val="24"/>
          <w:szCs w:val="24"/>
          <w:highlight w:val="none"/>
          <w14:textFill>
            <w14:solidFill>
              <w14:schemeClr w14:val="tx1"/>
            </w14:solidFill>
          </w14:textFill>
        </w:rPr>
      </w:pPr>
      <w:r>
        <w:rPr>
          <w:rFonts w:hint="eastAsia" w:ascii="宋体" w:hAnsi="宋体"/>
          <w:color w:val="000000" w:themeColor="text1"/>
          <w:kern w:val="0"/>
          <w:position w:val="-2"/>
          <w:sz w:val="24"/>
          <w:szCs w:val="24"/>
          <w:highlight w:val="none"/>
          <w14:textFill>
            <w14:solidFill>
              <w14:schemeClr w14:val="tx1"/>
            </w14:solidFill>
          </w14:textFill>
        </w:rPr>
        <w:t xml:space="preserve"> </w:t>
      </w:r>
    </w:p>
    <w:p w14:paraId="2931B07D">
      <w:pPr>
        <w:autoSpaceDE w:val="0"/>
        <w:autoSpaceDN w:val="0"/>
        <w:spacing w:line="360" w:lineRule="auto"/>
        <w:ind w:left="2601" w:right="-20"/>
        <w:jc w:val="right"/>
        <w:rPr>
          <w:rFonts w:hint="eastAsia" w:ascii="宋体" w:hAnsi="宋体"/>
          <w:color w:val="000000" w:themeColor="text1"/>
          <w:kern w:val="0"/>
          <w:position w:val="-2"/>
          <w:sz w:val="24"/>
          <w:szCs w:val="24"/>
          <w:highlight w:val="none"/>
          <w14:textFill>
            <w14:solidFill>
              <w14:schemeClr w14:val="tx1"/>
            </w14:solidFill>
          </w14:textFill>
        </w:rPr>
      </w:pPr>
      <w:r>
        <w:rPr>
          <w:rFonts w:hint="eastAsia" w:ascii="宋体" w:hAnsi="宋体"/>
          <w:color w:val="000000" w:themeColor="text1"/>
          <w:kern w:val="0"/>
          <w:position w:val="-2"/>
          <w:sz w:val="24"/>
          <w:szCs w:val="24"/>
          <w:highlight w:val="none"/>
          <w:lang w:eastAsia="zh-CN"/>
          <w14:textFill>
            <w14:solidFill>
              <w14:schemeClr w14:val="tx1"/>
            </w14:solidFill>
          </w14:textFill>
        </w:rPr>
        <w:t>供应商</w:t>
      </w:r>
      <w:r>
        <w:rPr>
          <w:rFonts w:hint="eastAsia" w:ascii="宋体" w:hAnsi="宋体"/>
          <w:color w:val="000000" w:themeColor="text1"/>
          <w:spacing w:val="-2"/>
          <w:kern w:val="0"/>
          <w:position w:val="-2"/>
          <w:sz w:val="24"/>
          <w:szCs w:val="24"/>
          <w:highlight w:val="none"/>
          <w14:textFill>
            <w14:solidFill>
              <w14:schemeClr w14:val="tx1"/>
            </w14:solidFill>
          </w14:textFill>
        </w:rPr>
        <w:t>：</w:t>
      </w:r>
      <w:r>
        <w:rPr>
          <w:rFonts w:hint="eastAsia" w:ascii="宋体" w:hAnsi="宋体"/>
          <w:color w:val="000000" w:themeColor="text1"/>
          <w:spacing w:val="43"/>
          <w:kern w:val="0"/>
          <w:position w:val="-2"/>
          <w:sz w:val="24"/>
          <w:szCs w:val="24"/>
          <w:highlight w:val="none"/>
          <w:u w:val="single"/>
          <w14:textFill>
            <w14:solidFill>
              <w14:schemeClr w14:val="tx1"/>
            </w14:solidFill>
          </w14:textFill>
        </w:rPr>
        <w:t xml:space="preserve">         </w:t>
      </w:r>
      <w:r>
        <w:rPr>
          <w:rFonts w:hint="eastAsia" w:ascii="宋体" w:hAnsi="宋体"/>
          <w:color w:val="000000" w:themeColor="text1"/>
          <w:kern w:val="0"/>
          <w:position w:val="-2"/>
          <w:sz w:val="24"/>
          <w:szCs w:val="24"/>
          <w:highlight w:val="none"/>
          <w14:textFill>
            <w14:solidFill>
              <w14:schemeClr w14:val="tx1"/>
            </w14:solidFill>
          </w14:textFill>
        </w:rPr>
        <w:t>（盖单位公章）</w:t>
      </w:r>
    </w:p>
    <w:p w14:paraId="41710049">
      <w:pPr>
        <w:autoSpaceDE w:val="0"/>
        <w:autoSpaceDN w:val="0"/>
        <w:spacing w:line="360" w:lineRule="auto"/>
        <w:jc w:val="right"/>
        <w:rPr>
          <w:rFonts w:hint="eastAsia" w:ascii="宋体" w:hAnsi="宋体"/>
          <w:color w:val="000000" w:themeColor="text1"/>
          <w:kern w:val="0"/>
          <w:sz w:val="24"/>
          <w:szCs w:val="24"/>
          <w:highlight w:val="none"/>
          <w14:textFill>
            <w14:solidFill>
              <w14:schemeClr w14:val="tx1"/>
            </w14:solidFill>
          </w14:textFill>
        </w:rPr>
      </w:pPr>
      <w:r>
        <w:rPr>
          <w:rFonts w:hint="eastAsia" w:ascii="宋体" w:hAnsi="宋体"/>
          <w:color w:val="000000" w:themeColor="text1"/>
          <w:kern w:val="0"/>
          <w:sz w:val="24"/>
          <w:szCs w:val="24"/>
          <w:highlight w:val="none"/>
          <w14:textFill>
            <w14:solidFill>
              <w14:schemeClr w14:val="tx1"/>
            </w14:solidFill>
          </w14:textFill>
        </w:rPr>
        <w:t xml:space="preserve"> </w:t>
      </w:r>
    </w:p>
    <w:p w14:paraId="1A0C62DA">
      <w:pPr>
        <w:autoSpaceDE w:val="0"/>
        <w:autoSpaceDN w:val="0"/>
        <w:spacing w:line="360" w:lineRule="auto"/>
        <w:ind w:left="2601" w:right="-20" w:firstLine="2160" w:firstLineChars="900"/>
        <w:jc w:val="right"/>
        <w:rPr>
          <w:rFonts w:hint="eastAsia" w:ascii="宋体" w:hAnsi="宋体"/>
          <w:color w:val="000000" w:themeColor="text1"/>
          <w:kern w:val="0"/>
          <w:position w:val="-2"/>
          <w:sz w:val="24"/>
          <w:szCs w:val="24"/>
          <w:highlight w:val="none"/>
          <w:u w:val="single"/>
          <w14:textFill>
            <w14:solidFill>
              <w14:schemeClr w14:val="tx1"/>
            </w14:solidFill>
          </w14:textFill>
        </w:rPr>
      </w:pPr>
      <w:r>
        <w:rPr>
          <w:rFonts w:hint="eastAsia" w:ascii="宋体" w:hAnsi="宋体"/>
          <w:color w:val="000000" w:themeColor="text1"/>
          <w:kern w:val="0"/>
          <w:position w:val="-2"/>
          <w:sz w:val="24"/>
          <w:szCs w:val="24"/>
          <w:highlight w:val="none"/>
          <w:u w:val="single"/>
          <w14:textFill>
            <w14:solidFill>
              <w14:schemeClr w14:val="tx1"/>
            </w14:solidFill>
          </w14:textFill>
        </w:rPr>
        <w:t xml:space="preserve">      </w:t>
      </w:r>
      <w:r>
        <w:rPr>
          <w:rFonts w:hint="eastAsia" w:ascii="宋体" w:hAnsi="宋体"/>
          <w:color w:val="000000" w:themeColor="text1"/>
          <w:kern w:val="0"/>
          <w:position w:val="-2"/>
          <w:sz w:val="24"/>
          <w:szCs w:val="24"/>
          <w:highlight w:val="none"/>
          <w14:textFill>
            <w14:solidFill>
              <w14:schemeClr w14:val="tx1"/>
            </w14:solidFill>
          </w14:textFill>
        </w:rPr>
        <w:t>年</w:t>
      </w:r>
      <w:r>
        <w:rPr>
          <w:rFonts w:hint="eastAsia" w:ascii="宋体" w:hAnsi="宋体"/>
          <w:color w:val="000000" w:themeColor="text1"/>
          <w:kern w:val="0"/>
          <w:position w:val="-2"/>
          <w:sz w:val="24"/>
          <w:szCs w:val="24"/>
          <w:highlight w:val="none"/>
          <w:u w:val="single"/>
          <w14:textFill>
            <w14:solidFill>
              <w14:schemeClr w14:val="tx1"/>
            </w14:solidFill>
          </w14:textFill>
        </w:rPr>
        <w:t xml:space="preserve">     </w:t>
      </w:r>
      <w:r>
        <w:rPr>
          <w:rFonts w:hint="eastAsia" w:ascii="宋体" w:hAnsi="宋体"/>
          <w:color w:val="000000" w:themeColor="text1"/>
          <w:kern w:val="0"/>
          <w:position w:val="-2"/>
          <w:sz w:val="24"/>
          <w:szCs w:val="24"/>
          <w:highlight w:val="none"/>
          <w14:textFill>
            <w14:solidFill>
              <w14:schemeClr w14:val="tx1"/>
            </w14:solidFill>
          </w14:textFill>
        </w:rPr>
        <w:t>月</w:t>
      </w:r>
      <w:r>
        <w:rPr>
          <w:rFonts w:hint="eastAsia" w:ascii="宋体" w:hAnsi="宋体"/>
          <w:color w:val="000000" w:themeColor="text1"/>
          <w:kern w:val="0"/>
          <w:position w:val="-2"/>
          <w:sz w:val="24"/>
          <w:szCs w:val="24"/>
          <w:highlight w:val="none"/>
          <w:u w:val="single"/>
          <w14:textFill>
            <w14:solidFill>
              <w14:schemeClr w14:val="tx1"/>
            </w14:solidFill>
          </w14:textFill>
        </w:rPr>
        <w:t xml:space="preserve">    </w:t>
      </w:r>
      <w:r>
        <w:rPr>
          <w:rFonts w:hint="eastAsia" w:ascii="宋体" w:hAnsi="宋体"/>
          <w:color w:val="000000" w:themeColor="text1"/>
          <w:kern w:val="0"/>
          <w:position w:val="-2"/>
          <w:sz w:val="24"/>
          <w:szCs w:val="24"/>
          <w:highlight w:val="none"/>
          <w14:textFill>
            <w14:solidFill>
              <w14:schemeClr w14:val="tx1"/>
            </w14:solidFill>
          </w14:textFill>
        </w:rPr>
        <w:t>日</w:t>
      </w:r>
    </w:p>
    <w:p w14:paraId="7E80FF6B">
      <w:pPr>
        <w:widowControl w:val="0"/>
        <w:ind w:firstLine="420"/>
        <w:rPr>
          <w:rFonts w:hint="eastAsia" w:ascii="宋体" w:hAnsi="宋体"/>
          <w:color w:val="000000" w:themeColor="text1"/>
          <w:highlight w:val="none"/>
          <w14:textFill>
            <w14:solidFill>
              <w14:schemeClr w14:val="tx1"/>
            </w14:solidFill>
          </w14:textFill>
        </w:rPr>
      </w:pPr>
    </w:p>
    <w:p w14:paraId="1E730F40">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39BFDD57">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7FC4C72C">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7961D0F1">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75B94950">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7E932AD4">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11C556A2">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7F318BBF">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186C4EA5">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640AEABE">
      <w:pPr>
        <w:spacing w:before="100" w:beforeAutospacing="1" w:after="100" w:afterAutospacing="1"/>
        <w:jc w:val="left"/>
        <w:rPr>
          <w:rFonts w:hint="eastAsia" w:ascii="宋体" w:hAnsi="宋体" w:eastAsia="等线"/>
          <w:color w:val="000000" w:themeColor="text1"/>
          <w:kern w:val="0"/>
          <w:sz w:val="24"/>
          <w:szCs w:val="24"/>
          <w:highlight w:val="none"/>
          <w14:textFill>
            <w14:solidFill>
              <w14:schemeClr w14:val="tx1"/>
            </w14:solidFill>
          </w14:textFill>
        </w:rPr>
      </w:pPr>
    </w:p>
    <w:p w14:paraId="59FF966F">
      <w:pPr>
        <w:spacing w:before="100" w:beforeAutospacing="1" w:after="100" w:afterAutospacing="1"/>
        <w:ind w:left="141" w:hanging="140" w:hangingChars="50"/>
        <w:jc w:val="left"/>
        <w:rPr>
          <w:rFonts w:ascii="宋体" w:hAnsi="Courier New"/>
          <w:b/>
          <w:bCs/>
          <w:color w:val="000000" w:themeColor="text1"/>
          <w:kern w:val="0"/>
          <w:sz w:val="28"/>
          <w:szCs w:val="24"/>
          <w:highlight w:val="none"/>
          <w14:textFill>
            <w14:solidFill>
              <w14:schemeClr w14:val="tx1"/>
            </w14:solidFill>
          </w14:textFill>
        </w:rPr>
      </w:pPr>
      <w:r>
        <w:rPr>
          <w:rFonts w:hint="eastAsia" w:ascii="宋体" w:hAnsi="Courier New"/>
          <w:b/>
          <w:bCs/>
          <w:color w:val="000000" w:themeColor="text1"/>
          <w:kern w:val="0"/>
          <w:sz w:val="28"/>
          <w:szCs w:val="24"/>
          <w:highlight w:val="none"/>
          <w14:textFill>
            <w14:solidFill>
              <w14:schemeClr w14:val="tx1"/>
            </w14:solidFill>
          </w14:textFill>
        </w:rPr>
        <w:t>附件3：工信部联企业[2011]300号</w:t>
      </w:r>
      <w:r>
        <w:rPr>
          <w:rFonts w:ascii="宋体" w:hAnsi="宋体"/>
          <w:color w:val="000000" w:themeColor="text1"/>
          <w:kern w:val="0"/>
          <w:sz w:val="30"/>
          <w:szCs w:val="30"/>
          <w:highlight w:val="none"/>
          <w14:textFill>
            <w14:solidFill>
              <w14:schemeClr w14:val="tx1"/>
            </w14:solidFill>
          </w14:textFill>
        </w:rPr>
        <w:drawing>
          <wp:inline distT="0" distB="0" distL="0" distR="0">
            <wp:extent cx="5221605" cy="8063865"/>
            <wp:effectExtent l="0" t="0" r="17145" b="13335"/>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21605" cy="8063865"/>
                    </a:xfrm>
                    <a:prstGeom prst="rect">
                      <a:avLst/>
                    </a:prstGeom>
                    <a:noFill/>
                    <a:ln>
                      <a:noFill/>
                    </a:ln>
                  </pic:spPr>
                </pic:pic>
              </a:graphicData>
            </a:graphic>
          </wp:inline>
        </w:drawing>
      </w:r>
    </w:p>
    <w:p w14:paraId="2E2D1151">
      <w:pPr>
        <w:rPr>
          <w:rFonts w:hint="eastAsia" w:ascii="宋体" w:hAnsi="宋体"/>
          <w:color w:val="000000" w:themeColor="text1"/>
          <w:sz w:val="30"/>
          <w:szCs w:val="30"/>
          <w:highlight w:val="none"/>
          <w14:textFill>
            <w14:solidFill>
              <w14:schemeClr w14:val="tx1"/>
            </w14:solidFill>
          </w14:textFill>
        </w:rPr>
      </w:pPr>
      <w:r>
        <w:rPr>
          <w:rFonts w:hint="eastAsia" w:ascii="宋体" w:hAnsi="宋体"/>
          <w:color w:val="000000" w:themeColor="text1"/>
          <w:sz w:val="30"/>
          <w:szCs w:val="30"/>
          <w:highlight w:val="none"/>
          <w14:textFill>
            <w14:solidFill>
              <w14:schemeClr w14:val="tx1"/>
            </w14:solidFill>
          </w14:textFill>
        </w:rPr>
        <w:drawing>
          <wp:inline distT="0" distB="0" distL="0" distR="0">
            <wp:extent cx="5932805" cy="8394700"/>
            <wp:effectExtent l="0" t="0" r="10795" b="6350"/>
            <wp:docPr id="2" name="_x0000_i2059"/>
            <wp:cNvGraphicFramePr/>
            <a:graphic xmlns:a="http://schemas.openxmlformats.org/drawingml/2006/main">
              <a:graphicData uri="http://schemas.openxmlformats.org/drawingml/2006/picture">
                <pic:pic xmlns:pic="http://schemas.openxmlformats.org/drawingml/2006/picture">
                  <pic:nvPicPr>
                    <pic:cNvPr id="2" name="_x0000_i2059"/>
                    <pic:cNvPicPr/>
                  </pic:nvPicPr>
                  <pic:blipFill>
                    <a:blip r:embed="rId11"/>
                    <a:stretch>
                      <a:fillRect/>
                    </a:stretch>
                  </pic:blipFill>
                  <pic:spPr>
                    <a:xfrm>
                      <a:off x="0" y="0"/>
                      <a:ext cx="5932855" cy="8394814"/>
                    </a:xfrm>
                    <a:prstGeom prst="rect">
                      <a:avLst/>
                    </a:prstGeom>
                  </pic:spPr>
                </pic:pic>
              </a:graphicData>
            </a:graphic>
          </wp:inline>
        </w:drawing>
      </w:r>
    </w:p>
    <w:p w14:paraId="15BE2AB6">
      <w:pPr>
        <w:widowControl w:val="0"/>
        <w:autoSpaceDE w:val="0"/>
        <w:autoSpaceDN w:val="0"/>
        <w:rPr>
          <w:rFonts w:ascii="宋体" w:eastAsia="等线"/>
          <w:color w:val="000000" w:themeColor="text1"/>
          <w:sz w:val="24"/>
          <w:szCs w:val="24"/>
          <w:highlight w:val="none"/>
          <w14:textFill>
            <w14:solidFill>
              <w14:schemeClr w14:val="tx1"/>
            </w14:solidFill>
          </w14:textFill>
        </w:rPr>
      </w:pPr>
      <w:r>
        <w:rPr>
          <w:rFonts w:hint="eastAsia" w:ascii="宋体" w:eastAsia="等线"/>
          <w:color w:val="000000" w:themeColor="text1"/>
          <w:sz w:val="24"/>
          <w:szCs w:val="24"/>
          <w:highlight w:val="none"/>
          <w14:textFill>
            <w14:solidFill>
              <w14:schemeClr w14:val="tx1"/>
            </w14:solidFill>
          </w14:textFill>
        </w:rPr>
        <w:drawing>
          <wp:inline distT="0" distB="0" distL="0" distR="0">
            <wp:extent cx="5932805" cy="8394700"/>
            <wp:effectExtent l="0" t="0" r="10795" b="6350"/>
            <wp:docPr id="3" name="_x0000_i2060"/>
            <wp:cNvGraphicFramePr/>
            <a:graphic xmlns:a="http://schemas.openxmlformats.org/drawingml/2006/main">
              <a:graphicData uri="http://schemas.openxmlformats.org/drawingml/2006/picture">
                <pic:pic xmlns:pic="http://schemas.openxmlformats.org/drawingml/2006/picture">
                  <pic:nvPicPr>
                    <pic:cNvPr id="3" name="_x0000_i2060"/>
                    <pic:cNvPicPr/>
                  </pic:nvPicPr>
                  <pic:blipFill>
                    <a:blip r:embed="rId12"/>
                    <a:stretch>
                      <a:fillRect/>
                    </a:stretch>
                  </pic:blipFill>
                  <pic:spPr>
                    <a:xfrm>
                      <a:off x="0" y="0"/>
                      <a:ext cx="5932855" cy="8394814"/>
                    </a:xfrm>
                    <a:prstGeom prst="rect">
                      <a:avLst/>
                    </a:prstGeom>
                  </pic:spPr>
                </pic:pic>
              </a:graphicData>
            </a:graphic>
          </wp:inline>
        </w:drawing>
      </w:r>
    </w:p>
    <w:p w14:paraId="2438B7D4">
      <w:pPr>
        <w:pStyle w:val="3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anchor distT="0" distB="0" distL="0" distR="0" simplePos="0" relativeHeight="251669504" behindDoc="0" locked="0" layoutInCell="1" allowOverlap="1">
            <wp:simplePos x="0" y="0"/>
            <wp:positionH relativeFrom="column">
              <wp:posOffset>-104140</wp:posOffset>
            </wp:positionH>
            <wp:positionV relativeFrom="paragraph">
              <wp:posOffset>153035</wp:posOffset>
            </wp:positionV>
            <wp:extent cx="5932805" cy="8394700"/>
            <wp:effectExtent l="0" t="0" r="10795" b="6350"/>
            <wp:wrapNone/>
            <wp:docPr id="4" name="_x0000_i2061"/>
            <wp:cNvGraphicFramePr/>
            <a:graphic xmlns:a="http://schemas.openxmlformats.org/drawingml/2006/main">
              <a:graphicData uri="http://schemas.openxmlformats.org/drawingml/2006/picture">
                <pic:pic xmlns:pic="http://schemas.openxmlformats.org/drawingml/2006/picture">
                  <pic:nvPicPr>
                    <pic:cNvPr id="4" name="_x0000_i2061"/>
                    <pic:cNvPicPr/>
                  </pic:nvPicPr>
                  <pic:blipFill>
                    <a:blip r:embed="rId13"/>
                    <a:stretch>
                      <a:fillRect/>
                    </a:stretch>
                  </pic:blipFill>
                  <pic:spPr>
                    <a:xfrm>
                      <a:off x="0" y="0"/>
                      <a:ext cx="5932855" cy="8394814"/>
                    </a:xfrm>
                    <a:prstGeom prst="rect">
                      <a:avLst/>
                    </a:prstGeom>
                  </pic:spPr>
                </pic:pic>
              </a:graphicData>
            </a:graphic>
          </wp:anchor>
        </w:drawing>
      </w:r>
    </w:p>
    <w:p w14:paraId="19F16BD7">
      <w:pPr>
        <w:spacing w:line="440" w:lineRule="exact"/>
        <w:ind w:firstLine="420" w:firstLineChars="200"/>
        <w:jc w:val="center"/>
        <w:rPr>
          <w:color w:val="000000" w:themeColor="text1"/>
          <w:highlight w:val="none"/>
          <w14:textFill>
            <w14:solidFill>
              <w14:schemeClr w14:val="tx1"/>
            </w14:solidFill>
          </w14:textFill>
        </w:rPr>
      </w:pPr>
    </w:p>
    <w:p w14:paraId="23DBA4AD">
      <w:pP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br w:type="page"/>
      </w:r>
    </w:p>
    <w:p w14:paraId="4DEF1300">
      <w:pPr>
        <w:spacing w:line="440" w:lineRule="exact"/>
        <w:ind w:firstLine="560" w:firstLineChars="200"/>
        <w:jc w:val="center"/>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全流程电子化交易注意事项</w:t>
      </w:r>
    </w:p>
    <w:p w14:paraId="53A6056D">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电子化交易项目投标文件是投标人、供应商（以下简称“投标人”）通过中心投标文件制作系统制作，并经过签章和加密后生成的电子版投标文件。（电子化投标文件具体制作教材请投标人通过CA证书登录公共资源电子化交易系统在右上角“组件下载”中查看）制作电子化投标文件，需仔细阅读以下条款。</w:t>
      </w:r>
    </w:p>
    <w:p w14:paraId="4439405B">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一、电子化投标</w:t>
      </w:r>
    </w:p>
    <w:p w14:paraId="054E1D29">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（一）网上投标保证金的缴纳</w:t>
      </w:r>
    </w:p>
    <w:p w14:paraId="0328CCFE">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1、递交形式: 投标人的投标保证金必须通过投标人基本账户以转账或电汇的形式缴纳（账户必须是已加入平顶山市公共资源交易投标人或供应商诚信库中的账户）。</w:t>
      </w:r>
    </w:p>
    <w:p w14:paraId="50228CBA">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投标人缴纳投标保证金后，应在规定的缴纳截止时间前通过平顶山市公共资源电子化交易系统将保证金成功绑定至所投标项目和标段。保证金绑定操作手册，请登录平顶山市公共资源交易中心网站在办事指南中网上投标栏目查看。</w:t>
      </w:r>
    </w:p>
    <w:p w14:paraId="657A8741">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3、投标人在成功绑定后，可以将系统生成的回执单图片制作在投标文件中，作为缴纳保证金的依据。</w:t>
      </w:r>
    </w:p>
    <w:p w14:paraId="0993B9A1">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4、投标人应仔细阅读操作手册并充分考虑异地跨行转账到账时间等因素，因投标人操作不当或银行到账时间等问题造成保证金无法正常绑定影响投标的，由投标人自行承担后果。</w:t>
      </w:r>
    </w:p>
    <w:p w14:paraId="6DCA8FE3">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5、未中标投标人的投标保证金在项目结束后，由中介服务机构向中心项目负责人提出退款申请，项目负责人同意并经财务部门核对后，通过中心交易平台退还给投标人。</w:t>
      </w:r>
    </w:p>
    <w:p w14:paraId="71D07578">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（二）电子化投标文件的签章</w:t>
      </w:r>
    </w:p>
    <w:p w14:paraId="3D82C916">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1、投标人在生成电子化投标文件后，应对电子化投标文件进行签章，未进行签章的视为无效投标。</w:t>
      </w:r>
    </w:p>
    <w:p w14:paraId="712DE2F2">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招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建下载”中查看。</w:t>
      </w:r>
    </w:p>
    <w:p w14:paraId="57C71C54">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（三）电子化投标文件的格式及上传投标</w:t>
      </w:r>
    </w:p>
    <w:p w14:paraId="441B1BFB">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1、投标人所上传的电子化投标文件，应是通过中心投标文件制作系统制作的，经过签章和加密后生成的电子版投标文件。生成的电子版投标文件包含用于投标文件上传的主文件（项目文件格式为：xxx公司_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项目名称.bin），备份文件主要用于电子化开标出现技术问题后的补救，请投标人随身携带。</w:t>
      </w:r>
    </w:p>
    <w:p w14:paraId="32D82007">
      <w:pPr>
        <w:spacing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注：（1）投标人投报多个标段的，根据标段制作各个标段的投标文件后上传</w:t>
      </w:r>
    </w:p>
    <w:p w14:paraId="1DAA34D8">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2、电子化投标文件应在投标截止时间前成功上传至平顶山市公共资源电子化交易系统。至投标截止时间止，仍未上传成功的电子化投标文件将不予接收。</w:t>
      </w:r>
    </w:p>
    <w:p w14:paraId="755CDB7A">
      <w:pPr>
        <w:spacing w:line="420" w:lineRule="exact"/>
        <w:ind w:firstLine="480" w:firstLineChars="200"/>
        <w:rPr>
          <w:rFonts w:hint="eastAsia" w:ascii="宋体" w:hAnsi="宋体"/>
          <w:b/>
          <w:bCs/>
          <w:color w:val="000000" w:themeColor="text1"/>
          <w:sz w:val="24"/>
          <w:szCs w:val="24"/>
          <w:highlight w:val="none"/>
          <w14:textFill>
            <w14:solidFill>
              <w14:schemeClr w14:val="tx1"/>
            </w14:solidFill>
          </w14:textFill>
        </w:rPr>
      </w:pPr>
      <w:r>
        <w:rPr>
          <w:rFonts w:hint="eastAsia" w:ascii="宋体" w:hAnsi="宋体"/>
          <w:b/>
          <w:bCs/>
          <w:color w:val="000000" w:themeColor="text1"/>
          <w:sz w:val="24"/>
          <w:szCs w:val="24"/>
          <w:highlight w:val="none"/>
          <w14:textFill>
            <w14:solidFill>
              <w14:schemeClr w14:val="tx1"/>
            </w14:solidFill>
          </w14:textFill>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5B42B32B">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（四）电子化项目开标、解密、唱标、评标</w:t>
      </w:r>
    </w:p>
    <w:p w14:paraId="2902F278">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1、电子化投标文件采用双重加密方式。开标时，首先由投标人使用CA证书，在规定时间内对其电子化投标文件进行首次解密，投标人解密完成后，再由中介服务机构使用CA证书对投标文件进行再次解密。</w:t>
      </w:r>
    </w:p>
    <w:p w14:paraId="15AF86A4">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2、电子化投标文件解密异常的处理</w:t>
      </w:r>
    </w:p>
    <w:p w14:paraId="471A1DC0">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如出现投标人的电子投标文件无法解密的情况，投标人应及时联系中介服务机构说明。投标文件解密异常，按以下步骤进行处理：</w:t>
      </w:r>
    </w:p>
    <w:p w14:paraId="6038A7B5">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（1）首先由技术人员进行问题排查。</w:t>
      </w:r>
    </w:p>
    <w:p w14:paraId="3CACA1E4">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（2）经技术人员排查后，是投标人文件自身问题导致投标文件无法解密的，该投标文件将不予接收、解密和唱标，开标会议继续进行。</w:t>
      </w:r>
    </w:p>
    <w:p w14:paraId="6FEA023D">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22F2F0A5">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3、待所有投标人投标文件解密完成后，由中介服务机构操作，对所有已解密投标文件进行唱标。</w:t>
      </w:r>
    </w:p>
    <w:p w14:paraId="3B4E4E67">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评标时，评标委员会对电子化投标文件有质疑的，将通过电子化交易系统对投标人发起质疑。质疑回复内容确认后，投标人的回复文件必须以经过投标人和其法定代表人签章的PDF格式文件为准，并通过电子化交易系统提交至评标委员会。</w:t>
      </w:r>
    </w:p>
    <w:p w14:paraId="4D506ACC">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5、如评标委员会对需要回复的投标人回复内容有异议的，经过几次回复仍不清楚的，需在监督下进行免提电话进行质疑。</w:t>
      </w:r>
    </w:p>
    <w:p w14:paraId="555D432D">
      <w:pPr>
        <w:spacing w:line="420" w:lineRule="exact"/>
        <w:ind w:firstLine="480" w:firstLineChars="20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6、评标时如因系统异常、停电、电脑病毒、网络堵塞等原因无法正常进行的，由技术人员排查解决，短时间无法解决的，经监督部门同意后，暂停评标活动，待问题解决后继续评标。</w:t>
      </w:r>
    </w:p>
    <w:sectPr>
      <w:headerReference r:id="rId6" w:type="default"/>
      <w:footerReference r:id="rId7" w:type="default"/>
      <w:pgSz w:w="11906" w:h="16838"/>
      <w:pgMar w:top="1440" w:right="1440" w:bottom="1440" w:left="1440" w:header="851" w:footer="992" w:gutter="0"/>
      <w:pgBorders>
        <w:top w:val="none" w:sz="0" w:space="0"/>
        <w:left w:val="none" w:sz="0" w:space="0"/>
        <w:bottom w:val="none" w:sz="0" w:space="0"/>
        <w:right w:val="none" w:sz="0" w:space="0"/>
      </w:pgBorders>
      <w:pgNumType w:start="66"/>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FC707">
    <w:pPr>
      <w:pStyle w:val="54"/>
      <w:tabs>
        <w:tab w:val="clear" w:pos="4153"/>
        <w:tab w:val="clear" w:pos="8306"/>
      </w:tabs>
      <w:ind w:right="360" w:firstLine="90" w:firstLineChars="50"/>
    </w:pPr>
    <w:r>
      <mc:AlternateContent>
        <mc:Choice Requires="wps">
          <w:drawing>
            <wp:anchor distT="0" distB="0" distL="0" distR="0" simplePos="0" relativeHeight="251660288" behindDoc="0" locked="0" layoutInCell="1" allowOverlap="1">
              <wp:simplePos x="0" y="0"/>
              <wp:positionH relativeFrom="column">
                <wp:posOffset>0</wp:posOffset>
              </wp:positionH>
              <wp:positionV relativeFrom="paragraph">
                <wp:posOffset>0</wp:posOffset>
              </wp:positionV>
              <wp:extent cx="5628640" cy="10795"/>
              <wp:effectExtent l="0" t="4445" r="10160" b="13335"/>
              <wp:wrapNone/>
              <wp:docPr id="6" name="_x0000_s2051"/>
              <wp:cNvGraphicFramePr/>
              <a:graphic xmlns:a="http://schemas.openxmlformats.org/drawingml/2006/main">
                <a:graphicData uri="http://schemas.microsoft.com/office/word/2010/wordprocessingShape">
                  <wps:wsp>
                    <wps:cNvCnPr/>
                    <wps:spPr>
                      <a:xfrm>
                        <a:off x="20320" y="113665"/>
                        <a:ext cx="5628640" cy="10795"/>
                      </a:xfrm>
                      <a:prstGeom prst="line">
                        <a:avLst/>
                      </a:prstGeom>
                      <a:ln w="3175">
                        <a:solidFill>
                          <a:prstClr val="white"/>
                        </a:solidFill>
                      </a:ln>
                    </wps:spPr>
                    <wps:bodyPr/>
                  </wps:wsp>
                </a:graphicData>
              </a:graphic>
            </wp:anchor>
          </w:drawing>
        </mc:Choice>
        <mc:Fallback>
          <w:pict>
            <v:line id="_x0000_s2051" o:spid="_x0000_s1026" o:spt="20" style="position:absolute;left:0pt;margin-left:0pt;margin-top:0pt;height:0.85pt;width:443.2pt;z-index:251660288;mso-width-relative:page;mso-height-relative:page;" filled="f" stroked="t" coordsize="21600,21600" o:gfxdata="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8h163UAAAA&#10;AwEAAA8AAAAAAAAAAQAgAAAAIgAAAGRycy9kb3ducmV2LnhtbFBLAQIUABQAAAAIAIdO4kA+GnjU&#10;rwEAAFwDAAAOAAAAAAAAAAEAIAAAACMBAABkcnMvZTJvRG9jLnhtbFBLBQYAAAAABgAGAFkBAABE&#10;BQAAAAA=&#10;">
              <v:fill on="f" focussize="0,0"/>
              <v:stroke weight="0.25pt" color="#FFFFFF" joinstyle="round"/>
              <v:imagedata o:title=""/>
              <o:lock v:ext="edit" aspectratio="f"/>
            </v:line>
          </w:pict>
        </mc:Fallback>
      </mc:AlternateContent>
    </w:r>
  </w:p>
  <w:p w14:paraId="63D517C0">
    <w:pPr>
      <w:pStyle w:val="54"/>
      <w:tabs>
        <w:tab w:val="clear" w:pos="4153"/>
        <w:tab w:val="clear" w:pos="8306"/>
      </w:tabs>
      <w:ind w:right="360" w:firstLine="90" w:firstLineChars="50"/>
      <w:rPr>
        <w:rFonts w:hint="eastAsia" w:ascii="宋体" w:hAnsi="宋体"/>
      </w:rPr>
    </w:pPr>
    <w:r>
      <w:rPr>
        <w:rFonts w:hint="eastAsia" w:ascii="宋体" w:hAnsi="宋体"/>
        <w:color w:val="000000"/>
        <w:shd w:val="clear" w:color="auto" w:fill="FFFFFF"/>
      </w:rPr>
      <w:t>河南荣之鑫工程管理有限公司</w:t>
    </w:r>
    <w:r>
      <w:rPr>
        <w:rFonts w:hint="eastAsia" w:ascii="宋体" w:hAnsi="宋体"/>
      </w:rPr>
      <w:tab/>
    </w:r>
  </w:p>
  <w:p w14:paraId="28862031">
    <w:pPr>
      <w:pStyle w:val="54"/>
      <w:tabs>
        <w:tab w:val="clear" w:pos="4153"/>
        <w:tab w:val="clear" w:pos="8306"/>
      </w:tabs>
      <w:ind w:right="360" w:firstLine="90" w:firstLineChars="5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0F9E9">
    <w:pPr>
      <w:pStyle w:val="54"/>
      <w:tabs>
        <w:tab w:val="clear" w:pos="4153"/>
        <w:tab w:val="clear" w:pos="8306"/>
      </w:tabs>
      <w:ind w:right="360" w:firstLine="90" w:firstLineChars="50"/>
    </w:pPr>
    <w:r>
      <mc:AlternateContent>
        <mc:Choice Requires="wps">
          <w:drawing>
            <wp:anchor distT="0" distB="0" distL="114300" distR="114300" simplePos="0" relativeHeight="251664384" behindDoc="0" locked="0" layoutInCell="1" allowOverlap="1">
              <wp:simplePos x="0" y="0"/>
              <wp:positionH relativeFrom="column">
                <wp:posOffset>27305</wp:posOffset>
              </wp:positionH>
              <wp:positionV relativeFrom="paragraph">
                <wp:posOffset>99060</wp:posOffset>
              </wp:positionV>
              <wp:extent cx="5715000" cy="10160"/>
              <wp:effectExtent l="36830" t="34925" r="29845" b="31115"/>
              <wp:wrapNone/>
              <wp:docPr id="7" name="Line 1026"/>
              <wp:cNvGraphicFramePr/>
              <a:graphic xmlns:a="http://schemas.openxmlformats.org/drawingml/2006/main">
                <a:graphicData uri="http://schemas.microsoft.com/office/word/2010/wordprocessingShape">
                  <wps:wsp>
                    <wps:cNvCnPr>
                      <a:cxnSpLocks noChangeShapeType="1"/>
                    </wps:cNvCnPr>
                    <wps:spPr bwMode="auto">
                      <a:xfrm>
                        <a:off x="0" y="0"/>
                        <a:ext cx="5715000" cy="10160"/>
                      </a:xfrm>
                      <a:prstGeom prst="line">
                        <a:avLst/>
                      </a:prstGeom>
                      <a:noFill/>
                      <a:ln w="57150" cmpd="thinThick">
                        <a:solidFill>
                          <a:srgbClr val="000000"/>
                        </a:solidFill>
                        <a:round/>
                      </a:ln>
                    </wps:spPr>
                    <wps:bodyPr/>
                  </wps:wsp>
                </a:graphicData>
              </a:graphic>
            </wp:anchor>
          </w:drawing>
        </mc:Choice>
        <mc:Fallback>
          <w:pict>
            <v:line id="Line 1026" o:spid="_x0000_s1026" o:spt="20" style="position:absolute;left:0pt;margin-left:2.15pt;margin-top:7.8pt;height:0.8pt;width:450pt;z-index:251664384;mso-width-relative:page;mso-height-relative:page;" filled="f" stroked="t" coordsize="21600,21600" o:gfxdata="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JB7EW1gAAAAcBAAAPAAAAAAAAAAEA&#10;IAAAACIAAABkcnMvZG93bnJldi54bWxQSwECFAAUAAAACACHTuJAzxdjrNgBAAC4AwAADgAAAAAA&#10;AAABACAAAAAlAQAAZHJzL2Uyb0RvYy54bWxQSwUGAAAAAAYABgBZAQAAbwUAAAAA&#10;">
              <v:fill on="f" focussize="0,0"/>
              <v:stroke weight="4.5pt" color="#000000" linestyle="thinThick" joinstyle="round"/>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628640" cy="10795"/>
              <wp:effectExtent l="0" t="0" r="10160" b="8255"/>
              <wp:wrapNone/>
              <wp:docPr id="11" name="_x0000_s2051"/>
              <wp:cNvGraphicFramePr/>
              <a:graphic xmlns:a="http://schemas.openxmlformats.org/drawingml/2006/main">
                <a:graphicData uri="http://schemas.microsoft.com/office/word/2010/wordprocessingShape">
                  <wps:wsp>
                    <wps:cNvCnPr/>
                    <wps:spPr>
                      <a:xfrm>
                        <a:off x="0" y="0"/>
                        <a:ext cx="5628640" cy="10795"/>
                      </a:xfrm>
                      <a:prstGeom prst="line">
                        <a:avLst/>
                      </a:prstGeom>
                      <a:ln w="3175">
                        <a:solidFill>
                          <a:prstClr val="white"/>
                        </a:solidFill>
                      </a:ln>
                    </wps:spPr>
                    <wps:bodyPr/>
                  </wps:wsp>
                </a:graphicData>
              </a:graphic>
            </wp:anchor>
          </w:drawing>
        </mc:Choice>
        <mc:Fallback>
          <w:pict>
            <v:line id="_x0000_s2051" o:spid="_x0000_s1026" o:spt="20" style="position:absolute;left:0pt;margin-left:0pt;margin-top:0pt;height:0.85pt;width:443.2pt;z-index:251662336;mso-width-relative:page;mso-height-relative:page;" filled="f" stroked="t" coordsize="21600,21600" o:gfxdata="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yHXrdQAAAADAQAADwAAAAAA&#10;AAABACAAAAAiAAAAZHJzL2Rvd25yZXYueG1sUEsBAhQAFAAAAAgAh07iQPQbWVGlAQAAVAMAAA4A&#10;AAAAAAAAAQAgAAAAIwEAAGRycy9lMm9Eb2MueG1sUEsFBgAAAAAGAAYAWQEAADoFAAAAAA==&#10;">
              <v:fill on="f" focussize="0,0"/>
              <v:stroke weight="0.25pt" color="#FFFFFF" joinstyle="round"/>
              <v:imagedata o:title=""/>
              <o:lock v:ext="edit" aspectratio="f"/>
            </v:line>
          </w:pict>
        </mc:Fallback>
      </mc:AlternateContent>
    </w:r>
  </w:p>
  <w:p w14:paraId="5A289421">
    <w:pPr>
      <w:pStyle w:val="54"/>
      <w:tabs>
        <w:tab w:val="clear" w:pos="4153"/>
        <w:tab w:val="clear" w:pos="8306"/>
      </w:tabs>
      <w:ind w:right="360" w:firstLine="90" w:firstLineChars="50"/>
      <w:rPr>
        <w:rFonts w:hint="eastAsia" w:ascii="宋体" w:hAnsi="宋体"/>
      </w:rPr>
    </w:pPr>
    <w:r>
      <mc:AlternateContent>
        <mc:Choice Requires="wps">
          <w:drawing>
            <wp:anchor distT="0" distB="0" distL="114300" distR="114300" simplePos="0" relativeHeight="251661312" behindDoc="0" locked="0" layoutInCell="1" allowOverlap="1">
              <wp:simplePos x="0" y="0"/>
              <wp:positionH relativeFrom="margin">
                <wp:posOffset>5585460</wp:posOffset>
              </wp:positionH>
              <wp:positionV relativeFrom="paragraph">
                <wp:posOffset>94615</wp:posOffset>
              </wp:positionV>
              <wp:extent cx="57785" cy="131445"/>
              <wp:effectExtent l="3810" t="0" r="0" b="1905"/>
              <wp:wrapNone/>
              <wp:docPr id="1" name="Text Box 1028"/>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1A509F12">
                          <w:pPr>
                            <w:pStyle w:val="11"/>
                          </w:pPr>
                          <w:r>
                            <w:fldChar w:fldCharType="begin"/>
                          </w:r>
                          <w:r>
                            <w:instrText xml:space="preserve"> PAGE  \* MERGEFORMAT </w:instrText>
                          </w:r>
                          <w:r>
                            <w:fldChar w:fldCharType="separate"/>
                          </w:r>
                          <w:r>
                            <w:t>9</w:t>
                          </w:r>
                          <w:r>
                            <w:fldChar w:fldCharType="end"/>
                          </w:r>
                        </w:p>
                      </w:txbxContent>
                    </wps:txbx>
                    <wps:bodyPr rot="0" vert="horz" wrap="none" lIns="0" tIns="0" rIns="0" bIns="0" anchor="t" anchorCtr="0" upright="1">
                      <a:spAutoFit/>
                    </wps:bodyPr>
                  </wps:wsp>
                </a:graphicData>
              </a:graphic>
            </wp:anchor>
          </w:drawing>
        </mc:Choice>
        <mc:Fallback>
          <w:pict>
            <v:shape id="Text Box 1028" o:spid="_x0000_s1026" o:spt="202" type="#_x0000_t202" style="position:absolute;left:0pt;margin-left:439.8pt;margin-top:7.45pt;height:10.35pt;width:4.55pt;mso-position-horizontal-relative:margin;mso-wrap-style:none;z-index:251661312;mso-width-relative:page;mso-height-relative:page;" filled="f" stroked="f" coordsize="21600,21600" o:gfxdata="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2q3aY1gAAAAkBAAAPAAAAAAAAAAEAIAAAACIAAABkcnMvZG93bnJldi54&#10;bWxQSwECFAAUAAAACACHTuJAQ25IZ/wBAAADBAAADgAAAAAAAAABACAAAAAlAQAAZHJzL2Uyb0Rv&#10;Yy54bWxQSwUGAAAAAAYABgBZAQAAkwUAAAAA&#10;">
              <v:fill on="f" focussize="0,0"/>
              <v:stroke on="f"/>
              <v:imagedata o:title=""/>
              <o:lock v:ext="edit" aspectratio="f"/>
              <v:textbox inset="0mm,0mm,0mm,0mm" style="mso-fit-shape-to-text:t;">
                <w:txbxContent>
                  <w:p w14:paraId="1A509F12">
                    <w:pPr>
                      <w:pStyle w:val="11"/>
                    </w:pPr>
                    <w:r>
                      <w:fldChar w:fldCharType="begin"/>
                    </w:r>
                    <w:r>
                      <w:instrText xml:space="preserve"> PAGE  \* MERGEFORMAT </w:instrText>
                    </w:r>
                    <w:r>
                      <w:fldChar w:fldCharType="separate"/>
                    </w:r>
                    <w:r>
                      <w:t>9</w:t>
                    </w:r>
                    <w:r>
                      <w:fldChar w:fldCharType="end"/>
                    </w:r>
                  </w:p>
                </w:txbxContent>
              </v:textbox>
            </v:shape>
          </w:pict>
        </mc:Fallback>
      </mc:AlternateContent>
    </w:r>
    <w:r>
      <w:rPr>
        <w:rFonts w:hint="eastAsia" w:ascii="宋体" w:hAnsi="宋体"/>
        <w:color w:val="000000"/>
        <w:shd w:val="clear" w:color="auto" w:fill="FFFFFF"/>
      </w:rPr>
      <w:t>河南荣之鑫工程管理有限公司</w:t>
    </w:r>
    <w:r>
      <w:rPr>
        <w:rFonts w:hint="eastAsia" w:ascii="宋体" w:hAnsi="宋体"/>
      </w:rPr>
      <w:tab/>
    </w:r>
  </w:p>
  <w:p w14:paraId="086D4F86">
    <w:pPr>
      <w:pStyle w:val="54"/>
      <w:tabs>
        <w:tab w:val="left" w:pos="5352"/>
        <w:tab w:val="clear" w:pos="4153"/>
        <w:tab w:val="clear" w:pos="8306"/>
      </w:tabs>
      <w:ind w:right="360" w:firstLine="90" w:firstLineChars="50"/>
    </w:pPr>
    <w: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43EB8">
    <w:pPr>
      <w:pStyle w:val="54"/>
      <w:tabs>
        <w:tab w:val="clear" w:pos="4153"/>
        <w:tab w:val="clear" w:pos="8306"/>
      </w:tabs>
      <w:ind w:right="360" w:firstLine="90" w:firstLineChars="50"/>
    </w:pPr>
    <w:r>
      <mc:AlternateContent>
        <mc:Choice Requires="wps">
          <w:drawing>
            <wp:anchor distT="0" distB="0" distL="114300" distR="114300" simplePos="0" relativeHeight="251670528" behindDoc="0" locked="0" layoutInCell="1" allowOverlap="1">
              <wp:simplePos x="0" y="0"/>
              <wp:positionH relativeFrom="column">
                <wp:posOffset>39370</wp:posOffset>
              </wp:positionH>
              <wp:positionV relativeFrom="paragraph">
                <wp:posOffset>36195</wp:posOffset>
              </wp:positionV>
              <wp:extent cx="5705475" cy="0"/>
              <wp:effectExtent l="0" t="28575" r="9525" b="28575"/>
              <wp:wrapNone/>
              <wp:docPr id="25" name="Line 1026"/>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line">
                        <a:avLst/>
                      </a:prstGeom>
                      <a:noFill/>
                      <a:ln w="57150" cmpd="thinThick">
                        <a:solidFill>
                          <a:srgbClr val="000000"/>
                        </a:solidFill>
                        <a:round/>
                      </a:ln>
                    </wps:spPr>
                    <wps:bodyPr/>
                  </wps:wsp>
                </a:graphicData>
              </a:graphic>
            </wp:anchor>
          </w:drawing>
        </mc:Choice>
        <mc:Fallback>
          <w:pict>
            <v:line id="Line 1026" o:spid="_x0000_s1026" o:spt="20" style="position:absolute;left:0pt;margin-left:3.1pt;margin-top:2.85pt;height:0pt;width:449.25pt;z-index:251670528;mso-width-relative:page;mso-height-relative:page;" filled="f" stroked="t" coordsize="21600,21600" o:gfxdata="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aUZm9UAAAAFAQAADwAAAAAAAAABACAA&#10;AAAiAAAAZHJzL2Rvd25yZXYueG1sUEsBAhQAFAAAAAgAh07iQNJIw97XAQAAtQMAAA4AAAAAAAAA&#10;AQAgAAAAJAEAAGRycy9lMm9Eb2MueG1sUEsFBgAAAAAGAAYAWQEAAG0FAAAAAA==&#10;">
              <v:fill on="f" focussize="0,0"/>
              <v:stroke weight="4.5pt" color="#000000" linestyle="thinThick" joinstyle="round"/>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628640" cy="10795"/>
              <wp:effectExtent l="0" t="4445" r="10160" b="13335"/>
              <wp:wrapNone/>
              <wp:docPr id="26" name="_x0000_s2051"/>
              <wp:cNvGraphicFramePr/>
              <a:graphic xmlns:a="http://schemas.openxmlformats.org/drawingml/2006/main">
                <a:graphicData uri="http://schemas.microsoft.com/office/word/2010/wordprocessingShape">
                  <wps:wsp>
                    <wps:cNvCnPr/>
                    <wps:spPr>
                      <a:xfrm>
                        <a:off x="0" y="0"/>
                        <a:ext cx="5628640" cy="10795"/>
                      </a:xfrm>
                      <a:prstGeom prst="line">
                        <a:avLst/>
                      </a:prstGeom>
                      <a:ln w="3175">
                        <a:solidFill>
                          <a:prstClr val="white"/>
                        </a:solidFill>
                      </a:ln>
                    </wps:spPr>
                    <wps:bodyPr/>
                  </wps:wsp>
                </a:graphicData>
              </a:graphic>
            </wp:anchor>
          </w:drawing>
        </mc:Choice>
        <mc:Fallback>
          <w:pict>
            <v:line id="_x0000_s2051" o:spid="_x0000_s1026" o:spt="20" style="position:absolute;left:0pt;margin-left:0pt;margin-top:0pt;height:0.85pt;width:443.2pt;z-index:251667456;mso-width-relative:page;mso-height-relative:page;" filled="f" stroked="t" coordsize="21600,21600" o:gfxdata="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LyHXrdQAAAADAQAADwAAAAAA&#10;AAABACAAAAAiAAAAZHJzL2Rvd25yZXYueG1sUEsBAhQAFAAAAAgAh07iQPVzTDylAQAAVAMAAA4A&#10;AAAAAAAAAQAgAAAAIwEAAGRycy9lMm9Eb2MueG1sUEsFBgAAAAAGAAYAWQEAADoFAAAAAA==&#10;">
              <v:fill on="f" focussize="0,0"/>
              <v:stroke weight="0.25pt" color="#FFFFFF" joinstyle="round"/>
              <v:imagedata o:title=""/>
              <o:lock v:ext="edit" aspectratio="f"/>
            </v:line>
          </w:pict>
        </mc:Fallback>
      </mc:AlternateContent>
    </w:r>
  </w:p>
  <w:p w14:paraId="3CE82915">
    <w:pPr>
      <w:pStyle w:val="54"/>
      <w:tabs>
        <w:tab w:val="clear" w:pos="4153"/>
        <w:tab w:val="clear" w:pos="8306"/>
      </w:tabs>
      <w:ind w:right="360" w:firstLine="90" w:firstLineChars="50"/>
      <w:rPr>
        <w:rFonts w:hint="eastAsia" w:ascii="宋体" w:hAnsi="宋体"/>
      </w:rPr>
    </w:pPr>
    <w:r>
      <mc:AlternateContent>
        <mc:Choice Requires="wps">
          <w:drawing>
            <wp:anchor distT="0" distB="0" distL="114300" distR="114300" simplePos="0" relativeHeight="251669504" behindDoc="0" locked="0" layoutInCell="1" allowOverlap="1">
              <wp:simplePos x="0" y="0"/>
              <wp:positionH relativeFrom="margin">
                <wp:posOffset>5452745</wp:posOffset>
              </wp:positionH>
              <wp:positionV relativeFrom="paragraph">
                <wp:posOffset>31750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77B9C">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29.35pt;margin-top:2.5pt;height:144pt;width:144pt;mso-position-horizontal-relative:margin;mso-wrap-style:none;z-index:251669504;mso-width-relative:page;mso-height-relative:page;" filled="f" stroked="f" coordsize="21600,21600" o:gfxdata="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zi5erXAAAACgEAAA8AAAAAAAAAAQAgAAAAIgAAAGRycy9kb3ducmV2LnhtbFBLAQIU&#10;ABQAAAAIAIdO4kDTYk1lLQIAAFcEAAAOAAAAAAAAAAEAIAAAACYBAABkcnMvZTJvRG9jLnhtbFBL&#10;BQYAAAAABgAGAFkBAADFBQAAAAA=&#10;">
              <v:fill on="f" focussize="0,0"/>
              <v:stroke on="f" weight="0.5pt"/>
              <v:imagedata o:title=""/>
              <o:lock v:ext="edit" aspectratio="f"/>
              <v:textbox inset="0mm,0mm,0mm,0mm" style="mso-fit-shape-to-text:t;">
                <w:txbxContent>
                  <w:p w14:paraId="53777B9C">
                    <w:pPr>
                      <w:pStyle w:val="11"/>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posOffset>5491480</wp:posOffset>
              </wp:positionH>
              <wp:positionV relativeFrom="paragraph">
                <wp:posOffset>40640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BD328">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32.4pt;margin-top:3.2pt;height:144pt;width:144pt;mso-position-horizontal-relative:margin;mso-wrap-style:none;z-index:251668480;mso-width-relative:page;mso-height-relative:page;" filled="f" stroked="f" coordsize="21600,21600" o:gfxdata="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YT3h/XAAAACgEAAA8AAAAAAAAAAQAgAAAAIgAAAGRycy9kb3ducmV2LnhtbFBLAQIU&#10;ABQAAAAIAIdO4kArtLilLQIAAFcEAAAOAAAAAAAAAAEAIAAAACYBAABkcnMvZTJvRG9jLnhtbFBL&#10;BQYAAAAABgAGAFkBAADFBQAAAAA=&#10;">
              <v:fill on="f" focussize="0,0"/>
              <v:stroke on="f" weight="0.5pt"/>
              <v:imagedata o:title=""/>
              <o:lock v:ext="edit" aspectratio="f"/>
              <v:textbox inset="0mm,0mm,0mm,0mm" style="mso-fit-shape-to-text:t;">
                <w:txbxContent>
                  <w:p w14:paraId="297BD328">
                    <w:pPr>
                      <w:pStyle w:val="11"/>
                    </w:pPr>
                  </w:p>
                </w:txbxContent>
              </v:textbox>
            </v:shape>
          </w:pict>
        </mc:Fallback>
      </mc:AlternateContent>
    </w:r>
    <w:r>
      <w:rPr>
        <w:rFonts w:hint="eastAsia" w:ascii="宋体" w:hAnsi="宋体"/>
        <w:color w:val="000000"/>
        <w:shd w:val="clear" w:color="auto" w:fill="FFFFFF"/>
      </w:rPr>
      <w:t>河南荣之鑫工程管理有限公司</w:t>
    </w:r>
    <w:r>
      <w:rPr>
        <w:rFonts w:hint="eastAsia" w:ascii="宋体" w:hAnsi="宋体"/>
      </w:rPr>
      <w:tab/>
    </w:r>
  </w:p>
  <w:p w14:paraId="72B3996E">
    <w:pPr>
      <w:pStyle w:val="54"/>
      <w:tabs>
        <w:tab w:val="left" w:pos="5352"/>
        <w:tab w:val="clear" w:pos="4153"/>
        <w:tab w:val="clear" w:pos="8306"/>
      </w:tabs>
      <w:ind w:right="360" w:firstLine="90" w:firstLineChars="50"/>
    </w:pPr>
    <w: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FCDBA">
    <w:pPr>
      <w:shd w:val="solid" w:color="FFFFFF" w:fill="auto"/>
      <w:autoSpaceDN w:val="0"/>
      <w:spacing w:line="440" w:lineRule="exact"/>
      <w:ind w:right="-489" w:firstLine="180" w:firstLineChars="100"/>
      <w:jc w:val="left"/>
      <w:rPr>
        <w:rFonts w:hint="eastAsia" w:ascii="宋体" w:hAnsi="宋体"/>
        <w:sz w:val="18"/>
        <w:szCs w:val="18"/>
      </w:rPr>
    </w:pPr>
    <w:r>
      <w:rPr>
        <w:rFonts w:hint="eastAsia" w:ascii="宋体" w:hAnsi="宋体"/>
        <w:sz w:val="18"/>
        <w:szCs w:val="18"/>
        <w:lang w:eastAsia="zh-CN"/>
      </w:rPr>
      <w:t>河南质量工程职业学院标准化考场升级改造项目</w:t>
    </w:r>
    <w:r>
      <w:rPr>
        <w:rFonts w:hint="eastAsia" w:ascii="宋体" w:hAnsi="宋体"/>
        <w:sz w:val="18"/>
        <w:szCs w:val="18"/>
      </w:rPr>
      <w:t xml:space="preserve">                                                招标文件</w:t>
    </w:r>
  </w:p>
  <w:p w14:paraId="17B1B4DA">
    <w:pPr>
      <w:pStyle w:val="56"/>
      <w:pBdr>
        <w:bottom w:val="none" w:color="auto" w:sz="0" w:space="1"/>
      </w:pBdr>
      <w:tabs>
        <w:tab w:val="clear" w:pos="4153"/>
        <w:tab w:val="clear" w:pos="8306"/>
      </w:tabs>
    </w:pPr>
    <w: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55245</wp:posOffset>
              </wp:positionV>
              <wp:extent cx="5715000" cy="10160"/>
              <wp:effectExtent l="34290" t="36830" r="32385" b="29210"/>
              <wp:wrapNone/>
              <wp:docPr id="8" name="Line 1025"/>
              <wp:cNvGraphicFramePr/>
              <a:graphic xmlns:a="http://schemas.openxmlformats.org/drawingml/2006/main">
                <a:graphicData uri="http://schemas.microsoft.com/office/word/2010/wordprocessingShape">
                  <wps:wsp>
                    <wps:cNvCnPr>
                      <a:cxnSpLocks noChangeShapeType="1"/>
                    </wps:cNvCnPr>
                    <wps:spPr bwMode="auto">
                      <a:xfrm>
                        <a:off x="0" y="0"/>
                        <a:ext cx="5715000" cy="10160"/>
                      </a:xfrm>
                      <a:prstGeom prst="line">
                        <a:avLst/>
                      </a:prstGeom>
                      <a:noFill/>
                      <a:ln w="57150" cmpd="thinThick">
                        <a:solidFill>
                          <a:srgbClr val="000000"/>
                        </a:solidFill>
                        <a:round/>
                      </a:ln>
                    </wps:spPr>
                    <wps:bodyPr/>
                  </wps:wsp>
                </a:graphicData>
              </a:graphic>
            </wp:anchor>
          </w:drawing>
        </mc:Choice>
        <mc:Fallback>
          <w:pict>
            <v:line id="Line 1025" o:spid="_x0000_s1026" o:spt="20" style="position:absolute;left:0pt;margin-left:0.45pt;margin-top:4.35pt;height:0.8pt;width:450pt;z-index:251663360;mso-width-relative:page;mso-height-relative:page;" filled="f" stroked="t" coordsize="21600,21600" o:gfxdata="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lix8vVAAAABQEAAA8AAAAAAAAAAQAg&#10;AAAAIgAAAGRycy9kb3ducmV2LnhtbFBLAQIUABQAAAAIAIdO4kBoKMhv2AEAALgDAAAOAAAAAAAA&#10;AAEAIAAAACQBAABkcnMvZTJvRG9jLnhtbFBLBQYAAAAABgAGAFkBAABuBQAAAAA=&#10;">
              <v:fill on="f" focussize="0,0"/>
              <v:stroke weight="4.5pt" color="#000000" linestyle="thinThick" joinstyle="round"/>
              <v:imagedata o:title=""/>
              <o:lock v:ext="edit" aspectratio="f"/>
            </v:line>
          </w:pict>
        </mc:Fallback>
      </mc:AlternateContent>
    </w:r>
    <w:r>
      <mc:AlternateContent>
        <mc:Choice Requires="wps">
          <w:drawing>
            <wp:anchor distT="0" distB="0" distL="0" distR="0" simplePos="0" relativeHeight="251659264" behindDoc="0" locked="0" layoutInCell="1" allowOverlap="1">
              <wp:simplePos x="0" y="0"/>
              <wp:positionH relativeFrom="column">
                <wp:posOffset>0</wp:posOffset>
              </wp:positionH>
              <wp:positionV relativeFrom="paragraph">
                <wp:posOffset>0</wp:posOffset>
              </wp:positionV>
              <wp:extent cx="5622290" cy="1270"/>
              <wp:effectExtent l="0" t="0" r="0" b="0"/>
              <wp:wrapNone/>
              <wp:docPr id="5" name="_x0000_s2049"/>
              <wp:cNvGraphicFramePr/>
              <a:graphic xmlns:a="http://schemas.openxmlformats.org/drawingml/2006/main">
                <a:graphicData uri="http://schemas.microsoft.com/office/word/2010/wordprocessingShape">
                  <wps:wsp>
                    <wps:cNvCnPr/>
                    <wps:spPr>
                      <a:xfrm flipV="1">
                        <a:off x="29844" y="64770"/>
                        <a:ext cx="5622291" cy="1270"/>
                      </a:xfrm>
                      <a:prstGeom prst="line">
                        <a:avLst/>
                      </a:prstGeom>
                      <a:ln w="3175">
                        <a:solidFill>
                          <a:prstClr val="white"/>
                        </a:solidFill>
                      </a:ln>
                    </wps:spPr>
                    <wps:bodyPr/>
                  </wps:wsp>
                </a:graphicData>
              </a:graphic>
            </wp:anchor>
          </w:drawing>
        </mc:Choice>
        <mc:Fallback>
          <w:pict>
            <v:line id="_x0000_s2049" o:spid="_x0000_s1026" o:spt="20" style="position:absolute;left:0pt;flip:y;margin-left:0pt;margin-top:0pt;height:0.1pt;width:442.7pt;z-index:251659264;mso-width-relative:page;mso-height-relative:page;" filled="f" stroked="t" coordsize="21600,21600" o:gfxdata="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zN9e2&#10;0QAAAAIBAAAPAAAAAAAAAAEAIAAAACIAAABkcnMvZG93bnJldi54bWxQSwECFAAUAAAACACHTuJA&#10;AxUs87YBAABkAwAADgAAAAAAAAABACAAAAAgAQAAZHJzL2Uyb0RvYy54bWxQSwUGAAAAAAYABgBZ&#10;AQAASAUAAAAA&#10;">
              <v:fill on="f" focussize="0,0"/>
              <v:stroke weight="0.25pt" color="#FFFFFF"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5D194">
    <w:pPr>
      <w:shd w:val="solid" w:color="FFFFFF" w:fill="auto"/>
      <w:autoSpaceDN w:val="0"/>
      <w:spacing w:line="440" w:lineRule="exact"/>
      <w:ind w:right="-489" w:firstLine="180" w:firstLineChars="100"/>
      <w:jc w:val="left"/>
      <w:rPr>
        <w:rFonts w:hint="eastAsia" w:ascii="宋体" w:hAnsi="宋体"/>
        <w:sz w:val="18"/>
        <w:szCs w:val="18"/>
      </w:rPr>
    </w:pPr>
    <w:r>
      <w:rPr>
        <w:rFonts w:hint="eastAsia" w:ascii="宋体" w:hAnsi="宋体"/>
        <w:sz w:val="18"/>
        <w:szCs w:val="18"/>
        <w:lang w:eastAsia="zh-CN"/>
      </w:rPr>
      <w:t>河南质量工程职业学院标准化考场升级改造项目</w:t>
    </w:r>
    <w:r>
      <w:rPr>
        <w:rFonts w:hint="eastAsia" w:ascii="宋体" w:hAnsi="宋体"/>
        <w:sz w:val="18"/>
        <w:szCs w:val="18"/>
      </w:rPr>
      <w:t xml:space="preserve">                                                  招标文件</w:t>
    </w:r>
  </w:p>
  <w:p w14:paraId="59D7AF7C">
    <w:pPr>
      <w:pStyle w:val="56"/>
      <w:pBdr>
        <w:bottom w:val="none" w:color="auto" w:sz="0" w:space="1"/>
      </w:pBdr>
      <w:tabs>
        <w:tab w:val="clear" w:pos="4153"/>
        <w:tab w:val="clear" w:pos="8306"/>
      </w:tabs>
    </w:pPr>
    <w:r>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10160</wp:posOffset>
              </wp:positionV>
              <wp:extent cx="5762625" cy="15875"/>
              <wp:effectExtent l="0" t="28575" r="9525" b="31750"/>
              <wp:wrapNone/>
              <wp:docPr id="17" name="Line 1025"/>
              <wp:cNvGraphicFramePr/>
              <a:graphic xmlns:a="http://schemas.openxmlformats.org/drawingml/2006/main">
                <a:graphicData uri="http://schemas.microsoft.com/office/word/2010/wordprocessingShape">
                  <wps:wsp>
                    <wps:cNvCnPr>
                      <a:cxnSpLocks noChangeShapeType="1"/>
                    </wps:cNvCnPr>
                    <wps:spPr bwMode="auto">
                      <a:xfrm flipV="1">
                        <a:off x="0" y="0"/>
                        <a:ext cx="5762625" cy="15875"/>
                      </a:xfrm>
                      <a:prstGeom prst="line">
                        <a:avLst/>
                      </a:prstGeom>
                      <a:noFill/>
                      <a:ln w="57150" cmpd="thinThick">
                        <a:solidFill>
                          <a:srgbClr val="000000"/>
                        </a:solidFill>
                        <a:round/>
                      </a:ln>
                    </wps:spPr>
                    <wps:bodyPr/>
                  </wps:wsp>
                </a:graphicData>
              </a:graphic>
            </wp:anchor>
          </w:drawing>
        </mc:Choice>
        <mc:Fallback>
          <w:pict>
            <v:line id="Line 1025" o:spid="_x0000_s1026" o:spt="20" style="position:absolute;left:0pt;flip:y;margin-left:0.3pt;margin-top:0.8pt;height:1.25pt;width:453.75pt;z-index:251666432;mso-width-relative:page;mso-height-relative:page;" filled="f" stroked="t" coordsize="21600,21600" o:gfxdata="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yIqc9EAAAAEAQAADwAAAAAA&#10;AAABACAAAAAiAAAAZHJzL2Rvd25yZXYueG1sUEsBAhQAFAAAAAgAh07iQDFRilzhAQAAwwMAAA4A&#10;AAAAAAAAAQAgAAAAIAEAAGRycy9lMm9Eb2MueG1sUEsFBgAAAAAGAAYAWQEAAHMFAAAAAA==&#10;">
              <v:fill on="f" focussize="0,0"/>
              <v:stroke weight="4.5pt" color="#000000" linestyle="thinThick" joinstyle="round"/>
              <v:imagedata o:title=""/>
              <o:lock v:ext="edit" aspectratio="f"/>
            </v:line>
          </w:pict>
        </mc:Fallback>
      </mc:AlternateContent>
    </w:r>
    <w:r>
      <mc:AlternateContent>
        <mc:Choice Requires="wps">
          <w:drawing>
            <wp:anchor distT="0" distB="0" distL="0" distR="0" simplePos="0" relativeHeight="251665408" behindDoc="0" locked="0" layoutInCell="1" allowOverlap="1">
              <wp:simplePos x="0" y="0"/>
              <wp:positionH relativeFrom="column">
                <wp:posOffset>0</wp:posOffset>
              </wp:positionH>
              <wp:positionV relativeFrom="paragraph">
                <wp:posOffset>0</wp:posOffset>
              </wp:positionV>
              <wp:extent cx="5622290" cy="1270"/>
              <wp:effectExtent l="0" t="0" r="0" b="0"/>
              <wp:wrapNone/>
              <wp:docPr id="18" name="_x0000_s2049"/>
              <wp:cNvGraphicFramePr/>
              <a:graphic xmlns:a="http://schemas.openxmlformats.org/drawingml/2006/main">
                <a:graphicData uri="http://schemas.microsoft.com/office/word/2010/wordprocessingShape">
                  <wps:wsp>
                    <wps:cNvCnPr/>
                    <wps:spPr>
                      <a:xfrm flipV="1">
                        <a:off x="29844" y="64770"/>
                        <a:ext cx="5622291" cy="1270"/>
                      </a:xfrm>
                      <a:prstGeom prst="line">
                        <a:avLst/>
                      </a:prstGeom>
                      <a:ln w="3175">
                        <a:solidFill>
                          <a:prstClr val="white"/>
                        </a:solidFill>
                      </a:ln>
                    </wps:spPr>
                    <wps:bodyPr/>
                  </wps:wsp>
                </a:graphicData>
              </a:graphic>
            </wp:anchor>
          </w:drawing>
        </mc:Choice>
        <mc:Fallback>
          <w:pict>
            <v:line id="_x0000_s2049" o:spid="_x0000_s1026" o:spt="20" style="position:absolute;left:0pt;flip:y;margin-left:0pt;margin-top:0pt;height:0.1pt;width:442.7pt;z-index:251665408;mso-width-relative:page;mso-height-relative:page;" filled="f" stroked="t" coordsize="21600,21600" o:gfxdata="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M317bR&#10;AAAAAgEAAA8AAAAAAAAAAQAgAAAAIgAAAGRycy9kb3ducmV2LnhtbFBLAQIUABQAAAAIAIdO4kCv&#10;k4EltQEAAGUDAAAOAAAAAAAAAAEAIAAAACABAABkcnMvZTJvRG9jLnhtbFBLBQYAAAAABgAGAFkB&#10;AABHBQAAAAA=&#10;">
              <v:fill on="f" focussize="0,0"/>
              <v:stroke weight="0.25pt" color="#FFFFFF"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46C5F"/>
    <w:multiLevelType w:val="singleLevel"/>
    <w:tmpl w:val="89D46C5F"/>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rPr>
        <w:rFonts w:cs="Times New Roman"/>
      </w:rPr>
    </w:lvl>
  </w:abstractNum>
  <w:abstractNum w:abstractNumId="2">
    <w:nsid w:val="00000008"/>
    <w:multiLevelType w:val="singleLevel"/>
    <w:tmpl w:val="00000008"/>
    <w:lvl w:ilvl="0" w:tentative="0">
      <w:start w:val="3"/>
      <w:numFmt w:val="decimal"/>
      <w:suff w:val="nothing"/>
      <w:lvlText w:val="%1."/>
      <w:lvlJc w:val="left"/>
      <w:rPr>
        <w:rFonts w:cs="Times New Roman"/>
      </w:rPr>
    </w:lvl>
  </w:abstractNum>
  <w:abstractNum w:abstractNumId="3">
    <w:nsid w:val="0000000B"/>
    <w:multiLevelType w:val="singleLevel"/>
    <w:tmpl w:val="0000000B"/>
    <w:lvl w:ilvl="0" w:tentative="0">
      <w:start w:val="5"/>
      <w:numFmt w:val="chineseCounting"/>
      <w:suff w:val="nothing"/>
      <w:lvlText w:val="%1、"/>
      <w:lvlJc w:val="left"/>
      <w:rPr>
        <w:rFonts w:cs="Times New Roman"/>
      </w:rPr>
    </w:lvl>
  </w:abstractNum>
  <w:abstractNum w:abstractNumId="4">
    <w:nsid w:val="0000000C"/>
    <w:multiLevelType w:val="singleLevel"/>
    <w:tmpl w:val="0000000C"/>
    <w:lvl w:ilvl="0" w:tentative="0">
      <w:start w:val="3"/>
      <w:numFmt w:val="chineseCounting"/>
      <w:suff w:val="nothing"/>
      <w:lvlText w:val="%1、"/>
      <w:lvlJc w:val="left"/>
      <w:rPr>
        <w:rFonts w:cs="Times New Roman"/>
      </w:rPr>
    </w:lvl>
  </w:abstractNum>
  <w:abstractNum w:abstractNumId="5">
    <w:nsid w:val="0000000E"/>
    <w:multiLevelType w:val="singleLevel"/>
    <w:tmpl w:val="0000000E"/>
    <w:lvl w:ilvl="0" w:tentative="0">
      <w:start w:val="1"/>
      <w:numFmt w:val="chineseCounting"/>
      <w:suff w:val="space"/>
      <w:lvlText w:val="第%1章"/>
      <w:lvlJc w:val="left"/>
    </w:lvl>
  </w:abstractNum>
  <w:abstractNum w:abstractNumId="6">
    <w:nsid w:val="75C2C2BC"/>
    <w:multiLevelType w:val="multilevel"/>
    <w:tmpl w:val="75C2C2BC"/>
    <w:lvl w:ilvl="0" w:tentative="0">
      <w:start w:val="1"/>
      <w:numFmt w:val="chineseCountingThousand"/>
      <w:lvlText w:val="%1、"/>
      <w:lvlJc w:val="left"/>
      <w:pPr>
        <w:ind w:left="0" w:firstLine="0"/>
      </w:pPr>
      <w:rPr>
        <w:rFonts w:hint="eastAsia" w:ascii="宋体" w:hAnsi="宋体" w:eastAsia="宋体"/>
      </w:rPr>
    </w:lvl>
    <w:lvl w:ilvl="1" w:tentative="0">
      <w:start w:val="1"/>
      <w:numFmt w:val="decimal"/>
      <w:lvlText w:val="%1.%2"/>
      <w:lvlJc w:val="left"/>
      <w:pPr>
        <w:ind w:left="576" w:hanging="576"/>
      </w:pPr>
      <w:rPr>
        <w:rFonts w:hint="eastAsia" w:ascii="宋体" w:hAnsi="宋体" w:eastAsia="宋体"/>
      </w:rPr>
    </w:lvl>
    <w:lvl w:ilvl="2" w:tentative="0">
      <w:start w:val="1"/>
      <w:numFmt w:val="decimal"/>
      <w:pStyle w:val="31"/>
      <w:lvlText w:val="%1.%2.%3"/>
      <w:lvlJc w:val="left"/>
      <w:pPr>
        <w:ind w:left="720" w:hanging="720"/>
      </w:pPr>
      <w:rPr>
        <w:rFonts w:hint="eastAsia" w:ascii="宋体" w:hAnsi="宋体" w:eastAsia="宋体"/>
      </w:rPr>
    </w:lvl>
    <w:lvl w:ilvl="3" w:tentative="0">
      <w:start w:val="1"/>
      <w:numFmt w:val="decimal"/>
      <w:suff w:val="space"/>
      <w:lvlText w:val="%1.%2.%3.%4"/>
      <w:lvlJc w:val="left"/>
      <w:pPr>
        <w:ind w:left="864" w:hanging="864"/>
      </w:pPr>
      <w:rPr>
        <w:rFonts w:hint="eastAsia" w:ascii="宋体" w:hAnsi="宋体" w:eastAsia="宋体"/>
      </w:rPr>
    </w:lvl>
    <w:lvl w:ilvl="4" w:tentative="0">
      <w:start w:val="1"/>
      <w:numFmt w:val="decimal"/>
      <w:lvlText w:val="%1.%2.%3.%4.%5"/>
      <w:lvlJc w:val="left"/>
      <w:pPr>
        <w:ind w:left="1008" w:hanging="1008"/>
      </w:pPr>
      <w:rPr>
        <w:rFonts w:hint="eastAsia" w:ascii="宋体" w:hAnsi="宋体" w:eastAsia="宋体"/>
      </w:rPr>
    </w:lvl>
    <w:lvl w:ilvl="5" w:tentative="0">
      <w:start w:val="1"/>
      <w:numFmt w:val="decimal"/>
      <w:lvlText w:val="%1.%2.%3.%4.%5.%6"/>
      <w:lvlJc w:val="left"/>
      <w:pPr>
        <w:ind w:left="1152" w:hanging="1152"/>
      </w:pPr>
      <w:rPr>
        <w:rFonts w:hint="eastAsia" w:ascii="宋体" w:hAnsi="宋体" w:eastAsia="宋体"/>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6"/>
  </w:num>
  <w:num w:numId="2">
    <w:abstractNumId w:val="5"/>
  </w:num>
  <w:num w:numId="3">
    <w:abstractNumId w:val="0"/>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yZDEyMmQwNTQ2MzQ3NDZhMDJiMzk2Y2I5MzYxMmEifQ=="/>
    <w:docVar w:name="KSO_WPS_MARK_KEY" w:val="3dfe2f52-dd3b-4b41-940e-8abad42302dc"/>
  </w:docVars>
  <w:rsids>
    <w:rsidRoot w:val="00451421"/>
    <w:rsid w:val="000551BC"/>
    <w:rsid w:val="00061581"/>
    <w:rsid w:val="000A4229"/>
    <w:rsid w:val="001B2BB3"/>
    <w:rsid w:val="001E1C6F"/>
    <w:rsid w:val="00413C39"/>
    <w:rsid w:val="00434166"/>
    <w:rsid w:val="00451421"/>
    <w:rsid w:val="00504766"/>
    <w:rsid w:val="00541792"/>
    <w:rsid w:val="005E32C0"/>
    <w:rsid w:val="006F782C"/>
    <w:rsid w:val="007B4998"/>
    <w:rsid w:val="008163E2"/>
    <w:rsid w:val="008251E0"/>
    <w:rsid w:val="00833EBE"/>
    <w:rsid w:val="008808C2"/>
    <w:rsid w:val="008B2153"/>
    <w:rsid w:val="009F4F5B"/>
    <w:rsid w:val="00AA1649"/>
    <w:rsid w:val="00AA29F8"/>
    <w:rsid w:val="00B1283A"/>
    <w:rsid w:val="00B2710F"/>
    <w:rsid w:val="00B30A07"/>
    <w:rsid w:val="00C02B43"/>
    <w:rsid w:val="00C32394"/>
    <w:rsid w:val="00C84F47"/>
    <w:rsid w:val="00CC2EE0"/>
    <w:rsid w:val="00CD15FD"/>
    <w:rsid w:val="00D308C2"/>
    <w:rsid w:val="00D43741"/>
    <w:rsid w:val="00D576C1"/>
    <w:rsid w:val="00DF4F55"/>
    <w:rsid w:val="00E17458"/>
    <w:rsid w:val="00E51C72"/>
    <w:rsid w:val="00E55180"/>
    <w:rsid w:val="00E7145C"/>
    <w:rsid w:val="00EB27AB"/>
    <w:rsid w:val="013A5B8D"/>
    <w:rsid w:val="0204112E"/>
    <w:rsid w:val="02BA3F8E"/>
    <w:rsid w:val="04DA184C"/>
    <w:rsid w:val="052640CD"/>
    <w:rsid w:val="05AA02EA"/>
    <w:rsid w:val="05C32CC9"/>
    <w:rsid w:val="06324BA3"/>
    <w:rsid w:val="064874F1"/>
    <w:rsid w:val="06F757B1"/>
    <w:rsid w:val="07E615A9"/>
    <w:rsid w:val="085C6CE0"/>
    <w:rsid w:val="093E0D19"/>
    <w:rsid w:val="0969226A"/>
    <w:rsid w:val="09834392"/>
    <w:rsid w:val="09AD0B8A"/>
    <w:rsid w:val="09D7387A"/>
    <w:rsid w:val="0A363DB8"/>
    <w:rsid w:val="0A5B0AFA"/>
    <w:rsid w:val="0A5F36E0"/>
    <w:rsid w:val="0A680129"/>
    <w:rsid w:val="0AD6045E"/>
    <w:rsid w:val="0C460641"/>
    <w:rsid w:val="0CEB1914"/>
    <w:rsid w:val="0D0D6349"/>
    <w:rsid w:val="0DE13AFB"/>
    <w:rsid w:val="0DE63E89"/>
    <w:rsid w:val="0E3966AF"/>
    <w:rsid w:val="0F0C2AF2"/>
    <w:rsid w:val="0F2700A3"/>
    <w:rsid w:val="0F340C24"/>
    <w:rsid w:val="0F41761A"/>
    <w:rsid w:val="0FBB0301"/>
    <w:rsid w:val="0FBD0C1A"/>
    <w:rsid w:val="11272909"/>
    <w:rsid w:val="11B61DC5"/>
    <w:rsid w:val="11DB0C82"/>
    <w:rsid w:val="120B6A44"/>
    <w:rsid w:val="142B1F63"/>
    <w:rsid w:val="145E6210"/>
    <w:rsid w:val="151B4FA1"/>
    <w:rsid w:val="159E329B"/>
    <w:rsid w:val="15A90CE8"/>
    <w:rsid w:val="16476255"/>
    <w:rsid w:val="16745D89"/>
    <w:rsid w:val="18115979"/>
    <w:rsid w:val="19107691"/>
    <w:rsid w:val="19F06DC2"/>
    <w:rsid w:val="19F31E08"/>
    <w:rsid w:val="1A75077C"/>
    <w:rsid w:val="1A850730"/>
    <w:rsid w:val="1AE13C5B"/>
    <w:rsid w:val="1E8E4CFE"/>
    <w:rsid w:val="1F5164BE"/>
    <w:rsid w:val="1F9803AC"/>
    <w:rsid w:val="20175B16"/>
    <w:rsid w:val="203E34DF"/>
    <w:rsid w:val="20655407"/>
    <w:rsid w:val="206931DD"/>
    <w:rsid w:val="20AB6760"/>
    <w:rsid w:val="212118D1"/>
    <w:rsid w:val="212A7089"/>
    <w:rsid w:val="219A3F4D"/>
    <w:rsid w:val="222032E9"/>
    <w:rsid w:val="2320205C"/>
    <w:rsid w:val="252A68FA"/>
    <w:rsid w:val="278065DC"/>
    <w:rsid w:val="27B27826"/>
    <w:rsid w:val="29A24CB1"/>
    <w:rsid w:val="29BA46F0"/>
    <w:rsid w:val="29D96B13"/>
    <w:rsid w:val="2A9E6B51"/>
    <w:rsid w:val="2B2007FA"/>
    <w:rsid w:val="2B54022C"/>
    <w:rsid w:val="2BC26E56"/>
    <w:rsid w:val="2BE02651"/>
    <w:rsid w:val="2C1A14E9"/>
    <w:rsid w:val="2C9A4365"/>
    <w:rsid w:val="2D380691"/>
    <w:rsid w:val="2EB370E8"/>
    <w:rsid w:val="2EE649B2"/>
    <w:rsid w:val="2EE67D35"/>
    <w:rsid w:val="2F067A90"/>
    <w:rsid w:val="2F592908"/>
    <w:rsid w:val="2F8323EF"/>
    <w:rsid w:val="2FC420F1"/>
    <w:rsid w:val="3079289A"/>
    <w:rsid w:val="312B248D"/>
    <w:rsid w:val="313308E4"/>
    <w:rsid w:val="31B80C1B"/>
    <w:rsid w:val="328B5D49"/>
    <w:rsid w:val="32A314EE"/>
    <w:rsid w:val="331C1F78"/>
    <w:rsid w:val="33723B73"/>
    <w:rsid w:val="33DC5707"/>
    <w:rsid w:val="340A6274"/>
    <w:rsid w:val="350B4052"/>
    <w:rsid w:val="355C7627"/>
    <w:rsid w:val="356822FA"/>
    <w:rsid w:val="358A2294"/>
    <w:rsid w:val="360E6923"/>
    <w:rsid w:val="385066A0"/>
    <w:rsid w:val="388B07C0"/>
    <w:rsid w:val="39303475"/>
    <w:rsid w:val="39BC7C21"/>
    <w:rsid w:val="3AAD5BAB"/>
    <w:rsid w:val="3B5438F3"/>
    <w:rsid w:val="3DF81767"/>
    <w:rsid w:val="3DFE0BF8"/>
    <w:rsid w:val="3EF46C8A"/>
    <w:rsid w:val="406776E2"/>
    <w:rsid w:val="41C73F13"/>
    <w:rsid w:val="423F358D"/>
    <w:rsid w:val="428C0CF8"/>
    <w:rsid w:val="42D53EF1"/>
    <w:rsid w:val="42FF08B3"/>
    <w:rsid w:val="43161031"/>
    <w:rsid w:val="4348021F"/>
    <w:rsid w:val="43922E9C"/>
    <w:rsid w:val="43CC63A0"/>
    <w:rsid w:val="43F809F6"/>
    <w:rsid w:val="442A4A05"/>
    <w:rsid w:val="44792BC0"/>
    <w:rsid w:val="44D160F3"/>
    <w:rsid w:val="45150BCE"/>
    <w:rsid w:val="451B33FF"/>
    <w:rsid w:val="46891671"/>
    <w:rsid w:val="47326CAE"/>
    <w:rsid w:val="474B29D4"/>
    <w:rsid w:val="47906638"/>
    <w:rsid w:val="48443524"/>
    <w:rsid w:val="486F26F2"/>
    <w:rsid w:val="491A08B0"/>
    <w:rsid w:val="4A730277"/>
    <w:rsid w:val="4B01404C"/>
    <w:rsid w:val="4B8464B4"/>
    <w:rsid w:val="4BA462F6"/>
    <w:rsid w:val="4BBB3934"/>
    <w:rsid w:val="4BF44F19"/>
    <w:rsid w:val="4CFD5798"/>
    <w:rsid w:val="4DE47316"/>
    <w:rsid w:val="4E546C52"/>
    <w:rsid w:val="4F2953A8"/>
    <w:rsid w:val="4F89131D"/>
    <w:rsid w:val="4FF951CE"/>
    <w:rsid w:val="50A02C76"/>
    <w:rsid w:val="511E2CA3"/>
    <w:rsid w:val="51452486"/>
    <w:rsid w:val="51605A40"/>
    <w:rsid w:val="52D448ED"/>
    <w:rsid w:val="54353DA3"/>
    <w:rsid w:val="543676CB"/>
    <w:rsid w:val="54B7543B"/>
    <w:rsid w:val="56570A4D"/>
    <w:rsid w:val="56AD4B11"/>
    <w:rsid w:val="56B93ADB"/>
    <w:rsid w:val="573855E8"/>
    <w:rsid w:val="57764AF7"/>
    <w:rsid w:val="57B819BF"/>
    <w:rsid w:val="57CC3E70"/>
    <w:rsid w:val="57D85BBE"/>
    <w:rsid w:val="58586CFE"/>
    <w:rsid w:val="58C17CD9"/>
    <w:rsid w:val="58F7058B"/>
    <w:rsid w:val="59F32106"/>
    <w:rsid w:val="59F40646"/>
    <w:rsid w:val="5AA70748"/>
    <w:rsid w:val="5B381AB1"/>
    <w:rsid w:val="5B7B57E4"/>
    <w:rsid w:val="5BBB5058"/>
    <w:rsid w:val="5BD243A7"/>
    <w:rsid w:val="5C8D0ED7"/>
    <w:rsid w:val="5CDA25E4"/>
    <w:rsid w:val="5CE5313C"/>
    <w:rsid w:val="5CF026F7"/>
    <w:rsid w:val="5D641CA2"/>
    <w:rsid w:val="5DFE20F6"/>
    <w:rsid w:val="601D1AC7"/>
    <w:rsid w:val="61377DF9"/>
    <w:rsid w:val="6230766F"/>
    <w:rsid w:val="62CF3899"/>
    <w:rsid w:val="62D502BE"/>
    <w:rsid w:val="63067C1B"/>
    <w:rsid w:val="636846D2"/>
    <w:rsid w:val="64997931"/>
    <w:rsid w:val="64F92757"/>
    <w:rsid w:val="6500448E"/>
    <w:rsid w:val="65050A68"/>
    <w:rsid w:val="65C12F33"/>
    <w:rsid w:val="6663343E"/>
    <w:rsid w:val="669C425A"/>
    <w:rsid w:val="66BB3C46"/>
    <w:rsid w:val="671C05EE"/>
    <w:rsid w:val="690D7691"/>
    <w:rsid w:val="6A462E5B"/>
    <w:rsid w:val="6B87372B"/>
    <w:rsid w:val="6BB32772"/>
    <w:rsid w:val="6BD33B66"/>
    <w:rsid w:val="6C6D2921"/>
    <w:rsid w:val="6CD13207"/>
    <w:rsid w:val="6D65184A"/>
    <w:rsid w:val="6DF96BDC"/>
    <w:rsid w:val="6E2D7BB1"/>
    <w:rsid w:val="6E7D2BC3"/>
    <w:rsid w:val="6F724E6B"/>
    <w:rsid w:val="6FB72105"/>
    <w:rsid w:val="6FF61027"/>
    <w:rsid w:val="70F71AC9"/>
    <w:rsid w:val="72033390"/>
    <w:rsid w:val="7245643F"/>
    <w:rsid w:val="73644660"/>
    <w:rsid w:val="73CF5C6F"/>
    <w:rsid w:val="73F92CEC"/>
    <w:rsid w:val="74A03EB7"/>
    <w:rsid w:val="753015D1"/>
    <w:rsid w:val="75792336"/>
    <w:rsid w:val="759C6025"/>
    <w:rsid w:val="773A5315"/>
    <w:rsid w:val="78A21BA4"/>
    <w:rsid w:val="79112886"/>
    <w:rsid w:val="7A3E3F1A"/>
    <w:rsid w:val="7AB43463"/>
    <w:rsid w:val="7D1D48E5"/>
    <w:rsid w:val="7DCC321F"/>
    <w:rsid w:val="7E374B3D"/>
    <w:rsid w:val="7EC363D0"/>
    <w:rsid w:val="7F1A51FA"/>
    <w:rsid w:val="7FB93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1"/>
      <w:lang w:val="en-US" w:eastAsia="zh-CN" w:bidi="ar-SA"/>
    </w:rPr>
  </w:style>
  <w:style w:type="paragraph" w:styleId="2">
    <w:name w:val="heading 2"/>
    <w:basedOn w:val="1"/>
    <w:next w:val="1"/>
    <w:qFormat/>
    <w:uiPriority w:val="99"/>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unhideWhenUsed/>
    <w:qFormat/>
    <w:uiPriority w:val="9"/>
    <w:pPr>
      <w:keepNext/>
      <w:keepLines/>
      <w:spacing w:before="160" w:after="80"/>
      <w:outlineLvl w:val="2"/>
    </w:pPr>
    <w:rPr>
      <w:rFonts w:asciiTheme="majorHAnsi" w:hAnsiTheme="majorHAnsi" w:eastAsiaTheme="majorEastAsia" w:cstheme="majorBidi"/>
      <w:color w:val="376092" w:themeColor="accent1" w:themeShade="BF"/>
      <w:sz w:val="32"/>
      <w:szCs w:val="32"/>
    </w:rPr>
  </w:style>
  <w:style w:type="paragraph" w:styleId="4">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0"/>
    <w:pPr>
      <w:ind w:firstLine="420"/>
    </w:pPr>
  </w:style>
  <w:style w:type="paragraph" w:styleId="6">
    <w:name w:val="Body Text 2"/>
    <w:basedOn w:val="1"/>
    <w:next w:val="1"/>
    <w:semiHidden/>
    <w:qFormat/>
    <w:uiPriority w:val="99"/>
    <w:pPr>
      <w:spacing w:after="120" w:line="480" w:lineRule="auto"/>
    </w:pPr>
    <w:rPr>
      <w:kern w:val="0"/>
      <w:sz w:val="20"/>
    </w:rPr>
  </w:style>
  <w:style w:type="paragraph" w:styleId="7">
    <w:name w:val="Body Text"/>
    <w:basedOn w:val="1"/>
    <w:qFormat/>
    <w:uiPriority w:val="0"/>
    <w:pPr>
      <w:spacing w:after="120"/>
    </w:pPr>
  </w:style>
  <w:style w:type="paragraph" w:styleId="8">
    <w:name w:val="Body Text Indent"/>
    <w:basedOn w:val="1"/>
    <w:semiHidden/>
    <w:qFormat/>
    <w:uiPriority w:val="99"/>
    <w:pPr>
      <w:spacing w:after="120"/>
      <w:ind w:left="420" w:leftChars="200"/>
    </w:pPr>
    <w:rPr>
      <w:kern w:val="0"/>
      <w:sz w:val="20"/>
    </w:rPr>
  </w:style>
  <w:style w:type="paragraph" w:styleId="9">
    <w:name w:val="toc 3"/>
    <w:basedOn w:val="1"/>
    <w:next w:val="1"/>
    <w:qFormat/>
    <w:uiPriority w:val="0"/>
    <w:pPr>
      <w:ind w:left="840" w:leftChars="400"/>
    </w:pPr>
  </w:style>
  <w:style w:type="paragraph" w:styleId="10">
    <w:name w:val="Body Text Indent 2"/>
    <w:basedOn w:val="1"/>
    <w:qFormat/>
    <w:uiPriority w:val="0"/>
    <w:pPr>
      <w:ind w:firstLine="570"/>
    </w:pPr>
    <w:rPr>
      <w:sz w:val="32"/>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footnote text"/>
    <w:basedOn w:val="1"/>
    <w:qFormat/>
    <w:uiPriority w:val="99"/>
    <w:rPr>
      <w:sz w:val="20"/>
      <w:szCs w:val="20"/>
    </w:rPr>
  </w:style>
  <w:style w:type="paragraph" w:styleId="15">
    <w:name w:val="toc 2"/>
    <w:basedOn w:val="1"/>
    <w:next w:val="1"/>
    <w:qFormat/>
    <w:uiPriority w:val="0"/>
    <w:pPr>
      <w:ind w:left="420" w:leftChars="200"/>
    </w:pPr>
  </w:style>
  <w:style w:type="paragraph" w:styleId="16">
    <w:name w:val="Body Text First Indent"/>
    <w:basedOn w:val="7"/>
    <w:next w:val="17"/>
    <w:qFormat/>
    <w:uiPriority w:val="99"/>
    <w:pPr>
      <w:spacing w:line="360" w:lineRule="auto"/>
      <w:ind w:firstLine="976" w:firstLineChars="200"/>
    </w:pPr>
    <w:rPr>
      <w:sz w:val="28"/>
      <w:szCs w:val="28"/>
    </w:rPr>
  </w:style>
  <w:style w:type="paragraph" w:styleId="17">
    <w:name w:val="Body Text First Indent 2"/>
    <w:basedOn w:val="8"/>
    <w:next w:val="5"/>
    <w:qFormat/>
    <w:uiPriority w:val="99"/>
    <w:pPr>
      <w:ind w:firstLine="420" w:firstLineChars="200"/>
    </w:pPr>
  </w:style>
  <w:style w:type="table" w:styleId="19">
    <w:name w:val="Table Grid"/>
    <w:basedOn w:val="18"/>
    <w:qFormat/>
    <w:uiPriority w:val="59"/>
    <w:rPr>
      <w:rFonts w:ascii="Calibri" w:hAnsi="Calibri" w:cs="Calibr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FollowedHyperlink"/>
    <w:basedOn w:val="20"/>
    <w:qFormat/>
    <w:uiPriority w:val="0"/>
    <w:rPr>
      <w:color w:val="1F3149"/>
      <w:u w:val="none"/>
    </w:rPr>
  </w:style>
  <w:style w:type="character" w:styleId="23">
    <w:name w:val="HTML Definition"/>
    <w:basedOn w:val="20"/>
    <w:qFormat/>
    <w:uiPriority w:val="0"/>
    <w:rPr>
      <w:i/>
      <w:iCs/>
    </w:rPr>
  </w:style>
  <w:style w:type="character" w:styleId="24">
    <w:name w:val="Hyperlink"/>
    <w:basedOn w:val="20"/>
    <w:qFormat/>
    <w:uiPriority w:val="99"/>
    <w:rPr>
      <w:rFonts w:cs="Times New Roman"/>
      <w:color w:val="338DE6"/>
      <w:u w:val="none"/>
    </w:rPr>
  </w:style>
  <w:style w:type="character" w:styleId="25">
    <w:name w:val="HTML Code"/>
    <w:basedOn w:val="20"/>
    <w:qFormat/>
    <w:uiPriority w:val="0"/>
    <w:rPr>
      <w:rFonts w:ascii="Consolas" w:hAnsi="Consolas" w:eastAsia="Consolas" w:cs="Consolas"/>
      <w:color w:val="C7254E"/>
      <w:sz w:val="21"/>
      <w:szCs w:val="21"/>
      <w:shd w:val="clear" w:color="auto" w:fill="F9F2F4"/>
    </w:rPr>
  </w:style>
  <w:style w:type="character" w:styleId="26">
    <w:name w:val="HTML Keyboard"/>
    <w:basedOn w:val="20"/>
    <w:qFormat/>
    <w:uiPriority w:val="0"/>
    <w:rPr>
      <w:rFonts w:hint="default" w:ascii="Consolas" w:hAnsi="Consolas" w:eastAsia="Consolas" w:cs="Consolas"/>
      <w:color w:val="FFFFFF"/>
      <w:sz w:val="21"/>
      <w:szCs w:val="21"/>
      <w:shd w:val="clear" w:color="auto" w:fill="333333"/>
    </w:rPr>
  </w:style>
  <w:style w:type="character" w:styleId="27">
    <w:name w:val="HTML Sample"/>
    <w:basedOn w:val="20"/>
    <w:qFormat/>
    <w:uiPriority w:val="0"/>
    <w:rPr>
      <w:rFonts w:hint="default" w:ascii="Consolas" w:hAnsi="Consolas" w:eastAsia="Consolas" w:cs="Consolas"/>
      <w:sz w:val="21"/>
      <w:szCs w:val="21"/>
    </w:rPr>
  </w:style>
  <w:style w:type="paragraph" w:customStyle="1" w:styleId="28">
    <w:name w:val="Default"/>
    <w:next w:val="1"/>
    <w:qFormat/>
    <w:uiPriority w:val="0"/>
    <w:pPr>
      <w:widowControl w:val="0"/>
      <w:autoSpaceDE w:val="0"/>
      <w:autoSpaceDN w:val="0"/>
    </w:pPr>
    <w:rPr>
      <w:rFonts w:ascii="宋体" w:hAnsi="Times New Roman" w:eastAsia="宋体" w:cs="Times New Roman"/>
      <w:color w:val="000000"/>
      <w:sz w:val="24"/>
      <w:szCs w:val="24"/>
      <w:lang w:val="en-US" w:eastAsia="zh-CN" w:bidi="ar-SA"/>
    </w:rPr>
  </w:style>
  <w:style w:type="paragraph" w:customStyle="1" w:styleId="29">
    <w:name w:val="标题 11"/>
    <w:basedOn w:val="1"/>
    <w:link w:val="36"/>
    <w:qFormat/>
    <w:uiPriority w:val="0"/>
    <w:pPr>
      <w:keepNext/>
      <w:keepLines/>
      <w:spacing w:before="340" w:after="330" w:line="578" w:lineRule="auto"/>
      <w:outlineLvl w:val="0"/>
    </w:pPr>
    <w:rPr>
      <w:b/>
      <w:bCs/>
      <w:kern w:val="44"/>
      <w:sz w:val="44"/>
      <w:szCs w:val="44"/>
    </w:rPr>
  </w:style>
  <w:style w:type="paragraph" w:customStyle="1" w:styleId="30">
    <w:name w:val="标题 21"/>
    <w:basedOn w:val="1"/>
    <w:link w:val="35"/>
    <w:qFormat/>
    <w:uiPriority w:val="0"/>
    <w:pPr>
      <w:keepNext/>
      <w:keepLines/>
      <w:spacing w:before="260" w:after="260" w:line="416" w:lineRule="auto"/>
      <w:outlineLvl w:val="1"/>
    </w:pPr>
    <w:rPr>
      <w:rFonts w:ascii="Arial" w:hAnsi="Arial" w:eastAsia="黑体"/>
      <w:b/>
      <w:bCs/>
      <w:sz w:val="32"/>
      <w:szCs w:val="32"/>
    </w:rPr>
  </w:style>
  <w:style w:type="paragraph" w:customStyle="1" w:styleId="31">
    <w:name w:val="标题 31"/>
    <w:basedOn w:val="1"/>
    <w:link w:val="37"/>
    <w:qFormat/>
    <w:uiPriority w:val="0"/>
    <w:pPr>
      <w:keepNext/>
      <w:keepLines/>
      <w:numPr>
        <w:ilvl w:val="2"/>
        <w:numId w:val="1"/>
      </w:numPr>
      <w:spacing w:line="413" w:lineRule="auto"/>
      <w:outlineLvl w:val="2"/>
    </w:pPr>
    <w:rPr>
      <w:b/>
      <w:sz w:val="32"/>
    </w:rPr>
  </w:style>
  <w:style w:type="paragraph" w:customStyle="1" w:styleId="32">
    <w:name w:val="标题 41"/>
    <w:basedOn w:val="1"/>
    <w:qFormat/>
    <w:uiPriority w:val="0"/>
    <w:pPr>
      <w:keepNext/>
      <w:keepLines/>
      <w:spacing w:line="374" w:lineRule="auto"/>
      <w:outlineLvl w:val="3"/>
    </w:pPr>
    <w:rPr>
      <w:rFonts w:ascii="Arial" w:hAnsi="Arial" w:eastAsia="黑体"/>
      <w:b/>
      <w:bCs/>
      <w:sz w:val="28"/>
      <w:szCs w:val="28"/>
    </w:rPr>
  </w:style>
  <w:style w:type="character" w:customStyle="1" w:styleId="33">
    <w:name w:val="默认段落字体1"/>
    <w:qFormat/>
    <w:uiPriority w:val="0"/>
  </w:style>
  <w:style w:type="table" w:customStyle="1" w:styleId="34">
    <w:name w:val="普通表格1"/>
    <w:qFormat/>
    <w:uiPriority w:val="0"/>
    <w:rPr>
      <w:rFonts w:ascii="Calibri" w:hAnsi="Calibri"/>
      <w:kern w:val="2"/>
      <w:sz w:val="21"/>
      <w:szCs w:val="22"/>
    </w:rPr>
    <w:tblPr>
      <w:tblCellMar>
        <w:top w:w="0" w:type="dxa"/>
        <w:left w:w="0" w:type="dxa"/>
        <w:bottom w:w="0" w:type="dxa"/>
        <w:right w:w="0" w:type="dxa"/>
      </w:tblCellMar>
    </w:tblPr>
  </w:style>
  <w:style w:type="character" w:customStyle="1" w:styleId="35">
    <w:name w:val="标题 2 Char"/>
    <w:link w:val="30"/>
    <w:qFormat/>
    <w:uiPriority w:val="0"/>
    <w:rPr>
      <w:rFonts w:ascii="Arial" w:hAnsi="Arial" w:eastAsia="黑体"/>
      <w:b/>
      <w:bCs/>
      <w:kern w:val="2"/>
      <w:sz w:val="32"/>
      <w:szCs w:val="32"/>
      <w:lang w:val="en-US" w:eastAsia="zh-CN"/>
    </w:rPr>
  </w:style>
  <w:style w:type="character" w:customStyle="1" w:styleId="36">
    <w:name w:val="标题 1 Char"/>
    <w:link w:val="29"/>
    <w:qFormat/>
    <w:uiPriority w:val="0"/>
    <w:rPr>
      <w:b/>
      <w:bCs/>
      <w:kern w:val="44"/>
      <w:sz w:val="44"/>
      <w:szCs w:val="44"/>
    </w:rPr>
  </w:style>
  <w:style w:type="character" w:customStyle="1" w:styleId="37">
    <w:name w:val="标题 3 Char"/>
    <w:link w:val="31"/>
    <w:qFormat/>
    <w:uiPriority w:val="0"/>
    <w:rPr>
      <w:b/>
      <w:kern w:val="2"/>
      <w:sz w:val="32"/>
      <w:szCs w:val="21"/>
    </w:rPr>
  </w:style>
  <w:style w:type="paragraph" w:customStyle="1" w:styleId="38">
    <w:name w:val="正文缩进1"/>
    <w:basedOn w:val="1"/>
    <w:qFormat/>
    <w:uiPriority w:val="0"/>
    <w:pPr>
      <w:ind w:firstLine="420"/>
      <w:jc w:val="left"/>
    </w:pPr>
    <w:rPr>
      <w:rFonts w:ascii="宋体" w:hAnsi="宋体"/>
      <w:kern w:val="0"/>
      <w:szCs w:val="20"/>
    </w:rPr>
  </w:style>
  <w:style w:type="paragraph" w:customStyle="1" w:styleId="39">
    <w:name w:val="正文文本 21"/>
    <w:basedOn w:val="1"/>
    <w:qFormat/>
    <w:uiPriority w:val="0"/>
    <w:pPr>
      <w:jc w:val="center"/>
    </w:pPr>
  </w:style>
  <w:style w:type="paragraph" w:customStyle="1" w:styleId="40">
    <w:name w:val="批注文字1"/>
    <w:basedOn w:val="1"/>
    <w:link w:val="41"/>
    <w:qFormat/>
    <w:uiPriority w:val="0"/>
    <w:pPr>
      <w:jc w:val="left"/>
    </w:pPr>
    <w:rPr>
      <w:sz w:val="24"/>
      <w:szCs w:val="24"/>
    </w:rPr>
  </w:style>
  <w:style w:type="character" w:customStyle="1" w:styleId="41">
    <w:name w:val="批注文字 Char"/>
    <w:link w:val="40"/>
    <w:qFormat/>
    <w:uiPriority w:val="0"/>
    <w:rPr>
      <w:kern w:val="2"/>
      <w:sz w:val="24"/>
      <w:szCs w:val="24"/>
    </w:rPr>
  </w:style>
  <w:style w:type="paragraph" w:customStyle="1" w:styleId="42">
    <w:name w:val="正文文本1"/>
    <w:basedOn w:val="1"/>
    <w:link w:val="43"/>
    <w:qFormat/>
    <w:uiPriority w:val="0"/>
    <w:pPr>
      <w:spacing w:after="120"/>
    </w:pPr>
  </w:style>
  <w:style w:type="character" w:customStyle="1" w:styleId="43">
    <w:name w:val="正文文本 Char"/>
    <w:link w:val="42"/>
    <w:qFormat/>
    <w:uiPriority w:val="0"/>
    <w:rPr>
      <w:kern w:val="2"/>
      <w:sz w:val="21"/>
      <w:szCs w:val="21"/>
    </w:rPr>
  </w:style>
  <w:style w:type="paragraph" w:customStyle="1" w:styleId="44">
    <w:name w:val="正文文本缩进1"/>
    <w:basedOn w:val="1"/>
    <w:qFormat/>
    <w:uiPriority w:val="0"/>
    <w:pPr>
      <w:spacing w:line="360" w:lineRule="auto"/>
      <w:ind w:firstLine="420" w:firstLineChars="200"/>
      <w:outlineLvl w:val="0"/>
    </w:pPr>
    <w:rPr>
      <w:color w:val="000000"/>
    </w:rPr>
  </w:style>
  <w:style w:type="paragraph" w:customStyle="1" w:styleId="45">
    <w:name w:val="列表 21"/>
    <w:basedOn w:val="1"/>
    <w:qFormat/>
    <w:uiPriority w:val="0"/>
    <w:pPr>
      <w:ind w:left="100" w:leftChars="200" w:hanging="200" w:hangingChars="200"/>
      <w:contextualSpacing/>
    </w:pPr>
  </w:style>
  <w:style w:type="paragraph" w:customStyle="1" w:styleId="46">
    <w:name w:val="目录 31"/>
    <w:basedOn w:val="1"/>
    <w:qFormat/>
    <w:uiPriority w:val="0"/>
    <w:pPr>
      <w:ind w:left="840" w:leftChars="400"/>
    </w:pPr>
  </w:style>
  <w:style w:type="paragraph" w:customStyle="1" w:styleId="47">
    <w:name w:val="纯文本11"/>
    <w:basedOn w:val="1"/>
    <w:link w:val="48"/>
    <w:qFormat/>
    <w:uiPriority w:val="0"/>
    <w:rPr>
      <w:rFonts w:ascii="宋体" w:hAnsi="Courier New"/>
      <w:kern w:val="0"/>
      <w:sz w:val="20"/>
    </w:rPr>
  </w:style>
  <w:style w:type="character" w:customStyle="1" w:styleId="48">
    <w:name w:val="纯文本 Char"/>
    <w:link w:val="47"/>
    <w:semiHidden/>
    <w:qFormat/>
    <w:uiPriority w:val="0"/>
    <w:rPr>
      <w:rFonts w:ascii="宋体" w:hAnsi="Courier New"/>
      <w:szCs w:val="21"/>
    </w:rPr>
  </w:style>
  <w:style w:type="paragraph" w:customStyle="1" w:styleId="49">
    <w:name w:val="日期1"/>
    <w:basedOn w:val="1"/>
    <w:link w:val="50"/>
    <w:qFormat/>
    <w:uiPriority w:val="0"/>
    <w:rPr>
      <w:kern w:val="0"/>
      <w:sz w:val="20"/>
    </w:rPr>
  </w:style>
  <w:style w:type="character" w:customStyle="1" w:styleId="50">
    <w:name w:val="日期 Char"/>
    <w:link w:val="49"/>
    <w:semiHidden/>
    <w:qFormat/>
    <w:uiPriority w:val="0"/>
    <w:rPr>
      <w:szCs w:val="21"/>
    </w:rPr>
  </w:style>
  <w:style w:type="paragraph" w:customStyle="1" w:styleId="51">
    <w:name w:val="正文文本缩进 211"/>
    <w:basedOn w:val="1"/>
    <w:qFormat/>
    <w:uiPriority w:val="0"/>
    <w:pPr>
      <w:ind w:firstLine="570"/>
    </w:pPr>
    <w:rPr>
      <w:sz w:val="32"/>
    </w:rPr>
  </w:style>
  <w:style w:type="paragraph" w:customStyle="1" w:styleId="52">
    <w:name w:val="批注框文本1"/>
    <w:basedOn w:val="1"/>
    <w:link w:val="53"/>
    <w:qFormat/>
    <w:uiPriority w:val="0"/>
    <w:rPr>
      <w:kern w:val="0"/>
      <w:sz w:val="16"/>
      <w:szCs w:val="16"/>
    </w:rPr>
  </w:style>
  <w:style w:type="character" w:customStyle="1" w:styleId="53">
    <w:name w:val="批注框文本 Char"/>
    <w:link w:val="52"/>
    <w:qFormat/>
    <w:uiPriority w:val="0"/>
    <w:rPr>
      <w:sz w:val="16"/>
      <w:szCs w:val="0"/>
    </w:rPr>
  </w:style>
  <w:style w:type="paragraph" w:customStyle="1" w:styleId="54">
    <w:name w:val="页脚1"/>
    <w:basedOn w:val="1"/>
    <w:link w:val="55"/>
    <w:qFormat/>
    <w:uiPriority w:val="0"/>
    <w:pPr>
      <w:tabs>
        <w:tab w:val="center" w:pos="4153"/>
        <w:tab w:val="right" w:pos="8306"/>
      </w:tabs>
      <w:snapToGrid w:val="0"/>
      <w:jc w:val="left"/>
    </w:pPr>
    <w:rPr>
      <w:kern w:val="0"/>
      <w:sz w:val="18"/>
      <w:szCs w:val="18"/>
    </w:rPr>
  </w:style>
  <w:style w:type="character" w:customStyle="1" w:styleId="55">
    <w:name w:val="页脚 Char"/>
    <w:link w:val="54"/>
    <w:qFormat/>
    <w:uiPriority w:val="0"/>
    <w:rPr>
      <w:sz w:val="18"/>
      <w:szCs w:val="18"/>
    </w:rPr>
  </w:style>
  <w:style w:type="paragraph" w:customStyle="1" w:styleId="56">
    <w:name w:val="页眉1"/>
    <w:basedOn w:val="1"/>
    <w:link w:val="57"/>
    <w:qFormat/>
    <w:uiPriority w:val="0"/>
    <w:pPr>
      <w:pBdr>
        <w:top w:val="none" w:color="000000" w:sz="0" w:space="1"/>
        <w:left w:val="none" w:color="000000" w:sz="0" w:space="4"/>
        <w:bottom w:val="none" w:color="000000" w:sz="0" w:space="1"/>
        <w:right w:val="none" w:color="000000" w:sz="0" w:space="4"/>
      </w:pBdr>
      <w:tabs>
        <w:tab w:val="center" w:pos="4153"/>
        <w:tab w:val="right" w:pos="8306"/>
      </w:tabs>
      <w:snapToGrid w:val="0"/>
    </w:pPr>
    <w:rPr>
      <w:kern w:val="0"/>
      <w:sz w:val="18"/>
      <w:szCs w:val="18"/>
    </w:rPr>
  </w:style>
  <w:style w:type="character" w:customStyle="1" w:styleId="57">
    <w:name w:val="页眉 Char"/>
    <w:link w:val="56"/>
    <w:qFormat/>
    <w:uiPriority w:val="0"/>
    <w:rPr>
      <w:sz w:val="18"/>
      <w:szCs w:val="18"/>
    </w:rPr>
  </w:style>
  <w:style w:type="paragraph" w:customStyle="1" w:styleId="58">
    <w:name w:val="目录 11"/>
    <w:basedOn w:val="1"/>
    <w:semiHidden/>
    <w:qFormat/>
    <w:uiPriority w:val="0"/>
    <w:pPr>
      <w:tabs>
        <w:tab w:val="right" w:leader="dot" w:pos="9288"/>
      </w:tabs>
      <w:spacing w:before="120" w:after="120" w:line="600" w:lineRule="exact"/>
      <w:jc w:val="left"/>
    </w:pPr>
    <w:rPr>
      <w:b/>
      <w:bCs/>
      <w:caps/>
      <w:sz w:val="20"/>
      <w:szCs w:val="20"/>
    </w:rPr>
  </w:style>
  <w:style w:type="paragraph" w:customStyle="1" w:styleId="59">
    <w:name w:val="正文文本缩进 31"/>
    <w:basedOn w:val="1"/>
    <w:link w:val="60"/>
    <w:qFormat/>
    <w:uiPriority w:val="0"/>
    <w:pPr>
      <w:ind w:firstLine="630"/>
    </w:pPr>
    <w:rPr>
      <w:sz w:val="28"/>
      <w:szCs w:val="28"/>
    </w:rPr>
  </w:style>
  <w:style w:type="character" w:customStyle="1" w:styleId="60">
    <w:name w:val="正文文本缩进 3 Char"/>
    <w:link w:val="59"/>
    <w:qFormat/>
    <w:uiPriority w:val="0"/>
    <w:rPr>
      <w:kern w:val="2"/>
      <w:sz w:val="28"/>
      <w:szCs w:val="28"/>
    </w:rPr>
  </w:style>
  <w:style w:type="paragraph" w:customStyle="1" w:styleId="61">
    <w:name w:val="目录 21"/>
    <w:basedOn w:val="1"/>
    <w:qFormat/>
    <w:uiPriority w:val="0"/>
    <w:pPr>
      <w:ind w:left="420" w:leftChars="200"/>
    </w:pPr>
  </w:style>
  <w:style w:type="paragraph" w:customStyle="1" w:styleId="62">
    <w:name w:val="信息标题1"/>
    <w:basedOn w:val="1"/>
    <w:link w:val="63"/>
    <w:qFormat/>
    <w:uiPriority w:val="0"/>
    <w:pPr>
      <w:pBdr>
        <w:top w:val="single" w:color="000000" w:sz="6" w:space="1"/>
        <w:left w:val="single" w:color="000000" w:sz="6" w:space="1"/>
        <w:bottom w:val="single" w:color="000000" w:sz="6" w:space="1"/>
        <w:right w:val="single" w:color="000000" w:sz="6" w:space="1"/>
      </w:pBdr>
      <w:shd w:val="pct20" w:color="auto" w:fill="auto"/>
      <w:ind w:left="1080" w:leftChars="500" w:hanging="1080" w:hangingChars="500"/>
    </w:pPr>
    <w:rPr>
      <w:rFonts w:ascii="Cambria" w:hAnsi="Cambria"/>
      <w:sz w:val="24"/>
      <w:szCs w:val="24"/>
    </w:rPr>
  </w:style>
  <w:style w:type="character" w:customStyle="1" w:styleId="63">
    <w:name w:val="信息标题 Char"/>
    <w:link w:val="62"/>
    <w:qFormat/>
    <w:uiPriority w:val="0"/>
    <w:rPr>
      <w:rFonts w:ascii="Cambria" w:hAnsi="Cambria" w:eastAsia="宋体"/>
      <w:kern w:val="2"/>
      <w:sz w:val="24"/>
      <w:szCs w:val="24"/>
      <w:shd w:val="pct20" w:color="auto" w:fill="auto"/>
    </w:rPr>
  </w:style>
  <w:style w:type="paragraph" w:customStyle="1" w:styleId="64">
    <w:name w:val="普通(网站)11"/>
    <w:basedOn w:val="1"/>
    <w:qFormat/>
    <w:uiPriority w:val="0"/>
    <w:pPr>
      <w:spacing w:before="100" w:beforeAutospacing="1" w:after="100" w:afterAutospacing="1"/>
      <w:jc w:val="left"/>
    </w:pPr>
    <w:rPr>
      <w:kern w:val="0"/>
      <w:sz w:val="24"/>
      <w:szCs w:val="24"/>
    </w:rPr>
  </w:style>
  <w:style w:type="paragraph" w:customStyle="1" w:styleId="65">
    <w:name w:val="批注主题1"/>
    <w:basedOn w:val="40"/>
    <w:link w:val="66"/>
    <w:qFormat/>
    <w:uiPriority w:val="0"/>
  </w:style>
  <w:style w:type="character" w:customStyle="1" w:styleId="66">
    <w:name w:val="批注主题 Char"/>
    <w:link w:val="65"/>
    <w:qFormat/>
    <w:uiPriority w:val="0"/>
    <w:rPr>
      <w:kern w:val="2"/>
      <w:sz w:val="24"/>
      <w:szCs w:val="24"/>
    </w:rPr>
  </w:style>
  <w:style w:type="paragraph" w:customStyle="1" w:styleId="67">
    <w:name w:val="正文首行缩进1"/>
    <w:basedOn w:val="42"/>
    <w:link w:val="68"/>
    <w:qFormat/>
    <w:uiPriority w:val="0"/>
    <w:pPr>
      <w:ind w:firstLine="420" w:firstLineChars="100"/>
    </w:pPr>
  </w:style>
  <w:style w:type="character" w:customStyle="1" w:styleId="68">
    <w:name w:val="正文首行缩进 Char"/>
    <w:basedOn w:val="43"/>
    <w:link w:val="67"/>
    <w:qFormat/>
    <w:uiPriority w:val="0"/>
    <w:rPr>
      <w:kern w:val="2"/>
      <w:sz w:val="21"/>
      <w:szCs w:val="21"/>
    </w:rPr>
  </w:style>
  <w:style w:type="paragraph" w:customStyle="1" w:styleId="69">
    <w:name w:val="正文首行缩进 21"/>
    <w:basedOn w:val="44"/>
    <w:qFormat/>
    <w:uiPriority w:val="0"/>
  </w:style>
  <w:style w:type="table" w:customStyle="1" w:styleId="70">
    <w:name w:val="网格型1"/>
    <w:basedOn w:val="34"/>
    <w:qFormat/>
    <w:uiPriority w:val="0"/>
    <w:rPr>
      <w:sz w:val="22"/>
    </w:rPr>
  </w:style>
  <w:style w:type="character" w:customStyle="1" w:styleId="71">
    <w:name w:val="要点1"/>
    <w:basedOn w:val="33"/>
    <w:qFormat/>
    <w:uiPriority w:val="0"/>
    <w:rPr>
      <w:b/>
    </w:rPr>
  </w:style>
  <w:style w:type="character" w:customStyle="1" w:styleId="72">
    <w:name w:val="页码1"/>
    <w:basedOn w:val="33"/>
    <w:qFormat/>
    <w:uiPriority w:val="0"/>
  </w:style>
  <w:style w:type="character" w:customStyle="1" w:styleId="73">
    <w:name w:val="已访问的超链接1"/>
    <w:qFormat/>
    <w:uiPriority w:val="0"/>
    <w:rPr>
      <w:color w:val="000000"/>
      <w:sz w:val="18"/>
      <w:szCs w:val="18"/>
      <w:u w:val="none"/>
    </w:rPr>
  </w:style>
  <w:style w:type="character" w:customStyle="1" w:styleId="74">
    <w:name w:val="超链接1"/>
    <w:qFormat/>
    <w:uiPriority w:val="0"/>
    <w:rPr>
      <w:color w:val="000000"/>
      <w:sz w:val="18"/>
      <w:szCs w:val="18"/>
      <w:u w:val="none"/>
    </w:rPr>
  </w:style>
  <w:style w:type="character" w:customStyle="1" w:styleId="75">
    <w:name w:val="批注引用1"/>
    <w:qFormat/>
    <w:uiPriority w:val="0"/>
    <w:rPr>
      <w:sz w:val="21"/>
      <w:szCs w:val="21"/>
    </w:rPr>
  </w:style>
  <w:style w:type="character" w:customStyle="1" w:styleId="76">
    <w:name w:val="font41"/>
    <w:basedOn w:val="20"/>
    <w:qFormat/>
    <w:uiPriority w:val="0"/>
    <w:rPr>
      <w:rFonts w:hint="eastAsia" w:ascii="宋体" w:hAnsi="宋体" w:eastAsia="宋体"/>
      <w:color w:val="000000"/>
      <w:sz w:val="22"/>
      <w:szCs w:val="22"/>
      <w:u w:val="none"/>
    </w:rPr>
  </w:style>
  <w:style w:type="character" w:customStyle="1" w:styleId="77">
    <w:name w:val="font11"/>
    <w:basedOn w:val="20"/>
    <w:qFormat/>
    <w:uiPriority w:val="0"/>
    <w:rPr>
      <w:rFonts w:ascii="宋体" w:hAnsi="宋体" w:eastAsia="宋体"/>
      <w:color w:val="000000"/>
      <w:sz w:val="32"/>
      <w:szCs w:val="32"/>
      <w:u w:val="none"/>
    </w:rPr>
  </w:style>
  <w:style w:type="character" w:customStyle="1" w:styleId="78">
    <w:name w:val="redfilefwwh"/>
    <w:qFormat/>
    <w:uiPriority w:val="0"/>
    <w:rPr>
      <w:color w:val="BA2636"/>
      <w:sz w:val="18"/>
      <w:szCs w:val="18"/>
    </w:rPr>
  </w:style>
  <w:style w:type="character" w:customStyle="1" w:styleId="79">
    <w:name w:val="font51"/>
    <w:qFormat/>
    <w:uiPriority w:val="0"/>
    <w:rPr>
      <w:rFonts w:ascii="Tahoma" w:hAnsi="Tahoma" w:eastAsia="Times New Roman"/>
      <w:color w:val="000000"/>
      <w:sz w:val="32"/>
      <w:szCs w:val="32"/>
      <w:u w:val="none"/>
    </w:rPr>
  </w:style>
  <w:style w:type="character" w:customStyle="1" w:styleId="80">
    <w:name w:val="font01"/>
    <w:qFormat/>
    <w:uiPriority w:val="0"/>
    <w:rPr>
      <w:rFonts w:ascii="宋体" w:hAnsi="宋体" w:eastAsia="宋体"/>
      <w:color w:val="000000"/>
      <w:sz w:val="32"/>
      <w:szCs w:val="32"/>
      <w:u w:val="none"/>
    </w:rPr>
  </w:style>
  <w:style w:type="character" w:customStyle="1" w:styleId="81">
    <w:name w:val="gjfg"/>
    <w:basedOn w:val="33"/>
    <w:qFormat/>
    <w:uiPriority w:val="0"/>
  </w:style>
  <w:style w:type="character" w:customStyle="1" w:styleId="82">
    <w:name w:val="font91"/>
    <w:basedOn w:val="20"/>
    <w:qFormat/>
    <w:uiPriority w:val="0"/>
    <w:rPr>
      <w:rFonts w:hint="eastAsia" w:ascii="宋体" w:hAnsi="宋体" w:eastAsia="宋体"/>
      <w:color w:val="000000"/>
      <w:sz w:val="20"/>
      <w:szCs w:val="20"/>
      <w:u w:val="none"/>
    </w:rPr>
  </w:style>
  <w:style w:type="character" w:customStyle="1" w:styleId="83">
    <w:name w:val="font61"/>
    <w:basedOn w:val="20"/>
    <w:qFormat/>
    <w:uiPriority w:val="0"/>
    <w:rPr>
      <w:rFonts w:ascii="Tahoma" w:hAnsi="Tahoma" w:eastAsia="Times New Roman"/>
      <w:color w:val="000000"/>
      <w:sz w:val="22"/>
      <w:szCs w:val="22"/>
      <w:u w:val="none"/>
    </w:rPr>
  </w:style>
  <w:style w:type="character" w:customStyle="1" w:styleId="84">
    <w:name w:val="font141"/>
    <w:qFormat/>
    <w:uiPriority w:val="0"/>
    <w:rPr>
      <w:rFonts w:ascii="Arial" w:hAnsi="Arial"/>
      <w:color w:val="000000"/>
      <w:sz w:val="18"/>
      <w:szCs w:val="18"/>
      <w:u w:val="none"/>
    </w:rPr>
  </w:style>
  <w:style w:type="character" w:customStyle="1" w:styleId="85">
    <w:name w:val="font101"/>
    <w:qFormat/>
    <w:uiPriority w:val="0"/>
    <w:rPr>
      <w:rFonts w:hint="eastAsia" w:ascii="宋体" w:hAnsi="宋体" w:eastAsia="宋体"/>
      <w:color w:val="000000"/>
      <w:sz w:val="18"/>
      <w:szCs w:val="18"/>
      <w:u w:val="none"/>
    </w:rPr>
  </w:style>
  <w:style w:type="character" w:customStyle="1" w:styleId="86">
    <w:name w:val="font31"/>
    <w:basedOn w:val="20"/>
    <w:qFormat/>
    <w:uiPriority w:val="0"/>
    <w:rPr>
      <w:rFonts w:ascii="宋体" w:hAnsi="宋体" w:eastAsia="宋体"/>
      <w:color w:val="000000"/>
      <w:sz w:val="22"/>
      <w:szCs w:val="22"/>
      <w:u w:val="none"/>
    </w:rPr>
  </w:style>
  <w:style w:type="character" w:customStyle="1" w:styleId="87">
    <w:name w:val="font131"/>
    <w:qFormat/>
    <w:uiPriority w:val="0"/>
    <w:rPr>
      <w:rFonts w:hint="eastAsia" w:ascii="宋体" w:hAnsi="宋体" w:eastAsia="宋体"/>
      <w:color w:val="000000"/>
      <w:sz w:val="20"/>
      <w:szCs w:val="20"/>
      <w:u w:val="none"/>
    </w:rPr>
  </w:style>
  <w:style w:type="character" w:customStyle="1" w:styleId="88">
    <w:name w:val="gb-jt"/>
    <w:qFormat/>
    <w:uiPriority w:val="0"/>
  </w:style>
  <w:style w:type="character" w:customStyle="1" w:styleId="89">
    <w:name w:val="qxdate"/>
    <w:qFormat/>
    <w:uiPriority w:val="0"/>
    <w:rPr>
      <w:color w:val="333333"/>
      <w:sz w:val="18"/>
      <w:szCs w:val="18"/>
    </w:rPr>
  </w:style>
  <w:style w:type="character" w:customStyle="1" w:styleId="90">
    <w:name w:val="font21"/>
    <w:qFormat/>
    <w:uiPriority w:val="0"/>
    <w:rPr>
      <w:rFonts w:ascii="宋体" w:hAnsi="宋体" w:eastAsia="宋体"/>
      <w:color w:val="000000"/>
      <w:sz w:val="22"/>
      <w:szCs w:val="22"/>
      <w:u w:val="none"/>
    </w:rPr>
  </w:style>
  <w:style w:type="character" w:customStyle="1" w:styleId="91">
    <w:name w:val="信息标题 字符"/>
    <w:semiHidden/>
    <w:qFormat/>
    <w:uiPriority w:val="0"/>
    <w:rPr>
      <w:rFonts w:ascii="Cambria" w:hAnsi="Cambria" w:eastAsia="宋体"/>
      <w:sz w:val="24"/>
      <w:szCs w:val="24"/>
      <w:shd w:val="pct20" w:color="auto" w:fill="auto"/>
    </w:rPr>
  </w:style>
  <w:style w:type="character" w:customStyle="1" w:styleId="92">
    <w:name w:val="cfdate"/>
    <w:qFormat/>
    <w:uiPriority w:val="0"/>
    <w:rPr>
      <w:color w:val="333333"/>
      <w:sz w:val="18"/>
      <w:szCs w:val="18"/>
    </w:rPr>
  </w:style>
  <w:style w:type="character" w:customStyle="1" w:styleId="93">
    <w:name w:val="displayarti"/>
    <w:qFormat/>
    <w:uiPriority w:val="0"/>
    <w:rPr>
      <w:color w:val="FFFFFF"/>
      <w:shd w:val="clear" w:color="auto" w:fill="A00000"/>
    </w:rPr>
  </w:style>
  <w:style w:type="character" w:customStyle="1" w:styleId="94">
    <w:name w:val="redfilenumber"/>
    <w:qFormat/>
    <w:uiPriority w:val="0"/>
    <w:rPr>
      <w:color w:val="BA2636"/>
      <w:sz w:val="18"/>
      <w:szCs w:val="18"/>
    </w:rPr>
  </w:style>
  <w:style w:type="paragraph" w:customStyle="1" w:styleId="95">
    <w:name w:val="WPS Plain"/>
    <w:qFormat/>
    <w:uiPriority w:val="0"/>
    <w:rPr>
      <w:rFonts w:ascii="Times New Roman" w:hAnsi="Times New Roman" w:eastAsia="宋体" w:cs="Times New Roman"/>
      <w:lang w:val="en-US" w:eastAsia="zh-CN" w:bidi="ar-SA"/>
    </w:rPr>
  </w:style>
  <w:style w:type="paragraph" w:customStyle="1" w:styleId="96">
    <w:name w:val="List Paragraph1"/>
    <w:basedOn w:val="1"/>
    <w:next w:val="1"/>
    <w:qFormat/>
    <w:uiPriority w:val="0"/>
    <w:pPr>
      <w:ind w:left="720"/>
    </w:pPr>
    <w:rPr>
      <w:rFonts w:ascii="Calibri" w:hAnsi="Calibri"/>
    </w:rPr>
  </w:style>
  <w:style w:type="paragraph" w:customStyle="1" w:styleId="97">
    <w:name w:val="列出段落1"/>
    <w:basedOn w:val="1"/>
    <w:qFormat/>
    <w:uiPriority w:val="0"/>
    <w:pPr>
      <w:ind w:firstLine="420" w:firstLineChars="200"/>
    </w:pPr>
    <w:rPr>
      <w:rFonts w:ascii="Calibri" w:hAnsi="Calibri"/>
      <w:szCs w:val="24"/>
    </w:rPr>
  </w:style>
  <w:style w:type="paragraph" w:customStyle="1" w:styleId="98">
    <w:name w:val="p0"/>
    <w:basedOn w:val="1"/>
    <w:qFormat/>
    <w:uiPriority w:val="0"/>
    <w:rPr>
      <w:kern w:val="0"/>
    </w:rPr>
  </w:style>
  <w:style w:type="paragraph" w:customStyle="1" w:styleId="99">
    <w:name w:val="GP正文(首行缩进)"/>
    <w:basedOn w:val="1"/>
    <w:qFormat/>
    <w:uiPriority w:val="0"/>
    <w:pPr>
      <w:spacing w:line="360" w:lineRule="auto"/>
      <w:ind w:firstLine="566" w:firstLineChars="236"/>
      <w:contextualSpacing/>
    </w:pPr>
    <w:rPr>
      <w:rFonts w:ascii="宋体" w:hAnsi="宋体"/>
      <w:sz w:val="24"/>
      <w:szCs w:val="24"/>
    </w:rPr>
  </w:style>
  <w:style w:type="paragraph" w:customStyle="1" w:styleId="100">
    <w:name w:val="列表段落1"/>
    <w:basedOn w:val="1"/>
    <w:qFormat/>
    <w:uiPriority w:val="0"/>
    <w:pPr>
      <w:ind w:firstLine="420" w:firstLineChars="200"/>
    </w:pPr>
    <w:rPr>
      <w:szCs w:val="22"/>
    </w:rPr>
  </w:style>
  <w:style w:type="paragraph" w:customStyle="1" w:styleId="10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2">
    <w:name w:val="列出段落11"/>
    <w:basedOn w:val="1"/>
    <w:qFormat/>
    <w:uiPriority w:val="0"/>
    <w:pPr>
      <w:ind w:firstLine="420" w:firstLineChars="200"/>
    </w:pPr>
  </w:style>
  <w:style w:type="paragraph" w:customStyle="1" w:styleId="103">
    <w:name w:val="正文文本缩进 21"/>
    <w:basedOn w:val="1"/>
    <w:qFormat/>
    <w:uiPriority w:val="0"/>
    <w:pPr>
      <w:ind w:firstLine="570"/>
    </w:pPr>
    <w:rPr>
      <w:sz w:val="32"/>
    </w:rPr>
  </w:style>
  <w:style w:type="paragraph" w:customStyle="1" w:styleId="104">
    <w:name w:val="_Style 5"/>
    <w:basedOn w:val="1"/>
    <w:qFormat/>
    <w:uiPriority w:val="0"/>
    <w:pPr>
      <w:ind w:firstLine="420" w:firstLineChars="200"/>
    </w:pPr>
    <w:rPr>
      <w:szCs w:val="22"/>
    </w:rPr>
  </w:style>
  <w:style w:type="paragraph" w:styleId="105">
    <w:name w:val="List Paragraph"/>
    <w:basedOn w:val="1"/>
    <w:qFormat/>
    <w:uiPriority w:val="0"/>
    <w:pPr>
      <w:ind w:firstLine="420" w:firstLineChars="200"/>
    </w:pPr>
  </w:style>
  <w:style w:type="paragraph" w:customStyle="1" w:styleId="106">
    <w:name w:val="Body Text Indent 21"/>
    <w:basedOn w:val="1"/>
    <w:qFormat/>
    <w:uiPriority w:val="0"/>
    <w:pPr>
      <w:ind w:firstLine="570"/>
    </w:pPr>
    <w:rPr>
      <w:sz w:val="32"/>
    </w:rPr>
  </w:style>
  <w:style w:type="paragraph" w:customStyle="1" w:styleId="107">
    <w:name w:val="普通(网站)1"/>
    <w:basedOn w:val="1"/>
    <w:qFormat/>
    <w:uiPriority w:val="0"/>
    <w:rPr>
      <w:sz w:val="24"/>
    </w:rPr>
  </w:style>
  <w:style w:type="paragraph" w:customStyle="1" w:styleId="108">
    <w:name w:val="Table Paragraph"/>
    <w:basedOn w:val="1"/>
    <w:qFormat/>
    <w:uiPriority w:val="0"/>
  </w:style>
  <w:style w:type="paragraph" w:customStyle="1" w:styleId="109">
    <w:name w:val="正文：无缩进"/>
    <w:basedOn w:val="1"/>
    <w:qFormat/>
    <w:uiPriority w:val="0"/>
    <w:pPr>
      <w:spacing w:before="156" w:after="156"/>
      <w:jc w:val="left"/>
    </w:pPr>
    <w:rPr>
      <w:rFonts w:ascii="Calibri" w:hAnsi="Calibri"/>
      <w:bCs/>
      <w:color w:val="1F1C17"/>
      <w:kern w:val="0"/>
    </w:rPr>
  </w:style>
  <w:style w:type="paragraph" w:customStyle="1" w:styleId="110">
    <w:name w:val="正文格式"/>
    <w:qFormat/>
    <w:uiPriority w:val="0"/>
    <w:pPr>
      <w:spacing w:line="360" w:lineRule="auto"/>
      <w:ind w:firstLine="200" w:firstLineChars="200"/>
    </w:pPr>
    <w:rPr>
      <w:rFonts w:ascii="宋体" w:hAnsi="宋体" w:eastAsia="宋体" w:cs="Times New Roman"/>
      <w:kern w:val="2"/>
      <w:sz w:val="28"/>
      <w:szCs w:val="22"/>
      <w:lang w:val="en-US" w:eastAsia="zh-CN" w:bidi="ar-SA"/>
    </w:rPr>
  </w:style>
  <w:style w:type="character" w:customStyle="1" w:styleId="111">
    <w:name w:val="fontstyle01"/>
    <w:qFormat/>
    <w:uiPriority w:val="0"/>
    <w:rPr>
      <w:rFonts w:hint="eastAsia" w:ascii="宋体" w:hAnsi="宋体" w:eastAsia="宋体"/>
      <w:color w:val="000000"/>
      <w:sz w:val="22"/>
      <w:szCs w:val="22"/>
    </w:rPr>
  </w:style>
  <w:style w:type="character" w:customStyle="1" w:styleId="112">
    <w:name w:val="fontstyle21"/>
    <w:qFormat/>
    <w:uiPriority w:val="0"/>
    <w:rPr>
      <w:rFonts w:ascii="Times New Roman" w:hAnsi="Times New Roman"/>
      <w:color w:val="000000"/>
      <w:sz w:val="22"/>
      <w:szCs w:val="22"/>
    </w:rPr>
  </w:style>
  <w:style w:type="paragraph" w:customStyle="1" w:styleId="113">
    <w:name w:val="纯文本1"/>
    <w:basedOn w:val="1"/>
    <w:qFormat/>
    <w:uiPriority w:val="0"/>
    <w:rPr>
      <w:rFonts w:ascii="宋体" w:hAnsi="Courier New"/>
    </w:rPr>
  </w:style>
  <w:style w:type="paragraph" w:customStyle="1" w:styleId="114">
    <w:name w:val="Body Text First Indent1"/>
    <w:basedOn w:val="7"/>
    <w:qFormat/>
    <w:uiPriority w:val="0"/>
    <w:pPr>
      <w:spacing w:after="0"/>
      <w:ind w:firstLine="420" w:firstLineChars="100"/>
    </w:pPr>
    <w:rPr>
      <w:rFonts w:ascii="等线" w:hAnsi="等线" w:eastAsia="等线"/>
    </w:rPr>
  </w:style>
  <w:style w:type="character" w:customStyle="1" w:styleId="115">
    <w:name w:val="font81"/>
    <w:basedOn w:val="20"/>
    <w:qFormat/>
    <w:uiPriority w:val="0"/>
    <w:rPr>
      <w:rFonts w:hint="eastAsia" w:ascii="宋体" w:hAnsi="宋体" w:eastAsia="宋体" w:cs="宋体"/>
      <w:color w:val="000000"/>
      <w:sz w:val="20"/>
      <w:szCs w:val="20"/>
      <w:u w:val="none"/>
    </w:rPr>
  </w:style>
  <w:style w:type="character" w:customStyle="1" w:styleId="116">
    <w:name w:val="l_8"/>
    <w:basedOn w:val="20"/>
    <w:qFormat/>
    <w:uiPriority w:val="0"/>
  </w:style>
  <w:style w:type="character" w:customStyle="1" w:styleId="117">
    <w:name w:val="l_81"/>
    <w:basedOn w:val="20"/>
    <w:qFormat/>
    <w:uiPriority w:val="0"/>
  </w:style>
  <w:style w:type="character" w:customStyle="1" w:styleId="118">
    <w:name w:val="color-yellow"/>
    <w:basedOn w:val="20"/>
    <w:qFormat/>
    <w:uiPriority w:val="0"/>
    <w:rPr>
      <w:color w:val="FAAD14"/>
      <w:sz w:val="18"/>
      <w:szCs w:val="18"/>
      <w:bdr w:val="single" w:color="FAAD14" w:sz="6" w:space="0"/>
    </w:rPr>
  </w:style>
  <w:style w:type="character" w:customStyle="1" w:styleId="119">
    <w:name w:val="l_13"/>
    <w:basedOn w:val="20"/>
    <w:qFormat/>
    <w:uiPriority w:val="0"/>
  </w:style>
  <w:style w:type="character" w:customStyle="1" w:styleId="120">
    <w:name w:val="l_131"/>
    <w:basedOn w:val="20"/>
    <w:qFormat/>
    <w:uiPriority w:val="0"/>
  </w:style>
  <w:style w:type="character" w:customStyle="1" w:styleId="121">
    <w:name w:val="l_9"/>
    <w:basedOn w:val="20"/>
    <w:qFormat/>
    <w:uiPriority w:val="0"/>
  </w:style>
  <w:style w:type="character" w:customStyle="1" w:styleId="122">
    <w:name w:val="color-blue"/>
    <w:basedOn w:val="20"/>
    <w:qFormat/>
    <w:uiPriority w:val="0"/>
    <w:rPr>
      <w:color w:val="1890FF"/>
      <w:sz w:val="18"/>
      <w:szCs w:val="18"/>
      <w:bdr w:val="single" w:color="1890FF" w:sz="6" w:space="0"/>
    </w:rPr>
  </w:style>
  <w:style w:type="character" w:customStyle="1" w:styleId="123">
    <w:name w:val="l_4"/>
    <w:basedOn w:val="20"/>
    <w:qFormat/>
    <w:uiPriority w:val="0"/>
  </w:style>
  <w:style w:type="character" w:customStyle="1" w:styleId="124">
    <w:name w:val="l_5"/>
    <w:basedOn w:val="20"/>
    <w:qFormat/>
    <w:uiPriority w:val="0"/>
  </w:style>
  <w:style w:type="character" w:customStyle="1" w:styleId="125">
    <w:name w:val="l_51"/>
    <w:basedOn w:val="20"/>
    <w:qFormat/>
    <w:uiPriority w:val="0"/>
  </w:style>
  <w:style w:type="character" w:customStyle="1" w:styleId="126">
    <w:name w:val="icon_xglc"/>
    <w:basedOn w:val="20"/>
    <w:qFormat/>
    <w:uiPriority w:val="0"/>
  </w:style>
  <w:style w:type="character" w:customStyle="1" w:styleId="127">
    <w:name w:val="icon_cxkcyry"/>
    <w:basedOn w:val="20"/>
    <w:qFormat/>
    <w:uiPriority w:val="0"/>
  </w:style>
  <w:style w:type="character" w:customStyle="1" w:styleId="128">
    <w:name w:val="layui-laypage-curr"/>
    <w:basedOn w:val="20"/>
    <w:qFormat/>
    <w:uiPriority w:val="0"/>
  </w:style>
  <w:style w:type="character" w:customStyle="1" w:styleId="129">
    <w:name w:val="icon_lzrz"/>
    <w:basedOn w:val="20"/>
    <w:qFormat/>
    <w:uiPriority w:val="0"/>
  </w:style>
  <w:style w:type="character" w:customStyle="1" w:styleId="130">
    <w:name w:val="l_3"/>
    <w:basedOn w:val="20"/>
    <w:qFormat/>
    <w:uiPriority w:val="0"/>
  </w:style>
  <w:style w:type="character" w:customStyle="1" w:styleId="131">
    <w:name w:val="icon_gzkj"/>
    <w:basedOn w:val="20"/>
    <w:qFormat/>
    <w:uiPriority w:val="0"/>
  </w:style>
  <w:style w:type="character" w:customStyle="1" w:styleId="132">
    <w:name w:val="m-text"/>
    <w:basedOn w:val="20"/>
    <w:qFormat/>
    <w:uiPriority w:val="0"/>
  </w:style>
  <w:style w:type="character" w:customStyle="1" w:styleId="133">
    <w:name w:val="l_12"/>
    <w:basedOn w:val="20"/>
    <w:qFormat/>
    <w:uiPriority w:val="0"/>
  </w:style>
  <w:style w:type="character" w:customStyle="1" w:styleId="134">
    <w:name w:val="l_121"/>
    <w:basedOn w:val="20"/>
    <w:qFormat/>
    <w:uiPriority w:val="0"/>
  </w:style>
  <w:style w:type="character" w:customStyle="1" w:styleId="135">
    <w:name w:val="l_7"/>
    <w:basedOn w:val="20"/>
    <w:qFormat/>
    <w:uiPriority w:val="0"/>
  </w:style>
  <w:style w:type="character" w:customStyle="1" w:styleId="136">
    <w:name w:val="l_71"/>
    <w:basedOn w:val="20"/>
    <w:qFormat/>
    <w:uiPriority w:val="0"/>
  </w:style>
  <w:style w:type="character" w:customStyle="1" w:styleId="137">
    <w:name w:val="l_10"/>
    <w:basedOn w:val="20"/>
    <w:qFormat/>
    <w:uiPriority w:val="0"/>
  </w:style>
  <w:style w:type="character" w:customStyle="1" w:styleId="138">
    <w:name w:val="l_1"/>
    <w:basedOn w:val="20"/>
    <w:qFormat/>
    <w:uiPriority w:val="0"/>
  </w:style>
  <w:style w:type="character" w:customStyle="1" w:styleId="139">
    <w:name w:val="icon_xzry"/>
    <w:basedOn w:val="20"/>
    <w:qFormat/>
    <w:uiPriority w:val="0"/>
  </w:style>
  <w:style w:type="character" w:customStyle="1" w:styleId="140">
    <w:name w:val="l_14"/>
    <w:basedOn w:val="20"/>
    <w:qFormat/>
    <w:uiPriority w:val="0"/>
  </w:style>
  <w:style w:type="character" w:customStyle="1" w:styleId="141">
    <w:name w:val="l_141"/>
    <w:basedOn w:val="20"/>
    <w:qFormat/>
    <w:uiPriority w:val="0"/>
  </w:style>
  <w:style w:type="character" w:customStyle="1" w:styleId="142">
    <w:name w:val="l_6"/>
    <w:basedOn w:val="20"/>
    <w:qFormat/>
    <w:uiPriority w:val="0"/>
  </w:style>
  <w:style w:type="character" w:customStyle="1" w:styleId="143">
    <w:name w:val="l_61"/>
    <w:basedOn w:val="20"/>
    <w:qFormat/>
    <w:uiPriority w:val="0"/>
  </w:style>
  <w:style w:type="character" w:customStyle="1" w:styleId="144">
    <w:name w:val="l_2"/>
    <w:basedOn w:val="20"/>
    <w:qFormat/>
    <w:uiPriority w:val="0"/>
  </w:style>
  <w:style w:type="character" w:customStyle="1" w:styleId="145">
    <w:name w:val="l_21"/>
    <w:basedOn w:val="20"/>
    <w:qFormat/>
    <w:uiPriority w:val="0"/>
  </w:style>
  <w:style w:type="character" w:customStyle="1" w:styleId="146">
    <w:name w:val="l_0"/>
    <w:basedOn w:val="20"/>
    <w:qFormat/>
    <w:uiPriority w:val="0"/>
  </w:style>
  <w:style w:type="character" w:customStyle="1" w:styleId="147">
    <w:name w:val="l_01"/>
    <w:basedOn w:val="20"/>
    <w:qFormat/>
    <w:uiPriority w:val="0"/>
  </w:style>
  <w:style w:type="character" w:customStyle="1" w:styleId="148">
    <w:name w:val="l_11"/>
    <w:basedOn w:val="20"/>
    <w:qFormat/>
    <w:uiPriority w:val="0"/>
  </w:style>
  <w:style w:type="character" w:customStyle="1" w:styleId="149">
    <w:name w:val="l_111"/>
    <w:basedOn w:val="20"/>
    <w:qFormat/>
    <w:uiPriority w:val="0"/>
  </w:style>
  <w:style w:type="character" w:customStyle="1" w:styleId="150">
    <w:name w:val="l_15"/>
    <w:basedOn w:val="20"/>
    <w:qFormat/>
    <w:uiPriority w:val="0"/>
  </w:style>
  <w:style w:type="character" w:customStyle="1" w:styleId="151">
    <w:name w:val="l_151"/>
    <w:basedOn w:val="20"/>
    <w:qFormat/>
    <w:uiPriority w:val="0"/>
  </w:style>
  <w:style w:type="character" w:customStyle="1" w:styleId="152">
    <w:name w:val="icon_dljg"/>
    <w:basedOn w:val="20"/>
    <w:qFormat/>
    <w:uiPriority w:val="0"/>
  </w:style>
  <w:style w:type="character" w:customStyle="1" w:styleId="153">
    <w:name w:val="color_cdyy"/>
    <w:basedOn w:val="20"/>
    <w:qFormat/>
    <w:uiPriority w:val="0"/>
    <w:rPr>
      <w:color w:val="FFFFFF"/>
      <w:bdr w:val="single" w:color="FFFFFF" w:sz="6" w:space="0"/>
    </w:rPr>
  </w:style>
  <w:style w:type="character" w:customStyle="1" w:styleId="154">
    <w:name w:val="icon_cxktbr"/>
    <w:basedOn w:val="20"/>
    <w:qFormat/>
    <w:uiPriority w:val="0"/>
  </w:style>
  <w:style w:type="character" w:customStyle="1" w:styleId="155">
    <w:name w:val="first-child1"/>
    <w:basedOn w:val="20"/>
    <w:qFormat/>
    <w:uiPriority w:val="0"/>
  </w:style>
  <w:style w:type="character" w:customStyle="1" w:styleId="156">
    <w:name w:val="l_31"/>
    <w:basedOn w:val="20"/>
    <w:qFormat/>
    <w:uiPriority w:val="0"/>
  </w:style>
  <w:style w:type="character" w:customStyle="1" w:styleId="157">
    <w:name w:val="l_41"/>
    <w:basedOn w:val="20"/>
    <w:qFormat/>
    <w:uiPriority w:val="0"/>
  </w:style>
  <w:style w:type="character" w:customStyle="1" w:styleId="158">
    <w:name w:val="l_91"/>
    <w:basedOn w:val="20"/>
    <w:qFormat/>
    <w:uiPriority w:val="0"/>
  </w:style>
  <w:style w:type="character" w:customStyle="1" w:styleId="159">
    <w:name w:val="l_101"/>
    <w:basedOn w:val="20"/>
    <w:qFormat/>
    <w:uiPriority w:val="0"/>
  </w:style>
  <w:style w:type="character" w:customStyle="1" w:styleId="160">
    <w:name w:val="l_112"/>
    <w:basedOn w:val="20"/>
    <w:qFormat/>
    <w:uiPriority w:val="0"/>
  </w:style>
  <w:style w:type="character" w:customStyle="1" w:styleId="161">
    <w:name w:val="15"/>
    <w:basedOn w:val="20"/>
    <w:qFormat/>
    <w:uiPriority w:val="0"/>
    <w:rPr>
      <w:rFonts w:hint="default" w:ascii="Arial" w:hAnsi="Arial" w:eastAsia="黑体" w:cs="Arial"/>
      <w:b/>
      <w:bCs/>
      <w:sz w:val="30"/>
      <w:szCs w:val="30"/>
    </w:rPr>
  </w:style>
  <w:style w:type="character" w:customStyle="1" w:styleId="162">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77</Pages>
  <Words>9679</Words>
  <Characters>10459</Characters>
  <Lines>336</Lines>
  <Paragraphs>94</Paragraphs>
  <TotalTime>0</TotalTime>
  <ScaleCrop>false</ScaleCrop>
  <LinksUpToDate>false</LinksUpToDate>
  <CharactersWithSpaces>10542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2023-08-15T09:47:00Z</dcterms:created>
  <dc:creator>WPS_1222511935</dc:creator>
  <cp:lastModifiedBy>WPS_1222511935</cp:lastModifiedBy>
  <cp:lastPrinted>2025-08-19T03:57:00Z</cp:lastPrinted>
  <dcterms:modified xsi:type="dcterms:W3CDTF">2025-08-19T07:07:29Z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F3342B3397E0412CA816A816DBD1C7DE_13</vt:lpwstr>
  </property>
  <property fmtid="{D5CDD505-2E9C-101B-9397-08002B2CF9AE}" pid="4" name="KSOTemplateDocerSaveRecord">
    <vt:lpwstr>eyJoZGlkIjoiZDU1YTE0NjE5NGY5MTg1MGJjZDY4NWQ2MTBjYWZhZjEiLCJ1c2VySWQiOiIxMjIyNTExOTM1In0=</vt:lpwstr>
  </property>
</Properties>
</file>