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544F4">
      <w:pPr>
        <w:spacing w:line="240" w:lineRule="auto"/>
        <w:ind w:firstLine="0" w:firstLineChars="0"/>
        <w:jc w:val="center"/>
        <w:rPr>
          <w:b/>
          <w:sz w:val="52"/>
          <w:szCs w:val="52"/>
        </w:rPr>
      </w:pPr>
      <w:r>
        <w:rPr>
          <w:rFonts w:hint="eastAsia"/>
          <w:b/>
          <w:sz w:val="52"/>
          <w:szCs w:val="52"/>
        </w:rPr>
        <w:t>信阳市第六职业高级中学舞蹈、美术、音乐教室升级优化项目</w:t>
      </w:r>
    </w:p>
    <w:p w14:paraId="7A253D24">
      <w:pPr>
        <w:pStyle w:val="58"/>
        <w:ind w:firstLine="803"/>
        <w:rPr>
          <w:b/>
          <w:spacing w:val="-20"/>
          <w:sz w:val="44"/>
          <w:szCs w:val="44"/>
        </w:rPr>
      </w:pPr>
    </w:p>
    <w:p w14:paraId="590E0A27">
      <w:pPr>
        <w:pStyle w:val="58"/>
        <w:ind w:firstLine="0" w:firstLineChars="0"/>
        <w:rPr>
          <w:b/>
          <w:spacing w:val="-20"/>
          <w:sz w:val="44"/>
          <w:szCs w:val="44"/>
        </w:rPr>
      </w:pPr>
    </w:p>
    <w:p w14:paraId="5615EF02">
      <w:pPr>
        <w:adjustRightInd w:val="0"/>
        <w:snapToGrid w:val="0"/>
        <w:spacing w:line="240" w:lineRule="auto"/>
        <w:ind w:firstLine="0" w:firstLineChars="0"/>
        <w:jc w:val="center"/>
        <w:rPr>
          <w:rFonts w:ascii="宋体" w:hAnsi="宋体"/>
          <w:b/>
          <w:sz w:val="72"/>
          <w:szCs w:val="72"/>
        </w:rPr>
      </w:pPr>
      <w:r>
        <w:rPr>
          <w:rFonts w:hint="eastAsia" w:ascii="宋体" w:hAnsi="宋体"/>
          <w:b/>
          <w:sz w:val="72"/>
          <w:szCs w:val="72"/>
        </w:rPr>
        <w:t>招 标 文 件</w:t>
      </w:r>
    </w:p>
    <w:p w14:paraId="5E6EC0A0">
      <w:pPr>
        <w:pStyle w:val="50"/>
        <w:ind w:firstLine="480"/>
      </w:pPr>
    </w:p>
    <w:p w14:paraId="4BD3C08B">
      <w:pPr>
        <w:spacing w:line="360" w:lineRule="auto"/>
        <w:ind w:firstLine="1968" w:firstLineChars="700"/>
      </w:pPr>
      <w:r>
        <w:rPr>
          <w:rFonts w:hint="eastAsia" w:ascii="宋体" w:hAnsi="宋体"/>
          <w:b/>
          <w:sz w:val="28"/>
          <w:szCs w:val="28"/>
        </w:rPr>
        <w:t>项目编号：信平财公开招标-2025-</w:t>
      </w:r>
      <w:r>
        <w:rPr>
          <w:rFonts w:hint="default" w:ascii="宋体" w:hAnsi="宋体"/>
          <w:b/>
          <w:sz w:val="28"/>
          <w:szCs w:val="28"/>
          <w:lang w:val="en-US"/>
        </w:rPr>
        <w:t>26</w:t>
      </w:r>
      <w:r>
        <w:rPr>
          <w:rFonts w:hint="eastAsia" w:ascii="宋体" w:hAnsi="宋体"/>
          <w:b/>
          <w:sz w:val="28"/>
          <w:szCs w:val="28"/>
        </w:rPr>
        <w:t xml:space="preserve">  </w:t>
      </w:r>
      <w:r>
        <w:rPr>
          <w:rFonts w:hint="eastAsia" w:ascii="宋体" w:hAnsi="宋体"/>
          <w:b/>
          <w:color w:val="FF0000"/>
          <w:sz w:val="28"/>
          <w:szCs w:val="28"/>
        </w:rPr>
        <w:t xml:space="preserve"> </w:t>
      </w:r>
      <w:r>
        <w:rPr>
          <w:rFonts w:hint="eastAsia" w:ascii="宋体" w:hAnsi="宋体"/>
          <w:b/>
          <w:sz w:val="28"/>
          <w:szCs w:val="28"/>
        </w:rPr>
        <w:t xml:space="preserve"> </w:t>
      </w:r>
    </w:p>
    <w:p w14:paraId="261F67C3">
      <w:pPr>
        <w:widowControl/>
        <w:adjustRightInd w:val="0"/>
        <w:snapToGrid w:val="0"/>
        <w:spacing w:line="480" w:lineRule="auto"/>
        <w:ind w:firstLine="0" w:firstLineChars="0"/>
        <w:rPr>
          <w:rFonts w:ascii="宋体" w:hAnsi="宋体" w:cs="宋体"/>
          <w:b/>
          <w:bCs/>
          <w:kern w:val="0"/>
          <w:sz w:val="32"/>
          <w:szCs w:val="32"/>
        </w:rPr>
      </w:pPr>
    </w:p>
    <w:p w14:paraId="579E7C43">
      <w:pPr>
        <w:pStyle w:val="2"/>
        <w:ind w:firstLine="240"/>
        <w:rPr>
          <w:rFonts w:ascii="宋体" w:hAnsi="宋体" w:cs="宋体"/>
          <w:b/>
          <w:bCs/>
          <w:sz w:val="32"/>
          <w:szCs w:val="32"/>
        </w:rPr>
      </w:pPr>
      <w:r>
        <w:rPr>
          <w:rFonts w:hint="eastAsia" w:eastAsia="宋体"/>
        </w:rPr>
        <w:drawing>
          <wp:anchor distT="0" distB="0" distL="114300" distR="114300" simplePos="0" relativeHeight="251659264" behindDoc="1" locked="0" layoutInCell="1" allowOverlap="1">
            <wp:simplePos x="0" y="0"/>
            <wp:positionH relativeFrom="column">
              <wp:posOffset>1206500</wp:posOffset>
            </wp:positionH>
            <wp:positionV relativeFrom="paragraph">
              <wp:posOffset>412115</wp:posOffset>
            </wp:positionV>
            <wp:extent cx="2541270" cy="2485390"/>
            <wp:effectExtent l="0" t="0" r="11430" b="0"/>
            <wp:wrapTight wrapText="bothSides">
              <wp:wrapPolygon>
                <wp:start x="0" y="0"/>
                <wp:lineTo x="0" y="21357"/>
                <wp:lineTo x="21373" y="21357"/>
                <wp:lineTo x="21373" y="0"/>
                <wp:lineTo x="0" y="0"/>
              </wp:wrapPolygon>
            </wp:wrapTight>
            <wp:docPr id="3" name="图片 1" descr="1734511545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734511545985"/>
                    <pic:cNvPicPr>
                      <a:picLocks noChangeAspect="1"/>
                    </pic:cNvPicPr>
                  </pic:nvPicPr>
                  <pic:blipFill>
                    <a:blip r:embed="rId15"/>
                    <a:srcRect l="11878" t="19908" r="14711" b="12439"/>
                    <a:stretch>
                      <a:fillRect/>
                    </a:stretch>
                  </pic:blipFill>
                  <pic:spPr>
                    <a:xfrm>
                      <a:off x="0" y="0"/>
                      <a:ext cx="2541270" cy="2485390"/>
                    </a:xfrm>
                    <a:prstGeom prst="rect">
                      <a:avLst/>
                    </a:prstGeom>
                    <a:noFill/>
                    <a:ln>
                      <a:noFill/>
                    </a:ln>
                  </pic:spPr>
                </pic:pic>
              </a:graphicData>
            </a:graphic>
          </wp:anchor>
        </w:drawing>
      </w:r>
    </w:p>
    <w:p w14:paraId="345F9DF6">
      <w:pPr>
        <w:pStyle w:val="2"/>
        <w:ind w:firstLine="321"/>
        <w:rPr>
          <w:rFonts w:ascii="宋体" w:hAnsi="宋体" w:cs="宋体"/>
          <w:b/>
          <w:bCs/>
          <w:sz w:val="32"/>
          <w:szCs w:val="32"/>
        </w:rPr>
      </w:pPr>
    </w:p>
    <w:p w14:paraId="5B9E4B97">
      <w:pPr>
        <w:pStyle w:val="2"/>
        <w:ind w:firstLine="321"/>
        <w:rPr>
          <w:rFonts w:ascii="宋体" w:hAnsi="宋体" w:cs="宋体"/>
          <w:b/>
          <w:bCs/>
          <w:sz w:val="32"/>
          <w:szCs w:val="32"/>
        </w:rPr>
      </w:pPr>
    </w:p>
    <w:p w14:paraId="4018F094">
      <w:pPr>
        <w:pStyle w:val="2"/>
        <w:ind w:firstLine="321"/>
        <w:rPr>
          <w:rFonts w:ascii="宋体" w:hAnsi="宋体" w:cs="宋体"/>
          <w:b/>
          <w:bCs/>
          <w:sz w:val="32"/>
          <w:szCs w:val="32"/>
        </w:rPr>
      </w:pPr>
    </w:p>
    <w:p w14:paraId="1AA26039">
      <w:pPr>
        <w:pStyle w:val="2"/>
        <w:ind w:firstLine="321"/>
        <w:rPr>
          <w:rFonts w:ascii="宋体" w:hAnsi="宋体" w:cs="宋体"/>
          <w:b/>
          <w:bCs/>
          <w:sz w:val="32"/>
          <w:szCs w:val="32"/>
        </w:rPr>
      </w:pPr>
    </w:p>
    <w:p w14:paraId="60306E32">
      <w:pPr>
        <w:pStyle w:val="2"/>
        <w:ind w:firstLine="321"/>
        <w:rPr>
          <w:rFonts w:ascii="宋体" w:hAnsi="宋体" w:cs="宋体"/>
          <w:b/>
          <w:bCs/>
          <w:sz w:val="32"/>
          <w:szCs w:val="32"/>
        </w:rPr>
      </w:pPr>
    </w:p>
    <w:p w14:paraId="576421CB">
      <w:pPr>
        <w:widowControl/>
        <w:adjustRightInd w:val="0"/>
        <w:snapToGrid w:val="0"/>
        <w:spacing w:line="480" w:lineRule="auto"/>
        <w:ind w:firstLine="1285" w:firstLineChars="400"/>
        <w:rPr>
          <w:rFonts w:ascii="宋体" w:hAnsi="宋体" w:cs="宋体"/>
          <w:b/>
          <w:bCs/>
          <w:kern w:val="0"/>
          <w:sz w:val="32"/>
          <w:szCs w:val="32"/>
        </w:rPr>
      </w:pPr>
    </w:p>
    <w:p w14:paraId="21D5ED7E">
      <w:pPr>
        <w:widowControl/>
        <w:adjustRightInd w:val="0"/>
        <w:snapToGrid w:val="0"/>
        <w:spacing w:line="480" w:lineRule="auto"/>
        <w:ind w:firstLine="1285" w:firstLineChars="400"/>
        <w:rPr>
          <w:rFonts w:ascii="宋体" w:hAnsi="宋体" w:cs="宋体"/>
          <w:b/>
          <w:bCs/>
          <w:kern w:val="0"/>
          <w:sz w:val="32"/>
          <w:szCs w:val="32"/>
        </w:rPr>
      </w:pPr>
    </w:p>
    <w:p w14:paraId="1F84E711">
      <w:pPr>
        <w:widowControl/>
        <w:adjustRightInd w:val="0"/>
        <w:snapToGrid w:val="0"/>
        <w:spacing w:line="480" w:lineRule="auto"/>
        <w:ind w:firstLine="1285" w:firstLineChars="400"/>
        <w:rPr>
          <w:rFonts w:ascii="宋体" w:hAnsi="宋体" w:cs="宋体"/>
          <w:b/>
          <w:bCs/>
          <w:kern w:val="0"/>
          <w:sz w:val="32"/>
          <w:szCs w:val="32"/>
        </w:rPr>
      </w:pPr>
      <w:r>
        <w:rPr>
          <w:rFonts w:hint="eastAsia" w:ascii="宋体" w:hAnsi="宋体" w:cs="宋体"/>
          <w:b/>
          <w:bCs/>
          <w:kern w:val="0"/>
          <w:sz w:val="32"/>
          <w:szCs w:val="32"/>
        </w:rPr>
        <w:t>采   购  人：信阳市第六职业高级中学</w:t>
      </w:r>
    </w:p>
    <w:p w14:paraId="1CC93DCA">
      <w:pPr>
        <w:widowControl/>
        <w:adjustRightInd w:val="0"/>
        <w:snapToGrid w:val="0"/>
        <w:spacing w:line="480" w:lineRule="auto"/>
        <w:ind w:firstLine="1285" w:firstLineChars="400"/>
        <w:rPr>
          <w:rFonts w:ascii="宋体" w:hAnsi="宋体" w:cs="宋体"/>
          <w:b/>
          <w:bCs/>
          <w:kern w:val="0"/>
          <w:sz w:val="32"/>
          <w:szCs w:val="32"/>
        </w:rPr>
      </w:pPr>
      <w:r>
        <w:rPr>
          <w:rFonts w:hint="eastAsia" w:ascii="宋体" w:hAnsi="宋体" w:cs="宋体"/>
          <w:b/>
          <w:bCs/>
          <w:kern w:val="0"/>
          <w:sz w:val="32"/>
          <w:szCs w:val="32"/>
        </w:rPr>
        <w:t>代 理 机 构：河南鑫义通工程咨询有限公司</w:t>
      </w:r>
    </w:p>
    <w:p w14:paraId="47C06AA0">
      <w:pPr>
        <w:widowControl/>
        <w:adjustRightInd w:val="0"/>
        <w:snapToGrid w:val="0"/>
        <w:spacing w:line="480" w:lineRule="auto"/>
        <w:ind w:firstLine="1285" w:firstLineChars="400"/>
        <w:rPr>
          <w:rFonts w:ascii="宋体" w:hAnsi="宋体" w:cs="宋体"/>
          <w:b/>
          <w:bCs/>
          <w:kern w:val="0"/>
          <w:sz w:val="32"/>
          <w:szCs w:val="32"/>
        </w:rPr>
      </w:pPr>
      <w:r>
        <w:rPr>
          <w:rFonts w:hint="eastAsia" w:ascii="宋体" w:hAnsi="宋体" w:cs="宋体"/>
          <w:b/>
          <w:bCs/>
          <w:kern w:val="0"/>
          <w:sz w:val="32"/>
          <w:szCs w:val="32"/>
        </w:rPr>
        <w:t>日       期：二〇二五年七月</w:t>
      </w:r>
    </w:p>
    <w:p w14:paraId="3389A04C">
      <w:pPr>
        <w:spacing w:line="700" w:lineRule="exact"/>
        <w:ind w:firstLine="0" w:firstLineChars="0"/>
        <w:jc w:val="center"/>
        <w:rPr>
          <w:rFonts w:ascii="Times New Roman" w:hAnsi="Times New Roman" w:eastAsia="仿宋_GB2312"/>
          <w:sz w:val="32"/>
          <w:szCs w:val="32"/>
        </w:rPr>
      </w:pPr>
      <w:r>
        <w:rPr>
          <w:rFonts w:hint="eastAsia" w:ascii="方正大标宋简体" w:hAnsi="方正大标宋简体" w:eastAsia="方正大标宋简体" w:cs="方正大标宋简体"/>
          <w:sz w:val="44"/>
          <w:szCs w:val="44"/>
        </w:rPr>
        <w:t>致政府采购供应商和代理机构的一封信</w:t>
      </w:r>
    </w:p>
    <w:p w14:paraId="6447C0A8">
      <w:pPr>
        <w:spacing w:line="520" w:lineRule="exact"/>
        <w:ind w:firstLine="0" w:firstLineChars="0"/>
        <w:rPr>
          <w:rFonts w:ascii="Times New Roman" w:hAnsi="Times New Roman" w:eastAsia="仿宋_GB2312"/>
          <w:sz w:val="28"/>
          <w:szCs w:val="28"/>
        </w:rPr>
      </w:pPr>
      <w:r>
        <w:rPr>
          <w:rFonts w:hint="eastAsia" w:ascii="Times New Roman" w:hAnsi="Times New Roman" w:eastAsia="仿宋_GB2312"/>
          <w:sz w:val="28"/>
          <w:szCs w:val="28"/>
        </w:rPr>
        <w:t>尊敬的政府采购供应商、代理机构：</w:t>
      </w:r>
    </w:p>
    <w:p w14:paraId="1371918A">
      <w:pPr>
        <w:spacing w:line="520" w:lineRule="exact"/>
        <w:ind w:firstLine="560"/>
        <w:rPr>
          <w:rFonts w:ascii="Times New Roman" w:hAnsi="Times New Roman" w:eastAsia="仿宋_GB2312"/>
          <w:sz w:val="28"/>
          <w:szCs w:val="28"/>
        </w:rPr>
      </w:pPr>
      <w:r>
        <w:rPr>
          <w:rFonts w:hint="eastAsia" w:ascii="Times New Roman" w:hAnsi="Times New Roman" w:eastAsia="仿宋_GB2312"/>
          <w:sz w:val="28"/>
          <w:szCs w:val="28"/>
        </w:rPr>
        <w:t>您好！非常感谢您一直以来对信阳市政府采购活动的关心和支持！</w:t>
      </w:r>
    </w:p>
    <w:p w14:paraId="46A225D2">
      <w:pPr>
        <w:spacing w:line="520" w:lineRule="exact"/>
        <w:ind w:firstLine="560"/>
        <w:rPr>
          <w:rFonts w:ascii="Times New Roman" w:hAnsi="Times New Roman" w:eastAsia="仿宋_GB2312"/>
          <w:sz w:val="28"/>
          <w:szCs w:val="28"/>
        </w:rPr>
      </w:pPr>
      <w:r>
        <w:rPr>
          <w:rFonts w:hint="eastAsia" w:ascii="Times New Roman" w:hAnsi="Times New Roman" w:eastAsia="仿宋_GB2312"/>
          <w:sz w:val="28"/>
          <w:szCs w:val="28"/>
        </w:rPr>
        <w:t>近年来，信阳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0E3C526A">
      <w:pPr>
        <w:widowControl/>
        <w:spacing w:line="520" w:lineRule="exact"/>
        <w:ind w:firstLine="560"/>
        <w:rPr>
          <w:rFonts w:ascii="Times New Roman" w:hAnsi="Times New Roman" w:eastAsia="仿宋_GB2312"/>
          <w:sz w:val="28"/>
          <w:szCs w:val="28"/>
        </w:rPr>
      </w:pPr>
      <w:r>
        <w:rPr>
          <w:rFonts w:hint="eastAsia" w:ascii="Times New Roman" w:hAnsi="Times New Roman" w:eastAsia="仿宋_GB2312"/>
          <w:sz w:val="28"/>
          <w:szCs w:val="28"/>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5B2FD463">
      <w:pPr>
        <w:spacing w:line="520" w:lineRule="exact"/>
        <w:ind w:firstLine="560"/>
        <w:rPr>
          <w:rFonts w:ascii="Times New Roman" w:hAnsi="Times New Roman" w:eastAsia="仿宋_GB2312"/>
          <w:sz w:val="28"/>
          <w:szCs w:val="28"/>
        </w:rPr>
      </w:pPr>
      <w:r>
        <w:rPr>
          <w:rFonts w:hint="eastAsia" w:ascii="Times New Roman" w:hAnsi="Times New Roman" w:eastAsia="仿宋_GB2312"/>
          <w:sz w:val="28"/>
          <w:szCs w:val="28"/>
        </w:rPr>
        <w:t>尽管做了一些工作，但我们深知，离贵公司的期望还有差距。恳请贵公司对我们的工作提出宝贵意见，并持续给予关注、支持和监督！</w:t>
      </w:r>
    </w:p>
    <w:p w14:paraId="6DF04631">
      <w:pPr>
        <w:spacing w:line="520" w:lineRule="exact"/>
        <w:ind w:firstLine="560"/>
        <w:rPr>
          <w:rFonts w:ascii="Times New Roman" w:hAnsi="Times New Roman" w:eastAsia="仿宋_GB2312"/>
          <w:sz w:val="28"/>
          <w:szCs w:val="28"/>
        </w:rPr>
      </w:pPr>
      <w:r>
        <w:rPr>
          <w:rFonts w:hint="eastAsia" w:ascii="Times New Roman" w:hAnsi="Times New Roman" w:eastAsia="仿宋_GB2312"/>
          <w:sz w:val="28"/>
          <w:szCs w:val="28"/>
        </w:rPr>
        <w:t>凡涉及信阳市政府采购领域营商环境的任何问题，贵公司均可通过专线电话0376-6699123、电子邮箱czyszb228@163.com，与信阳市财政局优化营商环境办公室随时沟通交流，我们将竭诚为各位供应商服务，全力解决贵公司遇到的困难。</w:t>
      </w:r>
    </w:p>
    <w:p w14:paraId="4B8D56F4">
      <w:pPr>
        <w:spacing w:line="520" w:lineRule="exact"/>
        <w:ind w:firstLine="560"/>
        <w:rPr>
          <w:rFonts w:ascii="Times New Roman" w:hAnsi="Times New Roman" w:eastAsia="仿宋_GB2312"/>
          <w:sz w:val="28"/>
          <w:szCs w:val="28"/>
        </w:rPr>
      </w:pPr>
      <w:r>
        <w:rPr>
          <w:rFonts w:hint="eastAsia" w:ascii="Times New Roman" w:hAnsi="Times New Roman" w:eastAsia="仿宋_GB2312"/>
          <w:sz w:val="28"/>
          <w:szCs w:val="28"/>
        </w:rPr>
        <w:t>再次感谢贵公司对信阳市政府采购工作的关心和支持！让我们携起手来为“美好生活看信阳”做出财政贡献！</w:t>
      </w:r>
    </w:p>
    <w:p w14:paraId="0BF6063F">
      <w:pPr>
        <w:spacing w:line="520" w:lineRule="exact"/>
        <w:ind w:firstLine="400"/>
        <w:rPr>
          <w:sz w:val="20"/>
          <w:szCs w:val="21"/>
        </w:rPr>
      </w:pPr>
    </w:p>
    <w:p w14:paraId="43B1D7C9">
      <w:pPr>
        <w:spacing w:line="520" w:lineRule="exact"/>
        <w:ind w:firstLine="5320" w:firstLineChars="1900"/>
        <w:rPr>
          <w:rFonts w:ascii="Times New Roman" w:hAnsi="Times New Roman" w:eastAsia="仿宋_GB2312"/>
          <w:sz w:val="28"/>
          <w:szCs w:val="28"/>
        </w:rPr>
      </w:pPr>
      <w:r>
        <w:rPr>
          <w:rFonts w:hint="eastAsia" w:ascii="Times New Roman" w:hAnsi="Times New Roman" w:eastAsia="仿宋_GB2312"/>
          <w:sz w:val="28"/>
          <w:szCs w:val="28"/>
        </w:rPr>
        <w:t>信阳市财政局</w:t>
      </w:r>
    </w:p>
    <w:p w14:paraId="6E29B306">
      <w:pPr>
        <w:spacing w:line="520" w:lineRule="exact"/>
        <w:ind w:firstLine="5600" w:firstLineChars="2000"/>
        <w:rPr>
          <w:rFonts w:ascii="Times New Roman" w:hAnsi="Times New Roman" w:eastAsia="仿宋_GB2312"/>
          <w:sz w:val="28"/>
          <w:szCs w:val="28"/>
        </w:rPr>
      </w:pPr>
      <w:r>
        <w:rPr>
          <w:rFonts w:hint="eastAsia" w:ascii="Times New Roman" w:hAnsi="Times New Roman" w:eastAsia="仿宋_GB2312"/>
          <w:sz w:val="28"/>
          <w:szCs w:val="28"/>
        </w:rPr>
        <w:t>2025年3月</w:t>
      </w:r>
    </w:p>
    <w:p w14:paraId="3E2F8180">
      <w:pPr>
        <w:widowControl/>
        <w:adjustRightInd w:val="0"/>
        <w:snapToGrid w:val="0"/>
        <w:spacing w:line="360" w:lineRule="auto"/>
        <w:ind w:firstLine="6425" w:firstLineChars="2000"/>
        <w:rPr>
          <w:rFonts w:ascii="宋体" w:hAnsi="宋体" w:cs="宋体"/>
          <w:b/>
          <w:bCs/>
          <w:kern w:val="0"/>
          <w:sz w:val="32"/>
          <w:szCs w:val="32"/>
        </w:rPr>
        <w:sectPr>
          <w:headerReference r:id="rId7" w:type="first"/>
          <w:footerReference r:id="rId10" w:type="first"/>
          <w:headerReference r:id="rId5" w:type="default"/>
          <w:footerReference r:id="rId8" w:type="default"/>
          <w:headerReference r:id="rId6" w:type="even"/>
          <w:footerReference r:id="rId9" w:type="even"/>
          <w:pgSz w:w="11905" w:h="16838"/>
          <w:pgMar w:top="1440" w:right="1803" w:bottom="1440" w:left="1803" w:header="850" w:footer="850" w:gutter="0"/>
          <w:pgNumType w:start="1"/>
          <w:cols w:space="720" w:num="1"/>
          <w:docGrid w:type="lines" w:linePitch="411" w:charSpace="0"/>
        </w:sectPr>
      </w:pPr>
    </w:p>
    <w:sdt>
      <w:sdtPr>
        <w:rPr>
          <w:rFonts w:hint="eastAsia" w:ascii="宋体" w:hAnsi="宋体" w:eastAsia="宋体" w:cs="Times New Roman"/>
          <w:kern w:val="0"/>
          <w:sz w:val="20"/>
          <w:szCs w:val="24"/>
        </w:rPr>
        <w:id w:val="147475493"/>
        <w:docPartObj>
          <w:docPartGallery w:val="Table of Contents"/>
          <w:docPartUnique/>
        </w:docPartObj>
      </w:sdtPr>
      <w:sdtEndPr>
        <w:rPr>
          <w:rFonts w:hint="default" w:cs="Times New Roman" w:asciiTheme="minorHAnsi" w:hAnsiTheme="minorHAnsi" w:eastAsiaTheme="minorEastAsia"/>
          <w:kern w:val="0"/>
          <w:sz w:val="20"/>
          <w:szCs w:val="24"/>
        </w:rPr>
      </w:sdtEndPr>
      <w:sdtContent>
        <w:p w14:paraId="6F2437D3">
          <w:pPr>
            <w:spacing w:line="240" w:lineRule="auto"/>
            <w:ind w:firstLine="0" w:firstLineChars="0"/>
            <w:jc w:val="center"/>
          </w:pPr>
          <w:bookmarkStart w:id="0" w:name="_Toc12706"/>
          <w:r>
            <w:rPr>
              <w:rFonts w:hint="eastAsia" w:ascii="宋体" w:hAnsi="宋体" w:cs="宋体"/>
              <w:b/>
              <w:sz w:val="32"/>
            </w:rPr>
            <w:t>目     录</w:t>
          </w:r>
        </w:p>
        <w:p w14:paraId="2D648CD0">
          <w:pPr>
            <w:pStyle w:val="20"/>
            <w:tabs>
              <w:tab w:val="right" w:leader="dot" w:pos="9070"/>
            </w:tabs>
            <w:ind w:firstLine="420"/>
          </w:pPr>
          <w:r>
            <w:fldChar w:fldCharType="begin"/>
          </w:r>
          <w:r>
            <w:instrText xml:space="preserve">TOC \o "1-1" \h \u </w:instrText>
          </w:r>
          <w:r>
            <w:fldChar w:fldCharType="separate"/>
          </w:r>
          <w:r>
            <w:fldChar w:fldCharType="begin"/>
          </w:r>
          <w:r>
            <w:instrText xml:space="preserve"> HYPERLINK \l "_Toc7352" </w:instrText>
          </w:r>
          <w:r>
            <w:fldChar w:fldCharType="separate"/>
          </w:r>
          <w:r>
            <w:rPr>
              <w:rFonts w:hint="eastAsia"/>
            </w:rPr>
            <w:t>第一章 招标公告</w:t>
          </w:r>
          <w:r>
            <w:tab/>
          </w:r>
          <w:r>
            <w:fldChar w:fldCharType="begin"/>
          </w:r>
          <w:r>
            <w:instrText xml:space="preserve"> PAGEREF _Toc7352 \h </w:instrText>
          </w:r>
          <w:r>
            <w:fldChar w:fldCharType="separate"/>
          </w:r>
          <w:r>
            <w:t>1</w:t>
          </w:r>
          <w:r>
            <w:fldChar w:fldCharType="end"/>
          </w:r>
          <w:r>
            <w:fldChar w:fldCharType="end"/>
          </w:r>
        </w:p>
        <w:p w14:paraId="7A2C445A">
          <w:pPr>
            <w:pStyle w:val="20"/>
            <w:tabs>
              <w:tab w:val="right" w:leader="dot" w:pos="9070"/>
            </w:tabs>
            <w:ind w:firstLine="420"/>
          </w:pPr>
          <w:r>
            <w:fldChar w:fldCharType="begin"/>
          </w:r>
          <w:r>
            <w:instrText xml:space="preserve"> HYPERLINK \l "_Toc1503" </w:instrText>
          </w:r>
          <w:r>
            <w:fldChar w:fldCharType="separate"/>
          </w:r>
          <w:r>
            <w:rPr>
              <w:rFonts w:hint="eastAsia" w:ascii="Times New Roman" w:hAnsi="Times New Roman" w:eastAsia="宋体" w:cs="Times New Roman"/>
              <w:bCs/>
            </w:rPr>
            <w:t>第二章 投标人须知</w:t>
          </w:r>
          <w:r>
            <w:tab/>
          </w:r>
          <w:r>
            <w:fldChar w:fldCharType="begin"/>
          </w:r>
          <w:r>
            <w:instrText xml:space="preserve"> PAGEREF _Toc1503 \h </w:instrText>
          </w:r>
          <w:r>
            <w:fldChar w:fldCharType="separate"/>
          </w:r>
          <w:r>
            <w:t>5</w:t>
          </w:r>
          <w:r>
            <w:fldChar w:fldCharType="end"/>
          </w:r>
          <w:r>
            <w:fldChar w:fldCharType="end"/>
          </w:r>
        </w:p>
        <w:p w14:paraId="43E42CCB">
          <w:pPr>
            <w:pStyle w:val="20"/>
            <w:tabs>
              <w:tab w:val="right" w:leader="dot" w:pos="9070"/>
            </w:tabs>
            <w:ind w:firstLine="420"/>
          </w:pPr>
          <w:r>
            <w:fldChar w:fldCharType="begin"/>
          </w:r>
          <w:r>
            <w:instrText xml:space="preserve"> HYPERLINK \l "_Toc1685" </w:instrText>
          </w:r>
          <w:r>
            <w:fldChar w:fldCharType="separate"/>
          </w:r>
          <w:r>
            <w:rPr>
              <w:rFonts w:hint="eastAsia" w:ascii="Times New Roman" w:hAnsi="Times New Roman" w:eastAsia="宋体" w:cs="Times New Roman"/>
              <w:bCs/>
            </w:rPr>
            <w:t>第三章 评标办法</w:t>
          </w:r>
          <w:r>
            <w:tab/>
          </w:r>
          <w:r>
            <w:fldChar w:fldCharType="begin"/>
          </w:r>
          <w:r>
            <w:instrText xml:space="preserve"> PAGEREF _Toc1685 \h </w:instrText>
          </w:r>
          <w:r>
            <w:fldChar w:fldCharType="separate"/>
          </w:r>
          <w:r>
            <w:t>17</w:t>
          </w:r>
          <w:r>
            <w:fldChar w:fldCharType="end"/>
          </w:r>
          <w:r>
            <w:fldChar w:fldCharType="end"/>
          </w:r>
        </w:p>
        <w:p w14:paraId="07CEEB9C">
          <w:pPr>
            <w:pStyle w:val="20"/>
            <w:tabs>
              <w:tab w:val="right" w:leader="dot" w:pos="9070"/>
            </w:tabs>
            <w:ind w:firstLine="420"/>
          </w:pPr>
          <w:r>
            <w:fldChar w:fldCharType="begin"/>
          </w:r>
          <w:r>
            <w:instrText xml:space="preserve"> HYPERLINK \l "_Toc1312" </w:instrText>
          </w:r>
          <w:r>
            <w:fldChar w:fldCharType="separate"/>
          </w:r>
          <w:r>
            <w:rPr>
              <w:rFonts w:hint="eastAsia"/>
            </w:rPr>
            <w:t>第四章 合同主要条款及格式</w:t>
          </w:r>
          <w:r>
            <w:tab/>
          </w:r>
          <w:r>
            <w:fldChar w:fldCharType="begin"/>
          </w:r>
          <w:r>
            <w:instrText xml:space="preserve"> PAGEREF _Toc1312 \h </w:instrText>
          </w:r>
          <w:r>
            <w:fldChar w:fldCharType="separate"/>
          </w:r>
          <w:r>
            <w:t>23</w:t>
          </w:r>
          <w:r>
            <w:fldChar w:fldCharType="end"/>
          </w:r>
          <w:r>
            <w:fldChar w:fldCharType="end"/>
          </w:r>
        </w:p>
        <w:p w14:paraId="2B0C48C5">
          <w:pPr>
            <w:pStyle w:val="20"/>
            <w:tabs>
              <w:tab w:val="right" w:leader="dot" w:pos="9070"/>
            </w:tabs>
            <w:ind w:firstLine="420"/>
          </w:pPr>
          <w:r>
            <w:fldChar w:fldCharType="begin"/>
          </w:r>
          <w:r>
            <w:instrText xml:space="preserve"> HYPERLINK \l "_Toc10216" </w:instrText>
          </w:r>
          <w:r>
            <w:fldChar w:fldCharType="separate"/>
          </w:r>
          <w:r>
            <w:rPr>
              <w:rFonts w:hint="eastAsia" w:ascii="宋体" w:hAnsi="宋体" w:eastAsia="宋体" w:cs="宋体"/>
            </w:rPr>
            <w:t>第六章 投标文件格式</w:t>
          </w:r>
          <w:r>
            <w:tab/>
          </w:r>
          <w:r>
            <w:fldChar w:fldCharType="begin"/>
          </w:r>
          <w:r>
            <w:instrText xml:space="preserve"> PAGEREF _Toc10216 \h </w:instrText>
          </w:r>
          <w:r>
            <w:fldChar w:fldCharType="separate"/>
          </w:r>
          <w:r>
            <w:t>116</w:t>
          </w:r>
          <w:r>
            <w:fldChar w:fldCharType="end"/>
          </w:r>
          <w:r>
            <w:fldChar w:fldCharType="end"/>
          </w:r>
        </w:p>
        <w:p w14:paraId="0626F92F">
          <w:pPr>
            <w:pStyle w:val="59"/>
            <w:ind w:firstLine="0" w:firstLineChars="0"/>
            <w:rPr>
              <w:rFonts w:hint="default"/>
            </w:rPr>
          </w:pPr>
          <w:r>
            <w:rPr>
              <w:rFonts w:hint="default"/>
            </w:rPr>
            <w:fldChar w:fldCharType="end"/>
          </w:r>
        </w:p>
      </w:sdtContent>
    </w:sdt>
    <w:p w14:paraId="3E64420D">
      <w:pPr>
        <w:ind w:firstLine="939"/>
        <w:rPr>
          <w:rFonts w:ascii="宋体" w:hAnsi="宋体" w:eastAsia="宋体" w:cs="宋体"/>
          <w:b/>
          <w:spacing w:val="14"/>
          <w:sz w:val="44"/>
          <w:szCs w:val="44"/>
        </w:rPr>
      </w:pPr>
      <w:r>
        <w:rPr>
          <w:rFonts w:hint="eastAsia" w:ascii="宋体" w:hAnsi="宋体" w:eastAsia="宋体" w:cs="宋体"/>
          <w:b/>
          <w:spacing w:val="14"/>
          <w:sz w:val="44"/>
          <w:szCs w:val="44"/>
        </w:rPr>
        <w:br w:type="page"/>
      </w:r>
    </w:p>
    <w:p w14:paraId="20CEF171">
      <w:pPr>
        <w:ind w:firstLine="0" w:firstLineChars="0"/>
        <w:jc w:val="center"/>
        <w:rPr>
          <w:sz w:val="40"/>
          <w:szCs w:val="28"/>
        </w:rPr>
      </w:pPr>
      <w:r>
        <w:rPr>
          <w:rFonts w:hint="eastAsia"/>
          <w:sz w:val="40"/>
          <w:szCs w:val="28"/>
        </w:rPr>
        <w:t>电子招投标特别提示</w:t>
      </w:r>
    </w:p>
    <w:p w14:paraId="0FAF8A99">
      <w:pPr>
        <w:ind w:firstLine="422"/>
        <w:rPr>
          <w:b/>
          <w:bCs/>
          <w:u w:val="double"/>
        </w:rPr>
      </w:pPr>
      <w:r>
        <w:rPr>
          <w:rFonts w:hint="eastAsia"/>
          <w:b/>
          <w:bCs/>
          <w:u w:val="double"/>
        </w:rPr>
        <w:t>一、投标人（供应商）注册</w:t>
      </w:r>
    </w:p>
    <w:p w14:paraId="24A6F074">
      <w:pPr>
        <w:spacing w:line="360" w:lineRule="exact"/>
        <w:ind w:firstLine="420"/>
        <w:rPr>
          <w:rFonts w:ascii="宋体" w:hAnsi="宋体" w:eastAsia="宋体" w:cs="宋体"/>
          <w:szCs w:val="21"/>
        </w:rPr>
      </w:pPr>
      <w:r>
        <w:rPr>
          <w:rFonts w:hint="eastAsia" w:ascii="宋体" w:hAnsi="宋体" w:eastAsia="宋体" w:cs="宋体"/>
          <w:szCs w:val="21"/>
        </w:rPr>
        <w:t>凡有意参加本项目的投标人（供应商），请登录“全国公共资源交易平台（河南省·信阳市）（https://ggzyjy.xinyang.gov.cn/）”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14:paraId="31570236">
      <w:pPr>
        <w:ind w:firstLine="422"/>
        <w:rPr>
          <w:b/>
          <w:bCs/>
          <w:u w:val="double"/>
        </w:rPr>
      </w:pPr>
      <w:r>
        <w:rPr>
          <w:rFonts w:hint="eastAsia"/>
          <w:b/>
          <w:bCs/>
          <w:u w:val="double"/>
        </w:rPr>
        <w:t>二、办理CA数字证书</w:t>
      </w:r>
    </w:p>
    <w:p w14:paraId="68E79917">
      <w:pPr>
        <w:spacing w:line="240" w:lineRule="auto"/>
        <w:ind w:firstLine="420"/>
      </w:pPr>
      <w:r>
        <w:rPr>
          <w:rFonts w:hint="eastAsia"/>
        </w:rPr>
        <w:t>办理CA数字证书：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14:paraId="04F891AA">
      <w:pPr>
        <w:ind w:firstLine="422"/>
        <w:rPr>
          <w:b/>
          <w:bCs/>
          <w:u w:val="double"/>
        </w:rPr>
      </w:pPr>
      <w:r>
        <w:rPr>
          <w:rFonts w:hint="eastAsia"/>
          <w:b/>
          <w:bCs/>
          <w:u w:val="double"/>
        </w:rPr>
        <w:t>三、招标（采购）文件获取方式</w:t>
      </w:r>
    </w:p>
    <w:p w14:paraId="15B56897">
      <w:pPr>
        <w:spacing w:line="360" w:lineRule="exact"/>
        <w:ind w:firstLine="420"/>
        <w:rPr>
          <w:rFonts w:ascii="宋体" w:hAnsi="宋体" w:eastAsia="宋体" w:cs="宋体"/>
          <w:szCs w:val="21"/>
        </w:rPr>
      </w:pPr>
      <w:r>
        <w:rPr>
          <w:rFonts w:hint="eastAsia" w:ascii="宋体" w:hAnsi="宋体" w:eastAsia="宋体" w:cs="宋体"/>
          <w:szCs w:val="21"/>
        </w:rPr>
        <w:t>投标人（供应商）凭CA数字证书登录会员系统后，即可按网上提示免费下载招标（采购）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招标文件领取页面下载）。</w:t>
      </w:r>
    </w:p>
    <w:p w14:paraId="6DA2FF0A">
      <w:pPr>
        <w:ind w:firstLine="422"/>
        <w:rPr>
          <w:b/>
          <w:bCs/>
          <w:u w:val="double"/>
        </w:rPr>
      </w:pPr>
      <w:r>
        <w:rPr>
          <w:rFonts w:hint="eastAsia"/>
          <w:b/>
          <w:bCs/>
          <w:u w:val="double"/>
        </w:rPr>
        <w:t>四、投标（响应）文件制作</w:t>
      </w:r>
    </w:p>
    <w:p w14:paraId="30C4DCBE">
      <w:pPr>
        <w:tabs>
          <w:tab w:val="left" w:pos="0"/>
        </w:tabs>
        <w:spacing w:line="360" w:lineRule="exact"/>
        <w:ind w:firstLine="420"/>
        <w:rPr>
          <w:rFonts w:ascii="宋体" w:hAnsi="宋体" w:eastAsia="宋体" w:cs="宋体"/>
          <w:szCs w:val="21"/>
        </w:rPr>
      </w:pPr>
      <w:r>
        <w:rPr>
          <w:rFonts w:hint="eastAsia" w:ascii="宋体" w:hAnsi="宋体" w:eastAsia="宋体" w:cs="宋体"/>
          <w:szCs w:val="21"/>
        </w:rPr>
        <w:t>投标（响应）文件应使用信阳市公共资源交易系统投标文件制作专用工具软件编制，投标（响应）文件格式为“*.XYTF”。</w:t>
      </w:r>
    </w:p>
    <w:p w14:paraId="01A9F284">
      <w:pPr>
        <w:tabs>
          <w:tab w:val="left" w:pos="0"/>
        </w:tabs>
        <w:spacing w:line="360" w:lineRule="exact"/>
        <w:ind w:firstLine="420"/>
        <w:rPr>
          <w:rFonts w:ascii="宋体" w:hAnsi="宋体" w:eastAsia="宋体" w:cs="宋体"/>
          <w:szCs w:val="21"/>
        </w:rPr>
      </w:pPr>
      <w:r>
        <w:rPr>
          <w:rFonts w:hint="eastAsia" w:ascii="宋体" w:hAnsi="宋体" w:eastAsia="宋体" w:cs="宋体"/>
          <w:szCs w:val="21"/>
        </w:rPr>
        <w:t>投标人（供应商）须在投标（响应）文件递交截止时间前制作并提交。</w:t>
      </w:r>
    </w:p>
    <w:p w14:paraId="0BF73F74">
      <w:pPr>
        <w:ind w:firstLine="422"/>
        <w:rPr>
          <w:b/>
          <w:bCs/>
          <w:u w:val="double"/>
        </w:rPr>
      </w:pPr>
      <w:r>
        <w:rPr>
          <w:rFonts w:hint="eastAsia"/>
          <w:b/>
          <w:bCs/>
          <w:u w:val="double"/>
        </w:rPr>
        <w:t>五、投标（响应）文件的签字和盖章要求</w:t>
      </w:r>
    </w:p>
    <w:p w14:paraId="0D5012A8">
      <w:pPr>
        <w:adjustRightInd w:val="0"/>
        <w:snapToGrid w:val="0"/>
        <w:spacing w:line="360" w:lineRule="exact"/>
        <w:ind w:firstLine="420"/>
        <w:jc w:val="left"/>
        <w:rPr>
          <w:rFonts w:ascii="宋体" w:hAnsi="宋体" w:eastAsia="宋体" w:cs="宋体"/>
          <w:szCs w:val="21"/>
        </w:rPr>
      </w:pPr>
      <w:r>
        <w:rPr>
          <w:rFonts w:hint="eastAsia" w:ascii="宋体" w:hAnsi="宋体" w:eastAsia="宋体" w:cs="宋体"/>
          <w:szCs w:val="21"/>
        </w:rPr>
        <w:t>1、投标文件（响应）格式中所有要求投标人（供应商）加盖公章的地方都须加盖投标人（供应商）的 CA 印章。</w:t>
      </w:r>
    </w:p>
    <w:p w14:paraId="4F9F2D3C">
      <w:pPr>
        <w:adjustRightInd w:val="0"/>
        <w:snapToGrid w:val="0"/>
        <w:spacing w:line="360" w:lineRule="exact"/>
        <w:ind w:left="-126" w:leftChars="-60" w:firstLine="525" w:firstLineChars="250"/>
        <w:jc w:val="left"/>
        <w:rPr>
          <w:rFonts w:ascii="宋体" w:hAnsi="宋体" w:eastAsia="宋体" w:cs="宋体"/>
          <w:b/>
          <w:bCs/>
          <w:szCs w:val="21"/>
        </w:rPr>
      </w:pPr>
      <w:r>
        <w:rPr>
          <w:rFonts w:hint="eastAsia" w:ascii="宋体" w:hAnsi="宋体" w:eastAsia="宋体" w:cs="宋体"/>
          <w:szCs w:val="21"/>
        </w:rPr>
        <w:t>2、投标文件（响应）格式中所有要求法定代表人或其委托代理人签字或盖章的地方</w:t>
      </w:r>
      <w:r>
        <w:rPr>
          <w:rFonts w:hint="eastAsia" w:ascii="宋体" w:hAnsi="宋体" w:eastAsia="宋体" w:cs="宋体"/>
          <w:b/>
          <w:bCs/>
          <w:szCs w:val="21"/>
        </w:rPr>
        <w:t>（不含授权委托书委托人签字）</w:t>
      </w:r>
      <w:r>
        <w:rPr>
          <w:rFonts w:hint="eastAsia" w:ascii="宋体" w:hAnsi="宋体" w:eastAsia="宋体" w:cs="宋体"/>
          <w:szCs w:val="21"/>
        </w:rPr>
        <w:t>都须加盖法定代表人</w:t>
      </w:r>
      <w:r>
        <w:rPr>
          <w:rFonts w:hint="eastAsia" w:ascii="宋体" w:hAnsi="宋体" w:eastAsia="宋体" w:cs="宋体"/>
          <w:b/>
          <w:bCs/>
          <w:szCs w:val="21"/>
        </w:rPr>
        <w:t>CA 印章。</w:t>
      </w:r>
    </w:p>
    <w:p w14:paraId="7A30446A">
      <w:pPr>
        <w:ind w:firstLine="422"/>
        <w:rPr>
          <w:b/>
          <w:bCs/>
          <w:u w:val="double"/>
        </w:rPr>
      </w:pPr>
      <w:r>
        <w:rPr>
          <w:rFonts w:hint="eastAsia"/>
          <w:b/>
          <w:bCs/>
          <w:u w:val="double"/>
        </w:rPr>
        <w:t>六、投标文件份数</w:t>
      </w:r>
    </w:p>
    <w:p w14:paraId="05259607">
      <w:pPr>
        <w:adjustRightInd w:val="0"/>
        <w:snapToGrid w:val="0"/>
        <w:spacing w:line="360" w:lineRule="exact"/>
        <w:ind w:firstLine="420"/>
        <w:jc w:val="left"/>
        <w:rPr>
          <w:rFonts w:ascii="宋体" w:hAnsi="宋体" w:eastAsia="宋体" w:cs="宋体"/>
          <w:szCs w:val="21"/>
        </w:rPr>
      </w:pPr>
      <w:r>
        <w:rPr>
          <w:rFonts w:hint="eastAsia" w:ascii="宋体" w:hAnsi="宋体" w:eastAsia="宋体" w:cs="宋体"/>
          <w:szCs w:val="21"/>
        </w:rPr>
        <w:t>加密的电子投标（响应）文件壹份（*.XYTF 格式，在会员系统指定位置上传）。</w:t>
      </w:r>
    </w:p>
    <w:p w14:paraId="18ADF394">
      <w:pPr>
        <w:ind w:firstLine="422"/>
        <w:rPr>
          <w:b/>
          <w:bCs/>
          <w:u w:val="double"/>
        </w:rPr>
      </w:pPr>
      <w:r>
        <w:rPr>
          <w:rFonts w:hint="eastAsia"/>
          <w:b/>
          <w:bCs/>
          <w:u w:val="double"/>
        </w:rPr>
        <w:t>七、投标（响应）文件的递交</w:t>
      </w:r>
    </w:p>
    <w:p w14:paraId="0782EB68">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1、电子投标（响应）文件的递交</w:t>
      </w:r>
    </w:p>
    <w:p w14:paraId="59C5EBCA">
      <w:pPr>
        <w:spacing w:line="360" w:lineRule="exact"/>
        <w:ind w:firstLine="420"/>
        <w:jc w:val="left"/>
        <w:rPr>
          <w:rFonts w:ascii="宋体" w:hAnsi="宋体" w:eastAsia="宋体" w:cs="宋体"/>
          <w:szCs w:val="21"/>
        </w:rPr>
      </w:pPr>
      <w:r>
        <w:rPr>
          <w:rFonts w:hint="eastAsia" w:ascii="宋体" w:hAnsi="宋体" w:eastAsia="宋体" w:cs="宋体"/>
          <w:szCs w:val="21"/>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126327F6">
      <w:pPr>
        <w:spacing w:line="360" w:lineRule="exact"/>
        <w:ind w:firstLine="420"/>
        <w:jc w:val="left"/>
        <w:rPr>
          <w:rFonts w:ascii="宋体" w:hAnsi="宋体" w:eastAsia="宋体" w:cs="宋体"/>
          <w:szCs w:val="21"/>
        </w:rPr>
      </w:pPr>
      <w:r>
        <w:rPr>
          <w:rFonts w:hint="eastAsia" w:ascii="宋体" w:hAnsi="宋体" w:eastAsia="宋体" w:cs="宋体"/>
          <w:szCs w:val="21"/>
        </w:rPr>
        <w:t>2、除电子投标（响应）文件外，不再接受任何纸质文件、资料原件等。</w:t>
      </w:r>
    </w:p>
    <w:p w14:paraId="3BBA834F">
      <w:pPr>
        <w:ind w:firstLine="422"/>
        <w:rPr>
          <w:b/>
          <w:bCs/>
          <w:u w:val="double"/>
        </w:rPr>
      </w:pPr>
      <w:r>
        <w:rPr>
          <w:rFonts w:hint="eastAsia"/>
          <w:b/>
          <w:bCs/>
          <w:u w:val="double"/>
        </w:rPr>
        <w:t>八、澄清与变更</w:t>
      </w:r>
    </w:p>
    <w:p w14:paraId="4D7435DE">
      <w:pPr>
        <w:spacing w:line="360" w:lineRule="exact"/>
        <w:ind w:firstLine="420"/>
        <w:rPr>
          <w:rFonts w:ascii="宋体" w:hAnsi="宋体" w:eastAsia="宋体" w:cs="宋体"/>
          <w:szCs w:val="21"/>
        </w:rPr>
      </w:pPr>
      <w:r>
        <w:rPr>
          <w:rFonts w:hint="eastAsia" w:ascii="宋体" w:hAnsi="宋体" w:eastAsia="宋体" w:cs="宋体"/>
          <w:szCs w:val="21"/>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14:paraId="5E574F13">
      <w:pPr>
        <w:ind w:firstLine="422"/>
        <w:rPr>
          <w:b/>
          <w:bCs/>
          <w:u w:val="double"/>
        </w:rPr>
      </w:pPr>
      <w:r>
        <w:rPr>
          <w:rFonts w:hint="eastAsia"/>
          <w:b/>
          <w:bCs/>
          <w:u w:val="double"/>
        </w:rPr>
        <w:t xml:space="preserve">九、其他注意事项 </w:t>
      </w:r>
    </w:p>
    <w:p w14:paraId="349383A2">
      <w:pPr>
        <w:widowControl/>
        <w:spacing w:line="360" w:lineRule="exact"/>
        <w:ind w:firstLine="422"/>
        <w:jc w:val="left"/>
        <w:rPr>
          <w:rFonts w:ascii="宋体" w:hAnsi="宋体" w:eastAsia="宋体" w:cs="宋体"/>
          <w:b/>
          <w:bCs/>
          <w:szCs w:val="21"/>
          <w:u w:val="double"/>
        </w:rPr>
      </w:pPr>
      <w:r>
        <w:rPr>
          <w:rFonts w:hint="eastAsia" w:ascii="宋体" w:hAnsi="宋体" w:eastAsia="宋体" w:cs="宋体"/>
          <w:b/>
          <w:bCs/>
          <w:szCs w:val="21"/>
          <w:u w:val="double"/>
        </w:rPr>
        <w:t>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6F32122B">
      <w:pPr>
        <w:ind w:firstLine="422"/>
        <w:rPr>
          <w:b/>
          <w:bCs/>
          <w:u w:val="double"/>
        </w:rPr>
      </w:pPr>
      <w:r>
        <w:rPr>
          <w:rFonts w:hint="eastAsia"/>
          <w:b/>
          <w:bCs/>
          <w:u w:val="double"/>
        </w:rPr>
        <w:t>十、特别提醒</w:t>
      </w:r>
    </w:p>
    <w:p w14:paraId="4AFCB25E">
      <w:pPr>
        <w:widowControl/>
        <w:spacing w:line="360" w:lineRule="exact"/>
        <w:ind w:firstLine="422"/>
        <w:jc w:val="left"/>
        <w:rPr>
          <w:rFonts w:ascii="宋体" w:hAnsi="宋体" w:eastAsia="宋体" w:cs="宋体"/>
          <w:szCs w:val="21"/>
          <w:u w:val="double"/>
        </w:rPr>
      </w:pPr>
      <w:r>
        <w:rPr>
          <w:rFonts w:hint="eastAsia" w:ascii="宋体" w:hAnsi="宋体" w:eastAsia="宋体" w:cs="宋体"/>
          <w:b/>
          <w:bCs/>
          <w:szCs w:val="21"/>
          <w:u w:val="double"/>
        </w:rPr>
        <w:t>投标文件中的扫描件，在确保清晰的前提下，每张最好控制在 500kb 内，生成的加密电子投标文件最好不要超过50MB。</w:t>
      </w:r>
    </w:p>
    <w:p w14:paraId="1DDA7DE7">
      <w:pPr>
        <w:spacing w:line="400" w:lineRule="exact"/>
        <w:ind w:firstLine="0" w:firstLineChars="0"/>
        <w:jc w:val="center"/>
        <w:outlineLvl w:val="0"/>
        <w:rPr>
          <w:rStyle w:val="73"/>
          <w:color w:val="auto"/>
        </w:rPr>
        <w:sectPr>
          <w:headerReference r:id="rId11" w:type="default"/>
          <w:footerReference r:id="rId12" w:type="default"/>
          <w:pgSz w:w="11906" w:h="16838"/>
          <w:pgMar w:top="1701" w:right="1418" w:bottom="1701" w:left="1418" w:header="851" w:footer="992" w:gutter="0"/>
          <w:cols w:space="425" w:num="1"/>
          <w:docGrid w:type="lines" w:linePitch="312" w:charSpace="0"/>
        </w:sectPr>
      </w:pPr>
    </w:p>
    <w:p w14:paraId="7B36A497">
      <w:pPr>
        <w:spacing w:line="400" w:lineRule="exact"/>
        <w:ind w:firstLine="0" w:firstLineChars="0"/>
        <w:jc w:val="center"/>
        <w:outlineLvl w:val="0"/>
        <w:rPr>
          <w:rStyle w:val="73"/>
          <w:color w:val="auto"/>
        </w:rPr>
      </w:pPr>
      <w:bookmarkStart w:id="1" w:name="_Toc7352"/>
      <w:r>
        <w:rPr>
          <w:rStyle w:val="73"/>
          <w:rFonts w:hint="eastAsia"/>
          <w:color w:val="auto"/>
        </w:rPr>
        <w:t>第一章 招标公告</w:t>
      </w:r>
      <w:bookmarkEnd w:id="0"/>
      <w:bookmarkEnd w:id="1"/>
    </w:p>
    <w:p w14:paraId="2F471F3C">
      <w:pPr>
        <w:adjustRightInd w:val="0"/>
        <w:snapToGrid w:val="0"/>
        <w:spacing w:line="360" w:lineRule="auto"/>
        <w:ind w:firstLine="422"/>
        <w:rPr>
          <w:rFonts w:ascii="宋体" w:hAnsi="宋体" w:cs="宋体"/>
          <w:b/>
          <w:bCs/>
          <w:szCs w:val="21"/>
        </w:rPr>
      </w:pPr>
      <w:r>
        <w:rPr>
          <w:rFonts w:hint="eastAsia" w:ascii="宋体" w:hAnsi="宋体" w:cs="宋体"/>
          <w:b/>
          <w:bCs/>
          <w:szCs w:val="21"/>
        </w:rPr>
        <w:t>项目概况</w:t>
      </w:r>
    </w:p>
    <w:p w14:paraId="0D72292E">
      <w:pPr>
        <w:adjustRightInd w:val="0"/>
        <w:snapToGrid w:val="0"/>
        <w:spacing w:line="360" w:lineRule="auto"/>
        <w:ind w:firstLine="630" w:firstLineChars="300"/>
        <w:rPr>
          <w:rFonts w:ascii="宋体" w:hAnsi="宋体" w:cs="宋体"/>
          <w:szCs w:val="21"/>
        </w:rPr>
      </w:pPr>
      <w:r>
        <w:rPr>
          <w:rFonts w:hint="eastAsia" w:ascii="宋体" w:hAnsi="宋体" w:cs="宋体"/>
          <w:szCs w:val="21"/>
        </w:rPr>
        <w:t>信阳市第六职业高级中学舞蹈、美术、音乐教室升级优化项目潜在投标人登录“全国公共资源交易平台（河南省·信阳市））（https://ggzyjy.xinyang.gov.cn/）”网站，凭办理的企业身份认证锁（CA数字证书）登录会员系统进行网上投标”。获取招标文件，并</w:t>
      </w:r>
      <w:r>
        <w:rPr>
          <w:rFonts w:hint="eastAsia" w:ascii="宋体" w:hAnsi="宋体" w:cs="宋体"/>
          <w:szCs w:val="21"/>
          <w:u w:val="single"/>
        </w:rPr>
        <w:t>于2025年</w:t>
      </w:r>
      <w:r>
        <w:rPr>
          <w:rFonts w:hint="default" w:ascii="宋体" w:hAnsi="宋体" w:cs="宋体"/>
          <w:szCs w:val="21"/>
          <w:u w:val="single"/>
          <w:lang w:val="en-US"/>
        </w:rPr>
        <w:t>8</w:t>
      </w:r>
      <w:r>
        <w:rPr>
          <w:rFonts w:hint="eastAsia" w:ascii="宋体" w:hAnsi="宋体" w:cs="宋体"/>
          <w:szCs w:val="21"/>
          <w:u w:val="single"/>
        </w:rPr>
        <w:t>月</w:t>
      </w:r>
      <w:r>
        <w:rPr>
          <w:rFonts w:hint="default" w:ascii="宋体" w:hAnsi="宋体" w:cs="宋体"/>
          <w:szCs w:val="21"/>
          <w:u w:val="single"/>
          <w:lang w:val="en-US"/>
        </w:rPr>
        <w:t>25</w:t>
      </w:r>
      <w:r>
        <w:rPr>
          <w:rFonts w:hint="eastAsia" w:ascii="宋体" w:hAnsi="宋体" w:cs="宋体"/>
          <w:szCs w:val="21"/>
          <w:u w:val="single"/>
        </w:rPr>
        <w:t>日 9 时30分</w:t>
      </w:r>
      <w:r>
        <w:rPr>
          <w:rFonts w:hint="eastAsia" w:ascii="宋体" w:hAnsi="宋体" w:cs="宋体"/>
          <w:szCs w:val="21"/>
        </w:rPr>
        <w:t>（北京时间）前递交投标文件。</w:t>
      </w:r>
    </w:p>
    <w:p w14:paraId="57F0670A">
      <w:pPr>
        <w:adjustRightInd w:val="0"/>
        <w:snapToGrid w:val="0"/>
        <w:spacing w:line="360" w:lineRule="auto"/>
        <w:ind w:firstLine="422"/>
        <w:rPr>
          <w:rFonts w:ascii="宋体" w:hAnsi="宋体" w:cs="宋体"/>
          <w:b/>
          <w:bCs/>
          <w:szCs w:val="21"/>
        </w:rPr>
      </w:pPr>
      <w:bookmarkStart w:id="2" w:name="_Toc28359002"/>
      <w:bookmarkStart w:id="3" w:name="_Toc35393790"/>
      <w:bookmarkStart w:id="4" w:name="_Toc28359079"/>
      <w:bookmarkStart w:id="5" w:name="_Toc35393621"/>
      <w:bookmarkStart w:id="6" w:name="_Hlk24379207"/>
      <w:r>
        <w:rPr>
          <w:rFonts w:hint="eastAsia" w:ascii="宋体" w:hAnsi="宋体" w:cs="宋体"/>
          <w:b/>
          <w:bCs/>
          <w:szCs w:val="21"/>
        </w:rPr>
        <w:t>一、项目基本情况</w:t>
      </w:r>
      <w:bookmarkEnd w:id="2"/>
      <w:bookmarkEnd w:id="3"/>
      <w:bookmarkEnd w:id="4"/>
      <w:bookmarkEnd w:id="5"/>
    </w:p>
    <w:p w14:paraId="425ABD24">
      <w:pPr>
        <w:adjustRightInd w:val="0"/>
        <w:snapToGrid w:val="0"/>
        <w:spacing w:line="360" w:lineRule="auto"/>
        <w:ind w:firstLine="420"/>
        <w:rPr>
          <w:rFonts w:ascii="宋体" w:hAnsi="宋体" w:cs="宋体"/>
          <w:szCs w:val="21"/>
          <w:highlight w:val="yellow"/>
        </w:rPr>
      </w:pPr>
      <w:r>
        <w:rPr>
          <w:rFonts w:hint="eastAsia" w:ascii="宋体" w:hAnsi="宋体" w:cs="宋体"/>
          <w:szCs w:val="21"/>
        </w:rPr>
        <w:t>1、项目编号：信平财公开招标-2025-</w:t>
      </w:r>
      <w:r>
        <w:rPr>
          <w:rFonts w:hint="default" w:ascii="宋体" w:hAnsi="宋体" w:cs="宋体"/>
          <w:szCs w:val="21"/>
          <w:lang w:val="en-US"/>
        </w:rPr>
        <w:t>26</w:t>
      </w:r>
      <w:r>
        <w:rPr>
          <w:rFonts w:hint="eastAsia" w:ascii="宋体" w:hAnsi="宋体" w:cs="宋体"/>
          <w:szCs w:val="21"/>
        </w:rPr>
        <w:t>；</w:t>
      </w:r>
    </w:p>
    <w:p w14:paraId="00F5772E">
      <w:pPr>
        <w:adjustRightInd w:val="0"/>
        <w:snapToGrid w:val="0"/>
        <w:spacing w:line="360" w:lineRule="auto"/>
        <w:ind w:firstLine="420"/>
        <w:rPr>
          <w:rFonts w:ascii="宋体" w:hAnsi="宋体" w:cs="宋体"/>
          <w:szCs w:val="21"/>
        </w:rPr>
      </w:pPr>
      <w:r>
        <w:rPr>
          <w:rFonts w:hint="eastAsia" w:ascii="宋体" w:hAnsi="宋体" w:cs="宋体"/>
          <w:szCs w:val="21"/>
        </w:rPr>
        <w:t>2、项目名称：信阳市第六职业高级中学舞蹈、美术、音乐教室升级优化项目；</w:t>
      </w:r>
    </w:p>
    <w:p w14:paraId="23C14183">
      <w:pPr>
        <w:adjustRightInd w:val="0"/>
        <w:snapToGrid w:val="0"/>
        <w:spacing w:line="360" w:lineRule="auto"/>
        <w:ind w:firstLine="420"/>
        <w:rPr>
          <w:rFonts w:ascii="宋体" w:hAnsi="宋体" w:cs="宋体"/>
          <w:szCs w:val="21"/>
        </w:rPr>
      </w:pPr>
      <w:r>
        <w:rPr>
          <w:rFonts w:hint="eastAsia" w:ascii="宋体" w:hAnsi="宋体" w:cs="宋体"/>
          <w:szCs w:val="21"/>
        </w:rPr>
        <w:t xml:space="preserve">3、采购方式：公开招标；  </w:t>
      </w:r>
    </w:p>
    <w:p w14:paraId="1E04031E">
      <w:pPr>
        <w:adjustRightInd w:val="0"/>
        <w:snapToGrid w:val="0"/>
        <w:spacing w:line="360" w:lineRule="auto"/>
        <w:ind w:firstLine="420"/>
        <w:rPr>
          <w:rFonts w:ascii="宋体" w:hAnsi="宋体" w:cs="宋体"/>
          <w:szCs w:val="21"/>
        </w:rPr>
      </w:pPr>
      <w:r>
        <w:rPr>
          <w:rFonts w:hint="eastAsia" w:ascii="宋体" w:hAnsi="宋体" w:cs="宋体"/>
          <w:szCs w:val="21"/>
        </w:rPr>
        <w:t>4、预算金额：2880385.88元；</w:t>
      </w:r>
    </w:p>
    <w:p w14:paraId="408A3C06">
      <w:pPr>
        <w:adjustRightInd w:val="0"/>
        <w:snapToGrid w:val="0"/>
        <w:spacing w:line="360" w:lineRule="auto"/>
        <w:ind w:firstLine="630" w:firstLineChars="300"/>
        <w:rPr>
          <w:rFonts w:ascii="宋体" w:hAnsi="宋体" w:cs="宋体"/>
          <w:szCs w:val="21"/>
        </w:rPr>
      </w:pPr>
      <w:r>
        <w:rPr>
          <w:rFonts w:hint="eastAsia" w:ascii="宋体" w:hAnsi="宋体" w:cs="宋体"/>
          <w:szCs w:val="21"/>
        </w:rPr>
        <w:t>最高限价：2880385.88元；</w:t>
      </w:r>
    </w:p>
    <w:tbl>
      <w:tblPr>
        <w:tblStyle w:val="28"/>
        <w:tblW w:w="10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1562"/>
        <w:gridCol w:w="2663"/>
        <w:gridCol w:w="1340"/>
        <w:gridCol w:w="1350"/>
        <w:gridCol w:w="1450"/>
        <w:gridCol w:w="1226"/>
      </w:tblGrid>
      <w:tr w14:paraId="5FBE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453" w:type="dxa"/>
            <w:vAlign w:val="center"/>
          </w:tcPr>
          <w:p w14:paraId="7D31CF8E">
            <w:pPr>
              <w:spacing w:line="360" w:lineRule="auto"/>
              <w:ind w:firstLine="0" w:firstLineChars="0"/>
              <w:jc w:val="center"/>
              <w:rPr>
                <w:rFonts w:ascii="宋体" w:hAnsi="宋体" w:eastAsia="宋体" w:cs="宋体"/>
                <w:szCs w:val="21"/>
              </w:rPr>
            </w:pPr>
            <w:r>
              <w:rPr>
                <w:rFonts w:hint="eastAsia" w:ascii="宋体" w:hAnsi="宋体" w:eastAsia="宋体" w:cs="宋体"/>
                <w:szCs w:val="21"/>
              </w:rPr>
              <w:t>序号</w:t>
            </w:r>
          </w:p>
        </w:tc>
        <w:tc>
          <w:tcPr>
            <w:tcW w:w="1562" w:type="dxa"/>
            <w:vAlign w:val="center"/>
          </w:tcPr>
          <w:p w14:paraId="38007D23">
            <w:pPr>
              <w:spacing w:line="360" w:lineRule="auto"/>
              <w:ind w:firstLine="0" w:firstLineChars="0"/>
              <w:jc w:val="center"/>
              <w:rPr>
                <w:rFonts w:ascii="宋体" w:hAnsi="宋体" w:eastAsia="宋体" w:cs="宋体"/>
                <w:szCs w:val="21"/>
              </w:rPr>
            </w:pPr>
            <w:r>
              <w:rPr>
                <w:rFonts w:hint="eastAsia" w:ascii="宋体" w:hAnsi="宋体" w:eastAsia="宋体" w:cs="宋体"/>
                <w:szCs w:val="21"/>
              </w:rPr>
              <w:t>包号</w:t>
            </w:r>
          </w:p>
        </w:tc>
        <w:tc>
          <w:tcPr>
            <w:tcW w:w="2663" w:type="dxa"/>
            <w:vAlign w:val="center"/>
          </w:tcPr>
          <w:p w14:paraId="0DBCFB05">
            <w:pPr>
              <w:spacing w:line="360" w:lineRule="auto"/>
              <w:ind w:firstLine="0" w:firstLineChars="0"/>
              <w:jc w:val="center"/>
              <w:rPr>
                <w:rFonts w:ascii="宋体" w:hAnsi="宋体" w:eastAsia="宋体" w:cs="宋体"/>
                <w:szCs w:val="21"/>
              </w:rPr>
            </w:pPr>
            <w:r>
              <w:rPr>
                <w:rFonts w:hint="eastAsia" w:ascii="宋体" w:hAnsi="宋体" w:eastAsia="宋体" w:cs="宋体"/>
                <w:szCs w:val="21"/>
              </w:rPr>
              <w:t>包名称</w:t>
            </w:r>
          </w:p>
        </w:tc>
        <w:tc>
          <w:tcPr>
            <w:tcW w:w="1340" w:type="dxa"/>
            <w:vAlign w:val="center"/>
          </w:tcPr>
          <w:p w14:paraId="284A5F97">
            <w:pPr>
              <w:spacing w:line="360" w:lineRule="auto"/>
              <w:ind w:firstLine="0" w:firstLineChars="0"/>
              <w:jc w:val="center"/>
              <w:rPr>
                <w:rFonts w:ascii="宋体" w:hAnsi="宋体" w:eastAsia="宋体" w:cs="宋体"/>
                <w:szCs w:val="21"/>
              </w:rPr>
            </w:pPr>
            <w:r>
              <w:rPr>
                <w:rFonts w:hint="eastAsia" w:ascii="宋体" w:hAnsi="宋体" w:eastAsia="宋体" w:cs="宋体"/>
                <w:szCs w:val="21"/>
              </w:rPr>
              <w:t>包预算（元）</w:t>
            </w:r>
          </w:p>
        </w:tc>
        <w:tc>
          <w:tcPr>
            <w:tcW w:w="1350" w:type="dxa"/>
            <w:vAlign w:val="center"/>
          </w:tcPr>
          <w:p w14:paraId="70B1206E">
            <w:pPr>
              <w:spacing w:line="360" w:lineRule="auto"/>
              <w:ind w:firstLine="0" w:firstLineChars="0"/>
              <w:jc w:val="center"/>
              <w:rPr>
                <w:rFonts w:ascii="宋体" w:hAnsi="宋体" w:eastAsia="宋体" w:cs="宋体"/>
                <w:szCs w:val="21"/>
              </w:rPr>
            </w:pPr>
            <w:r>
              <w:rPr>
                <w:rFonts w:hint="eastAsia" w:ascii="宋体" w:hAnsi="宋体" w:eastAsia="宋体" w:cs="宋体"/>
                <w:szCs w:val="21"/>
              </w:rPr>
              <w:t>包最高限价（元）</w:t>
            </w:r>
          </w:p>
        </w:tc>
        <w:tc>
          <w:tcPr>
            <w:tcW w:w="1450" w:type="dxa"/>
            <w:vAlign w:val="center"/>
          </w:tcPr>
          <w:p w14:paraId="7CC9A3A5">
            <w:pPr>
              <w:spacing w:line="360" w:lineRule="auto"/>
              <w:ind w:firstLine="0" w:firstLineChars="0"/>
              <w:jc w:val="center"/>
              <w:rPr>
                <w:rFonts w:ascii="宋体" w:hAnsi="宋体" w:eastAsia="宋体" w:cs="宋体"/>
                <w:szCs w:val="21"/>
              </w:rPr>
            </w:pPr>
            <w:r>
              <w:rPr>
                <w:rFonts w:hint="eastAsia" w:ascii="宋体" w:hAnsi="宋体" w:eastAsia="宋体" w:cs="宋体"/>
                <w:szCs w:val="21"/>
              </w:rPr>
              <w:t>是否专门面向中小企业</w:t>
            </w:r>
          </w:p>
        </w:tc>
        <w:tc>
          <w:tcPr>
            <w:tcW w:w="1226" w:type="dxa"/>
            <w:vAlign w:val="center"/>
          </w:tcPr>
          <w:p w14:paraId="6DEEB9EF">
            <w:pPr>
              <w:spacing w:line="360" w:lineRule="auto"/>
              <w:ind w:firstLine="0" w:firstLineChars="0"/>
              <w:jc w:val="center"/>
              <w:rPr>
                <w:rFonts w:ascii="宋体" w:hAnsi="宋体" w:eastAsia="宋体" w:cs="宋体"/>
                <w:szCs w:val="21"/>
              </w:rPr>
            </w:pPr>
            <w:r>
              <w:rPr>
                <w:rFonts w:hint="eastAsia" w:ascii="宋体" w:hAnsi="宋体" w:eastAsia="宋体" w:cs="宋体"/>
                <w:szCs w:val="21"/>
              </w:rPr>
              <w:t>采购预留金额（元）</w:t>
            </w:r>
          </w:p>
        </w:tc>
      </w:tr>
      <w:tr w14:paraId="55A9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453" w:type="dxa"/>
            <w:vAlign w:val="center"/>
          </w:tcPr>
          <w:p w14:paraId="0888EC47">
            <w:pPr>
              <w:spacing w:line="360" w:lineRule="auto"/>
              <w:ind w:firstLine="0" w:firstLineChars="0"/>
              <w:jc w:val="center"/>
              <w:rPr>
                <w:rFonts w:ascii="宋体" w:hAnsi="宋体" w:eastAsia="宋体" w:cs="宋体"/>
                <w:szCs w:val="21"/>
              </w:rPr>
            </w:pPr>
            <w:r>
              <w:rPr>
                <w:rFonts w:hint="eastAsia" w:ascii="宋体" w:hAnsi="宋体" w:eastAsia="宋体" w:cs="宋体"/>
                <w:szCs w:val="21"/>
              </w:rPr>
              <w:t>1</w:t>
            </w:r>
          </w:p>
        </w:tc>
        <w:tc>
          <w:tcPr>
            <w:tcW w:w="1562" w:type="dxa"/>
            <w:vAlign w:val="center"/>
          </w:tcPr>
          <w:p w14:paraId="7349872F">
            <w:pPr>
              <w:spacing w:line="360" w:lineRule="auto"/>
              <w:ind w:firstLine="0" w:firstLineChars="0"/>
              <w:jc w:val="center"/>
              <w:rPr>
                <w:rFonts w:hint="default" w:ascii="宋体" w:hAnsi="宋体" w:eastAsia="宋体" w:cs="宋体"/>
                <w:color w:val="FF0000"/>
                <w:szCs w:val="21"/>
                <w:lang w:val="en-US"/>
              </w:rPr>
            </w:pPr>
            <w:r>
              <w:rPr>
                <w:rFonts w:hint="eastAsia" w:ascii="宋体" w:hAnsi="宋体" w:eastAsia="宋体" w:cs="宋体"/>
                <w:szCs w:val="21"/>
              </w:rPr>
              <w:t>信平财公开招标-2025-</w:t>
            </w:r>
            <w:r>
              <w:rPr>
                <w:rFonts w:hint="default" w:ascii="宋体" w:hAnsi="宋体" w:eastAsia="宋体" w:cs="宋体"/>
                <w:szCs w:val="21"/>
                <w:lang w:val="en-US"/>
              </w:rPr>
              <w:t>26</w:t>
            </w:r>
          </w:p>
        </w:tc>
        <w:tc>
          <w:tcPr>
            <w:tcW w:w="2663" w:type="dxa"/>
            <w:vAlign w:val="center"/>
          </w:tcPr>
          <w:p w14:paraId="016A7A22">
            <w:pPr>
              <w:spacing w:line="360" w:lineRule="auto"/>
              <w:ind w:firstLine="0" w:firstLineChars="0"/>
              <w:jc w:val="center"/>
              <w:rPr>
                <w:rFonts w:ascii="宋体" w:hAnsi="宋体" w:eastAsia="宋体" w:cs="宋体"/>
                <w:szCs w:val="21"/>
              </w:rPr>
            </w:pPr>
            <w:r>
              <w:rPr>
                <w:rFonts w:hint="eastAsia" w:ascii="宋体" w:hAnsi="宋体" w:eastAsia="宋体" w:cs="宋体"/>
                <w:szCs w:val="21"/>
              </w:rPr>
              <w:t>信阳市第六职业高级中学舞蹈、美术、音乐教室升级优化项目</w:t>
            </w:r>
          </w:p>
        </w:tc>
        <w:tc>
          <w:tcPr>
            <w:tcW w:w="1340" w:type="dxa"/>
            <w:vAlign w:val="center"/>
          </w:tcPr>
          <w:p w14:paraId="475516BF">
            <w:pPr>
              <w:spacing w:line="360" w:lineRule="auto"/>
              <w:ind w:firstLine="0" w:firstLineChars="0"/>
              <w:jc w:val="center"/>
              <w:rPr>
                <w:rFonts w:ascii="宋体" w:hAnsi="宋体" w:eastAsia="宋体" w:cs="宋体"/>
                <w:szCs w:val="21"/>
              </w:rPr>
            </w:pPr>
            <w:r>
              <w:rPr>
                <w:rFonts w:hint="eastAsia" w:ascii="宋体" w:hAnsi="宋体" w:cs="宋体"/>
                <w:szCs w:val="21"/>
              </w:rPr>
              <w:t>2880385.88</w:t>
            </w:r>
          </w:p>
        </w:tc>
        <w:tc>
          <w:tcPr>
            <w:tcW w:w="1350" w:type="dxa"/>
            <w:vAlign w:val="center"/>
          </w:tcPr>
          <w:p w14:paraId="1334EB0A">
            <w:pPr>
              <w:spacing w:line="360" w:lineRule="auto"/>
              <w:ind w:firstLine="0" w:firstLineChars="0"/>
              <w:jc w:val="center"/>
              <w:rPr>
                <w:rFonts w:ascii="宋体" w:hAnsi="宋体" w:eastAsia="宋体" w:cs="宋体"/>
                <w:szCs w:val="21"/>
              </w:rPr>
            </w:pPr>
            <w:r>
              <w:rPr>
                <w:rFonts w:hint="eastAsia" w:ascii="宋体" w:hAnsi="宋体" w:cs="宋体"/>
                <w:szCs w:val="21"/>
              </w:rPr>
              <w:t>2880385.88</w:t>
            </w:r>
          </w:p>
        </w:tc>
        <w:tc>
          <w:tcPr>
            <w:tcW w:w="1450" w:type="dxa"/>
            <w:vAlign w:val="center"/>
          </w:tcPr>
          <w:p w14:paraId="6FA0FFE6">
            <w:pPr>
              <w:spacing w:line="360" w:lineRule="auto"/>
              <w:ind w:firstLine="0" w:firstLineChars="0"/>
              <w:jc w:val="center"/>
              <w:rPr>
                <w:rFonts w:ascii="宋体" w:hAnsi="宋体" w:eastAsia="宋体" w:cs="宋体"/>
                <w:szCs w:val="21"/>
              </w:rPr>
            </w:pPr>
            <w:r>
              <w:rPr>
                <w:rFonts w:hint="eastAsia" w:ascii="宋体" w:hAnsi="宋体" w:eastAsia="宋体" w:cs="宋体"/>
                <w:szCs w:val="21"/>
              </w:rPr>
              <w:t>否</w:t>
            </w:r>
          </w:p>
        </w:tc>
        <w:tc>
          <w:tcPr>
            <w:tcW w:w="1226" w:type="dxa"/>
            <w:vAlign w:val="center"/>
          </w:tcPr>
          <w:p w14:paraId="2F19C3D3">
            <w:pPr>
              <w:spacing w:line="360" w:lineRule="auto"/>
              <w:ind w:firstLine="0" w:firstLineChars="0"/>
              <w:jc w:val="center"/>
              <w:rPr>
                <w:rFonts w:ascii="宋体" w:hAnsi="宋体" w:eastAsia="宋体" w:cs="宋体"/>
                <w:szCs w:val="21"/>
              </w:rPr>
            </w:pPr>
            <w:r>
              <w:rPr>
                <w:rFonts w:hint="eastAsia" w:ascii="宋体" w:hAnsi="宋体" w:eastAsia="宋体" w:cs="宋体"/>
                <w:szCs w:val="21"/>
              </w:rPr>
              <w:t>0</w:t>
            </w:r>
          </w:p>
        </w:tc>
      </w:tr>
      <w:bookmarkEnd w:id="6"/>
    </w:tbl>
    <w:p w14:paraId="0273CF7C">
      <w:pPr>
        <w:adjustRightInd w:val="0"/>
        <w:snapToGrid w:val="0"/>
        <w:spacing w:line="360" w:lineRule="auto"/>
        <w:ind w:firstLine="420"/>
        <w:rPr>
          <w:rFonts w:ascii="宋体" w:hAnsi="宋体" w:cs="宋体"/>
          <w:szCs w:val="21"/>
        </w:rPr>
      </w:pPr>
      <w:r>
        <w:rPr>
          <w:rFonts w:hint="eastAsia" w:ascii="宋体" w:hAnsi="宋体" w:cs="宋体"/>
          <w:szCs w:val="21"/>
        </w:rPr>
        <w:t>5、采购需求（包括但不限于标的的名称、数量、简要技术需求或服务要求等）：</w:t>
      </w:r>
    </w:p>
    <w:p w14:paraId="10000CE3">
      <w:pPr>
        <w:adjustRightInd w:val="0"/>
        <w:snapToGrid w:val="0"/>
        <w:spacing w:line="360" w:lineRule="auto"/>
        <w:ind w:firstLine="420"/>
        <w:rPr>
          <w:rFonts w:ascii="宋体" w:hAnsi="宋体" w:cs="宋体"/>
          <w:szCs w:val="21"/>
        </w:rPr>
      </w:pPr>
      <w:r>
        <w:rPr>
          <w:rFonts w:hint="eastAsia" w:ascii="宋体" w:hAnsi="宋体" w:cs="宋体"/>
          <w:szCs w:val="21"/>
        </w:rPr>
        <w:t>5.1采购内容：信阳市第六职业高级中学舞蹈、美术、音乐教室升级优化，包含货物的供应、运输、安装、调试、售后等相关服务（详见招标文件）</w:t>
      </w:r>
    </w:p>
    <w:p w14:paraId="09376F02">
      <w:pPr>
        <w:adjustRightInd w:val="0"/>
        <w:snapToGrid w:val="0"/>
        <w:spacing w:line="360" w:lineRule="auto"/>
        <w:ind w:firstLine="420"/>
        <w:rPr>
          <w:rFonts w:ascii="宋体" w:hAnsi="宋体" w:cs="宋体"/>
          <w:szCs w:val="21"/>
        </w:rPr>
      </w:pPr>
      <w:r>
        <w:rPr>
          <w:rFonts w:hint="eastAsia" w:ascii="宋体" w:hAnsi="宋体" w:cs="宋体"/>
          <w:szCs w:val="21"/>
        </w:rPr>
        <w:t>5.2交货期：合同签订后90日历天内完成运输、安装并调试完毕。</w:t>
      </w:r>
    </w:p>
    <w:p w14:paraId="6FC4A0C2">
      <w:pPr>
        <w:adjustRightInd w:val="0"/>
        <w:snapToGrid w:val="0"/>
        <w:spacing w:line="360" w:lineRule="auto"/>
        <w:ind w:firstLine="420"/>
        <w:rPr>
          <w:rFonts w:ascii="宋体" w:hAnsi="宋体" w:cs="宋体"/>
          <w:szCs w:val="21"/>
        </w:rPr>
      </w:pPr>
      <w:r>
        <w:rPr>
          <w:rFonts w:hint="eastAsia" w:ascii="宋体" w:hAnsi="宋体" w:cs="宋体"/>
          <w:szCs w:val="21"/>
        </w:rPr>
        <w:t>5.3质量要求：符合国家现行相关标准和规范要求，达到合格标准。</w:t>
      </w:r>
    </w:p>
    <w:p w14:paraId="659E0BCC">
      <w:pPr>
        <w:adjustRightInd w:val="0"/>
        <w:snapToGrid w:val="0"/>
        <w:spacing w:line="360" w:lineRule="auto"/>
        <w:ind w:firstLine="420"/>
        <w:rPr>
          <w:rFonts w:ascii="宋体" w:hAnsi="宋体" w:cs="宋体"/>
          <w:szCs w:val="21"/>
        </w:rPr>
      </w:pPr>
      <w:r>
        <w:rPr>
          <w:rFonts w:hint="eastAsia" w:ascii="宋体" w:hAnsi="宋体" w:cs="宋体"/>
          <w:szCs w:val="21"/>
        </w:rPr>
        <w:t>5.4 质保期：1年。</w:t>
      </w:r>
    </w:p>
    <w:p w14:paraId="5FEF6064">
      <w:pPr>
        <w:adjustRightInd w:val="0"/>
        <w:snapToGrid w:val="0"/>
        <w:spacing w:line="360" w:lineRule="auto"/>
        <w:ind w:firstLine="420"/>
        <w:rPr>
          <w:rFonts w:ascii="宋体" w:hAnsi="宋体" w:cs="宋体"/>
          <w:szCs w:val="21"/>
        </w:rPr>
      </w:pPr>
      <w:r>
        <w:rPr>
          <w:rFonts w:hint="eastAsia" w:ascii="宋体" w:hAnsi="宋体" w:cs="宋体"/>
          <w:szCs w:val="21"/>
        </w:rPr>
        <w:t>6、合同履行期限：合同签订后90日历天内完成运输、安装并调试完；</w:t>
      </w:r>
    </w:p>
    <w:p w14:paraId="465AF6DA">
      <w:pPr>
        <w:adjustRightInd w:val="0"/>
        <w:snapToGrid w:val="0"/>
        <w:spacing w:line="360" w:lineRule="auto"/>
        <w:ind w:firstLine="420"/>
        <w:rPr>
          <w:rFonts w:ascii="宋体" w:hAnsi="宋体" w:cs="宋体"/>
          <w:szCs w:val="21"/>
        </w:rPr>
      </w:pPr>
      <w:r>
        <w:rPr>
          <w:rFonts w:hint="eastAsia" w:ascii="宋体" w:hAnsi="宋体" w:cs="宋体"/>
          <w:szCs w:val="21"/>
        </w:rPr>
        <w:t>7、本项目是否接受联合体投标：否；</w:t>
      </w:r>
    </w:p>
    <w:p w14:paraId="72AE6535">
      <w:pPr>
        <w:adjustRightInd w:val="0"/>
        <w:snapToGrid w:val="0"/>
        <w:spacing w:line="360" w:lineRule="auto"/>
        <w:ind w:firstLine="420"/>
        <w:rPr>
          <w:rFonts w:ascii="宋体" w:hAnsi="宋体" w:cs="宋体"/>
          <w:szCs w:val="21"/>
        </w:rPr>
      </w:pPr>
      <w:r>
        <w:rPr>
          <w:rFonts w:hint="eastAsia" w:ascii="宋体" w:hAnsi="宋体" w:cs="宋体"/>
          <w:szCs w:val="21"/>
        </w:rPr>
        <w:t>8、是否接受进口产品：否；</w:t>
      </w:r>
    </w:p>
    <w:p w14:paraId="7A6015FD">
      <w:pPr>
        <w:adjustRightInd w:val="0"/>
        <w:snapToGrid w:val="0"/>
        <w:spacing w:line="360" w:lineRule="auto"/>
        <w:ind w:firstLine="420"/>
        <w:rPr>
          <w:rFonts w:ascii="宋体" w:hAnsi="宋体" w:cs="宋体"/>
          <w:szCs w:val="21"/>
        </w:rPr>
      </w:pPr>
      <w:r>
        <w:rPr>
          <w:rFonts w:hint="eastAsia" w:ascii="宋体" w:hAnsi="宋体" w:cs="宋体"/>
          <w:szCs w:val="21"/>
        </w:rPr>
        <w:t>9、是否专门面向中小企业：否；</w:t>
      </w:r>
    </w:p>
    <w:p w14:paraId="6FACBAF5">
      <w:pPr>
        <w:adjustRightInd w:val="0"/>
        <w:snapToGrid w:val="0"/>
        <w:spacing w:line="360" w:lineRule="auto"/>
        <w:ind w:firstLine="422"/>
        <w:rPr>
          <w:rFonts w:ascii="宋体" w:hAnsi="宋体" w:cs="宋体"/>
          <w:b/>
          <w:bCs/>
          <w:szCs w:val="21"/>
        </w:rPr>
      </w:pPr>
      <w:r>
        <w:rPr>
          <w:rFonts w:hint="eastAsia" w:ascii="宋体" w:hAnsi="宋体" w:cs="宋体"/>
          <w:b/>
          <w:bCs/>
          <w:szCs w:val="21"/>
        </w:rPr>
        <w:t>二、申请人资格要求</w:t>
      </w:r>
    </w:p>
    <w:p w14:paraId="3CFF5499">
      <w:pPr>
        <w:adjustRightInd w:val="0"/>
        <w:snapToGrid w:val="0"/>
        <w:spacing w:line="360" w:lineRule="auto"/>
        <w:ind w:firstLine="420"/>
        <w:rPr>
          <w:rFonts w:ascii="宋体" w:hAnsi="宋体" w:cs="宋体"/>
          <w:szCs w:val="21"/>
        </w:rPr>
      </w:pPr>
      <w:r>
        <w:rPr>
          <w:rFonts w:hint="eastAsia" w:ascii="宋体" w:hAnsi="宋体" w:cs="宋体"/>
          <w:szCs w:val="21"/>
        </w:rPr>
        <w:t>1、满足《中华人民共和国政府采购法》第二十二条规定。</w:t>
      </w:r>
    </w:p>
    <w:p w14:paraId="7554D5D1">
      <w:pPr>
        <w:adjustRightInd w:val="0"/>
        <w:snapToGrid w:val="0"/>
        <w:spacing w:line="360" w:lineRule="auto"/>
        <w:ind w:firstLine="422"/>
        <w:rPr>
          <w:rFonts w:ascii="宋体" w:hAnsi="宋体" w:cs="宋体"/>
          <w:b/>
          <w:bCs/>
          <w:szCs w:val="21"/>
        </w:rPr>
      </w:pPr>
      <w:r>
        <w:rPr>
          <w:rFonts w:hint="eastAsia" w:ascii="宋体" w:hAnsi="宋体" w:cs="宋体"/>
          <w:b/>
          <w:bCs/>
          <w:szCs w:val="21"/>
        </w:rPr>
        <w:t>2、落实政府采购政策满足的资格要求：本项目非专门面向中小企业采购【该项目符合《政府采购促进中小企业发展管理办法》（财库【2020】46号）第六条第3款之规定：按照本办法规定预留采购份额无法确保充分供应、充分竞争，或者存在可能影响政府采购目标实现的情形】；本项目执行优先采购节能环保、环境标志性产品、优先采购自主创新产品，扶持不发达地区和少数民族地区，促进中小微企业、监狱企业、残疾人福利性企业发展等政府采购政策。</w:t>
      </w:r>
    </w:p>
    <w:p w14:paraId="25EFB053">
      <w:pPr>
        <w:adjustRightInd w:val="0"/>
        <w:snapToGrid w:val="0"/>
        <w:spacing w:line="360" w:lineRule="auto"/>
        <w:ind w:firstLine="420"/>
        <w:rPr>
          <w:rFonts w:ascii="宋体" w:hAnsi="宋体" w:cs="宋体"/>
          <w:szCs w:val="21"/>
        </w:rPr>
      </w:pPr>
      <w:r>
        <w:rPr>
          <w:rFonts w:hint="eastAsia" w:ascii="宋体" w:hAnsi="宋体" w:cs="宋体"/>
          <w:szCs w:val="21"/>
        </w:rPr>
        <w:t>3.本项目的特定资格要求：根据财政部《关于在政府采购活动中查询及使用信用记录有关问题的通知》(财库[2016]125号)和豫财购[2016]15号的规定，对列入失信被执行人、重大税收违法失信主体、政府采购严重违法失信行为记录名单的供应商，视为无效投标。查询渠道：“信用中国”网站、中国政府采购网，查询截止时点为：从公告发布之日起至投标截止之日止。提供“信用中国”网站的列入失信被执行人、重大税收违法失信主体网站截图和“中国政府采购网”网站的政府采购严重违法失信行为记录名单网站截图。</w:t>
      </w:r>
    </w:p>
    <w:p w14:paraId="59EAE39B">
      <w:pPr>
        <w:adjustRightInd w:val="0"/>
        <w:snapToGrid w:val="0"/>
        <w:spacing w:line="360" w:lineRule="auto"/>
        <w:ind w:firstLine="420"/>
        <w:rPr>
          <w:rFonts w:ascii="宋体" w:hAnsi="宋体" w:cs="宋体"/>
          <w:szCs w:val="21"/>
        </w:rPr>
      </w:pPr>
      <w:r>
        <w:rPr>
          <w:rFonts w:hint="eastAsia" w:ascii="宋体" w:hAnsi="宋体" w:cs="宋体"/>
          <w:szCs w:val="21"/>
        </w:rPr>
        <w:t>4.其他要求：</w:t>
      </w:r>
    </w:p>
    <w:p w14:paraId="6275BB54">
      <w:pPr>
        <w:adjustRightInd w:val="0"/>
        <w:snapToGrid w:val="0"/>
        <w:spacing w:line="360" w:lineRule="auto"/>
        <w:ind w:firstLine="420"/>
        <w:rPr>
          <w:rFonts w:ascii="宋体" w:hAnsi="宋体" w:cs="宋体"/>
          <w:szCs w:val="21"/>
        </w:rPr>
      </w:pPr>
      <w:r>
        <w:rPr>
          <w:rFonts w:hint="eastAsia" w:ascii="宋体" w:hAnsi="宋体" w:cs="宋体"/>
          <w:szCs w:val="21"/>
        </w:rPr>
        <w:t>4.1单位负责人为同一人或者存在直接控股、管理关系的不同单位，不得同时参加同一合同项下的政府采购活动。</w:t>
      </w:r>
    </w:p>
    <w:p w14:paraId="12DB48BC">
      <w:pPr>
        <w:adjustRightInd w:val="0"/>
        <w:snapToGrid w:val="0"/>
        <w:spacing w:line="360" w:lineRule="auto"/>
        <w:ind w:firstLine="420"/>
        <w:rPr>
          <w:rFonts w:ascii="宋体" w:hAnsi="宋体" w:cs="宋体"/>
          <w:szCs w:val="21"/>
        </w:rPr>
      </w:pPr>
      <w:r>
        <w:rPr>
          <w:rFonts w:hint="eastAsia" w:ascii="宋体" w:hAnsi="宋体" w:cs="宋体"/>
          <w:szCs w:val="21"/>
        </w:rPr>
        <w:t>4.2本项目适用信用承诺（详见下述要求）。</w:t>
      </w:r>
    </w:p>
    <w:p w14:paraId="35885D6D">
      <w:pPr>
        <w:adjustRightInd w:val="0"/>
        <w:snapToGrid w:val="0"/>
        <w:spacing w:line="360" w:lineRule="auto"/>
        <w:ind w:firstLine="420"/>
        <w:rPr>
          <w:rFonts w:ascii="宋体" w:hAnsi="宋体" w:cs="宋体"/>
          <w:szCs w:val="21"/>
        </w:rPr>
      </w:pPr>
      <w:r>
        <w:rPr>
          <w:rFonts w:hint="eastAsia" w:ascii="宋体" w:hAnsi="宋体" w:cs="宋体"/>
          <w:szCs w:val="21"/>
        </w:rPr>
        <w:t>（一）在本项目政府采购活动中，供应商在投标（响应）时，可对照资格要求进行自主核对，确定符合资格要求的，可按照规定提供相关承诺函（详见响应文件中附件），供应商只需在资格审查环节提供满足相应条件的书面承诺书，不再需要提供以下证明材料：</w:t>
      </w:r>
    </w:p>
    <w:p w14:paraId="6533C378">
      <w:pPr>
        <w:adjustRightInd w:val="0"/>
        <w:snapToGrid w:val="0"/>
        <w:spacing w:line="360" w:lineRule="auto"/>
        <w:ind w:firstLine="420"/>
        <w:rPr>
          <w:rFonts w:ascii="宋体" w:hAnsi="宋体" w:cs="宋体"/>
          <w:szCs w:val="21"/>
        </w:rPr>
      </w:pPr>
      <w:r>
        <w:rPr>
          <w:rFonts w:hint="eastAsia" w:ascii="宋体" w:hAnsi="宋体" w:cs="宋体"/>
          <w:szCs w:val="21"/>
        </w:rPr>
        <w:t>（1）具有独立承担民事责任的能力，提供有效的营业执照</w:t>
      </w:r>
      <w:r>
        <w:rPr>
          <w:rFonts w:hint="eastAsia" w:ascii="宋体" w:hAnsi="宋体" w:cs="宋体"/>
          <w:szCs w:val="21"/>
          <w:lang w:eastAsia="zh-CN"/>
        </w:rPr>
        <w:t>或其他证明材料</w:t>
      </w:r>
      <w:r>
        <w:rPr>
          <w:rFonts w:hint="eastAsia" w:ascii="宋体" w:hAnsi="宋体" w:cs="宋体"/>
          <w:szCs w:val="21"/>
        </w:rPr>
        <w:t>；</w:t>
      </w:r>
    </w:p>
    <w:p w14:paraId="183E8B04">
      <w:pPr>
        <w:adjustRightInd w:val="0"/>
        <w:snapToGrid w:val="0"/>
        <w:spacing w:line="360" w:lineRule="auto"/>
        <w:ind w:firstLine="420"/>
        <w:rPr>
          <w:rFonts w:ascii="宋体" w:hAnsi="宋体" w:cs="宋体"/>
          <w:szCs w:val="21"/>
        </w:rPr>
      </w:pPr>
      <w:r>
        <w:rPr>
          <w:rFonts w:hint="eastAsia" w:ascii="宋体" w:hAnsi="宋体" w:cs="宋体"/>
          <w:szCs w:val="21"/>
        </w:rPr>
        <w:t>（2）具有良好的商业信誉和健全的财务会计制度（提供2024年度财务审计报告，若企业成立年份不足，则需提供开户行出具的资信证明）；</w:t>
      </w:r>
    </w:p>
    <w:p w14:paraId="66F7FD37">
      <w:pPr>
        <w:adjustRightInd w:val="0"/>
        <w:snapToGrid w:val="0"/>
        <w:spacing w:line="360" w:lineRule="auto"/>
        <w:ind w:firstLine="420"/>
        <w:rPr>
          <w:rFonts w:hint="eastAsia" w:ascii="宋体" w:hAnsi="宋体" w:cs="宋体"/>
          <w:szCs w:val="21"/>
        </w:rPr>
      </w:pPr>
      <w:r>
        <w:rPr>
          <w:rFonts w:hint="eastAsia" w:ascii="宋体" w:hAnsi="宋体" w:cs="宋体"/>
          <w:szCs w:val="21"/>
        </w:rPr>
        <w:t>（3）具有履行合同所必需的设备和专业技术能力（提供承诺书，格式自拟。）；</w:t>
      </w:r>
    </w:p>
    <w:p w14:paraId="37E41F1F">
      <w:pPr>
        <w:adjustRightInd w:val="0"/>
        <w:snapToGrid w:val="0"/>
        <w:spacing w:line="360" w:lineRule="auto"/>
        <w:ind w:firstLine="420"/>
        <w:rPr>
          <w:rFonts w:hint="eastAsia" w:ascii="宋体" w:hAnsi="宋体" w:cs="宋体"/>
          <w:szCs w:val="21"/>
        </w:rPr>
      </w:pPr>
      <w:r>
        <w:rPr>
          <w:rFonts w:hint="eastAsia" w:ascii="宋体" w:hAnsi="宋体" w:cs="宋体"/>
          <w:szCs w:val="21"/>
        </w:rPr>
        <w:t>（4）有依法缴纳税收和社会保障资金的良好记录（提供近2025年1月以来任意3个月的已依法缴纳税收和社会保障资金的凭据，依法免税或不需要缴纳社会保障资金的供应商，应提供相应证明文件，新成立公司按实际月份提供）；</w:t>
      </w:r>
    </w:p>
    <w:p w14:paraId="0DBBF4EA">
      <w:pPr>
        <w:adjustRightInd w:val="0"/>
        <w:snapToGrid w:val="0"/>
        <w:spacing w:line="360" w:lineRule="auto"/>
        <w:ind w:firstLine="420"/>
        <w:rPr>
          <w:rFonts w:hint="eastAsia" w:ascii="宋体" w:hAnsi="宋体" w:cs="宋体"/>
          <w:szCs w:val="21"/>
        </w:rPr>
      </w:pPr>
      <w:r>
        <w:rPr>
          <w:rFonts w:hint="eastAsia" w:ascii="宋体" w:hAnsi="宋体" w:cs="宋体"/>
          <w:szCs w:val="21"/>
        </w:rPr>
        <w:t>（5）供应商应出具参加政府采购活动前三年内，在经营活动中没有重大违法记录的书面声明（格式自拟，并加盖本单位公章）；</w:t>
      </w:r>
    </w:p>
    <w:p w14:paraId="53D18A9D">
      <w:pPr>
        <w:adjustRightInd w:val="0"/>
        <w:snapToGrid w:val="0"/>
        <w:spacing w:line="360" w:lineRule="auto"/>
        <w:ind w:firstLine="420"/>
        <w:rPr>
          <w:rFonts w:hint="eastAsia" w:ascii="宋体" w:hAnsi="宋体" w:cs="宋体"/>
          <w:szCs w:val="21"/>
        </w:rPr>
      </w:pPr>
      <w:r>
        <w:rPr>
          <w:rFonts w:hint="eastAsia" w:ascii="宋体" w:hAnsi="宋体" w:cs="宋体"/>
          <w:szCs w:val="21"/>
        </w:rPr>
        <w:t>（6）法律、行政法规规定的其他条件。</w:t>
      </w:r>
    </w:p>
    <w:p w14:paraId="5A3DEF6E">
      <w:pPr>
        <w:adjustRightInd w:val="0"/>
        <w:snapToGrid w:val="0"/>
        <w:spacing w:line="360" w:lineRule="auto"/>
        <w:ind w:firstLine="420"/>
        <w:rPr>
          <w:rFonts w:hint="eastAsia" w:ascii="宋体" w:hAnsi="宋体" w:cs="宋体"/>
          <w:szCs w:val="21"/>
        </w:rPr>
      </w:pPr>
      <w:r>
        <w:rPr>
          <w:rFonts w:hint="eastAsia" w:ascii="宋体" w:hAnsi="宋体" w:cs="宋体"/>
          <w:szCs w:val="21"/>
          <w:lang w:val="en-US" w:eastAsia="zh-CN"/>
        </w:rPr>
        <w:t>（二）供应商在中标（成交）后，应将上述由信用承诺函替代的证明材料提交采购人（采购代理机构）核验，经核验无误后，由采购人发出中标（成交）通知书。</w:t>
      </w:r>
    </w:p>
    <w:p w14:paraId="057CB079">
      <w:pPr>
        <w:adjustRightInd w:val="0"/>
        <w:snapToGrid w:val="0"/>
        <w:spacing w:line="360" w:lineRule="auto"/>
        <w:ind w:firstLine="422"/>
        <w:rPr>
          <w:rFonts w:ascii="宋体" w:hAnsi="宋体" w:cs="宋体"/>
          <w:b/>
          <w:bCs/>
          <w:szCs w:val="21"/>
        </w:rPr>
      </w:pPr>
      <w:r>
        <w:rPr>
          <w:rFonts w:hint="eastAsia" w:ascii="宋体" w:hAnsi="宋体" w:cs="宋体"/>
          <w:b/>
          <w:bCs/>
          <w:szCs w:val="21"/>
        </w:rPr>
        <w:t>三、获取招标文件</w:t>
      </w:r>
    </w:p>
    <w:p w14:paraId="1D2E6784">
      <w:pPr>
        <w:adjustRightInd w:val="0"/>
        <w:snapToGrid w:val="0"/>
        <w:spacing w:line="360" w:lineRule="auto"/>
        <w:ind w:firstLine="420"/>
        <w:rPr>
          <w:rFonts w:ascii="宋体" w:hAnsi="宋体" w:cs="宋体"/>
          <w:szCs w:val="21"/>
        </w:rPr>
      </w:pPr>
      <w:r>
        <w:rPr>
          <w:rFonts w:hint="eastAsia" w:ascii="宋体" w:hAnsi="宋体" w:cs="宋体"/>
          <w:szCs w:val="21"/>
        </w:rPr>
        <w:t>1、时间：2025年</w:t>
      </w:r>
      <w:r>
        <w:rPr>
          <w:rFonts w:hint="default" w:ascii="宋体" w:hAnsi="宋体" w:cs="宋体"/>
          <w:szCs w:val="21"/>
          <w:lang w:val="en-US"/>
        </w:rPr>
        <w:t>8</w:t>
      </w:r>
      <w:r>
        <w:rPr>
          <w:rFonts w:hint="eastAsia" w:ascii="宋体" w:hAnsi="宋体" w:cs="宋体"/>
          <w:szCs w:val="21"/>
        </w:rPr>
        <w:t>月</w:t>
      </w:r>
      <w:r>
        <w:rPr>
          <w:rFonts w:hint="default" w:ascii="宋体" w:hAnsi="宋体" w:cs="宋体"/>
          <w:szCs w:val="21"/>
          <w:lang w:val="en-US"/>
        </w:rPr>
        <w:t>4</w:t>
      </w:r>
      <w:r>
        <w:rPr>
          <w:rFonts w:hint="eastAsia" w:ascii="宋体" w:hAnsi="宋体" w:cs="宋体"/>
          <w:szCs w:val="21"/>
        </w:rPr>
        <w:t>日00时00分至2025年</w:t>
      </w:r>
      <w:r>
        <w:rPr>
          <w:rFonts w:hint="default" w:ascii="宋体" w:hAnsi="宋体" w:cs="宋体"/>
          <w:szCs w:val="21"/>
          <w:lang w:val="en-US"/>
        </w:rPr>
        <w:t>8</w:t>
      </w:r>
      <w:r>
        <w:rPr>
          <w:rFonts w:hint="eastAsia" w:ascii="宋体" w:hAnsi="宋体" w:cs="宋体"/>
          <w:szCs w:val="21"/>
        </w:rPr>
        <w:t>月</w:t>
      </w:r>
      <w:r>
        <w:rPr>
          <w:rFonts w:hint="default" w:ascii="宋体" w:hAnsi="宋体" w:cs="宋体"/>
          <w:szCs w:val="21"/>
          <w:lang w:val="en-US"/>
        </w:rPr>
        <w:t>8</w:t>
      </w:r>
      <w:r>
        <w:rPr>
          <w:rFonts w:hint="eastAsia" w:ascii="宋体" w:hAnsi="宋体" w:cs="宋体"/>
          <w:szCs w:val="21"/>
        </w:rPr>
        <w:t>日23时59分（北京时间）；</w:t>
      </w:r>
    </w:p>
    <w:p w14:paraId="1487BA3B">
      <w:pPr>
        <w:adjustRightInd w:val="0"/>
        <w:snapToGrid w:val="0"/>
        <w:spacing w:line="360" w:lineRule="auto"/>
        <w:ind w:firstLine="420"/>
        <w:rPr>
          <w:rFonts w:ascii="宋体" w:hAnsi="宋体" w:cs="宋体"/>
          <w:szCs w:val="21"/>
        </w:rPr>
      </w:pPr>
      <w:r>
        <w:rPr>
          <w:rFonts w:hint="eastAsia" w:ascii="宋体" w:hAnsi="宋体" w:cs="宋体"/>
          <w:szCs w:val="21"/>
        </w:rPr>
        <w:t>2、地点：登录“全国公共资源交易平台（河南省·信阳市）（https://ggzyjy.xinyang.gov.cn/）”网站，凭办理的企业身份认证锁（CA数字证书）登录会员系统进行网上投标；</w:t>
      </w:r>
    </w:p>
    <w:p w14:paraId="59D6A2EF">
      <w:pPr>
        <w:adjustRightInd w:val="0"/>
        <w:snapToGrid w:val="0"/>
        <w:spacing w:line="360" w:lineRule="auto"/>
        <w:ind w:firstLine="420"/>
        <w:rPr>
          <w:rFonts w:ascii="宋体" w:hAnsi="宋体" w:cs="宋体"/>
          <w:szCs w:val="21"/>
        </w:rPr>
      </w:pPr>
      <w:r>
        <w:rPr>
          <w:rFonts w:hint="eastAsia" w:ascii="宋体" w:hAnsi="宋体" w:cs="宋体"/>
          <w:szCs w:val="21"/>
        </w:rPr>
        <w:t>3、方式：详见“七、其他补充事宜”。</w:t>
      </w:r>
    </w:p>
    <w:p w14:paraId="1CB47306">
      <w:pPr>
        <w:adjustRightInd w:val="0"/>
        <w:snapToGrid w:val="0"/>
        <w:spacing w:line="360" w:lineRule="auto"/>
        <w:ind w:firstLine="420"/>
        <w:rPr>
          <w:rFonts w:ascii="宋体" w:hAnsi="宋体" w:cs="宋体"/>
          <w:szCs w:val="21"/>
        </w:rPr>
      </w:pPr>
      <w:r>
        <w:rPr>
          <w:rFonts w:hint="eastAsia" w:ascii="宋体" w:hAnsi="宋体" w:cs="宋体"/>
          <w:szCs w:val="21"/>
        </w:rPr>
        <w:t>4、售价：招标文件售价0元。</w:t>
      </w:r>
    </w:p>
    <w:p w14:paraId="167F35DA">
      <w:pPr>
        <w:adjustRightInd w:val="0"/>
        <w:snapToGrid w:val="0"/>
        <w:spacing w:line="360" w:lineRule="auto"/>
        <w:ind w:firstLine="422"/>
        <w:rPr>
          <w:rFonts w:ascii="宋体" w:hAnsi="宋体" w:cs="宋体"/>
          <w:b/>
          <w:bCs/>
          <w:szCs w:val="21"/>
        </w:rPr>
      </w:pPr>
      <w:r>
        <w:rPr>
          <w:rFonts w:hint="eastAsia" w:ascii="宋体" w:hAnsi="宋体" w:cs="宋体"/>
          <w:b/>
          <w:bCs/>
          <w:szCs w:val="21"/>
        </w:rPr>
        <w:t>四、投标文件提交的截止时间及地点</w:t>
      </w:r>
    </w:p>
    <w:p w14:paraId="1894A6DF">
      <w:pPr>
        <w:adjustRightInd w:val="0"/>
        <w:snapToGrid w:val="0"/>
        <w:spacing w:line="360" w:lineRule="auto"/>
        <w:ind w:firstLine="420"/>
        <w:rPr>
          <w:rFonts w:ascii="宋体" w:hAnsi="宋体" w:cs="宋体"/>
          <w:szCs w:val="21"/>
        </w:rPr>
      </w:pPr>
      <w:r>
        <w:rPr>
          <w:rFonts w:hint="eastAsia" w:ascii="宋体" w:hAnsi="宋体" w:cs="宋体"/>
          <w:szCs w:val="21"/>
        </w:rPr>
        <w:t>1、时间：2025年</w:t>
      </w:r>
      <w:r>
        <w:rPr>
          <w:rFonts w:hint="default" w:ascii="宋体" w:hAnsi="宋体" w:cs="宋体"/>
          <w:szCs w:val="21"/>
          <w:lang w:val="en-US"/>
        </w:rPr>
        <w:t>8</w:t>
      </w:r>
      <w:r>
        <w:rPr>
          <w:rFonts w:hint="eastAsia" w:ascii="宋体" w:hAnsi="宋体" w:cs="宋体"/>
          <w:szCs w:val="21"/>
        </w:rPr>
        <w:t>月</w:t>
      </w:r>
      <w:r>
        <w:rPr>
          <w:rFonts w:hint="default" w:ascii="宋体" w:hAnsi="宋体" w:cs="宋体"/>
          <w:szCs w:val="21"/>
          <w:lang w:val="en-US"/>
        </w:rPr>
        <w:t>25</w:t>
      </w:r>
      <w:r>
        <w:rPr>
          <w:rFonts w:hint="eastAsia" w:ascii="宋体" w:hAnsi="宋体" w:cs="宋体"/>
          <w:szCs w:val="21"/>
        </w:rPr>
        <w:t>日9时30分（北京时间）</w:t>
      </w:r>
    </w:p>
    <w:p w14:paraId="39DAA884">
      <w:pPr>
        <w:adjustRightInd w:val="0"/>
        <w:snapToGrid w:val="0"/>
        <w:spacing w:line="360" w:lineRule="auto"/>
        <w:ind w:firstLine="420"/>
        <w:rPr>
          <w:rFonts w:ascii="宋体" w:hAnsi="宋体" w:cs="宋体"/>
          <w:szCs w:val="21"/>
        </w:rPr>
      </w:pPr>
      <w:r>
        <w:rPr>
          <w:rFonts w:hint="eastAsia" w:ascii="宋体" w:hAnsi="宋体" w:cs="宋体"/>
          <w:szCs w:val="21"/>
        </w:rPr>
        <w:t>2、地点：本项目为不见面开标项目，投标文件递交地点为《信阳市公共资源交易网（https://ggzyjy.xinyang.gov.cn//）》电子招投标平台会员系统指定位置。</w:t>
      </w:r>
    </w:p>
    <w:p w14:paraId="1527A0F9">
      <w:pPr>
        <w:adjustRightInd w:val="0"/>
        <w:snapToGrid w:val="0"/>
        <w:spacing w:line="360" w:lineRule="auto"/>
        <w:ind w:firstLine="420"/>
        <w:rPr>
          <w:rFonts w:ascii="宋体" w:hAnsi="宋体" w:cs="宋体"/>
          <w:szCs w:val="21"/>
        </w:rPr>
      </w:pPr>
      <w:r>
        <w:rPr>
          <w:rFonts w:hint="eastAsia" w:ascii="宋体" w:hAnsi="宋体" w:cs="宋体"/>
          <w:szCs w:val="21"/>
        </w:rPr>
        <w:t>3、加密电子投标文件逾期上传采购人不予受理。</w:t>
      </w:r>
    </w:p>
    <w:p w14:paraId="22130973">
      <w:pPr>
        <w:adjustRightInd w:val="0"/>
        <w:snapToGrid w:val="0"/>
        <w:spacing w:line="360" w:lineRule="auto"/>
        <w:ind w:firstLine="422"/>
        <w:rPr>
          <w:rFonts w:ascii="宋体" w:hAnsi="宋体" w:cs="宋体"/>
          <w:b/>
          <w:bCs/>
          <w:szCs w:val="21"/>
        </w:rPr>
      </w:pPr>
      <w:r>
        <w:rPr>
          <w:rFonts w:hint="eastAsia" w:ascii="宋体" w:hAnsi="宋体" w:cs="宋体"/>
          <w:b/>
          <w:bCs/>
          <w:szCs w:val="21"/>
        </w:rPr>
        <w:t>五、投标文件的开启时间及地点</w:t>
      </w:r>
    </w:p>
    <w:p w14:paraId="048DB296">
      <w:pPr>
        <w:adjustRightInd w:val="0"/>
        <w:snapToGrid w:val="0"/>
        <w:spacing w:line="360" w:lineRule="auto"/>
        <w:ind w:firstLine="420"/>
        <w:rPr>
          <w:rFonts w:ascii="宋体" w:hAnsi="宋体" w:cs="宋体"/>
          <w:szCs w:val="21"/>
        </w:rPr>
      </w:pPr>
      <w:r>
        <w:rPr>
          <w:rFonts w:hint="eastAsia" w:ascii="宋体" w:hAnsi="宋体" w:cs="宋体"/>
          <w:szCs w:val="21"/>
        </w:rPr>
        <w:t>1、时间：2025年</w:t>
      </w:r>
      <w:r>
        <w:rPr>
          <w:rFonts w:hint="default" w:ascii="宋体" w:hAnsi="宋体" w:cs="宋体"/>
          <w:szCs w:val="21"/>
          <w:lang w:val="en-US"/>
        </w:rPr>
        <w:t>8</w:t>
      </w:r>
      <w:r>
        <w:rPr>
          <w:rFonts w:hint="eastAsia" w:ascii="宋体" w:hAnsi="宋体" w:cs="宋体"/>
          <w:szCs w:val="21"/>
        </w:rPr>
        <w:t>月</w:t>
      </w:r>
      <w:r>
        <w:rPr>
          <w:rFonts w:hint="default" w:ascii="宋体" w:hAnsi="宋体" w:cs="宋体"/>
          <w:szCs w:val="21"/>
          <w:lang w:val="en-US"/>
        </w:rPr>
        <w:t>25</w:t>
      </w:r>
      <w:r>
        <w:rPr>
          <w:rFonts w:hint="eastAsia" w:ascii="宋体" w:hAnsi="宋体" w:cs="宋体"/>
          <w:szCs w:val="21"/>
        </w:rPr>
        <w:t>日9时30分（北京时间）</w:t>
      </w:r>
    </w:p>
    <w:p w14:paraId="3181029F">
      <w:pPr>
        <w:adjustRightInd w:val="0"/>
        <w:snapToGrid w:val="0"/>
        <w:spacing w:line="360" w:lineRule="auto"/>
        <w:ind w:firstLine="420"/>
        <w:rPr>
          <w:rFonts w:ascii="宋体" w:hAnsi="宋体" w:cs="宋体"/>
          <w:szCs w:val="21"/>
        </w:rPr>
      </w:pPr>
      <w:r>
        <w:rPr>
          <w:rFonts w:hint="eastAsia" w:ascii="宋体" w:hAnsi="宋体" w:cs="宋体"/>
          <w:szCs w:val="21"/>
        </w:rPr>
        <w:t>2、地点：信阳市公共资源交易中心第</w:t>
      </w:r>
      <w:r>
        <w:rPr>
          <w:rFonts w:hint="eastAsia" w:ascii="宋体" w:hAnsi="宋体" w:cs="宋体"/>
          <w:szCs w:val="21"/>
          <w:lang w:eastAsia="zh-CN"/>
        </w:rPr>
        <w:t>三</w:t>
      </w:r>
      <w:r>
        <w:rPr>
          <w:rFonts w:hint="eastAsia" w:ascii="宋体" w:hAnsi="宋体" w:cs="宋体"/>
          <w:szCs w:val="21"/>
        </w:rPr>
        <w:t>开标室</w:t>
      </w:r>
    </w:p>
    <w:p w14:paraId="5AD26A5A">
      <w:pPr>
        <w:adjustRightInd w:val="0"/>
        <w:snapToGrid w:val="0"/>
        <w:spacing w:line="360" w:lineRule="auto"/>
        <w:ind w:firstLine="422"/>
        <w:jc w:val="left"/>
        <w:rPr>
          <w:rFonts w:ascii="宋体" w:hAnsi="宋体" w:cs="宋体"/>
          <w:b/>
          <w:bCs/>
          <w:szCs w:val="21"/>
        </w:rPr>
      </w:pPr>
      <w:r>
        <w:rPr>
          <w:rFonts w:hint="eastAsia" w:ascii="宋体" w:hAnsi="宋体" w:cs="宋体"/>
          <w:b/>
          <w:bCs/>
          <w:szCs w:val="21"/>
        </w:rPr>
        <w:t>六、发布公告的媒介及公告期限</w:t>
      </w:r>
    </w:p>
    <w:p w14:paraId="316E42DB">
      <w:pPr>
        <w:adjustRightInd w:val="0"/>
        <w:snapToGrid w:val="0"/>
        <w:spacing w:line="360" w:lineRule="auto"/>
        <w:ind w:firstLine="420"/>
        <w:rPr>
          <w:rFonts w:ascii="宋体" w:hAnsi="宋体" w:cs="宋体"/>
          <w:szCs w:val="21"/>
        </w:rPr>
      </w:pPr>
      <w:r>
        <w:rPr>
          <w:rFonts w:hint="eastAsia" w:ascii="宋体" w:hAnsi="宋体" w:cs="宋体"/>
          <w:szCs w:val="21"/>
        </w:rPr>
        <w:t>本次招标公告在《河南省政府采购网》、《全国公共资源交易平台（河南省·信阳市</w:t>
      </w:r>
      <w:r>
        <w:rPr>
          <w:rFonts w:hint="eastAsia" w:ascii="宋体" w:hAnsi="宋体" w:eastAsia="宋体" w:cs="宋体"/>
          <w:szCs w:val="21"/>
        </w:rPr>
        <w:t>）》上发布，招标公</w:t>
      </w:r>
      <w:r>
        <w:rPr>
          <w:rFonts w:hint="eastAsia" w:ascii="宋体" w:hAnsi="宋体" w:cs="宋体"/>
          <w:szCs w:val="21"/>
        </w:rPr>
        <w:t>告期限为五个工作日。</w:t>
      </w:r>
    </w:p>
    <w:p w14:paraId="21504D06">
      <w:pPr>
        <w:adjustRightInd w:val="0"/>
        <w:snapToGrid w:val="0"/>
        <w:spacing w:line="360" w:lineRule="auto"/>
        <w:ind w:firstLine="422"/>
        <w:rPr>
          <w:rFonts w:ascii="宋体" w:hAnsi="宋体" w:cs="宋体"/>
          <w:b/>
          <w:bCs/>
          <w:szCs w:val="21"/>
        </w:rPr>
      </w:pPr>
      <w:r>
        <w:rPr>
          <w:rFonts w:hint="eastAsia" w:ascii="宋体" w:hAnsi="宋体" w:cs="宋体"/>
          <w:b/>
          <w:bCs/>
          <w:szCs w:val="21"/>
        </w:rPr>
        <w:t>七、其他补充事宜</w:t>
      </w:r>
    </w:p>
    <w:p w14:paraId="5F17DEFD">
      <w:pPr>
        <w:adjustRightInd w:val="0"/>
        <w:snapToGrid w:val="0"/>
        <w:spacing w:line="360" w:lineRule="auto"/>
        <w:ind w:firstLine="420"/>
        <w:rPr>
          <w:rFonts w:ascii="宋体" w:hAnsi="宋体" w:cs="宋体"/>
          <w:szCs w:val="21"/>
        </w:rPr>
      </w:pPr>
      <w:r>
        <w:rPr>
          <w:rFonts w:hint="eastAsia" w:ascii="宋体" w:hAnsi="宋体" w:cs="宋体"/>
          <w:szCs w:val="21"/>
        </w:rPr>
        <w:t>1、本项目采用“不见面开标”交易方式，不见面开标大厅网址为 https://ggzyjy.xinyang.gov.cn/BidOpening/bidhall/xinyang/login.html，供应商无需寄送和递交非加密的电子响应文件，无需到现场参加开标会议，无需到达现场提交原件资料。</w:t>
      </w:r>
    </w:p>
    <w:p w14:paraId="0CEBC9DF">
      <w:pPr>
        <w:adjustRightInd w:val="0"/>
        <w:snapToGrid w:val="0"/>
        <w:spacing w:line="360" w:lineRule="auto"/>
        <w:ind w:firstLine="420"/>
        <w:rPr>
          <w:rFonts w:ascii="宋体" w:hAnsi="宋体" w:cs="宋体"/>
          <w:szCs w:val="21"/>
        </w:rPr>
      </w:pPr>
      <w:r>
        <w:rPr>
          <w:rFonts w:hint="eastAsia" w:ascii="宋体" w:hAnsi="宋体" w:cs="宋体"/>
          <w:szCs w:val="21"/>
        </w:rPr>
        <w:t>2、供应商应当在响应文件提交截止时间前，使用供应商CA数字证书登录不见面开标大厅，在线签到并准时参加开标活动，并在规定时间内完成响应文件解密、答疑澄清等。</w:t>
      </w:r>
    </w:p>
    <w:p w14:paraId="155EE8A8">
      <w:pPr>
        <w:adjustRightInd w:val="0"/>
        <w:snapToGrid w:val="0"/>
        <w:spacing w:line="360" w:lineRule="auto"/>
        <w:ind w:firstLine="420"/>
        <w:rPr>
          <w:rFonts w:ascii="宋体" w:hAnsi="宋体" w:cs="宋体"/>
          <w:szCs w:val="21"/>
        </w:rPr>
      </w:pPr>
      <w:r>
        <w:rPr>
          <w:rFonts w:hint="eastAsia" w:ascii="宋体" w:hAnsi="宋体" w:cs="宋体"/>
          <w:szCs w:val="21"/>
        </w:rPr>
        <w:t>3、逾期解密或者没有准时在线参加开标活动导致的一切后果供应商自行承担。</w:t>
      </w:r>
    </w:p>
    <w:p w14:paraId="53D3E9C4">
      <w:pPr>
        <w:adjustRightInd w:val="0"/>
        <w:snapToGrid w:val="0"/>
        <w:spacing w:line="360" w:lineRule="auto"/>
        <w:ind w:firstLine="420"/>
        <w:rPr>
          <w:rFonts w:ascii="宋体" w:hAnsi="宋体" w:cs="宋体"/>
          <w:szCs w:val="21"/>
        </w:rPr>
      </w:pPr>
      <w:r>
        <w:rPr>
          <w:rFonts w:hint="eastAsia" w:ascii="宋体" w:hAnsi="宋体" w:cs="宋体"/>
          <w:szCs w:val="21"/>
        </w:rPr>
        <w:t>4、不见面开标服务的具体事宜，请查阅信阳市公共资源交易中心网站首页—下载中心—信阳市不见面开标大厅系统操作手册 。</w:t>
      </w:r>
    </w:p>
    <w:p w14:paraId="7E4A5655">
      <w:pPr>
        <w:adjustRightInd w:val="0"/>
        <w:snapToGrid w:val="0"/>
        <w:spacing w:line="360" w:lineRule="auto"/>
        <w:ind w:firstLine="420"/>
        <w:rPr>
          <w:rFonts w:ascii="宋体" w:hAnsi="宋体" w:cs="宋体"/>
          <w:szCs w:val="21"/>
        </w:rPr>
      </w:pPr>
      <w:r>
        <w:rPr>
          <w:rFonts w:hint="eastAsia" w:ascii="宋体" w:hAnsi="宋体" w:cs="宋体"/>
          <w:szCs w:val="21"/>
        </w:rPr>
        <w:t>特别提示：供应商在线签到时，应如实准确的填写授权委托人的联系电话，开标当天请务必保证电话保持畅通。</w:t>
      </w:r>
    </w:p>
    <w:p w14:paraId="6FB445EB">
      <w:pPr>
        <w:adjustRightInd w:val="0"/>
        <w:snapToGrid w:val="0"/>
        <w:spacing w:line="360" w:lineRule="auto"/>
        <w:ind w:firstLine="420"/>
        <w:rPr>
          <w:rFonts w:ascii="宋体" w:hAnsi="宋体" w:cs="宋体"/>
          <w:szCs w:val="21"/>
        </w:rPr>
      </w:pPr>
      <w:r>
        <w:rPr>
          <w:rFonts w:hint="eastAsia" w:ascii="宋体" w:hAnsi="宋体" w:cs="宋体"/>
          <w:szCs w:val="21"/>
        </w:rPr>
        <w:t>5、供应商注册：投标企业首先登录“全国公共资源交易平台（河南省·信阳市）（https://ggzyjy.xinyang.gov.cn）”网站进行交易主体注册，按网站公告通知有关要求填报企业信息并上传有关原件扫描件至诚信库，不需携带原件到信阳市公共资源交易中心进行审核。供应商应对所上传材料的真实性、合法性、有效性负责，其上传的信息将全部对外公示，接受社会监督。</w:t>
      </w:r>
    </w:p>
    <w:p w14:paraId="5644D314">
      <w:pPr>
        <w:adjustRightInd w:val="0"/>
        <w:snapToGrid w:val="0"/>
        <w:spacing w:line="360" w:lineRule="auto"/>
        <w:ind w:firstLine="420"/>
        <w:rPr>
          <w:rFonts w:ascii="宋体" w:hAnsi="宋体" w:cs="宋体"/>
          <w:szCs w:val="21"/>
        </w:rPr>
      </w:pPr>
      <w:r>
        <w:rPr>
          <w:rFonts w:hint="eastAsia" w:ascii="宋体" w:hAnsi="宋体" w:cs="宋体"/>
          <w:szCs w:val="21"/>
        </w:rPr>
        <w:t>6、办理CA数字证书：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778F2B75">
      <w:pPr>
        <w:adjustRightInd w:val="0"/>
        <w:snapToGrid w:val="0"/>
        <w:spacing w:line="360" w:lineRule="auto"/>
        <w:ind w:firstLine="420"/>
        <w:rPr>
          <w:rFonts w:ascii="宋体" w:hAnsi="宋体" w:cs="宋体"/>
          <w:szCs w:val="21"/>
        </w:rPr>
      </w:pPr>
      <w:r>
        <w:rPr>
          <w:rFonts w:hint="eastAsia" w:ascii="宋体" w:hAnsi="宋体" w:cs="宋体"/>
          <w:szCs w:val="21"/>
        </w:rPr>
        <w:t>7、招标文件获取方式：供应商凭CA数字证书登录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文件领取页面下载）。</w:t>
      </w:r>
    </w:p>
    <w:p w14:paraId="000B6241">
      <w:pPr>
        <w:adjustRightInd w:val="0"/>
        <w:snapToGrid w:val="0"/>
        <w:spacing w:line="360" w:lineRule="auto"/>
        <w:ind w:firstLine="420"/>
        <w:rPr>
          <w:rFonts w:ascii="宋体" w:hAnsi="宋体" w:cs="宋体"/>
          <w:szCs w:val="21"/>
        </w:rPr>
      </w:pPr>
      <w:r>
        <w:rPr>
          <w:rFonts w:hint="eastAsia" w:ascii="宋体" w:hAnsi="宋体" w:cs="宋体"/>
          <w:szCs w:val="21"/>
        </w:rPr>
        <w:t>8、请供应商下载招标文件后及时关注系统业务菜单（“答疑澄清文件领取”，“控制价文件领取”）内该项目是否有新的答疑澄清文件或控制价文件。如有请直接下载，不再另行通知。</w:t>
      </w:r>
    </w:p>
    <w:p w14:paraId="431300DA">
      <w:pPr>
        <w:adjustRightInd w:val="0"/>
        <w:snapToGrid w:val="0"/>
        <w:spacing w:line="360" w:lineRule="auto"/>
        <w:ind w:firstLine="420"/>
        <w:rPr>
          <w:rFonts w:ascii="宋体" w:hAnsi="宋体" w:cs="宋体"/>
          <w:szCs w:val="21"/>
        </w:rPr>
      </w:pPr>
      <w:r>
        <w:rPr>
          <w:rFonts w:hint="eastAsia" w:ascii="宋体" w:hAnsi="宋体" w:cs="宋体"/>
          <w:szCs w:val="21"/>
        </w:rPr>
        <w:t>9、监督单位：信阳市平桥区政府采购管理办公室</w:t>
      </w:r>
    </w:p>
    <w:p w14:paraId="386A1E82">
      <w:pPr>
        <w:adjustRightInd w:val="0"/>
        <w:snapToGrid w:val="0"/>
        <w:spacing w:line="360" w:lineRule="auto"/>
        <w:ind w:firstLine="420"/>
        <w:rPr>
          <w:rFonts w:ascii="宋体" w:hAnsi="宋体" w:cs="宋体"/>
          <w:szCs w:val="21"/>
        </w:rPr>
      </w:pPr>
      <w:r>
        <w:rPr>
          <w:rFonts w:hint="eastAsia" w:ascii="宋体" w:hAnsi="宋体" w:cs="宋体"/>
          <w:szCs w:val="21"/>
        </w:rPr>
        <w:t>联系电话：0376-3562077</w:t>
      </w:r>
    </w:p>
    <w:p w14:paraId="162DA835">
      <w:pPr>
        <w:adjustRightInd w:val="0"/>
        <w:snapToGrid w:val="0"/>
        <w:spacing w:line="360" w:lineRule="auto"/>
        <w:ind w:firstLine="420"/>
        <w:rPr>
          <w:rFonts w:ascii="宋体" w:hAnsi="宋体" w:cs="宋体"/>
          <w:szCs w:val="21"/>
        </w:rPr>
      </w:pPr>
      <w:r>
        <w:rPr>
          <w:rFonts w:hint="eastAsia" w:ascii="宋体" w:hAnsi="宋体" w:cs="宋体"/>
          <w:szCs w:val="21"/>
        </w:rPr>
        <w:t>10、本项目采购代理服务费按“豫招协〔2023〕002号”规定的收费标准收取，收费金额为：39560.00元。</w:t>
      </w:r>
    </w:p>
    <w:p w14:paraId="3269D948">
      <w:pPr>
        <w:adjustRightInd w:val="0"/>
        <w:snapToGrid w:val="0"/>
        <w:spacing w:line="360" w:lineRule="auto"/>
        <w:ind w:firstLine="422"/>
        <w:rPr>
          <w:rFonts w:ascii="宋体" w:hAnsi="宋体" w:cs="宋体"/>
          <w:b/>
          <w:bCs/>
          <w:szCs w:val="21"/>
        </w:rPr>
      </w:pPr>
      <w:r>
        <w:rPr>
          <w:rFonts w:hint="eastAsia" w:ascii="宋体" w:hAnsi="宋体" w:cs="宋体"/>
          <w:b/>
          <w:bCs/>
          <w:szCs w:val="21"/>
        </w:rPr>
        <w:t>八、对本次招标提出询问，请按以下方式联系：</w:t>
      </w:r>
    </w:p>
    <w:p w14:paraId="2A719E0C">
      <w:pPr>
        <w:adjustRightInd w:val="0"/>
        <w:snapToGrid w:val="0"/>
        <w:spacing w:line="360" w:lineRule="auto"/>
        <w:ind w:firstLine="420"/>
        <w:rPr>
          <w:rFonts w:ascii="宋体" w:hAnsi="宋体" w:cs="宋体"/>
          <w:szCs w:val="21"/>
        </w:rPr>
      </w:pPr>
      <w:r>
        <w:rPr>
          <w:rFonts w:hint="eastAsia" w:ascii="宋体" w:hAnsi="宋体" w:cs="宋体"/>
          <w:szCs w:val="21"/>
        </w:rPr>
        <w:t>1.采购人信息：</w:t>
      </w:r>
    </w:p>
    <w:p w14:paraId="396118BD">
      <w:pPr>
        <w:adjustRightInd w:val="0"/>
        <w:snapToGrid w:val="0"/>
        <w:spacing w:line="360" w:lineRule="auto"/>
        <w:ind w:firstLine="420"/>
        <w:rPr>
          <w:rFonts w:ascii="宋体" w:hAnsi="宋体" w:cs="宋体"/>
          <w:szCs w:val="21"/>
        </w:rPr>
      </w:pPr>
      <w:r>
        <w:rPr>
          <w:rFonts w:hint="eastAsia" w:ascii="宋体" w:hAnsi="宋体" w:cs="宋体"/>
          <w:szCs w:val="21"/>
        </w:rPr>
        <w:t>采购人：信阳市第六职业高级中学</w:t>
      </w:r>
    </w:p>
    <w:p w14:paraId="51C43B94">
      <w:pPr>
        <w:adjustRightInd w:val="0"/>
        <w:snapToGrid w:val="0"/>
        <w:spacing w:line="360" w:lineRule="auto"/>
        <w:ind w:firstLine="420"/>
        <w:rPr>
          <w:rFonts w:ascii="宋体" w:hAnsi="宋体" w:cs="宋体"/>
          <w:szCs w:val="21"/>
        </w:rPr>
      </w:pPr>
      <w:r>
        <w:rPr>
          <w:rFonts w:hint="eastAsia" w:ascii="宋体" w:hAnsi="宋体" w:cs="宋体"/>
          <w:szCs w:val="21"/>
        </w:rPr>
        <w:t>地 址：信阳市平桥区震雷山街道办事处</w:t>
      </w:r>
    </w:p>
    <w:p w14:paraId="6A79B28E">
      <w:pPr>
        <w:adjustRightInd w:val="0"/>
        <w:snapToGrid w:val="0"/>
        <w:spacing w:line="360" w:lineRule="auto"/>
        <w:ind w:firstLine="420"/>
        <w:rPr>
          <w:rFonts w:ascii="宋体" w:hAnsi="宋体" w:cs="宋体"/>
          <w:szCs w:val="21"/>
        </w:rPr>
      </w:pPr>
      <w:r>
        <w:rPr>
          <w:rFonts w:hint="eastAsia" w:ascii="宋体" w:hAnsi="宋体" w:cs="宋体"/>
          <w:szCs w:val="21"/>
        </w:rPr>
        <w:t>联系人：陈先生</w:t>
      </w:r>
    </w:p>
    <w:p w14:paraId="7B7D6846">
      <w:pPr>
        <w:adjustRightInd w:val="0"/>
        <w:snapToGrid w:val="0"/>
        <w:spacing w:line="360" w:lineRule="auto"/>
        <w:ind w:firstLine="420"/>
        <w:rPr>
          <w:rFonts w:ascii="宋体" w:hAnsi="宋体" w:cs="宋体"/>
          <w:szCs w:val="21"/>
        </w:rPr>
      </w:pPr>
      <w:r>
        <w:rPr>
          <w:rFonts w:hint="eastAsia" w:ascii="宋体" w:hAnsi="宋体" w:cs="宋体"/>
          <w:szCs w:val="21"/>
        </w:rPr>
        <w:t>联系方式：</w:t>
      </w:r>
      <w:r>
        <w:rPr>
          <w:rFonts w:hint="eastAsia" w:ascii="宋体" w:hAnsi="宋体" w:eastAsia="宋体" w:cs="宋体"/>
          <w:szCs w:val="21"/>
          <w:lang w:val="en-US" w:eastAsia="zh-CN"/>
        </w:rPr>
        <w:t>13837659236</w:t>
      </w:r>
      <w:r>
        <w:rPr>
          <w:rFonts w:hint="eastAsia" w:ascii="宋体" w:hAnsi="宋体" w:eastAsia="宋体" w:cs="宋体"/>
          <w:szCs w:val="21"/>
        </w:rPr>
        <w:t xml:space="preserve"> </w:t>
      </w:r>
    </w:p>
    <w:p w14:paraId="0866DC43">
      <w:pPr>
        <w:adjustRightInd w:val="0"/>
        <w:snapToGrid w:val="0"/>
        <w:spacing w:line="360" w:lineRule="auto"/>
        <w:ind w:firstLine="420"/>
        <w:rPr>
          <w:rFonts w:ascii="宋体" w:hAnsi="宋体" w:cs="宋体"/>
          <w:szCs w:val="21"/>
        </w:rPr>
      </w:pPr>
      <w:r>
        <w:rPr>
          <w:rFonts w:hint="eastAsia" w:ascii="宋体" w:hAnsi="宋体" w:cs="宋体"/>
          <w:szCs w:val="21"/>
        </w:rPr>
        <w:t>2.采购代理机构信息：</w:t>
      </w:r>
    </w:p>
    <w:p w14:paraId="1BBA826D">
      <w:pPr>
        <w:adjustRightInd w:val="0"/>
        <w:snapToGrid w:val="0"/>
        <w:spacing w:line="360" w:lineRule="auto"/>
        <w:ind w:firstLine="420"/>
        <w:rPr>
          <w:rFonts w:ascii="宋体" w:hAnsi="宋体" w:cs="宋体"/>
          <w:szCs w:val="21"/>
        </w:rPr>
      </w:pPr>
      <w:r>
        <w:rPr>
          <w:rFonts w:hint="eastAsia" w:ascii="宋体" w:hAnsi="宋体" w:cs="宋体"/>
          <w:szCs w:val="21"/>
        </w:rPr>
        <w:t>代理机构：河南鑫义通工程咨询有限公司</w:t>
      </w:r>
    </w:p>
    <w:p w14:paraId="612DBB2A">
      <w:pPr>
        <w:adjustRightInd w:val="0"/>
        <w:snapToGrid w:val="0"/>
        <w:spacing w:line="360" w:lineRule="auto"/>
        <w:ind w:firstLine="420"/>
        <w:rPr>
          <w:rFonts w:ascii="宋体" w:hAnsi="宋体" w:eastAsia="宋体" w:cs="宋体"/>
          <w:szCs w:val="21"/>
        </w:rPr>
      </w:pPr>
      <w:r>
        <w:rPr>
          <w:rFonts w:hint="eastAsia" w:ascii="宋体" w:hAnsi="宋体" w:cs="宋体"/>
          <w:szCs w:val="21"/>
        </w:rPr>
        <w:t>地    址：</w:t>
      </w:r>
      <w:r>
        <w:rPr>
          <w:rFonts w:hint="eastAsia" w:ascii="宋体" w:hAnsi="宋体" w:eastAsia="宋体" w:cs="宋体"/>
          <w:szCs w:val="21"/>
        </w:rPr>
        <w:t>信阳市羊山新区新八街信合金融大厦9楼</w:t>
      </w:r>
    </w:p>
    <w:p w14:paraId="48EECD3B">
      <w:pPr>
        <w:adjustRightInd w:val="0"/>
        <w:snapToGrid w:val="0"/>
        <w:spacing w:line="360" w:lineRule="auto"/>
        <w:ind w:firstLine="420"/>
        <w:rPr>
          <w:rFonts w:ascii="宋体" w:hAnsi="宋体" w:cs="宋体"/>
          <w:szCs w:val="21"/>
        </w:rPr>
      </w:pPr>
      <w:r>
        <w:rPr>
          <w:rFonts w:hint="eastAsia" w:ascii="宋体" w:hAnsi="宋体" w:cs="宋体"/>
          <w:szCs w:val="21"/>
        </w:rPr>
        <w:t>联 系 人：高女士</w:t>
      </w:r>
    </w:p>
    <w:p w14:paraId="766E527D">
      <w:pPr>
        <w:adjustRightInd w:val="0"/>
        <w:snapToGrid w:val="0"/>
        <w:spacing w:line="360" w:lineRule="auto"/>
        <w:ind w:firstLine="420"/>
        <w:rPr>
          <w:rFonts w:ascii="宋体" w:hAnsi="宋体" w:cs="宋体"/>
          <w:szCs w:val="21"/>
        </w:rPr>
      </w:pPr>
      <w:r>
        <w:rPr>
          <w:rFonts w:hint="eastAsia" w:ascii="宋体" w:hAnsi="宋体" w:cs="宋体"/>
          <w:szCs w:val="21"/>
        </w:rPr>
        <w:t>电    话：</w:t>
      </w:r>
      <w:r>
        <w:rPr>
          <w:rFonts w:hint="eastAsia" w:ascii="宋体" w:hAnsi="宋体" w:eastAsia="宋体" w:cs="宋体"/>
          <w:szCs w:val="21"/>
        </w:rPr>
        <w:t>17518718823</w:t>
      </w:r>
    </w:p>
    <w:p w14:paraId="27FBF5BF">
      <w:pPr>
        <w:adjustRightInd w:val="0"/>
        <w:snapToGrid w:val="0"/>
        <w:spacing w:line="360" w:lineRule="auto"/>
        <w:ind w:firstLine="420"/>
        <w:rPr>
          <w:rFonts w:ascii="宋体" w:hAnsi="宋体" w:cs="宋体"/>
          <w:szCs w:val="21"/>
        </w:rPr>
      </w:pPr>
      <w:r>
        <w:rPr>
          <w:rFonts w:hint="eastAsia" w:ascii="宋体" w:hAnsi="宋体" w:cs="宋体"/>
          <w:szCs w:val="21"/>
        </w:rPr>
        <w:t>3、项目联系方式</w:t>
      </w:r>
    </w:p>
    <w:p w14:paraId="2D57788D">
      <w:pPr>
        <w:adjustRightInd w:val="0"/>
        <w:snapToGrid w:val="0"/>
        <w:spacing w:line="360" w:lineRule="auto"/>
        <w:ind w:firstLine="420"/>
        <w:rPr>
          <w:rFonts w:ascii="宋体" w:hAnsi="宋体" w:cs="宋体"/>
          <w:szCs w:val="21"/>
        </w:rPr>
      </w:pPr>
      <w:r>
        <w:rPr>
          <w:rFonts w:hint="eastAsia" w:ascii="宋体" w:hAnsi="宋体" w:cs="宋体"/>
          <w:szCs w:val="21"/>
        </w:rPr>
        <w:t>联 系 人：高女士</w:t>
      </w:r>
    </w:p>
    <w:p w14:paraId="6D259941">
      <w:pPr>
        <w:adjustRightInd w:val="0"/>
        <w:snapToGrid w:val="0"/>
        <w:spacing w:line="360" w:lineRule="auto"/>
        <w:ind w:firstLine="420"/>
        <w:rPr>
          <w:rFonts w:ascii="宋体" w:hAnsi="宋体" w:cs="宋体"/>
          <w:szCs w:val="21"/>
        </w:rPr>
      </w:pPr>
      <w:r>
        <w:rPr>
          <w:rFonts w:hint="eastAsia" w:ascii="宋体" w:hAnsi="宋体" w:cs="宋体"/>
          <w:szCs w:val="21"/>
        </w:rPr>
        <w:t>电    话：</w:t>
      </w:r>
      <w:r>
        <w:rPr>
          <w:rFonts w:hint="eastAsia" w:ascii="宋体" w:hAnsi="宋体" w:eastAsia="宋体" w:cs="宋体"/>
          <w:szCs w:val="21"/>
        </w:rPr>
        <w:t>17518718823</w:t>
      </w:r>
    </w:p>
    <w:p w14:paraId="110D0BC3">
      <w:pPr>
        <w:pStyle w:val="5"/>
        <w:spacing w:line="240" w:lineRule="auto"/>
        <w:ind w:firstLine="0" w:firstLineChars="0"/>
        <w:rPr>
          <w:rFonts w:ascii="宋体" w:hAnsi="宋体"/>
          <w:color w:val="auto"/>
          <w:sz w:val="30"/>
          <w:szCs w:val="30"/>
        </w:rPr>
      </w:pPr>
      <w:bookmarkStart w:id="7" w:name="_Toc27887"/>
      <w:r>
        <w:rPr>
          <w:rFonts w:hint="eastAsia" w:ascii="宋体" w:hAnsi="宋体"/>
          <w:color w:val="auto"/>
          <w:sz w:val="30"/>
          <w:szCs w:val="30"/>
        </w:rPr>
        <w:br w:type="page"/>
      </w:r>
      <w:bookmarkStart w:id="8" w:name="_Toc1503"/>
      <w:r>
        <w:rPr>
          <w:rStyle w:val="73"/>
          <w:rFonts w:hint="eastAsia" w:ascii="Times New Roman" w:hAnsi="Times New Roman" w:eastAsia="宋体" w:cs="Times New Roman"/>
          <w:b/>
          <w:bCs/>
          <w:color w:val="auto"/>
        </w:rPr>
        <w:t>第二章 投标人须知</w:t>
      </w:r>
      <w:bookmarkEnd w:id="7"/>
      <w:bookmarkEnd w:id="8"/>
    </w:p>
    <w:p w14:paraId="6BB24B58">
      <w:pPr>
        <w:pStyle w:val="6"/>
        <w:spacing w:line="240" w:lineRule="auto"/>
        <w:ind w:firstLine="0" w:firstLineChars="0"/>
        <w:jc w:val="center"/>
        <w:rPr>
          <w:sz w:val="24"/>
          <w:szCs w:val="24"/>
        </w:rPr>
      </w:pPr>
      <w:bookmarkStart w:id="9" w:name="_Toc15527"/>
      <w:r>
        <w:rPr>
          <w:rFonts w:hint="eastAsia"/>
          <w:sz w:val="24"/>
          <w:szCs w:val="24"/>
        </w:rPr>
        <w:t>投标人须知前附表</w:t>
      </w:r>
      <w:bookmarkEnd w:id="9"/>
    </w:p>
    <w:tbl>
      <w:tblPr>
        <w:tblStyle w:val="27"/>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905"/>
        <w:gridCol w:w="6878"/>
      </w:tblGrid>
      <w:tr w14:paraId="7486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16" w:type="dxa"/>
            <w:vAlign w:val="center"/>
          </w:tcPr>
          <w:p w14:paraId="37F40B43">
            <w:pPr>
              <w:autoSpaceDE w:val="0"/>
              <w:autoSpaceDN w:val="0"/>
              <w:adjustRightInd w:val="0"/>
              <w:spacing w:line="240" w:lineRule="auto"/>
              <w:ind w:firstLine="0" w:firstLineChars="0"/>
              <w:rPr>
                <w:rFonts w:ascii="宋体" w:hAnsi="宋体" w:eastAsia="宋体" w:cs="宋体"/>
                <w:b/>
                <w:kern w:val="0"/>
                <w:szCs w:val="21"/>
              </w:rPr>
            </w:pPr>
            <w:r>
              <w:rPr>
                <w:rFonts w:hint="eastAsia" w:ascii="宋体" w:hAnsi="宋体" w:eastAsia="宋体" w:cs="宋体"/>
                <w:b/>
                <w:kern w:val="0"/>
                <w:szCs w:val="21"/>
              </w:rPr>
              <w:t>条款号</w:t>
            </w:r>
          </w:p>
        </w:tc>
        <w:tc>
          <w:tcPr>
            <w:tcW w:w="1905" w:type="dxa"/>
            <w:vAlign w:val="center"/>
          </w:tcPr>
          <w:p w14:paraId="39966F23">
            <w:pPr>
              <w:autoSpaceDE w:val="0"/>
              <w:autoSpaceDN w:val="0"/>
              <w:adjustRightInd w:val="0"/>
              <w:spacing w:line="240" w:lineRule="auto"/>
              <w:ind w:firstLine="422"/>
              <w:jc w:val="center"/>
              <w:rPr>
                <w:rFonts w:ascii="宋体" w:hAnsi="宋体" w:eastAsia="宋体" w:cs="宋体"/>
                <w:b/>
                <w:kern w:val="0"/>
                <w:szCs w:val="21"/>
              </w:rPr>
            </w:pPr>
            <w:r>
              <w:rPr>
                <w:rFonts w:hint="eastAsia" w:ascii="宋体" w:hAnsi="宋体" w:eastAsia="宋体" w:cs="宋体"/>
                <w:b/>
                <w:kern w:val="0"/>
                <w:szCs w:val="21"/>
              </w:rPr>
              <w:t>条 款 名 称</w:t>
            </w:r>
          </w:p>
        </w:tc>
        <w:tc>
          <w:tcPr>
            <w:tcW w:w="6878" w:type="dxa"/>
            <w:vAlign w:val="center"/>
          </w:tcPr>
          <w:p w14:paraId="407D488D">
            <w:pPr>
              <w:autoSpaceDE w:val="0"/>
              <w:autoSpaceDN w:val="0"/>
              <w:adjustRightInd w:val="0"/>
              <w:spacing w:line="240" w:lineRule="auto"/>
              <w:ind w:firstLine="422"/>
              <w:jc w:val="center"/>
              <w:rPr>
                <w:rFonts w:ascii="宋体" w:hAnsi="宋体" w:eastAsia="宋体" w:cs="宋体"/>
                <w:b/>
                <w:kern w:val="0"/>
                <w:szCs w:val="21"/>
              </w:rPr>
            </w:pPr>
            <w:r>
              <w:rPr>
                <w:rFonts w:hint="eastAsia" w:ascii="宋体" w:hAnsi="宋体" w:eastAsia="宋体" w:cs="宋体"/>
                <w:b/>
                <w:kern w:val="0"/>
                <w:szCs w:val="21"/>
              </w:rPr>
              <w:t>编 列 内 容</w:t>
            </w:r>
          </w:p>
        </w:tc>
      </w:tr>
      <w:tr w14:paraId="1FB0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47D1FEEA">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1.1.2</w:t>
            </w:r>
          </w:p>
        </w:tc>
        <w:tc>
          <w:tcPr>
            <w:tcW w:w="1905" w:type="dxa"/>
            <w:vAlign w:val="center"/>
          </w:tcPr>
          <w:p w14:paraId="1571DEA6">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采购人</w:t>
            </w:r>
          </w:p>
        </w:tc>
        <w:tc>
          <w:tcPr>
            <w:tcW w:w="6878" w:type="dxa"/>
            <w:vAlign w:val="center"/>
          </w:tcPr>
          <w:p w14:paraId="453D64B6">
            <w:pPr>
              <w:spacing w:line="240" w:lineRule="auto"/>
              <w:ind w:firstLine="0" w:firstLineChars="0"/>
              <w:rPr>
                <w:rFonts w:ascii="宋体" w:hAnsi="宋体" w:eastAsia="宋体" w:cs="宋体"/>
                <w:szCs w:val="21"/>
              </w:rPr>
            </w:pPr>
            <w:r>
              <w:rPr>
                <w:rFonts w:hint="eastAsia" w:ascii="宋体" w:hAnsi="宋体" w:eastAsia="宋体" w:cs="宋体"/>
                <w:szCs w:val="21"/>
              </w:rPr>
              <w:t>采 购 人：信阳市第六职业高级中学</w:t>
            </w:r>
          </w:p>
          <w:p w14:paraId="0B3C95B2">
            <w:pPr>
              <w:spacing w:line="240" w:lineRule="auto"/>
              <w:ind w:firstLine="0" w:firstLineChars="0"/>
              <w:rPr>
                <w:rFonts w:ascii="宋体" w:hAnsi="宋体" w:eastAsia="宋体" w:cs="宋体"/>
                <w:szCs w:val="21"/>
              </w:rPr>
            </w:pPr>
            <w:r>
              <w:rPr>
                <w:rFonts w:hint="eastAsia" w:ascii="宋体" w:hAnsi="宋体" w:eastAsia="宋体" w:cs="宋体"/>
                <w:szCs w:val="21"/>
              </w:rPr>
              <w:t xml:space="preserve">地    址：信阳市平桥区震雷山街道办事处　 </w:t>
            </w:r>
          </w:p>
          <w:p w14:paraId="1F6C1073">
            <w:pPr>
              <w:spacing w:line="240" w:lineRule="auto"/>
              <w:ind w:firstLine="0" w:firstLineChars="0"/>
              <w:rPr>
                <w:rFonts w:ascii="宋体" w:hAnsi="宋体" w:eastAsia="宋体" w:cs="宋体"/>
                <w:szCs w:val="21"/>
              </w:rPr>
            </w:pPr>
            <w:r>
              <w:rPr>
                <w:rFonts w:hint="eastAsia" w:ascii="宋体" w:hAnsi="宋体" w:eastAsia="宋体" w:cs="宋体"/>
                <w:szCs w:val="21"/>
              </w:rPr>
              <w:t>联 系 人：陈先生</w:t>
            </w:r>
          </w:p>
          <w:p w14:paraId="1C87537A">
            <w:pPr>
              <w:spacing w:line="240" w:lineRule="auto"/>
              <w:ind w:firstLine="0" w:firstLineChars="0"/>
              <w:rPr>
                <w:rFonts w:hint="default" w:ascii="宋体" w:hAnsi="宋体" w:eastAsia="宋体" w:cs="宋体"/>
                <w:szCs w:val="21"/>
                <w:lang w:val="en-US" w:eastAsia="zh-CN"/>
              </w:rPr>
            </w:pPr>
            <w:r>
              <w:rPr>
                <w:rFonts w:hint="eastAsia" w:ascii="宋体" w:hAnsi="宋体" w:eastAsia="宋体" w:cs="宋体"/>
                <w:szCs w:val="21"/>
              </w:rPr>
              <w:t>联系方式：</w:t>
            </w:r>
            <w:r>
              <w:rPr>
                <w:rFonts w:hint="eastAsia" w:ascii="宋体" w:hAnsi="宋体" w:eastAsia="宋体" w:cs="宋体"/>
                <w:szCs w:val="21"/>
                <w:lang w:val="en-US" w:eastAsia="zh-CN"/>
              </w:rPr>
              <w:t>13837659236</w:t>
            </w:r>
          </w:p>
        </w:tc>
      </w:tr>
      <w:tr w14:paraId="7755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16" w:type="dxa"/>
            <w:vAlign w:val="center"/>
          </w:tcPr>
          <w:p w14:paraId="2BDA38EC">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1.1.3</w:t>
            </w:r>
          </w:p>
        </w:tc>
        <w:tc>
          <w:tcPr>
            <w:tcW w:w="1905" w:type="dxa"/>
            <w:vAlign w:val="center"/>
          </w:tcPr>
          <w:p w14:paraId="06AA0CC2">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采购代理机构</w:t>
            </w:r>
          </w:p>
        </w:tc>
        <w:tc>
          <w:tcPr>
            <w:tcW w:w="6878" w:type="dxa"/>
            <w:vAlign w:val="center"/>
          </w:tcPr>
          <w:p w14:paraId="686F5416">
            <w:pPr>
              <w:spacing w:line="240" w:lineRule="auto"/>
              <w:ind w:firstLine="0" w:firstLineChars="0"/>
              <w:rPr>
                <w:rFonts w:ascii="宋体" w:hAnsi="宋体" w:eastAsia="宋体" w:cs="宋体"/>
                <w:szCs w:val="21"/>
              </w:rPr>
            </w:pPr>
            <w:r>
              <w:rPr>
                <w:rFonts w:hint="eastAsia" w:ascii="宋体" w:hAnsi="宋体" w:eastAsia="宋体" w:cs="宋体"/>
                <w:szCs w:val="21"/>
              </w:rPr>
              <w:t>代理机构：河南鑫义通工程咨询有限公司</w:t>
            </w:r>
          </w:p>
          <w:p w14:paraId="70A2BFDD">
            <w:pPr>
              <w:spacing w:line="240" w:lineRule="auto"/>
              <w:ind w:firstLine="0" w:firstLineChars="0"/>
              <w:rPr>
                <w:rFonts w:ascii="宋体" w:hAnsi="宋体" w:eastAsia="宋体" w:cs="宋体"/>
                <w:szCs w:val="21"/>
              </w:rPr>
            </w:pPr>
            <w:r>
              <w:rPr>
                <w:rFonts w:hint="eastAsia" w:ascii="宋体" w:hAnsi="宋体" w:eastAsia="宋体" w:cs="宋体"/>
                <w:szCs w:val="21"/>
              </w:rPr>
              <w:t>地    址：信阳市羊山新区新八街信合金融大厦9楼</w:t>
            </w:r>
          </w:p>
          <w:p w14:paraId="5D868620">
            <w:pPr>
              <w:spacing w:line="240" w:lineRule="auto"/>
              <w:ind w:firstLine="0" w:firstLineChars="0"/>
              <w:rPr>
                <w:rFonts w:ascii="宋体" w:hAnsi="宋体" w:eastAsia="宋体" w:cs="宋体"/>
                <w:szCs w:val="21"/>
              </w:rPr>
            </w:pPr>
            <w:r>
              <w:rPr>
                <w:rFonts w:hint="eastAsia" w:ascii="宋体" w:hAnsi="宋体" w:eastAsia="宋体" w:cs="宋体"/>
                <w:szCs w:val="21"/>
              </w:rPr>
              <w:t>联 系 人：高女士</w:t>
            </w:r>
          </w:p>
          <w:p w14:paraId="14B47B8E">
            <w:pPr>
              <w:spacing w:line="240" w:lineRule="auto"/>
              <w:ind w:firstLine="0" w:firstLineChars="0"/>
              <w:rPr>
                <w:rFonts w:ascii="宋体" w:hAnsi="宋体" w:eastAsia="宋体" w:cs="宋体"/>
                <w:szCs w:val="21"/>
              </w:rPr>
            </w:pPr>
            <w:r>
              <w:rPr>
                <w:rFonts w:hint="eastAsia" w:ascii="宋体" w:hAnsi="宋体" w:eastAsia="宋体" w:cs="宋体"/>
                <w:szCs w:val="21"/>
              </w:rPr>
              <w:t>电    话：17518718823</w:t>
            </w:r>
          </w:p>
        </w:tc>
      </w:tr>
      <w:tr w14:paraId="08F2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16" w:type="dxa"/>
            <w:vAlign w:val="center"/>
          </w:tcPr>
          <w:p w14:paraId="0127E949">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1.1.4</w:t>
            </w:r>
          </w:p>
        </w:tc>
        <w:tc>
          <w:tcPr>
            <w:tcW w:w="1905" w:type="dxa"/>
            <w:vAlign w:val="center"/>
          </w:tcPr>
          <w:p w14:paraId="31C350D2">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项目名称</w:t>
            </w:r>
          </w:p>
        </w:tc>
        <w:tc>
          <w:tcPr>
            <w:tcW w:w="6878" w:type="dxa"/>
            <w:vAlign w:val="center"/>
          </w:tcPr>
          <w:p w14:paraId="35A1E32F">
            <w:pPr>
              <w:pStyle w:val="15"/>
              <w:spacing w:line="240" w:lineRule="auto"/>
              <w:ind w:left="0" w:leftChars="0" w:firstLine="0" w:firstLineChars="0"/>
              <w:rPr>
                <w:rFonts w:ascii="宋体" w:hAnsi="宋体" w:eastAsia="宋体" w:cs="宋体"/>
                <w:szCs w:val="21"/>
              </w:rPr>
            </w:pPr>
            <w:r>
              <w:rPr>
                <w:rFonts w:hint="eastAsia" w:ascii="宋体" w:hAnsi="宋体" w:eastAsia="宋体" w:cs="宋体"/>
                <w:szCs w:val="21"/>
              </w:rPr>
              <w:t>信阳市第六职业高级中学舞蹈、美术、音乐教室升级优化项目</w:t>
            </w:r>
          </w:p>
        </w:tc>
      </w:tr>
      <w:tr w14:paraId="151C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16" w:type="dxa"/>
            <w:vAlign w:val="center"/>
          </w:tcPr>
          <w:p w14:paraId="1A07B274">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1.1.5</w:t>
            </w:r>
          </w:p>
        </w:tc>
        <w:tc>
          <w:tcPr>
            <w:tcW w:w="1905" w:type="dxa"/>
            <w:vAlign w:val="center"/>
          </w:tcPr>
          <w:p w14:paraId="72EE4412">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采购方式</w:t>
            </w:r>
          </w:p>
        </w:tc>
        <w:tc>
          <w:tcPr>
            <w:tcW w:w="6878" w:type="dxa"/>
            <w:vAlign w:val="center"/>
          </w:tcPr>
          <w:p w14:paraId="7C3E00E0">
            <w:pPr>
              <w:autoSpaceDE w:val="0"/>
              <w:autoSpaceDN w:val="0"/>
              <w:adjustRightInd w:val="0"/>
              <w:spacing w:line="240" w:lineRule="auto"/>
              <w:ind w:firstLine="0" w:firstLineChars="0"/>
              <w:rPr>
                <w:rFonts w:ascii="宋体" w:hAnsi="宋体" w:eastAsia="宋体" w:cs="宋体"/>
                <w:spacing w:val="1"/>
                <w:kern w:val="0"/>
                <w:szCs w:val="21"/>
              </w:rPr>
            </w:pPr>
            <w:r>
              <w:rPr>
                <w:rFonts w:hint="eastAsia" w:ascii="宋体" w:hAnsi="宋体" w:eastAsia="宋体" w:cs="宋体"/>
                <w:spacing w:val="1"/>
                <w:kern w:val="0"/>
                <w:szCs w:val="21"/>
              </w:rPr>
              <w:t>公开招标</w:t>
            </w:r>
          </w:p>
        </w:tc>
      </w:tr>
      <w:tr w14:paraId="387B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16" w:type="dxa"/>
            <w:vAlign w:val="center"/>
          </w:tcPr>
          <w:p w14:paraId="381566B3">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1.1.6</w:t>
            </w:r>
          </w:p>
        </w:tc>
        <w:tc>
          <w:tcPr>
            <w:tcW w:w="1905" w:type="dxa"/>
            <w:vAlign w:val="center"/>
          </w:tcPr>
          <w:p w14:paraId="5BA2713A">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预算价（最高限价）</w:t>
            </w:r>
          </w:p>
        </w:tc>
        <w:tc>
          <w:tcPr>
            <w:tcW w:w="6878" w:type="dxa"/>
            <w:vAlign w:val="center"/>
          </w:tcPr>
          <w:p w14:paraId="029E66D4">
            <w:pPr>
              <w:spacing w:line="240" w:lineRule="auto"/>
              <w:ind w:firstLine="0" w:firstLineChars="0"/>
              <w:rPr>
                <w:rFonts w:ascii="宋体" w:hAnsi="宋体" w:eastAsia="宋体" w:cs="宋体"/>
                <w:kern w:val="0"/>
                <w:szCs w:val="21"/>
              </w:rPr>
            </w:pPr>
            <w:r>
              <w:rPr>
                <w:rFonts w:hint="eastAsia" w:ascii="宋体" w:hAnsi="宋体" w:eastAsia="宋体" w:cs="宋体"/>
                <w:kern w:val="0"/>
                <w:szCs w:val="21"/>
              </w:rPr>
              <w:t>2880385.88</w:t>
            </w:r>
            <w:r>
              <w:rPr>
                <w:rFonts w:hint="eastAsia" w:ascii="宋体" w:hAnsi="宋体" w:cs="宋体"/>
                <w:szCs w:val="21"/>
              </w:rPr>
              <w:t>元</w:t>
            </w:r>
          </w:p>
          <w:p w14:paraId="14314CF2">
            <w:pPr>
              <w:pStyle w:val="61"/>
              <w:spacing w:line="240" w:lineRule="auto"/>
              <w:ind w:firstLine="0" w:firstLineChars="0"/>
              <w:rPr>
                <w:rFonts w:ascii="宋体" w:hAnsi="宋体" w:eastAsia="宋体" w:cs="宋体"/>
                <w:kern w:val="0"/>
                <w:szCs w:val="21"/>
              </w:rPr>
            </w:pPr>
            <w:r>
              <w:rPr>
                <w:rFonts w:hint="eastAsia" w:ascii="宋体" w:hAnsi="宋体" w:eastAsia="宋体" w:cs="宋体"/>
                <w:kern w:val="0"/>
                <w:szCs w:val="21"/>
              </w:rPr>
              <w:t>投标报价超过所投包段预算价（最高限价）按无效投标处理</w:t>
            </w:r>
          </w:p>
        </w:tc>
      </w:tr>
      <w:tr w14:paraId="26CA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16" w:type="dxa"/>
            <w:vAlign w:val="center"/>
          </w:tcPr>
          <w:p w14:paraId="1FAD6D57">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1.2.1</w:t>
            </w:r>
          </w:p>
        </w:tc>
        <w:tc>
          <w:tcPr>
            <w:tcW w:w="1905" w:type="dxa"/>
            <w:vAlign w:val="center"/>
          </w:tcPr>
          <w:p w14:paraId="6026F736">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资金来源及落实情况</w:t>
            </w:r>
          </w:p>
        </w:tc>
        <w:tc>
          <w:tcPr>
            <w:tcW w:w="6878" w:type="dxa"/>
            <w:vAlign w:val="center"/>
          </w:tcPr>
          <w:p w14:paraId="67E613D9">
            <w:pPr>
              <w:pStyle w:val="47"/>
              <w:jc w:val="both"/>
              <w:rPr>
                <w:rFonts w:hAnsi="宋体"/>
                <w:color w:val="auto"/>
                <w:sz w:val="21"/>
                <w:szCs w:val="21"/>
              </w:rPr>
            </w:pPr>
            <w:r>
              <w:rPr>
                <w:rFonts w:hint="eastAsia" w:hAnsi="宋体"/>
                <w:color w:val="auto"/>
                <w:sz w:val="21"/>
                <w:szCs w:val="21"/>
              </w:rPr>
              <w:t>财政资金，已落实</w:t>
            </w:r>
          </w:p>
        </w:tc>
      </w:tr>
      <w:tr w14:paraId="7455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1AE631B9">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1.2.2</w:t>
            </w:r>
          </w:p>
        </w:tc>
        <w:tc>
          <w:tcPr>
            <w:tcW w:w="1905" w:type="dxa"/>
            <w:vAlign w:val="center"/>
          </w:tcPr>
          <w:p w14:paraId="293D9F4B">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出资比例</w:t>
            </w:r>
          </w:p>
        </w:tc>
        <w:tc>
          <w:tcPr>
            <w:tcW w:w="6878" w:type="dxa"/>
            <w:vAlign w:val="center"/>
          </w:tcPr>
          <w:p w14:paraId="3DDC3D65">
            <w:pPr>
              <w:spacing w:line="240" w:lineRule="auto"/>
              <w:ind w:firstLine="0" w:firstLineChars="0"/>
              <w:rPr>
                <w:rFonts w:ascii="宋体" w:hAnsi="宋体" w:eastAsia="宋体" w:cs="宋体"/>
                <w:szCs w:val="21"/>
              </w:rPr>
            </w:pPr>
            <w:r>
              <w:rPr>
                <w:rFonts w:hint="eastAsia" w:ascii="宋体" w:hAnsi="宋体" w:eastAsia="宋体" w:cs="宋体"/>
                <w:szCs w:val="21"/>
              </w:rPr>
              <w:t>出资比例：100%</w:t>
            </w:r>
          </w:p>
        </w:tc>
      </w:tr>
      <w:tr w14:paraId="23F9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16" w:type="dxa"/>
            <w:vAlign w:val="center"/>
          </w:tcPr>
          <w:p w14:paraId="32C40276">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1.3.1</w:t>
            </w:r>
          </w:p>
        </w:tc>
        <w:tc>
          <w:tcPr>
            <w:tcW w:w="1905" w:type="dxa"/>
            <w:vAlign w:val="center"/>
          </w:tcPr>
          <w:p w14:paraId="71D2C674">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采购内容</w:t>
            </w:r>
          </w:p>
        </w:tc>
        <w:tc>
          <w:tcPr>
            <w:tcW w:w="6878" w:type="dxa"/>
            <w:vAlign w:val="bottom"/>
          </w:tcPr>
          <w:p w14:paraId="12C64807">
            <w:pPr>
              <w:adjustRightInd w:val="0"/>
              <w:snapToGrid w:val="0"/>
              <w:spacing w:line="360" w:lineRule="auto"/>
              <w:ind w:firstLine="0" w:firstLineChars="0"/>
              <w:rPr>
                <w:rFonts w:ascii="宋体" w:hAnsi="宋体" w:eastAsia="宋体" w:cs="宋体"/>
                <w:szCs w:val="21"/>
              </w:rPr>
            </w:pPr>
            <w:r>
              <w:rPr>
                <w:rFonts w:ascii="宋体" w:hAnsi="宋体" w:eastAsia="宋体" w:cs="宋体"/>
                <w:szCs w:val="21"/>
              </w:rPr>
              <w:t>信阳市第六职业高级中学舞蹈、美术、音乐教室升级优化，包含货物的供应、运输、安装、调试、售后等相关服务（详见招标文件）</w:t>
            </w:r>
          </w:p>
        </w:tc>
      </w:tr>
      <w:tr w14:paraId="594D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16" w:type="dxa"/>
            <w:vAlign w:val="center"/>
          </w:tcPr>
          <w:p w14:paraId="5FDDF11D">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1.3.2</w:t>
            </w:r>
          </w:p>
        </w:tc>
        <w:tc>
          <w:tcPr>
            <w:tcW w:w="1905" w:type="dxa"/>
            <w:vAlign w:val="center"/>
          </w:tcPr>
          <w:p w14:paraId="663E00A1">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质量要求</w:t>
            </w:r>
          </w:p>
        </w:tc>
        <w:tc>
          <w:tcPr>
            <w:tcW w:w="6878" w:type="dxa"/>
            <w:vAlign w:val="center"/>
          </w:tcPr>
          <w:p w14:paraId="2DEECA46">
            <w:pPr>
              <w:pStyle w:val="47"/>
              <w:rPr>
                <w:rFonts w:hAnsi="宋体"/>
                <w:color w:val="auto"/>
                <w:sz w:val="21"/>
                <w:szCs w:val="21"/>
              </w:rPr>
            </w:pPr>
            <w:r>
              <w:rPr>
                <w:rFonts w:hint="eastAsia" w:hAnsi="宋体"/>
                <w:color w:val="auto"/>
                <w:sz w:val="21"/>
                <w:szCs w:val="21"/>
              </w:rPr>
              <w:t>符合国家现行相关标准和规范要求，达到合格标准</w:t>
            </w:r>
          </w:p>
        </w:tc>
      </w:tr>
      <w:tr w14:paraId="7E9C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6" w:type="dxa"/>
            <w:vAlign w:val="center"/>
          </w:tcPr>
          <w:p w14:paraId="2C2D1849">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1.3.3</w:t>
            </w:r>
          </w:p>
        </w:tc>
        <w:tc>
          <w:tcPr>
            <w:tcW w:w="1905" w:type="dxa"/>
            <w:vAlign w:val="center"/>
          </w:tcPr>
          <w:p w14:paraId="26199335">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cs="宋体"/>
                <w:szCs w:val="21"/>
              </w:rPr>
              <w:t>交货期</w:t>
            </w:r>
          </w:p>
        </w:tc>
        <w:tc>
          <w:tcPr>
            <w:tcW w:w="6878" w:type="dxa"/>
            <w:vAlign w:val="center"/>
          </w:tcPr>
          <w:p w14:paraId="4402EE46">
            <w:pPr>
              <w:pStyle w:val="47"/>
              <w:jc w:val="both"/>
              <w:rPr>
                <w:rFonts w:hAnsi="宋体"/>
                <w:color w:val="auto"/>
                <w:sz w:val="21"/>
                <w:szCs w:val="21"/>
              </w:rPr>
            </w:pPr>
            <w:r>
              <w:rPr>
                <w:rFonts w:hint="eastAsia" w:hAnsi="宋体"/>
                <w:color w:val="auto"/>
                <w:sz w:val="21"/>
                <w:szCs w:val="21"/>
              </w:rPr>
              <w:t>合同签订后90日历天内完成运输、安装并调试完毕</w:t>
            </w:r>
          </w:p>
        </w:tc>
      </w:tr>
      <w:tr w14:paraId="778A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30EC233E">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1.3.4</w:t>
            </w:r>
          </w:p>
        </w:tc>
        <w:tc>
          <w:tcPr>
            <w:tcW w:w="1905" w:type="dxa"/>
            <w:vAlign w:val="center"/>
          </w:tcPr>
          <w:p w14:paraId="28DFB484">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质保期</w:t>
            </w:r>
          </w:p>
        </w:tc>
        <w:tc>
          <w:tcPr>
            <w:tcW w:w="6878" w:type="dxa"/>
            <w:vAlign w:val="center"/>
          </w:tcPr>
          <w:p w14:paraId="7A4A772D">
            <w:pPr>
              <w:adjustRightInd w:val="0"/>
              <w:snapToGrid w:val="0"/>
              <w:spacing w:line="240" w:lineRule="auto"/>
              <w:ind w:firstLine="0" w:firstLineChars="0"/>
              <w:rPr>
                <w:rFonts w:ascii="宋体" w:hAnsi="宋体" w:eastAsia="宋体" w:cs="宋体"/>
                <w:b/>
                <w:szCs w:val="21"/>
              </w:rPr>
            </w:pPr>
            <w:r>
              <w:rPr>
                <w:rFonts w:hint="eastAsia" w:ascii="宋体" w:hAnsi="宋体" w:eastAsia="宋体" w:cs="宋体"/>
                <w:b/>
                <w:szCs w:val="21"/>
              </w:rPr>
              <w:t>1年</w:t>
            </w:r>
          </w:p>
        </w:tc>
      </w:tr>
      <w:tr w14:paraId="25A3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tcBorders>
              <w:top w:val="single" w:color="auto" w:sz="4" w:space="0"/>
            </w:tcBorders>
            <w:vAlign w:val="center"/>
          </w:tcPr>
          <w:p w14:paraId="25EA9C30">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1.4.1</w:t>
            </w:r>
          </w:p>
        </w:tc>
        <w:tc>
          <w:tcPr>
            <w:tcW w:w="1905" w:type="dxa"/>
            <w:tcBorders>
              <w:top w:val="single" w:color="auto" w:sz="4" w:space="0"/>
            </w:tcBorders>
            <w:vAlign w:val="center"/>
          </w:tcPr>
          <w:p w14:paraId="7CBB69EF">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投标人资格要求</w:t>
            </w:r>
          </w:p>
        </w:tc>
        <w:tc>
          <w:tcPr>
            <w:tcW w:w="6878" w:type="dxa"/>
            <w:tcBorders>
              <w:top w:val="single" w:color="auto" w:sz="4" w:space="0"/>
            </w:tcBorders>
            <w:vAlign w:val="center"/>
          </w:tcPr>
          <w:p w14:paraId="51BC7E43">
            <w:pPr>
              <w:adjustRightInd w:val="0"/>
              <w:snapToGrid w:val="0"/>
              <w:spacing w:line="360" w:lineRule="auto"/>
              <w:ind w:firstLine="0" w:firstLineChars="0"/>
              <w:rPr>
                <w:rFonts w:ascii="宋体" w:hAnsi="宋体" w:eastAsia="宋体" w:cs="宋体"/>
                <w:szCs w:val="21"/>
              </w:rPr>
            </w:pPr>
            <w:r>
              <w:rPr>
                <w:rFonts w:ascii="宋体" w:hAnsi="宋体" w:eastAsia="宋体" w:cs="宋体"/>
                <w:szCs w:val="21"/>
              </w:rPr>
              <w:t>1、满足《中华人民共和国政府采购法》第二十二条规定。</w:t>
            </w:r>
          </w:p>
          <w:p w14:paraId="7FA04E03">
            <w:pPr>
              <w:adjustRightInd w:val="0"/>
              <w:snapToGrid w:val="0"/>
              <w:spacing w:line="360" w:lineRule="auto"/>
              <w:ind w:firstLine="0" w:firstLineChars="0"/>
              <w:rPr>
                <w:rFonts w:ascii="宋体" w:hAnsi="宋体" w:eastAsia="宋体" w:cs="宋体"/>
                <w:szCs w:val="21"/>
              </w:rPr>
            </w:pPr>
            <w:r>
              <w:rPr>
                <w:rFonts w:ascii="宋体" w:hAnsi="宋体" w:eastAsia="宋体" w:cs="宋体"/>
                <w:szCs w:val="21"/>
              </w:rPr>
              <w:t>2、落实政府采购政策满足的资格要求：本项目非专门面向中小企业采购【该项目符合《政府采购促进中小企业发展管理办法》（财库【2020】46号）第六条第3款之规定：按照本办法规定预留采购份额无法确保充分供应、充分竞争，或者存在可能影响政府采购目标实现的情形】本项目执行优先采购节能环保、环境标志性产品、优先采购自主创新产品，扶持不发达地区和少数民族地区，促进中小微企业、监狱企业、残疾人福利性企业发展等政府采购政策。</w:t>
            </w:r>
          </w:p>
          <w:p w14:paraId="28C1B455">
            <w:pPr>
              <w:adjustRightInd w:val="0"/>
              <w:snapToGrid w:val="0"/>
              <w:spacing w:line="360" w:lineRule="auto"/>
              <w:ind w:firstLine="0" w:firstLineChars="0"/>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w:t>
            </w:r>
            <w:r>
              <w:rPr>
                <w:rFonts w:ascii="宋体" w:hAnsi="宋体" w:eastAsia="宋体" w:cs="宋体"/>
                <w:szCs w:val="21"/>
              </w:rPr>
              <w:t>本项目的特定资格要求：根据财政部《关于在政府采购活动中查询及使用信用记录有关问题的通知》(财库[2016]125号)和豫财购[2016]15号的规定，对列入失信被执行人、重大税收违法失信主体、政府采购严重违法失信行为记录名单的供应商，视为无效投标。查询渠道：“信用中国”网站、中国政府采购网，查询截止时点为：从公告发布之日起至投标截止之日止。提供“信用中国”网站的列入失信被执行人、重大税收违法失信主体网站截图和“中国政府采购网”网站的政府采购严重违法失信行为记录名单网站截图。</w:t>
            </w:r>
          </w:p>
          <w:p w14:paraId="012CD47E">
            <w:pPr>
              <w:adjustRightInd w:val="0"/>
              <w:snapToGrid w:val="0"/>
              <w:spacing w:line="360" w:lineRule="auto"/>
              <w:ind w:firstLine="0" w:firstLineChars="0"/>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w:t>
            </w:r>
            <w:r>
              <w:rPr>
                <w:rFonts w:ascii="宋体" w:hAnsi="宋体" w:eastAsia="宋体" w:cs="宋体"/>
                <w:szCs w:val="21"/>
              </w:rPr>
              <w:t>其他要求：</w:t>
            </w:r>
          </w:p>
          <w:p w14:paraId="2B59B370">
            <w:pPr>
              <w:adjustRightInd w:val="0"/>
              <w:snapToGrid w:val="0"/>
              <w:spacing w:line="360" w:lineRule="auto"/>
              <w:ind w:firstLine="0" w:firstLineChars="0"/>
              <w:rPr>
                <w:rFonts w:ascii="宋体" w:hAnsi="宋体" w:eastAsia="宋体" w:cs="宋体"/>
                <w:szCs w:val="21"/>
              </w:rPr>
            </w:pPr>
            <w:r>
              <w:rPr>
                <w:rFonts w:ascii="宋体" w:hAnsi="宋体" w:eastAsia="宋体" w:cs="宋体"/>
                <w:szCs w:val="21"/>
              </w:rPr>
              <w:t>4.1单位负责人为同一人或者存在直接控股、管理关系的不同单位，不得同时参加同一合同项下的政府采购活动。</w:t>
            </w:r>
          </w:p>
          <w:p w14:paraId="0139E386">
            <w:pPr>
              <w:adjustRightInd w:val="0"/>
              <w:snapToGrid w:val="0"/>
              <w:spacing w:line="360" w:lineRule="auto"/>
              <w:ind w:firstLine="0" w:firstLineChars="0"/>
              <w:rPr>
                <w:rFonts w:ascii="宋体" w:hAnsi="宋体" w:eastAsia="宋体" w:cs="宋体"/>
                <w:szCs w:val="21"/>
              </w:rPr>
            </w:pPr>
            <w:r>
              <w:rPr>
                <w:rFonts w:ascii="宋体" w:hAnsi="宋体" w:eastAsia="宋体" w:cs="宋体"/>
                <w:szCs w:val="21"/>
              </w:rPr>
              <w:t>4.2本项目适用信用承诺（详见下述要求）。</w:t>
            </w:r>
          </w:p>
          <w:p w14:paraId="5010A7C3">
            <w:pPr>
              <w:adjustRightInd w:val="0"/>
              <w:snapToGrid w:val="0"/>
              <w:spacing w:line="360" w:lineRule="auto"/>
              <w:ind w:firstLine="0" w:firstLineChars="0"/>
              <w:rPr>
                <w:rFonts w:ascii="宋体" w:hAnsi="宋体" w:eastAsia="宋体" w:cs="宋体"/>
                <w:szCs w:val="21"/>
              </w:rPr>
            </w:pPr>
            <w:r>
              <w:rPr>
                <w:rFonts w:ascii="宋体" w:hAnsi="宋体" w:eastAsia="宋体" w:cs="宋体"/>
                <w:szCs w:val="21"/>
              </w:rPr>
              <w:t>（一）在本项目政府采购活动中，供应商在投标（响应）时，可对照资格要求进行自主核对，确定符合资格要求的，可按照规定提供相关承诺函（详见响应文件中附件），供应商只需在资格审查环节提供满足相应条件的书面承诺书，不再需要提供以下证明材料：</w:t>
            </w:r>
          </w:p>
          <w:p w14:paraId="47C92F87">
            <w:pPr>
              <w:adjustRightInd w:val="0"/>
              <w:snapToGrid w:val="0"/>
              <w:spacing w:line="360" w:lineRule="auto"/>
              <w:ind w:firstLine="0" w:firstLineChars="0"/>
              <w:rPr>
                <w:rFonts w:ascii="宋体" w:hAnsi="宋体" w:eastAsia="宋体" w:cs="宋体"/>
                <w:szCs w:val="21"/>
              </w:rPr>
            </w:pPr>
            <w:r>
              <w:rPr>
                <w:rFonts w:ascii="宋体" w:hAnsi="宋体" w:eastAsia="宋体" w:cs="宋体"/>
                <w:szCs w:val="21"/>
              </w:rPr>
              <w:t>（1）具有独立承担民事责任的能力，提供有效的营业执照</w:t>
            </w:r>
            <w:r>
              <w:rPr>
                <w:rFonts w:hint="eastAsia" w:ascii="宋体" w:hAnsi="宋体" w:cs="宋体"/>
                <w:szCs w:val="21"/>
                <w:lang w:eastAsia="zh-CN"/>
              </w:rPr>
              <w:t>或其他证明材料</w:t>
            </w:r>
            <w:r>
              <w:rPr>
                <w:rFonts w:ascii="宋体" w:hAnsi="宋体" w:eastAsia="宋体" w:cs="宋体"/>
                <w:szCs w:val="21"/>
              </w:rPr>
              <w:t>；</w:t>
            </w:r>
          </w:p>
          <w:p w14:paraId="55415CB6">
            <w:pPr>
              <w:adjustRightInd w:val="0"/>
              <w:snapToGrid w:val="0"/>
              <w:spacing w:line="360" w:lineRule="auto"/>
              <w:ind w:firstLine="0" w:firstLineChars="0"/>
              <w:rPr>
                <w:rFonts w:ascii="宋体" w:hAnsi="宋体" w:eastAsia="宋体" w:cs="宋体"/>
                <w:szCs w:val="21"/>
              </w:rPr>
            </w:pPr>
            <w:r>
              <w:rPr>
                <w:rFonts w:ascii="宋体" w:hAnsi="宋体" w:eastAsia="宋体" w:cs="宋体"/>
                <w:szCs w:val="21"/>
              </w:rPr>
              <w:t>（2）具有良好的商业信誉和健全的财务会计制度（提供2024年度财务审计报告，若企业成立年份不足，则需提供开户行出具的资信证明）；</w:t>
            </w:r>
          </w:p>
          <w:p w14:paraId="609DADEB">
            <w:pPr>
              <w:adjustRightInd w:val="0"/>
              <w:snapToGrid w:val="0"/>
              <w:spacing w:line="360" w:lineRule="auto"/>
              <w:ind w:firstLine="0" w:firstLineChars="0"/>
              <w:rPr>
                <w:rFonts w:ascii="宋体" w:hAnsi="宋体" w:eastAsia="宋体" w:cs="宋体"/>
                <w:szCs w:val="21"/>
              </w:rPr>
            </w:pPr>
            <w:r>
              <w:rPr>
                <w:rFonts w:ascii="宋体" w:hAnsi="宋体" w:eastAsia="宋体" w:cs="宋体"/>
                <w:szCs w:val="21"/>
              </w:rPr>
              <w:t>（3）具有履行合同所必需的设备和专业技术能力（提供承诺书，格式自拟。）；</w:t>
            </w:r>
          </w:p>
          <w:p w14:paraId="14CF87F2">
            <w:pPr>
              <w:adjustRightInd w:val="0"/>
              <w:snapToGrid w:val="0"/>
              <w:spacing w:line="360" w:lineRule="auto"/>
              <w:ind w:firstLine="0" w:firstLineChars="0"/>
              <w:rPr>
                <w:rFonts w:ascii="宋体" w:hAnsi="宋体" w:eastAsia="宋体" w:cs="宋体"/>
                <w:szCs w:val="21"/>
              </w:rPr>
            </w:pPr>
            <w:r>
              <w:rPr>
                <w:rFonts w:ascii="宋体" w:hAnsi="宋体" w:eastAsia="宋体" w:cs="宋体"/>
                <w:szCs w:val="21"/>
              </w:rPr>
              <w:t>（4）有依法缴纳税收和社会保障资金的良好记录（提供近2025年1月以来任意3个月的已依法缴纳税收和社会保障资金的凭据，依法免税或不需要缴纳社会保障资金的供应商，应提供相应证明文件，新成立公司按实际月份提供）；</w:t>
            </w:r>
          </w:p>
          <w:p w14:paraId="1CCA4245">
            <w:pPr>
              <w:adjustRightInd w:val="0"/>
              <w:snapToGrid w:val="0"/>
              <w:spacing w:line="360" w:lineRule="auto"/>
              <w:ind w:firstLine="0" w:firstLineChars="0"/>
              <w:rPr>
                <w:rFonts w:ascii="宋体" w:hAnsi="宋体" w:eastAsia="宋体" w:cs="宋体"/>
                <w:szCs w:val="21"/>
              </w:rPr>
            </w:pPr>
            <w:r>
              <w:rPr>
                <w:rFonts w:ascii="宋体" w:hAnsi="宋体" w:eastAsia="宋体" w:cs="宋体"/>
                <w:szCs w:val="21"/>
              </w:rPr>
              <w:t>（5）供应商应出具参加政府采购活动前三年内，在经营活动中没有重大违法记录的书面声明（格式自拟，并加盖本单位公章）；</w:t>
            </w:r>
          </w:p>
          <w:p w14:paraId="770A9B26">
            <w:pPr>
              <w:adjustRightInd w:val="0"/>
              <w:snapToGrid w:val="0"/>
              <w:spacing w:line="360" w:lineRule="auto"/>
              <w:ind w:firstLine="0" w:firstLineChars="0"/>
              <w:rPr>
                <w:rFonts w:ascii="宋体" w:hAnsi="宋体" w:eastAsia="宋体" w:cs="宋体"/>
                <w:szCs w:val="21"/>
              </w:rPr>
            </w:pPr>
            <w:r>
              <w:rPr>
                <w:rFonts w:ascii="宋体" w:hAnsi="宋体" w:eastAsia="宋体" w:cs="宋体"/>
                <w:szCs w:val="21"/>
              </w:rPr>
              <w:t>（6）法律、行政法规规定的其他条件。</w:t>
            </w:r>
          </w:p>
          <w:p w14:paraId="5CC7B19F">
            <w:pPr>
              <w:adjustRightInd w:val="0"/>
              <w:snapToGrid w:val="0"/>
              <w:spacing w:line="360" w:lineRule="auto"/>
              <w:ind w:firstLine="0" w:firstLineChars="0"/>
            </w:pPr>
            <w:r>
              <w:rPr>
                <w:rFonts w:hint="eastAsia" w:ascii="宋体" w:hAnsi="宋体" w:eastAsia="宋体" w:cs="宋体"/>
                <w:szCs w:val="21"/>
                <w:lang w:val="en-US" w:eastAsia="zh-CN"/>
              </w:rPr>
              <w:t>（二）供应商在中标（成交）后，应将上述由信用承诺函替代的证明材料提交采购人（采购代理机构）核验，经核验无误后，由采购人发出中标（成交）通知书。</w:t>
            </w:r>
          </w:p>
        </w:tc>
      </w:tr>
      <w:tr w14:paraId="6E42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tcBorders>
              <w:top w:val="single" w:color="auto" w:sz="4" w:space="0"/>
            </w:tcBorders>
            <w:vAlign w:val="center"/>
          </w:tcPr>
          <w:p w14:paraId="1146A479">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1.5</w:t>
            </w:r>
          </w:p>
        </w:tc>
        <w:tc>
          <w:tcPr>
            <w:tcW w:w="1905" w:type="dxa"/>
            <w:tcBorders>
              <w:top w:val="single" w:color="auto" w:sz="4" w:space="0"/>
            </w:tcBorders>
            <w:vAlign w:val="center"/>
          </w:tcPr>
          <w:p w14:paraId="216EC7C8">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付款方式</w:t>
            </w:r>
          </w:p>
        </w:tc>
        <w:tc>
          <w:tcPr>
            <w:tcW w:w="6878" w:type="dxa"/>
            <w:tcBorders>
              <w:top w:val="single" w:color="auto" w:sz="4" w:space="0"/>
            </w:tcBorders>
            <w:vAlign w:val="center"/>
          </w:tcPr>
          <w:p w14:paraId="3D325F88">
            <w:pPr>
              <w:spacing w:line="240" w:lineRule="auto"/>
              <w:ind w:firstLine="0" w:firstLineChars="0"/>
              <w:rPr>
                <w:rFonts w:ascii="宋体" w:hAnsi="宋体" w:eastAsia="宋体" w:cs="宋体"/>
                <w:szCs w:val="21"/>
              </w:rPr>
            </w:pPr>
            <w:r>
              <w:rPr>
                <w:rFonts w:hint="eastAsia" w:ascii="宋体" w:hAnsi="宋体" w:eastAsia="宋体" w:cs="宋体"/>
                <w:szCs w:val="21"/>
              </w:rPr>
              <w:t>双方在合同中自行约定</w:t>
            </w:r>
          </w:p>
        </w:tc>
      </w:tr>
      <w:tr w14:paraId="2B2D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16" w:type="dxa"/>
            <w:vAlign w:val="center"/>
          </w:tcPr>
          <w:p w14:paraId="7AB4BCA7">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2.2.2</w:t>
            </w:r>
          </w:p>
        </w:tc>
        <w:tc>
          <w:tcPr>
            <w:tcW w:w="1905" w:type="dxa"/>
            <w:vAlign w:val="center"/>
          </w:tcPr>
          <w:p w14:paraId="121D8807">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投标文件提交截止时间</w:t>
            </w:r>
          </w:p>
        </w:tc>
        <w:tc>
          <w:tcPr>
            <w:tcW w:w="6878" w:type="dxa"/>
            <w:vAlign w:val="center"/>
          </w:tcPr>
          <w:p w14:paraId="7CA5B0D7">
            <w:pPr>
              <w:widowControl/>
              <w:spacing w:line="240" w:lineRule="auto"/>
              <w:ind w:firstLine="0" w:firstLineChars="0"/>
              <w:jc w:val="left"/>
              <w:rPr>
                <w:rFonts w:ascii="宋体" w:hAnsi="宋体" w:cs="宋体"/>
                <w:szCs w:val="21"/>
              </w:rPr>
            </w:pPr>
            <w:r>
              <w:rPr>
                <w:rFonts w:hint="eastAsia" w:ascii="宋体" w:hAnsi="宋体" w:cs="宋体"/>
                <w:szCs w:val="21"/>
              </w:rPr>
              <w:t>2025年</w:t>
            </w:r>
            <w:r>
              <w:rPr>
                <w:rFonts w:hint="default" w:ascii="宋体" w:hAnsi="宋体" w:cs="宋体"/>
                <w:szCs w:val="21"/>
                <w:lang w:val="en-US"/>
              </w:rPr>
              <w:t>8</w:t>
            </w:r>
            <w:r>
              <w:rPr>
                <w:rFonts w:hint="eastAsia" w:ascii="宋体" w:hAnsi="宋体" w:cs="宋体"/>
                <w:szCs w:val="21"/>
              </w:rPr>
              <w:t>月</w:t>
            </w:r>
            <w:r>
              <w:rPr>
                <w:rFonts w:hint="default" w:ascii="宋体" w:hAnsi="宋体" w:cs="宋体"/>
                <w:szCs w:val="21"/>
                <w:lang w:val="en-US"/>
              </w:rPr>
              <w:t>25</w:t>
            </w:r>
            <w:r>
              <w:rPr>
                <w:rFonts w:hint="eastAsia" w:ascii="宋体" w:hAnsi="宋体" w:cs="宋体"/>
                <w:szCs w:val="21"/>
              </w:rPr>
              <w:t>日9时30分</w:t>
            </w:r>
          </w:p>
        </w:tc>
      </w:tr>
      <w:tr w14:paraId="701F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41BED571">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2.2.3</w:t>
            </w:r>
          </w:p>
        </w:tc>
        <w:tc>
          <w:tcPr>
            <w:tcW w:w="1905" w:type="dxa"/>
            <w:vAlign w:val="center"/>
          </w:tcPr>
          <w:p w14:paraId="3D656017">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投标人确认收到招标文件澄清的时间</w:t>
            </w:r>
          </w:p>
        </w:tc>
        <w:tc>
          <w:tcPr>
            <w:tcW w:w="6878" w:type="dxa"/>
            <w:vAlign w:val="center"/>
          </w:tcPr>
          <w:p w14:paraId="2C53E709">
            <w:pPr>
              <w:autoSpaceDE w:val="0"/>
              <w:autoSpaceDN w:val="0"/>
              <w:adjustRightInd w:val="0"/>
              <w:spacing w:line="240" w:lineRule="auto"/>
              <w:ind w:firstLine="0" w:firstLineChars="0"/>
              <w:rPr>
                <w:rFonts w:ascii="宋体" w:hAnsi="宋体" w:eastAsia="宋体" w:cs="宋体"/>
                <w:szCs w:val="21"/>
              </w:rPr>
            </w:pPr>
            <w:r>
              <w:rPr>
                <w:rFonts w:hint="eastAsia" w:ascii="宋体" w:hAnsi="宋体" w:eastAsia="宋体" w:cs="宋体"/>
                <w:szCs w:val="21"/>
              </w:rPr>
              <w:t>在收到相应澄清文件后24小时内</w:t>
            </w:r>
          </w:p>
        </w:tc>
      </w:tr>
      <w:tr w14:paraId="08CB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6" w:type="dxa"/>
            <w:vAlign w:val="center"/>
          </w:tcPr>
          <w:p w14:paraId="5CBCF251">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2.3</w:t>
            </w:r>
          </w:p>
        </w:tc>
        <w:tc>
          <w:tcPr>
            <w:tcW w:w="1905" w:type="dxa"/>
            <w:vAlign w:val="center"/>
          </w:tcPr>
          <w:p w14:paraId="7BC3719C">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 xml:space="preserve">采购人澄清的时间 </w:t>
            </w:r>
          </w:p>
        </w:tc>
        <w:tc>
          <w:tcPr>
            <w:tcW w:w="6878" w:type="dxa"/>
            <w:vAlign w:val="center"/>
          </w:tcPr>
          <w:p w14:paraId="38A34817">
            <w:pPr>
              <w:autoSpaceDE w:val="0"/>
              <w:autoSpaceDN w:val="0"/>
              <w:adjustRightInd w:val="0"/>
              <w:spacing w:line="240" w:lineRule="auto"/>
              <w:ind w:firstLine="0" w:firstLineChars="0"/>
              <w:rPr>
                <w:rFonts w:ascii="宋体" w:hAnsi="宋体" w:eastAsia="宋体" w:cs="宋体"/>
                <w:szCs w:val="21"/>
              </w:rPr>
            </w:pPr>
            <w:r>
              <w:rPr>
                <w:rFonts w:hint="eastAsia" w:ascii="宋体" w:hAnsi="宋体" w:eastAsia="宋体" w:cs="宋体"/>
                <w:szCs w:val="21"/>
              </w:rPr>
              <w:t>提交投标文件截止时间15日前</w:t>
            </w:r>
          </w:p>
        </w:tc>
      </w:tr>
      <w:tr w14:paraId="75F9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6" w:type="dxa"/>
            <w:vAlign w:val="center"/>
          </w:tcPr>
          <w:p w14:paraId="1EEB2F54">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2.3.2</w:t>
            </w:r>
          </w:p>
        </w:tc>
        <w:tc>
          <w:tcPr>
            <w:tcW w:w="1905" w:type="dxa"/>
            <w:vAlign w:val="center"/>
          </w:tcPr>
          <w:p w14:paraId="1AFB37A7">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供应商确认收到招标文件修改的时间</w:t>
            </w:r>
          </w:p>
        </w:tc>
        <w:tc>
          <w:tcPr>
            <w:tcW w:w="6878" w:type="dxa"/>
            <w:vAlign w:val="center"/>
          </w:tcPr>
          <w:p w14:paraId="31BCBD54">
            <w:pPr>
              <w:autoSpaceDE w:val="0"/>
              <w:autoSpaceDN w:val="0"/>
              <w:adjustRightInd w:val="0"/>
              <w:spacing w:line="240" w:lineRule="auto"/>
              <w:ind w:firstLine="0" w:firstLineChars="0"/>
              <w:rPr>
                <w:rFonts w:ascii="宋体" w:hAnsi="宋体" w:eastAsia="宋体" w:cs="宋体"/>
                <w:szCs w:val="21"/>
              </w:rPr>
            </w:pPr>
            <w:r>
              <w:rPr>
                <w:rFonts w:hint="eastAsia" w:ascii="宋体" w:hAnsi="宋体" w:eastAsia="宋体" w:cs="宋体"/>
                <w:szCs w:val="21"/>
              </w:rPr>
              <w:t>在收到相应修改文件后24小时内</w:t>
            </w:r>
          </w:p>
        </w:tc>
      </w:tr>
      <w:tr w14:paraId="188C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16" w:type="dxa"/>
            <w:tcBorders>
              <w:bottom w:val="single" w:color="auto" w:sz="4" w:space="0"/>
            </w:tcBorders>
            <w:vAlign w:val="center"/>
          </w:tcPr>
          <w:p w14:paraId="4D5296C6">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3.1</w:t>
            </w:r>
          </w:p>
        </w:tc>
        <w:tc>
          <w:tcPr>
            <w:tcW w:w="1905" w:type="dxa"/>
            <w:tcBorders>
              <w:bottom w:val="single" w:color="auto" w:sz="4" w:space="0"/>
            </w:tcBorders>
            <w:vAlign w:val="center"/>
          </w:tcPr>
          <w:p w14:paraId="149B3545">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构成投标文件的其他材料</w:t>
            </w:r>
          </w:p>
        </w:tc>
        <w:tc>
          <w:tcPr>
            <w:tcW w:w="6878" w:type="dxa"/>
            <w:tcBorders>
              <w:bottom w:val="single" w:color="auto" w:sz="4" w:space="0"/>
            </w:tcBorders>
            <w:vAlign w:val="center"/>
          </w:tcPr>
          <w:p w14:paraId="566CF49B">
            <w:pPr>
              <w:autoSpaceDE w:val="0"/>
              <w:autoSpaceDN w:val="0"/>
              <w:adjustRightInd w:val="0"/>
              <w:spacing w:line="240" w:lineRule="auto"/>
              <w:ind w:firstLine="0" w:firstLineChars="0"/>
              <w:rPr>
                <w:rFonts w:ascii="宋体" w:hAnsi="宋体" w:eastAsia="宋体" w:cs="宋体"/>
                <w:kern w:val="0"/>
                <w:szCs w:val="21"/>
              </w:rPr>
            </w:pPr>
            <w:r>
              <w:rPr>
                <w:rFonts w:hint="eastAsia" w:ascii="宋体" w:hAnsi="宋体" w:eastAsia="宋体" w:cs="宋体"/>
                <w:kern w:val="0"/>
                <w:szCs w:val="21"/>
              </w:rPr>
              <w:t>投标人认为其他所需要补充的内容</w:t>
            </w:r>
          </w:p>
        </w:tc>
      </w:tr>
      <w:tr w14:paraId="0D9A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70F67241">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3.4.1</w:t>
            </w:r>
          </w:p>
        </w:tc>
        <w:tc>
          <w:tcPr>
            <w:tcW w:w="1905" w:type="dxa"/>
            <w:vAlign w:val="center"/>
          </w:tcPr>
          <w:p w14:paraId="7FF14D44">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投标有效期</w:t>
            </w:r>
          </w:p>
        </w:tc>
        <w:tc>
          <w:tcPr>
            <w:tcW w:w="6878" w:type="dxa"/>
            <w:vAlign w:val="center"/>
          </w:tcPr>
          <w:p w14:paraId="1292A5F5">
            <w:pPr>
              <w:autoSpaceDE w:val="0"/>
              <w:autoSpaceDN w:val="0"/>
              <w:adjustRightInd w:val="0"/>
              <w:spacing w:line="240" w:lineRule="auto"/>
              <w:ind w:firstLine="0" w:firstLineChars="0"/>
              <w:rPr>
                <w:rFonts w:ascii="宋体" w:hAnsi="宋体" w:eastAsia="宋体" w:cs="宋体"/>
                <w:kern w:val="0"/>
                <w:szCs w:val="21"/>
              </w:rPr>
            </w:pPr>
            <w:r>
              <w:rPr>
                <w:rFonts w:hint="eastAsia" w:ascii="宋体" w:hAnsi="宋体" w:eastAsia="宋体" w:cs="宋体"/>
                <w:kern w:val="0"/>
                <w:szCs w:val="21"/>
              </w:rPr>
              <w:t>60日历天（从投标截止之日算起）</w:t>
            </w:r>
          </w:p>
        </w:tc>
      </w:tr>
      <w:tr w14:paraId="0008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vAlign w:val="center"/>
          </w:tcPr>
          <w:p w14:paraId="27033141">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3.5.8</w:t>
            </w:r>
          </w:p>
        </w:tc>
        <w:tc>
          <w:tcPr>
            <w:tcW w:w="1905" w:type="dxa"/>
            <w:vAlign w:val="center"/>
          </w:tcPr>
          <w:p w14:paraId="42623EE3">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投标文件签字和盖章要求</w:t>
            </w:r>
          </w:p>
        </w:tc>
        <w:tc>
          <w:tcPr>
            <w:tcW w:w="6878" w:type="dxa"/>
            <w:vAlign w:val="center"/>
          </w:tcPr>
          <w:p w14:paraId="0F1D94D1">
            <w:pPr>
              <w:autoSpaceDE w:val="0"/>
              <w:autoSpaceDN w:val="0"/>
              <w:adjustRightInd w:val="0"/>
              <w:spacing w:line="240" w:lineRule="auto"/>
              <w:ind w:firstLine="0" w:firstLineChars="0"/>
              <w:rPr>
                <w:rFonts w:ascii="宋体" w:hAnsi="宋体" w:eastAsia="宋体" w:cs="宋体"/>
                <w:kern w:val="0"/>
                <w:szCs w:val="21"/>
              </w:rPr>
            </w:pPr>
            <w:r>
              <w:rPr>
                <w:rFonts w:hint="eastAsia" w:ascii="宋体" w:hAnsi="宋体" w:eastAsia="宋体" w:cs="宋体"/>
                <w:kern w:val="0"/>
                <w:szCs w:val="21"/>
              </w:rPr>
              <w:t>1、投标文件格式中所有要求投标人加盖公章的地方都须加盖投标人的 CA 印章。</w:t>
            </w:r>
          </w:p>
          <w:p w14:paraId="66CA2D8E">
            <w:pPr>
              <w:autoSpaceDE w:val="0"/>
              <w:autoSpaceDN w:val="0"/>
              <w:adjustRightInd w:val="0"/>
              <w:spacing w:line="240" w:lineRule="auto"/>
              <w:ind w:firstLine="0" w:firstLineChars="0"/>
              <w:rPr>
                <w:rFonts w:ascii="宋体" w:hAnsi="宋体" w:eastAsia="宋体" w:cs="宋体"/>
                <w:kern w:val="0"/>
                <w:szCs w:val="21"/>
              </w:rPr>
            </w:pPr>
            <w:r>
              <w:rPr>
                <w:rFonts w:hint="eastAsia" w:ascii="宋体" w:hAnsi="宋体" w:eastAsia="宋体" w:cs="宋体"/>
                <w:kern w:val="0"/>
                <w:szCs w:val="21"/>
              </w:rPr>
              <w:t>2、所有要求法定代表人或其委托代理人签字的地方都须法定代表人或其委托代理人加盖CA印章或签字。</w:t>
            </w:r>
          </w:p>
        </w:tc>
      </w:tr>
      <w:tr w14:paraId="1C39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vAlign w:val="center"/>
          </w:tcPr>
          <w:p w14:paraId="3A452A16">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3.5.9</w:t>
            </w:r>
          </w:p>
        </w:tc>
        <w:tc>
          <w:tcPr>
            <w:tcW w:w="1905" w:type="dxa"/>
            <w:vAlign w:val="center"/>
          </w:tcPr>
          <w:p w14:paraId="7DA17F49">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投标文件份数及其他要求</w:t>
            </w:r>
          </w:p>
        </w:tc>
        <w:tc>
          <w:tcPr>
            <w:tcW w:w="6878" w:type="dxa"/>
            <w:vAlign w:val="center"/>
          </w:tcPr>
          <w:p w14:paraId="56209D5D">
            <w:pPr>
              <w:autoSpaceDE w:val="0"/>
              <w:autoSpaceDN w:val="0"/>
              <w:adjustRightInd w:val="0"/>
              <w:spacing w:line="240" w:lineRule="auto"/>
              <w:ind w:firstLine="0" w:firstLineChars="0"/>
              <w:rPr>
                <w:rFonts w:ascii="宋体" w:hAnsi="宋体" w:eastAsia="宋体" w:cs="宋体"/>
                <w:kern w:val="0"/>
                <w:szCs w:val="21"/>
              </w:rPr>
            </w:pPr>
            <w:r>
              <w:rPr>
                <w:rFonts w:hint="eastAsia" w:ascii="宋体" w:hAnsi="宋体" w:eastAsia="宋体" w:cs="宋体"/>
                <w:kern w:val="0"/>
                <w:szCs w:val="21"/>
              </w:rPr>
              <w:t>加密的电子投标文件壹份（*.XYTF 格式，在会员系统指定位置上传）</w:t>
            </w:r>
          </w:p>
        </w:tc>
      </w:tr>
      <w:tr w14:paraId="2176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jc w:val="center"/>
        </w:trPr>
        <w:tc>
          <w:tcPr>
            <w:tcW w:w="916" w:type="dxa"/>
            <w:vAlign w:val="center"/>
          </w:tcPr>
          <w:p w14:paraId="25D5F76E">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4.2</w:t>
            </w:r>
          </w:p>
        </w:tc>
        <w:tc>
          <w:tcPr>
            <w:tcW w:w="1905" w:type="dxa"/>
            <w:vAlign w:val="center"/>
          </w:tcPr>
          <w:p w14:paraId="5626A845">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投标文件递交</w:t>
            </w:r>
          </w:p>
        </w:tc>
        <w:tc>
          <w:tcPr>
            <w:tcW w:w="6878" w:type="dxa"/>
            <w:vAlign w:val="center"/>
          </w:tcPr>
          <w:p w14:paraId="32F8861C">
            <w:pPr>
              <w:adjustRightInd w:val="0"/>
              <w:spacing w:line="240" w:lineRule="auto"/>
              <w:ind w:firstLine="0" w:firstLineChars="0"/>
              <w:jc w:val="left"/>
              <w:rPr>
                <w:rFonts w:ascii="宋体" w:hAnsi="宋体" w:eastAsia="宋体" w:cs="宋体"/>
                <w:szCs w:val="21"/>
              </w:rPr>
            </w:pPr>
            <w:r>
              <w:rPr>
                <w:rFonts w:hint="eastAsia" w:ascii="宋体" w:hAnsi="宋体" w:eastAsia="宋体" w:cs="宋体"/>
                <w:szCs w:val="21"/>
              </w:rPr>
              <w:t>1、电子投标文件的递交</w:t>
            </w:r>
          </w:p>
          <w:p w14:paraId="0ABF2823">
            <w:pPr>
              <w:adjustRightInd w:val="0"/>
              <w:spacing w:line="240" w:lineRule="auto"/>
              <w:ind w:firstLine="0" w:firstLineChars="0"/>
              <w:jc w:val="left"/>
              <w:rPr>
                <w:rFonts w:ascii="宋体" w:hAnsi="宋体" w:eastAsia="宋体" w:cs="宋体"/>
                <w:szCs w:val="21"/>
              </w:rPr>
            </w:pPr>
            <w:r>
              <w:rPr>
                <w:rFonts w:hint="eastAsia" w:ascii="宋体" w:hAnsi="宋体" w:eastAsia="宋体" w:cs="宋体"/>
                <w:szCs w:val="21"/>
              </w:rPr>
              <w:t>各投标人应在投标截止时间前上传加密的电子投标文件（*.XYTF）到会员系统的指定位置。上传时必须得到交易系统“上传成功”的确认回复后方为上传成功。请投标人在上传前务必认真检查上传投标文件是否完整、正确。</w:t>
            </w:r>
          </w:p>
          <w:p w14:paraId="20412E3E">
            <w:pPr>
              <w:spacing w:line="240" w:lineRule="auto"/>
              <w:ind w:firstLine="0" w:firstLineChars="0"/>
              <w:rPr>
                <w:rFonts w:ascii="宋体" w:hAnsi="宋体" w:eastAsia="宋体" w:cs="宋体"/>
                <w:kern w:val="0"/>
                <w:szCs w:val="21"/>
              </w:rPr>
            </w:pPr>
            <w:r>
              <w:rPr>
                <w:rFonts w:hint="eastAsia" w:ascii="宋体" w:hAnsi="宋体" w:eastAsia="宋体" w:cs="宋体"/>
                <w:kern w:val="0"/>
                <w:szCs w:val="21"/>
              </w:rPr>
              <w:t>2、本项目采用“不见面开标”交易方式，不见面开标大厅网址为 https://ggzyjy.xinyang.gov.cn/BidOpening，投标人无需寄送和递交非加密的电子投标文件，无需到现场参加开标会议，无需到达现场提交原件资料。</w:t>
            </w:r>
          </w:p>
        </w:tc>
      </w:tr>
      <w:tr w14:paraId="4026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vAlign w:val="center"/>
          </w:tcPr>
          <w:p w14:paraId="466BD6C0">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5.1</w:t>
            </w:r>
          </w:p>
        </w:tc>
        <w:tc>
          <w:tcPr>
            <w:tcW w:w="1905" w:type="dxa"/>
            <w:vAlign w:val="center"/>
          </w:tcPr>
          <w:p w14:paraId="01F302DA">
            <w:pPr>
              <w:widowControl/>
              <w:spacing w:line="240" w:lineRule="auto"/>
              <w:ind w:firstLine="0" w:firstLineChars="0"/>
              <w:jc w:val="left"/>
              <w:rPr>
                <w:rFonts w:ascii="宋体" w:hAnsi="宋体" w:cs="宋体"/>
                <w:szCs w:val="21"/>
              </w:rPr>
            </w:pPr>
            <w:r>
              <w:rPr>
                <w:rFonts w:hint="eastAsia" w:ascii="宋体" w:hAnsi="宋体" w:cs="宋体"/>
                <w:szCs w:val="21"/>
              </w:rPr>
              <w:t>开标时间和地点</w:t>
            </w:r>
          </w:p>
        </w:tc>
        <w:tc>
          <w:tcPr>
            <w:tcW w:w="6878" w:type="dxa"/>
            <w:vAlign w:val="center"/>
          </w:tcPr>
          <w:p w14:paraId="243B4585">
            <w:pPr>
              <w:widowControl/>
              <w:spacing w:line="240" w:lineRule="auto"/>
              <w:ind w:firstLine="0" w:firstLineChars="0"/>
              <w:jc w:val="left"/>
              <w:rPr>
                <w:rFonts w:ascii="宋体" w:hAnsi="宋体" w:cs="宋体"/>
                <w:szCs w:val="21"/>
              </w:rPr>
            </w:pPr>
            <w:r>
              <w:rPr>
                <w:rFonts w:hint="eastAsia" w:ascii="宋体" w:hAnsi="宋体" w:cs="宋体"/>
                <w:szCs w:val="21"/>
              </w:rPr>
              <w:t>开标时间：</w:t>
            </w:r>
            <w:r>
              <w:rPr>
                <w:rFonts w:hint="eastAsia" w:ascii="宋体" w:hAnsi="宋体" w:cs="宋体"/>
                <w:kern w:val="0"/>
                <w:szCs w:val="21"/>
              </w:rPr>
              <w:t>同</w:t>
            </w:r>
            <w:r>
              <w:rPr>
                <w:rFonts w:hint="eastAsia" w:ascii="宋体" w:hAnsi="宋体" w:cs="宋体"/>
                <w:szCs w:val="21"/>
              </w:rPr>
              <w:t>投标文件提交</w:t>
            </w:r>
            <w:r>
              <w:rPr>
                <w:rFonts w:hint="eastAsia" w:ascii="宋体" w:hAnsi="宋体" w:cs="宋体"/>
                <w:kern w:val="0"/>
                <w:szCs w:val="21"/>
              </w:rPr>
              <w:t>截止时间</w:t>
            </w:r>
          </w:p>
          <w:p w14:paraId="0219C97F">
            <w:pPr>
              <w:widowControl/>
              <w:spacing w:line="240" w:lineRule="auto"/>
              <w:ind w:firstLine="0" w:firstLineChars="0"/>
              <w:jc w:val="left"/>
              <w:rPr>
                <w:rFonts w:ascii="宋体" w:hAnsi="宋体" w:cs="宋体"/>
                <w:szCs w:val="21"/>
              </w:rPr>
            </w:pPr>
            <w:r>
              <w:rPr>
                <w:rFonts w:hint="eastAsia" w:ascii="宋体" w:hAnsi="宋体" w:cs="宋体"/>
                <w:szCs w:val="21"/>
              </w:rPr>
              <w:t>开标地点：</w:t>
            </w:r>
            <w:r>
              <w:rPr>
                <w:rFonts w:hint="eastAsia" w:ascii="宋体" w:hAnsi="宋体" w:cs="宋体"/>
                <w:kern w:val="0"/>
                <w:szCs w:val="21"/>
              </w:rPr>
              <w:t>信阳市公共资源交易中心第</w:t>
            </w:r>
            <w:r>
              <w:rPr>
                <w:rFonts w:hint="eastAsia" w:ascii="宋体" w:hAnsi="宋体" w:eastAsia="宋体" w:cs="宋体"/>
                <w:bCs/>
                <w:szCs w:val="21"/>
                <w:u w:val="single"/>
              </w:rPr>
              <w:t xml:space="preserve">  </w:t>
            </w:r>
            <w:r>
              <w:rPr>
                <w:rFonts w:hint="eastAsia" w:ascii="宋体" w:hAnsi="宋体" w:eastAsia="宋体" w:cs="宋体"/>
                <w:bCs/>
                <w:szCs w:val="21"/>
                <w:u w:val="single"/>
                <w:lang w:eastAsia="zh-CN"/>
              </w:rPr>
              <w:t>三</w:t>
            </w:r>
            <w:r>
              <w:rPr>
                <w:rFonts w:hint="eastAsia" w:ascii="宋体" w:hAnsi="宋体" w:eastAsia="宋体" w:cs="宋体"/>
                <w:bCs/>
                <w:szCs w:val="21"/>
                <w:u w:val="single"/>
              </w:rPr>
              <w:t xml:space="preserve">  </w:t>
            </w:r>
            <w:r>
              <w:rPr>
                <w:rFonts w:hint="eastAsia" w:ascii="宋体" w:hAnsi="宋体" w:cs="宋体"/>
                <w:kern w:val="0"/>
                <w:szCs w:val="21"/>
              </w:rPr>
              <w:t>开标室</w:t>
            </w:r>
          </w:p>
        </w:tc>
      </w:tr>
      <w:tr w14:paraId="649D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6AED5A5E">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6.1</w:t>
            </w:r>
          </w:p>
        </w:tc>
        <w:tc>
          <w:tcPr>
            <w:tcW w:w="1905" w:type="dxa"/>
            <w:vAlign w:val="center"/>
          </w:tcPr>
          <w:p w14:paraId="16C92407">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评标委员会的组建</w:t>
            </w:r>
          </w:p>
        </w:tc>
        <w:tc>
          <w:tcPr>
            <w:tcW w:w="6878" w:type="dxa"/>
            <w:vAlign w:val="center"/>
          </w:tcPr>
          <w:p w14:paraId="5DE3715D">
            <w:pPr>
              <w:autoSpaceDE w:val="0"/>
              <w:autoSpaceDN w:val="0"/>
              <w:adjustRightInd w:val="0"/>
              <w:spacing w:line="240" w:lineRule="auto"/>
              <w:ind w:firstLine="0" w:firstLineChars="0"/>
              <w:rPr>
                <w:rFonts w:ascii="宋体" w:hAnsi="宋体" w:eastAsia="宋体" w:cs="宋体"/>
                <w:kern w:val="0"/>
                <w:szCs w:val="21"/>
              </w:rPr>
            </w:pPr>
            <w:r>
              <w:rPr>
                <w:rFonts w:hint="eastAsia" w:ascii="宋体" w:hAnsi="宋体" w:eastAsia="宋体" w:cs="宋体"/>
                <w:kern w:val="0"/>
                <w:szCs w:val="21"/>
              </w:rPr>
              <w:t>评标委员会构成：</w:t>
            </w:r>
            <w:r>
              <w:rPr>
                <w:rFonts w:hint="eastAsia" w:ascii="宋体" w:hAnsi="宋体" w:eastAsia="宋体" w:cs="宋体"/>
                <w:kern w:val="0"/>
                <w:szCs w:val="21"/>
                <w:u w:val="single"/>
              </w:rPr>
              <w:t xml:space="preserve"> 5 </w:t>
            </w:r>
            <w:r>
              <w:rPr>
                <w:rFonts w:hint="eastAsia" w:ascii="宋体" w:hAnsi="宋体" w:eastAsia="宋体" w:cs="宋体"/>
                <w:kern w:val="0"/>
                <w:szCs w:val="21"/>
              </w:rPr>
              <w:t>人，其中业主评委</w:t>
            </w:r>
            <w:r>
              <w:rPr>
                <w:rFonts w:hint="eastAsia" w:ascii="宋体" w:hAnsi="宋体" w:eastAsia="宋体" w:cs="宋体"/>
                <w:kern w:val="0"/>
                <w:szCs w:val="21"/>
                <w:u w:val="single"/>
              </w:rPr>
              <w:t xml:space="preserve"> 1 </w:t>
            </w:r>
            <w:r>
              <w:rPr>
                <w:rFonts w:hint="eastAsia" w:ascii="宋体" w:hAnsi="宋体" w:eastAsia="宋体" w:cs="宋体"/>
                <w:kern w:val="0"/>
                <w:szCs w:val="21"/>
              </w:rPr>
              <w:t>人，评审专家</w:t>
            </w:r>
            <w:r>
              <w:rPr>
                <w:rFonts w:hint="eastAsia" w:ascii="宋体" w:hAnsi="宋体" w:eastAsia="宋体" w:cs="宋体"/>
                <w:kern w:val="0"/>
                <w:szCs w:val="21"/>
                <w:u w:val="single"/>
              </w:rPr>
              <w:t xml:space="preserve"> 4 </w:t>
            </w:r>
            <w:r>
              <w:rPr>
                <w:rFonts w:hint="eastAsia" w:ascii="宋体" w:hAnsi="宋体" w:eastAsia="宋体" w:cs="宋体"/>
                <w:kern w:val="0"/>
                <w:szCs w:val="21"/>
              </w:rPr>
              <w:t>人。</w:t>
            </w:r>
          </w:p>
          <w:p w14:paraId="2D0F1287">
            <w:pPr>
              <w:autoSpaceDE w:val="0"/>
              <w:autoSpaceDN w:val="0"/>
              <w:adjustRightInd w:val="0"/>
              <w:spacing w:line="240" w:lineRule="auto"/>
              <w:ind w:firstLine="0" w:firstLineChars="0"/>
              <w:rPr>
                <w:rFonts w:ascii="宋体" w:hAnsi="宋体" w:eastAsia="宋体" w:cs="宋体"/>
                <w:kern w:val="0"/>
                <w:szCs w:val="21"/>
              </w:rPr>
            </w:pPr>
            <w:r>
              <w:rPr>
                <w:rFonts w:hint="eastAsia" w:ascii="宋体" w:hAnsi="宋体" w:eastAsia="宋体" w:cs="宋体"/>
                <w:kern w:val="0"/>
                <w:szCs w:val="21"/>
              </w:rPr>
              <w:t>专家从政府采购专家库中随机抽取。</w:t>
            </w:r>
          </w:p>
        </w:tc>
      </w:tr>
      <w:tr w14:paraId="6C942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6" w:type="dxa"/>
            <w:vAlign w:val="center"/>
          </w:tcPr>
          <w:p w14:paraId="6AB46F4A">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7.1</w:t>
            </w:r>
          </w:p>
        </w:tc>
        <w:tc>
          <w:tcPr>
            <w:tcW w:w="1905" w:type="dxa"/>
            <w:vAlign w:val="center"/>
          </w:tcPr>
          <w:p w14:paraId="6CC64074">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是否授权评标委员会确定中标人</w:t>
            </w:r>
          </w:p>
        </w:tc>
        <w:tc>
          <w:tcPr>
            <w:tcW w:w="6878" w:type="dxa"/>
            <w:vAlign w:val="center"/>
          </w:tcPr>
          <w:p w14:paraId="1C7882E4">
            <w:pPr>
              <w:autoSpaceDE w:val="0"/>
              <w:autoSpaceDN w:val="0"/>
              <w:adjustRightInd w:val="0"/>
              <w:spacing w:line="240" w:lineRule="auto"/>
              <w:ind w:firstLine="0" w:firstLineChars="0"/>
              <w:rPr>
                <w:rFonts w:ascii="宋体" w:hAnsi="宋体" w:eastAsia="宋体" w:cs="宋体"/>
                <w:kern w:val="0"/>
                <w:szCs w:val="21"/>
              </w:rPr>
            </w:pPr>
            <w:r>
              <w:rPr>
                <w:rFonts w:hint="eastAsia" w:ascii="宋体" w:hAnsi="宋体" w:eastAsia="宋体" w:cs="宋体"/>
                <w:kern w:val="0"/>
                <w:szCs w:val="21"/>
              </w:rPr>
              <w:t>否，推荐3名中标候选人。</w:t>
            </w:r>
          </w:p>
        </w:tc>
      </w:tr>
      <w:tr w14:paraId="3E15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Align w:val="center"/>
          </w:tcPr>
          <w:p w14:paraId="3F64D817">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7.3</w:t>
            </w:r>
          </w:p>
        </w:tc>
        <w:tc>
          <w:tcPr>
            <w:tcW w:w="1905" w:type="dxa"/>
            <w:vAlign w:val="center"/>
          </w:tcPr>
          <w:p w14:paraId="11996AC0">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履约保证金</w:t>
            </w:r>
          </w:p>
        </w:tc>
        <w:tc>
          <w:tcPr>
            <w:tcW w:w="6878" w:type="dxa"/>
            <w:vAlign w:val="center"/>
          </w:tcPr>
          <w:p w14:paraId="63BFBABA">
            <w:pPr>
              <w:autoSpaceDE w:val="0"/>
              <w:autoSpaceDN w:val="0"/>
              <w:adjustRightInd w:val="0"/>
              <w:spacing w:line="240" w:lineRule="auto"/>
              <w:ind w:firstLine="0" w:firstLineChars="0"/>
              <w:rPr>
                <w:rFonts w:ascii="宋体" w:hAnsi="宋体" w:eastAsia="宋体" w:cs="宋体"/>
                <w:szCs w:val="21"/>
              </w:rPr>
            </w:pPr>
            <w:r>
              <w:rPr>
                <w:rFonts w:hint="eastAsia" w:ascii="宋体" w:hAnsi="宋体" w:eastAsia="宋体" w:cs="宋体"/>
                <w:szCs w:val="21"/>
              </w:rPr>
              <w:t>无</w:t>
            </w:r>
          </w:p>
        </w:tc>
      </w:tr>
      <w:tr w14:paraId="25C3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7" w:hRule="atLeast"/>
          <w:jc w:val="center"/>
        </w:trPr>
        <w:tc>
          <w:tcPr>
            <w:tcW w:w="916" w:type="dxa"/>
            <w:vMerge w:val="restart"/>
            <w:vAlign w:val="center"/>
          </w:tcPr>
          <w:p w14:paraId="358B34B9">
            <w:pPr>
              <w:autoSpaceDE w:val="0"/>
              <w:autoSpaceDN w:val="0"/>
              <w:adjustRightInd w:val="0"/>
              <w:spacing w:line="240" w:lineRule="auto"/>
              <w:ind w:firstLine="0" w:firstLineChars="0"/>
              <w:jc w:val="center"/>
              <w:rPr>
                <w:rFonts w:ascii="宋体" w:hAnsi="宋体" w:eastAsia="宋体" w:cs="宋体"/>
                <w:kern w:val="0"/>
                <w:szCs w:val="21"/>
              </w:rPr>
            </w:pPr>
            <w:bookmarkStart w:id="10" w:name="_Toc244934194"/>
            <w:bookmarkStart w:id="11" w:name="_Toc19222"/>
            <w:bookmarkStart w:id="12" w:name="_Toc244935163"/>
          </w:p>
          <w:p w14:paraId="08E18089">
            <w:pPr>
              <w:autoSpaceDE w:val="0"/>
              <w:autoSpaceDN w:val="0"/>
              <w:adjustRightInd w:val="0"/>
              <w:spacing w:line="240" w:lineRule="auto"/>
              <w:ind w:firstLine="0" w:firstLineChars="0"/>
              <w:jc w:val="center"/>
              <w:rPr>
                <w:rFonts w:ascii="宋体" w:hAnsi="宋体" w:eastAsia="宋体" w:cs="宋体"/>
                <w:kern w:val="0"/>
                <w:szCs w:val="21"/>
              </w:rPr>
            </w:pPr>
          </w:p>
          <w:p w14:paraId="646CC818">
            <w:pPr>
              <w:autoSpaceDE w:val="0"/>
              <w:autoSpaceDN w:val="0"/>
              <w:adjustRightInd w:val="0"/>
              <w:spacing w:line="240" w:lineRule="auto"/>
              <w:ind w:firstLine="0" w:firstLineChars="0"/>
              <w:jc w:val="center"/>
              <w:rPr>
                <w:rFonts w:ascii="宋体" w:hAnsi="宋体" w:eastAsia="宋体" w:cs="宋体"/>
                <w:kern w:val="0"/>
                <w:szCs w:val="21"/>
              </w:rPr>
            </w:pPr>
          </w:p>
          <w:p w14:paraId="15C70ED3">
            <w:pPr>
              <w:autoSpaceDE w:val="0"/>
              <w:autoSpaceDN w:val="0"/>
              <w:adjustRightInd w:val="0"/>
              <w:spacing w:line="240" w:lineRule="auto"/>
              <w:ind w:firstLine="0" w:firstLineChars="0"/>
              <w:jc w:val="center"/>
              <w:rPr>
                <w:rFonts w:ascii="宋体" w:hAnsi="宋体" w:eastAsia="宋体" w:cs="宋体"/>
                <w:kern w:val="0"/>
                <w:szCs w:val="21"/>
              </w:rPr>
            </w:pPr>
          </w:p>
          <w:p w14:paraId="3075F27B">
            <w:pPr>
              <w:autoSpaceDE w:val="0"/>
              <w:autoSpaceDN w:val="0"/>
              <w:adjustRightInd w:val="0"/>
              <w:spacing w:line="240" w:lineRule="auto"/>
              <w:ind w:firstLine="0" w:firstLineChars="0"/>
              <w:jc w:val="center"/>
              <w:rPr>
                <w:rFonts w:ascii="宋体" w:hAnsi="宋体" w:eastAsia="宋体" w:cs="宋体"/>
                <w:kern w:val="0"/>
                <w:szCs w:val="21"/>
              </w:rPr>
            </w:pPr>
          </w:p>
          <w:p w14:paraId="15F9DD1F">
            <w:pPr>
              <w:autoSpaceDE w:val="0"/>
              <w:autoSpaceDN w:val="0"/>
              <w:adjustRightInd w:val="0"/>
              <w:spacing w:line="240" w:lineRule="auto"/>
              <w:ind w:firstLine="0" w:firstLineChars="0"/>
              <w:jc w:val="center"/>
              <w:rPr>
                <w:rFonts w:ascii="宋体" w:hAnsi="宋体" w:eastAsia="宋体" w:cs="宋体"/>
                <w:kern w:val="0"/>
                <w:szCs w:val="21"/>
              </w:rPr>
            </w:pPr>
          </w:p>
          <w:p w14:paraId="60A1C574">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kern w:val="0"/>
                <w:szCs w:val="21"/>
              </w:rPr>
              <w:t>其他补充内容</w:t>
            </w:r>
          </w:p>
        </w:tc>
        <w:tc>
          <w:tcPr>
            <w:tcW w:w="1905" w:type="dxa"/>
            <w:vAlign w:val="center"/>
          </w:tcPr>
          <w:p w14:paraId="520F6EB8">
            <w:pPr>
              <w:autoSpaceDE w:val="0"/>
              <w:autoSpaceDN w:val="0"/>
              <w:adjustRightInd w:val="0"/>
              <w:spacing w:line="240" w:lineRule="auto"/>
              <w:ind w:firstLine="0" w:firstLineChars="0"/>
              <w:jc w:val="center"/>
              <w:rPr>
                <w:rFonts w:ascii="宋体" w:hAnsi="宋体" w:eastAsia="宋体" w:cs="宋体"/>
                <w:kern w:val="0"/>
                <w:szCs w:val="21"/>
              </w:rPr>
            </w:pPr>
            <w:r>
              <w:rPr>
                <w:rFonts w:ascii="宋体" w:hAnsi="宋体" w:eastAsia="宋体" w:cs="宋体"/>
                <w:kern w:val="0"/>
                <w:szCs w:val="21"/>
              </w:rPr>
              <w:t>费用承担</w:t>
            </w:r>
          </w:p>
        </w:tc>
        <w:tc>
          <w:tcPr>
            <w:tcW w:w="6878" w:type="dxa"/>
            <w:vAlign w:val="center"/>
          </w:tcPr>
          <w:p w14:paraId="7EA037D7">
            <w:pPr>
              <w:autoSpaceDE w:val="0"/>
              <w:autoSpaceDN w:val="0"/>
              <w:adjustRightInd w:val="0"/>
              <w:spacing w:line="240" w:lineRule="auto"/>
              <w:ind w:firstLine="0" w:firstLineChars="0"/>
              <w:rPr>
                <w:rFonts w:ascii="宋体" w:hAnsi="宋体" w:eastAsia="宋体" w:cs="宋体"/>
                <w:kern w:val="0"/>
                <w:szCs w:val="21"/>
              </w:rPr>
            </w:pPr>
            <w:r>
              <w:rPr>
                <w:rFonts w:ascii="宋体" w:hAnsi="宋体" w:eastAsia="宋体" w:cs="宋体"/>
                <w:kern w:val="0"/>
                <w:szCs w:val="21"/>
              </w:rPr>
              <w:t>代理服务费</w:t>
            </w:r>
          </w:p>
          <w:p w14:paraId="791F5B1F">
            <w:pPr>
              <w:autoSpaceDE w:val="0"/>
              <w:autoSpaceDN w:val="0"/>
              <w:adjustRightInd w:val="0"/>
              <w:spacing w:line="240" w:lineRule="auto"/>
              <w:ind w:firstLine="0" w:firstLineChars="0"/>
              <w:rPr>
                <w:rFonts w:ascii="宋体" w:hAnsi="宋体" w:eastAsia="宋体" w:cs="宋体"/>
                <w:kern w:val="0"/>
                <w:szCs w:val="21"/>
              </w:rPr>
            </w:pPr>
            <w:r>
              <w:rPr>
                <w:rFonts w:ascii="宋体" w:hAnsi="宋体" w:eastAsia="宋体" w:cs="宋体"/>
                <w:kern w:val="0"/>
                <w:szCs w:val="21"/>
              </w:rPr>
              <w:t>1.代理费收费约定：</w:t>
            </w:r>
          </w:p>
          <w:p w14:paraId="2E3EF5AB">
            <w:pPr>
              <w:autoSpaceDE w:val="0"/>
              <w:autoSpaceDN w:val="0"/>
              <w:adjustRightInd w:val="0"/>
              <w:spacing w:line="240" w:lineRule="auto"/>
              <w:ind w:firstLine="0" w:firstLineChars="0"/>
              <w:rPr>
                <w:rFonts w:ascii="宋体" w:hAnsi="宋体" w:eastAsia="宋体" w:cs="宋体"/>
                <w:kern w:val="0"/>
                <w:szCs w:val="21"/>
              </w:rPr>
            </w:pPr>
            <w:r>
              <w:rPr>
                <w:rFonts w:ascii="宋体" w:hAnsi="宋体" w:eastAsia="宋体" w:cs="宋体"/>
                <w:kern w:val="0"/>
                <w:szCs w:val="21"/>
              </w:rPr>
              <w:t>本项目代理费由中标企业支付，投标人报价应当包含该项目代理服务费。</w:t>
            </w:r>
          </w:p>
          <w:p w14:paraId="5EFD84A2">
            <w:pPr>
              <w:autoSpaceDE w:val="0"/>
              <w:autoSpaceDN w:val="0"/>
              <w:adjustRightInd w:val="0"/>
              <w:spacing w:line="240" w:lineRule="auto"/>
              <w:ind w:firstLine="0" w:firstLineChars="0"/>
              <w:rPr>
                <w:rFonts w:ascii="宋体" w:hAnsi="宋体" w:eastAsia="宋体" w:cs="宋体"/>
                <w:kern w:val="0"/>
                <w:szCs w:val="21"/>
              </w:rPr>
            </w:pPr>
            <w:r>
              <w:rPr>
                <w:rFonts w:ascii="宋体" w:hAnsi="宋体" w:eastAsia="宋体" w:cs="宋体"/>
                <w:kern w:val="0"/>
                <w:szCs w:val="21"/>
              </w:rPr>
              <w:t>2.本项目代理服务费按不高于“</w:t>
            </w:r>
            <w:bookmarkStart w:id="13" w:name="OLE_LINK7"/>
            <w:r>
              <w:rPr>
                <w:rFonts w:ascii="宋体" w:hAnsi="宋体" w:eastAsia="宋体" w:cs="宋体"/>
                <w:kern w:val="0"/>
                <w:szCs w:val="21"/>
              </w:rPr>
              <w:t>豫招协〔2023〕002号</w:t>
            </w:r>
            <w:bookmarkEnd w:id="13"/>
            <w:r>
              <w:rPr>
                <w:rFonts w:ascii="宋体" w:hAnsi="宋体" w:eastAsia="宋体" w:cs="宋体"/>
                <w:kern w:val="0"/>
                <w:szCs w:val="21"/>
              </w:rPr>
              <w:t>”规定的收费标准收取，中标人领取中标通知时向采购代理机构一次性付清。本项目中标服务费的收取按差额定率累进法计算。</w:t>
            </w:r>
          </w:p>
          <w:p w14:paraId="0EB34A89">
            <w:pPr>
              <w:autoSpaceDE w:val="0"/>
              <w:autoSpaceDN w:val="0"/>
              <w:adjustRightInd w:val="0"/>
              <w:spacing w:line="240" w:lineRule="auto"/>
              <w:ind w:firstLine="0" w:firstLineChars="0"/>
              <w:rPr>
                <w:rFonts w:ascii="宋体" w:hAnsi="宋体" w:eastAsia="宋体" w:cs="宋体"/>
                <w:kern w:val="0"/>
                <w:szCs w:val="21"/>
              </w:rPr>
            </w:pPr>
            <w:r>
              <w:rPr>
                <w:rFonts w:ascii="宋体" w:hAnsi="宋体" w:eastAsia="宋体" w:cs="宋体"/>
                <w:kern w:val="0"/>
                <w:szCs w:val="21"/>
              </w:rPr>
              <w:t>3.收费标准：</w:t>
            </w:r>
          </w:p>
          <w:p w14:paraId="65082BEB">
            <w:pPr>
              <w:autoSpaceDE w:val="0"/>
              <w:autoSpaceDN w:val="0"/>
              <w:adjustRightInd w:val="0"/>
              <w:spacing w:line="240" w:lineRule="auto"/>
              <w:ind w:firstLine="0" w:firstLineChars="0"/>
              <w:rPr>
                <w:rFonts w:ascii="宋体" w:hAnsi="宋体" w:eastAsia="宋体" w:cs="宋体"/>
                <w:kern w:val="0"/>
                <w:szCs w:val="21"/>
              </w:rPr>
            </w:pPr>
            <w:r>
              <w:rPr>
                <w:rFonts w:ascii="宋体" w:hAnsi="宋体" w:eastAsia="宋体" w:cs="宋体"/>
                <w:kern w:val="0"/>
                <w:szCs w:val="21"/>
              </w:rPr>
              <w:t>预算金额的100万（含）以下部分费率为1.7%；</w:t>
            </w:r>
          </w:p>
          <w:p w14:paraId="0A5EB281">
            <w:pPr>
              <w:autoSpaceDE w:val="0"/>
              <w:autoSpaceDN w:val="0"/>
              <w:adjustRightInd w:val="0"/>
              <w:spacing w:line="240" w:lineRule="auto"/>
              <w:ind w:firstLine="0" w:firstLineChars="0"/>
              <w:rPr>
                <w:rFonts w:ascii="宋体" w:hAnsi="宋体" w:eastAsia="宋体" w:cs="宋体"/>
                <w:kern w:val="0"/>
                <w:szCs w:val="21"/>
              </w:rPr>
            </w:pPr>
            <w:r>
              <w:rPr>
                <w:rFonts w:ascii="宋体" w:hAnsi="宋体" w:eastAsia="宋体" w:cs="宋体"/>
                <w:kern w:val="0"/>
                <w:szCs w:val="21"/>
              </w:rPr>
              <w:t>预算金额的100万以上－500万（含）部分费率为1.2%。</w:t>
            </w:r>
          </w:p>
          <w:p w14:paraId="3B8AE041">
            <w:pPr>
              <w:autoSpaceDE w:val="0"/>
              <w:autoSpaceDN w:val="0"/>
              <w:adjustRightInd w:val="0"/>
              <w:spacing w:line="240" w:lineRule="auto"/>
              <w:ind w:firstLine="0" w:firstLineChars="0"/>
              <w:rPr>
                <w:rFonts w:ascii="宋体" w:hAnsi="宋体" w:eastAsia="宋体" w:cs="宋体"/>
                <w:kern w:val="0"/>
                <w:szCs w:val="21"/>
              </w:rPr>
            </w:pPr>
            <w:r>
              <w:rPr>
                <w:rFonts w:hint="eastAsia" w:ascii="宋体" w:hAnsi="宋体" w:eastAsia="宋体" w:cs="宋体"/>
                <w:kern w:val="0"/>
                <w:szCs w:val="21"/>
              </w:rPr>
              <w:t>4.收费金额：</w:t>
            </w:r>
            <w:r>
              <w:rPr>
                <w:rFonts w:ascii="宋体" w:hAnsi="宋体" w:eastAsia="宋体" w:cs="宋体"/>
                <w:kern w:val="0"/>
                <w:szCs w:val="21"/>
              </w:rPr>
              <w:t>39560.00</w:t>
            </w:r>
            <w:r>
              <w:rPr>
                <w:rFonts w:hint="eastAsia" w:ascii="宋体" w:hAnsi="宋体" w:eastAsia="宋体" w:cs="宋体"/>
                <w:kern w:val="0"/>
                <w:szCs w:val="21"/>
              </w:rPr>
              <w:t>元</w:t>
            </w:r>
          </w:p>
        </w:tc>
      </w:tr>
      <w:tr w14:paraId="7E46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916" w:type="dxa"/>
            <w:vMerge w:val="continue"/>
            <w:vAlign w:val="center"/>
          </w:tcPr>
          <w:p w14:paraId="17BB2D11">
            <w:pPr>
              <w:autoSpaceDE w:val="0"/>
              <w:autoSpaceDN w:val="0"/>
              <w:adjustRightInd w:val="0"/>
              <w:spacing w:line="240" w:lineRule="auto"/>
              <w:ind w:firstLine="0" w:firstLineChars="0"/>
              <w:jc w:val="center"/>
              <w:rPr>
                <w:rFonts w:ascii="宋体" w:hAnsi="宋体" w:eastAsia="宋体" w:cs="宋体"/>
                <w:kern w:val="0"/>
                <w:szCs w:val="21"/>
              </w:rPr>
            </w:pPr>
          </w:p>
        </w:tc>
        <w:tc>
          <w:tcPr>
            <w:tcW w:w="1905" w:type="dxa"/>
            <w:vAlign w:val="center"/>
          </w:tcPr>
          <w:p w14:paraId="58F01457">
            <w:pPr>
              <w:autoSpaceDE w:val="0"/>
              <w:autoSpaceDN w:val="0"/>
              <w:adjustRightInd w:val="0"/>
              <w:spacing w:line="240" w:lineRule="auto"/>
              <w:ind w:firstLine="0" w:firstLineChars="0"/>
              <w:jc w:val="center"/>
              <w:rPr>
                <w:rFonts w:ascii="宋体" w:hAnsi="宋体" w:eastAsia="宋体" w:cs="宋体"/>
                <w:kern w:val="0"/>
                <w:szCs w:val="21"/>
              </w:rPr>
            </w:pPr>
            <w:r>
              <w:rPr>
                <w:rFonts w:ascii="宋体" w:hAnsi="宋体" w:eastAsia="宋体" w:cs="宋体"/>
                <w:kern w:val="0"/>
                <w:szCs w:val="21"/>
              </w:rPr>
              <w:t>解释权</w:t>
            </w:r>
          </w:p>
        </w:tc>
        <w:tc>
          <w:tcPr>
            <w:tcW w:w="6878" w:type="dxa"/>
            <w:vAlign w:val="center"/>
          </w:tcPr>
          <w:p w14:paraId="64ADEF77">
            <w:pPr>
              <w:autoSpaceDE w:val="0"/>
              <w:autoSpaceDN w:val="0"/>
              <w:adjustRightInd w:val="0"/>
              <w:spacing w:line="240" w:lineRule="auto"/>
              <w:ind w:firstLine="0" w:firstLineChars="0"/>
              <w:rPr>
                <w:rFonts w:ascii="宋体" w:hAnsi="宋体" w:eastAsia="宋体" w:cs="宋体"/>
                <w:kern w:val="0"/>
                <w:szCs w:val="21"/>
                <w:highlight w:val="green"/>
              </w:rPr>
            </w:pPr>
            <w:r>
              <w:rPr>
                <w:rFonts w:ascii="宋体" w:hAnsi="宋体" w:eastAsia="宋体" w:cs="宋体"/>
                <w:kern w:val="0"/>
                <w:szCs w:val="21"/>
              </w:rPr>
              <w:t>构成本</w:t>
            </w:r>
            <w:r>
              <w:rPr>
                <w:rFonts w:hint="eastAsia" w:ascii="宋体" w:hAnsi="宋体" w:eastAsia="宋体" w:cs="宋体"/>
                <w:kern w:val="0"/>
                <w:szCs w:val="21"/>
              </w:rPr>
              <w:t>招标</w:t>
            </w:r>
            <w:r>
              <w:rPr>
                <w:rFonts w:ascii="宋体" w:hAnsi="宋体" w:eastAsia="宋体" w:cs="宋体"/>
                <w:kern w:val="0"/>
                <w:szCs w:val="21"/>
              </w:rPr>
              <w:t>文件的各个组成文件应互为解释，互为说明；如有不明确或不一致，按</w:t>
            </w:r>
            <w:r>
              <w:rPr>
                <w:rFonts w:hint="eastAsia" w:ascii="宋体" w:hAnsi="宋体" w:eastAsia="宋体" w:cs="宋体"/>
                <w:kern w:val="0"/>
                <w:szCs w:val="21"/>
              </w:rPr>
              <w:t>招标</w:t>
            </w:r>
            <w:r>
              <w:rPr>
                <w:rFonts w:ascii="宋体" w:hAnsi="宋体" w:eastAsia="宋体" w:cs="宋体"/>
                <w:kern w:val="0"/>
                <w:szCs w:val="21"/>
              </w:rPr>
              <w:t>公告、供应商须知、评</w:t>
            </w:r>
            <w:r>
              <w:rPr>
                <w:rFonts w:hint="eastAsia" w:ascii="宋体" w:hAnsi="宋体" w:eastAsia="宋体" w:cs="宋体"/>
                <w:kern w:val="0"/>
                <w:szCs w:val="21"/>
              </w:rPr>
              <w:t>标</w:t>
            </w:r>
            <w:r>
              <w:rPr>
                <w:rFonts w:ascii="宋体" w:hAnsi="宋体" w:eastAsia="宋体" w:cs="宋体"/>
                <w:kern w:val="0"/>
                <w:szCs w:val="21"/>
              </w:rPr>
              <w:t>办法、</w:t>
            </w:r>
            <w:r>
              <w:rPr>
                <w:rFonts w:hint="eastAsia" w:ascii="宋体" w:hAnsi="宋体" w:eastAsia="宋体" w:cs="宋体"/>
                <w:kern w:val="0"/>
                <w:szCs w:val="21"/>
              </w:rPr>
              <w:t>投标</w:t>
            </w:r>
            <w:r>
              <w:rPr>
                <w:rFonts w:ascii="宋体" w:hAnsi="宋体" w:eastAsia="宋体" w:cs="宋体"/>
                <w:kern w:val="0"/>
                <w:szCs w:val="21"/>
              </w:rPr>
              <w:t>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3CE9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Merge w:val="continue"/>
            <w:vAlign w:val="center"/>
          </w:tcPr>
          <w:p w14:paraId="34B39AB7">
            <w:pPr>
              <w:autoSpaceDE w:val="0"/>
              <w:autoSpaceDN w:val="0"/>
              <w:adjustRightInd w:val="0"/>
              <w:spacing w:line="240" w:lineRule="auto"/>
              <w:ind w:firstLine="0" w:firstLineChars="0"/>
              <w:jc w:val="center"/>
              <w:rPr>
                <w:rFonts w:ascii="宋体" w:hAnsi="宋体" w:eastAsia="宋体" w:cs="宋体"/>
                <w:kern w:val="0"/>
                <w:szCs w:val="21"/>
              </w:rPr>
            </w:pPr>
          </w:p>
        </w:tc>
        <w:tc>
          <w:tcPr>
            <w:tcW w:w="1905" w:type="dxa"/>
            <w:vAlign w:val="center"/>
          </w:tcPr>
          <w:p w14:paraId="3EE2CF47">
            <w:pPr>
              <w:autoSpaceDE w:val="0"/>
              <w:autoSpaceDN w:val="0"/>
              <w:adjustRightInd w:val="0"/>
              <w:spacing w:line="240" w:lineRule="auto"/>
              <w:ind w:firstLine="0" w:firstLineChars="0"/>
              <w:jc w:val="center"/>
              <w:rPr>
                <w:rFonts w:ascii="宋体" w:hAnsi="宋体" w:eastAsia="宋体" w:cs="宋体"/>
                <w:kern w:val="0"/>
                <w:szCs w:val="21"/>
              </w:rPr>
            </w:pPr>
            <w:r>
              <w:rPr>
                <w:rFonts w:hint="eastAsia" w:ascii="宋体" w:hAnsi="宋体" w:eastAsia="宋体" w:cs="宋体"/>
                <w:szCs w:val="21"/>
              </w:rPr>
              <w:t>所属行业</w:t>
            </w:r>
          </w:p>
        </w:tc>
        <w:tc>
          <w:tcPr>
            <w:tcW w:w="6878" w:type="dxa"/>
            <w:vAlign w:val="center"/>
          </w:tcPr>
          <w:p w14:paraId="580B15C6">
            <w:pPr>
              <w:autoSpaceDE w:val="0"/>
              <w:autoSpaceDN w:val="0"/>
              <w:adjustRightInd w:val="0"/>
              <w:spacing w:line="240" w:lineRule="auto"/>
              <w:ind w:firstLine="0" w:firstLineChars="0"/>
              <w:rPr>
                <w:rFonts w:ascii="宋体" w:hAnsi="宋体" w:eastAsia="宋体" w:cs="宋体"/>
                <w:kern w:val="0"/>
                <w:szCs w:val="21"/>
              </w:rPr>
            </w:pPr>
            <w:r>
              <w:rPr>
                <w:rFonts w:hint="eastAsia" w:ascii="宋体" w:hAnsi="宋体" w:eastAsia="宋体" w:cs="宋体"/>
                <w:kern w:val="0"/>
                <w:szCs w:val="21"/>
              </w:rPr>
              <w:t>所属行业：工业。</w:t>
            </w:r>
          </w:p>
          <w:p w14:paraId="46E33B88">
            <w:pPr>
              <w:autoSpaceDE w:val="0"/>
              <w:autoSpaceDN w:val="0"/>
              <w:adjustRightInd w:val="0"/>
              <w:spacing w:line="240" w:lineRule="auto"/>
              <w:ind w:firstLine="0" w:firstLineChars="0"/>
              <w:rPr>
                <w:rFonts w:ascii="宋体" w:hAnsi="宋体" w:eastAsia="宋体" w:cs="宋体"/>
                <w:kern w:val="0"/>
                <w:szCs w:val="21"/>
              </w:rPr>
            </w:pPr>
            <w:r>
              <w:rPr>
                <w:rFonts w:hint="eastAsia" w:ascii="宋体" w:hAnsi="宋体" w:eastAsia="宋体" w:cs="宋体"/>
                <w:kern w:val="0"/>
                <w:szCs w:val="21"/>
              </w:rPr>
              <w:t>补充说明：单一产品采购项目提供相同品牌产品且通过资格审查、符合性审查的不同投标人参加同一合同项下投标的、按一家投标人计算。评审后得分最高的同品牌投标人获得中标人推荐资格；评审得分相同的，报价低的投标人获得中标人推荐资格。报价及得分均相同的，采取随机抽取方式确定。其他同品牌投标人不作为中标候选人。非单一产品采购项目、多家投标人提供的核心产品品牌相同的、按前款规定处理。项目核心产品由采购人在招标文件中载明。</w:t>
            </w:r>
          </w:p>
        </w:tc>
      </w:tr>
      <w:tr w14:paraId="79AD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Merge w:val="continue"/>
            <w:vAlign w:val="center"/>
          </w:tcPr>
          <w:p w14:paraId="5346F057">
            <w:pPr>
              <w:autoSpaceDE w:val="0"/>
              <w:autoSpaceDN w:val="0"/>
              <w:adjustRightInd w:val="0"/>
              <w:spacing w:line="240" w:lineRule="auto"/>
              <w:ind w:firstLine="0" w:firstLineChars="0"/>
              <w:jc w:val="center"/>
              <w:rPr>
                <w:rFonts w:ascii="宋体" w:hAnsi="宋体" w:eastAsia="宋体" w:cs="宋体"/>
                <w:kern w:val="0"/>
                <w:szCs w:val="21"/>
              </w:rPr>
            </w:pPr>
          </w:p>
        </w:tc>
        <w:tc>
          <w:tcPr>
            <w:tcW w:w="1905" w:type="dxa"/>
            <w:vAlign w:val="center"/>
          </w:tcPr>
          <w:p w14:paraId="7C185742">
            <w:pPr>
              <w:autoSpaceDE w:val="0"/>
              <w:autoSpaceDN w:val="0"/>
              <w:adjustRightInd w:val="0"/>
              <w:spacing w:line="240" w:lineRule="auto"/>
              <w:ind w:firstLine="0" w:firstLineChars="0"/>
              <w:jc w:val="center"/>
              <w:rPr>
                <w:rFonts w:ascii="宋体" w:hAnsi="宋体" w:eastAsia="宋体" w:cs="宋体"/>
                <w:szCs w:val="21"/>
              </w:rPr>
            </w:pPr>
            <w:r>
              <w:rPr>
                <w:rFonts w:hint="eastAsia" w:ascii="宋体" w:hAnsi="宋体" w:eastAsia="宋体" w:cs="宋体"/>
                <w:szCs w:val="21"/>
              </w:rPr>
              <w:t>政策说明</w:t>
            </w:r>
          </w:p>
        </w:tc>
        <w:tc>
          <w:tcPr>
            <w:tcW w:w="6878" w:type="dxa"/>
            <w:vAlign w:val="center"/>
          </w:tcPr>
          <w:p w14:paraId="5D606A2D">
            <w:pPr>
              <w:autoSpaceDE w:val="0"/>
              <w:autoSpaceDN w:val="0"/>
              <w:adjustRightInd w:val="0"/>
              <w:spacing w:line="240" w:lineRule="auto"/>
              <w:ind w:firstLine="0" w:firstLineChars="0"/>
              <w:rPr>
                <w:rFonts w:ascii="宋体" w:hAnsi="宋体" w:eastAsia="宋体" w:cs="宋体"/>
                <w:kern w:val="0"/>
                <w:szCs w:val="21"/>
              </w:rPr>
            </w:pPr>
            <w:r>
              <w:rPr>
                <w:rFonts w:hint="eastAsia" w:ascii="宋体" w:hAnsi="宋体" w:eastAsia="宋体" w:cs="宋体"/>
                <w:kern w:val="0"/>
                <w:szCs w:val="21"/>
              </w:rPr>
              <w:t>1.依据《财政部 国家发展改革委员会关于印发&lt;节能产品政府采购实施意见&gt;的通知》财库〔2004〕185 号、《国务院办公厅关于建立政府强制采购节能产品制度的通知》国办发〔2007〕51 号、财库〔2019〕9号文件要求，在技术、服务等指标满足采购需求的前提下，要优先采购节能产品，对部分节能效果、性能等达到要求的产品，实行强制采购，各潜在供应商在本次投标活动中，招标货物中如有涉及到节能产品清单内强制采购产品时，必须提供节能产品货物参与投标，并提供相关证明材料。节能清单中无对应细化分类且节能清单中的产品确实无法满足工作需要的，允许在节能清单之外采购。</w:t>
            </w:r>
          </w:p>
          <w:p w14:paraId="380CC372">
            <w:pPr>
              <w:autoSpaceDE w:val="0"/>
              <w:autoSpaceDN w:val="0"/>
              <w:adjustRightInd w:val="0"/>
              <w:spacing w:line="240" w:lineRule="auto"/>
              <w:ind w:firstLine="0" w:firstLineChars="0"/>
              <w:rPr>
                <w:rFonts w:ascii="宋体" w:hAnsi="宋体" w:eastAsia="宋体" w:cs="宋体"/>
                <w:kern w:val="0"/>
                <w:szCs w:val="21"/>
              </w:rPr>
            </w:pPr>
            <w:r>
              <w:rPr>
                <w:rFonts w:hint="eastAsia" w:ascii="宋体" w:hAnsi="宋体" w:eastAsia="宋体" w:cs="宋体"/>
                <w:kern w:val="0"/>
                <w:szCs w:val="21"/>
              </w:rPr>
              <w:t>2.依据《财政部工业和信息化部 国家质检总局国家认监委关于信息安全产品实施政府采购的通知》财库〔2010〕48 号文件要求，各潜在供应商在本次投标活动投标货物中，如有涉及到信息安全产品的，则所投涉及到上述货物的产品必须提供由中国信息安全认证中心颁发的有效认证证书。</w:t>
            </w:r>
          </w:p>
          <w:p w14:paraId="3F8090B3">
            <w:pPr>
              <w:autoSpaceDE w:val="0"/>
              <w:autoSpaceDN w:val="0"/>
              <w:adjustRightInd w:val="0"/>
              <w:spacing w:line="240" w:lineRule="auto"/>
              <w:ind w:firstLine="0" w:firstLineChars="0"/>
              <w:rPr>
                <w:rFonts w:ascii="宋体" w:hAnsi="宋体" w:eastAsia="宋体" w:cs="宋体"/>
                <w:kern w:val="0"/>
                <w:szCs w:val="21"/>
              </w:rPr>
            </w:pPr>
            <w:r>
              <w:rPr>
                <w:rFonts w:hint="eastAsia" w:ascii="宋体" w:hAnsi="宋体" w:eastAsia="宋体" w:cs="宋体"/>
                <w:kern w:val="0"/>
                <w:szCs w:val="21"/>
              </w:rPr>
              <w:t>3.依据《财政部 国家环保总局关于印发（环境标志产品政府采购实施的意见）的通知》财库〔2006〕90 号文件、财库〔2019〕9号文件要求，采购人采购的产品属于清单中品目的，在性能、技术、服务等指标同等条件下，优先采购清单中的产品。</w:t>
            </w:r>
          </w:p>
          <w:p w14:paraId="115B6FBD">
            <w:pPr>
              <w:autoSpaceDE w:val="0"/>
              <w:autoSpaceDN w:val="0"/>
              <w:adjustRightInd w:val="0"/>
              <w:spacing w:line="240" w:lineRule="auto"/>
              <w:ind w:firstLine="0" w:firstLineChars="0"/>
              <w:rPr>
                <w:rFonts w:ascii="宋体" w:hAnsi="宋体" w:eastAsia="宋体" w:cs="宋体"/>
                <w:kern w:val="0"/>
                <w:szCs w:val="21"/>
              </w:rPr>
            </w:pPr>
            <w:r>
              <w:rPr>
                <w:rFonts w:hint="eastAsia" w:ascii="宋体" w:hAnsi="宋体" w:eastAsia="宋体" w:cs="宋体"/>
                <w:kern w:val="0"/>
                <w:szCs w:val="21"/>
              </w:rPr>
              <w:t>4.如若所投产品已列入国家强制性产品认证的产品，必须提供通过国家 3C 认证的有关证明材料（可提供合法查询网址）。</w:t>
            </w:r>
          </w:p>
          <w:p w14:paraId="5B8D551E">
            <w:pPr>
              <w:autoSpaceDE w:val="0"/>
              <w:autoSpaceDN w:val="0"/>
              <w:adjustRightInd w:val="0"/>
              <w:spacing w:line="240" w:lineRule="auto"/>
              <w:ind w:firstLine="0" w:firstLineChars="0"/>
              <w:rPr>
                <w:rFonts w:ascii="宋体" w:hAnsi="宋体" w:eastAsia="宋体" w:cs="宋体"/>
                <w:kern w:val="0"/>
                <w:szCs w:val="21"/>
              </w:rPr>
            </w:pPr>
            <w:r>
              <w:rPr>
                <w:rFonts w:hint="eastAsia" w:ascii="宋体" w:hAnsi="宋体" w:eastAsia="宋体" w:cs="宋体"/>
                <w:kern w:val="0"/>
                <w:szCs w:val="21"/>
              </w:rPr>
              <w:t>5.优先采购本国产品。依据《政府采购进口产品管理办法》财库〔2007〕119 号，政府采购应当优先采购本国产品，确需采购进口产品的，实行审核管理。本次采购产品均为本国产品，若投标人提供的单个产品整体为进口产品，将视为非实质性响应谈判文件要求而予以拒绝。</w:t>
            </w:r>
          </w:p>
          <w:p w14:paraId="1C240084">
            <w:pPr>
              <w:autoSpaceDE w:val="0"/>
              <w:autoSpaceDN w:val="0"/>
              <w:adjustRightInd w:val="0"/>
              <w:spacing w:line="240" w:lineRule="auto"/>
              <w:ind w:firstLine="0" w:firstLineChars="0"/>
              <w:rPr>
                <w:rFonts w:ascii="宋体" w:hAnsi="宋体" w:eastAsia="宋体" w:cs="宋体"/>
                <w:kern w:val="0"/>
                <w:szCs w:val="21"/>
              </w:rPr>
            </w:pPr>
            <w:r>
              <w:rPr>
                <w:rFonts w:hint="eastAsia" w:ascii="宋体" w:hAnsi="宋体" w:eastAsia="宋体" w:cs="宋体"/>
                <w:kern w:val="0"/>
                <w:szCs w:val="21"/>
              </w:rPr>
              <w:t>6.采购信息安全产品的，应当采购经国家认证的信息安全产品，供应商应提供由中国信息安全认证中心按国家标准颁发的有效认证证书。</w:t>
            </w:r>
          </w:p>
          <w:p w14:paraId="47421C94">
            <w:pPr>
              <w:autoSpaceDE w:val="0"/>
              <w:autoSpaceDN w:val="0"/>
              <w:adjustRightInd w:val="0"/>
              <w:spacing w:line="240" w:lineRule="auto"/>
              <w:ind w:firstLine="0" w:firstLineChars="0"/>
              <w:rPr>
                <w:rFonts w:ascii="宋体" w:hAnsi="宋体" w:eastAsia="宋体" w:cs="宋体"/>
                <w:kern w:val="0"/>
                <w:szCs w:val="21"/>
              </w:rPr>
            </w:pPr>
            <w:r>
              <w:rPr>
                <w:rFonts w:hint="eastAsia" w:ascii="宋体" w:hAnsi="宋体" w:eastAsia="宋体" w:cs="宋体"/>
                <w:kern w:val="0"/>
                <w:szCs w:val="21"/>
              </w:rPr>
              <w:t>7.鼓励创新，首购和订购的产品具有首创和自主研发性质，属于自主创新产品的，必须执行《自主创新产品政府收购和订购管理办法》。</w:t>
            </w:r>
          </w:p>
          <w:p w14:paraId="0BBA3214">
            <w:pPr>
              <w:autoSpaceDE w:val="0"/>
              <w:autoSpaceDN w:val="0"/>
              <w:adjustRightInd w:val="0"/>
              <w:spacing w:line="240" w:lineRule="auto"/>
              <w:ind w:firstLine="0" w:firstLineChars="0"/>
              <w:rPr>
                <w:rFonts w:ascii="宋体" w:hAnsi="宋体" w:eastAsia="宋体" w:cs="宋体"/>
                <w:kern w:val="0"/>
                <w:szCs w:val="21"/>
              </w:rPr>
            </w:pPr>
            <w:r>
              <w:rPr>
                <w:rFonts w:hint="eastAsia" w:ascii="宋体" w:hAnsi="宋体" w:eastAsia="宋体" w:cs="宋体"/>
                <w:kern w:val="0"/>
                <w:szCs w:val="21"/>
              </w:rPr>
              <w:t>8.（非专门面向中小微企业适用）本次招标涉及中小型企业的，按照“财库[2020]46 号”和“工信部联企业〔2011〕300 号“有关政策执行，对小型和微型企业产品的价格给予20%的扣除，用扣除后的价格参与评审。联合体投标（若接受）的，联合协议中须约定，小型、微型企业的协议合同金额占到联合体协议合同总金额 30%以上的，或联合体各方均为小型、微型企业的，给予联合体20%的价格扣除。</w:t>
            </w:r>
          </w:p>
          <w:p w14:paraId="3C4390F2">
            <w:pPr>
              <w:autoSpaceDE w:val="0"/>
              <w:autoSpaceDN w:val="0"/>
              <w:adjustRightInd w:val="0"/>
              <w:spacing w:line="240" w:lineRule="auto"/>
              <w:ind w:firstLine="0" w:firstLineChars="0"/>
              <w:rPr>
                <w:rFonts w:ascii="宋体" w:hAnsi="宋体" w:eastAsia="宋体" w:cs="宋体"/>
                <w:kern w:val="0"/>
                <w:szCs w:val="21"/>
              </w:rPr>
            </w:pPr>
            <w:r>
              <w:rPr>
                <w:rFonts w:hint="eastAsia" w:ascii="宋体" w:hAnsi="宋体" w:eastAsia="宋体" w:cs="宋体"/>
                <w:kern w:val="0"/>
                <w:szCs w:val="21"/>
              </w:rPr>
              <w:t>9.监狱企业视同小型、微型企业，需提供省级及以上监狱管理局、戒毒管理局 （含新疆生产建设兵团）出具的属于监狱企业的证明文件，否则不予认可。根据《关于促进残疾人就业政府采购政策的通知》（财库〔2017〕141 号）文件的有关规定，残疾人福利性单位视同小型、微型企业，对残疾人福利性单位价格给予扣除20%，用扣除后的价格参与评审。符合条件的残疾人福利性单位应当提供本通知规定的《残疾人福利性单位声明函》，并对声明的真实性负责。</w:t>
            </w:r>
          </w:p>
          <w:p w14:paraId="3F50CF03">
            <w:pPr>
              <w:autoSpaceDE w:val="0"/>
              <w:autoSpaceDN w:val="0"/>
              <w:adjustRightInd w:val="0"/>
              <w:spacing w:line="240" w:lineRule="auto"/>
              <w:ind w:firstLine="0" w:firstLineChars="0"/>
              <w:rPr>
                <w:rFonts w:ascii="宋体" w:hAnsi="宋体" w:eastAsia="宋体" w:cs="宋体"/>
                <w:kern w:val="0"/>
                <w:szCs w:val="21"/>
              </w:rPr>
            </w:pPr>
            <w:r>
              <w:rPr>
                <w:rFonts w:hint="eastAsia" w:ascii="宋体" w:hAnsi="宋体" w:eastAsia="宋体" w:cs="宋体"/>
                <w:kern w:val="0"/>
                <w:szCs w:val="21"/>
              </w:rPr>
              <w:t>10、根据“信财购[2020]5 号文《信阳市政府采购文件歧视性和倾向性禁止条款清单》”要求禁止“将行业协会、商会颁发的企业资质证书、入围目录名单或奖项作为评审条件的(有特殊要求除外)。”规定供应商如提供上述证明材料，评审小组可视为无效证明材料。</w:t>
            </w:r>
          </w:p>
        </w:tc>
      </w:tr>
    </w:tbl>
    <w:p w14:paraId="5136F976">
      <w:pPr>
        <w:pStyle w:val="6"/>
        <w:spacing w:line="400" w:lineRule="exact"/>
        <w:ind w:firstLine="420"/>
        <w:rPr>
          <w:rFonts w:eastAsia="宋体" w:cs="宋体"/>
          <w:sz w:val="21"/>
          <w:szCs w:val="21"/>
        </w:rPr>
      </w:pPr>
      <w:r>
        <w:rPr>
          <w:rFonts w:hint="eastAsia" w:eastAsia="宋体" w:cs="宋体"/>
          <w:sz w:val="21"/>
          <w:szCs w:val="21"/>
        </w:rPr>
        <w:t>1.总则</w:t>
      </w:r>
      <w:bookmarkEnd w:id="10"/>
      <w:bookmarkEnd w:id="11"/>
      <w:bookmarkEnd w:id="12"/>
    </w:p>
    <w:p w14:paraId="3DF96CF3">
      <w:pPr>
        <w:widowControl/>
        <w:tabs>
          <w:tab w:val="left" w:pos="350"/>
        </w:tabs>
        <w:spacing w:line="400" w:lineRule="exact"/>
        <w:ind w:firstLine="422"/>
        <w:jc w:val="left"/>
        <w:rPr>
          <w:rFonts w:ascii="宋体" w:hAnsi="宋体" w:eastAsia="宋体" w:cs="宋体"/>
          <w:b/>
          <w:bCs/>
          <w:szCs w:val="21"/>
        </w:rPr>
      </w:pPr>
      <w:r>
        <w:rPr>
          <w:rFonts w:hint="eastAsia" w:ascii="宋体" w:hAnsi="宋体" w:eastAsia="宋体" w:cs="宋体"/>
          <w:b/>
          <w:bCs/>
          <w:szCs w:val="21"/>
        </w:rPr>
        <w:t>1.1项目概况</w:t>
      </w:r>
      <w:r>
        <w:rPr>
          <w:rFonts w:hint="eastAsia" w:ascii="宋体" w:hAnsi="宋体" w:eastAsia="宋体" w:cs="宋体"/>
          <w:b/>
          <w:bCs/>
          <w:szCs w:val="21"/>
        </w:rPr>
        <w:tab/>
      </w:r>
    </w:p>
    <w:p w14:paraId="7E1C5668">
      <w:pPr>
        <w:widowControl/>
        <w:tabs>
          <w:tab w:val="left" w:pos="350"/>
        </w:tabs>
        <w:spacing w:line="400" w:lineRule="exact"/>
        <w:ind w:firstLine="420"/>
        <w:jc w:val="left"/>
        <w:rPr>
          <w:rFonts w:ascii="宋体" w:hAnsi="宋体" w:eastAsia="宋体" w:cs="宋体"/>
          <w:szCs w:val="21"/>
        </w:rPr>
      </w:pPr>
      <w:r>
        <w:rPr>
          <w:rFonts w:hint="eastAsia" w:ascii="宋体" w:hAnsi="宋体" w:eastAsia="宋体" w:cs="宋体"/>
          <w:szCs w:val="21"/>
        </w:rPr>
        <w:t>1.1.1根据《中华人民共和国政府采购法》等有关法律、法规和规章的规定，本招标项目已具备招标条件，现对本项目进行公开招标。</w:t>
      </w:r>
    </w:p>
    <w:p w14:paraId="055C98B9">
      <w:pPr>
        <w:widowControl/>
        <w:tabs>
          <w:tab w:val="left" w:pos="350"/>
        </w:tabs>
        <w:spacing w:line="400" w:lineRule="exact"/>
        <w:ind w:firstLine="420"/>
        <w:jc w:val="left"/>
        <w:rPr>
          <w:rFonts w:ascii="宋体" w:hAnsi="宋体" w:eastAsia="宋体" w:cs="宋体"/>
          <w:szCs w:val="21"/>
        </w:rPr>
      </w:pPr>
      <w:r>
        <w:rPr>
          <w:rFonts w:hint="eastAsia" w:ascii="宋体" w:hAnsi="宋体" w:eastAsia="宋体" w:cs="宋体"/>
          <w:szCs w:val="21"/>
        </w:rPr>
        <w:t>1.1.2采购人：见投标人须知前附表。</w:t>
      </w:r>
    </w:p>
    <w:p w14:paraId="04A52D86">
      <w:pPr>
        <w:widowControl/>
        <w:tabs>
          <w:tab w:val="left" w:pos="350"/>
        </w:tabs>
        <w:spacing w:line="400" w:lineRule="exact"/>
        <w:ind w:firstLine="420"/>
        <w:jc w:val="left"/>
        <w:rPr>
          <w:rFonts w:ascii="宋体" w:hAnsi="宋体" w:eastAsia="宋体" w:cs="宋体"/>
          <w:szCs w:val="21"/>
        </w:rPr>
      </w:pPr>
      <w:r>
        <w:rPr>
          <w:rFonts w:hint="eastAsia" w:ascii="宋体" w:hAnsi="宋体" w:eastAsia="宋体" w:cs="宋体"/>
          <w:szCs w:val="21"/>
        </w:rPr>
        <w:t>1.1.3采购代理机构：见投标人须知前附表。</w:t>
      </w:r>
    </w:p>
    <w:p w14:paraId="4119C117">
      <w:pPr>
        <w:widowControl/>
        <w:tabs>
          <w:tab w:val="left" w:pos="350"/>
        </w:tabs>
        <w:spacing w:line="400" w:lineRule="exact"/>
        <w:ind w:firstLine="420"/>
        <w:jc w:val="left"/>
        <w:rPr>
          <w:rFonts w:ascii="宋体" w:hAnsi="宋体" w:eastAsia="宋体" w:cs="宋体"/>
          <w:szCs w:val="21"/>
        </w:rPr>
      </w:pPr>
      <w:r>
        <w:rPr>
          <w:rFonts w:hint="eastAsia" w:ascii="宋体" w:hAnsi="宋体" w:eastAsia="宋体" w:cs="宋体"/>
          <w:szCs w:val="21"/>
        </w:rPr>
        <w:t>1.1.4项目名称：见投标人须知前附表。</w:t>
      </w:r>
    </w:p>
    <w:p w14:paraId="5186C657">
      <w:pPr>
        <w:widowControl/>
        <w:tabs>
          <w:tab w:val="left" w:pos="350"/>
        </w:tabs>
        <w:spacing w:line="400" w:lineRule="exact"/>
        <w:ind w:firstLine="420"/>
        <w:jc w:val="left"/>
        <w:rPr>
          <w:rFonts w:ascii="宋体" w:hAnsi="宋体" w:eastAsia="宋体" w:cs="宋体"/>
          <w:szCs w:val="21"/>
        </w:rPr>
      </w:pPr>
      <w:r>
        <w:rPr>
          <w:rFonts w:hint="eastAsia" w:ascii="宋体" w:hAnsi="宋体" w:eastAsia="宋体" w:cs="宋体"/>
          <w:szCs w:val="21"/>
        </w:rPr>
        <w:t>1.1.5招标方式：见投标人须知前附表。</w:t>
      </w:r>
    </w:p>
    <w:p w14:paraId="19C110BF">
      <w:pPr>
        <w:widowControl/>
        <w:tabs>
          <w:tab w:val="left" w:pos="350"/>
        </w:tabs>
        <w:spacing w:line="400" w:lineRule="exact"/>
        <w:ind w:firstLine="420"/>
        <w:jc w:val="left"/>
        <w:rPr>
          <w:rFonts w:ascii="宋体" w:hAnsi="宋体" w:eastAsia="宋体" w:cs="宋体"/>
          <w:szCs w:val="21"/>
        </w:rPr>
      </w:pPr>
      <w:r>
        <w:rPr>
          <w:rFonts w:hint="eastAsia" w:ascii="宋体" w:hAnsi="宋体" w:eastAsia="宋体" w:cs="宋体"/>
          <w:szCs w:val="21"/>
        </w:rPr>
        <w:t>1.1.6预算价（最高限价）：见投标人须知前附表。</w:t>
      </w:r>
    </w:p>
    <w:p w14:paraId="24E0EC34">
      <w:pPr>
        <w:widowControl/>
        <w:tabs>
          <w:tab w:val="left" w:pos="350"/>
        </w:tabs>
        <w:spacing w:line="400" w:lineRule="exact"/>
        <w:ind w:firstLine="422"/>
        <w:jc w:val="left"/>
        <w:rPr>
          <w:rFonts w:ascii="宋体" w:hAnsi="宋体" w:eastAsia="宋体" w:cs="宋体"/>
          <w:b/>
          <w:bCs/>
          <w:szCs w:val="21"/>
        </w:rPr>
      </w:pPr>
      <w:r>
        <w:rPr>
          <w:rFonts w:hint="eastAsia" w:ascii="宋体" w:hAnsi="宋体" w:eastAsia="宋体" w:cs="宋体"/>
          <w:b/>
          <w:bCs/>
          <w:szCs w:val="21"/>
        </w:rPr>
        <w:t>1.2资金来源和落实情况</w:t>
      </w:r>
    </w:p>
    <w:p w14:paraId="463E57CE">
      <w:pPr>
        <w:widowControl/>
        <w:tabs>
          <w:tab w:val="left" w:pos="350"/>
        </w:tabs>
        <w:spacing w:line="400" w:lineRule="exact"/>
        <w:ind w:firstLine="420"/>
        <w:jc w:val="left"/>
        <w:rPr>
          <w:rFonts w:ascii="宋体" w:hAnsi="宋体" w:eastAsia="宋体" w:cs="宋体"/>
          <w:szCs w:val="21"/>
        </w:rPr>
      </w:pPr>
      <w:r>
        <w:rPr>
          <w:rFonts w:hint="eastAsia" w:ascii="宋体" w:hAnsi="宋体" w:eastAsia="宋体" w:cs="宋体"/>
          <w:szCs w:val="21"/>
        </w:rPr>
        <w:t>1.2.1资金来源及落实情况：见投标人须知前附表。</w:t>
      </w:r>
    </w:p>
    <w:p w14:paraId="1F873E80">
      <w:pPr>
        <w:widowControl/>
        <w:tabs>
          <w:tab w:val="left" w:pos="350"/>
        </w:tabs>
        <w:spacing w:line="400" w:lineRule="exact"/>
        <w:ind w:firstLine="420"/>
        <w:jc w:val="left"/>
        <w:rPr>
          <w:rFonts w:ascii="宋体" w:hAnsi="宋体" w:eastAsia="宋体" w:cs="宋体"/>
          <w:szCs w:val="21"/>
        </w:rPr>
      </w:pPr>
      <w:r>
        <w:rPr>
          <w:rFonts w:hint="eastAsia" w:ascii="宋体" w:hAnsi="宋体" w:eastAsia="宋体" w:cs="宋体"/>
          <w:szCs w:val="21"/>
        </w:rPr>
        <w:t>1.2.2出资比例：见投标人须知前附表。</w:t>
      </w:r>
    </w:p>
    <w:p w14:paraId="23A926C2">
      <w:pPr>
        <w:widowControl/>
        <w:tabs>
          <w:tab w:val="left" w:pos="350"/>
        </w:tabs>
        <w:spacing w:line="400" w:lineRule="exact"/>
        <w:ind w:firstLine="422"/>
        <w:jc w:val="left"/>
        <w:rPr>
          <w:rFonts w:ascii="宋体" w:hAnsi="宋体" w:eastAsia="宋体" w:cs="宋体"/>
          <w:b/>
          <w:bCs/>
          <w:szCs w:val="21"/>
        </w:rPr>
      </w:pPr>
      <w:r>
        <w:rPr>
          <w:rFonts w:hint="eastAsia" w:ascii="宋体" w:hAnsi="宋体" w:eastAsia="宋体" w:cs="宋体"/>
          <w:b/>
          <w:bCs/>
          <w:szCs w:val="21"/>
        </w:rPr>
        <w:t>1.3采购内容、质量要求、交货期、质保期</w:t>
      </w:r>
    </w:p>
    <w:p w14:paraId="7605E3AD">
      <w:pPr>
        <w:widowControl/>
        <w:tabs>
          <w:tab w:val="left" w:pos="350"/>
        </w:tabs>
        <w:spacing w:line="400" w:lineRule="exact"/>
        <w:ind w:firstLine="420"/>
        <w:jc w:val="left"/>
        <w:rPr>
          <w:rFonts w:ascii="宋体" w:hAnsi="宋体" w:eastAsia="宋体" w:cs="宋体"/>
          <w:szCs w:val="21"/>
        </w:rPr>
      </w:pPr>
      <w:r>
        <w:rPr>
          <w:rFonts w:hint="eastAsia" w:ascii="宋体" w:hAnsi="宋体" w:eastAsia="宋体" w:cs="宋体"/>
          <w:szCs w:val="21"/>
        </w:rPr>
        <w:t>1.3.1采购内容：见投标人须知前附表。</w:t>
      </w:r>
    </w:p>
    <w:p w14:paraId="043CCAC3">
      <w:pPr>
        <w:widowControl/>
        <w:tabs>
          <w:tab w:val="left" w:pos="350"/>
        </w:tabs>
        <w:spacing w:line="400" w:lineRule="exact"/>
        <w:ind w:firstLine="420"/>
        <w:jc w:val="left"/>
        <w:rPr>
          <w:rFonts w:ascii="宋体" w:hAnsi="宋体" w:eastAsia="宋体" w:cs="宋体"/>
          <w:szCs w:val="21"/>
        </w:rPr>
      </w:pPr>
      <w:r>
        <w:rPr>
          <w:rFonts w:hint="eastAsia" w:ascii="宋体" w:hAnsi="宋体" w:eastAsia="宋体" w:cs="宋体"/>
          <w:szCs w:val="21"/>
        </w:rPr>
        <w:t>1.3.2质量要求：见投标人须知前附表。</w:t>
      </w:r>
    </w:p>
    <w:p w14:paraId="7D8A1F10">
      <w:pPr>
        <w:widowControl/>
        <w:tabs>
          <w:tab w:val="left" w:pos="350"/>
        </w:tabs>
        <w:spacing w:line="400" w:lineRule="exact"/>
        <w:ind w:firstLine="420"/>
        <w:jc w:val="left"/>
        <w:rPr>
          <w:rFonts w:ascii="宋体" w:hAnsi="宋体" w:eastAsia="宋体" w:cs="宋体"/>
          <w:szCs w:val="21"/>
        </w:rPr>
      </w:pPr>
      <w:r>
        <w:rPr>
          <w:rFonts w:hint="eastAsia" w:ascii="宋体" w:hAnsi="宋体" w:eastAsia="宋体" w:cs="宋体"/>
          <w:szCs w:val="21"/>
        </w:rPr>
        <w:t>1.3.3交货期：见投标人须知前附表。</w:t>
      </w:r>
    </w:p>
    <w:p w14:paraId="70FF441B">
      <w:pPr>
        <w:widowControl/>
        <w:tabs>
          <w:tab w:val="left" w:pos="350"/>
        </w:tabs>
        <w:spacing w:line="400" w:lineRule="exact"/>
        <w:ind w:firstLine="420"/>
        <w:jc w:val="left"/>
        <w:rPr>
          <w:rFonts w:ascii="宋体" w:hAnsi="宋体" w:eastAsia="宋体" w:cs="宋体"/>
          <w:szCs w:val="21"/>
        </w:rPr>
      </w:pPr>
      <w:r>
        <w:rPr>
          <w:rFonts w:hint="eastAsia" w:ascii="宋体" w:hAnsi="宋体" w:eastAsia="宋体" w:cs="宋体"/>
          <w:szCs w:val="21"/>
        </w:rPr>
        <w:t>1.3.4质保期：见投标人须知前附表。</w:t>
      </w:r>
    </w:p>
    <w:p w14:paraId="1C916043">
      <w:pPr>
        <w:widowControl/>
        <w:spacing w:line="400" w:lineRule="exact"/>
        <w:ind w:firstLine="422"/>
        <w:jc w:val="left"/>
        <w:rPr>
          <w:rFonts w:ascii="宋体" w:hAnsi="宋体" w:eastAsia="宋体" w:cs="宋体"/>
          <w:b/>
          <w:szCs w:val="21"/>
        </w:rPr>
      </w:pPr>
      <w:r>
        <w:rPr>
          <w:rFonts w:hint="eastAsia" w:ascii="宋体" w:hAnsi="宋体" w:eastAsia="宋体" w:cs="宋体"/>
          <w:b/>
          <w:szCs w:val="21"/>
        </w:rPr>
        <w:t xml:space="preserve">1.4投标人资格要求 </w:t>
      </w:r>
    </w:p>
    <w:p w14:paraId="62B28D39">
      <w:pPr>
        <w:widowControl/>
        <w:tabs>
          <w:tab w:val="left" w:pos="350"/>
        </w:tabs>
        <w:spacing w:line="400" w:lineRule="exact"/>
        <w:ind w:firstLine="420"/>
        <w:jc w:val="left"/>
        <w:rPr>
          <w:rFonts w:ascii="宋体" w:hAnsi="宋体" w:eastAsia="宋体" w:cs="宋体"/>
          <w:szCs w:val="21"/>
        </w:rPr>
      </w:pPr>
      <w:r>
        <w:rPr>
          <w:rFonts w:hint="eastAsia" w:ascii="宋体" w:hAnsi="宋体" w:eastAsia="宋体" w:cs="宋体"/>
          <w:szCs w:val="21"/>
        </w:rPr>
        <w:t>1.4.1投标人资格要求：见投标人须知前附表。</w:t>
      </w:r>
    </w:p>
    <w:p w14:paraId="56F0DD50">
      <w:pPr>
        <w:spacing w:line="400" w:lineRule="exact"/>
        <w:ind w:firstLine="420"/>
        <w:rPr>
          <w:rFonts w:ascii="宋体" w:hAnsi="宋体" w:eastAsia="宋体" w:cs="宋体"/>
          <w:szCs w:val="21"/>
        </w:rPr>
      </w:pPr>
      <w:r>
        <w:rPr>
          <w:rFonts w:hint="eastAsia" w:ascii="宋体" w:hAnsi="宋体" w:eastAsia="宋体" w:cs="宋体"/>
          <w:szCs w:val="21"/>
        </w:rPr>
        <w:t>1.4.2 合格的投标人不应有违法行为，在近三年内无不良经营行为。投标人如果在本次招标投标活动中，被有关管理部门认定有违法行为，采购人有权拒绝其投标、取消其中标资格。</w:t>
      </w:r>
    </w:p>
    <w:p w14:paraId="1F5197A7">
      <w:pPr>
        <w:spacing w:line="400" w:lineRule="exact"/>
        <w:ind w:firstLine="420"/>
        <w:rPr>
          <w:rFonts w:ascii="宋体" w:hAnsi="宋体" w:eastAsia="宋体" w:cs="宋体"/>
          <w:szCs w:val="21"/>
        </w:rPr>
      </w:pPr>
      <w:r>
        <w:rPr>
          <w:rFonts w:hint="eastAsia" w:ascii="宋体" w:hAnsi="宋体" w:eastAsia="宋体" w:cs="宋体"/>
          <w:szCs w:val="21"/>
        </w:rPr>
        <w:t>1.4.3 投标人不得存在下列情形：</w:t>
      </w:r>
    </w:p>
    <w:p w14:paraId="48BE7DC9">
      <w:pPr>
        <w:spacing w:line="400" w:lineRule="exact"/>
        <w:ind w:firstLine="420"/>
        <w:rPr>
          <w:rFonts w:ascii="宋体" w:hAnsi="宋体" w:eastAsia="宋体" w:cs="宋体"/>
          <w:szCs w:val="21"/>
        </w:rPr>
      </w:pPr>
      <w:r>
        <w:rPr>
          <w:rFonts w:hint="eastAsia" w:ascii="宋体" w:hAnsi="宋体" w:eastAsia="宋体" w:cs="宋体"/>
          <w:szCs w:val="21"/>
        </w:rPr>
        <w:t>（1）为采购人不具有独立法人资格的附属机构（单位）；</w:t>
      </w:r>
    </w:p>
    <w:p w14:paraId="15AD8ED8">
      <w:pPr>
        <w:spacing w:line="400" w:lineRule="exact"/>
        <w:ind w:firstLine="420"/>
        <w:rPr>
          <w:rFonts w:ascii="宋体" w:hAnsi="宋体" w:eastAsia="宋体" w:cs="宋体"/>
          <w:szCs w:val="21"/>
        </w:rPr>
      </w:pPr>
      <w:r>
        <w:rPr>
          <w:rFonts w:hint="eastAsia" w:ascii="宋体" w:hAnsi="宋体" w:eastAsia="宋体" w:cs="宋体"/>
          <w:szCs w:val="21"/>
        </w:rPr>
        <w:t>（2）被责令停业的；</w:t>
      </w:r>
    </w:p>
    <w:p w14:paraId="33127A55">
      <w:pPr>
        <w:spacing w:line="400" w:lineRule="exact"/>
        <w:ind w:firstLine="420"/>
        <w:rPr>
          <w:rFonts w:ascii="宋体" w:hAnsi="宋体" w:eastAsia="宋体" w:cs="宋体"/>
          <w:szCs w:val="21"/>
        </w:rPr>
      </w:pPr>
      <w:r>
        <w:rPr>
          <w:rFonts w:hint="eastAsia" w:ascii="宋体" w:hAnsi="宋体" w:eastAsia="宋体" w:cs="宋体"/>
          <w:szCs w:val="21"/>
        </w:rPr>
        <w:t>（3）被暂停或取消投标资格的；</w:t>
      </w:r>
    </w:p>
    <w:p w14:paraId="68C3A919">
      <w:pPr>
        <w:spacing w:line="400" w:lineRule="exact"/>
        <w:ind w:firstLine="420"/>
        <w:rPr>
          <w:rFonts w:ascii="宋体" w:hAnsi="宋体" w:eastAsia="宋体" w:cs="宋体"/>
          <w:szCs w:val="21"/>
        </w:rPr>
      </w:pPr>
      <w:r>
        <w:rPr>
          <w:rFonts w:hint="eastAsia" w:ascii="宋体" w:hAnsi="宋体" w:eastAsia="宋体" w:cs="宋体"/>
          <w:szCs w:val="21"/>
        </w:rPr>
        <w:t>（4）财产被接管或冻结的；</w:t>
      </w:r>
    </w:p>
    <w:p w14:paraId="4997488D">
      <w:pPr>
        <w:spacing w:line="400" w:lineRule="exact"/>
        <w:ind w:firstLine="420"/>
        <w:rPr>
          <w:rFonts w:ascii="宋体" w:hAnsi="宋体" w:eastAsia="宋体" w:cs="宋体"/>
          <w:szCs w:val="21"/>
        </w:rPr>
      </w:pPr>
      <w:r>
        <w:rPr>
          <w:rFonts w:hint="eastAsia" w:ascii="宋体" w:hAnsi="宋体" w:eastAsia="宋体" w:cs="宋体"/>
          <w:szCs w:val="21"/>
        </w:rPr>
        <w:t>（5）在最近三年内有骗取中标或严重违约的；</w:t>
      </w:r>
    </w:p>
    <w:p w14:paraId="22EF8DBE">
      <w:pPr>
        <w:spacing w:line="400" w:lineRule="exact"/>
        <w:ind w:firstLine="420"/>
        <w:rPr>
          <w:rFonts w:ascii="宋体" w:hAnsi="宋体" w:eastAsia="宋体" w:cs="宋体"/>
          <w:szCs w:val="21"/>
        </w:rPr>
      </w:pPr>
      <w:r>
        <w:rPr>
          <w:rFonts w:hint="eastAsia" w:ascii="宋体" w:hAnsi="宋体" w:eastAsia="宋体" w:cs="宋体"/>
          <w:szCs w:val="21"/>
        </w:rPr>
        <w:t>（6）在招标活动中曾出现过违规违纪行为的。</w:t>
      </w:r>
    </w:p>
    <w:p w14:paraId="64EC0746">
      <w:pPr>
        <w:widowControl/>
        <w:tabs>
          <w:tab w:val="left" w:pos="0"/>
        </w:tabs>
        <w:spacing w:line="400" w:lineRule="exact"/>
        <w:ind w:firstLine="422"/>
        <w:jc w:val="left"/>
        <w:rPr>
          <w:rFonts w:ascii="宋体" w:hAnsi="宋体" w:eastAsia="宋体" w:cs="宋体"/>
          <w:b/>
          <w:szCs w:val="21"/>
        </w:rPr>
      </w:pPr>
      <w:bookmarkStart w:id="14" w:name="_Toc297211670"/>
      <w:r>
        <w:rPr>
          <w:rFonts w:hint="eastAsia" w:ascii="宋体" w:hAnsi="宋体" w:eastAsia="宋体" w:cs="宋体"/>
          <w:b/>
          <w:szCs w:val="21"/>
        </w:rPr>
        <w:t>1.5 付款方式</w:t>
      </w:r>
      <w:bookmarkEnd w:id="14"/>
    </w:p>
    <w:p w14:paraId="42E89B81">
      <w:pPr>
        <w:widowControl/>
        <w:spacing w:line="400" w:lineRule="exact"/>
        <w:ind w:firstLine="420"/>
        <w:jc w:val="left"/>
        <w:rPr>
          <w:rFonts w:ascii="宋体" w:hAnsi="宋体" w:eastAsia="宋体" w:cs="宋体"/>
          <w:szCs w:val="21"/>
        </w:rPr>
      </w:pPr>
      <w:r>
        <w:rPr>
          <w:rFonts w:hint="eastAsia" w:ascii="宋体" w:hAnsi="宋体" w:eastAsia="宋体" w:cs="宋体"/>
          <w:szCs w:val="21"/>
        </w:rPr>
        <w:t>见投标人须知前附表。</w:t>
      </w:r>
    </w:p>
    <w:p w14:paraId="09D5700E">
      <w:pPr>
        <w:widowControl/>
        <w:numPr>
          <w:ilvl w:val="1"/>
          <w:numId w:val="1"/>
        </w:numPr>
        <w:spacing w:line="400" w:lineRule="exact"/>
        <w:ind w:left="0" w:firstLine="422"/>
        <w:jc w:val="left"/>
        <w:rPr>
          <w:rFonts w:ascii="宋体" w:hAnsi="宋体" w:eastAsia="宋体" w:cs="宋体"/>
          <w:b/>
          <w:szCs w:val="21"/>
        </w:rPr>
      </w:pPr>
      <w:r>
        <w:rPr>
          <w:rFonts w:hint="eastAsia" w:ascii="宋体" w:hAnsi="宋体" w:eastAsia="宋体" w:cs="宋体"/>
          <w:b/>
          <w:szCs w:val="21"/>
        </w:rPr>
        <w:t xml:space="preserve"> 费用承担</w:t>
      </w:r>
    </w:p>
    <w:p w14:paraId="0AA0D8E5">
      <w:pPr>
        <w:widowControl/>
        <w:spacing w:line="400" w:lineRule="exact"/>
        <w:ind w:firstLine="420"/>
        <w:jc w:val="left"/>
        <w:rPr>
          <w:rFonts w:ascii="宋体" w:hAnsi="宋体" w:eastAsia="宋体" w:cs="宋体"/>
          <w:szCs w:val="21"/>
        </w:rPr>
      </w:pPr>
      <w:r>
        <w:rPr>
          <w:rFonts w:hint="eastAsia" w:ascii="宋体" w:hAnsi="宋体" w:eastAsia="宋体" w:cs="宋体"/>
          <w:szCs w:val="21"/>
        </w:rPr>
        <w:t>投标人准备和参加投标活动发生的费用自理。</w:t>
      </w:r>
    </w:p>
    <w:p w14:paraId="5B45E07F">
      <w:pPr>
        <w:widowControl/>
        <w:numPr>
          <w:ilvl w:val="1"/>
          <w:numId w:val="1"/>
        </w:numPr>
        <w:spacing w:line="400" w:lineRule="exact"/>
        <w:ind w:left="0" w:firstLine="422"/>
        <w:jc w:val="left"/>
        <w:rPr>
          <w:rFonts w:ascii="宋体" w:hAnsi="宋体" w:eastAsia="宋体" w:cs="宋体"/>
          <w:b/>
          <w:szCs w:val="21"/>
        </w:rPr>
      </w:pPr>
      <w:r>
        <w:rPr>
          <w:rFonts w:hint="eastAsia" w:ascii="宋体" w:hAnsi="宋体" w:eastAsia="宋体" w:cs="宋体"/>
          <w:b/>
          <w:szCs w:val="21"/>
        </w:rPr>
        <w:t xml:space="preserve"> 保密</w:t>
      </w:r>
    </w:p>
    <w:p w14:paraId="1932D45E">
      <w:pPr>
        <w:widowControl/>
        <w:spacing w:line="400" w:lineRule="exact"/>
        <w:ind w:firstLine="420"/>
        <w:jc w:val="left"/>
        <w:rPr>
          <w:rFonts w:ascii="宋体" w:hAnsi="宋体" w:eastAsia="宋体" w:cs="宋体"/>
          <w:szCs w:val="21"/>
        </w:rPr>
      </w:pPr>
      <w:r>
        <w:rPr>
          <w:rFonts w:hint="eastAsia" w:ascii="宋体" w:hAnsi="宋体" w:eastAsia="宋体" w:cs="宋体"/>
          <w:szCs w:val="21"/>
        </w:rPr>
        <w:t>参与招标投标活动的各方应对招标文件和投标文件中的商业和技术等秘密保密，违者应对由此造成的后果承担法律责任。</w:t>
      </w:r>
    </w:p>
    <w:p w14:paraId="7C4970A7">
      <w:pPr>
        <w:widowControl/>
        <w:numPr>
          <w:ilvl w:val="1"/>
          <w:numId w:val="1"/>
        </w:numPr>
        <w:spacing w:line="400" w:lineRule="exact"/>
        <w:ind w:left="0" w:firstLine="422"/>
        <w:jc w:val="left"/>
        <w:rPr>
          <w:rFonts w:ascii="宋体" w:hAnsi="宋体" w:eastAsia="宋体" w:cs="宋体"/>
          <w:b/>
          <w:szCs w:val="21"/>
        </w:rPr>
      </w:pPr>
      <w:r>
        <w:rPr>
          <w:rFonts w:hint="eastAsia" w:ascii="宋体" w:hAnsi="宋体" w:eastAsia="宋体" w:cs="宋体"/>
          <w:b/>
          <w:szCs w:val="21"/>
        </w:rPr>
        <w:t>语言文字</w:t>
      </w:r>
    </w:p>
    <w:p w14:paraId="2302B81B">
      <w:pPr>
        <w:widowControl/>
        <w:spacing w:line="400" w:lineRule="exact"/>
        <w:ind w:firstLine="420"/>
        <w:jc w:val="left"/>
        <w:rPr>
          <w:rFonts w:ascii="宋体" w:hAnsi="宋体" w:eastAsia="宋体" w:cs="宋体"/>
          <w:szCs w:val="21"/>
        </w:rPr>
      </w:pPr>
      <w:r>
        <w:rPr>
          <w:rFonts w:hint="eastAsia" w:ascii="宋体" w:hAnsi="宋体" w:eastAsia="宋体" w:cs="宋体"/>
          <w:szCs w:val="21"/>
        </w:rPr>
        <w:t>除专用术语外，与招标投标有关的语言均使用中文。必要时专用术语应附有中文注释。</w:t>
      </w:r>
    </w:p>
    <w:p w14:paraId="07A10F3A">
      <w:pPr>
        <w:widowControl/>
        <w:numPr>
          <w:ilvl w:val="1"/>
          <w:numId w:val="1"/>
        </w:numPr>
        <w:spacing w:line="400" w:lineRule="exact"/>
        <w:ind w:left="0" w:firstLine="422"/>
        <w:jc w:val="left"/>
        <w:rPr>
          <w:rFonts w:ascii="宋体" w:hAnsi="宋体" w:eastAsia="宋体" w:cs="宋体"/>
          <w:b/>
          <w:szCs w:val="21"/>
        </w:rPr>
      </w:pPr>
      <w:r>
        <w:rPr>
          <w:rFonts w:hint="eastAsia" w:ascii="宋体" w:hAnsi="宋体" w:eastAsia="宋体" w:cs="宋体"/>
          <w:b/>
          <w:szCs w:val="21"/>
        </w:rPr>
        <w:t>计量单位</w:t>
      </w:r>
    </w:p>
    <w:p w14:paraId="09C0877F">
      <w:pPr>
        <w:widowControl/>
        <w:spacing w:line="400" w:lineRule="exact"/>
        <w:ind w:firstLine="420"/>
        <w:jc w:val="left"/>
        <w:rPr>
          <w:rFonts w:ascii="宋体" w:hAnsi="宋体" w:eastAsia="宋体" w:cs="宋体"/>
          <w:szCs w:val="21"/>
        </w:rPr>
      </w:pPr>
      <w:r>
        <w:rPr>
          <w:rFonts w:hint="eastAsia" w:ascii="宋体" w:hAnsi="宋体" w:eastAsia="宋体" w:cs="宋体"/>
          <w:szCs w:val="21"/>
        </w:rPr>
        <w:t>所有计量均采用中华人民共和国法定计量单位。</w:t>
      </w:r>
    </w:p>
    <w:p w14:paraId="265CA818">
      <w:pPr>
        <w:pStyle w:val="6"/>
        <w:spacing w:line="400" w:lineRule="exact"/>
        <w:ind w:firstLine="420"/>
        <w:rPr>
          <w:rFonts w:eastAsia="宋体" w:cs="宋体"/>
          <w:sz w:val="21"/>
          <w:szCs w:val="21"/>
        </w:rPr>
      </w:pPr>
      <w:bookmarkStart w:id="15" w:name="_Toc244934195"/>
      <w:bookmarkStart w:id="16" w:name="_Toc191983616"/>
      <w:bookmarkStart w:id="17" w:name="_Toc234213529"/>
      <w:bookmarkStart w:id="18" w:name="_Toc244935164"/>
      <w:bookmarkStart w:id="19" w:name="_Toc24501"/>
      <w:r>
        <w:rPr>
          <w:rFonts w:hint="eastAsia" w:eastAsia="宋体" w:cs="宋体"/>
          <w:sz w:val="21"/>
          <w:szCs w:val="21"/>
        </w:rPr>
        <w:t>2. 招标文件</w:t>
      </w:r>
      <w:bookmarkEnd w:id="15"/>
      <w:bookmarkEnd w:id="16"/>
      <w:bookmarkEnd w:id="17"/>
      <w:bookmarkEnd w:id="18"/>
      <w:bookmarkEnd w:id="19"/>
    </w:p>
    <w:p w14:paraId="30E8CAC7">
      <w:pPr>
        <w:spacing w:line="400" w:lineRule="exact"/>
        <w:ind w:firstLine="422"/>
        <w:rPr>
          <w:rFonts w:ascii="宋体" w:hAnsi="宋体" w:eastAsia="宋体" w:cs="宋体"/>
          <w:b/>
          <w:szCs w:val="21"/>
        </w:rPr>
      </w:pPr>
      <w:bookmarkStart w:id="20" w:name="_Toc297211672"/>
      <w:r>
        <w:rPr>
          <w:rFonts w:hint="eastAsia" w:ascii="宋体" w:hAnsi="宋体" w:eastAsia="宋体" w:cs="宋体"/>
          <w:b/>
          <w:szCs w:val="21"/>
        </w:rPr>
        <w:t>2.1 招标文件的组成</w:t>
      </w:r>
      <w:bookmarkEnd w:id="20"/>
    </w:p>
    <w:p w14:paraId="5F2BD128">
      <w:pPr>
        <w:widowControl/>
        <w:spacing w:line="400" w:lineRule="exact"/>
        <w:ind w:firstLine="420"/>
        <w:jc w:val="left"/>
        <w:rPr>
          <w:rFonts w:ascii="宋体" w:hAnsi="宋体" w:eastAsia="宋体" w:cs="宋体"/>
          <w:szCs w:val="21"/>
        </w:rPr>
      </w:pPr>
      <w:r>
        <w:rPr>
          <w:rFonts w:hint="eastAsia" w:ascii="宋体" w:hAnsi="宋体" w:eastAsia="宋体" w:cs="宋体"/>
          <w:szCs w:val="21"/>
        </w:rPr>
        <w:t>本招标文件包括：</w:t>
      </w:r>
    </w:p>
    <w:p w14:paraId="7DECC9B6">
      <w:pPr>
        <w:widowControl/>
        <w:numPr>
          <w:ilvl w:val="0"/>
          <w:numId w:val="2"/>
        </w:numPr>
        <w:tabs>
          <w:tab w:val="left" w:pos="525"/>
          <w:tab w:val="clear" w:pos="420"/>
        </w:tabs>
        <w:spacing w:line="400" w:lineRule="exact"/>
        <w:ind w:left="0" w:firstLine="420"/>
        <w:jc w:val="left"/>
        <w:rPr>
          <w:rFonts w:ascii="宋体" w:hAnsi="宋体" w:eastAsia="宋体" w:cs="宋体"/>
          <w:szCs w:val="21"/>
        </w:rPr>
      </w:pPr>
      <w:r>
        <w:rPr>
          <w:rFonts w:hint="eastAsia" w:ascii="宋体" w:hAnsi="宋体" w:eastAsia="宋体" w:cs="宋体"/>
          <w:szCs w:val="21"/>
        </w:rPr>
        <w:t>招标公告；</w:t>
      </w:r>
    </w:p>
    <w:p w14:paraId="54766155">
      <w:pPr>
        <w:widowControl/>
        <w:numPr>
          <w:ilvl w:val="0"/>
          <w:numId w:val="2"/>
        </w:numPr>
        <w:tabs>
          <w:tab w:val="left" w:pos="525"/>
          <w:tab w:val="clear" w:pos="420"/>
        </w:tabs>
        <w:spacing w:line="400" w:lineRule="exact"/>
        <w:ind w:left="0" w:firstLine="420"/>
        <w:jc w:val="left"/>
        <w:rPr>
          <w:rFonts w:ascii="宋体" w:hAnsi="宋体" w:eastAsia="宋体" w:cs="宋体"/>
          <w:szCs w:val="21"/>
        </w:rPr>
      </w:pPr>
      <w:r>
        <w:rPr>
          <w:rFonts w:hint="eastAsia" w:ascii="宋体" w:hAnsi="宋体" w:eastAsia="宋体" w:cs="宋体"/>
          <w:szCs w:val="21"/>
        </w:rPr>
        <w:t>投标人须知；</w:t>
      </w:r>
    </w:p>
    <w:p w14:paraId="689F8188">
      <w:pPr>
        <w:widowControl/>
        <w:numPr>
          <w:ilvl w:val="0"/>
          <w:numId w:val="2"/>
        </w:numPr>
        <w:tabs>
          <w:tab w:val="left" w:pos="525"/>
          <w:tab w:val="clear" w:pos="420"/>
        </w:tabs>
        <w:spacing w:line="400" w:lineRule="exact"/>
        <w:ind w:left="0" w:firstLine="420"/>
        <w:jc w:val="left"/>
        <w:rPr>
          <w:rFonts w:ascii="宋体" w:hAnsi="宋体" w:eastAsia="宋体" w:cs="宋体"/>
          <w:szCs w:val="21"/>
        </w:rPr>
      </w:pPr>
      <w:r>
        <w:rPr>
          <w:rFonts w:hint="eastAsia" w:ascii="宋体" w:hAnsi="宋体" w:eastAsia="宋体" w:cs="宋体"/>
          <w:szCs w:val="21"/>
        </w:rPr>
        <w:t>评标办法；</w:t>
      </w:r>
    </w:p>
    <w:p w14:paraId="42E2EBA8">
      <w:pPr>
        <w:widowControl/>
        <w:numPr>
          <w:ilvl w:val="0"/>
          <w:numId w:val="2"/>
        </w:numPr>
        <w:tabs>
          <w:tab w:val="left" w:pos="525"/>
          <w:tab w:val="clear" w:pos="420"/>
        </w:tabs>
        <w:spacing w:line="400" w:lineRule="exact"/>
        <w:ind w:left="0" w:firstLine="420"/>
        <w:jc w:val="left"/>
        <w:rPr>
          <w:rFonts w:ascii="宋体" w:hAnsi="宋体" w:eastAsia="宋体" w:cs="宋体"/>
          <w:szCs w:val="21"/>
        </w:rPr>
      </w:pPr>
      <w:r>
        <w:rPr>
          <w:rFonts w:hint="eastAsia" w:ascii="宋体" w:hAnsi="宋体" w:eastAsia="宋体" w:cs="宋体"/>
          <w:szCs w:val="21"/>
        </w:rPr>
        <w:t>合同主要条款及格式；</w:t>
      </w:r>
    </w:p>
    <w:p w14:paraId="1817DE40">
      <w:pPr>
        <w:widowControl/>
        <w:numPr>
          <w:ilvl w:val="0"/>
          <w:numId w:val="2"/>
        </w:numPr>
        <w:tabs>
          <w:tab w:val="left" w:pos="525"/>
          <w:tab w:val="clear" w:pos="420"/>
        </w:tabs>
        <w:spacing w:line="400" w:lineRule="exact"/>
        <w:ind w:left="0" w:firstLine="420"/>
        <w:jc w:val="left"/>
        <w:rPr>
          <w:rFonts w:ascii="宋体" w:hAnsi="宋体" w:eastAsia="宋体" w:cs="宋体"/>
          <w:szCs w:val="21"/>
        </w:rPr>
      </w:pPr>
      <w:r>
        <w:rPr>
          <w:rFonts w:hint="eastAsia" w:ascii="宋体" w:hAnsi="宋体" w:eastAsia="宋体" w:cs="宋体"/>
          <w:szCs w:val="21"/>
        </w:rPr>
        <w:t>采购项目技术参数；</w:t>
      </w:r>
    </w:p>
    <w:p w14:paraId="047F2140">
      <w:pPr>
        <w:widowControl/>
        <w:numPr>
          <w:ilvl w:val="0"/>
          <w:numId w:val="2"/>
        </w:numPr>
        <w:tabs>
          <w:tab w:val="left" w:pos="525"/>
          <w:tab w:val="clear" w:pos="420"/>
        </w:tabs>
        <w:spacing w:line="400" w:lineRule="exact"/>
        <w:ind w:left="0" w:firstLine="420"/>
        <w:jc w:val="left"/>
        <w:rPr>
          <w:rFonts w:ascii="宋体" w:hAnsi="宋体" w:eastAsia="宋体" w:cs="宋体"/>
          <w:szCs w:val="21"/>
        </w:rPr>
      </w:pPr>
      <w:r>
        <w:rPr>
          <w:rFonts w:hint="eastAsia" w:ascii="宋体" w:hAnsi="宋体" w:eastAsia="宋体" w:cs="宋体"/>
          <w:szCs w:val="21"/>
        </w:rPr>
        <w:t>投标文件格式；</w:t>
      </w:r>
    </w:p>
    <w:p w14:paraId="6F4818C5">
      <w:pPr>
        <w:widowControl/>
        <w:spacing w:line="400" w:lineRule="exact"/>
        <w:ind w:firstLine="420"/>
        <w:jc w:val="left"/>
        <w:rPr>
          <w:rFonts w:ascii="宋体" w:hAnsi="宋体" w:eastAsia="宋体" w:cs="宋体"/>
          <w:szCs w:val="21"/>
        </w:rPr>
      </w:pPr>
      <w:r>
        <w:rPr>
          <w:rFonts w:hint="eastAsia" w:ascii="宋体" w:hAnsi="宋体" w:eastAsia="宋体" w:cs="宋体"/>
          <w:szCs w:val="21"/>
        </w:rPr>
        <w:t>根据本章第 2.2.1款和第 2.2.2 款对招标文件所做的澄清、修改，构成招标文件的组成部分。</w:t>
      </w:r>
    </w:p>
    <w:p w14:paraId="4C588906">
      <w:pPr>
        <w:spacing w:line="400" w:lineRule="exact"/>
        <w:ind w:firstLine="422"/>
        <w:rPr>
          <w:rFonts w:ascii="宋体" w:hAnsi="宋体" w:eastAsia="宋体" w:cs="宋体"/>
          <w:b/>
          <w:szCs w:val="21"/>
        </w:rPr>
      </w:pPr>
      <w:bookmarkStart w:id="21" w:name="_Toc472337642"/>
      <w:bookmarkStart w:id="22" w:name="_Toc472429287"/>
      <w:bookmarkStart w:id="23" w:name="_Toc30722"/>
      <w:r>
        <w:rPr>
          <w:rFonts w:hint="eastAsia" w:ascii="宋体" w:hAnsi="宋体" w:eastAsia="宋体" w:cs="宋体"/>
          <w:b/>
          <w:szCs w:val="21"/>
        </w:rPr>
        <w:t>2.2  招标文件的澄清</w:t>
      </w:r>
      <w:bookmarkEnd w:id="21"/>
      <w:bookmarkEnd w:id="22"/>
    </w:p>
    <w:p w14:paraId="71BA4185">
      <w:pPr>
        <w:spacing w:line="400" w:lineRule="exact"/>
        <w:ind w:firstLine="420"/>
        <w:rPr>
          <w:rFonts w:ascii="宋体" w:hAnsi="宋体" w:eastAsia="宋体" w:cs="宋体"/>
          <w:bCs/>
          <w:szCs w:val="21"/>
        </w:rPr>
      </w:pPr>
      <w:r>
        <w:rPr>
          <w:rFonts w:hint="eastAsia" w:ascii="宋体" w:hAnsi="宋体" w:eastAsia="宋体" w:cs="宋体"/>
          <w:bCs/>
          <w:szCs w:val="21"/>
        </w:rPr>
        <w:t>2.2.1投标人应仔细阅读和检查招标文件的全部内容。如发现缺页或附件不全，应及时向采购人提出，以便补齐。如有疑问，应在投标须知前附表规定的时间前以书面形式(包括信函、电报、传真等可以有形地表现所载内容的形式，下同)，要求采购人对招标文件予以澄清。</w:t>
      </w:r>
    </w:p>
    <w:p w14:paraId="4FCC68EC">
      <w:pPr>
        <w:spacing w:line="400" w:lineRule="exact"/>
        <w:ind w:firstLine="420"/>
        <w:rPr>
          <w:rFonts w:ascii="宋体" w:hAnsi="宋体" w:eastAsia="宋体" w:cs="宋体"/>
          <w:bCs/>
          <w:szCs w:val="21"/>
        </w:rPr>
      </w:pPr>
      <w:r>
        <w:rPr>
          <w:rFonts w:hint="eastAsia" w:ascii="宋体" w:hAnsi="宋体" w:eastAsia="宋体" w:cs="宋体"/>
          <w:bCs/>
          <w:szCs w:val="21"/>
        </w:rPr>
        <w:t>2.2.2 招标文件的澄清将在投标须知前附表规定的投标截止时间15天前在信阳市公共资源交易系统“变更公告”或“答疑文件”将澄清内容予以发布，但不指明澄清问题的来源。如果澄清发出的时间距投标截止时间不足15天的，并且澄清的内容可能影响投标文件编制的，将相应延长投标截止时间。</w:t>
      </w:r>
    </w:p>
    <w:p w14:paraId="5DD8B651">
      <w:pPr>
        <w:spacing w:line="400" w:lineRule="exact"/>
        <w:ind w:firstLine="420"/>
        <w:rPr>
          <w:rFonts w:ascii="宋体" w:hAnsi="宋体" w:eastAsia="宋体" w:cs="宋体"/>
          <w:bCs/>
          <w:szCs w:val="21"/>
        </w:rPr>
      </w:pPr>
      <w:r>
        <w:rPr>
          <w:rFonts w:hint="eastAsia" w:ascii="宋体" w:hAnsi="宋体" w:eastAsia="宋体" w:cs="宋体"/>
          <w:bCs/>
          <w:szCs w:val="21"/>
        </w:rPr>
        <w:t>2.2.3 投标人应在投标文件递交截止时间前及时查看澄清内容，因投标人未及时查看而造成的后果自负。</w:t>
      </w:r>
    </w:p>
    <w:p w14:paraId="24345B80">
      <w:pPr>
        <w:spacing w:line="400" w:lineRule="exact"/>
        <w:ind w:firstLine="420"/>
        <w:rPr>
          <w:rFonts w:ascii="宋体" w:hAnsi="宋体" w:eastAsia="宋体" w:cs="宋体"/>
          <w:bCs/>
          <w:szCs w:val="21"/>
        </w:rPr>
      </w:pPr>
      <w:r>
        <w:rPr>
          <w:rFonts w:hint="eastAsia" w:ascii="宋体" w:hAnsi="宋体" w:eastAsia="宋体" w:cs="宋体"/>
          <w:bCs/>
          <w:szCs w:val="21"/>
        </w:rPr>
        <w:t>2.2.4 除非采购人认为确有必要答复，否则，采购人有权拒绝回复投标人在本章第2.2.1项规定的时间后的任何澄清要求。</w:t>
      </w:r>
    </w:p>
    <w:p w14:paraId="1D47881F">
      <w:pPr>
        <w:spacing w:line="400" w:lineRule="exact"/>
        <w:ind w:firstLine="422"/>
        <w:rPr>
          <w:rFonts w:ascii="宋体" w:hAnsi="宋体" w:eastAsia="宋体" w:cs="宋体"/>
          <w:b/>
          <w:szCs w:val="21"/>
        </w:rPr>
      </w:pPr>
      <w:bookmarkStart w:id="24" w:name="_Toc472429288"/>
      <w:bookmarkStart w:id="25" w:name="_Toc472337643"/>
      <w:r>
        <w:rPr>
          <w:rFonts w:hint="eastAsia" w:ascii="宋体" w:hAnsi="宋体" w:eastAsia="宋体" w:cs="宋体"/>
          <w:b/>
          <w:szCs w:val="21"/>
        </w:rPr>
        <w:t>2.3  招标文件的修改</w:t>
      </w:r>
      <w:bookmarkEnd w:id="24"/>
      <w:bookmarkEnd w:id="25"/>
    </w:p>
    <w:p w14:paraId="56F29C52">
      <w:pPr>
        <w:spacing w:line="400" w:lineRule="exact"/>
        <w:ind w:firstLine="420"/>
        <w:rPr>
          <w:rFonts w:ascii="宋体" w:hAnsi="宋体" w:eastAsia="宋体" w:cs="宋体"/>
          <w:bCs/>
          <w:szCs w:val="21"/>
        </w:rPr>
      </w:pPr>
      <w:r>
        <w:rPr>
          <w:rFonts w:hint="eastAsia" w:ascii="宋体" w:hAnsi="宋体" w:eastAsia="宋体" w:cs="宋体"/>
          <w:bCs/>
          <w:szCs w:val="21"/>
        </w:rPr>
        <w:t>2.3.1在投标截止时间15天前，采购人可以修改招标文件。如有修改，应在信阳市公共资源交易系统“变更公告”或“答疑文件”将修改内容予以发布。如果修改的内容可能影响投标文件编制且发出的时间距投标截止时间不足15天，相应延长投标截止时间。</w:t>
      </w:r>
    </w:p>
    <w:p w14:paraId="63395D74">
      <w:pPr>
        <w:spacing w:line="400" w:lineRule="exact"/>
        <w:ind w:firstLine="420"/>
        <w:rPr>
          <w:rFonts w:ascii="宋体" w:hAnsi="宋体" w:eastAsia="宋体" w:cs="宋体"/>
          <w:bCs/>
          <w:szCs w:val="21"/>
        </w:rPr>
      </w:pPr>
      <w:r>
        <w:rPr>
          <w:rFonts w:hint="eastAsia" w:ascii="宋体" w:hAnsi="宋体" w:eastAsia="宋体" w:cs="宋体"/>
          <w:bCs/>
          <w:szCs w:val="21"/>
        </w:rPr>
        <w:t>2.3.2当招标文件的澄清、修改、补充等在同一内容的表述上不一致时，以最后在信阳市公共资源交易系统发出的文件为准。</w:t>
      </w:r>
    </w:p>
    <w:p w14:paraId="434DD8FC">
      <w:pPr>
        <w:spacing w:line="400" w:lineRule="exact"/>
        <w:ind w:firstLine="420"/>
        <w:rPr>
          <w:rFonts w:ascii="宋体" w:hAnsi="宋体" w:eastAsia="宋体" w:cs="宋体"/>
          <w:bCs/>
          <w:szCs w:val="21"/>
        </w:rPr>
      </w:pPr>
      <w:r>
        <w:rPr>
          <w:rFonts w:hint="eastAsia" w:ascii="宋体" w:hAnsi="宋体" w:eastAsia="宋体" w:cs="宋体"/>
          <w:bCs/>
          <w:szCs w:val="21"/>
        </w:rPr>
        <w:t>2.3.3投标人应在投标文件递交截止时间前及时查看修改内容，因投标人未及时查看而造成的后果自负。</w:t>
      </w:r>
    </w:p>
    <w:p w14:paraId="371C2371">
      <w:pPr>
        <w:pStyle w:val="6"/>
        <w:spacing w:line="400" w:lineRule="exact"/>
        <w:ind w:firstLine="420"/>
        <w:rPr>
          <w:rFonts w:eastAsia="宋体" w:cs="宋体"/>
          <w:sz w:val="21"/>
          <w:szCs w:val="21"/>
        </w:rPr>
      </w:pPr>
      <w:r>
        <w:rPr>
          <w:rFonts w:hint="eastAsia" w:eastAsia="宋体" w:cs="宋体"/>
          <w:sz w:val="21"/>
          <w:szCs w:val="21"/>
        </w:rPr>
        <w:t>3. 投标文件</w:t>
      </w:r>
      <w:bookmarkEnd w:id="23"/>
    </w:p>
    <w:p w14:paraId="0F526A97">
      <w:pPr>
        <w:spacing w:line="400" w:lineRule="exact"/>
        <w:ind w:firstLine="422"/>
        <w:rPr>
          <w:rFonts w:ascii="宋体" w:hAnsi="宋体" w:eastAsia="宋体" w:cs="宋体"/>
          <w:b/>
          <w:szCs w:val="21"/>
        </w:rPr>
      </w:pPr>
      <w:r>
        <w:rPr>
          <w:rFonts w:hint="eastAsia" w:ascii="宋体" w:hAnsi="宋体" w:eastAsia="宋体" w:cs="宋体"/>
          <w:b/>
          <w:szCs w:val="21"/>
        </w:rPr>
        <w:t>3.1投标文件的组成</w:t>
      </w:r>
    </w:p>
    <w:p w14:paraId="2D811805">
      <w:pPr>
        <w:spacing w:line="400" w:lineRule="exact"/>
        <w:ind w:firstLine="420"/>
        <w:rPr>
          <w:rFonts w:ascii="宋体" w:hAnsi="宋体" w:eastAsia="宋体" w:cs="宋体"/>
          <w:bCs/>
          <w:szCs w:val="21"/>
        </w:rPr>
      </w:pPr>
      <w:r>
        <w:rPr>
          <w:rFonts w:hint="eastAsia" w:ascii="宋体" w:hAnsi="宋体" w:eastAsia="宋体" w:cs="宋体"/>
          <w:szCs w:val="21"/>
        </w:rPr>
        <w:t>详见投标文件格式</w:t>
      </w:r>
    </w:p>
    <w:p w14:paraId="424D3C05">
      <w:pPr>
        <w:spacing w:line="400" w:lineRule="exact"/>
        <w:ind w:firstLine="422"/>
        <w:rPr>
          <w:rFonts w:ascii="宋体" w:hAnsi="宋体" w:eastAsia="宋体" w:cs="宋体"/>
          <w:b/>
          <w:bCs/>
          <w:szCs w:val="21"/>
        </w:rPr>
      </w:pPr>
      <w:r>
        <w:rPr>
          <w:rFonts w:hint="eastAsia" w:ascii="宋体" w:hAnsi="宋体" w:eastAsia="宋体" w:cs="宋体"/>
          <w:b/>
          <w:bCs/>
          <w:szCs w:val="21"/>
        </w:rPr>
        <w:t>3.2报价</w:t>
      </w:r>
    </w:p>
    <w:p w14:paraId="1059FE1E">
      <w:pPr>
        <w:spacing w:line="400" w:lineRule="exact"/>
        <w:ind w:firstLine="420"/>
        <w:rPr>
          <w:rFonts w:ascii="宋体" w:hAnsi="宋体" w:eastAsia="宋体" w:cs="宋体"/>
          <w:szCs w:val="21"/>
        </w:rPr>
      </w:pPr>
      <w:r>
        <w:rPr>
          <w:rFonts w:hint="eastAsia" w:ascii="宋体" w:hAnsi="宋体" w:eastAsia="宋体" w:cs="宋体"/>
          <w:szCs w:val="21"/>
        </w:rPr>
        <w:t>3.2.1投标人应按招标文件、招标文件澄清（答疑）纪要、招标文件修改补充通知及相关技术要求进行报价。</w:t>
      </w:r>
    </w:p>
    <w:p w14:paraId="3B08288A">
      <w:pPr>
        <w:spacing w:line="400" w:lineRule="exact"/>
        <w:ind w:firstLine="422"/>
        <w:rPr>
          <w:rFonts w:ascii="宋体" w:hAnsi="宋体" w:eastAsia="宋体" w:cs="宋体"/>
          <w:b/>
          <w:szCs w:val="21"/>
        </w:rPr>
      </w:pPr>
      <w:r>
        <w:rPr>
          <w:rFonts w:hint="eastAsia" w:ascii="宋体" w:hAnsi="宋体" w:eastAsia="宋体" w:cs="宋体"/>
          <w:b/>
          <w:szCs w:val="21"/>
        </w:rPr>
        <w:t>3.2.2本项目设预算价（最高限价）（见投标人须知前附表），投标人的报价不得超过所投包段预算价（最高限价），否则其投标做无效投标处理。</w:t>
      </w:r>
    </w:p>
    <w:p w14:paraId="6E4E4BAB">
      <w:pPr>
        <w:spacing w:line="400" w:lineRule="exact"/>
        <w:ind w:firstLine="420"/>
        <w:rPr>
          <w:rFonts w:ascii="宋体" w:hAnsi="宋体" w:eastAsia="宋体" w:cs="宋体"/>
          <w:szCs w:val="21"/>
        </w:rPr>
      </w:pPr>
      <w:r>
        <w:rPr>
          <w:rFonts w:hint="eastAsia" w:ascii="宋体" w:hAnsi="宋体" w:eastAsia="宋体" w:cs="宋体"/>
          <w:szCs w:val="21"/>
        </w:rPr>
        <w:t>3.2.3本项目的投标总报价以3.2.1条为依据由投标人自主报价，即投标人根据招标项目的具体内容、现场情况、技术要求等自主报价，投标人的报价不得低于企业成本。</w:t>
      </w:r>
    </w:p>
    <w:p w14:paraId="3491BA5F">
      <w:pPr>
        <w:spacing w:line="400" w:lineRule="exact"/>
        <w:ind w:firstLine="420"/>
        <w:rPr>
          <w:rFonts w:ascii="宋体" w:hAnsi="宋体" w:eastAsia="宋体" w:cs="宋体"/>
          <w:szCs w:val="21"/>
        </w:rPr>
      </w:pPr>
      <w:r>
        <w:rPr>
          <w:rFonts w:hint="eastAsia" w:ascii="宋体" w:hAnsi="宋体" w:eastAsia="宋体" w:cs="宋体"/>
          <w:szCs w:val="21"/>
        </w:rPr>
        <w:t>3.2.4投标人的投标总报价应包括本次购置货物所有的品种、数量、运杂费、保险费、税费、安装费、特种工具费、调试费、保管费、水电费、技术服务费（含售后服务费）、培训费、检验费、手续费相关部门验收费、计量检定费及货物验收合格正式交付使用前所发生的一切费用。</w:t>
      </w:r>
    </w:p>
    <w:p w14:paraId="7899F77B">
      <w:pPr>
        <w:spacing w:line="400" w:lineRule="exact"/>
        <w:ind w:firstLine="420"/>
        <w:rPr>
          <w:rFonts w:ascii="宋体" w:hAnsi="宋体" w:eastAsia="宋体" w:cs="宋体"/>
          <w:szCs w:val="21"/>
        </w:rPr>
      </w:pPr>
      <w:r>
        <w:rPr>
          <w:rFonts w:hint="eastAsia" w:ascii="宋体" w:hAnsi="宋体" w:eastAsia="宋体" w:cs="宋体"/>
          <w:szCs w:val="21"/>
        </w:rPr>
        <w:t>3.2.5 投标人的投标总报价具有唯一性，采购人不接受任何可变价，投标人的投标报价理解为所有费用（3.2.4条所列各项等一切费用），投标人的投标报价如有漏项，视为已经包含在投标报价内。</w:t>
      </w:r>
    </w:p>
    <w:p w14:paraId="067A2A07">
      <w:pPr>
        <w:spacing w:line="400" w:lineRule="exact"/>
        <w:ind w:firstLine="420"/>
        <w:rPr>
          <w:rFonts w:ascii="宋体" w:hAnsi="宋体" w:eastAsia="宋体" w:cs="宋体"/>
          <w:szCs w:val="21"/>
        </w:rPr>
      </w:pPr>
      <w:r>
        <w:rPr>
          <w:rFonts w:hint="eastAsia" w:ascii="宋体" w:hAnsi="宋体" w:eastAsia="宋体" w:cs="宋体"/>
          <w:szCs w:val="21"/>
        </w:rPr>
        <w:t>3.2.6投标人负责国外生产的货物的进口手续办理（如有的话）。用外汇购入某些投标货物，需折合人民币计入总报价中；</w:t>
      </w:r>
    </w:p>
    <w:p w14:paraId="03EC4C52">
      <w:pPr>
        <w:spacing w:line="400" w:lineRule="exact"/>
        <w:ind w:firstLine="420"/>
        <w:rPr>
          <w:rFonts w:ascii="宋体" w:hAnsi="宋体" w:eastAsia="宋体" w:cs="宋体"/>
          <w:szCs w:val="21"/>
        </w:rPr>
      </w:pPr>
      <w:r>
        <w:rPr>
          <w:rFonts w:hint="eastAsia" w:ascii="宋体" w:hAnsi="宋体" w:eastAsia="宋体" w:cs="宋体"/>
          <w:szCs w:val="21"/>
        </w:rPr>
        <w:t>3.2.7投标总报价是评标的重要依据，但不是唯一依据，最低报价不是中标的决定因素；</w:t>
      </w:r>
    </w:p>
    <w:p w14:paraId="2D591B78">
      <w:pPr>
        <w:spacing w:line="400" w:lineRule="exact"/>
        <w:ind w:firstLine="420"/>
        <w:rPr>
          <w:rFonts w:ascii="宋体" w:hAnsi="宋体" w:eastAsia="宋体" w:cs="宋体"/>
          <w:szCs w:val="21"/>
        </w:rPr>
      </w:pPr>
      <w:r>
        <w:rPr>
          <w:rFonts w:hint="eastAsia" w:ascii="宋体" w:hAnsi="宋体" w:eastAsia="宋体" w:cs="宋体"/>
          <w:szCs w:val="21"/>
        </w:rPr>
        <w:t>3.2.8全部报价均应以人民币为计量币种，并以人民币进行结算。</w:t>
      </w:r>
    </w:p>
    <w:p w14:paraId="2B73D496">
      <w:pPr>
        <w:pStyle w:val="50"/>
        <w:ind w:firstLine="420"/>
        <w:rPr>
          <w:rFonts w:ascii="宋体" w:hAnsi="宋体" w:eastAsia="宋体" w:cs="宋体"/>
          <w:sz w:val="21"/>
          <w:szCs w:val="21"/>
        </w:rPr>
      </w:pPr>
      <w:r>
        <w:rPr>
          <w:rFonts w:hint="eastAsia" w:ascii="宋体" w:hAnsi="宋体" w:eastAsia="宋体" w:cs="宋体"/>
          <w:sz w:val="21"/>
          <w:szCs w:val="21"/>
        </w:rPr>
        <w:t>3.2.9 投标人的报价明显低于其他通过符合性审查投标人的报价，有可能影响产品质量或者不能诚信履约的，评标委员会应当要求其在评标现场（或电子交易系统）合理的时间内提供书面说明（或电子澄清说明文件），必要时提交相关证明材料；投标人不能证明其报价合理性的，评标委员会应当将其作为无效投标处理。</w:t>
      </w:r>
    </w:p>
    <w:p w14:paraId="39AB790B">
      <w:pPr>
        <w:pStyle w:val="50"/>
        <w:ind w:firstLine="420"/>
        <w:rPr>
          <w:rFonts w:eastAsia="宋体"/>
          <w:sz w:val="21"/>
          <w:szCs w:val="21"/>
        </w:rPr>
      </w:pPr>
      <w:r>
        <w:rPr>
          <w:rFonts w:hint="eastAsia" w:ascii="宋体" w:hAnsi="宋体" w:eastAsia="宋体" w:cs="宋体"/>
          <w:sz w:val="21"/>
          <w:szCs w:val="21"/>
        </w:rPr>
        <w:t xml:space="preserve">3.2.10 响应报价表中的大写金额和小写金额不一致的，以大写金额为准。 </w:t>
      </w:r>
    </w:p>
    <w:p w14:paraId="6F58FE9B">
      <w:pPr>
        <w:spacing w:line="400" w:lineRule="exact"/>
        <w:ind w:firstLine="422"/>
        <w:rPr>
          <w:rFonts w:ascii="宋体" w:hAnsi="宋体" w:eastAsia="宋体" w:cs="宋体"/>
          <w:b/>
          <w:bCs/>
          <w:szCs w:val="21"/>
          <w:lang w:val="zh-CN"/>
        </w:rPr>
      </w:pPr>
      <w:r>
        <w:rPr>
          <w:rFonts w:hint="eastAsia" w:ascii="宋体" w:hAnsi="宋体" w:eastAsia="宋体" w:cs="宋体"/>
          <w:b/>
          <w:bCs/>
          <w:szCs w:val="21"/>
        </w:rPr>
        <w:t xml:space="preserve">3.3 </w:t>
      </w:r>
      <w:r>
        <w:rPr>
          <w:rFonts w:hint="eastAsia" w:ascii="宋体" w:hAnsi="宋体" w:eastAsia="宋体" w:cs="宋体"/>
          <w:b/>
          <w:bCs/>
          <w:szCs w:val="21"/>
          <w:lang w:val="zh-CN"/>
        </w:rPr>
        <w:t>小型微型企业认定及评标价格评审（非专门面向中小企业适用）</w:t>
      </w:r>
    </w:p>
    <w:p w14:paraId="5B249064">
      <w:pPr>
        <w:pStyle w:val="47"/>
        <w:spacing w:line="400" w:lineRule="exact"/>
        <w:ind w:firstLine="420" w:firstLineChars="200"/>
        <w:rPr>
          <w:rFonts w:hAnsi="宋体"/>
          <w:color w:val="auto"/>
          <w:sz w:val="21"/>
          <w:szCs w:val="21"/>
          <w:lang w:val="zh-CN"/>
        </w:rPr>
      </w:pPr>
    </w:p>
    <w:tbl>
      <w:tblPr>
        <w:tblStyle w:val="27"/>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14:paraId="7948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vAlign w:val="center"/>
          </w:tcPr>
          <w:p w14:paraId="0D1D3E5C">
            <w:pPr>
              <w:spacing w:line="400" w:lineRule="exact"/>
              <w:ind w:firstLine="420"/>
              <w:rPr>
                <w:rFonts w:ascii="宋体" w:hAnsi="宋体" w:eastAsia="宋体" w:cs="宋体"/>
                <w:szCs w:val="21"/>
                <w:lang w:val="zh-CN"/>
              </w:rPr>
            </w:pPr>
            <w:r>
              <w:rPr>
                <w:rFonts w:hint="eastAsia" w:ascii="宋体" w:hAnsi="宋体" w:eastAsia="宋体" w:cs="宋体"/>
                <w:szCs w:val="21"/>
                <w:lang w:val="zh-CN"/>
              </w:rPr>
              <w:t>内容</w:t>
            </w:r>
          </w:p>
        </w:tc>
        <w:tc>
          <w:tcPr>
            <w:tcW w:w="1561" w:type="dxa"/>
            <w:vAlign w:val="center"/>
          </w:tcPr>
          <w:p w14:paraId="2CBBF724">
            <w:pPr>
              <w:spacing w:line="400" w:lineRule="exact"/>
              <w:ind w:firstLine="0" w:firstLineChars="0"/>
              <w:jc w:val="center"/>
              <w:rPr>
                <w:rFonts w:ascii="宋体" w:hAnsi="宋体" w:eastAsia="宋体" w:cs="宋体"/>
                <w:szCs w:val="21"/>
                <w:lang w:val="zh-CN"/>
              </w:rPr>
            </w:pPr>
            <w:r>
              <w:rPr>
                <w:rFonts w:hint="eastAsia" w:ascii="宋体" w:hAnsi="宋体" w:eastAsia="宋体" w:cs="宋体"/>
                <w:szCs w:val="21"/>
                <w:lang w:val="zh-CN"/>
              </w:rPr>
              <w:t>大型企业</w:t>
            </w:r>
          </w:p>
        </w:tc>
        <w:tc>
          <w:tcPr>
            <w:tcW w:w="1492" w:type="dxa"/>
            <w:vAlign w:val="center"/>
          </w:tcPr>
          <w:p w14:paraId="07BCA5F5">
            <w:pPr>
              <w:spacing w:line="400" w:lineRule="exact"/>
              <w:ind w:firstLine="0" w:firstLineChars="0"/>
              <w:jc w:val="center"/>
              <w:rPr>
                <w:rFonts w:ascii="宋体" w:hAnsi="宋体" w:eastAsia="宋体" w:cs="宋体"/>
                <w:szCs w:val="21"/>
                <w:lang w:val="zh-CN"/>
              </w:rPr>
            </w:pPr>
            <w:r>
              <w:rPr>
                <w:rFonts w:hint="eastAsia" w:ascii="宋体" w:hAnsi="宋体" w:eastAsia="宋体" w:cs="宋体"/>
                <w:szCs w:val="21"/>
                <w:lang w:val="zh-CN"/>
              </w:rPr>
              <w:t>中型企业</w:t>
            </w:r>
          </w:p>
        </w:tc>
        <w:tc>
          <w:tcPr>
            <w:tcW w:w="2273" w:type="dxa"/>
            <w:vAlign w:val="center"/>
          </w:tcPr>
          <w:p w14:paraId="24E4B2B9">
            <w:pPr>
              <w:spacing w:line="400" w:lineRule="exact"/>
              <w:ind w:firstLine="0" w:firstLineChars="0"/>
              <w:jc w:val="center"/>
              <w:rPr>
                <w:rFonts w:ascii="宋体" w:hAnsi="宋体" w:eastAsia="宋体" w:cs="宋体"/>
                <w:szCs w:val="21"/>
                <w:lang w:val="zh-CN"/>
              </w:rPr>
            </w:pPr>
            <w:r>
              <w:rPr>
                <w:rFonts w:hint="eastAsia" w:ascii="宋体" w:hAnsi="宋体" w:eastAsia="宋体" w:cs="宋体"/>
                <w:szCs w:val="21"/>
                <w:lang w:val="zh-CN"/>
              </w:rPr>
              <w:t>小型企业</w:t>
            </w:r>
          </w:p>
        </w:tc>
        <w:tc>
          <w:tcPr>
            <w:tcW w:w="2094" w:type="dxa"/>
            <w:vAlign w:val="center"/>
          </w:tcPr>
          <w:p w14:paraId="61238794">
            <w:pPr>
              <w:spacing w:line="400" w:lineRule="exact"/>
              <w:ind w:firstLine="0" w:firstLineChars="0"/>
              <w:jc w:val="center"/>
              <w:rPr>
                <w:rFonts w:ascii="宋体" w:hAnsi="宋体" w:eastAsia="宋体" w:cs="宋体"/>
                <w:szCs w:val="21"/>
                <w:lang w:val="zh-CN"/>
              </w:rPr>
            </w:pPr>
            <w:r>
              <w:rPr>
                <w:rFonts w:hint="eastAsia" w:ascii="宋体" w:hAnsi="宋体" w:eastAsia="宋体" w:cs="宋体"/>
                <w:szCs w:val="21"/>
                <w:lang w:val="zh-CN"/>
              </w:rPr>
              <w:t>微型企业</w:t>
            </w:r>
          </w:p>
        </w:tc>
      </w:tr>
      <w:tr w14:paraId="314F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vAlign w:val="center"/>
          </w:tcPr>
          <w:p w14:paraId="0CE921C1">
            <w:pPr>
              <w:spacing w:line="400" w:lineRule="exact"/>
              <w:ind w:firstLine="420"/>
              <w:rPr>
                <w:rFonts w:ascii="宋体" w:hAnsi="宋体" w:eastAsia="宋体" w:cs="宋体"/>
                <w:szCs w:val="21"/>
                <w:lang w:val="zh-CN"/>
              </w:rPr>
            </w:pPr>
            <w:r>
              <w:rPr>
                <w:rFonts w:hint="eastAsia" w:ascii="宋体" w:hAnsi="宋体" w:eastAsia="宋体" w:cs="宋体"/>
                <w:szCs w:val="21"/>
                <w:lang w:val="zh-CN"/>
              </w:rPr>
              <w:t>价格=</w:t>
            </w:r>
          </w:p>
        </w:tc>
        <w:tc>
          <w:tcPr>
            <w:tcW w:w="1561" w:type="dxa"/>
            <w:vAlign w:val="center"/>
          </w:tcPr>
          <w:p w14:paraId="097CA03A">
            <w:pPr>
              <w:spacing w:line="400" w:lineRule="exact"/>
              <w:ind w:firstLine="420"/>
              <w:rPr>
                <w:rFonts w:ascii="宋体" w:hAnsi="宋体" w:eastAsia="宋体" w:cs="宋体"/>
                <w:szCs w:val="21"/>
                <w:lang w:val="zh-CN"/>
              </w:rPr>
            </w:pPr>
            <w:r>
              <w:rPr>
                <w:rFonts w:hint="eastAsia" w:ascii="宋体" w:hAnsi="宋体" w:eastAsia="宋体" w:cs="宋体"/>
                <w:szCs w:val="21"/>
                <w:lang w:val="zh-CN"/>
              </w:rPr>
              <w:t>报价</w:t>
            </w:r>
          </w:p>
        </w:tc>
        <w:tc>
          <w:tcPr>
            <w:tcW w:w="1492" w:type="dxa"/>
            <w:vAlign w:val="center"/>
          </w:tcPr>
          <w:p w14:paraId="7F901162">
            <w:pPr>
              <w:spacing w:line="400" w:lineRule="exact"/>
              <w:ind w:firstLine="420"/>
              <w:rPr>
                <w:rFonts w:ascii="宋体" w:hAnsi="宋体" w:eastAsia="宋体" w:cs="宋体"/>
                <w:szCs w:val="21"/>
                <w:lang w:val="zh-CN"/>
              </w:rPr>
            </w:pPr>
            <w:r>
              <w:rPr>
                <w:rFonts w:hint="eastAsia" w:ascii="宋体" w:hAnsi="宋体" w:eastAsia="宋体" w:cs="宋体"/>
                <w:szCs w:val="21"/>
                <w:lang w:val="zh-CN"/>
              </w:rPr>
              <w:t>报价</w:t>
            </w:r>
          </w:p>
        </w:tc>
        <w:tc>
          <w:tcPr>
            <w:tcW w:w="2273" w:type="dxa"/>
            <w:vAlign w:val="center"/>
          </w:tcPr>
          <w:p w14:paraId="103AB13A">
            <w:pPr>
              <w:spacing w:line="400" w:lineRule="exact"/>
              <w:ind w:firstLine="420"/>
              <w:rPr>
                <w:rFonts w:ascii="宋体" w:hAnsi="宋体" w:eastAsia="宋体" w:cs="宋体"/>
                <w:szCs w:val="21"/>
                <w:lang w:val="zh-CN"/>
              </w:rPr>
            </w:pPr>
            <w:r>
              <w:rPr>
                <w:rFonts w:hint="eastAsia" w:ascii="宋体" w:hAnsi="宋体" w:cs="宋体"/>
                <w:szCs w:val="21"/>
                <w:lang w:val="zh-CN"/>
              </w:rPr>
              <w:t>报价×（</w:t>
            </w:r>
            <w:r>
              <w:rPr>
                <w:rFonts w:hint="eastAsia" w:ascii="宋体" w:hAnsi="宋体" w:cs="宋体"/>
                <w:szCs w:val="21"/>
              </w:rPr>
              <w:t>1</w:t>
            </w:r>
            <w:r>
              <w:rPr>
                <w:rFonts w:hint="eastAsia" w:ascii="宋体" w:hAnsi="宋体" w:cs="宋体"/>
                <w:szCs w:val="21"/>
                <w:lang w:val="zh-CN"/>
              </w:rPr>
              <w:t>-</w:t>
            </w:r>
            <w:r>
              <w:rPr>
                <w:rFonts w:hint="eastAsia" w:ascii="宋体" w:hAnsi="宋体" w:cs="宋体"/>
                <w:szCs w:val="21"/>
              </w:rPr>
              <w:t>20</w:t>
            </w:r>
            <w:r>
              <w:rPr>
                <w:rFonts w:hint="eastAsia" w:ascii="宋体" w:hAnsi="宋体" w:cs="宋体"/>
                <w:szCs w:val="21"/>
                <w:lang w:val="zh-CN"/>
              </w:rPr>
              <w:t>%）</w:t>
            </w:r>
          </w:p>
        </w:tc>
        <w:tc>
          <w:tcPr>
            <w:tcW w:w="2094" w:type="dxa"/>
            <w:vAlign w:val="center"/>
          </w:tcPr>
          <w:p w14:paraId="4874422B">
            <w:pPr>
              <w:spacing w:line="400" w:lineRule="exact"/>
              <w:ind w:firstLine="0" w:firstLineChars="0"/>
              <w:rPr>
                <w:rFonts w:ascii="宋体" w:hAnsi="宋体" w:eastAsia="宋体" w:cs="宋体"/>
                <w:szCs w:val="21"/>
                <w:lang w:val="zh-CN"/>
              </w:rPr>
            </w:pPr>
            <w:r>
              <w:rPr>
                <w:rFonts w:hint="eastAsia" w:ascii="宋体" w:hAnsi="宋体" w:cs="宋体"/>
                <w:szCs w:val="21"/>
                <w:lang w:val="zh-CN"/>
              </w:rPr>
              <w:t>报价×（</w:t>
            </w:r>
            <w:r>
              <w:rPr>
                <w:rFonts w:hint="eastAsia" w:ascii="宋体" w:hAnsi="宋体" w:cs="宋体"/>
                <w:szCs w:val="21"/>
              </w:rPr>
              <w:t>1</w:t>
            </w:r>
            <w:r>
              <w:rPr>
                <w:rFonts w:hint="eastAsia" w:ascii="宋体" w:hAnsi="宋体" w:cs="宋体"/>
                <w:szCs w:val="21"/>
                <w:lang w:val="zh-CN"/>
              </w:rPr>
              <w:t>-</w:t>
            </w:r>
            <w:r>
              <w:rPr>
                <w:rFonts w:hint="eastAsia" w:ascii="宋体" w:hAnsi="宋体" w:cs="宋体"/>
                <w:szCs w:val="21"/>
              </w:rPr>
              <w:t>20</w:t>
            </w:r>
            <w:r>
              <w:rPr>
                <w:rFonts w:hint="eastAsia" w:ascii="宋体" w:hAnsi="宋体" w:cs="宋体"/>
                <w:szCs w:val="21"/>
                <w:lang w:val="zh-CN"/>
              </w:rPr>
              <w:t>%）</w:t>
            </w:r>
          </w:p>
        </w:tc>
      </w:tr>
    </w:tbl>
    <w:p w14:paraId="25ACCE7A">
      <w:pPr>
        <w:spacing w:line="400" w:lineRule="exact"/>
        <w:ind w:firstLine="420"/>
        <w:rPr>
          <w:rFonts w:ascii="宋体" w:hAnsi="宋体" w:eastAsia="宋体" w:cs="宋体"/>
          <w:szCs w:val="21"/>
        </w:rPr>
      </w:pPr>
      <w:r>
        <w:rPr>
          <w:rFonts w:hint="eastAsia" w:ascii="宋体" w:hAnsi="宋体" w:eastAsia="宋体" w:cs="宋体"/>
          <w:szCs w:val="21"/>
        </w:rPr>
        <w:t>3.3.1</w:t>
      </w:r>
      <w:r>
        <w:rPr>
          <w:rFonts w:hint="eastAsia" w:ascii="宋体" w:hAnsi="宋体" w:eastAsia="宋体" w:cs="宋体"/>
          <w:szCs w:val="21"/>
          <w:lang w:val="zh-CN"/>
        </w:rPr>
        <w:t>根据《政府采购促进中小企业发展管理办法》（财库[20</w:t>
      </w:r>
      <w:r>
        <w:rPr>
          <w:rFonts w:hint="eastAsia" w:ascii="宋体" w:hAnsi="宋体" w:eastAsia="宋体" w:cs="宋体"/>
          <w:szCs w:val="21"/>
        </w:rPr>
        <w:t>20</w:t>
      </w:r>
      <w:r>
        <w:rPr>
          <w:rFonts w:hint="eastAsia" w:ascii="宋体" w:hAnsi="宋体" w:eastAsia="宋体" w:cs="宋体"/>
          <w:szCs w:val="21"/>
          <w:lang w:val="zh-CN"/>
        </w:rPr>
        <w:t>]</w:t>
      </w:r>
      <w:r>
        <w:rPr>
          <w:rFonts w:hint="eastAsia" w:ascii="宋体" w:hAnsi="宋体" w:eastAsia="宋体" w:cs="宋体"/>
          <w:szCs w:val="21"/>
        </w:rPr>
        <w:t>46</w:t>
      </w:r>
      <w:r>
        <w:rPr>
          <w:rFonts w:hint="eastAsia" w:ascii="宋体" w:hAnsi="宋体" w:eastAsia="宋体" w:cs="宋体"/>
          <w:szCs w:val="21"/>
          <w:lang w:val="zh-CN"/>
        </w:rPr>
        <w:t>号）的规定、《工业和信息化部、国家统计局、国家发展和改革委员会、财政部关于印发中小企业划型标准规定的通知》（工信部联企业[</w:t>
      </w:r>
      <w:r>
        <w:rPr>
          <w:rFonts w:hint="eastAsia" w:ascii="宋体" w:hAnsi="宋体" w:eastAsia="宋体" w:cs="宋体"/>
          <w:szCs w:val="21"/>
        </w:rPr>
        <w:t>20</w:t>
      </w:r>
      <w:r>
        <w:rPr>
          <w:rFonts w:hint="eastAsia" w:ascii="宋体" w:hAnsi="宋体" w:eastAsia="宋体" w:cs="宋体"/>
          <w:szCs w:val="21"/>
          <w:lang w:val="zh-CN"/>
        </w:rPr>
        <w:t>11]300号）、河南省财政厅 河南省工业和信息化厅《关于政府采购促进小型微型企业发展的实施意见》（豫财购[</w:t>
      </w:r>
      <w:r>
        <w:rPr>
          <w:rFonts w:hint="eastAsia" w:ascii="宋体" w:hAnsi="宋体" w:eastAsia="宋体" w:cs="宋体"/>
          <w:szCs w:val="21"/>
        </w:rPr>
        <w:t>20</w:t>
      </w:r>
      <w:r>
        <w:rPr>
          <w:rFonts w:hint="eastAsia" w:ascii="宋体" w:hAnsi="宋体" w:eastAsia="宋体" w:cs="宋体"/>
          <w:szCs w:val="21"/>
          <w:lang w:val="zh-CN"/>
        </w:rPr>
        <w:t>13]14号）</w:t>
      </w:r>
      <w:r>
        <w:rPr>
          <w:rFonts w:hint="eastAsia" w:cs="宋体"/>
          <w:szCs w:val="21"/>
        </w:rPr>
        <w:t>、信财购</w:t>
      </w:r>
      <w:r>
        <w:rPr>
          <w:rFonts w:cs="宋体"/>
          <w:szCs w:val="21"/>
        </w:rPr>
        <w:t>[20</w:t>
      </w:r>
      <w:r>
        <w:rPr>
          <w:rFonts w:hint="eastAsia" w:cs="宋体"/>
          <w:szCs w:val="21"/>
        </w:rPr>
        <w:t>22</w:t>
      </w:r>
      <w:r>
        <w:rPr>
          <w:rFonts w:cs="宋体"/>
          <w:szCs w:val="21"/>
        </w:rPr>
        <w:t>]</w:t>
      </w:r>
      <w:r>
        <w:rPr>
          <w:rFonts w:hint="eastAsia" w:cs="宋体"/>
          <w:szCs w:val="21"/>
        </w:rPr>
        <w:t>8</w:t>
      </w:r>
      <w:r>
        <w:rPr>
          <w:rFonts w:cs="宋体"/>
          <w:szCs w:val="21"/>
        </w:rPr>
        <w:t>号</w:t>
      </w:r>
      <w:r>
        <w:rPr>
          <w:rFonts w:hint="eastAsia" w:ascii="宋体" w:hAnsi="宋体" w:eastAsia="宋体" w:cs="宋体"/>
          <w:szCs w:val="21"/>
          <w:lang w:val="zh-CN"/>
        </w:rPr>
        <w:t>文件规定，对小型和微型企业产品的价格给予</w:t>
      </w:r>
      <w:r>
        <w:rPr>
          <w:rFonts w:hint="eastAsia" w:ascii="宋体" w:hAnsi="宋体" w:eastAsia="宋体" w:cs="宋体"/>
          <w:szCs w:val="21"/>
        </w:rPr>
        <w:t>20%</w:t>
      </w:r>
      <w:r>
        <w:rPr>
          <w:rFonts w:hint="eastAsia" w:ascii="宋体" w:hAnsi="宋体" w:eastAsia="宋体" w:cs="宋体"/>
          <w:szCs w:val="21"/>
          <w:lang w:val="zh-CN"/>
        </w:rPr>
        <w:t>的扣除，用扣除后的价格参与评审。</w:t>
      </w:r>
    </w:p>
    <w:p w14:paraId="00B215E3">
      <w:pPr>
        <w:spacing w:line="400" w:lineRule="exact"/>
        <w:ind w:firstLine="420"/>
        <w:rPr>
          <w:rFonts w:ascii="宋体" w:hAnsi="宋体" w:eastAsia="宋体" w:cs="宋体"/>
          <w:szCs w:val="21"/>
        </w:rPr>
      </w:pPr>
      <w:r>
        <w:rPr>
          <w:rFonts w:hint="eastAsia" w:ascii="宋体" w:hAnsi="宋体" w:eastAsia="宋体" w:cs="宋体"/>
          <w:szCs w:val="21"/>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20%的价格扣除，但必须提供由省级以上监狱管理局、戒毒管理局（含新疆生产建设兵团）出具的属于监狱企业的证明文件，否则评审时不予价格扣除优惠。</w:t>
      </w:r>
    </w:p>
    <w:p w14:paraId="63684D14">
      <w:pPr>
        <w:spacing w:line="400" w:lineRule="exact"/>
        <w:ind w:firstLine="420"/>
        <w:rPr>
          <w:rFonts w:ascii="宋体" w:hAnsi="宋体" w:eastAsia="宋体" w:cs="宋体"/>
          <w:szCs w:val="21"/>
        </w:rPr>
      </w:pPr>
      <w:r>
        <w:rPr>
          <w:rFonts w:hint="eastAsia" w:ascii="宋体" w:hAnsi="宋体" w:eastAsia="宋体" w:cs="宋体"/>
          <w:szCs w:val="21"/>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p w14:paraId="551FCE6A">
      <w:pPr>
        <w:spacing w:line="400" w:lineRule="exact"/>
        <w:ind w:firstLine="422"/>
        <w:rPr>
          <w:rFonts w:ascii="宋体" w:hAnsi="宋体" w:eastAsia="宋体" w:cs="宋体"/>
          <w:szCs w:val="21"/>
        </w:rPr>
      </w:pPr>
      <w:r>
        <w:rPr>
          <w:rFonts w:hint="eastAsia" w:ascii="宋体" w:hAnsi="宋体" w:eastAsia="宋体" w:cs="宋体"/>
          <w:b/>
          <w:bCs/>
          <w:szCs w:val="21"/>
        </w:rPr>
        <w:t>注：投标价格为含税价，应包含货物配送到采购人指定地点落地交货前的一切费用及后期培训费用等。</w:t>
      </w:r>
    </w:p>
    <w:p w14:paraId="77C2100C">
      <w:pPr>
        <w:widowControl/>
        <w:spacing w:line="400" w:lineRule="exact"/>
        <w:ind w:firstLine="422"/>
        <w:jc w:val="left"/>
        <w:rPr>
          <w:rFonts w:ascii="宋体" w:hAnsi="宋体" w:eastAsia="宋体" w:cs="宋体"/>
          <w:b/>
          <w:szCs w:val="21"/>
        </w:rPr>
      </w:pPr>
      <w:r>
        <w:rPr>
          <w:rFonts w:hint="eastAsia" w:ascii="宋体" w:hAnsi="宋体" w:eastAsia="宋体" w:cs="宋体"/>
          <w:b/>
          <w:szCs w:val="21"/>
        </w:rPr>
        <w:t>3.4投标有效期</w:t>
      </w:r>
    </w:p>
    <w:p w14:paraId="75D3DD90">
      <w:pPr>
        <w:widowControl/>
        <w:spacing w:line="400" w:lineRule="exact"/>
        <w:ind w:firstLine="420"/>
        <w:jc w:val="left"/>
        <w:rPr>
          <w:rFonts w:ascii="宋体" w:hAnsi="宋体" w:eastAsia="宋体" w:cs="宋体"/>
          <w:szCs w:val="21"/>
        </w:rPr>
      </w:pPr>
      <w:r>
        <w:rPr>
          <w:rFonts w:hint="eastAsia" w:ascii="宋体" w:hAnsi="宋体" w:eastAsia="宋体" w:cs="宋体"/>
          <w:szCs w:val="21"/>
        </w:rPr>
        <w:t>3.4.1在投标人须知前附表规定的投标有效期内，投标人不得要求撤销或修改其投标文件。</w:t>
      </w:r>
    </w:p>
    <w:p w14:paraId="290C2BB1">
      <w:pPr>
        <w:widowControl/>
        <w:spacing w:line="400" w:lineRule="exact"/>
        <w:ind w:firstLine="420"/>
        <w:jc w:val="left"/>
        <w:rPr>
          <w:rFonts w:ascii="宋体" w:hAnsi="宋体" w:eastAsia="宋体" w:cs="宋体"/>
          <w:szCs w:val="21"/>
        </w:rPr>
      </w:pPr>
      <w:r>
        <w:rPr>
          <w:rFonts w:hint="eastAsia" w:ascii="宋体" w:hAnsi="宋体" w:eastAsia="宋体" w:cs="宋体"/>
          <w:szCs w:val="21"/>
        </w:rPr>
        <w:t>3.4.2出现特殊情况需要延长投标有效期的，采购人以书面形式通知所有投标人延长投标有效期。投标人同意延长的，不得要求或被允许修改或撤销其投标文件；投标人拒绝延长的，其投标失效。</w:t>
      </w:r>
    </w:p>
    <w:p w14:paraId="481131E9">
      <w:pPr>
        <w:spacing w:line="400" w:lineRule="exact"/>
        <w:ind w:firstLine="422"/>
        <w:rPr>
          <w:rFonts w:ascii="宋体" w:hAnsi="宋体" w:eastAsia="宋体" w:cs="宋体"/>
          <w:b/>
          <w:szCs w:val="21"/>
        </w:rPr>
      </w:pPr>
      <w:bookmarkStart w:id="26" w:name="_Toc297211678"/>
      <w:r>
        <w:rPr>
          <w:rFonts w:hint="eastAsia" w:ascii="宋体" w:hAnsi="宋体" w:eastAsia="宋体" w:cs="宋体"/>
          <w:b/>
          <w:szCs w:val="21"/>
        </w:rPr>
        <w:t>3.</w:t>
      </w:r>
      <w:bookmarkEnd w:id="26"/>
      <w:r>
        <w:rPr>
          <w:rFonts w:hint="eastAsia" w:ascii="宋体" w:hAnsi="宋体" w:eastAsia="宋体" w:cs="宋体"/>
          <w:b/>
          <w:szCs w:val="21"/>
        </w:rPr>
        <w:t>5、投标文件的制作：</w:t>
      </w:r>
    </w:p>
    <w:p w14:paraId="62892052">
      <w:pPr>
        <w:spacing w:line="400" w:lineRule="exact"/>
        <w:ind w:firstLine="422"/>
        <w:rPr>
          <w:rFonts w:ascii="宋体" w:hAnsi="宋体" w:eastAsia="宋体" w:cs="宋体"/>
          <w:b/>
          <w:szCs w:val="21"/>
        </w:rPr>
      </w:pPr>
      <w:r>
        <w:rPr>
          <w:rFonts w:hint="eastAsia" w:ascii="宋体" w:hAnsi="宋体" w:eastAsia="宋体" w:cs="宋体"/>
          <w:b/>
          <w:szCs w:val="21"/>
        </w:rPr>
        <w:t>3.5.1、投标人通过“信阳市公共资源交易网（https://ggzyjy.xinyang.gov.cn/）”网站下载中心栏目内下载或招标文件领取页面下载“信阳市投标文件制作工具软件”。</w:t>
      </w:r>
    </w:p>
    <w:p w14:paraId="425768AB">
      <w:pPr>
        <w:spacing w:line="400" w:lineRule="exact"/>
        <w:ind w:firstLine="422"/>
        <w:rPr>
          <w:rFonts w:ascii="宋体" w:hAnsi="宋体" w:eastAsia="宋体" w:cs="宋体"/>
          <w:b/>
          <w:szCs w:val="21"/>
        </w:rPr>
      </w:pPr>
      <w:r>
        <w:rPr>
          <w:rFonts w:hint="eastAsia" w:ascii="宋体" w:hAnsi="宋体" w:eastAsia="宋体" w:cs="宋体"/>
          <w:b/>
          <w:szCs w:val="21"/>
        </w:rPr>
        <w:t>3.5.2、使用“信阳市投标文件制作工具”软件制作生成加密版和非未加密的电子投标文件，软件操作手册可在网站下载中心下载或打开软件后在右上角菜单内领取。</w:t>
      </w:r>
    </w:p>
    <w:p w14:paraId="74766B5D">
      <w:pPr>
        <w:spacing w:line="400" w:lineRule="exact"/>
        <w:ind w:firstLine="422"/>
        <w:rPr>
          <w:rFonts w:ascii="宋体" w:hAnsi="宋体" w:eastAsia="宋体" w:cs="宋体"/>
          <w:b/>
          <w:szCs w:val="21"/>
        </w:rPr>
      </w:pPr>
      <w:r>
        <w:rPr>
          <w:rFonts w:hint="eastAsia" w:ascii="宋体" w:hAnsi="宋体" w:eastAsia="宋体" w:cs="宋体"/>
          <w:b/>
          <w:szCs w:val="21"/>
        </w:rPr>
        <w:t>3.5.3、投标人在电子投标文件制作完成后生成投标文件时须加盖电子签章/签名。其他要求签字盖章的投标文件格式内容，如无法进行电子签章/签名，投标人可将盖章/签名后的扫描件上传到电子投标文件中。开标一览表报价将作为电子开标的唱标依据。</w:t>
      </w:r>
    </w:p>
    <w:p w14:paraId="6036D9CF">
      <w:pPr>
        <w:spacing w:line="400" w:lineRule="exact"/>
        <w:ind w:firstLine="422"/>
        <w:rPr>
          <w:rFonts w:ascii="宋体" w:hAnsi="宋体" w:eastAsia="宋体" w:cs="宋体"/>
          <w:b/>
          <w:szCs w:val="21"/>
        </w:rPr>
      </w:pPr>
      <w:r>
        <w:rPr>
          <w:rFonts w:hint="eastAsia" w:ascii="宋体" w:hAnsi="宋体" w:eastAsia="宋体" w:cs="宋体"/>
          <w:b/>
          <w:szCs w:val="21"/>
        </w:rPr>
        <w:t>3.5.4、招标文件格式所要求包含的全部资料应全部制作在投标文件内，严格按照本项目招标文件所有格式如实填写（不涉及的内容除外），不应存在漏项或缺项，否则将存在投标文件被拒绝的风险。</w:t>
      </w:r>
    </w:p>
    <w:p w14:paraId="32DDA68C">
      <w:pPr>
        <w:spacing w:line="400" w:lineRule="exact"/>
        <w:ind w:firstLine="422"/>
        <w:rPr>
          <w:rFonts w:ascii="宋体" w:hAnsi="宋体" w:eastAsia="宋体" w:cs="宋体"/>
          <w:b/>
          <w:szCs w:val="21"/>
        </w:rPr>
      </w:pPr>
      <w:r>
        <w:rPr>
          <w:rFonts w:hint="eastAsia" w:ascii="宋体" w:hAnsi="宋体" w:eastAsia="宋体" w:cs="宋体"/>
          <w:b/>
          <w:szCs w:val="21"/>
        </w:rPr>
        <w:t>3.5.5、投标人编辑电子投标文件时，最后一步生成电子投标文件（*.XYTF 格式和*.NXYTF格式）时，请使用本单位的企业 CA 数字证书。</w:t>
      </w:r>
    </w:p>
    <w:p w14:paraId="5093D25F">
      <w:pPr>
        <w:spacing w:line="400" w:lineRule="exact"/>
        <w:ind w:firstLine="420"/>
        <w:rPr>
          <w:rFonts w:ascii="宋体" w:hAnsi="宋体" w:eastAsia="宋体" w:cs="宋体"/>
          <w:szCs w:val="21"/>
        </w:rPr>
      </w:pPr>
      <w:r>
        <w:rPr>
          <w:rFonts w:hint="eastAsia" w:ascii="宋体" w:hAnsi="宋体" w:eastAsia="宋体" w:cs="宋体"/>
          <w:szCs w:val="21"/>
        </w:rPr>
        <w:t>3.5.6 投标文件应按第六章“投标文件格式”进行编写，如有必要，可以增加附页，作为投标文件的组成部分。</w:t>
      </w:r>
    </w:p>
    <w:p w14:paraId="728D9E38">
      <w:pPr>
        <w:spacing w:line="400" w:lineRule="exact"/>
        <w:ind w:firstLine="420"/>
        <w:rPr>
          <w:rFonts w:ascii="宋体" w:hAnsi="宋体" w:eastAsia="宋体" w:cs="宋体"/>
          <w:szCs w:val="21"/>
        </w:rPr>
      </w:pPr>
      <w:r>
        <w:rPr>
          <w:rFonts w:hint="eastAsia" w:ascii="宋体" w:hAnsi="宋体" w:eastAsia="宋体" w:cs="宋体"/>
          <w:szCs w:val="21"/>
        </w:rPr>
        <w:t>3.5.7 投标文件应当对招标文件有关货物交货期、质保期、投标有效期、质量要求等实质性内容作出响应。</w:t>
      </w:r>
    </w:p>
    <w:p w14:paraId="5B75707D">
      <w:pPr>
        <w:spacing w:line="400" w:lineRule="exact"/>
        <w:ind w:firstLine="420"/>
        <w:rPr>
          <w:rFonts w:ascii="宋体" w:hAnsi="宋体" w:eastAsia="宋体" w:cs="宋体"/>
          <w:szCs w:val="21"/>
        </w:rPr>
      </w:pPr>
      <w:r>
        <w:rPr>
          <w:rFonts w:hint="eastAsia" w:ascii="宋体" w:hAnsi="宋体" w:eastAsia="宋体" w:cs="宋体"/>
          <w:szCs w:val="21"/>
        </w:rPr>
        <w:t>3.5.8投标文件应由投标人的法定代表人或其委托代理人签字且盖单位公章。委托代理人签字的，投标文件应附法定代表人签署的授权委托书。签字或盖章的具体要求见投标人须知前附表。</w:t>
      </w:r>
    </w:p>
    <w:p w14:paraId="5C4009CC">
      <w:pPr>
        <w:spacing w:line="400" w:lineRule="exact"/>
        <w:ind w:firstLine="420"/>
        <w:rPr>
          <w:rFonts w:ascii="宋体" w:hAnsi="宋体" w:eastAsia="宋体" w:cs="宋体"/>
          <w:szCs w:val="21"/>
        </w:rPr>
      </w:pPr>
      <w:r>
        <w:rPr>
          <w:rFonts w:hint="eastAsia" w:ascii="宋体" w:hAnsi="宋体" w:eastAsia="宋体" w:cs="宋体"/>
          <w:szCs w:val="21"/>
        </w:rPr>
        <w:t>3.5.9投标文件份数见投标人须知前附表。</w:t>
      </w:r>
    </w:p>
    <w:p w14:paraId="0113FAE0">
      <w:pPr>
        <w:spacing w:line="400" w:lineRule="exact"/>
        <w:ind w:firstLine="420"/>
        <w:rPr>
          <w:rFonts w:ascii="宋体" w:hAnsi="宋体" w:eastAsia="宋体" w:cs="宋体"/>
          <w:szCs w:val="21"/>
        </w:rPr>
      </w:pPr>
      <w:r>
        <w:rPr>
          <w:rFonts w:hint="eastAsia" w:ascii="宋体" w:hAnsi="宋体" w:eastAsia="宋体" w:cs="宋体"/>
          <w:szCs w:val="21"/>
        </w:rPr>
        <w:t>3.5.10投标人应按照招标文件的要求，规范、明确、准时的提交投标文件。如果没有按照招标文件的要求保证所提供全部资料的真实性，或没有对招标文件作出实质性响应，其风险应由投标人自行承担。</w:t>
      </w:r>
      <w:bookmarkStart w:id="27" w:name="_Toc244934197"/>
      <w:bookmarkStart w:id="28" w:name="_Toc191983618"/>
      <w:bookmarkStart w:id="29" w:name="_Toc10958"/>
      <w:bookmarkStart w:id="30" w:name="_Toc244935166"/>
      <w:bookmarkStart w:id="31" w:name="_Toc234213531"/>
    </w:p>
    <w:p w14:paraId="533766EF">
      <w:pPr>
        <w:spacing w:line="400" w:lineRule="exact"/>
        <w:ind w:firstLine="420"/>
        <w:rPr>
          <w:rFonts w:ascii="宋体" w:hAnsi="宋体" w:eastAsia="宋体" w:cs="宋体"/>
          <w:szCs w:val="21"/>
        </w:rPr>
      </w:pPr>
      <w:r>
        <w:rPr>
          <w:rFonts w:hint="eastAsia" w:ascii="宋体" w:hAnsi="宋体" w:eastAsia="宋体" w:cs="宋体"/>
          <w:szCs w:val="21"/>
        </w:rPr>
        <w:t>4. 投标</w:t>
      </w:r>
      <w:bookmarkEnd w:id="27"/>
      <w:bookmarkEnd w:id="28"/>
      <w:bookmarkEnd w:id="29"/>
      <w:bookmarkEnd w:id="30"/>
      <w:bookmarkEnd w:id="31"/>
    </w:p>
    <w:p w14:paraId="3881B90E">
      <w:pPr>
        <w:pStyle w:val="6"/>
        <w:spacing w:line="400" w:lineRule="exact"/>
        <w:ind w:firstLine="422"/>
        <w:rPr>
          <w:rFonts w:eastAsia="宋体" w:cs="宋体"/>
          <w:b/>
          <w:sz w:val="21"/>
          <w:szCs w:val="21"/>
        </w:rPr>
      </w:pPr>
      <w:r>
        <w:rPr>
          <w:rFonts w:hint="eastAsia" w:eastAsia="宋体" w:cs="宋体"/>
          <w:b/>
          <w:sz w:val="21"/>
          <w:szCs w:val="21"/>
        </w:rPr>
        <w:t>4.1 投标文件的上传</w:t>
      </w:r>
    </w:p>
    <w:p w14:paraId="69E8E275">
      <w:pPr>
        <w:pStyle w:val="2"/>
        <w:spacing w:after="0" w:line="400" w:lineRule="exact"/>
        <w:ind w:firstLineChars="200"/>
        <w:rPr>
          <w:rFonts w:ascii="宋体" w:hAnsi="宋体" w:eastAsia="宋体" w:cs="宋体"/>
          <w:sz w:val="21"/>
          <w:szCs w:val="21"/>
        </w:rPr>
      </w:pPr>
      <w:r>
        <w:rPr>
          <w:rFonts w:hint="eastAsia" w:ascii="宋体" w:hAnsi="宋体" w:eastAsia="宋体" w:cs="宋体"/>
          <w:sz w:val="21"/>
          <w:szCs w:val="21"/>
        </w:rPr>
        <w:t>4.1.1网上上传的电子投标文件应使用投标人数字证书认证并加密。</w:t>
      </w:r>
    </w:p>
    <w:p w14:paraId="1BF753DF">
      <w:pPr>
        <w:pStyle w:val="6"/>
        <w:spacing w:line="400" w:lineRule="exact"/>
        <w:ind w:firstLine="422"/>
        <w:rPr>
          <w:rFonts w:eastAsia="宋体" w:cs="宋体"/>
          <w:b/>
          <w:sz w:val="21"/>
          <w:szCs w:val="21"/>
        </w:rPr>
      </w:pPr>
      <w:r>
        <w:rPr>
          <w:rFonts w:hint="eastAsia" w:eastAsia="宋体" w:cs="宋体"/>
          <w:b/>
          <w:sz w:val="21"/>
          <w:szCs w:val="21"/>
        </w:rPr>
        <w:t>4.2 投标文件的递交</w:t>
      </w:r>
    </w:p>
    <w:p w14:paraId="1A5B3618">
      <w:pPr>
        <w:pStyle w:val="2"/>
        <w:spacing w:after="0" w:line="400" w:lineRule="exact"/>
        <w:ind w:firstLineChars="200"/>
        <w:rPr>
          <w:rFonts w:ascii="宋体" w:hAnsi="宋体" w:eastAsia="宋体" w:cs="宋体"/>
          <w:sz w:val="21"/>
          <w:szCs w:val="21"/>
        </w:rPr>
      </w:pPr>
      <w:r>
        <w:rPr>
          <w:rFonts w:hint="eastAsia" w:ascii="宋体" w:hAnsi="宋体" w:eastAsia="宋体" w:cs="宋体"/>
          <w:sz w:val="21"/>
          <w:szCs w:val="21"/>
        </w:rPr>
        <w:t>4.2.1电子投标文件的递交见投标人须知前附表</w:t>
      </w:r>
    </w:p>
    <w:p w14:paraId="63E85DCA">
      <w:pPr>
        <w:pStyle w:val="6"/>
        <w:spacing w:line="400" w:lineRule="exact"/>
        <w:ind w:firstLine="422"/>
        <w:rPr>
          <w:rFonts w:eastAsia="宋体" w:cs="宋体"/>
          <w:b/>
          <w:sz w:val="21"/>
          <w:szCs w:val="21"/>
        </w:rPr>
      </w:pPr>
      <w:r>
        <w:rPr>
          <w:rFonts w:hint="eastAsia" w:eastAsia="宋体" w:cs="宋体"/>
          <w:b/>
          <w:sz w:val="21"/>
          <w:szCs w:val="21"/>
        </w:rPr>
        <w:t>4.3 投标文件的修改与撤回</w:t>
      </w:r>
    </w:p>
    <w:p w14:paraId="31C452EE">
      <w:pPr>
        <w:pStyle w:val="2"/>
        <w:spacing w:after="0" w:line="400" w:lineRule="exact"/>
        <w:ind w:firstLineChars="200"/>
        <w:rPr>
          <w:rFonts w:ascii="宋体" w:hAnsi="宋体" w:eastAsia="宋体" w:cs="宋体"/>
          <w:sz w:val="21"/>
          <w:szCs w:val="21"/>
        </w:rPr>
      </w:pPr>
      <w:r>
        <w:rPr>
          <w:rFonts w:hint="eastAsia" w:ascii="宋体" w:hAnsi="宋体" w:eastAsia="宋体" w:cs="宋体"/>
          <w:sz w:val="21"/>
          <w:szCs w:val="21"/>
        </w:rPr>
        <w:t>4.3.1 在第一章“招标公告”规定的投标截止时间前，投标人可以多次修改或撤回已递交的投标文件，最终投标文件以投标截止时间前完成上传至信阳市公共资源交易中心交易系统最后一份投标文件为准。</w:t>
      </w:r>
    </w:p>
    <w:p w14:paraId="3928307A">
      <w:pPr>
        <w:pStyle w:val="2"/>
        <w:spacing w:after="0" w:line="400" w:lineRule="exact"/>
        <w:ind w:firstLineChars="200"/>
        <w:rPr>
          <w:rFonts w:ascii="宋体" w:hAnsi="宋体" w:eastAsia="宋体" w:cs="宋体"/>
          <w:sz w:val="21"/>
          <w:szCs w:val="21"/>
        </w:rPr>
      </w:pPr>
      <w:r>
        <w:rPr>
          <w:rFonts w:hint="eastAsia" w:ascii="宋体" w:hAnsi="宋体" w:eastAsia="宋体" w:cs="宋体"/>
          <w:sz w:val="21"/>
          <w:szCs w:val="21"/>
        </w:rPr>
        <w:t>4.3.2修改的投标文件应按照本章第3.5条、第4.2条规定进行制作和递交。</w:t>
      </w:r>
    </w:p>
    <w:p w14:paraId="34D45D0F">
      <w:pPr>
        <w:pStyle w:val="6"/>
        <w:spacing w:line="400" w:lineRule="exact"/>
        <w:ind w:firstLine="420"/>
        <w:rPr>
          <w:rFonts w:eastAsia="宋体" w:cs="宋体"/>
          <w:sz w:val="21"/>
          <w:szCs w:val="21"/>
        </w:rPr>
      </w:pPr>
      <w:bookmarkStart w:id="32" w:name="_Toc25793"/>
      <w:bookmarkStart w:id="33" w:name="_Toc234213532"/>
      <w:bookmarkStart w:id="34" w:name="_Toc191983619"/>
      <w:bookmarkStart w:id="35" w:name="_Toc244934198"/>
      <w:bookmarkStart w:id="36" w:name="_Toc244935167"/>
      <w:r>
        <w:rPr>
          <w:rFonts w:hint="eastAsia" w:eastAsia="宋体" w:cs="宋体"/>
          <w:sz w:val="21"/>
          <w:szCs w:val="21"/>
        </w:rPr>
        <w:t>5. 开标</w:t>
      </w:r>
      <w:bookmarkEnd w:id="32"/>
      <w:bookmarkEnd w:id="33"/>
      <w:bookmarkEnd w:id="34"/>
      <w:bookmarkEnd w:id="35"/>
      <w:bookmarkEnd w:id="36"/>
    </w:p>
    <w:p w14:paraId="5338399B">
      <w:pPr>
        <w:spacing w:line="400" w:lineRule="exact"/>
        <w:ind w:firstLine="422"/>
        <w:rPr>
          <w:rFonts w:ascii="宋体" w:hAnsi="宋体" w:eastAsia="宋体" w:cs="宋体"/>
          <w:b/>
          <w:szCs w:val="21"/>
        </w:rPr>
      </w:pPr>
      <w:bookmarkStart w:id="37" w:name="_Toc297211680"/>
      <w:r>
        <w:rPr>
          <w:rFonts w:hint="eastAsia" w:ascii="宋体" w:hAnsi="宋体" w:eastAsia="宋体" w:cs="宋体"/>
          <w:b/>
          <w:szCs w:val="21"/>
        </w:rPr>
        <w:t>5.1开标时间和地点</w:t>
      </w:r>
      <w:bookmarkEnd w:id="37"/>
    </w:p>
    <w:p w14:paraId="49C00C2E">
      <w:pPr>
        <w:spacing w:line="400" w:lineRule="exact"/>
        <w:ind w:firstLine="420"/>
        <w:rPr>
          <w:rFonts w:ascii="宋体" w:hAnsi="宋体" w:eastAsia="宋体" w:cs="宋体"/>
          <w:b/>
          <w:szCs w:val="21"/>
        </w:rPr>
      </w:pPr>
      <w:r>
        <w:rPr>
          <w:rFonts w:hint="eastAsia" w:ascii="宋体" w:hAnsi="宋体" w:eastAsia="宋体" w:cs="宋体"/>
          <w:szCs w:val="21"/>
        </w:rPr>
        <w:t>采购人在规定的投标截止时间（开标时间）和投标人须知前附表规定的地点公开开标。</w:t>
      </w:r>
    </w:p>
    <w:p w14:paraId="2593647C">
      <w:pPr>
        <w:spacing w:line="400" w:lineRule="exact"/>
        <w:ind w:firstLine="422"/>
        <w:rPr>
          <w:rFonts w:ascii="宋体" w:hAnsi="宋体" w:eastAsia="宋体" w:cs="宋体"/>
          <w:b/>
          <w:szCs w:val="21"/>
        </w:rPr>
      </w:pPr>
      <w:bookmarkStart w:id="38" w:name="_Toc297211681"/>
      <w:r>
        <w:rPr>
          <w:rFonts w:hint="eastAsia" w:ascii="宋体" w:hAnsi="宋体" w:eastAsia="宋体" w:cs="宋体"/>
          <w:b/>
          <w:szCs w:val="21"/>
        </w:rPr>
        <w:t>5.2 开标程序</w:t>
      </w:r>
      <w:bookmarkEnd w:id="38"/>
    </w:p>
    <w:p w14:paraId="20E56E1D">
      <w:pPr>
        <w:wordWrap w:val="0"/>
        <w:spacing w:line="440" w:lineRule="exact"/>
        <w:ind w:firstLine="420"/>
        <w:jc w:val="left"/>
        <w:rPr>
          <w:rFonts w:ascii="宋体" w:hAnsi="宋体" w:eastAsia="宋体" w:cs="宋体"/>
          <w:b/>
          <w:bCs/>
          <w:szCs w:val="21"/>
        </w:rPr>
      </w:pPr>
      <w:r>
        <w:rPr>
          <w:rFonts w:hint="eastAsia" w:ascii="宋体" w:hAnsi="宋体" w:eastAsia="宋体" w:cs="宋体"/>
          <w:bCs/>
          <w:szCs w:val="21"/>
        </w:rPr>
        <w:t xml:space="preserve"> </w:t>
      </w:r>
      <w:r>
        <w:rPr>
          <w:rFonts w:hint="eastAsia" w:ascii="宋体" w:hAnsi="宋体" w:eastAsia="宋体" w:cs="宋体"/>
          <w:b/>
          <w:szCs w:val="21"/>
        </w:rPr>
        <w:t xml:space="preserve"> 5.2.1</w:t>
      </w:r>
      <w:r>
        <w:rPr>
          <w:rFonts w:hint="eastAsia" w:ascii="宋体" w:hAnsi="宋体" w:eastAsia="宋体" w:cs="宋体"/>
          <w:b/>
          <w:bCs/>
          <w:szCs w:val="21"/>
        </w:rPr>
        <w:t>本项目采用“不见面开标”交易方式，不见面开标大厅网址为 https://ggzyjy.xinyang.gov.cn/BidOpening，投标人无需寄送和递交非加密的电子投标文件，无需到现场参加开标会议，无需到达现场提交原件资料。</w:t>
      </w:r>
    </w:p>
    <w:p w14:paraId="055A4B14">
      <w:pPr>
        <w:spacing w:line="440" w:lineRule="exact"/>
        <w:ind w:firstLine="422"/>
        <w:rPr>
          <w:rFonts w:ascii="宋体" w:hAnsi="宋体" w:eastAsia="宋体" w:cs="宋体"/>
          <w:b/>
          <w:bCs/>
          <w:szCs w:val="21"/>
        </w:rPr>
      </w:pPr>
      <w:r>
        <w:rPr>
          <w:rFonts w:hint="eastAsia" w:ascii="宋体" w:hAnsi="宋体" w:eastAsia="宋体" w:cs="宋体"/>
          <w:b/>
          <w:bCs/>
          <w:szCs w:val="21"/>
        </w:rPr>
        <w:t>投标人应当在投标截止时间前，使用投标人CA数字证书登录不见面开标大厅，在线签到并准时参加开标活动，并在规定时间内完成投标文件解密、答疑澄清等。</w:t>
      </w:r>
    </w:p>
    <w:p w14:paraId="6C31926C">
      <w:pPr>
        <w:spacing w:line="440" w:lineRule="exact"/>
        <w:ind w:firstLine="422"/>
        <w:rPr>
          <w:rFonts w:ascii="宋体" w:hAnsi="宋体" w:eastAsia="宋体" w:cs="宋体"/>
          <w:b/>
          <w:bCs/>
          <w:szCs w:val="21"/>
        </w:rPr>
      </w:pPr>
      <w:r>
        <w:rPr>
          <w:rFonts w:hint="eastAsia" w:ascii="宋体" w:hAnsi="宋体" w:eastAsia="宋体" w:cs="宋体"/>
          <w:b/>
          <w:bCs/>
          <w:szCs w:val="21"/>
        </w:rPr>
        <w:t>投标人需在解密开始后10分钟内完成解密（当投标人过多时，解密时间可以适当延长）。在投标文件解密过程中，因投标人原因（如投标人准备不到位、电脑网络问题等），造成无法及时解密的，将被退回投标文件。</w:t>
      </w:r>
    </w:p>
    <w:p w14:paraId="2E808267">
      <w:pPr>
        <w:spacing w:line="440" w:lineRule="exact"/>
        <w:ind w:firstLine="422"/>
        <w:rPr>
          <w:rFonts w:ascii="宋体" w:hAnsi="宋体" w:eastAsia="宋体" w:cs="宋体"/>
          <w:b/>
          <w:bCs/>
          <w:szCs w:val="21"/>
        </w:rPr>
      </w:pPr>
      <w:r>
        <w:rPr>
          <w:rFonts w:hint="eastAsia" w:ascii="宋体" w:hAnsi="宋体" w:eastAsia="宋体" w:cs="宋体"/>
          <w:b/>
          <w:bCs/>
          <w:szCs w:val="21"/>
        </w:rPr>
        <w:t>不见面开标服务的具体事宜，请查阅信阳市公共资源交易中心网站首页—下载中心—信阳市不见面开标大厅系统操作手册 。</w:t>
      </w:r>
    </w:p>
    <w:p w14:paraId="626D888A">
      <w:pPr>
        <w:spacing w:line="440" w:lineRule="exact"/>
        <w:ind w:firstLine="422"/>
        <w:rPr>
          <w:rFonts w:ascii="宋体" w:hAnsi="宋体" w:eastAsia="宋体" w:cs="宋体"/>
          <w:bCs/>
          <w:szCs w:val="21"/>
        </w:rPr>
      </w:pPr>
      <w:r>
        <w:rPr>
          <w:rFonts w:hint="eastAsia" w:ascii="宋体" w:hAnsi="宋体" w:eastAsia="宋体" w:cs="宋体"/>
          <w:b/>
          <w:bCs/>
          <w:szCs w:val="21"/>
        </w:rPr>
        <w:t xml:space="preserve">开标过程中，投标人如有异议，须在开标结束前通过系统提出，否则视同认可开标记录。开标结束后，对开标记录的任何异议不再接受。 </w:t>
      </w:r>
    </w:p>
    <w:p w14:paraId="698142CD">
      <w:pPr>
        <w:spacing w:line="400" w:lineRule="exact"/>
        <w:ind w:firstLine="422"/>
        <w:rPr>
          <w:rFonts w:ascii="宋体" w:hAnsi="宋体" w:eastAsia="宋体" w:cs="宋体"/>
          <w:b/>
          <w:szCs w:val="21"/>
        </w:rPr>
      </w:pPr>
      <w:bookmarkStart w:id="39" w:name="_Toc244934199"/>
      <w:bookmarkStart w:id="40" w:name="_Toc191983620"/>
      <w:bookmarkStart w:id="41" w:name="_Toc244935168"/>
      <w:bookmarkStart w:id="42" w:name="_Toc234213533"/>
      <w:bookmarkStart w:id="43" w:name="_Toc12176"/>
      <w:r>
        <w:rPr>
          <w:rFonts w:hint="eastAsia" w:ascii="宋体" w:hAnsi="宋体" w:eastAsia="宋体" w:cs="宋体"/>
          <w:b/>
          <w:szCs w:val="21"/>
        </w:rPr>
        <w:t>5.2.2资格审查</w:t>
      </w:r>
    </w:p>
    <w:p w14:paraId="00C1C3D7">
      <w:pPr>
        <w:spacing w:line="400" w:lineRule="exact"/>
        <w:ind w:firstLine="420"/>
        <w:rPr>
          <w:rFonts w:ascii="宋体" w:hAnsi="宋体" w:eastAsia="宋体" w:cs="宋体"/>
          <w:bCs/>
          <w:szCs w:val="21"/>
        </w:rPr>
      </w:pPr>
      <w:r>
        <w:rPr>
          <w:rFonts w:hint="eastAsia" w:ascii="宋体" w:hAnsi="宋体" w:eastAsia="宋体" w:cs="宋体"/>
          <w:bCs/>
          <w:szCs w:val="21"/>
        </w:rPr>
        <w:t>开标结束后，由采购人代表和采购代理机构成立资格审查小组，按照“投标人须知前附表1.4.1投标人资格要求”对投标人进行资格审查。</w:t>
      </w:r>
    </w:p>
    <w:p w14:paraId="422F6CB7">
      <w:pPr>
        <w:spacing w:line="400" w:lineRule="exact"/>
        <w:ind w:firstLine="420"/>
        <w:rPr>
          <w:rFonts w:ascii="宋体" w:hAnsi="宋体" w:eastAsia="宋体" w:cs="宋体"/>
          <w:bCs/>
          <w:szCs w:val="21"/>
        </w:rPr>
      </w:pPr>
      <w:r>
        <w:rPr>
          <w:rFonts w:hint="eastAsia" w:ascii="宋体" w:hAnsi="宋体" w:eastAsia="宋体" w:cs="宋体"/>
          <w:bCs/>
          <w:szCs w:val="21"/>
        </w:rPr>
        <w:t>通过资格审查的投标人不足三家的，按废标处理，采购人应依法重新招标。</w:t>
      </w:r>
    </w:p>
    <w:p w14:paraId="2EC71FD7">
      <w:pPr>
        <w:pStyle w:val="6"/>
        <w:spacing w:line="400" w:lineRule="exact"/>
        <w:ind w:firstLine="420"/>
        <w:rPr>
          <w:rFonts w:eastAsia="宋体" w:cs="宋体"/>
          <w:sz w:val="21"/>
          <w:szCs w:val="21"/>
        </w:rPr>
      </w:pPr>
      <w:r>
        <w:rPr>
          <w:rFonts w:hint="eastAsia" w:eastAsia="宋体" w:cs="宋体"/>
          <w:sz w:val="21"/>
          <w:szCs w:val="21"/>
        </w:rPr>
        <w:t>6. 评标</w:t>
      </w:r>
      <w:bookmarkEnd w:id="39"/>
      <w:bookmarkEnd w:id="40"/>
      <w:bookmarkEnd w:id="41"/>
      <w:bookmarkEnd w:id="42"/>
      <w:bookmarkEnd w:id="43"/>
    </w:p>
    <w:p w14:paraId="3AB40A81">
      <w:pPr>
        <w:spacing w:line="400" w:lineRule="exact"/>
        <w:ind w:firstLine="422"/>
        <w:rPr>
          <w:rFonts w:ascii="宋体" w:hAnsi="宋体" w:eastAsia="宋体" w:cs="宋体"/>
          <w:b/>
          <w:bCs/>
          <w:szCs w:val="21"/>
        </w:rPr>
      </w:pPr>
      <w:bookmarkStart w:id="44" w:name="_Toc244934200"/>
      <w:bookmarkStart w:id="45" w:name="_Toc191983621"/>
      <w:bookmarkStart w:id="46" w:name="_Toc244935169"/>
      <w:bookmarkStart w:id="47" w:name="_Toc234213534"/>
      <w:r>
        <w:rPr>
          <w:rFonts w:hint="eastAsia" w:ascii="宋体" w:hAnsi="宋体" w:eastAsia="宋体" w:cs="宋体"/>
          <w:b/>
          <w:bCs/>
          <w:szCs w:val="21"/>
        </w:rPr>
        <w:t>6.1评标委员会</w:t>
      </w:r>
    </w:p>
    <w:p w14:paraId="772A99EA">
      <w:pPr>
        <w:spacing w:line="400" w:lineRule="exact"/>
        <w:ind w:firstLine="420"/>
        <w:rPr>
          <w:rFonts w:ascii="宋体" w:hAnsi="宋体" w:eastAsia="宋体" w:cs="宋体"/>
          <w:szCs w:val="21"/>
        </w:rPr>
      </w:pPr>
      <w:r>
        <w:rPr>
          <w:rFonts w:hint="eastAsia" w:ascii="宋体" w:hAnsi="宋体" w:eastAsia="宋体" w:cs="宋体"/>
          <w:szCs w:val="21"/>
        </w:rPr>
        <w:t>6.1.1  评标由采购人依法组建的评标委员会负责。评标委员会由采购人代表和评审专家组成。评标委员会成员人数以及评审专家的确定方式见投标人须知前附表。</w:t>
      </w:r>
    </w:p>
    <w:p w14:paraId="5ACFBE9E">
      <w:pPr>
        <w:spacing w:line="400" w:lineRule="exact"/>
        <w:ind w:firstLine="420"/>
        <w:rPr>
          <w:rFonts w:ascii="宋体" w:hAnsi="宋体" w:eastAsia="宋体" w:cs="宋体"/>
          <w:szCs w:val="21"/>
        </w:rPr>
      </w:pPr>
      <w:r>
        <w:rPr>
          <w:rFonts w:hint="eastAsia" w:ascii="宋体" w:hAnsi="宋体" w:eastAsia="宋体" w:cs="宋体"/>
          <w:szCs w:val="21"/>
        </w:rPr>
        <w:t>6.1.2  评标委员会成员有下列情形之一的，应当回避：</w:t>
      </w:r>
    </w:p>
    <w:p w14:paraId="45854FBB">
      <w:pPr>
        <w:numPr>
          <w:ilvl w:val="0"/>
          <w:numId w:val="3"/>
        </w:numPr>
        <w:spacing w:line="400" w:lineRule="exact"/>
        <w:ind w:left="0" w:firstLine="420"/>
        <w:rPr>
          <w:rFonts w:ascii="宋体" w:hAnsi="宋体" w:eastAsia="宋体" w:cs="宋体"/>
          <w:szCs w:val="21"/>
        </w:rPr>
      </w:pPr>
      <w:r>
        <w:rPr>
          <w:rFonts w:hint="eastAsia" w:ascii="宋体" w:hAnsi="宋体" w:eastAsia="宋体" w:cs="宋体"/>
          <w:szCs w:val="21"/>
        </w:rPr>
        <w:t>投标人或投标人的主要负责人的近亲属；</w:t>
      </w:r>
    </w:p>
    <w:p w14:paraId="32DBDC29">
      <w:pPr>
        <w:numPr>
          <w:ilvl w:val="0"/>
          <w:numId w:val="3"/>
        </w:numPr>
        <w:spacing w:line="400" w:lineRule="exact"/>
        <w:ind w:left="0" w:firstLine="420"/>
        <w:rPr>
          <w:rFonts w:ascii="宋体" w:hAnsi="宋体" w:eastAsia="宋体" w:cs="宋体"/>
          <w:szCs w:val="21"/>
        </w:rPr>
      </w:pPr>
      <w:r>
        <w:rPr>
          <w:rFonts w:hint="eastAsia" w:ascii="宋体" w:hAnsi="宋体" w:eastAsia="宋体" w:cs="宋体"/>
          <w:szCs w:val="21"/>
        </w:rPr>
        <w:t>项目主管部门或者行政监督部门的人员；</w:t>
      </w:r>
    </w:p>
    <w:p w14:paraId="56315CBD">
      <w:pPr>
        <w:numPr>
          <w:ilvl w:val="0"/>
          <w:numId w:val="3"/>
        </w:numPr>
        <w:spacing w:line="400" w:lineRule="exact"/>
        <w:ind w:left="0" w:firstLine="420"/>
        <w:rPr>
          <w:rFonts w:ascii="宋体" w:hAnsi="宋体" w:eastAsia="宋体" w:cs="宋体"/>
          <w:szCs w:val="21"/>
        </w:rPr>
      </w:pPr>
      <w:r>
        <w:rPr>
          <w:rFonts w:hint="eastAsia" w:ascii="宋体" w:hAnsi="宋体" w:eastAsia="宋体" w:cs="宋体"/>
          <w:szCs w:val="21"/>
        </w:rPr>
        <w:t>与投标人有经济利益关系，可能影响对投标公正评审的；</w:t>
      </w:r>
    </w:p>
    <w:p w14:paraId="53F5BB92">
      <w:pPr>
        <w:numPr>
          <w:ilvl w:val="0"/>
          <w:numId w:val="3"/>
        </w:numPr>
        <w:tabs>
          <w:tab w:val="left" w:pos="0"/>
          <w:tab w:val="clear" w:pos="420"/>
        </w:tabs>
        <w:spacing w:line="400" w:lineRule="exact"/>
        <w:ind w:left="0" w:firstLine="420"/>
        <w:rPr>
          <w:rFonts w:ascii="宋体" w:hAnsi="宋体" w:eastAsia="宋体" w:cs="宋体"/>
          <w:szCs w:val="21"/>
        </w:rPr>
      </w:pPr>
      <w:r>
        <w:rPr>
          <w:rFonts w:hint="eastAsia" w:ascii="宋体" w:hAnsi="宋体" w:eastAsia="宋体" w:cs="宋体"/>
          <w:szCs w:val="21"/>
        </w:rPr>
        <w:t>曾因在招标、评标以及其他与招标投标有关活动中从事违法行为而受过行政处罚或刑事处罚的。</w:t>
      </w:r>
    </w:p>
    <w:p w14:paraId="7648FA8E">
      <w:pPr>
        <w:spacing w:line="400" w:lineRule="exact"/>
        <w:ind w:firstLine="422"/>
        <w:rPr>
          <w:rFonts w:ascii="宋体" w:hAnsi="宋体" w:eastAsia="宋体" w:cs="宋体"/>
          <w:b/>
          <w:szCs w:val="21"/>
        </w:rPr>
      </w:pPr>
      <w:r>
        <w:rPr>
          <w:rFonts w:hint="eastAsia" w:ascii="宋体" w:hAnsi="宋体" w:eastAsia="宋体" w:cs="宋体"/>
          <w:b/>
          <w:szCs w:val="21"/>
        </w:rPr>
        <w:t>6.2 评标原则</w:t>
      </w:r>
    </w:p>
    <w:p w14:paraId="36FE4197">
      <w:pPr>
        <w:spacing w:line="400" w:lineRule="exact"/>
        <w:ind w:firstLine="420"/>
        <w:rPr>
          <w:rFonts w:ascii="宋体" w:hAnsi="宋体" w:eastAsia="宋体" w:cs="宋体"/>
          <w:szCs w:val="21"/>
        </w:rPr>
      </w:pPr>
      <w:r>
        <w:rPr>
          <w:rFonts w:hint="eastAsia" w:ascii="宋体" w:hAnsi="宋体" w:eastAsia="宋体" w:cs="宋体"/>
          <w:szCs w:val="21"/>
        </w:rPr>
        <w:t>评标活动遵循公平、公正、科学和择优的原则。</w:t>
      </w:r>
    </w:p>
    <w:p w14:paraId="3AD527E9">
      <w:pPr>
        <w:spacing w:line="400" w:lineRule="exact"/>
        <w:ind w:firstLine="422"/>
        <w:rPr>
          <w:rFonts w:ascii="宋体" w:hAnsi="宋体" w:eastAsia="宋体" w:cs="宋体"/>
          <w:b/>
          <w:szCs w:val="21"/>
        </w:rPr>
      </w:pPr>
      <w:r>
        <w:rPr>
          <w:rFonts w:hint="eastAsia" w:ascii="宋体" w:hAnsi="宋体" w:eastAsia="宋体" w:cs="宋体"/>
          <w:b/>
          <w:szCs w:val="21"/>
        </w:rPr>
        <w:t>6.3 评标过程的保密</w:t>
      </w:r>
    </w:p>
    <w:p w14:paraId="1ABB4F35">
      <w:pPr>
        <w:spacing w:line="400" w:lineRule="exact"/>
        <w:ind w:firstLine="420"/>
        <w:rPr>
          <w:rFonts w:ascii="宋体" w:hAnsi="宋体" w:eastAsia="宋体" w:cs="宋体"/>
          <w:szCs w:val="21"/>
        </w:rPr>
      </w:pPr>
      <w:r>
        <w:rPr>
          <w:rFonts w:hint="eastAsia" w:ascii="宋体" w:hAnsi="宋体" w:eastAsia="宋体" w:cs="宋体"/>
          <w:szCs w:val="21"/>
        </w:rPr>
        <w:t>公开开标后，直到授予中标人合同为止，凡属于对投标文件的审查、澄清、评价和比较的有关资料以及中标候选人的推荐情况、与评标有关的其他任何情况均应严格保密。</w:t>
      </w:r>
    </w:p>
    <w:p w14:paraId="050E5010">
      <w:pPr>
        <w:spacing w:line="400" w:lineRule="exact"/>
        <w:ind w:firstLine="422"/>
        <w:rPr>
          <w:rFonts w:ascii="宋体" w:hAnsi="宋体" w:eastAsia="宋体" w:cs="宋体"/>
          <w:b/>
          <w:szCs w:val="21"/>
        </w:rPr>
      </w:pPr>
      <w:r>
        <w:rPr>
          <w:rFonts w:hint="eastAsia" w:ascii="宋体" w:hAnsi="宋体" w:eastAsia="宋体" w:cs="宋体"/>
          <w:b/>
          <w:szCs w:val="21"/>
        </w:rPr>
        <w:t>6.4  评标</w:t>
      </w:r>
    </w:p>
    <w:p w14:paraId="2C82DBD2">
      <w:pPr>
        <w:spacing w:line="400" w:lineRule="exact"/>
        <w:ind w:firstLine="420"/>
        <w:rPr>
          <w:rFonts w:ascii="宋体" w:hAnsi="宋体" w:eastAsia="宋体" w:cs="宋体"/>
          <w:szCs w:val="21"/>
        </w:rPr>
      </w:pPr>
      <w:r>
        <w:rPr>
          <w:rFonts w:hint="eastAsia" w:ascii="宋体" w:hAnsi="宋体" w:eastAsia="宋体" w:cs="宋体"/>
          <w:szCs w:val="21"/>
        </w:rPr>
        <w:t>评标委员会按照第三章“评标办法”规定的方法和程序对投标文件进行评审。第三章“评标办法”没有规定的方法和标准，不作为评标依据。</w:t>
      </w:r>
    </w:p>
    <w:bookmarkEnd w:id="44"/>
    <w:bookmarkEnd w:id="45"/>
    <w:bookmarkEnd w:id="46"/>
    <w:bookmarkEnd w:id="47"/>
    <w:p w14:paraId="7F4E3953">
      <w:pPr>
        <w:pStyle w:val="6"/>
        <w:spacing w:line="400" w:lineRule="exact"/>
        <w:ind w:firstLine="420"/>
        <w:rPr>
          <w:rFonts w:eastAsia="宋体" w:cs="宋体"/>
          <w:sz w:val="21"/>
          <w:szCs w:val="21"/>
        </w:rPr>
      </w:pPr>
      <w:bookmarkStart w:id="48" w:name="_Toc22044"/>
      <w:bookmarkStart w:id="49" w:name="_Toc184635077"/>
      <w:r>
        <w:rPr>
          <w:rFonts w:hint="eastAsia" w:eastAsia="宋体" w:cs="宋体"/>
          <w:sz w:val="21"/>
          <w:szCs w:val="21"/>
        </w:rPr>
        <w:t>7．合同授予</w:t>
      </w:r>
      <w:bookmarkEnd w:id="48"/>
      <w:bookmarkEnd w:id="49"/>
    </w:p>
    <w:p w14:paraId="4961EB2D">
      <w:pPr>
        <w:spacing w:line="400" w:lineRule="exact"/>
        <w:ind w:firstLine="422"/>
        <w:rPr>
          <w:rFonts w:ascii="宋体" w:hAnsi="宋体" w:eastAsia="宋体" w:cs="宋体"/>
          <w:b/>
          <w:szCs w:val="21"/>
        </w:rPr>
      </w:pPr>
      <w:r>
        <w:rPr>
          <w:rFonts w:hint="eastAsia" w:ascii="宋体" w:hAnsi="宋体" w:eastAsia="宋体" w:cs="宋体"/>
          <w:b/>
          <w:szCs w:val="21"/>
        </w:rPr>
        <w:t>7.1 定标方式</w:t>
      </w:r>
    </w:p>
    <w:p w14:paraId="3C71F7D7">
      <w:pPr>
        <w:pStyle w:val="62"/>
        <w:spacing w:line="400" w:lineRule="exact"/>
        <w:ind w:firstLine="420"/>
        <w:rPr>
          <w:rFonts w:eastAsia="宋体" w:cs="宋体"/>
          <w:sz w:val="21"/>
          <w:szCs w:val="21"/>
        </w:rPr>
      </w:pPr>
      <w:r>
        <w:rPr>
          <w:rFonts w:hint="eastAsia" w:eastAsia="宋体" w:cs="宋体"/>
          <w:bCs/>
          <w:sz w:val="21"/>
          <w:szCs w:val="21"/>
        </w:rPr>
        <w:t xml:space="preserve"> 采购人依据评标委员会推荐的中标候选人确定中标人，评标委员会推荐中标候选人的人数见投标人须知前附表。</w:t>
      </w:r>
      <w:r>
        <w:rPr>
          <w:rFonts w:hint="eastAsia" w:eastAsia="宋体" w:cs="宋体"/>
          <w:sz w:val="21"/>
          <w:szCs w:val="21"/>
        </w:rPr>
        <w:t>采购人自收到评标报告之日起5个工作日内，采购人将对中标候选人所投产品的功能、技术参数、兼容性等进行实地测试，如发现中标候选人弄虚作假响应招标文件的，则按照国家相关法律法规进行处罚，列入政府采购黑名单，并做经济处罚。</w:t>
      </w:r>
    </w:p>
    <w:p w14:paraId="473E7926">
      <w:pPr>
        <w:pStyle w:val="62"/>
        <w:spacing w:line="400" w:lineRule="exact"/>
        <w:ind w:firstLine="420"/>
        <w:rPr>
          <w:rFonts w:eastAsia="宋体" w:cs="宋体"/>
          <w:sz w:val="21"/>
          <w:szCs w:val="21"/>
        </w:rPr>
      </w:pPr>
      <w:r>
        <w:rPr>
          <w:rFonts w:hint="eastAsia" w:eastAsia="宋体" w:cs="宋体"/>
          <w:sz w:val="21"/>
          <w:szCs w:val="21"/>
        </w:rPr>
        <w:t>中标候选人验证通过后，采购人依据评标报告确定的中标候选人名单中按顺序确定中标人，若第一中标候选人放弃成交、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14:paraId="51F3D6C4">
      <w:pPr>
        <w:spacing w:line="400" w:lineRule="exact"/>
        <w:ind w:firstLine="420"/>
        <w:rPr>
          <w:rFonts w:ascii="宋体" w:hAnsi="宋体" w:eastAsia="宋体" w:cs="宋体"/>
          <w:bCs/>
          <w:szCs w:val="21"/>
        </w:rPr>
      </w:pPr>
      <w:r>
        <w:rPr>
          <w:rFonts w:hint="eastAsia" w:ascii="宋体" w:hAnsi="宋体" w:eastAsia="宋体" w:cs="宋体"/>
          <w:bCs/>
          <w:szCs w:val="21"/>
        </w:rPr>
        <w:t>评标委员会经评审，认为所有投标均不符合招标文件要求的，可以否决所有投标，所有投标被否决后，采购人可以重新招标。</w:t>
      </w:r>
    </w:p>
    <w:p w14:paraId="32AD60A8">
      <w:pPr>
        <w:spacing w:line="400" w:lineRule="exact"/>
        <w:ind w:firstLine="422"/>
        <w:rPr>
          <w:rFonts w:ascii="宋体" w:hAnsi="宋体" w:eastAsia="宋体" w:cs="宋体"/>
          <w:b/>
          <w:szCs w:val="21"/>
        </w:rPr>
      </w:pPr>
      <w:r>
        <w:rPr>
          <w:rFonts w:hint="eastAsia" w:ascii="宋体" w:hAnsi="宋体" w:eastAsia="宋体" w:cs="宋体"/>
          <w:b/>
          <w:szCs w:val="21"/>
        </w:rPr>
        <w:t>7.2 中标通知</w:t>
      </w:r>
    </w:p>
    <w:p w14:paraId="0A3065C8">
      <w:pPr>
        <w:spacing w:line="400" w:lineRule="exact"/>
        <w:ind w:firstLine="420"/>
        <w:rPr>
          <w:rFonts w:ascii="宋体" w:hAnsi="宋体" w:eastAsia="宋体" w:cs="宋体"/>
          <w:bCs/>
          <w:szCs w:val="21"/>
        </w:rPr>
      </w:pPr>
      <w:r>
        <w:rPr>
          <w:rFonts w:hint="eastAsia" w:ascii="宋体" w:hAnsi="宋体" w:eastAsia="宋体" w:cs="宋体"/>
          <w:bCs/>
          <w:szCs w:val="21"/>
        </w:rPr>
        <w:t>在本章第3.4 款规定的投标有效期内，采购人以书面形式向中标人发出中标通知书，同时将中标结果通知未中标的投标人。</w:t>
      </w:r>
    </w:p>
    <w:p w14:paraId="5BEBA7E4">
      <w:pPr>
        <w:spacing w:line="400" w:lineRule="exact"/>
        <w:ind w:firstLine="422"/>
        <w:rPr>
          <w:rFonts w:ascii="宋体" w:hAnsi="宋体" w:eastAsia="宋体" w:cs="宋体"/>
          <w:b/>
          <w:bCs/>
          <w:szCs w:val="21"/>
        </w:rPr>
      </w:pPr>
      <w:bookmarkStart w:id="50" w:name="_Toc278027739"/>
      <w:bookmarkStart w:id="51" w:name="_Toc184635079"/>
      <w:r>
        <w:rPr>
          <w:rFonts w:hint="eastAsia" w:ascii="宋体" w:hAnsi="宋体" w:eastAsia="宋体" w:cs="宋体"/>
          <w:b/>
          <w:bCs/>
          <w:szCs w:val="21"/>
        </w:rPr>
        <w:t>7.3 履约保证金</w:t>
      </w:r>
    </w:p>
    <w:p w14:paraId="5DA7648E">
      <w:pPr>
        <w:spacing w:line="400" w:lineRule="exact"/>
        <w:ind w:firstLine="422"/>
        <w:rPr>
          <w:rFonts w:ascii="宋体" w:hAnsi="宋体" w:eastAsia="宋体" w:cs="宋体"/>
          <w:b/>
          <w:bCs/>
          <w:szCs w:val="21"/>
        </w:rPr>
      </w:pPr>
      <w:r>
        <w:rPr>
          <w:rFonts w:hint="eastAsia" w:ascii="宋体" w:hAnsi="宋体" w:eastAsia="宋体" w:cs="宋体"/>
          <w:b/>
          <w:bCs/>
          <w:szCs w:val="21"/>
        </w:rPr>
        <w:t>免收履约保证金</w:t>
      </w:r>
    </w:p>
    <w:p w14:paraId="5732FBE2">
      <w:pPr>
        <w:spacing w:line="400" w:lineRule="exact"/>
        <w:ind w:firstLine="422"/>
        <w:rPr>
          <w:rFonts w:ascii="宋体" w:hAnsi="宋体" w:eastAsia="宋体" w:cs="宋体"/>
          <w:b/>
          <w:szCs w:val="21"/>
        </w:rPr>
      </w:pPr>
      <w:r>
        <w:rPr>
          <w:rFonts w:hint="eastAsia" w:ascii="宋体" w:hAnsi="宋体" w:eastAsia="宋体" w:cs="宋体"/>
          <w:b/>
          <w:szCs w:val="21"/>
        </w:rPr>
        <w:t>7.4签订合同</w:t>
      </w:r>
    </w:p>
    <w:p w14:paraId="38A0BC23">
      <w:pPr>
        <w:spacing w:line="400" w:lineRule="exact"/>
        <w:ind w:firstLine="420"/>
        <w:rPr>
          <w:rFonts w:ascii="宋体" w:hAnsi="宋体" w:eastAsia="宋体" w:cs="宋体"/>
          <w:bCs/>
          <w:szCs w:val="21"/>
        </w:rPr>
      </w:pPr>
      <w:r>
        <w:rPr>
          <w:rFonts w:hint="eastAsia" w:ascii="宋体" w:hAnsi="宋体" w:eastAsia="宋体" w:cs="宋体"/>
          <w:bCs/>
          <w:szCs w:val="21"/>
        </w:rPr>
        <w:t>7.4.1 采购人和中标人应当自中标通知书发出之日起1个工作日内，根据招标文件和中标人的投标文件订立书面合同。中标人无正当理由拒签合同的，采购人取消其中标资格。</w:t>
      </w:r>
    </w:p>
    <w:p w14:paraId="76CD1A47">
      <w:pPr>
        <w:spacing w:line="400" w:lineRule="exact"/>
        <w:ind w:firstLine="420"/>
        <w:rPr>
          <w:rFonts w:ascii="宋体" w:hAnsi="宋体" w:eastAsia="宋体" w:cs="宋体"/>
          <w:bCs/>
          <w:szCs w:val="21"/>
        </w:rPr>
      </w:pPr>
      <w:r>
        <w:rPr>
          <w:rFonts w:hint="eastAsia" w:ascii="宋体" w:hAnsi="宋体" w:eastAsia="宋体" w:cs="宋体"/>
          <w:bCs/>
          <w:szCs w:val="21"/>
        </w:rPr>
        <w:t>7.4.2 发出中标通知书后，采购人无正当理由拒签合同的，给中标人造成损失的，应当赔偿损失。</w:t>
      </w:r>
    </w:p>
    <w:p w14:paraId="02A88AF5">
      <w:pPr>
        <w:pStyle w:val="6"/>
        <w:spacing w:line="400" w:lineRule="exact"/>
        <w:ind w:firstLine="420"/>
        <w:rPr>
          <w:rFonts w:eastAsia="宋体" w:cs="宋体"/>
          <w:sz w:val="21"/>
          <w:szCs w:val="21"/>
        </w:rPr>
      </w:pPr>
      <w:bookmarkStart w:id="52" w:name="_Toc15038"/>
      <w:r>
        <w:rPr>
          <w:rFonts w:hint="eastAsia" w:eastAsia="宋体" w:cs="宋体"/>
          <w:sz w:val="21"/>
          <w:szCs w:val="21"/>
        </w:rPr>
        <w:t>8.重新招标和不再招标</w:t>
      </w:r>
      <w:bookmarkEnd w:id="50"/>
      <w:bookmarkEnd w:id="52"/>
    </w:p>
    <w:p w14:paraId="578B5447">
      <w:pPr>
        <w:spacing w:line="400" w:lineRule="exact"/>
        <w:ind w:firstLine="422"/>
        <w:rPr>
          <w:rFonts w:ascii="宋体" w:hAnsi="宋体" w:eastAsia="宋体" w:cs="宋体"/>
          <w:b/>
          <w:szCs w:val="21"/>
        </w:rPr>
      </w:pPr>
      <w:r>
        <w:rPr>
          <w:rFonts w:hint="eastAsia" w:ascii="宋体" w:hAnsi="宋体" w:eastAsia="宋体" w:cs="宋体"/>
          <w:b/>
          <w:szCs w:val="21"/>
        </w:rPr>
        <w:t xml:space="preserve"> 8.1重新招标 </w:t>
      </w:r>
    </w:p>
    <w:p w14:paraId="083B9C95">
      <w:pPr>
        <w:spacing w:line="400" w:lineRule="exact"/>
        <w:ind w:firstLine="420"/>
        <w:rPr>
          <w:rFonts w:ascii="宋体" w:hAnsi="宋体" w:eastAsia="宋体" w:cs="宋体"/>
          <w:bCs/>
          <w:szCs w:val="21"/>
        </w:rPr>
      </w:pPr>
      <w:r>
        <w:rPr>
          <w:rFonts w:hint="eastAsia" w:ascii="宋体" w:hAnsi="宋体" w:eastAsia="宋体" w:cs="宋体"/>
          <w:bCs/>
          <w:szCs w:val="21"/>
        </w:rPr>
        <w:t xml:space="preserve"> 有下列情形之一的，采购人将重新招标：</w:t>
      </w:r>
    </w:p>
    <w:p w14:paraId="0B176825">
      <w:pPr>
        <w:spacing w:line="400" w:lineRule="exact"/>
        <w:ind w:firstLine="420"/>
        <w:rPr>
          <w:rFonts w:ascii="宋体" w:hAnsi="宋体" w:eastAsia="宋体" w:cs="宋体"/>
          <w:bCs/>
          <w:szCs w:val="21"/>
        </w:rPr>
      </w:pPr>
      <w:r>
        <w:rPr>
          <w:rFonts w:hint="eastAsia" w:ascii="宋体" w:hAnsi="宋体" w:eastAsia="宋体" w:cs="宋体"/>
          <w:bCs/>
          <w:szCs w:val="21"/>
        </w:rPr>
        <w:t>（1）投标截止时间止，投标人少于3个的；</w:t>
      </w:r>
    </w:p>
    <w:p w14:paraId="0614BD4F">
      <w:pPr>
        <w:spacing w:line="400" w:lineRule="exact"/>
        <w:ind w:firstLine="420"/>
        <w:rPr>
          <w:rFonts w:ascii="宋体" w:hAnsi="宋体" w:eastAsia="宋体" w:cs="宋体"/>
          <w:bCs/>
          <w:szCs w:val="21"/>
        </w:rPr>
      </w:pPr>
      <w:r>
        <w:rPr>
          <w:rFonts w:hint="eastAsia" w:ascii="宋体" w:hAnsi="宋体" w:eastAsia="宋体" w:cs="宋体"/>
          <w:bCs/>
          <w:szCs w:val="21"/>
        </w:rPr>
        <w:t>（2）通过资格审查的投标人不足三家的；</w:t>
      </w:r>
    </w:p>
    <w:p w14:paraId="03888888">
      <w:pPr>
        <w:spacing w:line="400" w:lineRule="exact"/>
        <w:ind w:firstLine="420"/>
        <w:rPr>
          <w:rFonts w:ascii="宋体" w:hAnsi="宋体" w:eastAsia="宋体" w:cs="宋体"/>
          <w:bCs/>
          <w:szCs w:val="21"/>
        </w:rPr>
      </w:pPr>
      <w:r>
        <w:rPr>
          <w:rFonts w:hint="eastAsia" w:ascii="宋体" w:hAnsi="宋体" w:eastAsia="宋体" w:cs="宋体"/>
          <w:bCs/>
          <w:szCs w:val="21"/>
        </w:rPr>
        <w:t>（3）经评标委员会评审后否决所有投标的。</w:t>
      </w:r>
    </w:p>
    <w:p w14:paraId="14DFD45F">
      <w:pPr>
        <w:widowControl/>
        <w:spacing w:line="400" w:lineRule="exact"/>
        <w:ind w:firstLine="422"/>
        <w:jc w:val="left"/>
        <w:rPr>
          <w:rFonts w:ascii="宋体" w:hAnsi="宋体" w:eastAsia="宋体" w:cs="宋体"/>
          <w:b/>
          <w:szCs w:val="21"/>
        </w:rPr>
      </w:pPr>
      <w:r>
        <w:rPr>
          <w:rFonts w:hint="eastAsia" w:ascii="宋体" w:hAnsi="宋体" w:eastAsia="宋体" w:cs="宋体"/>
          <w:b/>
          <w:szCs w:val="21"/>
        </w:rPr>
        <w:t>8.2不再招标</w:t>
      </w:r>
    </w:p>
    <w:p w14:paraId="1764E098">
      <w:pPr>
        <w:widowControl/>
        <w:spacing w:line="400" w:lineRule="exact"/>
        <w:ind w:firstLine="420"/>
        <w:jc w:val="left"/>
        <w:rPr>
          <w:rFonts w:ascii="宋体" w:hAnsi="宋体" w:eastAsia="宋体" w:cs="宋体"/>
          <w:bCs/>
          <w:szCs w:val="21"/>
        </w:rPr>
      </w:pPr>
      <w:r>
        <w:rPr>
          <w:rFonts w:hint="eastAsia" w:ascii="宋体" w:hAnsi="宋体" w:eastAsia="宋体" w:cs="宋体"/>
          <w:bCs/>
          <w:szCs w:val="21"/>
        </w:rPr>
        <w:t>废标后，除采购任务取消情形外，应当重新组织招标；需要采取其他方式采购的，应当在采购活动开始前获得设区的市、自治州以上人民政府采购监督管理部门或者政府有关部门批准。</w:t>
      </w:r>
    </w:p>
    <w:bookmarkEnd w:id="51"/>
    <w:p w14:paraId="766D9302">
      <w:pPr>
        <w:pStyle w:val="6"/>
        <w:spacing w:line="400" w:lineRule="exact"/>
        <w:ind w:firstLine="420"/>
        <w:rPr>
          <w:rFonts w:eastAsia="宋体" w:cs="宋体"/>
          <w:sz w:val="21"/>
          <w:szCs w:val="21"/>
        </w:rPr>
      </w:pPr>
      <w:bookmarkStart w:id="53" w:name="_Toc278027740"/>
      <w:bookmarkStart w:id="54" w:name="_Toc31870"/>
      <w:bookmarkStart w:id="55" w:name="_Toc184635080"/>
      <w:r>
        <w:rPr>
          <w:rFonts w:hint="eastAsia" w:eastAsia="宋体" w:cs="宋体"/>
          <w:sz w:val="21"/>
          <w:szCs w:val="21"/>
        </w:rPr>
        <w:t>9.纪律和监督</w:t>
      </w:r>
      <w:bookmarkEnd w:id="53"/>
      <w:bookmarkEnd w:id="54"/>
    </w:p>
    <w:p w14:paraId="4CB0A9BE">
      <w:pPr>
        <w:widowControl/>
        <w:spacing w:line="400" w:lineRule="exact"/>
        <w:ind w:firstLine="422"/>
        <w:jc w:val="left"/>
        <w:rPr>
          <w:rFonts w:ascii="宋体" w:hAnsi="宋体" w:eastAsia="宋体" w:cs="宋体"/>
          <w:b/>
          <w:szCs w:val="21"/>
        </w:rPr>
      </w:pPr>
      <w:r>
        <w:rPr>
          <w:rFonts w:hint="eastAsia" w:ascii="宋体" w:hAnsi="宋体" w:eastAsia="宋体" w:cs="宋体"/>
          <w:b/>
          <w:szCs w:val="21"/>
        </w:rPr>
        <w:t>9.1对采购人的纪律要求</w:t>
      </w:r>
    </w:p>
    <w:p w14:paraId="1BB7D9BF">
      <w:pPr>
        <w:widowControl/>
        <w:spacing w:line="400" w:lineRule="exact"/>
        <w:ind w:firstLine="420"/>
        <w:jc w:val="left"/>
        <w:rPr>
          <w:rFonts w:ascii="宋体" w:hAnsi="宋体" w:eastAsia="宋体" w:cs="宋体"/>
          <w:bCs/>
          <w:szCs w:val="21"/>
        </w:rPr>
      </w:pPr>
      <w:r>
        <w:rPr>
          <w:rFonts w:hint="eastAsia" w:ascii="宋体" w:hAnsi="宋体" w:eastAsia="宋体" w:cs="宋体"/>
          <w:bCs/>
          <w:szCs w:val="21"/>
        </w:rPr>
        <w:t xml:space="preserve"> 采购人不得泄漏招标投标活动中应当保密的情况和资料，不得与投标人串通损害国家利益、社会公共利益或者他人合法权益。</w:t>
      </w:r>
    </w:p>
    <w:p w14:paraId="52837F76">
      <w:pPr>
        <w:widowControl/>
        <w:spacing w:line="400" w:lineRule="exact"/>
        <w:ind w:firstLine="422"/>
        <w:jc w:val="left"/>
        <w:rPr>
          <w:rFonts w:ascii="宋体" w:hAnsi="宋体" w:eastAsia="宋体" w:cs="宋体"/>
          <w:b/>
          <w:szCs w:val="21"/>
        </w:rPr>
      </w:pPr>
      <w:r>
        <w:rPr>
          <w:rFonts w:hint="eastAsia" w:ascii="宋体" w:hAnsi="宋体" w:eastAsia="宋体" w:cs="宋体"/>
          <w:b/>
          <w:szCs w:val="21"/>
        </w:rPr>
        <w:t>9.2对投标人的纪律要求</w:t>
      </w:r>
    </w:p>
    <w:p w14:paraId="59BEEDD6">
      <w:pPr>
        <w:widowControl/>
        <w:spacing w:line="400" w:lineRule="exact"/>
        <w:ind w:firstLine="420"/>
        <w:jc w:val="left"/>
        <w:rPr>
          <w:rFonts w:ascii="宋体" w:hAnsi="宋体" w:eastAsia="宋体" w:cs="宋体"/>
          <w:bCs/>
          <w:spacing w:val="-3"/>
          <w:szCs w:val="21"/>
        </w:rPr>
      </w:pPr>
      <w:r>
        <w:rPr>
          <w:rFonts w:hint="eastAsia" w:ascii="宋体" w:hAnsi="宋体" w:eastAsia="宋体" w:cs="宋体"/>
          <w:bCs/>
          <w:szCs w:val="21"/>
        </w:rPr>
        <w:t xml:space="preserve"> </w:t>
      </w:r>
      <w:r>
        <w:rPr>
          <w:rFonts w:hint="eastAsia" w:ascii="宋体" w:hAnsi="宋体" w:eastAsia="宋体" w:cs="宋体"/>
          <w:bCs/>
          <w:spacing w:val="-3"/>
          <w:szCs w:val="21"/>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4C9889EF">
      <w:pPr>
        <w:widowControl/>
        <w:spacing w:line="400" w:lineRule="exact"/>
        <w:ind w:firstLine="422"/>
        <w:jc w:val="left"/>
        <w:rPr>
          <w:rFonts w:ascii="宋体" w:hAnsi="宋体" w:eastAsia="宋体" w:cs="宋体"/>
          <w:b/>
          <w:szCs w:val="21"/>
        </w:rPr>
      </w:pPr>
      <w:r>
        <w:rPr>
          <w:rFonts w:hint="eastAsia" w:ascii="宋体" w:hAnsi="宋体" w:eastAsia="宋体" w:cs="宋体"/>
          <w:b/>
          <w:szCs w:val="21"/>
        </w:rPr>
        <w:t>9.3对评标委员会成员的纪律要求</w:t>
      </w:r>
    </w:p>
    <w:p w14:paraId="613B01B4">
      <w:pPr>
        <w:widowControl/>
        <w:spacing w:line="400" w:lineRule="exact"/>
        <w:ind w:firstLine="420"/>
        <w:jc w:val="left"/>
        <w:rPr>
          <w:rFonts w:ascii="宋体" w:hAnsi="宋体" w:eastAsia="宋体" w:cs="宋体"/>
          <w:bCs/>
          <w:szCs w:val="21"/>
        </w:rPr>
      </w:pPr>
      <w:r>
        <w:rPr>
          <w:rFonts w:hint="eastAsia" w:ascii="宋体" w:hAnsi="宋体" w:eastAsia="宋体" w:cs="宋体"/>
          <w:bCs/>
          <w:szCs w:val="21"/>
        </w:rPr>
        <w:t xml:space="preserve"> 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4951D300">
      <w:pPr>
        <w:widowControl/>
        <w:spacing w:line="400" w:lineRule="exact"/>
        <w:ind w:firstLine="422"/>
        <w:jc w:val="left"/>
        <w:rPr>
          <w:rFonts w:ascii="宋体" w:hAnsi="宋体" w:eastAsia="宋体" w:cs="宋体"/>
          <w:b/>
          <w:szCs w:val="21"/>
        </w:rPr>
      </w:pPr>
      <w:r>
        <w:rPr>
          <w:rFonts w:hint="eastAsia" w:ascii="宋体" w:hAnsi="宋体" w:eastAsia="宋体" w:cs="宋体"/>
          <w:b/>
          <w:szCs w:val="21"/>
        </w:rPr>
        <w:t>9.4对与评标活动有关的工作人员的纪律要求</w:t>
      </w:r>
    </w:p>
    <w:p w14:paraId="15799F7C">
      <w:pPr>
        <w:widowControl/>
        <w:spacing w:line="400" w:lineRule="exact"/>
        <w:ind w:firstLine="420"/>
        <w:jc w:val="left"/>
        <w:rPr>
          <w:rFonts w:ascii="宋体" w:hAnsi="宋体" w:eastAsia="宋体" w:cs="宋体"/>
          <w:bCs/>
          <w:szCs w:val="21"/>
        </w:rPr>
      </w:pPr>
      <w:r>
        <w:rPr>
          <w:rFonts w:hint="eastAsia" w:ascii="宋体" w:hAnsi="宋体" w:eastAsia="宋体" w:cs="宋体"/>
          <w:bCs/>
          <w:szCs w:val="21"/>
        </w:rPr>
        <w:t xml:space="preserve"> 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7CDDE846">
      <w:pPr>
        <w:widowControl/>
        <w:spacing w:line="400" w:lineRule="exact"/>
        <w:ind w:firstLine="422"/>
        <w:jc w:val="left"/>
        <w:rPr>
          <w:rFonts w:ascii="宋体" w:hAnsi="宋体" w:eastAsia="宋体" w:cs="宋体"/>
          <w:bCs/>
          <w:szCs w:val="21"/>
        </w:rPr>
      </w:pPr>
      <w:r>
        <w:rPr>
          <w:rFonts w:hint="eastAsia" w:ascii="宋体" w:hAnsi="宋体" w:eastAsia="宋体" w:cs="宋体"/>
          <w:b/>
          <w:szCs w:val="21"/>
        </w:rPr>
        <w:t>9.5投诉、质疑</w:t>
      </w:r>
      <w:r>
        <w:rPr>
          <w:rFonts w:hint="eastAsia" w:ascii="宋体" w:hAnsi="宋体" w:eastAsia="宋体" w:cs="宋体"/>
          <w:bCs/>
          <w:szCs w:val="21"/>
        </w:rPr>
        <w:t xml:space="preserve">  </w:t>
      </w:r>
    </w:p>
    <w:p w14:paraId="1D74D5A5">
      <w:pPr>
        <w:widowControl/>
        <w:spacing w:line="400" w:lineRule="exact"/>
        <w:ind w:firstLine="420"/>
        <w:jc w:val="left"/>
        <w:rPr>
          <w:rFonts w:ascii="宋体" w:hAnsi="宋体" w:eastAsia="宋体" w:cs="宋体"/>
          <w:bCs/>
          <w:szCs w:val="21"/>
        </w:rPr>
      </w:pPr>
      <w:r>
        <w:rPr>
          <w:rFonts w:hint="eastAsia" w:ascii="宋体" w:hAnsi="宋体" w:eastAsia="宋体" w:cs="宋体"/>
          <w:bCs/>
          <w:szCs w:val="21"/>
        </w:rPr>
        <w:t xml:space="preserve"> 投标人和其他利害关系人认为本次招标活动违反法律、法规和规章规定的，有权向有关行政监督部门投诉。</w:t>
      </w:r>
    </w:p>
    <w:p w14:paraId="2758CCDA">
      <w:pPr>
        <w:spacing w:line="400" w:lineRule="exact"/>
        <w:ind w:firstLine="420"/>
        <w:rPr>
          <w:rFonts w:ascii="宋体" w:hAnsi="宋体" w:eastAsia="宋体" w:cs="宋体"/>
          <w:szCs w:val="21"/>
        </w:rPr>
      </w:pPr>
      <w:r>
        <w:rPr>
          <w:rFonts w:hint="eastAsia" w:ascii="宋体" w:hAnsi="宋体" w:eastAsia="宋体" w:cs="宋体"/>
          <w:szCs w:val="21"/>
        </w:rPr>
        <w:t>投标人对采购文件、采购过程、中标或者成交结果的质疑，可以在知道或者应知其权益受到损害之日起7个工作日内，以书面形式一次性向采购人或采购代理机构提出质疑。采购人或采购代理机构不接受投标人对同一采购环节的多次质疑。</w:t>
      </w:r>
    </w:p>
    <w:p w14:paraId="783E1686">
      <w:pPr>
        <w:pStyle w:val="6"/>
        <w:spacing w:line="400" w:lineRule="exact"/>
        <w:ind w:firstLine="420"/>
        <w:rPr>
          <w:rFonts w:eastAsia="宋体" w:cs="宋体"/>
          <w:sz w:val="21"/>
          <w:szCs w:val="21"/>
        </w:rPr>
      </w:pPr>
      <w:bookmarkStart w:id="56" w:name="_Toc16124"/>
      <w:r>
        <w:rPr>
          <w:rFonts w:hint="eastAsia" w:eastAsia="宋体" w:cs="宋体"/>
          <w:sz w:val="21"/>
          <w:szCs w:val="21"/>
        </w:rPr>
        <w:t>10.</w:t>
      </w:r>
      <w:bookmarkEnd w:id="56"/>
      <w:r>
        <w:rPr>
          <w:rFonts w:hint="eastAsia" w:eastAsia="宋体" w:cs="宋体"/>
          <w:sz w:val="21"/>
          <w:szCs w:val="21"/>
        </w:rPr>
        <w:t>其他内容</w:t>
      </w:r>
    </w:p>
    <w:bookmarkEnd w:id="55"/>
    <w:p w14:paraId="393C03E4">
      <w:pPr>
        <w:widowControl/>
        <w:spacing w:line="400" w:lineRule="exact"/>
        <w:ind w:firstLine="420"/>
        <w:jc w:val="left"/>
        <w:rPr>
          <w:rFonts w:ascii="宋体" w:hAnsi="宋体" w:cs="宋体"/>
          <w:bCs/>
          <w:szCs w:val="21"/>
        </w:rPr>
      </w:pPr>
      <w:bookmarkStart w:id="57" w:name="_Toc244935173"/>
      <w:bookmarkStart w:id="58" w:name="_Toc234213538"/>
      <w:r>
        <w:rPr>
          <w:rFonts w:hint="eastAsia" w:ascii="宋体" w:hAnsi="宋体" w:cs="宋体"/>
          <w:szCs w:val="21"/>
        </w:rPr>
        <w:t>需要补充的其他内容：见投标人须知前附表。</w:t>
      </w:r>
    </w:p>
    <w:p w14:paraId="513AC28E">
      <w:pPr>
        <w:ind w:firstLine="420"/>
        <w:rPr>
          <w:rFonts w:ascii="宋体" w:hAnsi="宋体" w:eastAsia="宋体" w:cs="宋体"/>
          <w:bCs/>
          <w:szCs w:val="21"/>
        </w:rPr>
      </w:pPr>
      <w:r>
        <w:rPr>
          <w:rFonts w:hint="eastAsia" w:ascii="宋体" w:hAnsi="宋体" w:eastAsia="宋体" w:cs="宋体"/>
          <w:bCs/>
          <w:szCs w:val="21"/>
        </w:rPr>
        <w:br w:type="page"/>
      </w:r>
    </w:p>
    <w:bookmarkEnd w:id="57"/>
    <w:bookmarkEnd w:id="58"/>
    <w:p w14:paraId="055C877E">
      <w:pPr>
        <w:pStyle w:val="5"/>
        <w:spacing w:line="240" w:lineRule="auto"/>
        <w:ind w:firstLine="0" w:firstLineChars="0"/>
        <w:rPr>
          <w:rStyle w:val="73"/>
          <w:rFonts w:ascii="Times New Roman" w:hAnsi="Times New Roman" w:eastAsia="宋体" w:cs="Times New Roman"/>
          <w:b/>
          <w:bCs/>
          <w:color w:val="auto"/>
        </w:rPr>
      </w:pPr>
      <w:bookmarkStart w:id="59" w:name="_Toc1685"/>
      <w:r>
        <w:rPr>
          <w:rStyle w:val="73"/>
          <w:rFonts w:hint="eastAsia" w:ascii="Times New Roman" w:hAnsi="Times New Roman" w:eastAsia="宋体" w:cs="Times New Roman"/>
          <w:b/>
          <w:bCs/>
          <w:color w:val="auto"/>
        </w:rPr>
        <w:t>第三章 评标办法</w:t>
      </w:r>
      <w:bookmarkEnd w:id="59"/>
      <w:bookmarkStart w:id="60" w:name="_Toc381964731"/>
      <w:bookmarkStart w:id="61" w:name="_Toc11095"/>
      <w:bookmarkStart w:id="62" w:name="_Toc363053524"/>
      <w:bookmarkStart w:id="63" w:name="_Toc381018330"/>
      <w:bookmarkStart w:id="64" w:name="_Toc374358909"/>
      <w:bookmarkStart w:id="65" w:name="_Toc381964639"/>
    </w:p>
    <w:bookmarkEnd w:id="60"/>
    <w:bookmarkEnd w:id="61"/>
    <w:bookmarkEnd w:id="62"/>
    <w:bookmarkEnd w:id="63"/>
    <w:bookmarkEnd w:id="64"/>
    <w:bookmarkEnd w:id="65"/>
    <w:p w14:paraId="33A0A1C0">
      <w:pPr>
        <w:pStyle w:val="6"/>
        <w:spacing w:line="240" w:lineRule="auto"/>
        <w:ind w:firstLine="0" w:firstLineChars="0"/>
        <w:jc w:val="center"/>
        <w:rPr>
          <w:sz w:val="24"/>
          <w:szCs w:val="24"/>
        </w:rPr>
      </w:pPr>
      <w:r>
        <w:rPr>
          <w:rFonts w:hint="eastAsia"/>
          <w:sz w:val="24"/>
          <w:szCs w:val="24"/>
        </w:rPr>
        <w:t>评分办法前附表</w:t>
      </w:r>
    </w:p>
    <w:tbl>
      <w:tblPr>
        <w:tblStyle w:val="27"/>
        <w:tblpPr w:leftFromText="180" w:rightFromText="180" w:vertAnchor="text" w:horzAnchor="page" w:tblpX="955" w:tblpY="583"/>
        <w:tblOverlap w:val="never"/>
        <w:tblW w:w="52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899"/>
        <w:gridCol w:w="1124"/>
        <w:gridCol w:w="1979"/>
        <w:gridCol w:w="4968"/>
      </w:tblGrid>
      <w:tr w14:paraId="202E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0" w:type="pct"/>
            <w:gridSpan w:val="2"/>
            <w:noWrap/>
            <w:vAlign w:val="center"/>
          </w:tcPr>
          <w:p w14:paraId="1603F127">
            <w:pPr>
              <w:spacing w:line="440" w:lineRule="exact"/>
              <w:ind w:firstLine="0" w:firstLineChars="0"/>
              <w:jc w:val="center"/>
              <w:rPr>
                <w:rFonts w:ascii="宋体" w:hAnsi="宋体" w:eastAsia="宋体" w:cs="宋体"/>
                <w:szCs w:val="21"/>
              </w:rPr>
            </w:pPr>
            <w:bookmarkStart w:id="66" w:name="_Toc152042377"/>
            <w:bookmarkStart w:id="67" w:name="_Toc318450722"/>
            <w:bookmarkStart w:id="68" w:name="_Toc144974567"/>
            <w:bookmarkStart w:id="69" w:name="_Toc281405528"/>
            <w:bookmarkStart w:id="70" w:name="_Toc31578"/>
            <w:bookmarkStart w:id="71" w:name="_Toc152045600"/>
            <w:r>
              <w:rPr>
                <w:rFonts w:hint="eastAsia" w:ascii="宋体" w:hAnsi="宋体" w:eastAsia="宋体" w:cs="宋体"/>
                <w:szCs w:val="21"/>
              </w:rPr>
              <w:t>条款号</w:t>
            </w:r>
          </w:p>
        </w:tc>
        <w:tc>
          <w:tcPr>
            <w:tcW w:w="1584" w:type="pct"/>
            <w:gridSpan w:val="2"/>
            <w:noWrap/>
            <w:vAlign w:val="center"/>
          </w:tcPr>
          <w:p w14:paraId="15BB28D2">
            <w:pPr>
              <w:spacing w:line="440" w:lineRule="exact"/>
              <w:ind w:firstLine="0" w:firstLineChars="0"/>
              <w:jc w:val="center"/>
              <w:rPr>
                <w:rFonts w:ascii="宋体" w:hAnsi="宋体" w:eastAsia="宋体" w:cs="宋体"/>
                <w:szCs w:val="21"/>
              </w:rPr>
            </w:pPr>
            <w:r>
              <w:rPr>
                <w:rFonts w:hint="eastAsia" w:ascii="宋体" w:hAnsi="宋体" w:eastAsia="宋体" w:cs="宋体"/>
                <w:szCs w:val="21"/>
              </w:rPr>
              <w:t>评审因素</w:t>
            </w:r>
          </w:p>
        </w:tc>
        <w:tc>
          <w:tcPr>
            <w:tcW w:w="2534" w:type="pct"/>
            <w:noWrap/>
            <w:vAlign w:val="center"/>
          </w:tcPr>
          <w:p w14:paraId="05ED8D85">
            <w:pPr>
              <w:spacing w:line="440" w:lineRule="exact"/>
              <w:ind w:firstLine="0" w:firstLineChars="0"/>
              <w:jc w:val="center"/>
              <w:rPr>
                <w:rFonts w:ascii="宋体" w:hAnsi="宋体" w:eastAsia="宋体" w:cs="宋体"/>
                <w:szCs w:val="21"/>
              </w:rPr>
            </w:pPr>
            <w:r>
              <w:rPr>
                <w:rFonts w:hint="eastAsia" w:ascii="宋体" w:hAnsi="宋体" w:eastAsia="宋体" w:cs="宋体"/>
                <w:szCs w:val="21"/>
              </w:rPr>
              <w:t>评审标准</w:t>
            </w:r>
          </w:p>
        </w:tc>
      </w:tr>
      <w:tr w14:paraId="4790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421" w:type="pct"/>
            <w:vMerge w:val="restart"/>
            <w:noWrap/>
            <w:vAlign w:val="center"/>
          </w:tcPr>
          <w:p w14:paraId="03058F86">
            <w:pPr>
              <w:spacing w:line="440" w:lineRule="exact"/>
              <w:ind w:firstLine="0" w:firstLineChars="0"/>
              <w:rPr>
                <w:rFonts w:ascii="宋体" w:hAnsi="宋体" w:eastAsia="宋体" w:cs="宋体"/>
                <w:szCs w:val="21"/>
              </w:rPr>
            </w:pPr>
            <w:r>
              <w:rPr>
                <w:rFonts w:hint="eastAsia" w:ascii="宋体" w:hAnsi="宋体" w:eastAsia="宋体" w:cs="宋体"/>
                <w:szCs w:val="21"/>
              </w:rPr>
              <w:t>2.1.1</w:t>
            </w:r>
          </w:p>
        </w:tc>
        <w:tc>
          <w:tcPr>
            <w:tcW w:w="459" w:type="pct"/>
            <w:vMerge w:val="restart"/>
            <w:noWrap/>
            <w:vAlign w:val="center"/>
          </w:tcPr>
          <w:p w14:paraId="2EFD22C8">
            <w:pPr>
              <w:spacing w:line="440" w:lineRule="exact"/>
              <w:ind w:firstLine="0" w:firstLineChars="0"/>
              <w:jc w:val="center"/>
              <w:rPr>
                <w:rFonts w:ascii="宋体" w:hAnsi="宋体" w:eastAsia="宋体" w:cs="宋体"/>
                <w:szCs w:val="21"/>
              </w:rPr>
            </w:pPr>
            <w:r>
              <w:rPr>
                <w:rFonts w:hint="eastAsia" w:ascii="宋体" w:hAnsi="宋体" w:eastAsia="宋体" w:cs="宋体"/>
                <w:szCs w:val="21"/>
              </w:rPr>
              <w:t>资格评审标准</w:t>
            </w:r>
          </w:p>
        </w:tc>
        <w:tc>
          <w:tcPr>
            <w:tcW w:w="1584" w:type="pct"/>
            <w:gridSpan w:val="2"/>
            <w:noWrap/>
            <w:vAlign w:val="center"/>
          </w:tcPr>
          <w:p w14:paraId="19EE960B">
            <w:pPr>
              <w:spacing w:line="420" w:lineRule="exact"/>
              <w:ind w:firstLine="0" w:firstLineChars="0"/>
              <w:jc w:val="center"/>
              <w:rPr>
                <w:rFonts w:ascii="宋体" w:hAnsi="宋体" w:eastAsia="宋体" w:cs="宋体"/>
                <w:szCs w:val="21"/>
              </w:rPr>
            </w:pPr>
            <w:r>
              <w:rPr>
                <w:rFonts w:hint="eastAsia" w:ascii="宋体" w:hAnsi="宋体" w:eastAsia="宋体" w:cs="宋体"/>
                <w:szCs w:val="21"/>
              </w:rPr>
              <w:t>符合《中华人民共和国政府采购法》第二十二条规定</w:t>
            </w:r>
          </w:p>
        </w:tc>
        <w:tc>
          <w:tcPr>
            <w:tcW w:w="2534" w:type="pct"/>
            <w:noWrap/>
            <w:vAlign w:val="center"/>
          </w:tcPr>
          <w:p w14:paraId="2472720C">
            <w:pPr>
              <w:spacing w:line="420" w:lineRule="exact"/>
              <w:ind w:firstLine="0" w:firstLineChars="0"/>
              <w:rPr>
                <w:rFonts w:ascii="宋体" w:hAnsi="宋体" w:eastAsia="宋体" w:cs="宋体"/>
                <w:szCs w:val="21"/>
              </w:rPr>
            </w:pPr>
            <w:r>
              <w:rPr>
                <w:rFonts w:hint="eastAsia" w:ascii="宋体" w:hAnsi="宋体" w:eastAsia="宋体" w:cs="宋体"/>
                <w:szCs w:val="21"/>
              </w:rPr>
              <w:t>符合第二章“</w:t>
            </w:r>
            <w:r>
              <w:rPr>
                <w:rFonts w:hint="eastAsia" w:ascii="宋体" w:hAnsi="宋体" w:eastAsia="宋体" w:cs="宋体"/>
                <w:spacing w:val="6"/>
                <w:szCs w:val="21"/>
              </w:rPr>
              <w:t>供应商须知前附表</w:t>
            </w:r>
            <w:r>
              <w:rPr>
                <w:rFonts w:hint="eastAsia" w:ascii="宋体" w:hAnsi="宋体" w:eastAsia="宋体" w:cs="宋体"/>
                <w:szCs w:val="21"/>
              </w:rPr>
              <w:t>”规定</w:t>
            </w:r>
          </w:p>
        </w:tc>
      </w:tr>
      <w:tr w14:paraId="40CA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1" w:type="pct"/>
            <w:vMerge w:val="continue"/>
            <w:noWrap/>
            <w:vAlign w:val="center"/>
          </w:tcPr>
          <w:p w14:paraId="14089448">
            <w:pPr>
              <w:spacing w:line="440" w:lineRule="exact"/>
              <w:ind w:firstLine="0" w:firstLineChars="0"/>
              <w:rPr>
                <w:rFonts w:ascii="宋体" w:hAnsi="宋体" w:eastAsia="宋体" w:cs="宋体"/>
                <w:szCs w:val="21"/>
              </w:rPr>
            </w:pPr>
          </w:p>
        </w:tc>
        <w:tc>
          <w:tcPr>
            <w:tcW w:w="459" w:type="pct"/>
            <w:vMerge w:val="continue"/>
            <w:noWrap/>
            <w:vAlign w:val="center"/>
          </w:tcPr>
          <w:p w14:paraId="394AE16F">
            <w:pPr>
              <w:spacing w:line="440" w:lineRule="exact"/>
              <w:ind w:firstLine="0" w:firstLineChars="0"/>
              <w:jc w:val="center"/>
              <w:rPr>
                <w:rFonts w:ascii="宋体" w:hAnsi="宋体" w:eastAsia="宋体" w:cs="宋体"/>
                <w:szCs w:val="21"/>
              </w:rPr>
            </w:pPr>
          </w:p>
        </w:tc>
        <w:tc>
          <w:tcPr>
            <w:tcW w:w="1584" w:type="pct"/>
            <w:gridSpan w:val="2"/>
            <w:noWrap/>
            <w:vAlign w:val="center"/>
          </w:tcPr>
          <w:p w14:paraId="62885691">
            <w:pPr>
              <w:spacing w:line="420" w:lineRule="exact"/>
              <w:ind w:firstLine="0" w:firstLineChars="0"/>
              <w:jc w:val="center"/>
              <w:rPr>
                <w:rFonts w:ascii="宋体" w:hAnsi="宋体" w:eastAsia="宋体" w:cs="宋体"/>
                <w:szCs w:val="21"/>
              </w:rPr>
            </w:pPr>
            <w:r>
              <w:rPr>
                <w:rFonts w:hint="eastAsia" w:ascii="宋体" w:hAnsi="宋体" w:eastAsia="宋体" w:cs="宋体"/>
                <w:szCs w:val="21"/>
              </w:rPr>
              <w:t>落实政府采购政策满足的资格要求</w:t>
            </w:r>
          </w:p>
        </w:tc>
        <w:tc>
          <w:tcPr>
            <w:tcW w:w="2534" w:type="pct"/>
            <w:noWrap/>
            <w:vAlign w:val="center"/>
          </w:tcPr>
          <w:p w14:paraId="78678661">
            <w:pPr>
              <w:spacing w:line="420" w:lineRule="exact"/>
              <w:ind w:firstLine="0" w:firstLineChars="0"/>
              <w:rPr>
                <w:rFonts w:ascii="宋体" w:hAnsi="宋体" w:eastAsia="宋体" w:cs="宋体"/>
                <w:szCs w:val="21"/>
              </w:rPr>
            </w:pPr>
            <w:r>
              <w:rPr>
                <w:rFonts w:hint="eastAsia" w:ascii="宋体" w:hAnsi="宋体" w:eastAsia="宋体" w:cs="宋体"/>
                <w:szCs w:val="21"/>
              </w:rPr>
              <w:t>符合第二章“</w:t>
            </w:r>
            <w:r>
              <w:rPr>
                <w:rFonts w:hint="eastAsia" w:ascii="宋体" w:hAnsi="宋体" w:eastAsia="宋体" w:cs="宋体"/>
                <w:spacing w:val="6"/>
                <w:szCs w:val="21"/>
              </w:rPr>
              <w:t>供应商须知前附表</w:t>
            </w:r>
            <w:r>
              <w:rPr>
                <w:rFonts w:hint="eastAsia" w:ascii="宋体" w:hAnsi="宋体" w:eastAsia="宋体" w:cs="宋体"/>
                <w:szCs w:val="21"/>
              </w:rPr>
              <w:t>”规定</w:t>
            </w:r>
          </w:p>
        </w:tc>
      </w:tr>
      <w:tr w14:paraId="1B65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1" w:type="pct"/>
            <w:vMerge w:val="continue"/>
            <w:noWrap/>
            <w:vAlign w:val="center"/>
          </w:tcPr>
          <w:p w14:paraId="502DFC0B">
            <w:pPr>
              <w:spacing w:line="440" w:lineRule="exact"/>
              <w:ind w:firstLine="0" w:firstLineChars="0"/>
              <w:rPr>
                <w:rFonts w:ascii="宋体" w:hAnsi="宋体" w:eastAsia="宋体" w:cs="宋体"/>
                <w:szCs w:val="21"/>
              </w:rPr>
            </w:pPr>
          </w:p>
        </w:tc>
        <w:tc>
          <w:tcPr>
            <w:tcW w:w="459" w:type="pct"/>
            <w:vMerge w:val="continue"/>
            <w:noWrap/>
            <w:vAlign w:val="center"/>
          </w:tcPr>
          <w:p w14:paraId="080D356E">
            <w:pPr>
              <w:spacing w:line="440" w:lineRule="exact"/>
              <w:ind w:firstLine="0" w:firstLineChars="0"/>
              <w:jc w:val="center"/>
              <w:rPr>
                <w:rFonts w:ascii="宋体" w:hAnsi="宋体" w:eastAsia="宋体" w:cs="宋体"/>
                <w:szCs w:val="21"/>
              </w:rPr>
            </w:pPr>
          </w:p>
        </w:tc>
        <w:tc>
          <w:tcPr>
            <w:tcW w:w="1584" w:type="pct"/>
            <w:gridSpan w:val="2"/>
            <w:noWrap/>
            <w:vAlign w:val="center"/>
          </w:tcPr>
          <w:p w14:paraId="721F3989">
            <w:pPr>
              <w:spacing w:line="420" w:lineRule="exact"/>
              <w:ind w:firstLine="0" w:firstLineChars="0"/>
              <w:jc w:val="center"/>
              <w:rPr>
                <w:rFonts w:ascii="宋体" w:hAnsi="宋体" w:eastAsia="宋体" w:cs="宋体"/>
                <w:szCs w:val="21"/>
              </w:rPr>
            </w:pPr>
            <w:r>
              <w:rPr>
                <w:rFonts w:hint="eastAsia" w:ascii="宋体" w:hAnsi="宋体" w:eastAsia="宋体" w:cs="宋体"/>
                <w:szCs w:val="21"/>
              </w:rPr>
              <w:t>本项目的特定资格要求</w:t>
            </w:r>
          </w:p>
        </w:tc>
        <w:tc>
          <w:tcPr>
            <w:tcW w:w="2534" w:type="pct"/>
            <w:noWrap/>
            <w:vAlign w:val="center"/>
          </w:tcPr>
          <w:p w14:paraId="12A7C72F">
            <w:pPr>
              <w:spacing w:line="420" w:lineRule="exact"/>
              <w:ind w:firstLine="0" w:firstLineChars="0"/>
              <w:rPr>
                <w:rFonts w:ascii="宋体" w:hAnsi="宋体" w:eastAsia="宋体" w:cs="宋体"/>
                <w:szCs w:val="21"/>
              </w:rPr>
            </w:pPr>
            <w:r>
              <w:rPr>
                <w:rFonts w:hint="eastAsia" w:ascii="宋体" w:hAnsi="宋体" w:eastAsia="宋体" w:cs="宋体"/>
                <w:szCs w:val="21"/>
              </w:rPr>
              <w:t>符合第二章“</w:t>
            </w:r>
            <w:r>
              <w:rPr>
                <w:rFonts w:hint="eastAsia" w:ascii="宋体" w:hAnsi="宋体" w:eastAsia="宋体" w:cs="宋体"/>
                <w:spacing w:val="6"/>
                <w:szCs w:val="21"/>
              </w:rPr>
              <w:t>供应商须知前附表</w:t>
            </w:r>
            <w:r>
              <w:rPr>
                <w:rFonts w:hint="eastAsia" w:ascii="宋体" w:hAnsi="宋体" w:eastAsia="宋体" w:cs="宋体"/>
                <w:szCs w:val="21"/>
              </w:rPr>
              <w:t>”规定</w:t>
            </w:r>
          </w:p>
        </w:tc>
      </w:tr>
      <w:tr w14:paraId="4034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1" w:type="pct"/>
            <w:vMerge w:val="continue"/>
            <w:noWrap/>
            <w:vAlign w:val="center"/>
          </w:tcPr>
          <w:p w14:paraId="6765F889">
            <w:pPr>
              <w:widowControl/>
              <w:spacing w:line="440" w:lineRule="exact"/>
              <w:ind w:firstLine="0" w:firstLineChars="0"/>
              <w:jc w:val="left"/>
              <w:rPr>
                <w:rFonts w:ascii="宋体" w:hAnsi="宋体" w:eastAsia="宋体" w:cs="宋体"/>
                <w:szCs w:val="21"/>
              </w:rPr>
            </w:pPr>
          </w:p>
        </w:tc>
        <w:tc>
          <w:tcPr>
            <w:tcW w:w="459" w:type="pct"/>
            <w:vMerge w:val="continue"/>
            <w:noWrap/>
            <w:vAlign w:val="center"/>
          </w:tcPr>
          <w:p w14:paraId="6B7376DB">
            <w:pPr>
              <w:widowControl/>
              <w:spacing w:line="440" w:lineRule="exact"/>
              <w:ind w:firstLine="0" w:firstLineChars="0"/>
              <w:jc w:val="left"/>
              <w:rPr>
                <w:rFonts w:ascii="宋体" w:hAnsi="宋体" w:eastAsia="宋体" w:cs="宋体"/>
                <w:szCs w:val="21"/>
              </w:rPr>
            </w:pPr>
          </w:p>
        </w:tc>
        <w:tc>
          <w:tcPr>
            <w:tcW w:w="1584" w:type="pct"/>
            <w:gridSpan w:val="2"/>
            <w:noWrap/>
            <w:vAlign w:val="center"/>
          </w:tcPr>
          <w:p w14:paraId="045F5CD7">
            <w:pPr>
              <w:spacing w:line="420" w:lineRule="exact"/>
              <w:ind w:firstLine="0" w:firstLineChars="0"/>
              <w:jc w:val="center"/>
              <w:rPr>
                <w:rFonts w:ascii="宋体" w:hAnsi="宋体" w:eastAsia="宋体" w:cs="宋体"/>
                <w:szCs w:val="21"/>
              </w:rPr>
            </w:pPr>
            <w:r>
              <w:rPr>
                <w:rFonts w:hint="eastAsia" w:ascii="宋体" w:hAnsi="宋体" w:eastAsia="宋体" w:cs="宋体"/>
                <w:szCs w:val="21"/>
              </w:rPr>
              <w:t>其他说明</w:t>
            </w:r>
          </w:p>
        </w:tc>
        <w:tc>
          <w:tcPr>
            <w:tcW w:w="2534" w:type="pct"/>
            <w:noWrap/>
            <w:vAlign w:val="center"/>
          </w:tcPr>
          <w:p w14:paraId="5F636A6D">
            <w:pPr>
              <w:spacing w:line="420" w:lineRule="exact"/>
              <w:ind w:firstLine="0" w:firstLineChars="0"/>
              <w:rPr>
                <w:rFonts w:ascii="宋体" w:hAnsi="宋体" w:eastAsia="宋体" w:cs="宋体"/>
                <w:szCs w:val="21"/>
              </w:rPr>
            </w:pPr>
            <w:r>
              <w:rPr>
                <w:rFonts w:hint="eastAsia" w:ascii="宋体" w:hAnsi="宋体" w:eastAsia="宋体" w:cs="宋体"/>
                <w:szCs w:val="21"/>
              </w:rPr>
              <w:t>符合第二章“</w:t>
            </w:r>
            <w:r>
              <w:rPr>
                <w:rFonts w:hint="eastAsia" w:ascii="宋体" w:hAnsi="宋体" w:eastAsia="宋体" w:cs="宋体"/>
                <w:spacing w:val="6"/>
                <w:szCs w:val="21"/>
              </w:rPr>
              <w:t>供应商须知前附表</w:t>
            </w:r>
            <w:r>
              <w:rPr>
                <w:rFonts w:hint="eastAsia" w:ascii="宋体" w:hAnsi="宋体" w:eastAsia="宋体" w:cs="宋体"/>
                <w:szCs w:val="21"/>
              </w:rPr>
              <w:t>”规定</w:t>
            </w:r>
          </w:p>
        </w:tc>
      </w:tr>
      <w:tr w14:paraId="0CA8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1" w:type="pct"/>
            <w:vMerge w:val="restart"/>
            <w:noWrap/>
            <w:vAlign w:val="center"/>
          </w:tcPr>
          <w:p w14:paraId="4E77511B">
            <w:pPr>
              <w:spacing w:line="440" w:lineRule="exact"/>
              <w:ind w:firstLine="0" w:firstLineChars="0"/>
              <w:rPr>
                <w:rFonts w:ascii="宋体" w:hAnsi="宋体" w:eastAsia="宋体" w:cs="宋体"/>
                <w:szCs w:val="21"/>
              </w:rPr>
            </w:pPr>
            <w:r>
              <w:rPr>
                <w:rFonts w:hint="eastAsia" w:ascii="宋体" w:hAnsi="宋体" w:eastAsia="宋体" w:cs="宋体"/>
                <w:szCs w:val="21"/>
              </w:rPr>
              <w:t>2.1.2</w:t>
            </w:r>
          </w:p>
        </w:tc>
        <w:tc>
          <w:tcPr>
            <w:tcW w:w="459" w:type="pct"/>
            <w:vMerge w:val="restart"/>
            <w:noWrap/>
            <w:vAlign w:val="center"/>
          </w:tcPr>
          <w:p w14:paraId="7CB2DF85">
            <w:pPr>
              <w:spacing w:line="440" w:lineRule="exact"/>
              <w:ind w:firstLine="0" w:firstLineChars="0"/>
              <w:jc w:val="center"/>
              <w:rPr>
                <w:rFonts w:ascii="宋体" w:hAnsi="宋体" w:eastAsia="宋体" w:cs="宋体"/>
                <w:szCs w:val="21"/>
              </w:rPr>
            </w:pPr>
            <w:r>
              <w:rPr>
                <w:rFonts w:hint="eastAsia" w:ascii="宋体" w:hAnsi="宋体" w:eastAsia="宋体" w:cs="宋体"/>
                <w:szCs w:val="21"/>
              </w:rPr>
              <w:t>符合性</w:t>
            </w:r>
          </w:p>
          <w:p w14:paraId="5032FF56">
            <w:pPr>
              <w:spacing w:line="440" w:lineRule="exact"/>
              <w:ind w:firstLine="0" w:firstLineChars="0"/>
              <w:jc w:val="center"/>
              <w:rPr>
                <w:rFonts w:ascii="宋体" w:hAnsi="宋体" w:eastAsia="宋体" w:cs="宋体"/>
                <w:szCs w:val="21"/>
              </w:rPr>
            </w:pPr>
            <w:r>
              <w:rPr>
                <w:rFonts w:hint="eastAsia" w:ascii="宋体" w:hAnsi="宋体" w:eastAsia="宋体" w:cs="宋体"/>
                <w:szCs w:val="21"/>
              </w:rPr>
              <w:t>评审标准</w:t>
            </w:r>
          </w:p>
        </w:tc>
        <w:tc>
          <w:tcPr>
            <w:tcW w:w="1584" w:type="pct"/>
            <w:gridSpan w:val="2"/>
            <w:noWrap/>
            <w:vAlign w:val="center"/>
          </w:tcPr>
          <w:p w14:paraId="3A44B3EF">
            <w:pPr>
              <w:spacing w:line="440" w:lineRule="exact"/>
              <w:ind w:firstLine="0" w:firstLineChars="0"/>
              <w:jc w:val="center"/>
              <w:rPr>
                <w:rFonts w:ascii="宋体" w:hAnsi="宋体" w:eastAsia="宋体" w:cs="宋体"/>
                <w:szCs w:val="21"/>
              </w:rPr>
            </w:pPr>
            <w:r>
              <w:rPr>
                <w:rFonts w:hint="eastAsia" w:ascii="宋体" w:hAnsi="宋体" w:eastAsia="宋体" w:cs="宋体"/>
                <w:szCs w:val="21"/>
              </w:rPr>
              <w:t>供应商名称</w:t>
            </w:r>
          </w:p>
        </w:tc>
        <w:tc>
          <w:tcPr>
            <w:tcW w:w="2534" w:type="pct"/>
            <w:noWrap/>
            <w:vAlign w:val="center"/>
          </w:tcPr>
          <w:p w14:paraId="60D0A6CB">
            <w:pPr>
              <w:spacing w:line="440" w:lineRule="exact"/>
              <w:ind w:firstLine="0" w:firstLineChars="0"/>
              <w:rPr>
                <w:rFonts w:ascii="宋体" w:hAnsi="宋体" w:eastAsia="宋体" w:cs="宋体"/>
                <w:szCs w:val="21"/>
              </w:rPr>
            </w:pPr>
            <w:r>
              <w:rPr>
                <w:rFonts w:hint="eastAsia" w:ascii="宋体" w:hAnsi="宋体" w:eastAsia="宋体" w:cs="宋体"/>
                <w:szCs w:val="21"/>
              </w:rPr>
              <w:t>与营业执照一致</w:t>
            </w:r>
          </w:p>
        </w:tc>
      </w:tr>
      <w:tr w14:paraId="41C1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1" w:type="pct"/>
            <w:vMerge w:val="continue"/>
            <w:noWrap/>
            <w:vAlign w:val="center"/>
          </w:tcPr>
          <w:p w14:paraId="41DB7068">
            <w:pPr>
              <w:widowControl/>
              <w:spacing w:line="440" w:lineRule="exact"/>
              <w:ind w:firstLine="0" w:firstLineChars="0"/>
              <w:jc w:val="left"/>
              <w:rPr>
                <w:rFonts w:ascii="宋体" w:hAnsi="宋体" w:eastAsia="宋体" w:cs="宋体"/>
                <w:szCs w:val="21"/>
              </w:rPr>
            </w:pPr>
          </w:p>
        </w:tc>
        <w:tc>
          <w:tcPr>
            <w:tcW w:w="459" w:type="pct"/>
            <w:vMerge w:val="continue"/>
            <w:noWrap/>
            <w:vAlign w:val="center"/>
          </w:tcPr>
          <w:p w14:paraId="6F453C49">
            <w:pPr>
              <w:widowControl/>
              <w:spacing w:line="440" w:lineRule="exact"/>
              <w:ind w:firstLine="0" w:firstLineChars="0"/>
              <w:jc w:val="left"/>
              <w:rPr>
                <w:rFonts w:ascii="宋体" w:hAnsi="宋体" w:eastAsia="宋体" w:cs="宋体"/>
                <w:szCs w:val="21"/>
              </w:rPr>
            </w:pPr>
          </w:p>
        </w:tc>
        <w:tc>
          <w:tcPr>
            <w:tcW w:w="1584" w:type="pct"/>
            <w:gridSpan w:val="2"/>
            <w:noWrap/>
            <w:vAlign w:val="center"/>
          </w:tcPr>
          <w:p w14:paraId="3A2DD9B2">
            <w:pPr>
              <w:spacing w:line="440" w:lineRule="exact"/>
              <w:ind w:firstLine="0" w:firstLineChars="0"/>
              <w:jc w:val="center"/>
              <w:rPr>
                <w:rFonts w:ascii="宋体" w:hAnsi="宋体" w:eastAsia="宋体" w:cs="宋体"/>
                <w:szCs w:val="21"/>
              </w:rPr>
            </w:pPr>
            <w:r>
              <w:rPr>
                <w:rFonts w:hint="eastAsia" w:ascii="宋体" w:hAnsi="宋体" w:eastAsia="宋体" w:cs="宋体"/>
                <w:szCs w:val="21"/>
              </w:rPr>
              <w:t>响应文件格式</w:t>
            </w:r>
          </w:p>
        </w:tc>
        <w:tc>
          <w:tcPr>
            <w:tcW w:w="2534" w:type="pct"/>
            <w:noWrap/>
            <w:vAlign w:val="center"/>
          </w:tcPr>
          <w:p w14:paraId="5864244D">
            <w:pPr>
              <w:spacing w:line="440" w:lineRule="exact"/>
              <w:ind w:firstLine="0" w:firstLineChars="0"/>
              <w:rPr>
                <w:rFonts w:ascii="宋体" w:hAnsi="宋体" w:eastAsia="宋体" w:cs="宋体"/>
                <w:szCs w:val="21"/>
              </w:rPr>
            </w:pPr>
            <w:r>
              <w:rPr>
                <w:rFonts w:hint="eastAsia" w:ascii="宋体" w:hAnsi="宋体" w:eastAsia="宋体" w:cs="宋体"/>
                <w:szCs w:val="21"/>
              </w:rPr>
              <w:t>符合第六章“响应文件格式”的要求</w:t>
            </w:r>
          </w:p>
        </w:tc>
      </w:tr>
      <w:tr w14:paraId="0D8B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1" w:type="pct"/>
            <w:vMerge w:val="continue"/>
            <w:noWrap/>
            <w:vAlign w:val="center"/>
          </w:tcPr>
          <w:p w14:paraId="414945AB">
            <w:pPr>
              <w:widowControl/>
              <w:spacing w:line="440" w:lineRule="exact"/>
              <w:ind w:firstLine="0" w:firstLineChars="0"/>
              <w:jc w:val="left"/>
              <w:rPr>
                <w:rFonts w:ascii="宋体" w:hAnsi="宋体" w:eastAsia="宋体" w:cs="宋体"/>
                <w:szCs w:val="21"/>
              </w:rPr>
            </w:pPr>
          </w:p>
        </w:tc>
        <w:tc>
          <w:tcPr>
            <w:tcW w:w="459" w:type="pct"/>
            <w:vMerge w:val="continue"/>
            <w:noWrap/>
            <w:vAlign w:val="center"/>
          </w:tcPr>
          <w:p w14:paraId="71C7FD93">
            <w:pPr>
              <w:widowControl/>
              <w:spacing w:line="440" w:lineRule="exact"/>
              <w:ind w:firstLine="0" w:firstLineChars="0"/>
              <w:jc w:val="left"/>
              <w:rPr>
                <w:rFonts w:ascii="宋体" w:hAnsi="宋体" w:eastAsia="宋体" w:cs="宋体"/>
                <w:szCs w:val="21"/>
              </w:rPr>
            </w:pPr>
          </w:p>
        </w:tc>
        <w:tc>
          <w:tcPr>
            <w:tcW w:w="1584" w:type="pct"/>
            <w:gridSpan w:val="2"/>
            <w:noWrap/>
            <w:vAlign w:val="center"/>
          </w:tcPr>
          <w:p w14:paraId="5A823ED5">
            <w:pPr>
              <w:spacing w:line="440" w:lineRule="exact"/>
              <w:ind w:firstLine="0" w:firstLineChars="0"/>
              <w:jc w:val="center"/>
              <w:rPr>
                <w:rFonts w:ascii="宋体" w:hAnsi="宋体" w:eastAsia="宋体" w:cs="宋体"/>
                <w:szCs w:val="21"/>
              </w:rPr>
            </w:pPr>
            <w:r>
              <w:rPr>
                <w:rFonts w:hint="eastAsia" w:ascii="宋体" w:hAnsi="宋体" w:eastAsia="宋体" w:cs="宋体"/>
                <w:szCs w:val="21"/>
              </w:rPr>
              <w:t>响应文件签字盖章</w:t>
            </w:r>
          </w:p>
        </w:tc>
        <w:tc>
          <w:tcPr>
            <w:tcW w:w="2534" w:type="pct"/>
            <w:noWrap/>
            <w:vAlign w:val="center"/>
          </w:tcPr>
          <w:p w14:paraId="4ED11EEE">
            <w:pPr>
              <w:spacing w:line="440" w:lineRule="exact"/>
              <w:ind w:firstLine="0" w:firstLineChars="0"/>
              <w:rPr>
                <w:rFonts w:ascii="宋体" w:hAnsi="宋体" w:eastAsia="宋体" w:cs="宋体"/>
                <w:szCs w:val="21"/>
              </w:rPr>
            </w:pPr>
            <w:r>
              <w:rPr>
                <w:rFonts w:hint="eastAsia" w:ascii="宋体" w:hAnsi="宋体" w:eastAsia="宋体" w:cs="宋体"/>
                <w:szCs w:val="21"/>
              </w:rPr>
              <w:t>符合第二章“</w:t>
            </w:r>
            <w:r>
              <w:rPr>
                <w:rFonts w:hint="eastAsia" w:ascii="宋体" w:hAnsi="宋体" w:eastAsia="宋体" w:cs="宋体"/>
                <w:spacing w:val="6"/>
                <w:szCs w:val="21"/>
              </w:rPr>
              <w:t>供应商须知前附表</w:t>
            </w:r>
            <w:r>
              <w:rPr>
                <w:rFonts w:hint="eastAsia" w:ascii="宋体" w:hAnsi="宋体" w:eastAsia="宋体" w:cs="宋体"/>
                <w:szCs w:val="21"/>
              </w:rPr>
              <w:t>”规定</w:t>
            </w:r>
          </w:p>
        </w:tc>
      </w:tr>
      <w:tr w14:paraId="3EBC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1" w:type="pct"/>
            <w:vMerge w:val="continue"/>
            <w:noWrap/>
            <w:vAlign w:val="center"/>
          </w:tcPr>
          <w:p w14:paraId="3500D0D0">
            <w:pPr>
              <w:spacing w:line="440" w:lineRule="exact"/>
              <w:ind w:firstLine="0" w:firstLineChars="0"/>
              <w:rPr>
                <w:rFonts w:ascii="宋体" w:hAnsi="宋体" w:eastAsia="宋体" w:cs="宋体"/>
                <w:szCs w:val="21"/>
              </w:rPr>
            </w:pPr>
          </w:p>
        </w:tc>
        <w:tc>
          <w:tcPr>
            <w:tcW w:w="459" w:type="pct"/>
            <w:vMerge w:val="continue"/>
            <w:noWrap/>
            <w:vAlign w:val="center"/>
          </w:tcPr>
          <w:p w14:paraId="61861E11">
            <w:pPr>
              <w:spacing w:line="440" w:lineRule="exact"/>
              <w:ind w:firstLine="0" w:firstLineChars="0"/>
              <w:jc w:val="center"/>
              <w:rPr>
                <w:rFonts w:ascii="宋体" w:hAnsi="宋体" w:eastAsia="宋体" w:cs="宋体"/>
                <w:szCs w:val="21"/>
              </w:rPr>
            </w:pPr>
          </w:p>
        </w:tc>
        <w:tc>
          <w:tcPr>
            <w:tcW w:w="1584" w:type="pct"/>
            <w:gridSpan w:val="2"/>
            <w:noWrap/>
            <w:vAlign w:val="center"/>
          </w:tcPr>
          <w:p w14:paraId="51292520">
            <w:pPr>
              <w:spacing w:line="440" w:lineRule="exact"/>
              <w:ind w:firstLine="0" w:firstLineChars="0"/>
              <w:jc w:val="center"/>
              <w:rPr>
                <w:rFonts w:ascii="宋体" w:hAnsi="宋体" w:eastAsia="宋体" w:cs="宋体"/>
                <w:szCs w:val="21"/>
              </w:rPr>
            </w:pPr>
            <w:r>
              <w:rPr>
                <w:rFonts w:hint="eastAsia" w:ascii="宋体" w:hAnsi="宋体" w:eastAsia="宋体" w:cs="宋体"/>
                <w:szCs w:val="21"/>
              </w:rPr>
              <w:t>响应内容</w:t>
            </w:r>
          </w:p>
        </w:tc>
        <w:tc>
          <w:tcPr>
            <w:tcW w:w="2534" w:type="pct"/>
            <w:noWrap/>
            <w:vAlign w:val="center"/>
          </w:tcPr>
          <w:p w14:paraId="1476C7EB">
            <w:pPr>
              <w:spacing w:line="440" w:lineRule="exact"/>
              <w:ind w:firstLine="0" w:firstLineChars="0"/>
              <w:rPr>
                <w:rFonts w:ascii="宋体" w:hAnsi="宋体" w:eastAsia="宋体" w:cs="宋体"/>
                <w:szCs w:val="21"/>
              </w:rPr>
            </w:pPr>
            <w:r>
              <w:rPr>
                <w:rFonts w:hint="eastAsia" w:ascii="宋体" w:hAnsi="宋体" w:eastAsia="宋体" w:cs="宋体"/>
                <w:szCs w:val="21"/>
              </w:rPr>
              <w:t>符合第二章“</w:t>
            </w:r>
            <w:r>
              <w:rPr>
                <w:rFonts w:hint="eastAsia" w:ascii="宋体" w:hAnsi="宋体" w:eastAsia="宋体" w:cs="宋体"/>
                <w:spacing w:val="6"/>
                <w:szCs w:val="21"/>
              </w:rPr>
              <w:t>供应商须知前附表</w:t>
            </w:r>
            <w:r>
              <w:rPr>
                <w:rFonts w:hint="eastAsia" w:ascii="宋体" w:hAnsi="宋体" w:eastAsia="宋体" w:cs="宋体"/>
                <w:szCs w:val="21"/>
              </w:rPr>
              <w:t>”规定</w:t>
            </w:r>
          </w:p>
        </w:tc>
      </w:tr>
      <w:tr w14:paraId="694A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1" w:type="pct"/>
            <w:vMerge w:val="continue"/>
            <w:noWrap/>
            <w:vAlign w:val="center"/>
          </w:tcPr>
          <w:p w14:paraId="3E1F1448">
            <w:pPr>
              <w:widowControl/>
              <w:spacing w:line="440" w:lineRule="exact"/>
              <w:ind w:firstLine="0" w:firstLineChars="0"/>
              <w:jc w:val="left"/>
              <w:rPr>
                <w:rFonts w:ascii="宋体" w:hAnsi="宋体" w:eastAsia="宋体" w:cs="宋体"/>
                <w:szCs w:val="21"/>
              </w:rPr>
            </w:pPr>
          </w:p>
        </w:tc>
        <w:tc>
          <w:tcPr>
            <w:tcW w:w="459" w:type="pct"/>
            <w:vMerge w:val="continue"/>
            <w:noWrap/>
            <w:vAlign w:val="center"/>
          </w:tcPr>
          <w:p w14:paraId="2E5F6E52">
            <w:pPr>
              <w:widowControl/>
              <w:spacing w:line="440" w:lineRule="exact"/>
              <w:ind w:firstLine="0" w:firstLineChars="0"/>
              <w:jc w:val="left"/>
              <w:rPr>
                <w:rFonts w:ascii="宋体" w:hAnsi="宋体" w:eastAsia="宋体" w:cs="宋体"/>
                <w:szCs w:val="21"/>
              </w:rPr>
            </w:pPr>
          </w:p>
        </w:tc>
        <w:tc>
          <w:tcPr>
            <w:tcW w:w="1584" w:type="pct"/>
            <w:gridSpan w:val="2"/>
            <w:noWrap/>
            <w:vAlign w:val="center"/>
          </w:tcPr>
          <w:p w14:paraId="3E519CEC">
            <w:pPr>
              <w:spacing w:line="440" w:lineRule="exact"/>
              <w:ind w:firstLine="0" w:firstLineChars="0"/>
              <w:jc w:val="center"/>
              <w:rPr>
                <w:rFonts w:ascii="宋体" w:hAnsi="宋体" w:eastAsia="宋体" w:cs="宋体"/>
                <w:szCs w:val="21"/>
              </w:rPr>
            </w:pPr>
            <w:r>
              <w:rPr>
                <w:rFonts w:hint="eastAsia" w:ascii="宋体" w:hAnsi="宋体" w:eastAsia="宋体" w:cs="宋体"/>
                <w:szCs w:val="21"/>
              </w:rPr>
              <w:t>交货期</w:t>
            </w:r>
          </w:p>
        </w:tc>
        <w:tc>
          <w:tcPr>
            <w:tcW w:w="2534" w:type="pct"/>
            <w:noWrap/>
            <w:vAlign w:val="center"/>
          </w:tcPr>
          <w:p w14:paraId="2574DBDB">
            <w:pPr>
              <w:spacing w:line="440" w:lineRule="exact"/>
              <w:ind w:firstLine="0" w:firstLineChars="0"/>
              <w:rPr>
                <w:rFonts w:ascii="宋体" w:hAnsi="宋体" w:eastAsia="宋体" w:cs="宋体"/>
                <w:szCs w:val="21"/>
              </w:rPr>
            </w:pPr>
            <w:r>
              <w:rPr>
                <w:rFonts w:hint="eastAsia" w:ascii="宋体" w:hAnsi="宋体" w:eastAsia="宋体" w:cs="宋体"/>
                <w:szCs w:val="21"/>
              </w:rPr>
              <w:t>符合第二章“</w:t>
            </w:r>
            <w:r>
              <w:rPr>
                <w:rFonts w:hint="eastAsia" w:ascii="宋体" w:hAnsi="宋体" w:eastAsia="宋体" w:cs="宋体"/>
                <w:spacing w:val="6"/>
                <w:szCs w:val="21"/>
              </w:rPr>
              <w:t>供应商须知前附表</w:t>
            </w:r>
            <w:r>
              <w:rPr>
                <w:rFonts w:hint="eastAsia" w:ascii="宋体" w:hAnsi="宋体" w:eastAsia="宋体" w:cs="宋体"/>
                <w:szCs w:val="21"/>
              </w:rPr>
              <w:t>”规定</w:t>
            </w:r>
          </w:p>
        </w:tc>
      </w:tr>
      <w:tr w14:paraId="0016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1" w:type="pct"/>
            <w:vMerge w:val="continue"/>
            <w:noWrap/>
            <w:vAlign w:val="center"/>
          </w:tcPr>
          <w:p w14:paraId="60E6C5B5">
            <w:pPr>
              <w:widowControl/>
              <w:spacing w:line="440" w:lineRule="exact"/>
              <w:ind w:firstLine="0" w:firstLineChars="0"/>
              <w:jc w:val="left"/>
              <w:rPr>
                <w:rFonts w:ascii="宋体" w:hAnsi="宋体" w:eastAsia="宋体" w:cs="宋体"/>
                <w:szCs w:val="21"/>
              </w:rPr>
            </w:pPr>
          </w:p>
        </w:tc>
        <w:tc>
          <w:tcPr>
            <w:tcW w:w="459" w:type="pct"/>
            <w:vMerge w:val="continue"/>
            <w:noWrap/>
            <w:vAlign w:val="center"/>
          </w:tcPr>
          <w:p w14:paraId="5A2399E4">
            <w:pPr>
              <w:widowControl/>
              <w:spacing w:line="440" w:lineRule="exact"/>
              <w:ind w:firstLine="0" w:firstLineChars="0"/>
              <w:jc w:val="left"/>
              <w:rPr>
                <w:rFonts w:ascii="宋体" w:hAnsi="宋体" w:eastAsia="宋体" w:cs="宋体"/>
                <w:szCs w:val="21"/>
              </w:rPr>
            </w:pPr>
          </w:p>
        </w:tc>
        <w:tc>
          <w:tcPr>
            <w:tcW w:w="1584" w:type="pct"/>
            <w:gridSpan w:val="2"/>
            <w:noWrap/>
            <w:vAlign w:val="center"/>
          </w:tcPr>
          <w:p w14:paraId="4596D5F9">
            <w:pPr>
              <w:spacing w:line="440" w:lineRule="exact"/>
              <w:ind w:firstLine="0" w:firstLineChars="0"/>
              <w:jc w:val="center"/>
              <w:rPr>
                <w:rFonts w:ascii="宋体" w:hAnsi="宋体" w:eastAsia="宋体" w:cs="宋体"/>
                <w:szCs w:val="21"/>
              </w:rPr>
            </w:pPr>
            <w:r>
              <w:rPr>
                <w:rFonts w:hint="eastAsia" w:ascii="宋体" w:hAnsi="宋体" w:eastAsia="宋体" w:cs="宋体"/>
                <w:szCs w:val="21"/>
              </w:rPr>
              <w:t>质量要求</w:t>
            </w:r>
          </w:p>
        </w:tc>
        <w:tc>
          <w:tcPr>
            <w:tcW w:w="2534" w:type="pct"/>
            <w:noWrap/>
            <w:vAlign w:val="center"/>
          </w:tcPr>
          <w:p w14:paraId="7ABA5F4B">
            <w:pPr>
              <w:spacing w:line="440" w:lineRule="exact"/>
              <w:ind w:firstLine="0" w:firstLineChars="0"/>
              <w:rPr>
                <w:rFonts w:ascii="宋体" w:hAnsi="宋体" w:eastAsia="宋体" w:cs="宋体"/>
                <w:szCs w:val="21"/>
              </w:rPr>
            </w:pPr>
            <w:r>
              <w:rPr>
                <w:rFonts w:hint="eastAsia" w:ascii="宋体" w:hAnsi="宋体" w:eastAsia="宋体" w:cs="宋体"/>
                <w:szCs w:val="21"/>
              </w:rPr>
              <w:t>符合第二章“</w:t>
            </w:r>
            <w:r>
              <w:rPr>
                <w:rFonts w:hint="eastAsia" w:ascii="宋体" w:hAnsi="宋体" w:eastAsia="宋体" w:cs="宋体"/>
                <w:spacing w:val="6"/>
                <w:szCs w:val="21"/>
              </w:rPr>
              <w:t>供应商须知前附表</w:t>
            </w:r>
            <w:r>
              <w:rPr>
                <w:rFonts w:hint="eastAsia" w:ascii="宋体" w:hAnsi="宋体" w:eastAsia="宋体" w:cs="宋体"/>
                <w:szCs w:val="21"/>
              </w:rPr>
              <w:t>”规定</w:t>
            </w:r>
          </w:p>
        </w:tc>
      </w:tr>
      <w:tr w14:paraId="7498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1" w:type="pct"/>
            <w:vMerge w:val="continue"/>
            <w:noWrap/>
            <w:vAlign w:val="center"/>
          </w:tcPr>
          <w:p w14:paraId="15B57474">
            <w:pPr>
              <w:widowControl/>
              <w:spacing w:line="440" w:lineRule="exact"/>
              <w:ind w:firstLine="0" w:firstLineChars="0"/>
              <w:jc w:val="left"/>
              <w:rPr>
                <w:rFonts w:ascii="宋体" w:hAnsi="宋体" w:eastAsia="宋体" w:cs="宋体"/>
                <w:szCs w:val="21"/>
              </w:rPr>
            </w:pPr>
          </w:p>
        </w:tc>
        <w:tc>
          <w:tcPr>
            <w:tcW w:w="459" w:type="pct"/>
            <w:vMerge w:val="continue"/>
            <w:noWrap/>
            <w:vAlign w:val="center"/>
          </w:tcPr>
          <w:p w14:paraId="663C1529">
            <w:pPr>
              <w:widowControl/>
              <w:spacing w:line="440" w:lineRule="exact"/>
              <w:ind w:firstLine="0" w:firstLineChars="0"/>
              <w:jc w:val="left"/>
              <w:rPr>
                <w:rFonts w:ascii="宋体" w:hAnsi="宋体" w:eastAsia="宋体" w:cs="宋体"/>
                <w:szCs w:val="21"/>
              </w:rPr>
            </w:pPr>
          </w:p>
        </w:tc>
        <w:tc>
          <w:tcPr>
            <w:tcW w:w="1584" w:type="pct"/>
            <w:gridSpan w:val="2"/>
            <w:noWrap/>
            <w:vAlign w:val="center"/>
          </w:tcPr>
          <w:p w14:paraId="5B8A8870">
            <w:pPr>
              <w:spacing w:line="440" w:lineRule="exact"/>
              <w:ind w:firstLine="0" w:firstLineChars="0"/>
              <w:jc w:val="center"/>
              <w:rPr>
                <w:rFonts w:ascii="宋体" w:hAnsi="宋体" w:eastAsia="宋体" w:cs="宋体"/>
                <w:szCs w:val="21"/>
              </w:rPr>
            </w:pPr>
            <w:r>
              <w:rPr>
                <w:rFonts w:hint="eastAsia" w:ascii="宋体" w:hAnsi="宋体" w:eastAsia="宋体" w:cs="宋体"/>
                <w:szCs w:val="21"/>
              </w:rPr>
              <w:t>质保期</w:t>
            </w:r>
          </w:p>
        </w:tc>
        <w:tc>
          <w:tcPr>
            <w:tcW w:w="2534" w:type="pct"/>
            <w:noWrap/>
            <w:vAlign w:val="center"/>
          </w:tcPr>
          <w:p w14:paraId="5116814C">
            <w:pPr>
              <w:spacing w:line="440" w:lineRule="exact"/>
              <w:ind w:firstLine="0" w:firstLineChars="0"/>
              <w:rPr>
                <w:rFonts w:ascii="宋体" w:hAnsi="宋体" w:eastAsia="宋体" w:cs="宋体"/>
                <w:szCs w:val="21"/>
              </w:rPr>
            </w:pPr>
            <w:r>
              <w:rPr>
                <w:rFonts w:hint="eastAsia" w:ascii="宋体" w:hAnsi="宋体" w:eastAsia="宋体" w:cs="宋体"/>
                <w:szCs w:val="21"/>
              </w:rPr>
              <w:t>符合第二章“</w:t>
            </w:r>
            <w:r>
              <w:rPr>
                <w:rFonts w:hint="eastAsia" w:ascii="宋体" w:hAnsi="宋体" w:eastAsia="宋体" w:cs="宋体"/>
                <w:spacing w:val="6"/>
                <w:szCs w:val="21"/>
              </w:rPr>
              <w:t>供应商须知前附表</w:t>
            </w:r>
            <w:r>
              <w:rPr>
                <w:rFonts w:hint="eastAsia" w:ascii="宋体" w:hAnsi="宋体" w:eastAsia="宋体" w:cs="宋体"/>
                <w:szCs w:val="21"/>
              </w:rPr>
              <w:t>”规定</w:t>
            </w:r>
          </w:p>
        </w:tc>
      </w:tr>
      <w:tr w14:paraId="71BE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1" w:type="pct"/>
            <w:vMerge w:val="continue"/>
            <w:noWrap/>
            <w:vAlign w:val="center"/>
          </w:tcPr>
          <w:p w14:paraId="01CEF9E8">
            <w:pPr>
              <w:widowControl/>
              <w:spacing w:line="440" w:lineRule="exact"/>
              <w:ind w:firstLine="0" w:firstLineChars="0"/>
              <w:jc w:val="left"/>
              <w:rPr>
                <w:rFonts w:ascii="宋体" w:hAnsi="宋体" w:eastAsia="宋体" w:cs="宋体"/>
                <w:szCs w:val="21"/>
              </w:rPr>
            </w:pPr>
          </w:p>
        </w:tc>
        <w:tc>
          <w:tcPr>
            <w:tcW w:w="459" w:type="pct"/>
            <w:vMerge w:val="continue"/>
            <w:noWrap/>
            <w:vAlign w:val="center"/>
          </w:tcPr>
          <w:p w14:paraId="3C3A275C">
            <w:pPr>
              <w:widowControl/>
              <w:spacing w:line="440" w:lineRule="exact"/>
              <w:ind w:firstLine="0" w:firstLineChars="0"/>
              <w:jc w:val="left"/>
              <w:rPr>
                <w:rFonts w:ascii="宋体" w:hAnsi="宋体" w:eastAsia="宋体" w:cs="宋体"/>
                <w:szCs w:val="21"/>
              </w:rPr>
            </w:pPr>
          </w:p>
        </w:tc>
        <w:tc>
          <w:tcPr>
            <w:tcW w:w="1584" w:type="pct"/>
            <w:gridSpan w:val="2"/>
            <w:noWrap/>
            <w:vAlign w:val="center"/>
          </w:tcPr>
          <w:p w14:paraId="12B27CF2">
            <w:pPr>
              <w:spacing w:line="440" w:lineRule="exact"/>
              <w:ind w:firstLine="0" w:firstLineChars="0"/>
              <w:jc w:val="center"/>
              <w:rPr>
                <w:rFonts w:ascii="宋体" w:hAnsi="宋体" w:eastAsia="宋体" w:cs="宋体"/>
                <w:szCs w:val="21"/>
              </w:rPr>
            </w:pPr>
            <w:r>
              <w:rPr>
                <w:rFonts w:hint="eastAsia" w:ascii="宋体" w:hAnsi="宋体" w:eastAsia="宋体" w:cs="宋体"/>
                <w:szCs w:val="21"/>
              </w:rPr>
              <w:t>投标有效期</w:t>
            </w:r>
          </w:p>
        </w:tc>
        <w:tc>
          <w:tcPr>
            <w:tcW w:w="2534" w:type="pct"/>
            <w:noWrap/>
            <w:vAlign w:val="center"/>
          </w:tcPr>
          <w:p w14:paraId="082B8F37">
            <w:pPr>
              <w:spacing w:line="440" w:lineRule="exact"/>
              <w:ind w:firstLine="0" w:firstLineChars="0"/>
              <w:rPr>
                <w:rFonts w:ascii="宋体" w:hAnsi="宋体" w:eastAsia="宋体" w:cs="宋体"/>
                <w:szCs w:val="21"/>
              </w:rPr>
            </w:pPr>
            <w:r>
              <w:rPr>
                <w:rFonts w:hint="eastAsia" w:ascii="宋体" w:hAnsi="宋体" w:eastAsia="宋体" w:cs="宋体"/>
                <w:szCs w:val="21"/>
              </w:rPr>
              <w:t>符合第二章“</w:t>
            </w:r>
            <w:r>
              <w:rPr>
                <w:rFonts w:hint="eastAsia" w:ascii="宋体" w:hAnsi="宋体" w:eastAsia="宋体" w:cs="宋体"/>
                <w:spacing w:val="6"/>
                <w:szCs w:val="21"/>
              </w:rPr>
              <w:t>供应商须知前附表</w:t>
            </w:r>
            <w:r>
              <w:rPr>
                <w:rFonts w:hint="eastAsia" w:ascii="宋体" w:hAnsi="宋体" w:eastAsia="宋体" w:cs="宋体"/>
                <w:szCs w:val="21"/>
              </w:rPr>
              <w:t>”规定</w:t>
            </w:r>
          </w:p>
        </w:tc>
      </w:tr>
      <w:tr w14:paraId="59B4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1" w:type="pct"/>
            <w:vMerge w:val="continue"/>
            <w:noWrap/>
            <w:vAlign w:val="center"/>
          </w:tcPr>
          <w:p w14:paraId="591D6AE8">
            <w:pPr>
              <w:widowControl/>
              <w:spacing w:line="440" w:lineRule="exact"/>
              <w:ind w:firstLine="0" w:firstLineChars="0"/>
              <w:jc w:val="left"/>
              <w:rPr>
                <w:rFonts w:ascii="宋体" w:hAnsi="宋体" w:eastAsia="宋体" w:cs="宋体"/>
                <w:szCs w:val="21"/>
              </w:rPr>
            </w:pPr>
          </w:p>
        </w:tc>
        <w:tc>
          <w:tcPr>
            <w:tcW w:w="459" w:type="pct"/>
            <w:vMerge w:val="continue"/>
            <w:noWrap/>
            <w:vAlign w:val="center"/>
          </w:tcPr>
          <w:p w14:paraId="4B55041A">
            <w:pPr>
              <w:widowControl/>
              <w:spacing w:line="440" w:lineRule="exact"/>
              <w:ind w:firstLine="0" w:firstLineChars="0"/>
              <w:jc w:val="left"/>
              <w:rPr>
                <w:rFonts w:ascii="宋体" w:hAnsi="宋体" w:eastAsia="宋体" w:cs="宋体"/>
                <w:szCs w:val="21"/>
              </w:rPr>
            </w:pPr>
          </w:p>
        </w:tc>
        <w:tc>
          <w:tcPr>
            <w:tcW w:w="1584" w:type="pct"/>
            <w:gridSpan w:val="2"/>
            <w:noWrap/>
            <w:vAlign w:val="center"/>
          </w:tcPr>
          <w:p w14:paraId="3B3C1A8E">
            <w:pPr>
              <w:spacing w:line="440" w:lineRule="exact"/>
              <w:ind w:firstLine="0" w:firstLineChars="0"/>
              <w:jc w:val="center"/>
              <w:rPr>
                <w:rFonts w:ascii="宋体" w:hAnsi="宋体" w:eastAsia="宋体" w:cs="宋体"/>
                <w:szCs w:val="21"/>
              </w:rPr>
            </w:pPr>
            <w:r>
              <w:rPr>
                <w:rFonts w:hint="eastAsia" w:ascii="宋体" w:hAnsi="宋体" w:eastAsia="宋体" w:cs="宋体"/>
                <w:szCs w:val="21"/>
              </w:rPr>
              <w:t>投标报价</w:t>
            </w:r>
          </w:p>
        </w:tc>
        <w:tc>
          <w:tcPr>
            <w:tcW w:w="2534" w:type="pct"/>
            <w:noWrap/>
            <w:vAlign w:val="center"/>
          </w:tcPr>
          <w:p w14:paraId="335061B9">
            <w:pPr>
              <w:spacing w:line="440" w:lineRule="exact"/>
              <w:ind w:firstLine="0" w:firstLineChars="0"/>
              <w:rPr>
                <w:rFonts w:ascii="宋体" w:hAnsi="宋体" w:eastAsia="宋体" w:cs="宋体"/>
                <w:szCs w:val="21"/>
              </w:rPr>
            </w:pPr>
            <w:r>
              <w:rPr>
                <w:rFonts w:hint="eastAsia" w:ascii="宋体" w:hAnsi="宋体" w:eastAsia="宋体" w:cs="宋体"/>
                <w:szCs w:val="21"/>
              </w:rPr>
              <w:t>报价不超过预算价（最高限价）</w:t>
            </w:r>
          </w:p>
        </w:tc>
      </w:tr>
      <w:tr w14:paraId="70A0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0" w:type="pct"/>
            <w:gridSpan w:val="2"/>
            <w:noWrap/>
            <w:vAlign w:val="center"/>
          </w:tcPr>
          <w:p w14:paraId="36442ACE">
            <w:pPr>
              <w:widowControl/>
              <w:spacing w:line="440" w:lineRule="exact"/>
              <w:ind w:firstLine="0" w:firstLineChars="0"/>
              <w:jc w:val="center"/>
              <w:rPr>
                <w:rFonts w:ascii="宋体" w:hAnsi="宋体" w:eastAsia="宋体" w:cs="宋体"/>
                <w:szCs w:val="21"/>
              </w:rPr>
            </w:pPr>
            <w:r>
              <w:rPr>
                <w:rFonts w:hint="eastAsia" w:ascii="宋体" w:hAnsi="宋体" w:eastAsia="宋体" w:cs="宋体"/>
                <w:szCs w:val="21"/>
              </w:rPr>
              <w:t>2.2.1</w:t>
            </w:r>
          </w:p>
        </w:tc>
        <w:tc>
          <w:tcPr>
            <w:tcW w:w="574" w:type="pct"/>
            <w:noWrap/>
            <w:vAlign w:val="center"/>
          </w:tcPr>
          <w:p w14:paraId="11521D85">
            <w:pPr>
              <w:spacing w:line="440" w:lineRule="exact"/>
              <w:ind w:firstLine="0" w:firstLineChars="0"/>
              <w:jc w:val="center"/>
              <w:rPr>
                <w:rFonts w:ascii="宋体" w:hAnsi="宋体" w:eastAsia="宋体" w:cs="宋体"/>
                <w:szCs w:val="21"/>
              </w:rPr>
            </w:pPr>
            <w:r>
              <w:rPr>
                <w:rFonts w:hint="eastAsia" w:ascii="宋体" w:hAnsi="宋体" w:eastAsia="宋体" w:cs="宋体"/>
                <w:szCs w:val="21"/>
              </w:rPr>
              <w:t>分值构成（100分）</w:t>
            </w:r>
          </w:p>
        </w:tc>
        <w:tc>
          <w:tcPr>
            <w:tcW w:w="3545" w:type="pct"/>
            <w:gridSpan w:val="2"/>
            <w:noWrap/>
            <w:vAlign w:val="center"/>
          </w:tcPr>
          <w:p w14:paraId="1960D38D">
            <w:pPr>
              <w:spacing w:line="440" w:lineRule="exact"/>
              <w:ind w:firstLine="0" w:firstLineChars="0"/>
              <w:rPr>
                <w:rFonts w:ascii="宋体" w:hAnsi="宋体" w:eastAsia="宋体" w:cs="宋体"/>
                <w:szCs w:val="21"/>
              </w:rPr>
            </w:pPr>
            <w:r>
              <w:rPr>
                <w:rFonts w:hint="eastAsia" w:ascii="宋体" w:hAnsi="宋体" w:eastAsia="宋体" w:cs="宋体"/>
                <w:szCs w:val="21"/>
              </w:rPr>
              <w:t>商务标：30分</w:t>
            </w:r>
          </w:p>
          <w:p w14:paraId="6C221C03">
            <w:pPr>
              <w:spacing w:line="440" w:lineRule="exact"/>
              <w:ind w:firstLine="0" w:firstLineChars="0"/>
              <w:rPr>
                <w:rFonts w:ascii="宋体" w:hAnsi="宋体" w:eastAsia="宋体" w:cs="宋体"/>
                <w:szCs w:val="21"/>
              </w:rPr>
            </w:pPr>
            <w:r>
              <w:rPr>
                <w:rFonts w:hint="eastAsia" w:ascii="宋体" w:hAnsi="宋体" w:eastAsia="宋体" w:cs="宋体"/>
                <w:szCs w:val="21"/>
              </w:rPr>
              <w:t>技术标：60分</w:t>
            </w:r>
          </w:p>
          <w:p w14:paraId="18AA0F11">
            <w:pPr>
              <w:spacing w:line="440" w:lineRule="exact"/>
              <w:ind w:firstLine="0" w:firstLineChars="0"/>
              <w:rPr>
                <w:rFonts w:ascii="宋体" w:hAnsi="宋体" w:eastAsia="宋体" w:cs="宋体"/>
                <w:szCs w:val="21"/>
              </w:rPr>
            </w:pPr>
            <w:r>
              <w:rPr>
                <w:rFonts w:hint="eastAsia" w:ascii="宋体" w:hAnsi="宋体" w:eastAsia="宋体" w:cs="宋体"/>
                <w:szCs w:val="21"/>
              </w:rPr>
              <w:t>综合标：10分</w:t>
            </w:r>
          </w:p>
        </w:tc>
      </w:tr>
      <w:tr w14:paraId="1EFD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1" w:type="pct"/>
            <w:noWrap/>
            <w:vAlign w:val="center"/>
          </w:tcPr>
          <w:p w14:paraId="7AFF3A89">
            <w:pPr>
              <w:widowControl/>
              <w:spacing w:line="440" w:lineRule="exact"/>
              <w:ind w:firstLine="0" w:firstLineChars="0"/>
              <w:jc w:val="center"/>
              <w:rPr>
                <w:rFonts w:ascii="宋体" w:hAnsi="宋体" w:eastAsia="宋体" w:cs="宋体"/>
                <w:szCs w:val="21"/>
              </w:rPr>
            </w:pPr>
            <w:r>
              <w:rPr>
                <w:rFonts w:hint="eastAsia" w:ascii="宋体" w:hAnsi="宋体" w:eastAsia="宋体" w:cs="宋体"/>
                <w:szCs w:val="21"/>
              </w:rPr>
              <w:t>条款号</w:t>
            </w:r>
          </w:p>
        </w:tc>
        <w:tc>
          <w:tcPr>
            <w:tcW w:w="1033" w:type="pct"/>
            <w:gridSpan w:val="2"/>
            <w:noWrap/>
            <w:vAlign w:val="center"/>
          </w:tcPr>
          <w:p w14:paraId="0B1E0F79">
            <w:pPr>
              <w:spacing w:line="440" w:lineRule="exact"/>
              <w:ind w:firstLine="0" w:firstLineChars="0"/>
              <w:jc w:val="center"/>
              <w:rPr>
                <w:rFonts w:ascii="宋体" w:hAnsi="宋体" w:eastAsia="宋体" w:cs="宋体"/>
                <w:szCs w:val="21"/>
              </w:rPr>
            </w:pPr>
            <w:r>
              <w:rPr>
                <w:rFonts w:hint="eastAsia" w:ascii="宋体" w:hAnsi="宋体" w:eastAsia="宋体" w:cs="宋体"/>
                <w:szCs w:val="21"/>
              </w:rPr>
              <w:t>评分因素</w:t>
            </w:r>
          </w:p>
        </w:tc>
        <w:tc>
          <w:tcPr>
            <w:tcW w:w="3545" w:type="pct"/>
            <w:gridSpan w:val="2"/>
            <w:noWrap/>
            <w:vAlign w:val="center"/>
          </w:tcPr>
          <w:p w14:paraId="0E9FE56B">
            <w:pPr>
              <w:spacing w:line="440" w:lineRule="exact"/>
              <w:ind w:firstLine="0" w:firstLineChars="0"/>
              <w:jc w:val="center"/>
              <w:rPr>
                <w:rFonts w:ascii="宋体" w:hAnsi="宋体" w:eastAsia="宋体" w:cs="宋体"/>
                <w:szCs w:val="21"/>
              </w:rPr>
            </w:pPr>
            <w:r>
              <w:rPr>
                <w:rFonts w:hint="eastAsia" w:ascii="宋体" w:hAnsi="宋体" w:eastAsia="宋体" w:cs="宋体"/>
                <w:szCs w:val="21"/>
              </w:rPr>
              <w:t>评分标准</w:t>
            </w:r>
          </w:p>
        </w:tc>
      </w:tr>
      <w:tr w14:paraId="640C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pct"/>
            <w:noWrap/>
            <w:vAlign w:val="center"/>
          </w:tcPr>
          <w:p w14:paraId="6393B416">
            <w:pPr>
              <w:widowControl/>
              <w:spacing w:line="440" w:lineRule="exact"/>
              <w:ind w:firstLine="0" w:firstLineChars="0"/>
              <w:jc w:val="center"/>
              <w:rPr>
                <w:rFonts w:ascii="宋体" w:hAnsi="宋体" w:eastAsia="宋体" w:cs="宋体"/>
                <w:szCs w:val="21"/>
              </w:rPr>
            </w:pPr>
            <w:r>
              <w:rPr>
                <w:rFonts w:hint="eastAsia" w:ascii="宋体" w:hAnsi="宋体" w:eastAsia="宋体" w:cs="宋体"/>
                <w:szCs w:val="21"/>
              </w:rPr>
              <w:t>2.2.2（1）</w:t>
            </w:r>
          </w:p>
        </w:tc>
        <w:tc>
          <w:tcPr>
            <w:tcW w:w="459" w:type="pct"/>
            <w:noWrap/>
            <w:vAlign w:val="center"/>
          </w:tcPr>
          <w:p w14:paraId="3D00BBD8">
            <w:pPr>
              <w:widowControl/>
              <w:spacing w:line="440" w:lineRule="exact"/>
              <w:ind w:firstLine="0" w:firstLineChars="0"/>
              <w:jc w:val="center"/>
              <w:rPr>
                <w:rFonts w:ascii="宋体" w:hAnsi="宋体" w:eastAsia="宋体" w:cs="宋体"/>
                <w:szCs w:val="21"/>
              </w:rPr>
            </w:pPr>
            <w:r>
              <w:rPr>
                <w:rFonts w:hint="eastAsia" w:ascii="宋体" w:hAnsi="宋体" w:eastAsia="宋体" w:cs="宋体"/>
                <w:szCs w:val="21"/>
              </w:rPr>
              <w:t>商务标</w:t>
            </w:r>
          </w:p>
          <w:p w14:paraId="3EA5E28D">
            <w:pPr>
              <w:widowControl/>
              <w:spacing w:line="440" w:lineRule="exact"/>
              <w:ind w:firstLine="0" w:firstLineChars="0"/>
              <w:jc w:val="center"/>
              <w:rPr>
                <w:rFonts w:ascii="宋体" w:hAnsi="宋体" w:eastAsia="宋体" w:cs="宋体"/>
                <w:szCs w:val="21"/>
              </w:rPr>
            </w:pPr>
            <w:r>
              <w:rPr>
                <w:rFonts w:hint="eastAsia" w:ascii="宋体" w:hAnsi="宋体" w:eastAsia="宋体" w:cs="宋体"/>
                <w:szCs w:val="21"/>
              </w:rPr>
              <w:t>30分</w:t>
            </w:r>
          </w:p>
        </w:tc>
        <w:tc>
          <w:tcPr>
            <w:tcW w:w="574" w:type="pct"/>
            <w:noWrap/>
            <w:vAlign w:val="center"/>
          </w:tcPr>
          <w:p w14:paraId="75BC297C">
            <w:pPr>
              <w:spacing w:line="440" w:lineRule="exact"/>
              <w:ind w:firstLine="0" w:firstLineChars="0"/>
              <w:jc w:val="center"/>
              <w:rPr>
                <w:rFonts w:ascii="宋体" w:hAnsi="宋体" w:eastAsia="宋体" w:cs="宋体"/>
                <w:szCs w:val="21"/>
              </w:rPr>
            </w:pPr>
            <w:r>
              <w:rPr>
                <w:rFonts w:hint="eastAsia" w:ascii="宋体" w:hAnsi="宋体" w:eastAsia="宋体" w:cs="宋体"/>
                <w:szCs w:val="21"/>
              </w:rPr>
              <w:t>报价得分</w:t>
            </w:r>
          </w:p>
          <w:p w14:paraId="5F1110E8">
            <w:pPr>
              <w:spacing w:line="440" w:lineRule="exact"/>
              <w:ind w:firstLine="0" w:firstLineChars="0"/>
              <w:jc w:val="center"/>
              <w:rPr>
                <w:rFonts w:ascii="宋体" w:hAnsi="宋体" w:eastAsia="宋体" w:cs="宋体"/>
                <w:szCs w:val="21"/>
              </w:rPr>
            </w:pPr>
            <w:r>
              <w:rPr>
                <w:rFonts w:hint="eastAsia" w:ascii="宋体" w:hAnsi="宋体" w:eastAsia="宋体" w:cs="宋体"/>
                <w:szCs w:val="21"/>
              </w:rPr>
              <w:t>（30分）</w:t>
            </w:r>
          </w:p>
        </w:tc>
        <w:tc>
          <w:tcPr>
            <w:tcW w:w="3545" w:type="pct"/>
            <w:gridSpan w:val="2"/>
            <w:noWrap/>
            <w:vAlign w:val="center"/>
          </w:tcPr>
          <w:p w14:paraId="26BE8C6A">
            <w:pPr>
              <w:adjustRightInd w:val="0"/>
              <w:snapToGrid w:val="0"/>
              <w:spacing w:line="400" w:lineRule="exact"/>
              <w:ind w:firstLine="0" w:firstLineChars="0"/>
              <w:rPr>
                <w:rFonts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1.价格分采用低价优先法计算，即通过初步评审且投标价格最低的投标报价为评标基准价，其价格得分为满分30分。</w:t>
            </w:r>
          </w:p>
          <w:p w14:paraId="272345A0">
            <w:pPr>
              <w:adjustRightInd w:val="0"/>
              <w:snapToGrid w:val="0"/>
              <w:spacing w:line="400" w:lineRule="exact"/>
              <w:ind w:firstLine="0" w:firstLineChars="0"/>
              <w:rPr>
                <w:rFonts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2.其他供应商的价格分统一按照下列公式计算：投标报价得分＝(评标基准价/投标报价)×30分。</w:t>
            </w:r>
          </w:p>
          <w:p w14:paraId="7109C358">
            <w:pPr>
              <w:adjustRightInd w:val="0"/>
              <w:snapToGrid w:val="0"/>
              <w:spacing w:line="400" w:lineRule="exact"/>
              <w:ind w:firstLine="0" w:firstLineChars="0"/>
              <w:rPr>
                <w:rFonts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注：价格分计算保留小数点后两位。</w:t>
            </w:r>
          </w:p>
          <w:p w14:paraId="1BB5A145">
            <w:pPr>
              <w:adjustRightInd w:val="0"/>
              <w:snapToGrid w:val="0"/>
              <w:spacing w:line="400" w:lineRule="exact"/>
              <w:ind w:firstLine="0" w:firstLineChars="0"/>
              <w:rPr>
                <w:rFonts w:ascii="宋体" w:hAnsi="宋体" w:eastAsia="宋体" w:cs="宋体"/>
                <w:b/>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3.价格扣除：供应商提供的货物享受本办法规定的中小企业扶持政策</w:t>
            </w:r>
            <w:r>
              <w:rPr>
                <w:rFonts w:hint="eastAsia" w:ascii="宋体" w:hAnsi="宋体" w:eastAsia="宋体" w:cs="宋体"/>
                <w:b/>
                <w:color w:val="000000" w:themeColor="text1"/>
                <w:szCs w:val="24"/>
                <w14:textFill>
                  <w14:solidFill>
                    <w14:schemeClr w14:val="tx1"/>
                  </w14:solidFill>
                </w14:textFill>
              </w:rPr>
              <w:t>（货物采购项目中，投标的全部货物由中小企业制造，即货物由中小企业生产且使用该中小企业商号或者注册商标）</w:t>
            </w:r>
            <w:r>
              <w:rPr>
                <w:rFonts w:hint="eastAsia" w:ascii="宋体" w:hAnsi="宋体" w:eastAsia="宋体" w:cs="宋体"/>
                <w:bCs/>
                <w:color w:val="000000" w:themeColor="text1"/>
                <w:szCs w:val="24"/>
                <w14:textFill>
                  <w14:solidFill>
                    <w14:schemeClr w14:val="tx1"/>
                  </w14:solidFill>
                </w14:textFill>
              </w:rPr>
              <w:t>，并提供中小企业声明函。符合小微企业、监狱企业、残疾人福利单位政策扶持规定的根据《政府采购促进中小企业发展管理办法》(财库[2020]46号)规定，</w:t>
            </w:r>
            <w:r>
              <w:rPr>
                <w:rFonts w:hint="eastAsia" w:ascii="宋体" w:hAnsi="宋体" w:eastAsia="宋体" w:cs="宋体"/>
                <w:b/>
                <w:color w:val="000000" w:themeColor="text1"/>
                <w:szCs w:val="24"/>
                <w14:textFill>
                  <w14:solidFill>
                    <w14:schemeClr w14:val="tx1"/>
                  </w14:solidFill>
                </w14:textFill>
              </w:rPr>
              <w:t>对小型和微型企业产品的价格给予20%的扣除。</w:t>
            </w:r>
          </w:p>
          <w:p w14:paraId="3A12C6FF">
            <w:pPr>
              <w:spacing w:line="300" w:lineRule="exact"/>
              <w:ind w:firstLine="0" w:firstLineChars="0"/>
              <w:rPr>
                <w:rFonts w:ascii="宋体" w:hAnsi="宋体" w:eastAsia="宋体" w:cs="宋体"/>
                <w:szCs w:val="21"/>
              </w:rPr>
            </w:pPr>
            <w:r>
              <w:rPr>
                <w:rFonts w:hint="eastAsia" w:ascii="宋体" w:hAnsi="宋体" w:eastAsia="宋体" w:cs="宋体"/>
                <w:bCs/>
                <w:color w:val="000000" w:themeColor="text1"/>
                <w:szCs w:val="24"/>
                <w14:textFill>
                  <w14:solidFill>
                    <w14:schemeClr w14:val="tx1"/>
                  </w14:solidFill>
                </w14:textFill>
              </w:rPr>
              <w:t>4.在评标过程中，评标专家发现供应商的报价明显低于其他通过符合性审查供应商的报价，且该供应商的技术等主要指标有大量或明细不符，可能影响采购质量或项目履约的，应该要求其在评标现场合理的时间内提供书面说明（书面说明应包含但不限于所投货物详细的价格组成证明材料，价格证明材料以发票为主要依据），供应商不能证明其报价合理性的，评标委员会应当将其作为无效投标处理。</w:t>
            </w:r>
          </w:p>
        </w:tc>
      </w:tr>
      <w:tr w14:paraId="0CF9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pct"/>
            <w:vMerge w:val="restart"/>
            <w:noWrap/>
            <w:vAlign w:val="center"/>
          </w:tcPr>
          <w:p w14:paraId="57AF4E6C">
            <w:pPr>
              <w:pStyle w:val="2"/>
              <w:spacing w:line="240" w:lineRule="auto"/>
              <w:ind w:firstLine="0" w:firstLineChars="0"/>
              <w:rPr>
                <w:rFonts w:ascii="宋体" w:hAnsi="宋体" w:eastAsia="宋体" w:cs="宋体"/>
                <w:sz w:val="21"/>
                <w:szCs w:val="21"/>
              </w:rPr>
            </w:pPr>
            <w:r>
              <w:rPr>
                <w:rFonts w:hint="eastAsia" w:ascii="宋体" w:hAnsi="宋体" w:eastAsia="宋体" w:cs="宋体"/>
                <w:sz w:val="21"/>
                <w:szCs w:val="21"/>
              </w:rPr>
              <w:t>2.2.2（2）</w:t>
            </w:r>
          </w:p>
        </w:tc>
        <w:tc>
          <w:tcPr>
            <w:tcW w:w="459" w:type="pct"/>
            <w:vMerge w:val="restart"/>
            <w:noWrap/>
            <w:vAlign w:val="center"/>
          </w:tcPr>
          <w:p w14:paraId="4A90C2BA">
            <w:pPr>
              <w:pStyle w:val="2"/>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技术标60分</w:t>
            </w:r>
          </w:p>
        </w:tc>
        <w:tc>
          <w:tcPr>
            <w:tcW w:w="574" w:type="pct"/>
            <w:noWrap/>
            <w:vAlign w:val="center"/>
          </w:tcPr>
          <w:p w14:paraId="40D2E971">
            <w:pPr>
              <w:pStyle w:val="2"/>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技术参数（45分）</w:t>
            </w:r>
          </w:p>
        </w:tc>
        <w:tc>
          <w:tcPr>
            <w:tcW w:w="3545" w:type="pct"/>
            <w:gridSpan w:val="2"/>
            <w:shd w:val="clear" w:color="auto" w:fill="auto"/>
            <w:noWrap/>
            <w:vAlign w:val="center"/>
          </w:tcPr>
          <w:p w14:paraId="26F019C7">
            <w:pPr>
              <w:spacing w:line="240" w:lineRule="auto"/>
              <w:ind w:firstLine="0" w:firstLineChars="0"/>
              <w:jc w:val="left"/>
              <w:rPr>
                <w:rFonts w:ascii="宋体" w:hAnsi="宋体" w:eastAsia="宋体" w:cs="宋体"/>
                <w:szCs w:val="21"/>
              </w:rPr>
            </w:pPr>
            <w:r>
              <w:rPr>
                <w:rFonts w:hint="eastAsia" w:ascii="宋体" w:hAnsi="宋体" w:eastAsia="宋体" w:cs="宋体"/>
                <w:szCs w:val="21"/>
              </w:rPr>
              <w:t>投标货物技术参数符合采购文件技术参数、规格与要求，计45分，标注“★”的技术参数，一项负偏离扣5分，非标注“★”的技术参数，一项负偏离扣2分，扣完为止。（正偏离不加分）</w:t>
            </w:r>
          </w:p>
          <w:p w14:paraId="2BD665F9">
            <w:pPr>
              <w:spacing w:line="240" w:lineRule="auto"/>
              <w:ind w:firstLine="0" w:firstLineChars="0"/>
              <w:jc w:val="left"/>
              <w:rPr>
                <w:rFonts w:ascii="宋体" w:hAnsi="宋体" w:eastAsia="宋体" w:cs="宋体"/>
                <w:szCs w:val="21"/>
              </w:rPr>
            </w:pPr>
            <w:r>
              <w:rPr>
                <w:rFonts w:hint="eastAsia" w:ascii="宋体" w:hAnsi="宋体" w:eastAsia="宋体" w:cs="宋体"/>
                <w:szCs w:val="21"/>
              </w:rPr>
              <w:t>备注：</w:t>
            </w:r>
          </w:p>
          <w:p w14:paraId="2E00AEB6">
            <w:pPr>
              <w:spacing w:line="240" w:lineRule="auto"/>
              <w:ind w:firstLine="0" w:firstLineChars="0"/>
              <w:jc w:val="left"/>
              <w:rPr>
                <w:rFonts w:ascii="宋体" w:hAnsi="宋体" w:eastAsia="宋体" w:cs="宋体"/>
                <w:szCs w:val="21"/>
              </w:rPr>
            </w:pPr>
            <w:r>
              <w:rPr>
                <w:rFonts w:hint="eastAsia" w:ascii="宋体" w:hAnsi="宋体" w:eastAsia="宋体" w:cs="宋体"/>
                <w:szCs w:val="21"/>
              </w:rPr>
              <w:t>1、技术参数中如要求提供原厂彩页或官网截图或产品功能截图或资质证书等证明材料的，需在技术偏离表中明确是否满足；为了便于专家组审查评定，最好在技术参数中附技术证明材料页码，未按要求提供证明材料，该项技术参数视为不满足，不满足不作废标处理，对于提供虚假证明材料的供应商，将按废标处理。</w:t>
            </w:r>
          </w:p>
          <w:p w14:paraId="7DCB30CD">
            <w:pPr>
              <w:spacing w:line="240" w:lineRule="auto"/>
              <w:ind w:firstLine="0" w:firstLineChars="0"/>
              <w:jc w:val="left"/>
              <w:rPr>
                <w:rFonts w:ascii="宋体" w:hAnsi="宋体" w:eastAsia="宋体" w:cs="宋体"/>
                <w:szCs w:val="21"/>
              </w:rPr>
            </w:pPr>
            <w:r>
              <w:rPr>
                <w:rFonts w:hint="eastAsia" w:ascii="宋体" w:hAnsi="宋体" w:eastAsia="宋体" w:cs="宋体"/>
                <w:szCs w:val="21"/>
              </w:rPr>
              <w:t>2、中标供应商在中标结果公示期间接到采购人通知带样品等到指定地点进行功能演示，若逾期未到、提供虚假演示、演示情况与投标不符，将取消中标资格。</w:t>
            </w:r>
          </w:p>
        </w:tc>
      </w:tr>
      <w:tr w14:paraId="1029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421" w:type="pct"/>
            <w:vMerge w:val="continue"/>
            <w:noWrap/>
            <w:vAlign w:val="center"/>
          </w:tcPr>
          <w:p w14:paraId="0696CF47">
            <w:pPr>
              <w:pStyle w:val="2"/>
              <w:spacing w:line="240" w:lineRule="auto"/>
              <w:ind w:firstLine="0" w:firstLineChars="0"/>
              <w:rPr>
                <w:rFonts w:ascii="宋体" w:hAnsi="宋体" w:eastAsia="宋体" w:cs="宋体"/>
                <w:sz w:val="21"/>
                <w:szCs w:val="21"/>
              </w:rPr>
            </w:pPr>
          </w:p>
        </w:tc>
        <w:tc>
          <w:tcPr>
            <w:tcW w:w="459" w:type="pct"/>
            <w:vMerge w:val="continue"/>
            <w:noWrap/>
            <w:vAlign w:val="center"/>
          </w:tcPr>
          <w:p w14:paraId="6CFCE234">
            <w:pPr>
              <w:pStyle w:val="2"/>
              <w:spacing w:line="240" w:lineRule="auto"/>
              <w:ind w:firstLine="0" w:firstLineChars="0"/>
              <w:rPr>
                <w:rFonts w:ascii="宋体" w:hAnsi="宋体" w:eastAsia="宋体" w:cs="宋体"/>
                <w:sz w:val="21"/>
                <w:szCs w:val="21"/>
              </w:rPr>
            </w:pPr>
          </w:p>
        </w:tc>
        <w:tc>
          <w:tcPr>
            <w:tcW w:w="574" w:type="pct"/>
            <w:shd w:val="clear" w:color="auto" w:fill="auto"/>
            <w:noWrap/>
            <w:vAlign w:val="center"/>
          </w:tcPr>
          <w:p w14:paraId="7D8460EE">
            <w:pPr>
              <w:spacing w:line="240" w:lineRule="auto"/>
              <w:ind w:firstLine="0" w:firstLineChars="0"/>
              <w:jc w:val="left"/>
              <w:rPr>
                <w:rFonts w:ascii="宋体" w:hAnsi="宋体" w:eastAsia="宋体" w:cs="宋体"/>
                <w:szCs w:val="21"/>
                <w:lang w:eastAsia="zh-Hans"/>
              </w:rPr>
            </w:pPr>
            <w:r>
              <w:rPr>
                <w:rFonts w:hint="eastAsia" w:ascii="宋体" w:hAnsi="宋体" w:eastAsia="宋体" w:cs="宋体"/>
                <w:szCs w:val="21"/>
                <w:lang w:eastAsia="zh-Hans"/>
              </w:rPr>
              <w:t>项目实施</w:t>
            </w:r>
          </w:p>
          <w:p w14:paraId="5C85BFAB">
            <w:pPr>
              <w:spacing w:line="240" w:lineRule="auto"/>
              <w:ind w:firstLine="0" w:firstLineChars="0"/>
              <w:jc w:val="left"/>
              <w:rPr>
                <w:rFonts w:ascii="宋体" w:hAnsi="宋体" w:eastAsia="宋体" w:cs="宋体"/>
                <w:szCs w:val="21"/>
              </w:rPr>
            </w:pPr>
            <w:r>
              <w:rPr>
                <w:rFonts w:hint="eastAsia" w:ascii="宋体" w:hAnsi="宋体" w:eastAsia="宋体" w:cs="宋体"/>
                <w:szCs w:val="21"/>
                <w:lang w:eastAsia="zh-Hans"/>
              </w:rPr>
              <w:t>（</w:t>
            </w:r>
            <w:r>
              <w:rPr>
                <w:rFonts w:hint="eastAsia" w:ascii="宋体" w:hAnsi="宋体" w:eastAsia="宋体" w:cs="宋体"/>
                <w:szCs w:val="21"/>
              </w:rPr>
              <w:t>4</w:t>
            </w:r>
            <w:r>
              <w:rPr>
                <w:rFonts w:hint="eastAsia" w:ascii="宋体" w:hAnsi="宋体" w:eastAsia="宋体" w:cs="宋体"/>
                <w:szCs w:val="21"/>
                <w:lang w:eastAsia="zh-Hans"/>
              </w:rPr>
              <w:t>分）</w:t>
            </w:r>
          </w:p>
        </w:tc>
        <w:tc>
          <w:tcPr>
            <w:tcW w:w="3545" w:type="pct"/>
            <w:gridSpan w:val="2"/>
            <w:shd w:val="clear" w:color="auto" w:fill="auto"/>
            <w:noWrap/>
            <w:vAlign w:val="center"/>
          </w:tcPr>
          <w:p w14:paraId="1DA76225">
            <w:pPr>
              <w:spacing w:line="240" w:lineRule="auto"/>
              <w:ind w:firstLine="0" w:firstLineChars="0"/>
              <w:jc w:val="left"/>
              <w:rPr>
                <w:rFonts w:ascii="宋体" w:hAnsi="宋体" w:eastAsia="宋体" w:cs="宋体"/>
                <w:szCs w:val="21"/>
              </w:rPr>
            </w:pPr>
            <w:r>
              <w:rPr>
                <w:rFonts w:hint="eastAsia" w:ascii="宋体" w:hAnsi="宋体" w:eastAsia="宋体" w:cs="宋体"/>
                <w:szCs w:val="21"/>
              </w:rPr>
              <w:t xml:space="preserve">供应商提供详细的实施部署方案，包括实施计划、项目实施人员、部署方案等，评委根据其内容是否准确理解采购人需求并能够充分满足采购人需求，实施重点难点分析是否得当，实施部署方案是否合理等方面进行综合评价。 </w:t>
            </w:r>
          </w:p>
          <w:p w14:paraId="7D1D56AC">
            <w:pPr>
              <w:spacing w:line="240" w:lineRule="auto"/>
              <w:ind w:firstLine="0" w:firstLineChars="0"/>
              <w:jc w:val="left"/>
              <w:rPr>
                <w:rFonts w:ascii="宋体" w:hAnsi="宋体" w:eastAsia="宋体" w:cs="宋体"/>
                <w:szCs w:val="21"/>
              </w:rPr>
            </w:pPr>
            <w:r>
              <w:rPr>
                <w:rFonts w:hint="eastAsia" w:ascii="宋体" w:hAnsi="宋体" w:eastAsia="宋体" w:cs="宋体"/>
                <w:szCs w:val="21"/>
              </w:rPr>
              <w:t xml:space="preserve">优秀：所投实施部署方案合理成熟，能充分满足采购需求，实施重点难点分析非常得当，人员配备及计划非常合理，可控性强的，得4分； </w:t>
            </w:r>
          </w:p>
          <w:p w14:paraId="689A4DDC">
            <w:pPr>
              <w:spacing w:line="240" w:lineRule="auto"/>
              <w:ind w:firstLine="0" w:firstLineChars="0"/>
              <w:jc w:val="left"/>
              <w:rPr>
                <w:rFonts w:ascii="宋体" w:hAnsi="宋体" w:eastAsia="宋体" w:cs="宋体"/>
                <w:szCs w:val="21"/>
              </w:rPr>
            </w:pPr>
            <w:r>
              <w:rPr>
                <w:rFonts w:hint="eastAsia" w:ascii="宋体" w:hAnsi="宋体" w:eastAsia="宋体" w:cs="宋体"/>
                <w:szCs w:val="21"/>
              </w:rPr>
              <w:t xml:space="preserve">良好：所投实施部署方案较合理，能满足采购需求，实施重点难点分析比较得当，人员配备及计划比较合理，可控性较强的，得3分；  </w:t>
            </w:r>
          </w:p>
          <w:p w14:paraId="51654B57">
            <w:pPr>
              <w:spacing w:line="240" w:lineRule="auto"/>
              <w:ind w:firstLine="0" w:firstLineChars="0"/>
              <w:jc w:val="left"/>
              <w:rPr>
                <w:rFonts w:ascii="宋体" w:hAnsi="宋体" w:eastAsia="宋体" w:cs="宋体"/>
                <w:szCs w:val="21"/>
              </w:rPr>
            </w:pPr>
            <w:r>
              <w:rPr>
                <w:rFonts w:hint="eastAsia" w:ascii="宋体" w:hAnsi="宋体" w:eastAsia="宋体" w:cs="宋体"/>
                <w:szCs w:val="21"/>
              </w:rPr>
              <w:t>一般：所投实施部署方案一般，基本满足采购需求，实施重点难点分析基本得当，人员配备及计划合理性一般，可控性一般的，得2分；</w:t>
            </w:r>
          </w:p>
          <w:p w14:paraId="00C51EEE">
            <w:pPr>
              <w:spacing w:line="240" w:lineRule="auto"/>
              <w:ind w:firstLine="0" w:firstLineChars="0"/>
              <w:jc w:val="left"/>
              <w:rPr>
                <w:rFonts w:ascii="宋体" w:hAnsi="宋体" w:eastAsia="宋体" w:cs="宋体"/>
                <w:szCs w:val="21"/>
              </w:rPr>
            </w:pPr>
            <w:r>
              <w:rPr>
                <w:rFonts w:hint="eastAsia" w:ascii="宋体" w:hAnsi="宋体" w:eastAsia="宋体" w:cs="宋体"/>
                <w:szCs w:val="21"/>
              </w:rPr>
              <w:t xml:space="preserve">差：所投实施部署方案不完整、不清晰、不明确，得1分； </w:t>
            </w:r>
          </w:p>
          <w:p w14:paraId="1B6C0CD8">
            <w:pPr>
              <w:spacing w:line="240" w:lineRule="auto"/>
              <w:ind w:firstLine="0" w:firstLineChars="0"/>
              <w:jc w:val="left"/>
              <w:rPr>
                <w:rFonts w:ascii="宋体" w:hAnsi="宋体" w:eastAsia="宋体" w:cs="宋体"/>
                <w:szCs w:val="21"/>
                <w:lang w:val="en"/>
              </w:rPr>
            </w:pPr>
            <w:r>
              <w:rPr>
                <w:rFonts w:hint="eastAsia" w:ascii="宋体" w:hAnsi="宋体" w:eastAsia="宋体" w:cs="宋体"/>
                <w:szCs w:val="21"/>
              </w:rPr>
              <w:t>缺项：如有缺项或经评标委员会一致认为不符合得分要求的不得分。</w:t>
            </w:r>
          </w:p>
        </w:tc>
      </w:tr>
      <w:tr w14:paraId="46A0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pct"/>
            <w:vMerge w:val="continue"/>
            <w:noWrap/>
            <w:vAlign w:val="center"/>
          </w:tcPr>
          <w:p w14:paraId="61B2B73E">
            <w:pPr>
              <w:pStyle w:val="2"/>
              <w:spacing w:line="240" w:lineRule="auto"/>
              <w:ind w:firstLine="0" w:firstLineChars="0"/>
              <w:rPr>
                <w:rFonts w:ascii="宋体" w:hAnsi="宋体" w:eastAsia="宋体" w:cs="宋体"/>
                <w:sz w:val="21"/>
                <w:szCs w:val="21"/>
              </w:rPr>
            </w:pPr>
          </w:p>
        </w:tc>
        <w:tc>
          <w:tcPr>
            <w:tcW w:w="459" w:type="pct"/>
            <w:vMerge w:val="continue"/>
            <w:noWrap/>
            <w:vAlign w:val="center"/>
          </w:tcPr>
          <w:p w14:paraId="2209C49B">
            <w:pPr>
              <w:pStyle w:val="2"/>
              <w:spacing w:line="240" w:lineRule="auto"/>
              <w:ind w:firstLine="0" w:firstLineChars="0"/>
              <w:rPr>
                <w:rFonts w:ascii="宋体" w:hAnsi="宋体" w:eastAsia="宋体" w:cs="宋体"/>
                <w:sz w:val="21"/>
                <w:szCs w:val="21"/>
              </w:rPr>
            </w:pPr>
          </w:p>
        </w:tc>
        <w:tc>
          <w:tcPr>
            <w:tcW w:w="574" w:type="pct"/>
            <w:shd w:val="clear" w:color="auto" w:fill="auto"/>
            <w:noWrap/>
            <w:vAlign w:val="center"/>
          </w:tcPr>
          <w:p w14:paraId="00253449">
            <w:pPr>
              <w:spacing w:line="240" w:lineRule="auto"/>
              <w:ind w:firstLine="0" w:firstLineChars="0"/>
              <w:jc w:val="center"/>
              <w:rPr>
                <w:rFonts w:ascii="宋体" w:hAnsi="宋体" w:eastAsia="宋体" w:cs="宋体"/>
                <w:szCs w:val="21"/>
              </w:rPr>
            </w:pPr>
            <w:r>
              <w:rPr>
                <w:rFonts w:hint="eastAsia" w:ascii="宋体" w:hAnsi="宋体" w:eastAsia="宋体" w:cs="宋体"/>
                <w:szCs w:val="21"/>
              </w:rPr>
              <w:t>质量保证措施</w:t>
            </w:r>
          </w:p>
          <w:p w14:paraId="1FFAF7F7">
            <w:pPr>
              <w:spacing w:line="240" w:lineRule="auto"/>
              <w:ind w:firstLine="0" w:firstLineChars="0"/>
              <w:jc w:val="center"/>
              <w:rPr>
                <w:rFonts w:ascii="宋体" w:hAnsi="宋体" w:eastAsia="宋体" w:cs="宋体"/>
                <w:szCs w:val="21"/>
              </w:rPr>
            </w:pPr>
            <w:r>
              <w:rPr>
                <w:rFonts w:hint="eastAsia" w:ascii="宋体" w:hAnsi="宋体" w:eastAsia="宋体" w:cs="宋体"/>
                <w:szCs w:val="21"/>
              </w:rPr>
              <w:t>（4分）</w:t>
            </w:r>
          </w:p>
        </w:tc>
        <w:tc>
          <w:tcPr>
            <w:tcW w:w="3545" w:type="pct"/>
            <w:gridSpan w:val="2"/>
            <w:shd w:val="clear" w:color="auto" w:fill="auto"/>
            <w:noWrap/>
            <w:vAlign w:val="center"/>
          </w:tcPr>
          <w:p w14:paraId="1F63D28E">
            <w:pPr>
              <w:spacing w:line="240" w:lineRule="auto"/>
              <w:ind w:firstLine="0" w:firstLineChars="0"/>
              <w:jc w:val="left"/>
              <w:rPr>
                <w:rFonts w:ascii="宋体" w:hAnsi="宋体" w:eastAsia="宋体" w:cs="宋体"/>
                <w:szCs w:val="21"/>
              </w:rPr>
            </w:pPr>
            <w:r>
              <w:rPr>
                <w:rFonts w:hint="eastAsia" w:ascii="宋体" w:hAnsi="宋体" w:eastAsia="宋体" w:cs="宋体"/>
                <w:szCs w:val="21"/>
              </w:rPr>
              <w:t xml:space="preserve">根据供应商对本次采购项目在投标产品的生产、运输、安装、使用过程中从稳定性、可靠性、功能性、经济性等方面所制订的质量保证措施，进行综合评价。 </w:t>
            </w:r>
          </w:p>
          <w:p w14:paraId="1C87D439">
            <w:pPr>
              <w:spacing w:line="240" w:lineRule="auto"/>
              <w:ind w:firstLine="0" w:firstLineChars="0"/>
              <w:jc w:val="left"/>
              <w:rPr>
                <w:rFonts w:ascii="宋体" w:hAnsi="宋体" w:eastAsia="宋体" w:cs="宋体"/>
                <w:szCs w:val="21"/>
              </w:rPr>
            </w:pPr>
            <w:r>
              <w:rPr>
                <w:rFonts w:hint="eastAsia" w:ascii="宋体" w:hAnsi="宋体" w:eastAsia="宋体" w:cs="宋体"/>
                <w:szCs w:val="21"/>
              </w:rPr>
              <w:t xml:space="preserve">优秀：内容详实、操作性强、符合实际需求的，得4分； </w:t>
            </w:r>
          </w:p>
          <w:p w14:paraId="7AF6DBA5">
            <w:pPr>
              <w:spacing w:line="240" w:lineRule="auto"/>
              <w:ind w:firstLine="0" w:firstLineChars="0"/>
              <w:jc w:val="left"/>
              <w:rPr>
                <w:rFonts w:ascii="宋体" w:hAnsi="宋体" w:eastAsia="宋体" w:cs="宋体"/>
                <w:szCs w:val="21"/>
              </w:rPr>
            </w:pPr>
            <w:r>
              <w:rPr>
                <w:rFonts w:hint="eastAsia" w:ascii="宋体" w:hAnsi="宋体" w:eastAsia="宋体" w:cs="宋体"/>
                <w:szCs w:val="21"/>
              </w:rPr>
              <w:t xml:space="preserve">良好：内容完整、方案基本合理的，得3分；  </w:t>
            </w:r>
          </w:p>
          <w:p w14:paraId="5949C3A5">
            <w:pPr>
              <w:spacing w:line="240" w:lineRule="auto"/>
              <w:ind w:firstLine="0" w:firstLineChars="0"/>
              <w:jc w:val="left"/>
              <w:rPr>
                <w:rFonts w:ascii="宋体" w:hAnsi="宋体" w:eastAsia="宋体" w:cs="宋体"/>
                <w:szCs w:val="21"/>
              </w:rPr>
            </w:pPr>
            <w:r>
              <w:rPr>
                <w:rFonts w:hint="eastAsia" w:ascii="宋体" w:hAnsi="宋体" w:eastAsia="宋体" w:cs="宋体"/>
                <w:szCs w:val="21"/>
              </w:rPr>
              <w:t xml:space="preserve">一般：内容基本完整，表述不详细的，得2分；  </w:t>
            </w:r>
          </w:p>
          <w:p w14:paraId="1D69E3E6">
            <w:pPr>
              <w:spacing w:line="240" w:lineRule="auto"/>
              <w:ind w:firstLine="0" w:firstLineChars="0"/>
              <w:jc w:val="left"/>
              <w:rPr>
                <w:rFonts w:ascii="宋体" w:hAnsi="宋体" w:eastAsia="宋体" w:cs="宋体"/>
                <w:szCs w:val="21"/>
              </w:rPr>
            </w:pPr>
            <w:r>
              <w:rPr>
                <w:rFonts w:hint="eastAsia" w:ascii="宋体" w:hAnsi="宋体" w:eastAsia="宋体" w:cs="宋体"/>
                <w:szCs w:val="21"/>
              </w:rPr>
              <w:t xml:space="preserve">差：内容不完整，不符合实际，表述差，得1分； </w:t>
            </w:r>
          </w:p>
          <w:p w14:paraId="0377EDE7">
            <w:pPr>
              <w:spacing w:line="240" w:lineRule="auto"/>
              <w:ind w:firstLine="0" w:firstLineChars="0"/>
              <w:jc w:val="left"/>
              <w:rPr>
                <w:rFonts w:ascii="宋体" w:hAnsi="宋体" w:eastAsia="宋体" w:cs="宋体"/>
                <w:szCs w:val="21"/>
              </w:rPr>
            </w:pPr>
            <w:r>
              <w:rPr>
                <w:rFonts w:hint="eastAsia" w:ascii="宋体" w:hAnsi="宋体" w:eastAsia="宋体" w:cs="宋体"/>
                <w:szCs w:val="21"/>
              </w:rPr>
              <w:t>缺项：如有缺项或经评标委员会一致认为不符合得分要求的不得分。</w:t>
            </w:r>
          </w:p>
        </w:tc>
      </w:tr>
      <w:tr w14:paraId="4B4C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421" w:type="pct"/>
            <w:vMerge w:val="continue"/>
            <w:noWrap/>
            <w:vAlign w:val="center"/>
          </w:tcPr>
          <w:p w14:paraId="7E917EE7">
            <w:pPr>
              <w:pStyle w:val="2"/>
              <w:spacing w:line="240" w:lineRule="auto"/>
              <w:ind w:firstLine="0" w:firstLineChars="0"/>
              <w:rPr>
                <w:rFonts w:ascii="宋体" w:hAnsi="宋体" w:eastAsia="宋体" w:cs="宋体"/>
                <w:sz w:val="21"/>
                <w:szCs w:val="21"/>
              </w:rPr>
            </w:pPr>
          </w:p>
        </w:tc>
        <w:tc>
          <w:tcPr>
            <w:tcW w:w="459" w:type="pct"/>
            <w:vMerge w:val="continue"/>
            <w:noWrap/>
            <w:vAlign w:val="center"/>
          </w:tcPr>
          <w:p w14:paraId="25121B24">
            <w:pPr>
              <w:pStyle w:val="2"/>
              <w:spacing w:line="240" w:lineRule="auto"/>
              <w:ind w:firstLine="0" w:firstLineChars="0"/>
              <w:rPr>
                <w:rFonts w:ascii="宋体" w:hAnsi="宋体" w:eastAsia="宋体" w:cs="宋体"/>
                <w:sz w:val="21"/>
                <w:szCs w:val="21"/>
              </w:rPr>
            </w:pPr>
          </w:p>
        </w:tc>
        <w:tc>
          <w:tcPr>
            <w:tcW w:w="574" w:type="pct"/>
            <w:shd w:val="clear" w:color="auto" w:fill="auto"/>
            <w:noWrap/>
            <w:vAlign w:val="center"/>
          </w:tcPr>
          <w:p w14:paraId="65F406FD">
            <w:pPr>
              <w:spacing w:line="240" w:lineRule="auto"/>
              <w:ind w:firstLine="0" w:firstLineChars="0"/>
              <w:jc w:val="center"/>
              <w:rPr>
                <w:rFonts w:ascii="宋体" w:hAnsi="宋体" w:eastAsia="宋体" w:cs="宋体"/>
                <w:szCs w:val="21"/>
              </w:rPr>
            </w:pPr>
            <w:r>
              <w:rPr>
                <w:rFonts w:hint="eastAsia" w:ascii="宋体" w:hAnsi="宋体" w:eastAsia="宋体" w:cs="宋体"/>
                <w:szCs w:val="21"/>
              </w:rPr>
              <w:t>技术培训保证措施</w:t>
            </w:r>
          </w:p>
          <w:p w14:paraId="05ABAD69">
            <w:pPr>
              <w:spacing w:line="240" w:lineRule="auto"/>
              <w:ind w:firstLine="0" w:firstLineChars="0"/>
              <w:jc w:val="center"/>
              <w:rPr>
                <w:rFonts w:ascii="宋体" w:hAnsi="宋体" w:eastAsia="宋体" w:cs="宋体"/>
                <w:szCs w:val="21"/>
              </w:rPr>
            </w:pPr>
            <w:r>
              <w:rPr>
                <w:rFonts w:hint="eastAsia" w:ascii="宋体" w:hAnsi="宋体" w:eastAsia="宋体" w:cs="宋体"/>
                <w:szCs w:val="21"/>
                <w:lang w:eastAsia="zh-Hans"/>
              </w:rPr>
              <w:t>（</w:t>
            </w:r>
            <w:r>
              <w:rPr>
                <w:rFonts w:hint="eastAsia" w:ascii="宋体" w:hAnsi="宋体" w:eastAsia="宋体" w:cs="宋体"/>
                <w:szCs w:val="21"/>
              </w:rPr>
              <w:t>4</w:t>
            </w:r>
            <w:r>
              <w:rPr>
                <w:rFonts w:hint="eastAsia" w:ascii="宋体" w:hAnsi="宋体" w:eastAsia="宋体" w:cs="宋体"/>
                <w:szCs w:val="21"/>
                <w:lang w:eastAsia="zh-Hans"/>
              </w:rPr>
              <w:t>分）</w:t>
            </w:r>
          </w:p>
        </w:tc>
        <w:tc>
          <w:tcPr>
            <w:tcW w:w="3545" w:type="pct"/>
            <w:gridSpan w:val="2"/>
            <w:shd w:val="clear" w:color="auto" w:fill="auto"/>
            <w:noWrap/>
            <w:vAlign w:val="center"/>
          </w:tcPr>
          <w:p w14:paraId="4AE03A3E">
            <w:pPr>
              <w:spacing w:line="240" w:lineRule="auto"/>
              <w:ind w:firstLine="0" w:firstLineChars="0"/>
              <w:jc w:val="left"/>
              <w:rPr>
                <w:rFonts w:ascii="宋体" w:hAnsi="宋体" w:eastAsia="宋体" w:cs="宋体"/>
                <w:szCs w:val="21"/>
              </w:rPr>
            </w:pPr>
            <w:r>
              <w:rPr>
                <w:rFonts w:hint="eastAsia" w:ascii="宋体" w:hAnsi="宋体" w:eastAsia="宋体" w:cs="宋体"/>
                <w:szCs w:val="21"/>
              </w:rPr>
              <w:t>根据供应商针对本项目的培训方案，包括培训组织，师资力量，培训教材等情况，进行综合评价。</w:t>
            </w:r>
          </w:p>
          <w:p w14:paraId="6F5C8120">
            <w:pPr>
              <w:spacing w:line="240" w:lineRule="auto"/>
              <w:ind w:firstLine="0" w:firstLineChars="0"/>
              <w:jc w:val="left"/>
              <w:rPr>
                <w:rFonts w:ascii="宋体" w:hAnsi="宋体" w:eastAsia="宋体" w:cs="宋体"/>
                <w:szCs w:val="21"/>
              </w:rPr>
            </w:pPr>
            <w:r>
              <w:rPr>
                <w:rFonts w:hint="eastAsia" w:ascii="宋体" w:hAnsi="宋体" w:eastAsia="宋体" w:cs="宋体"/>
                <w:szCs w:val="21"/>
              </w:rPr>
              <w:t>优秀：培训组织完善，师资力量雄厚，培训教材及实施过程中所涉及的知识、技能、经验等内容丰富的，得4分；</w:t>
            </w:r>
          </w:p>
          <w:p w14:paraId="757A004A">
            <w:pPr>
              <w:spacing w:line="240" w:lineRule="auto"/>
              <w:ind w:firstLine="0" w:firstLineChars="0"/>
              <w:jc w:val="left"/>
              <w:rPr>
                <w:rFonts w:ascii="宋体" w:hAnsi="宋体" w:eastAsia="宋体" w:cs="宋体"/>
                <w:szCs w:val="21"/>
              </w:rPr>
            </w:pPr>
            <w:r>
              <w:rPr>
                <w:rFonts w:hint="eastAsia" w:ascii="宋体" w:hAnsi="宋体" w:eastAsia="宋体" w:cs="宋体"/>
                <w:szCs w:val="21"/>
              </w:rPr>
              <w:t>良好：培训组织较为完善，师资力量良好，培训教材及实施过程中的知识、技能、经验等内容均有涉列的，得3分；</w:t>
            </w:r>
          </w:p>
          <w:p w14:paraId="75D57868">
            <w:pPr>
              <w:spacing w:line="240" w:lineRule="auto"/>
              <w:ind w:firstLine="0" w:firstLineChars="0"/>
              <w:jc w:val="left"/>
              <w:rPr>
                <w:rFonts w:ascii="宋体" w:hAnsi="宋体" w:eastAsia="宋体" w:cs="宋体"/>
                <w:szCs w:val="21"/>
              </w:rPr>
            </w:pPr>
            <w:r>
              <w:rPr>
                <w:rFonts w:hint="eastAsia" w:ascii="宋体" w:hAnsi="宋体" w:eastAsia="宋体" w:cs="宋体"/>
                <w:szCs w:val="21"/>
              </w:rPr>
              <w:t>一般：培训方案一般的，得2分。</w:t>
            </w:r>
          </w:p>
          <w:p w14:paraId="1D0CE801">
            <w:pPr>
              <w:spacing w:line="240" w:lineRule="auto"/>
              <w:ind w:firstLine="0" w:firstLineChars="0"/>
              <w:jc w:val="left"/>
              <w:rPr>
                <w:rFonts w:ascii="宋体" w:hAnsi="宋体" w:eastAsia="宋体" w:cs="宋体"/>
                <w:szCs w:val="21"/>
              </w:rPr>
            </w:pPr>
            <w:r>
              <w:rPr>
                <w:rFonts w:hint="eastAsia" w:ascii="宋体" w:hAnsi="宋体" w:eastAsia="宋体" w:cs="宋体"/>
                <w:szCs w:val="21"/>
              </w:rPr>
              <w:t>差：培训方案不合理的，得1分。</w:t>
            </w:r>
          </w:p>
          <w:p w14:paraId="709B3BB1">
            <w:pPr>
              <w:spacing w:line="240" w:lineRule="auto"/>
              <w:ind w:firstLine="0" w:firstLineChars="0"/>
              <w:jc w:val="left"/>
              <w:rPr>
                <w:rFonts w:ascii="宋体" w:hAnsi="宋体" w:eastAsia="宋体" w:cs="宋体"/>
                <w:szCs w:val="21"/>
              </w:rPr>
            </w:pPr>
            <w:r>
              <w:rPr>
                <w:rFonts w:hint="eastAsia" w:ascii="宋体" w:hAnsi="宋体" w:eastAsia="宋体" w:cs="宋体"/>
                <w:szCs w:val="21"/>
              </w:rPr>
              <w:t>缺项：如有缺项或经评标委员会一致认为不符合得分要求的不得分。</w:t>
            </w:r>
          </w:p>
        </w:tc>
      </w:tr>
      <w:tr w14:paraId="526F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21" w:type="pct"/>
            <w:vMerge w:val="continue"/>
            <w:noWrap/>
            <w:vAlign w:val="center"/>
          </w:tcPr>
          <w:p w14:paraId="34395637">
            <w:pPr>
              <w:pStyle w:val="2"/>
              <w:spacing w:line="240" w:lineRule="auto"/>
              <w:ind w:firstLine="0" w:firstLineChars="0"/>
              <w:rPr>
                <w:rFonts w:ascii="宋体" w:hAnsi="宋体" w:eastAsia="宋体" w:cs="宋体"/>
                <w:sz w:val="21"/>
                <w:szCs w:val="21"/>
              </w:rPr>
            </w:pPr>
          </w:p>
        </w:tc>
        <w:tc>
          <w:tcPr>
            <w:tcW w:w="459" w:type="pct"/>
            <w:vMerge w:val="continue"/>
            <w:noWrap/>
            <w:vAlign w:val="center"/>
          </w:tcPr>
          <w:p w14:paraId="288C7CB0">
            <w:pPr>
              <w:pStyle w:val="2"/>
              <w:spacing w:line="240" w:lineRule="auto"/>
              <w:ind w:firstLine="0" w:firstLineChars="0"/>
              <w:rPr>
                <w:rFonts w:ascii="宋体" w:hAnsi="宋体" w:eastAsia="宋体" w:cs="宋体"/>
                <w:sz w:val="21"/>
                <w:szCs w:val="21"/>
              </w:rPr>
            </w:pPr>
          </w:p>
        </w:tc>
        <w:tc>
          <w:tcPr>
            <w:tcW w:w="574" w:type="pct"/>
            <w:shd w:val="clear" w:color="auto" w:fill="auto"/>
            <w:noWrap/>
            <w:vAlign w:val="center"/>
          </w:tcPr>
          <w:p w14:paraId="7D7D3110">
            <w:pPr>
              <w:spacing w:line="240" w:lineRule="auto"/>
              <w:ind w:firstLine="0" w:firstLineChars="0"/>
              <w:jc w:val="center"/>
              <w:rPr>
                <w:rFonts w:ascii="宋体" w:hAnsi="宋体" w:eastAsia="宋体" w:cs="宋体"/>
                <w:szCs w:val="21"/>
              </w:rPr>
            </w:pPr>
            <w:r>
              <w:rPr>
                <w:rFonts w:hint="eastAsia" w:ascii="宋体" w:hAnsi="宋体" w:eastAsia="宋体" w:cs="宋体"/>
                <w:szCs w:val="21"/>
              </w:rPr>
              <w:t>售后服务承诺</w:t>
            </w:r>
          </w:p>
          <w:p w14:paraId="7B5D5402">
            <w:pPr>
              <w:spacing w:line="240" w:lineRule="auto"/>
              <w:ind w:firstLine="0" w:firstLineChars="0"/>
              <w:jc w:val="center"/>
              <w:rPr>
                <w:rFonts w:ascii="宋体" w:hAnsi="宋体" w:eastAsia="宋体" w:cs="宋体"/>
                <w:szCs w:val="21"/>
              </w:rPr>
            </w:pPr>
            <w:r>
              <w:rPr>
                <w:rFonts w:hint="eastAsia" w:ascii="宋体" w:hAnsi="宋体" w:eastAsia="宋体" w:cs="宋体"/>
                <w:szCs w:val="21"/>
              </w:rPr>
              <w:t>（3分）</w:t>
            </w:r>
          </w:p>
        </w:tc>
        <w:tc>
          <w:tcPr>
            <w:tcW w:w="3545" w:type="pct"/>
            <w:gridSpan w:val="2"/>
            <w:shd w:val="clear" w:color="auto" w:fill="auto"/>
            <w:noWrap/>
            <w:vAlign w:val="center"/>
          </w:tcPr>
          <w:p w14:paraId="01E8C55E">
            <w:pPr>
              <w:spacing w:line="240" w:lineRule="auto"/>
              <w:ind w:firstLine="0" w:firstLineChars="0"/>
              <w:jc w:val="left"/>
              <w:rPr>
                <w:rFonts w:ascii="宋体" w:hAnsi="宋体" w:eastAsia="宋体" w:cs="宋体"/>
                <w:szCs w:val="21"/>
              </w:rPr>
            </w:pPr>
            <w:r>
              <w:rPr>
                <w:rFonts w:hint="eastAsia" w:ascii="宋体" w:hAnsi="宋体" w:eastAsia="宋体" w:cs="宋体"/>
                <w:szCs w:val="21"/>
              </w:rPr>
              <w:t xml:space="preserve">售后维护方案：有完整、可行、合理的技术支持与售后维护方案，详细说明售后服务的内容、形式、解决质量或操作问题的响应时间、解决问题时间、免费质保期承诺、维修单位名称、地点、维修技术人员等。 </w:t>
            </w:r>
          </w:p>
          <w:p w14:paraId="1E8EE817">
            <w:pPr>
              <w:spacing w:line="240" w:lineRule="auto"/>
              <w:ind w:firstLine="0" w:firstLineChars="0"/>
              <w:jc w:val="left"/>
              <w:rPr>
                <w:rFonts w:ascii="宋体" w:hAnsi="宋体" w:eastAsia="宋体" w:cs="宋体"/>
                <w:szCs w:val="21"/>
              </w:rPr>
            </w:pPr>
            <w:r>
              <w:rPr>
                <w:rFonts w:hint="eastAsia" w:ascii="宋体" w:hAnsi="宋体" w:eastAsia="宋体" w:cs="宋体"/>
                <w:szCs w:val="21"/>
              </w:rPr>
              <w:t xml:space="preserve">优秀：全面的、实施性强的，得3分； </w:t>
            </w:r>
          </w:p>
          <w:p w14:paraId="40A006D6">
            <w:pPr>
              <w:spacing w:line="240" w:lineRule="auto"/>
              <w:ind w:firstLine="0" w:firstLineChars="0"/>
              <w:jc w:val="left"/>
              <w:rPr>
                <w:rFonts w:ascii="宋体" w:hAnsi="宋体" w:eastAsia="宋体" w:cs="宋体"/>
                <w:szCs w:val="21"/>
              </w:rPr>
            </w:pPr>
            <w:r>
              <w:rPr>
                <w:rFonts w:hint="eastAsia" w:ascii="宋体" w:hAnsi="宋体" w:eastAsia="宋体" w:cs="宋体"/>
                <w:szCs w:val="21"/>
              </w:rPr>
              <w:t>良好：可行的、合理的，得2分；</w:t>
            </w:r>
          </w:p>
          <w:p w14:paraId="452B549D">
            <w:pPr>
              <w:spacing w:line="240" w:lineRule="auto"/>
              <w:ind w:firstLine="0" w:firstLineChars="0"/>
              <w:jc w:val="left"/>
              <w:rPr>
                <w:rFonts w:ascii="宋体" w:hAnsi="宋体" w:eastAsia="宋体" w:cs="宋体"/>
                <w:szCs w:val="21"/>
              </w:rPr>
            </w:pPr>
            <w:r>
              <w:rPr>
                <w:rFonts w:hint="eastAsia" w:ascii="宋体" w:hAnsi="宋体" w:eastAsia="宋体" w:cs="宋体"/>
                <w:szCs w:val="21"/>
              </w:rPr>
              <w:t xml:space="preserve">一般：内容一般，基本合理的，得1分； </w:t>
            </w:r>
          </w:p>
          <w:p w14:paraId="13709910">
            <w:pPr>
              <w:spacing w:line="240" w:lineRule="auto"/>
              <w:ind w:firstLine="0" w:firstLineChars="0"/>
              <w:jc w:val="left"/>
              <w:rPr>
                <w:rFonts w:ascii="宋体" w:hAnsi="宋体" w:eastAsia="宋体" w:cs="宋体"/>
                <w:szCs w:val="21"/>
              </w:rPr>
            </w:pPr>
            <w:r>
              <w:rPr>
                <w:rFonts w:hint="eastAsia" w:ascii="宋体" w:hAnsi="宋体" w:eastAsia="宋体" w:cs="宋体"/>
                <w:szCs w:val="21"/>
              </w:rPr>
              <w:t>差：不具有实践实施性，得0.5分；</w:t>
            </w:r>
          </w:p>
          <w:p w14:paraId="0F68B867">
            <w:pPr>
              <w:spacing w:line="240" w:lineRule="auto"/>
              <w:ind w:firstLine="0" w:firstLineChars="0"/>
              <w:jc w:val="left"/>
              <w:rPr>
                <w:rFonts w:ascii="宋体" w:hAnsi="宋体" w:eastAsia="宋体" w:cs="宋体"/>
                <w:szCs w:val="21"/>
                <w:lang w:val="en"/>
              </w:rPr>
            </w:pPr>
            <w:r>
              <w:rPr>
                <w:rFonts w:hint="eastAsia" w:ascii="宋体" w:hAnsi="宋体" w:eastAsia="宋体" w:cs="宋体"/>
                <w:szCs w:val="21"/>
              </w:rPr>
              <w:t>缺项：如有缺项或经评标委员会一致认为不符合得分要求的不得分。</w:t>
            </w:r>
          </w:p>
        </w:tc>
      </w:tr>
      <w:tr w14:paraId="5197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1" w:type="pct"/>
            <w:vMerge w:val="restart"/>
            <w:noWrap/>
            <w:vAlign w:val="center"/>
          </w:tcPr>
          <w:p w14:paraId="7CAC2C76">
            <w:pPr>
              <w:widowControl/>
              <w:spacing w:line="440" w:lineRule="exact"/>
              <w:ind w:firstLine="0" w:firstLineChars="0"/>
              <w:jc w:val="center"/>
              <w:rPr>
                <w:rFonts w:ascii="宋体" w:hAnsi="宋体" w:eastAsia="宋体" w:cs="宋体"/>
                <w:szCs w:val="21"/>
              </w:rPr>
            </w:pPr>
            <w:r>
              <w:rPr>
                <w:rFonts w:hint="eastAsia" w:ascii="宋体" w:hAnsi="宋体" w:eastAsia="宋体" w:cs="宋体"/>
                <w:szCs w:val="21"/>
              </w:rPr>
              <w:t>2.2.2(3)</w:t>
            </w:r>
          </w:p>
        </w:tc>
        <w:tc>
          <w:tcPr>
            <w:tcW w:w="459" w:type="pct"/>
            <w:vMerge w:val="restart"/>
            <w:noWrap/>
            <w:vAlign w:val="center"/>
          </w:tcPr>
          <w:p w14:paraId="1F46241B">
            <w:pPr>
              <w:widowControl/>
              <w:spacing w:line="440" w:lineRule="exact"/>
              <w:ind w:firstLine="0" w:firstLineChars="0"/>
              <w:jc w:val="center"/>
              <w:rPr>
                <w:rFonts w:ascii="宋体" w:hAnsi="宋体" w:eastAsia="宋体" w:cs="宋体"/>
                <w:szCs w:val="21"/>
              </w:rPr>
            </w:pPr>
            <w:r>
              <w:rPr>
                <w:rFonts w:hint="eastAsia" w:ascii="宋体" w:hAnsi="宋体" w:eastAsia="宋体" w:cs="宋体"/>
                <w:szCs w:val="21"/>
              </w:rPr>
              <w:t>综合标10分</w:t>
            </w:r>
          </w:p>
        </w:tc>
        <w:tc>
          <w:tcPr>
            <w:tcW w:w="574" w:type="pct"/>
            <w:shd w:val="clear" w:color="auto" w:fill="auto"/>
            <w:noWrap/>
            <w:vAlign w:val="center"/>
          </w:tcPr>
          <w:p w14:paraId="3E276FEE">
            <w:pPr>
              <w:adjustRightInd w:val="0"/>
              <w:snapToGrid w:val="0"/>
              <w:spacing w:line="400" w:lineRule="exact"/>
              <w:ind w:firstLine="0" w:firstLineChars="0"/>
              <w:jc w:val="center"/>
              <w:rPr>
                <w:rFonts w:ascii="宋体" w:hAnsi="宋体" w:eastAsia="宋体" w:cs="宋体"/>
                <w:color w:val="auto"/>
              </w:rPr>
            </w:pPr>
            <w:r>
              <w:rPr>
                <w:rFonts w:hint="eastAsia" w:ascii="宋体" w:hAnsi="宋体" w:eastAsia="宋体" w:cs="宋体"/>
                <w:color w:val="auto"/>
              </w:rPr>
              <w:t>业绩</w:t>
            </w:r>
          </w:p>
          <w:p w14:paraId="494B370C">
            <w:pPr>
              <w:adjustRightInd w:val="0"/>
              <w:snapToGrid w:val="0"/>
              <w:spacing w:line="400" w:lineRule="exact"/>
              <w:ind w:firstLine="0" w:firstLineChars="0"/>
              <w:jc w:val="center"/>
              <w:rPr>
                <w:rFonts w:ascii="宋体" w:hAnsi="宋体" w:eastAsia="宋体" w:cs="宋体"/>
                <w:color w:val="auto"/>
                <w:kern w:val="0"/>
                <w:szCs w:val="21"/>
              </w:rPr>
            </w:pPr>
            <w:r>
              <w:rPr>
                <w:rFonts w:hint="eastAsia" w:ascii="宋体" w:hAnsi="宋体" w:eastAsia="宋体" w:cs="宋体"/>
                <w:color w:val="auto"/>
                <w:szCs w:val="21"/>
              </w:rPr>
              <w:t>（2分）</w:t>
            </w:r>
          </w:p>
        </w:tc>
        <w:tc>
          <w:tcPr>
            <w:tcW w:w="3545" w:type="pct"/>
            <w:gridSpan w:val="2"/>
            <w:shd w:val="clear" w:color="auto" w:fill="auto"/>
            <w:noWrap/>
            <w:vAlign w:val="center"/>
          </w:tcPr>
          <w:p w14:paraId="1E7504ED">
            <w:pPr>
              <w:adjustRightInd w:val="0"/>
              <w:snapToGrid w:val="0"/>
              <w:spacing w:line="400" w:lineRule="exact"/>
              <w:ind w:firstLine="0" w:firstLineChars="0"/>
              <w:rPr>
                <w:rFonts w:ascii="宋体" w:hAnsi="宋体" w:eastAsia="宋体" w:cs="宋体"/>
                <w:color w:val="auto"/>
                <w:kern w:val="0"/>
                <w:szCs w:val="21"/>
              </w:rPr>
            </w:pPr>
            <w:r>
              <w:rPr>
                <w:rFonts w:hint="eastAsia" w:ascii="宋体" w:hAnsi="宋体" w:eastAsia="宋体" w:cs="宋体"/>
                <w:color w:val="auto"/>
                <w:szCs w:val="21"/>
              </w:rPr>
              <w:t>供应商或核心产品制造商提供自2021年1月1日（以合同签订时间为准）以来完成项目</w:t>
            </w:r>
            <w:bookmarkStart w:id="149" w:name="_GoBack"/>
            <w:bookmarkEnd w:id="149"/>
            <w:r>
              <w:rPr>
                <w:rFonts w:hint="eastAsia" w:ascii="宋体" w:hAnsi="宋体" w:eastAsia="宋体" w:cs="宋体"/>
                <w:color w:val="auto"/>
                <w:szCs w:val="21"/>
              </w:rPr>
              <w:t>案例，每份得1分，最高得2分（需提供中标通知书和合同和</w:t>
            </w:r>
            <w:r>
              <w:rPr>
                <w:rFonts w:hint="eastAsia"/>
                <w:color w:val="auto"/>
              </w:rPr>
              <w:t>中标公示网页截图</w:t>
            </w:r>
            <w:r>
              <w:rPr>
                <w:rFonts w:hint="eastAsia" w:ascii="宋体" w:hAnsi="宋体" w:eastAsia="宋体" w:cs="宋体"/>
                <w:color w:val="auto"/>
                <w:szCs w:val="21"/>
              </w:rPr>
              <w:t>）。</w:t>
            </w:r>
          </w:p>
        </w:tc>
      </w:tr>
      <w:tr w14:paraId="2014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1" w:type="pct"/>
            <w:vMerge w:val="continue"/>
            <w:noWrap/>
            <w:vAlign w:val="center"/>
          </w:tcPr>
          <w:p w14:paraId="6BED9B8C">
            <w:pPr>
              <w:widowControl/>
              <w:spacing w:line="440" w:lineRule="exact"/>
              <w:ind w:firstLine="0" w:firstLineChars="0"/>
              <w:jc w:val="center"/>
              <w:rPr>
                <w:rFonts w:ascii="宋体" w:hAnsi="宋体" w:eastAsia="宋体" w:cs="宋体"/>
                <w:szCs w:val="21"/>
              </w:rPr>
            </w:pPr>
          </w:p>
        </w:tc>
        <w:tc>
          <w:tcPr>
            <w:tcW w:w="459" w:type="pct"/>
            <w:vMerge w:val="continue"/>
            <w:noWrap/>
            <w:vAlign w:val="center"/>
          </w:tcPr>
          <w:p w14:paraId="1C204ECD">
            <w:pPr>
              <w:widowControl/>
              <w:spacing w:line="440" w:lineRule="exact"/>
              <w:ind w:firstLine="0" w:firstLineChars="0"/>
              <w:jc w:val="center"/>
              <w:rPr>
                <w:rFonts w:ascii="宋体" w:hAnsi="宋体" w:eastAsia="宋体" w:cs="宋体"/>
                <w:szCs w:val="21"/>
              </w:rPr>
            </w:pPr>
          </w:p>
        </w:tc>
        <w:tc>
          <w:tcPr>
            <w:tcW w:w="574" w:type="pct"/>
            <w:shd w:val="clear" w:color="auto" w:fill="auto"/>
            <w:noWrap/>
            <w:vAlign w:val="center"/>
          </w:tcPr>
          <w:p w14:paraId="5FB1E6C1">
            <w:pPr>
              <w:adjustRightInd w:val="0"/>
              <w:snapToGrid w:val="0"/>
              <w:spacing w:line="400" w:lineRule="exact"/>
              <w:ind w:firstLine="0" w:firstLineChars="0"/>
              <w:jc w:val="center"/>
              <w:rPr>
                <w:rFonts w:ascii="宋体" w:hAnsi="宋体" w:eastAsia="宋体" w:cs="宋体"/>
                <w:color w:val="auto"/>
                <w:kern w:val="0"/>
                <w:szCs w:val="21"/>
              </w:rPr>
            </w:pPr>
            <w:r>
              <w:rPr>
                <w:rFonts w:ascii="宋体" w:hAnsi="宋体" w:eastAsia="宋体" w:cs="宋体"/>
                <w:color w:val="auto"/>
                <w:szCs w:val="21"/>
              </w:rPr>
              <w:t>其他</w:t>
            </w:r>
            <w:r>
              <w:rPr>
                <w:rFonts w:hint="eastAsia" w:ascii="宋体" w:hAnsi="宋体" w:eastAsia="宋体" w:cs="宋体"/>
                <w:color w:val="auto"/>
                <w:szCs w:val="21"/>
              </w:rPr>
              <w:t xml:space="preserve">         </w:t>
            </w:r>
            <w:r>
              <w:rPr>
                <w:rFonts w:ascii="宋体" w:hAnsi="宋体" w:eastAsia="宋体" w:cs="宋体"/>
                <w:color w:val="auto"/>
                <w:szCs w:val="21"/>
              </w:rPr>
              <w:t>（</w:t>
            </w:r>
            <w:r>
              <w:rPr>
                <w:rFonts w:hint="eastAsia" w:ascii="宋体" w:hAnsi="宋体" w:eastAsia="宋体" w:cs="宋体"/>
                <w:color w:val="auto"/>
                <w:szCs w:val="21"/>
              </w:rPr>
              <w:t>8分</w:t>
            </w:r>
            <w:r>
              <w:rPr>
                <w:rFonts w:ascii="宋体" w:hAnsi="宋体" w:eastAsia="宋体" w:cs="宋体"/>
                <w:color w:val="auto"/>
                <w:szCs w:val="21"/>
              </w:rPr>
              <w:t>）</w:t>
            </w:r>
          </w:p>
        </w:tc>
        <w:tc>
          <w:tcPr>
            <w:tcW w:w="3545" w:type="pct"/>
            <w:gridSpan w:val="2"/>
            <w:shd w:val="clear" w:color="auto" w:fill="auto"/>
            <w:noWrap/>
            <w:vAlign w:val="center"/>
          </w:tcPr>
          <w:p w14:paraId="44C3F94A">
            <w:pPr>
              <w:adjustRightInd w:val="0"/>
              <w:snapToGrid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为满足教学需求及教学质量，</w:t>
            </w:r>
            <w:bookmarkStart w:id="72" w:name="OLE_LINK18"/>
            <w:bookmarkStart w:id="73" w:name="OLE_LINK19"/>
            <w:r>
              <w:rPr>
                <w:rFonts w:hint="eastAsia" w:ascii="宋体" w:hAnsi="宋体" w:eastAsia="宋体" w:cs="宋体"/>
                <w:color w:val="auto"/>
                <w:szCs w:val="21"/>
              </w:rPr>
              <w:t>投标人或设备制造商具备“智慧黑板（多媒体）”</w:t>
            </w:r>
            <w:bookmarkEnd w:id="72"/>
            <w:bookmarkEnd w:id="73"/>
            <w:r>
              <w:rPr>
                <w:rFonts w:hint="eastAsia" w:ascii="宋体" w:hAnsi="宋体" w:eastAsia="宋体" w:cs="宋体"/>
                <w:color w:val="auto"/>
                <w:szCs w:val="21"/>
              </w:rPr>
              <w:t>所交互黑板需满足国家标准GB/T 38665.2-2020，所投交互黑板的生产企业参与《信息技术 手势交互系统规范》相关国家标准编制建设，</w:t>
            </w:r>
            <w:bookmarkStart w:id="74" w:name="OLE_LINK22"/>
            <w:r>
              <w:rPr>
                <w:rFonts w:hint="eastAsia" w:ascii="宋体" w:hAnsi="宋体" w:eastAsia="宋体" w:cs="宋体"/>
                <w:color w:val="auto"/>
                <w:szCs w:val="21"/>
              </w:rPr>
              <w:t>得4分，不提供不得分。</w:t>
            </w:r>
            <w:bookmarkEnd w:id="74"/>
            <w:bookmarkStart w:id="75" w:name="OLE_LINK20"/>
            <w:r>
              <w:rPr>
                <w:rFonts w:hint="eastAsia" w:ascii="宋体" w:hAnsi="宋体" w:eastAsia="宋体" w:cs="宋体"/>
                <w:color w:val="auto"/>
                <w:szCs w:val="21"/>
              </w:rPr>
              <w:t>（提供相关证明文件加盖制造商公章）</w:t>
            </w:r>
          </w:p>
          <w:bookmarkEnd w:id="75"/>
          <w:p w14:paraId="2F4F9613">
            <w:pPr>
              <w:adjustRightInd w:val="0"/>
              <w:snapToGrid w:val="0"/>
              <w:spacing w:line="400" w:lineRule="exact"/>
              <w:ind w:firstLine="0" w:firstLineChars="0"/>
              <w:rPr>
                <w:rFonts w:ascii="宋体" w:hAnsi="宋体" w:eastAsia="宋体"/>
                <w:color w:val="auto"/>
                <w:sz w:val="21"/>
                <w:szCs w:val="21"/>
              </w:rPr>
            </w:pPr>
            <w:r>
              <w:rPr>
                <w:rFonts w:hint="eastAsia" w:ascii="宋体" w:hAnsi="宋体" w:eastAsia="宋体" w:cs="宋体"/>
                <w:color w:val="auto"/>
                <w:szCs w:val="21"/>
              </w:rPr>
              <w:t>2、 为保证设备售后服务质量，投标人或设备制造商 “智慧黑板（多媒体）”通过ITSS信息技术服务标准运行维护三级或以上证书, 得4分，不提供不得分。（提供相关证明文件加盖制造商公章）</w:t>
            </w:r>
          </w:p>
        </w:tc>
      </w:tr>
      <w:bookmarkEnd w:id="66"/>
      <w:bookmarkEnd w:id="67"/>
      <w:bookmarkEnd w:id="68"/>
      <w:bookmarkEnd w:id="69"/>
      <w:bookmarkEnd w:id="70"/>
      <w:bookmarkEnd w:id="71"/>
    </w:tbl>
    <w:p w14:paraId="2FEAFFD9">
      <w:pPr>
        <w:pStyle w:val="6"/>
        <w:ind w:firstLine="480"/>
        <w:jc w:val="left"/>
        <w:rPr>
          <w:sz w:val="24"/>
          <w:szCs w:val="24"/>
        </w:rPr>
      </w:pPr>
      <w:r>
        <w:rPr>
          <w:rFonts w:hint="eastAsia"/>
          <w:sz w:val="24"/>
          <w:szCs w:val="24"/>
        </w:rPr>
        <w:t>1、评标方法</w:t>
      </w:r>
    </w:p>
    <w:p w14:paraId="0E49804C">
      <w:pPr>
        <w:spacing w:line="400" w:lineRule="exact"/>
        <w:ind w:firstLine="420"/>
        <w:rPr>
          <w:rFonts w:ascii="宋体" w:hAnsi="宋体" w:eastAsia="宋体" w:cs="宋体"/>
          <w:szCs w:val="21"/>
        </w:rPr>
      </w:pPr>
      <w:r>
        <w:rPr>
          <w:rFonts w:hint="eastAsia" w:ascii="宋体" w:hAnsi="宋体" w:eastAsia="宋体" w:cs="宋体"/>
          <w:szCs w:val="21"/>
        </w:rPr>
        <w:t>1.1本次评标采用综合评分法。</w:t>
      </w:r>
    </w:p>
    <w:p w14:paraId="28D1B394">
      <w:pPr>
        <w:spacing w:line="400" w:lineRule="exact"/>
        <w:ind w:firstLine="420"/>
        <w:rPr>
          <w:rFonts w:ascii="宋体" w:hAnsi="宋体" w:eastAsia="宋体" w:cs="宋体"/>
          <w:szCs w:val="21"/>
        </w:rPr>
      </w:pPr>
      <w:r>
        <w:rPr>
          <w:rFonts w:hint="eastAsia" w:ascii="宋体" w:hAnsi="宋体" w:eastAsia="宋体" w:cs="宋体"/>
          <w:szCs w:val="21"/>
        </w:rPr>
        <w:t>评标委员会对满足招标文件实质性要求的投标文件，按照本章详细评审标准进行打分，本项目按综合得分由高到低顺序推荐3名中标候选人。综合评分相等时，以投标报价低的优先；投标报价也相等的，以技术标得分高的优先。</w:t>
      </w:r>
    </w:p>
    <w:p w14:paraId="72929393">
      <w:pPr>
        <w:spacing w:line="400" w:lineRule="exact"/>
        <w:ind w:firstLine="420"/>
        <w:rPr>
          <w:rFonts w:ascii="宋体" w:hAnsi="宋体" w:eastAsia="宋体" w:cs="宋体"/>
          <w:szCs w:val="21"/>
        </w:rPr>
      </w:pPr>
      <w:r>
        <w:rPr>
          <w:rFonts w:hint="eastAsia" w:ascii="宋体" w:hAnsi="宋体" w:eastAsia="宋体" w:cs="宋体"/>
          <w:szCs w:val="21"/>
        </w:rPr>
        <w:t>1.2经评标委员会初步评审后有效投标不足3个的，评标委员会应予废标。</w:t>
      </w:r>
    </w:p>
    <w:p w14:paraId="4F17F1B5">
      <w:pPr>
        <w:pStyle w:val="6"/>
        <w:ind w:firstLine="480"/>
        <w:jc w:val="left"/>
        <w:rPr>
          <w:sz w:val="24"/>
          <w:szCs w:val="24"/>
        </w:rPr>
      </w:pPr>
      <w:bookmarkStart w:id="76" w:name="_Toc184635094"/>
      <w:bookmarkStart w:id="77" w:name="_Toc381018333"/>
      <w:bookmarkStart w:id="78" w:name="_Toc381964734"/>
      <w:bookmarkStart w:id="79" w:name="_Toc374358912"/>
      <w:bookmarkStart w:id="80" w:name="_Toc381964642"/>
      <w:bookmarkStart w:id="81" w:name="_Toc21497"/>
      <w:bookmarkStart w:id="82" w:name="_Toc363053528"/>
      <w:r>
        <w:rPr>
          <w:rFonts w:hint="eastAsia"/>
          <w:sz w:val="24"/>
          <w:szCs w:val="24"/>
        </w:rPr>
        <w:t>2、评审标准</w:t>
      </w:r>
      <w:bookmarkEnd w:id="76"/>
      <w:bookmarkEnd w:id="77"/>
      <w:bookmarkEnd w:id="78"/>
      <w:bookmarkEnd w:id="79"/>
      <w:bookmarkEnd w:id="80"/>
      <w:bookmarkEnd w:id="81"/>
      <w:bookmarkEnd w:id="82"/>
    </w:p>
    <w:p w14:paraId="1868D2C2">
      <w:pPr>
        <w:spacing w:line="400" w:lineRule="exact"/>
        <w:ind w:firstLine="420"/>
        <w:rPr>
          <w:rFonts w:ascii="宋体" w:hAnsi="宋体" w:eastAsia="宋体" w:cs="宋体"/>
          <w:szCs w:val="21"/>
        </w:rPr>
      </w:pPr>
      <w:bookmarkStart w:id="83" w:name="_Toc472337681"/>
      <w:bookmarkStart w:id="84" w:name="_Toc472429326"/>
      <w:bookmarkStart w:id="85" w:name="_Toc374358913"/>
      <w:bookmarkStart w:id="86" w:name="_Toc184635095"/>
      <w:bookmarkStart w:id="87" w:name="_Toc363053529"/>
      <w:bookmarkStart w:id="88" w:name="_Toc381964735"/>
      <w:bookmarkStart w:id="89" w:name="_Toc381964643"/>
      <w:bookmarkStart w:id="90" w:name="_Toc26780"/>
      <w:bookmarkStart w:id="91" w:name="_Toc381018334"/>
      <w:r>
        <w:rPr>
          <w:rFonts w:hint="eastAsia" w:ascii="宋体" w:hAnsi="宋体" w:eastAsia="宋体" w:cs="宋体"/>
          <w:szCs w:val="21"/>
        </w:rPr>
        <w:t>2.1初步评审标准</w:t>
      </w:r>
      <w:bookmarkEnd w:id="83"/>
      <w:bookmarkEnd w:id="84"/>
    </w:p>
    <w:p w14:paraId="67684BAE">
      <w:pPr>
        <w:spacing w:line="400" w:lineRule="exact"/>
        <w:ind w:firstLine="420"/>
        <w:rPr>
          <w:rFonts w:ascii="宋体" w:hAnsi="宋体" w:eastAsia="宋体" w:cs="宋体"/>
          <w:szCs w:val="21"/>
        </w:rPr>
      </w:pPr>
      <w:r>
        <w:rPr>
          <w:rFonts w:hint="eastAsia" w:ascii="宋体" w:hAnsi="宋体" w:eastAsia="宋体" w:cs="宋体"/>
          <w:szCs w:val="21"/>
        </w:rPr>
        <w:t>2.l.1资格评审标准：见评标办法前附表；</w:t>
      </w:r>
    </w:p>
    <w:p w14:paraId="564AC40D">
      <w:pPr>
        <w:spacing w:line="400" w:lineRule="exact"/>
        <w:ind w:firstLine="420"/>
        <w:rPr>
          <w:rFonts w:ascii="宋体" w:hAnsi="宋体" w:eastAsia="宋体" w:cs="宋体"/>
          <w:szCs w:val="21"/>
        </w:rPr>
      </w:pPr>
      <w:r>
        <w:rPr>
          <w:rFonts w:hint="eastAsia" w:ascii="宋体" w:hAnsi="宋体" w:eastAsia="宋体" w:cs="宋体"/>
          <w:szCs w:val="21"/>
        </w:rPr>
        <w:t>2.1.2符合性评审标准：见评标办法前附表。</w:t>
      </w:r>
    </w:p>
    <w:p w14:paraId="0FE975F2">
      <w:pPr>
        <w:spacing w:line="400" w:lineRule="exact"/>
        <w:ind w:firstLine="420"/>
        <w:rPr>
          <w:rFonts w:ascii="宋体" w:hAnsi="宋体" w:eastAsia="宋体" w:cs="宋体"/>
          <w:szCs w:val="21"/>
        </w:rPr>
      </w:pPr>
      <w:bookmarkStart w:id="92" w:name="_Toc472429327"/>
      <w:bookmarkStart w:id="93" w:name="_Toc472337682"/>
      <w:r>
        <w:rPr>
          <w:rFonts w:hint="eastAsia" w:ascii="宋体" w:hAnsi="宋体" w:eastAsia="宋体" w:cs="宋体"/>
          <w:szCs w:val="21"/>
        </w:rPr>
        <w:t>2.2 分值构成与评分标准</w:t>
      </w:r>
      <w:bookmarkEnd w:id="92"/>
      <w:bookmarkEnd w:id="93"/>
    </w:p>
    <w:p w14:paraId="39E426A5">
      <w:pPr>
        <w:spacing w:line="400" w:lineRule="exact"/>
        <w:ind w:firstLine="420"/>
        <w:rPr>
          <w:rFonts w:ascii="宋体" w:hAnsi="宋体" w:eastAsia="宋体" w:cs="宋体"/>
          <w:szCs w:val="21"/>
        </w:rPr>
      </w:pPr>
      <w:r>
        <w:rPr>
          <w:rFonts w:hint="eastAsia" w:ascii="宋体" w:hAnsi="宋体" w:eastAsia="宋体" w:cs="宋体"/>
          <w:szCs w:val="21"/>
        </w:rPr>
        <w:t>2.2.1分值构成</w:t>
      </w:r>
    </w:p>
    <w:p w14:paraId="6611E8B6">
      <w:pPr>
        <w:spacing w:line="400" w:lineRule="exact"/>
        <w:ind w:firstLine="420"/>
        <w:rPr>
          <w:rFonts w:ascii="宋体" w:hAnsi="宋体" w:eastAsia="宋体" w:cs="宋体"/>
          <w:szCs w:val="21"/>
        </w:rPr>
      </w:pPr>
      <w:r>
        <w:rPr>
          <w:rFonts w:hint="eastAsia" w:ascii="宋体" w:hAnsi="宋体" w:eastAsia="宋体" w:cs="宋体"/>
          <w:szCs w:val="21"/>
        </w:rPr>
        <w:t>（1）商务标：见评标办法前附表；</w:t>
      </w:r>
    </w:p>
    <w:p w14:paraId="3E4EF8C1">
      <w:pPr>
        <w:spacing w:line="400" w:lineRule="exact"/>
        <w:ind w:firstLine="420"/>
        <w:rPr>
          <w:rFonts w:ascii="宋体" w:hAnsi="宋体" w:eastAsia="宋体" w:cs="宋体"/>
          <w:szCs w:val="21"/>
        </w:rPr>
      </w:pPr>
      <w:r>
        <w:rPr>
          <w:rFonts w:hint="eastAsia" w:ascii="宋体" w:hAnsi="宋体" w:eastAsia="宋体" w:cs="宋体"/>
          <w:szCs w:val="21"/>
        </w:rPr>
        <w:t>（2）技术标：见评标办法前附表；</w:t>
      </w:r>
    </w:p>
    <w:p w14:paraId="6FAE3FD9">
      <w:pPr>
        <w:spacing w:line="400" w:lineRule="exact"/>
        <w:ind w:firstLine="420"/>
        <w:rPr>
          <w:rFonts w:ascii="宋体" w:hAnsi="宋体" w:eastAsia="宋体" w:cs="宋体"/>
          <w:szCs w:val="21"/>
        </w:rPr>
      </w:pPr>
      <w:r>
        <w:rPr>
          <w:rFonts w:hint="eastAsia" w:ascii="宋体" w:hAnsi="宋体" w:eastAsia="宋体" w:cs="宋体"/>
          <w:szCs w:val="21"/>
        </w:rPr>
        <w:t>（3）综合标：见评标办法前附表。</w:t>
      </w:r>
    </w:p>
    <w:p w14:paraId="3F286F1D">
      <w:pPr>
        <w:spacing w:line="400" w:lineRule="exact"/>
        <w:ind w:firstLine="420"/>
        <w:rPr>
          <w:rFonts w:ascii="宋体" w:hAnsi="宋体" w:eastAsia="宋体" w:cs="宋体"/>
          <w:szCs w:val="21"/>
        </w:rPr>
      </w:pPr>
      <w:r>
        <w:rPr>
          <w:rFonts w:hint="eastAsia" w:ascii="宋体" w:hAnsi="宋体" w:eastAsia="宋体" w:cs="宋体"/>
          <w:szCs w:val="21"/>
        </w:rPr>
        <w:t>2.2.2评分标准</w:t>
      </w:r>
    </w:p>
    <w:p w14:paraId="33520A87">
      <w:pPr>
        <w:spacing w:line="400" w:lineRule="exact"/>
        <w:ind w:firstLine="420"/>
        <w:rPr>
          <w:rFonts w:ascii="宋体" w:hAnsi="宋体" w:eastAsia="宋体" w:cs="宋体"/>
          <w:szCs w:val="21"/>
        </w:rPr>
      </w:pPr>
      <w:r>
        <w:rPr>
          <w:rFonts w:hint="eastAsia" w:ascii="宋体" w:hAnsi="宋体" w:eastAsia="宋体" w:cs="宋体"/>
          <w:szCs w:val="21"/>
        </w:rPr>
        <w:t>（1）商务标：见评标办法前附表；</w:t>
      </w:r>
    </w:p>
    <w:p w14:paraId="5784766E">
      <w:pPr>
        <w:spacing w:line="400" w:lineRule="exact"/>
        <w:ind w:firstLine="420"/>
        <w:rPr>
          <w:rFonts w:ascii="宋体" w:hAnsi="宋体" w:eastAsia="宋体" w:cs="宋体"/>
          <w:szCs w:val="21"/>
        </w:rPr>
      </w:pPr>
      <w:r>
        <w:rPr>
          <w:rFonts w:hint="eastAsia" w:ascii="宋体" w:hAnsi="宋体" w:eastAsia="宋体" w:cs="宋体"/>
          <w:szCs w:val="21"/>
        </w:rPr>
        <w:t>（2）技术标：见评标办法前附表；</w:t>
      </w:r>
    </w:p>
    <w:p w14:paraId="27B30F04">
      <w:pPr>
        <w:spacing w:line="400" w:lineRule="exact"/>
        <w:ind w:firstLine="420"/>
        <w:rPr>
          <w:rFonts w:ascii="宋体" w:hAnsi="宋体" w:eastAsia="宋体" w:cs="宋体"/>
          <w:szCs w:val="21"/>
        </w:rPr>
      </w:pPr>
      <w:r>
        <w:rPr>
          <w:rFonts w:hint="eastAsia" w:ascii="宋体" w:hAnsi="宋体" w:eastAsia="宋体" w:cs="宋体"/>
          <w:szCs w:val="21"/>
        </w:rPr>
        <w:t>（3）综合标：见评标办法前附表。</w:t>
      </w:r>
    </w:p>
    <w:p w14:paraId="51A69635">
      <w:pPr>
        <w:pStyle w:val="6"/>
        <w:ind w:firstLine="480"/>
        <w:jc w:val="left"/>
        <w:rPr>
          <w:sz w:val="24"/>
          <w:szCs w:val="24"/>
        </w:rPr>
      </w:pPr>
      <w:r>
        <w:rPr>
          <w:rFonts w:hint="eastAsia"/>
          <w:sz w:val="24"/>
          <w:szCs w:val="24"/>
        </w:rPr>
        <w:t>3、评标程序</w:t>
      </w:r>
      <w:bookmarkEnd w:id="85"/>
      <w:bookmarkEnd w:id="86"/>
      <w:bookmarkEnd w:id="87"/>
      <w:bookmarkEnd w:id="88"/>
      <w:bookmarkEnd w:id="89"/>
      <w:bookmarkEnd w:id="90"/>
      <w:bookmarkEnd w:id="91"/>
    </w:p>
    <w:p w14:paraId="2A06693C">
      <w:pPr>
        <w:spacing w:line="400" w:lineRule="exact"/>
        <w:ind w:firstLine="420"/>
        <w:rPr>
          <w:rFonts w:ascii="宋体" w:hAnsi="宋体" w:eastAsia="宋体" w:cs="宋体"/>
          <w:szCs w:val="21"/>
        </w:rPr>
      </w:pPr>
      <w:r>
        <w:rPr>
          <w:rFonts w:hint="eastAsia" w:ascii="宋体" w:hAnsi="宋体" w:eastAsia="宋体" w:cs="宋体"/>
          <w:szCs w:val="21"/>
        </w:rPr>
        <w:t>3.1 初步评审</w:t>
      </w:r>
    </w:p>
    <w:p w14:paraId="1165B061">
      <w:pPr>
        <w:spacing w:line="400" w:lineRule="exact"/>
        <w:ind w:firstLine="420"/>
        <w:rPr>
          <w:rFonts w:ascii="宋体" w:hAnsi="宋体" w:eastAsia="宋体" w:cs="宋体"/>
          <w:b/>
          <w:bCs/>
          <w:szCs w:val="21"/>
        </w:rPr>
      </w:pPr>
      <w:r>
        <w:rPr>
          <w:rFonts w:hint="eastAsia" w:ascii="宋体" w:hAnsi="宋体" w:eastAsia="宋体" w:cs="宋体"/>
          <w:szCs w:val="21"/>
        </w:rPr>
        <w:t>3.1.1只有通过资格审查的投标人才能进入符合性评审。评标委员会依据初步评审表规定的内容和标准对投标文件进行符合性审查。</w:t>
      </w:r>
      <w:r>
        <w:rPr>
          <w:rFonts w:hint="eastAsia" w:ascii="宋体" w:hAnsi="宋体" w:eastAsia="宋体" w:cs="宋体"/>
          <w:b/>
          <w:bCs/>
          <w:szCs w:val="21"/>
        </w:rPr>
        <w:t>有一项不符合评审标准的，其投标做无效投标处理，不得进入详细评审。</w:t>
      </w:r>
    </w:p>
    <w:p w14:paraId="3050E6EA">
      <w:pPr>
        <w:spacing w:line="400" w:lineRule="exact"/>
        <w:ind w:firstLine="420"/>
        <w:rPr>
          <w:rFonts w:ascii="宋体" w:hAnsi="宋体" w:eastAsia="宋体" w:cs="宋体"/>
          <w:szCs w:val="21"/>
        </w:rPr>
      </w:pPr>
      <w:r>
        <w:rPr>
          <w:rFonts w:hint="eastAsia" w:ascii="宋体" w:hAnsi="宋体" w:eastAsia="宋体" w:cs="宋体"/>
          <w:szCs w:val="21"/>
        </w:rPr>
        <w:t>3.1.2投标报价有算术错误的，评标委员会按以下原则对投标报价进行修正，修正的价格经投标人书面确认后具有约束力。投标人不接受修正价格的，其投标作废标处理。</w:t>
      </w:r>
    </w:p>
    <w:p w14:paraId="5B2EA440">
      <w:pPr>
        <w:spacing w:line="400" w:lineRule="exact"/>
        <w:ind w:firstLine="420"/>
        <w:rPr>
          <w:rFonts w:ascii="宋体" w:hAnsi="宋体" w:eastAsia="宋体" w:cs="宋体"/>
          <w:szCs w:val="21"/>
        </w:rPr>
      </w:pPr>
      <w:r>
        <w:rPr>
          <w:rFonts w:hint="eastAsia" w:ascii="宋体" w:hAnsi="宋体" w:eastAsia="宋体" w:cs="宋体"/>
          <w:szCs w:val="21"/>
        </w:rPr>
        <w:t>（1）投标文件中的大写金额与小写金额不一致的，以大写金额为准（但大写金额有明显错误的除外）；</w:t>
      </w:r>
    </w:p>
    <w:p w14:paraId="76B6D63F">
      <w:pPr>
        <w:spacing w:line="400" w:lineRule="exact"/>
        <w:ind w:firstLine="420"/>
        <w:rPr>
          <w:rFonts w:ascii="宋体" w:hAnsi="宋体" w:eastAsia="宋体" w:cs="宋体"/>
          <w:szCs w:val="21"/>
        </w:rPr>
      </w:pPr>
      <w:r>
        <w:rPr>
          <w:rFonts w:hint="eastAsia" w:ascii="宋体" w:hAnsi="宋体" w:eastAsia="宋体" w:cs="宋体"/>
          <w:szCs w:val="21"/>
        </w:rPr>
        <w:t>（2）总价金额与依据单价计算出的结果不一致的，以单价金额为准修正总价，但单价金额小数点有明显错误的除外。</w:t>
      </w:r>
    </w:p>
    <w:p w14:paraId="5816FCA0">
      <w:pPr>
        <w:spacing w:line="400" w:lineRule="exact"/>
        <w:ind w:firstLine="420"/>
        <w:rPr>
          <w:rFonts w:ascii="宋体" w:hAnsi="宋体" w:eastAsia="宋体" w:cs="宋体"/>
          <w:szCs w:val="21"/>
        </w:rPr>
      </w:pPr>
      <w:r>
        <w:rPr>
          <w:rFonts w:hint="eastAsia" w:ascii="宋体" w:hAnsi="宋体" w:eastAsia="宋体" w:cs="宋体"/>
          <w:szCs w:val="21"/>
        </w:rPr>
        <w:t>3.2 详细评审</w:t>
      </w:r>
    </w:p>
    <w:p w14:paraId="42E1DBDC">
      <w:pPr>
        <w:spacing w:line="400" w:lineRule="exact"/>
        <w:ind w:firstLine="420"/>
        <w:rPr>
          <w:rFonts w:ascii="宋体" w:hAnsi="宋体" w:eastAsia="宋体" w:cs="宋体"/>
          <w:szCs w:val="21"/>
        </w:rPr>
      </w:pPr>
      <w:r>
        <w:rPr>
          <w:rFonts w:hint="eastAsia" w:ascii="宋体" w:hAnsi="宋体" w:eastAsia="宋体" w:cs="宋体"/>
          <w:szCs w:val="21"/>
        </w:rPr>
        <w:t>3.2.1 评标委员会按本章详细评审内容规定的量化因素和分值进行打分，并计算出综合评估得分。</w:t>
      </w:r>
    </w:p>
    <w:p w14:paraId="7A79057D">
      <w:pPr>
        <w:spacing w:line="400" w:lineRule="exact"/>
        <w:ind w:firstLine="420"/>
        <w:rPr>
          <w:rFonts w:ascii="宋体" w:hAnsi="宋体" w:eastAsia="宋体" w:cs="宋体"/>
          <w:szCs w:val="21"/>
        </w:rPr>
      </w:pPr>
      <w:r>
        <w:rPr>
          <w:rFonts w:hint="eastAsia" w:ascii="宋体" w:hAnsi="宋体" w:eastAsia="宋体" w:cs="宋体"/>
          <w:szCs w:val="21"/>
        </w:rPr>
        <w:t>3.2.2 评分分值计算保留小数点后两位，小数点后第三位“四舍五入”。</w:t>
      </w:r>
    </w:p>
    <w:p w14:paraId="704512E3">
      <w:pPr>
        <w:spacing w:line="400" w:lineRule="exact"/>
        <w:ind w:firstLine="420"/>
        <w:rPr>
          <w:rFonts w:ascii="宋体" w:hAnsi="宋体" w:eastAsia="宋体" w:cs="宋体"/>
          <w:szCs w:val="21"/>
        </w:rPr>
      </w:pPr>
      <w:r>
        <w:rPr>
          <w:rFonts w:hint="eastAsia" w:ascii="宋体" w:hAnsi="宋体" w:eastAsia="宋体" w:cs="宋体"/>
          <w:szCs w:val="21"/>
        </w:rPr>
        <w:t>3.2.3 投标人的最终得分以评委打分的算术平均值为准。</w:t>
      </w:r>
    </w:p>
    <w:p w14:paraId="57FD6F2C">
      <w:pPr>
        <w:spacing w:line="400" w:lineRule="exact"/>
        <w:ind w:firstLine="420"/>
        <w:rPr>
          <w:rFonts w:ascii="宋体" w:hAnsi="宋体" w:eastAsia="宋体" w:cs="宋体"/>
          <w:szCs w:val="21"/>
        </w:rPr>
      </w:pPr>
      <w:r>
        <w:rPr>
          <w:rFonts w:hint="eastAsia" w:ascii="宋体" w:hAnsi="宋体" w:eastAsia="宋体" w:cs="宋体"/>
          <w:szCs w:val="21"/>
        </w:rPr>
        <w:t>3.3 投标文件的澄清和补正</w:t>
      </w:r>
    </w:p>
    <w:p w14:paraId="47AFA8A3">
      <w:pPr>
        <w:spacing w:line="400" w:lineRule="exact"/>
        <w:ind w:firstLine="420"/>
        <w:rPr>
          <w:rFonts w:ascii="宋体" w:hAnsi="宋体" w:eastAsia="宋体" w:cs="宋体"/>
          <w:szCs w:val="21"/>
        </w:rPr>
      </w:pPr>
      <w:r>
        <w:rPr>
          <w:rFonts w:hint="eastAsia" w:ascii="宋体" w:hAnsi="宋体" w:eastAsia="宋体" w:cs="宋体"/>
          <w:szCs w:val="21"/>
        </w:rPr>
        <w:t>3.3.1 在评标过程中，评标委员会可以书面形式要求投标人对所提交投标文件中不明确的内容进行书面澄清或说明，或者对细微偏差进行补正。评标委员会不接受投标人主动提出的澄清、说明或补正。</w:t>
      </w:r>
    </w:p>
    <w:p w14:paraId="49D12FF0">
      <w:pPr>
        <w:spacing w:line="400" w:lineRule="exact"/>
        <w:ind w:firstLine="420"/>
        <w:rPr>
          <w:rFonts w:ascii="宋体" w:hAnsi="宋体" w:eastAsia="宋体" w:cs="宋体"/>
          <w:szCs w:val="21"/>
        </w:rPr>
      </w:pPr>
      <w:r>
        <w:rPr>
          <w:rFonts w:hint="eastAsia" w:ascii="宋体" w:hAnsi="宋体" w:eastAsia="宋体" w:cs="宋体"/>
          <w:szCs w:val="21"/>
        </w:rPr>
        <w:t>3.3.2 澄清、说明和补正不得改变投标文件的实质性内容（算术性错误修正的除外）。投标人的书面澄清、说明和补正属于投标文件的组成部分。</w:t>
      </w:r>
    </w:p>
    <w:p w14:paraId="15FDBF50">
      <w:pPr>
        <w:spacing w:line="400" w:lineRule="exact"/>
        <w:ind w:firstLine="420"/>
        <w:rPr>
          <w:rFonts w:ascii="宋体" w:hAnsi="宋体" w:eastAsia="宋体" w:cs="宋体"/>
          <w:szCs w:val="21"/>
        </w:rPr>
      </w:pPr>
      <w:r>
        <w:rPr>
          <w:rFonts w:hint="eastAsia" w:ascii="宋体" w:hAnsi="宋体" w:eastAsia="宋体" w:cs="宋体"/>
          <w:szCs w:val="21"/>
        </w:rPr>
        <w:t>3.3.3 评标委员会对投标人提交的澄清、说明或补正有疑问的，可以要求投标人进一步澄清、说明或补正，直至满足评标委员会的要求。</w:t>
      </w:r>
    </w:p>
    <w:p w14:paraId="240A45E3">
      <w:pPr>
        <w:spacing w:line="400" w:lineRule="exact"/>
        <w:ind w:firstLine="420"/>
        <w:rPr>
          <w:rFonts w:ascii="宋体" w:hAnsi="宋体" w:eastAsia="宋体" w:cs="宋体"/>
          <w:szCs w:val="21"/>
        </w:rPr>
      </w:pPr>
      <w:r>
        <w:rPr>
          <w:rFonts w:hint="eastAsia" w:ascii="宋体" w:hAnsi="宋体" w:eastAsia="宋体" w:cs="宋体"/>
          <w:szCs w:val="21"/>
        </w:rPr>
        <w:t>3.4 评标结果</w:t>
      </w:r>
    </w:p>
    <w:p w14:paraId="76F582EC">
      <w:pPr>
        <w:spacing w:line="400" w:lineRule="exact"/>
        <w:ind w:firstLine="420"/>
        <w:rPr>
          <w:rFonts w:ascii="宋体" w:hAnsi="宋体" w:eastAsia="宋体" w:cs="宋体"/>
          <w:szCs w:val="21"/>
        </w:rPr>
      </w:pPr>
      <w:r>
        <w:rPr>
          <w:rFonts w:hint="eastAsia" w:ascii="宋体" w:hAnsi="宋体" w:eastAsia="宋体" w:cs="宋体"/>
          <w:szCs w:val="21"/>
        </w:rPr>
        <w:t>3.4.1评标委员会完成评标后，应当向采购人提交书面评标报告。</w:t>
      </w:r>
    </w:p>
    <w:p w14:paraId="01319C4A">
      <w:pPr>
        <w:spacing w:line="400" w:lineRule="exact"/>
        <w:ind w:firstLine="420"/>
        <w:rPr>
          <w:rFonts w:ascii="宋体" w:hAnsi="宋体" w:eastAsia="宋体" w:cs="宋体"/>
          <w:szCs w:val="21"/>
        </w:rPr>
      </w:pPr>
      <w:r>
        <w:rPr>
          <w:rFonts w:hint="eastAsia" w:ascii="宋体" w:hAnsi="宋体" w:eastAsia="宋体" w:cs="宋体"/>
          <w:szCs w:val="21"/>
        </w:rPr>
        <w:t>3.4.2评标结果同时在</w:t>
      </w:r>
      <w:r>
        <w:rPr>
          <w:rFonts w:hint="eastAsia" w:ascii="宋体" w:hAnsi="宋体" w:cs="宋体"/>
          <w:szCs w:val="21"/>
        </w:rPr>
        <w:t>《河南省政府采购网》、《全国公共资源交易平台（河南省·信阳市</w:t>
      </w:r>
      <w:r>
        <w:rPr>
          <w:rFonts w:hint="eastAsia" w:ascii="宋体" w:hAnsi="宋体" w:eastAsia="宋体" w:cs="宋体"/>
          <w:szCs w:val="21"/>
        </w:rPr>
        <w:t>）》公示。</w:t>
      </w:r>
      <w:bookmarkStart w:id="94" w:name="_Toc381964644"/>
      <w:bookmarkStart w:id="95" w:name="_Toc381964736"/>
      <w:bookmarkStart w:id="96" w:name="_Toc30991"/>
      <w:bookmarkStart w:id="97" w:name="_Toc376964946"/>
    </w:p>
    <w:p w14:paraId="42E8586D">
      <w:pPr>
        <w:ind w:firstLine="420"/>
        <w:rPr>
          <w:rFonts w:ascii="宋体" w:hAnsi="宋体" w:eastAsia="宋体" w:cs="宋体"/>
          <w:szCs w:val="21"/>
        </w:rPr>
      </w:pPr>
      <w:r>
        <w:rPr>
          <w:rFonts w:hint="eastAsia" w:ascii="宋体" w:hAnsi="宋体" w:eastAsia="宋体" w:cs="宋体"/>
          <w:szCs w:val="21"/>
        </w:rPr>
        <w:br w:type="page"/>
      </w:r>
    </w:p>
    <w:bookmarkEnd w:id="94"/>
    <w:bookmarkEnd w:id="95"/>
    <w:bookmarkEnd w:id="96"/>
    <w:bookmarkEnd w:id="97"/>
    <w:p w14:paraId="39DD8773">
      <w:pPr>
        <w:ind w:firstLine="422"/>
        <w:rPr>
          <w:b/>
          <w:bCs/>
        </w:rPr>
      </w:pPr>
      <w:bookmarkStart w:id="98" w:name="_Toc268"/>
      <w:bookmarkEnd w:id="98"/>
      <w:r>
        <w:rPr>
          <w:rFonts w:hint="eastAsia"/>
          <w:b/>
          <w:bCs/>
        </w:rPr>
        <w:t>附件：废标条件</w:t>
      </w:r>
    </w:p>
    <w:p w14:paraId="77FE702D">
      <w:pPr>
        <w:ind w:firstLine="422"/>
        <w:jc w:val="center"/>
        <w:rPr>
          <w:b/>
          <w:bCs/>
        </w:rPr>
      </w:pPr>
      <w:r>
        <w:rPr>
          <w:rFonts w:hint="eastAsia"/>
          <w:b/>
          <w:bCs/>
        </w:rPr>
        <w:t>废标条件</w:t>
      </w:r>
    </w:p>
    <w:p w14:paraId="33B7EE3B">
      <w:pPr>
        <w:spacing w:line="400" w:lineRule="exact"/>
        <w:ind w:firstLine="422"/>
        <w:rPr>
          <w:rFonts w:ascii="宋体" w:hAnsi="宋体" w:eastAsia="宋体" w:cs="宋体"/>
          <w:b/>
          <w:szCs w:val="21"/>
        </w:rPr>
      </w:pPr>
      <w:r>
        <w:rPr>
          <w:rFonts w:hint="eastAsia" w:ascii="宋体" w:hAnsi="宋体" w:eastAsia="宋体" w:cs="宋体"/>
          <w:b/>
          <w:szCs w:val="21"/>
        </w:rPr>
        <w:t>本附件所集中列示的废标条件，是本章“评标办法”的组成部分，是对第二章“投标人须知”和本章正文部分所规定的废标条件的总结和补充，如果出现相互矛盾的情况，以第二章“投标人须知”和本章正文部分的规定为准。</w:t>
      </w:r>
    </w:p>
    <w:p w14:paraId="14381DF5">
      <w:pPr>
        <w:spacing w:line="400" w:lineRule="exact"/>
        <w:ind w:firstLine="422"/>
        <w:rPr>
          <w:rFonts w:ascii="宋体" w:hAnsi="宋体" w:eastAsia="宋体" w:cs="宋体"/>
          <w:b/>
          <w:szCs w:val="21"/>
        </w:rPr>
      </w:pPr>
      <w:r>
        <w:rPr>
          <w:rFonts w:hint="eastAsia" w:ascii="宋体" w:hAnsi="宋体" w:eastAsia="宋体" w:cs="宋体"/>
          <w:b/>
          <w:szCs w:val="21"/>
        </w:rPr>
        <w:t xml:space="preserve">1.未通过第三章评标办法资格评审、符合性评审的； </w:t>
      </w:r>
    </w:p>
    <w:p w14:paraId="79493D80">
      <w:pPr>
        <w:spacing w:line="400" w:lineRule="exact"/>
        <w:ind w:firstLine="422"/>
        <w:rPr>
          <w:rFonts w:ascii="宋体" w:hAnsi="宋体" w:eastAsia="宋体" w:cs="宋体"/>
          <w:b/>
          <w:szCs w:val="21"/>
        </w:rPr>
      </w:pPr>
      <w:r>
        <w:rPr>
          <w:rFonts w:hint="eastAsia" w:ascii="宋体" w:hAnsi="宋体" w:eastAsia="宋体" w:cs="宋体"/>
          <w:b/>
          <w:szCs w:val="21"/>
        </w:rPr>
        <w:t xml:space="preserve">  2.不按评标委员会要求澄清、说明或补正的；</w:t>
      </w:r>
    </w:p>
    <w:p w14:paraId="6B5BB403">
      <w:pPr>
        <w:spacing w:line="400" w:lineRule="exact"/>
        <w:ind w:firstLine="422"/>
        <w:rPr>
          <w:rFonts w:ascii="宋体" w:hAnsi="宋体" w:eastAsia="宋体" w:cs="宋体"/>
          <w:b/>
          <w:szCs w:val="21"/>
        </w:rPr>
      </w:pPr>
      <w:r>
        <w:rPr>
          <w:rFonts w:hint="eastAsia" w:ascii="宋体" w:hAnsi="宋体" w:eastAsia="宋体" w:cs="宋体"/>
          <w:b/>
          <w:szCs w:val="21"/>
        </w:rPr>
        <w:t>3.投标报价有算术性错误，投标人不接受修正价格的；</w:t>
      </w:r>
    </w:p>
    <w:p w14:paraId="35069E51">
      <w:pPr>
        <w:spacing w:line="400" w:lineRule="exact"/>
        <w:ind w:firstLine="422"/>
        <w:rPr>
          <w:rFonts w:ascii="宋体" w:hAnsi="宋体" w:eastAsia="宋体" w:cs="宋体"/>
          <w:b/>
          <w:szCs w:val="21"/>
        </w:rPr>
      </w:pPr>
      <w:r>
        <w:rPr>
          <w:rFonts w:hint="eastAsia" w:ascii="宋体" w:hAnsi="宋体" w:eastAsia="宋体" w:cs="宋体"/>
          <w:b/>
          <w:szCs w:val="21"/>
        </w:rPr>
        <w:t>4.以他人的名义投标、以行贿手段谋取中标或者以其他弄虚作假方式投标的；</w:t>
      </w:r>
    </w:p>
    <w:p w14:paraId="2F80EC4D">
      <w:pPr>
        <w:spacing w:line="400" w:lineRule="exact"/>
        <w:ind w:firstLine="422"/>
        <w:rPr>
          <w:rFonts w:ascii="宋体" w:hAnsi="宋体" w:eastAsia="宋体" w:cs="宋体"/>
          <w:b/>
          <w:szCs w:val="21"/>
        </w:rPr>
      </w:pPr>
      <w:r>
        <w:rPr>
          <w:rFonts w:hint="eastAsia" w:ascii="宋体" w:hAnsi="宋体" w:eastAsia="宋体" w:cs="宋体"/>
          <w:b/>
          <w:szCs w:val="21"/>
        </w:rPr>
        <w:t>5.属于串（围）标行为的；</w:t>
      </w:r>
    </w:p>
    <w:p w14:paraId="04727351">
      <w:pPr>
        <w:spacing w:line="400" w:lineRule="exact"/>
        <w:ind w:firstLine="422"/>
        <w:rPr>
          <w:rFonts w:ascii="宋体" w:hAnsi="宋体" w:eastAsia="宋体" w:cs="宋体"/>
          <w:b/>
          <w:szCs w:val="21"/>
        </w:rPr>
      </w:pPr>
      <w:r>
        <w:rPr>
          <w:rFonts w:hint="eastAsia" w:ascii="宋体" w:hAnsi="宋体" w:eastAsia="宋体" w:cs="宋体"/>
          <w:b/>
          <w:szCs w:val="21"/>
        </w:rPr>
        <w:t>6.评标委员会认定投标人以低于成本报价竞标的；</w:t>
      </w:r>
    </w:p>
    <w:p w14:paraId="07FA33B3">
      <w:pPr>
        <w:spacing w:line="400" w:lineRule="exact"/>
        <w:ind w:firstLine="422"/>
        <w:rPr>
          <w:rFonts w:ascii="宋体" w:hAnsi="宋体" w:eastAsia="宋体" w:cs="宋体"/>
          <w:b/>
          <w:szCs w:val="21"/>
        </w:rPr>
      </w:pPr>
      <w:r>
        <w:rPr>
          <w:rFonts w:hint="eastAsia" w:ascii="宋体" w:hAnsi="宋体" w:eastAsia="宋体" w:cs="宋体"/>
          <w:b/>
          <w:szCs w:val="21"/>
        </w:rPr>
        <w:t>7．明显不符合技术规格、技术标准的要求；</w:t>
      </w:r>
    </w:p>
    <w:p w14:paraId="3091DD63">
      <w:pPr>
        <w:spacing w:line="400" w:lineRule="exact"/>
        <w:ind w:firstLine="422"/>
        <w:rPr>
          <w:rFonts w:ascii="宋体" w:hAnsi="宋体" w:eastAsia="宋体" w:cs="宋体"/>
          <w:b/>
          <w:szCs w:val="21"/>
        </w:rPr>
      </w:pPr>
      <w:r>
        <w:rPr>
          <w:rFonts w:hint="eastAsia" w:ascii="宋体" w:hAnsi="宋体" w:eastAsia="宋体" w:cs="宋体"/>
          <w:b/>
          <w:szCs w:val="21"/>
        </w:rPr>
        <w:t>8.不具备招标文件中规定的资格要求的；</w:t>
      </w:r>
    </w:p>
    <w:p w14:paraId="78C6C565">
      <w:pPr>
        <w:spacing w:line="400" w:lineRule="exact"/>
        <w:ind w:firstLine="422"/>
        <w:rPr>
          <w:rFonts w:ascii="宋体" w:hAnsi="宋体" w:eastAsia="宋体" w:cs="宋体"/>
          <w:b/>
          <w:szCs w:val="21"/>
        </w:rPr>
      </w:pPr>
      <w:r>
        <w:rPr>
          <w:rFonts w:hint="eastAsia" w:ascii="宋体" w:hAnsi="宋体" w:eastAsia="宋体" w:cs="宋体"/>
          <w:b/>
          <w:szCs w:val="21"/>
        </w:rPr>
        <w:t>9.文件制作机器码、文件创建标识码有相同的；</w:t>
      </w:r>
    </w:p>
    <w:p w14:paraId="2ADE6D14">
      <w:pPr>
        <w:spacing w:line="400" w:lineRule="exact"/>
        <w:ind w:firstLine="422"/>
        <w:jc w:val="left"/>
        <w:rPr>
          <w:rFonts w:ascii="宋体" w:hAnsi="宋体" w:eastAsia="宋体" w:cs="宋体"/>
          <w:b/>
          <w:szCs w:val="21"/>
        </w:rPr>
      </w:pPr>
      <w:r>
        <w:rPr>
          <w:rFonts w:hint="eastAsia" w:ascii="宋体" w:hAnsi="宋体" w:eastAsia="宋体" w:cs="宋体"/>
          <w:b/>
          <w:szCs w:val="21"/>
        </w:rPr>
        <w:t>10．不符合招标文件规定的其他实质性要求及相关法律、法规或规章规定可以废标的其他情形。</w:t>
      </w:r>
    </w:p>
    <w:p w14:paraId="4803FEB3">
      <w:pPr>
        <w:ind w:firstLine="422"/>
        <w:rPr>
          <w:rFonts w:ascii="宋体" w:hAnsi="宋体" w:eastAsia="宋体" w:cs="宋体"/>
          <w:b/>
          <w:szCs w:val="21"/>
        </w:rPr>
      </w:pPr>
      <w:r>
        <w:rPr>
          <w:rFonts w:hint="eastAsia" w:ascii="宋体" w:hAnsi="宋体" w:eastAsia="宋体" w:cs="宋体"/>
          <w:b/>
          <w:szCs w:val="21"/>
        </w:rPr>
        <w:br w:type="page"/>
      </w:r>
    </w:p>
    <w:p w14:paraId="51D097AC">
      <w:pPr>
        <w:pStyle w:val="5"/>
        <w:ind w:firstLine="0" w:firstLineChars="0"/>
        <w:rPr>
          <w:color w:val="auto"/>
        </w:rPr>
      </w:pPr>
      <w:bookmarkStart w:id="99" w:name="_Toc1312"/>
      <w:r>
        <w:rPr>
          <w:rFonts w:hint="eastAsia"/>
          <w:color w:val="auto"/>
        </w:rPr>
        <w:t>第四章 合同主要条款及格式</w:t>
      </w:r>
      <w:bookmarkEnd w:id="99"/>
    </w:p>
    <w:p w14:paraId="49978DB6">
      <w:pPr>
        <w:spacing w:line="360" w:lineRule="auto"/>
        <w:ind w:firstLine="0" w:firstLineChars="0"/>
        <w:jc w:val="center"/>
        <w:rPr>
          <w:rFonts w:ascii="宋体" w:hAnsi="宋体" w:cs="宋体"/>
          <w:sz w:val="30"/>
          <w:szCs w:val="30"/>
        </w:rPr>
      </w:pPr>
      <w:r>
        <w:rPr>
          <w:rFonts w:hint="eastAsia" w:ascii="宋体" w:hAnsi="宋体" w:cs="宋体"/>
          <w:b/>
          <w:sz w:val="28"/>
          <w:szCs w:val="28"/>
        </w:rPr>
        <w:t>（仅供参考）</w:t>
      </w:r>
    </w:p>
    <w:p w14:paraId="1C259D5D">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 xml:space="preserve">采购人（招标人）： </w:t>
      </w:r>
      <w:r>
        <w:rPr>
          <w:rFonts w:hint="eastAsia" w:ascii="宋体" w:hAnsi="宋体" w:cs="宋体"/>
          <w:kern w:val="0"/>
          <w:szCs w:val="21"/>
          <w:u w:val="single"/>
        </w:rPr>
        <w:t xml:space="preserve">        </w:t>
      </w:r>
      <w:r>
        <w:rPr>
          <w:rFonts w:hint="eastAsia" w:ascii="宋体" w:hAnsi="宋体" w:cs="宋体"/>
          <w:kern w:val="0"/>
          <w:szCs w:val="21"/>
        </w:rPr>
        <w:t>（以下简称甲方）</w:t>
      </w:r>
    </w:p>
    <w:p w14:paraId="7369DA21">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 xml:space="preserve">投标人（供应商）： </w:t>
      </w:r>
      <w:r>
        <w:rPr>
          <w:rFonts w:hint="eastAsia" w:ascii="宋体" w:hAnsi="宋体" w:cs="宋体"/>
          <w:kern w:val="0"/>
          <w:szCs w:val="21"/>
          <w:u w:val="single"/>
        </w:rPr>
        <w:t xml:space="preserve">        </w:t>
      </w:r>
      <w:r>
        <w:rPr>
          <w:rFonts w:hint="eastAsia" w:ascii="宋体" w:hAnsi="宋体" w:cs="宋体"/>
          <w:kern w:val="0"/>
          <w:szCs w:val="21"/>
        </w:rPr>
        <w:t>（以下简称乙方）</w:t>
      </w:r>
    </w:p>
    <w:p w14:paraId="35927B61">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经甲乙双方充分协商，特订立本合同，以便共同遵守。</w:t>
      </w:r>
    </w:p>
    <w:p w14:paraId="1E5F8216">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一、合同标底：</w:t>
      </w:r>
    </w:p>
    <w:p w14:paraId="79B68D11">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根据招标文件及其补充文件、中标方的投标文件及其澄清文件和甲方政府采购项目明细表等确定（清单附后，甲乙双方须在清单上盖章）。</w:t>
      </w:r>
    </w:p>
    <w:p w14:paraId="468637D5">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二、合同价格：</w:t>
      </w:r>
    </w:p>
    <w:p w14:paraId="6403C2CF">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三、交货时间及地点：</w:t>
      </w:r>
    </w:p>
    <w:p w14:paraId="51924367">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1、乙方在采购合同签订后日历天内全部交付并安装调试完毕（具体日期由签订合同之日起计算）；</w:t>
      </w:r>
    </w:p>
    <w:p w14:paraId="15225A96">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2、乙方自定运输方式，自付费用将中标货物合同标的送达甲方指定地点。</w:t>
      </w:r>
    </w:p>
    <w:p w14:paraId="3C7CA600">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四、技术规格：</w:t>
      </w:r>
    </w:p>
    <w:p w14:paraId="2D8B6167">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1、乙方提供的产品的技术规格有国家标准的应符合现行国家标准，无国家标准的应符合部颁标准或行业标准，并满足标的清单中的规定。</w:t>
      </w:r>
    </w:p>
    <w:p w14:paraId="42B1A262">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2、乙方保证提供的产品是全新的正品品牌货物，必须满足投标文件承诺的所有服务。</w:t>
      </w:r>
    </w:p>
    <w:p w14:paraId="282F7D57">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五、附件、配件：</w:t>
      </w:r>
    </w:p>
    <w:p w14:paraId="0C170D7D">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按产品所附使用说明书及清单执行；包括厂家在促销等特别期间承诺提供的附件。</w:t>
      </w:r>
    </w:p>
    <w:p w14:paraId="7F33CB7C">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六、售后服务：</w:t>
      </w:r>
    </w:p>
    <w:p w14:paraId="3396B110">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1、产品质量：在质保期内，甲方正常使用乙方所供产品而出现质量问题时，乙方按“质量保证承诺书”负责；对产品出现的故障乙方应免费上门服务。</w:t>
      </w:r>
    </w:p>
    <w:p w14:paraId="3A9999AA">
      <w:pPr>
        <w:autoSpaceDE w:val="0"/>
        <w:autoSpaceDN w:val="0"/>
        <w:adjustRightInd w:val="0"/>
        <w:spacing w:line="400" w:lineRule="exact"/>
        <w:ind w:firstLine="420"/>
        <w:rPr>
          <w:rFonts w:ascii="宋体" w:hAnsi="宋体" w:cs="宋体"/>
          <w:szCs w:val="21"/>
        </w:rPr>
      </w:pPr>
      <w:r>
        <w:rPr>
          <w:rFonts w:hint="eastAsia" w:ascii="宋体" w:hAnsi="宋体" w:cs="宋体"/>
          <w:kern w:val="0"/>
          <w:szCs w:val="21"/>
        </w:rPr>
        <w:t>2、产品使用：甲方在使用乙方所供产品中出现问题需乙方指导解决时，乙方应及时给予解决。</w:t>
      </w:r>
    </w:p>
    <w:p w14:paraId="3CF37FBE">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七、验收及异议：</w:t>
      </w:r>
    </w:p>
    <w:p w14:paraId="130AD7DB">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1、甲方验收，并根据实际验收情况向乙方签发验收报告；</w:t>
      </w:r>
    </w:p>
    <w:p w14:paraId="58499207">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2、甲方在验收中，如果发现有与合同规定不符的，应在3天内向乙方提出书面异议，不签发验收报告；并同时将该书面异议送达有关部门；甲方未按规定期限提出书面异议并且签发验收报告的，视为甲方放弃自己的权利。乙方在接到甲方书面异议后，应在3天内予以纠正，并对纠正情况以书面形式告知有关部门，否则视为无效。</w:t>
      </w:r>
    </w:p>
    <w:p w14:paraId="7B989CD3">
      <w:pPr>
        <w:autoSpaceDE w:val="0"/>
        <w:autoSpaceDN w:val="0"/>
        <w:adjustRightInd w:val="0"/>
        <w:spacing w:line="400" w:lineRule="exact"/>
        <w:ind w:firstLine="422"/>
        <w:rPr>
          <w:rFonts w:ascii="宋体" w:hAnsi="宋体" w:cs="宋体"/>
          <w:b/>
          <w:bCs/>
          <w:kern w:val="0"/>
          <w:szCs w:val="21"/>
        </w:rPr>
      </w:pPr>
      <w:r>
        <w:rPr>
          <w:rFonts w:hint="eastAsia" w:ascii="宋体" w:hAnsi="宋体" w:cs="宋体"/>
          <w:b/>
          <w:bCs/>
          <w:kern w:val="0"/>
          <w:szCs w:val="21"/>
        </w:rPr>
        <w:t>八、付款方式：（不得设置履约保证金）</w:t>
      </w:r>
    </w:p>
    <w:p w14:paraId="05EB89D5">
      <w:pPr>
        <w:pStyle w:val="2"/>
        <w:spacing w:line="400" w:lineRule="exact"/>
        <w:ind w:firstLine="482" w:firstLineChars="200"/>
        <w:rPr>
          <w:rFonts w:ascii="宋体" w:hAnsi="宋体" w:cs="宋体"/>
          <w:b/>
          <w:bCs/>
          <w:szCs w:val="21"/>
        </w:rPr>
      </w:pPr>
      <w:r>
        <w:rPr>
          <w:rFonts w:hint="eastAsia" w:ascii="宋体" w:hAnsi="宋体" w:cs="宋体"/>
          <w:b/>
          <w:bCs/>
          <w:szCs w:val="21"/>
        </w:rPr>
        <w:t>1.预付款：签订合同后7个工作日内支付合同总价的</w:t>
      </w:r>
      <w:r>
        <w:rPr>
          <w:rFonts w:hint="eastAsia" w:ascii="宋体" w:hAnsi="宋体" w:cs="宋体"/>
          <w:b/>
          <w:bCs/>
          <w:szCs w:val="21"/>
          <w:lang w:val="en-US" w:eastAsia="zh-CN"/>
        </w:rPr>
        <w:t xml:space="preserve">  </w:t>
      </w:r>
      <w:r>
        <w:rPr>
          <w:rFonts w:hint="eastAsia" w:ascii="宋体" w:hAnsi="宋体" w:cs="宋体"/>
          <w:b/>
          <w:bCs/>
          <w:szCs w:val="21"/>
        </w:rPr>
        <w:t>%；（建议预付比例不低于30%，对中小微企业预付比例建议不低于50%）</w:t>
      </w:r>
    </w:p>
    <w:p w14:paraId="4B08DD23">
      <w:pPr>
        <w:pStyle w:val="2"/>
        <w:spacing w:line="400" w:lineRule="exact"/>
        <w:ind w:firstLine="482" w:firstLineChars="200"/>
        <w:rPr>
          <w:rFonts w:ascii="宋体" w:hAnsi="宋体" w:cs="宋体"/>
          <w:b/>
          <w:bCs/>
          <w:szCs w:val="21"/>
        </w:rPr>
      </w:pPr>
      <w:r>
        <w:rPr>
          <w:rFonts w:hint="eastAsia" w:ascii="宋体" w:hAnsi="宋体" w:cs="宋体"/>
          <w:b/>
          <w:bCs/>
          <w:szCs w:val="21"/>
        </w:rPr>
        <w:t>2.全部货物发货至安装地点15天内支付至合同总价的</w:t>
      </w:r>
      <w:r>
        <w:rPr>
          <w:rFonts w:hint="eastAsia" w:ascii="宋体" w:hAnsi="宋体" w:cs="宋体"/>
          <w:b/>
          <w:bCs/>
          <w:szCs w:val="21"/>
          <w:lang w:val="en-US" w:eastAsia="zh-CN"/>
        </w:rPr>
        <w:t xml:space="preserve">  </w:t>
      </w:r>
      <w:r>
        <w:rPr>
          <w:rFonts w:hint="eastAsia" w:ascii="宋体" w:hAnsi="宋体" w:cs="宋体"/>
          <w:b/>
          <w:bCs/>
          <w:szCs w:val="21"/>
        </w:rPr>
        <w:t>%；</w:t>
      </w:r>
    </w:p>
    <w:p w14:paraId="7772B6AD">
      <w:pPr>
        <w:pStyle w:val="2"/>
        <w:spacing w:line="400" w:lineRule="exact"/>
        <w:ind w:firstLine="482" w:firstLineChars="200"/>
        <w:rPr>
          <w:rFonts w:ascii="宋体" w:hAnsi="宋体" w:cs="宋体"/>
          <w:b/>
          <w:bCs/>
          <w:szCs w:val="21"/>
        </w:rPr>
      </w:pPr>
      <w:r>
        <w:rPr>
          <w:rFonts w:hint="eastAsia" w:ascii="宋体" w:hAnsi="宋体" w:cs="宋体"/>
          <w:b/>
          <w:bCs/>
          <w:szCs w:val="21"/>
        </w:rPr>
        <w:t>3.安装完成并验收合格支付至合同总价的</w:t>
      </w:r>
      <w:r>
        <w:rPr>
          <w:rFonts w:hint="eastAsia" w:ascii="宋体" w:hAnsi="宋体" w:cs="宋体"/>
          <w:b/>
          <w:bCs/>
          <w:szCs w:val="21"/>
          <w:lang w:val="en-US" w:eastAsia="zh-CN"/>
        </w:rPr>
        <w:t xml:space="preserve">  %</w:t>
      </w:r>
      <w:r>
        <w:rPr>
          <w:rFonts w:hint="eastAsia" w:ascii="宋体" w:hAnsi="宋体" w:cs="宋体"/>
          <w:b/>
          <w:bCs/>
          <w:szCs w:val="21"/>
        </w:rPr>
        <w:t>；（验收合格后发布验收公告，验收公告发布时间至付款时间为7日，开票时间至付款时间为5日）</w:t>
      </w:r>
    </w:p>
    <w:p w14:paraId="2B124F9A">
      <w:pPr>
        <w:pStyle w:val="47"/>
        <w:spacing w:line="400" w:lineRule="exact"/>
        <w:ind w:firstLine="422" w:firstLineChars="200"/>
        <w:rPr>
          <w:color w:val="auto"/>
        </w:rPr>
      </w:pPr>
      <w:r>
        <w:rPr>
          <w:rFonts w:hint="eastAsia" w:hAnsi="宋体"/>
          <w:b/>
          <w:bCs/>
          <w:color w:val="auto"/>
          <w:kern w:val="2"/>
          <w:sz w:val="21"/>
          <w:szCs w:val="21"/>
        </w:rPr>
        <w:t>4.余</w:t>
      </w:r>
      <w:r>
        <w:rPr>
          <w:rFonts w:hint="eastAsia" w:hAnsi="宋体"/>
          <w:b/>
          <w:bCs/>
          <w:color w:val="auto"/>
          <w:kern w:val="2"/>
          <w:sz w:val="21"/>
          <w:szCs w:val="21"/>
          <w:lang w:val="en-US" w:eastAsia="zh-CN"/>
        </w:rPr>
        <w:t xml:space="preserve">  </w:t>
      </w:r>
      <w:r>
        <w:rPr>
          <w:rFonts w:hint="eastAsia" w:hAnsi="宋体"/>
          <w:b/>
          <w:bCs/>
          <w:color w:val="auto"/>
          <w:kern w:val="2"/>
          <w:sz w:val="21"/>
          <w:szCs w:val="21"/>
        </w:rPr>
        <w:t>%作为质量保证金，质保到期后一次性返还。</w:t>
      </w:r>
    </w:p>
    <w:p w14:paraId="40C7C718">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九、违约责任：</w:t>
      </w:r>
    </w:p>
    <w:p w14:paraId="57EF7478">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1、乙方不能按时交货或因不可抗力的原因不能按时交货而未在交货期限内书面或电话告知甲方的，应向甲方偿付不能交货部分货款5%的违约金；</w:t>
      </w:r>
    </w:p>
    <w:p w14:paraId="3AFCD4A9">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2、乙方所交标的品牌、型号、规格、质量等不符合合同规定，按违约处理，并赔偿合同金额总数及承担由此给甲方带来的其他损失。</w:t>
      </w:r>
    </w:p>
    <w:p w14:paraId="0471E938">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十、由于不可抗力的原因不能履行合同时，应及时向对方通报不能履行或不能安全履行的理由，在取得有关权威部门的证明以后，允许延期履行、部分履行或者不履行合同，并根据情况可部分或全部免予承担违约责任。</w:t>
      </w:r>
    </w:p>
    <w:p w14:paraId="58AA4753">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十一、本合同如发生纠纷，甲乙双方协商解决，协商不成时，约定由信阳市仲裁委员会仲裁。</w:t>
      </w:r>
    </w:p>
    <w:p w14:paraId="391E1457">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十二、本合同自签字之日起生效，甲乙双方均不得随意变更或解除合同。</w:t>
      </w:r>
    </w:p>
    <w:p w14:paraId="563767BB">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十三、合同如有未尽事宜，须经甲乙双方共同协商，作出补充约定，补充约定与本合同具有同等法律效力。</w:t>
      </w:r>
    </w:p>
    <w:p w14:paraId="6D731237">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十四、本合同一式六份，甲方执四份、乙方执二份，具体内容以合同签订时甲、乙双方协商为准。</w:t>
      </w:r>
    </w:p>
    <w:p w14:paraId="35570258">
      <w:pPr>
        <w:pStyle w:val="47"/>
        <w:spacing w:line="400" w:lineRule="exact"/>
        <w:rPr>
          <w:rFonts w:hAnsi="宋体"/>
          <w:color w:val="auto"/>
          <w:sz w:val="21"/>
          <w:szCs w:val="21"/>
        </w:rPr>
      </w:pPr>
    </w:p>
    <w:p w14:paraId="7BE82014">
      <w:pPr>
        <w:autoSpaceDE w:val="0"/>
        <w:autoSpaceDN w:val="0"/>
        <w:adjustRightInd w:val="0"/>
        <w:spacing w:line="400" w:lineRule="exact"/>
        <w:ind w:firstLine="420"/>
        <w:rPr>
          <w:rFonts w:ascii="宋体" w:hAnsi="宋体" w:cs="宋体"/>
          <w:kern w:val="0"/>
          <w:szCs w:val="21"/>
        </w:rPr>
      </w:pPr>
      <w:r>
        <w:rPr>
          <w:rFonts w:hint="eastAsia" w:ascii="宋体" w:hAnsi="宋体" w:cs="宋体"/>
          <w:szCs w:val="21"/>
        </w:rPr>
        <w:t>采购人（</w:t>
      </w:r>
      <w:r>
        <w:rPr>
          <w:rFonts w:hint="eastAsia" w:ascii="宋体" w:hAnsi="宋体" w:cs="宋体"/>
          <w:kern w:val="0"/>
          <w:szCs w:val="21"/>
        </w:rPr>
        <w:t>甲方）：（公章）                          投标人（乙方）：（公章）</w:t>
      </w:r>
    </w:p>
    <w:p w14:paraId="2CF7B795">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法定代表人或授权代理人：（签字）                   法定代表人或授权代理人：（签字）</w:t>
      </w:r>
    </w:p>
    <w:p w14:paraId="235DDFCE">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地    址：                                          地    址：</w:t>
      </w:r>
    </w:p>
    <w:p w14:paraId="0FCB07C7">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开户银行：                                          开户银行：</w:t>
      </w:r>
    </w:p>
    <w:p w14:paraId="6EF793C4">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账    号：                                          账    号：</w:t>
      </w:r>
    </w:p>
    <w:p w14:paraId="3CE4349C">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电    话：                                          电    话：</w:t>
      </w:r>
    </w:p>
    <w:p w14:paraId="21ADB9A7">
      <w:pPr>
        <w:autoSpaceDE w:val="0"/>
        <w:autoSpaceDN w:val="0"/>
        <w:adjustRightInd w:val="0"/>
        <w:spacing w:line="400" w:lineRule="exact"/>
        <w:ind w:firstLine="420"/>
        <w:rPr>
          <w:rFonts w:ascii="宋体" w:hAnsi="宋体" w:cs="宋体"/>
          <w:szCs w:val="21"/>
        </w:rPr>
      </w:pPr>
      <w:r>
        <w:rPr>
          <w:rFonts w:hint="eastAsia" w:ascii="宋体" w:hAnsi="宋体" w:cs="宋体"/>
          <w:kern w:val="0"/>
          <w:szCs w:val="21"/>
        </w:rPr>
        <w:t xml:space="preserve">    年   月   日                                               年   月   日</w:t>
      </w:r>
    </w:p>
    <w:p w14:paraId="4BD90EBB">
      <w:pPr>
        <w:spacing w:line="400" w:lineRule="exact"/>
        <w:ind w:firstLine="420"/>
        <w:jc w:val="center"/>
        <w:rPr>
          <w:rFonts w:ascii="宋体" w:hAnsi="宋体" w:cs="宋体"/>
          <w:szCs w:val="21"/>
          <w:u w:val="single"/>
        </w:rPr>
      </w:pPr>
    </w:p>
    <w:p w14:paraId="45079DB2">
      <w:pPr>
        <w:ind w:firstLine="0" w:firstLineChars="0"/>
      </w:pPr>
      <w:r>
        <w:rPr>
          <w:rFonts w:hint="eastAsia" w:ascii="宋体" w:hAnsi="宋体" w:cs="宋体"/>
          <w:b/>
          <w:bCs/>
          <w:szCs w:val="21"/>
        </w:rPr>
        <w:t>合同融资注意事项：1）供应商预进行合同融资的，在签订合同时，供应商的合同账号需为合同融资行指定的账户和账号。2）预进行合同融资的合同，采购人在合同备案时，需将备案系统中供应商默认账户和账号修改为合同融资行指定的账户和账号，然后再提交合同备案。</w:t>
      </w:r>
    </w:p>
    <w:p w14:paraId="664888AA">
      <w:pPr>
        <w:ind w:firstLine="422"/>
        <w:rPr>
          <w:rFonts w:ascii="宋体" w:hAnsi="宋体" w:eastAsia="宋体" w:cs="宋体"/>
          <w:b/>
          <w:bCs/>
        </w:rPr>
        <w:sectPr>
          <w:footerReference r:id="rId13" w:type="default"/>
          <w:pgSz w:w="11906" w:h="16838"/>
          <w:pgMar w:top="1701" w:right="1418" w:bottom="1701" w:left="1418" w:header="851" w:footer="992" w:gutter="0"/>
          <w:pgNumType w:start="1"/>
          <w:cols w:space="425" w:num="1"/>
          <w:docGrid w:type="lines" w:linePitch="312" w:charSpace="0"/>
        </w:sectPr>
      </w:pPr>
    </w:p>
    <w:p w14:paraId="100AC93B">
      <w:pPr>
        <w:ind w:firstLine="723"/>
        <w:jc w:val="center"/>
        <w:rPr>
          <w:rFonts w:asciiTheme="minorEastAsia" w:hAnsiTheme="minorEastAsia"/>
          <w:b/>
          <w:bCs/>
          <w:sz w:val="36"/>
          <w:szCs w:val="36"/>
        </w:rPr>
      </w:pPr>
      <w:r>
        <w:rPr>
          <w:rFonts w:hint="eastAsia" w:asciiTheme="minorEastAsia" w:hAnsiTheme="minorEastAsia"/>
          <w:b/>
          <w:bCs/>
          <w:sz w:val="36"/>
          <w:szCs w:val="36"/>
        </w:rPr>
        <w:t>第五章 采购项目技术参数</w:t>
      </w:r>
    </w:p>
    <w:p w14:paraId="5A0E72FC">
      <w:pPr>
        <w:ind w:firstLine="562"/>
        <w:jc w:val="center"/>
        <w:rPr>
          <w:rFonts w:asciiTheme="minorEastAsia" w:hAnsiTheme="minorEastAsia"/>
          <w:b/>
          <w:bCs/>
          <w:sz w:val="36"/>
          <w:szCs w:val="36"/>
        </w:rPr>
      </w:pPr>
      <w:r>
        <w:rPr>
          <w:rFonts w:hint="eastAsia" w:asciiTheme="minorEastAsia" w:hAnsiTheme="minorEastAsia"/>
          <w:b/>
          <w:bCs/>
          <w:sz w:val="28"/>
          <w:szCs w:val="28"/>
        </w:rPr>
        <w:t>（核心产品为：智慧音乐教学云平台、智慧黑板（多媒体））</w:t>
      </w:r>
    </w:p>
    <w:tbl>
      <w:tblPr>
        <w:tblStyle w:val="28"/>
        <w:tblW w:w="13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1400"/>
        <w:gridCol w:w="9766"/>
        <w:gridCol w:w="698"/>
        <w:gridCol w:w="843"/>
        <w:gridCol w:w="698"/>
      </w:tblGrid>
      <w:tr w14:paraId="373C4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8" w:type="dxa"/>
            <w:gridSpan w:val="6"/>
            <w:vAlign w:val="center"/>
          </w:tcPr>
          <w:p w14:paraId="53BD194F">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b/>
                <w:kern w:val="0"/>
                <w:sz w:val="24"/>
                <w:szCs w:val="24"/>
              </w:rPr>
            </w:pPr>
            <w:r>
              <w:rPr>
                <w:rFonts w:hint="eastAsia" w:asciiTheme="minorEastAsia" w:hAnsiTheme="minorEastAsia" w:cstheme="minorEastAsia"/>
                <w:b/>
                <w:kern w:val="0"/>
                <w:sz w:val="28"/>
                <w:szCs w:val="28"/>
              </w:rPr>
              <w:t>一、多功能形体训练教室升级（2间）</w:t>
            </w:r>
          </w:p>
        </w:tc>
      </w:tr>
      <w:tr w14:paraId="6E83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5ECE1D56">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bookmarkStart w:id="100" w:name="_Hlk193127433"/>
            <w:r>
              <w:rPr>
                <w:rFonts w:hint="eastAsia" w:asciiTheme="minorEastAsia" w:hAnsiTheme="minorEastAsia" w:cstheme="minorEastAsia"/>
                <w:kern w:val="0"/>
                <w:sz w:val="24"/>
                <w:szCs w:val="24"/>
              </w:rPr>
              <w:t>序号</w:t>
            </w:r>
          </w:p>
        </w:tc>
        <w:tc>
          <w:tcPr>
            <w:tcW w:w="1400" w:type="dxa"/>
            <w:vAlign w:val="center"/>
          </w:tcPr>
          <w:p w14:paraId="746F9FED">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设备名称</w:t>
            </w:r>
          </w:p>
        </w:tc>
        <w:tc>
          <w:tcPr>
            <w:tcW w:w="9766" w:type="dxa"/>
            <w:vAlign w:val="center"/>
          </w:tcPr>
          <w:p w14:paraId="6826A397">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技术参数</w:t>
            </w:r>
          </w:p>
        </w:tc>
        <w:tc>
          <w:tcPr>
            <w:tcW w:w="698" w:type="dxa"/>
            <w:vAlign w:val="center"/>
          </w:tcPr>
          <w:p w14:paraId="3AC8B8EE">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单位</w:t>
            </w:r>
          </w:p>
        </w:tc>
        <w:tc>
          <w:tcPr>
            <w:tcW w:w="843" w:type="dxa"/>
            <w:vAlign w:val="center"/>
          </w:tcPr>
          <w:p w14:paraId="44AF3685">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数量</w:t>
            </w:r>
          </w:p>
        </w:tc>
        <w:tc>
          <w:tcPr>
            <w:tcW w:w="698" w:type="dxa"/>
            <w:vAlign w:val="center"/>
          </w:tcPr>
          <w:p w14:paraId="3013D837">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备注</w:t>
            </w:r>
          </w:p>
        </w:tc>
      </w:tr>
      <w:bookmarkEnd w:id="100"/>
      <w:tr w14:paraId="425B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73ECB54F">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p>
        </w:tc>
        <w:tc>
          <w:tcPr>
            <w:tcW w:w="1400" w:type="dxa"/>
            <w:shd w:val="clear" w:color="auto" w:fill="auto"/>
            <w:vAlign w:val="center"/>
          </w:tcPr>
          <w:p w14:paraId="78A74D17">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舞蹈把杆</w:t>
            </w:r>
          </w:p>
        </w:tc>
        <w:tc>
          <w:tcPr>
            <w:tcW w:w="9766" w:type="dxa"/>
            <w:vAlign w:val="center"/>
          </w:tcPr>
          <w:p w14:paraId="6197683B">
            <w:pPr>
              <w:keepNext w:val="0"/>
              <w:keepLines w:val="0"/>
              <w:pageBreakBefore w:val="0"/>
              <w:widowControl w:val="0"/>
              <w:tabs>
                <w:tab w:val="left" w:pos="1689"/>
              </w:tabs>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舞蹈把杆：8套长3米双层，4套拼接长2米双层，共32米双层水曲柳材质把杆，直径50mm，内芯直径20mm实心锰钢贯穿，表面UV油漆处理。固定式支架：外管采用直径为48mm的钢管，表面喷塑处理，升降杆采用直径32毫米电镀圆管升降芯，高度第一层60公分，第二层80公分可以随意调节高度80-110公分高度调节采用弹簧插销方式调节。把杆外观颜色统一、纹理漂亮、经久耐用，光滑温润，漆层防脱落，比金属把杆更健康、环保，四季恒温、出汗不沾手。</w:t>
            </w:r>
          </w:p>
        </w:tc>
        <w:tc>
          <w:tcPr>
            <w:tcW w:w="698" w:type="dxa"/>
            <w:shd w:val="clear" w:color="auto" w:fill="auto"/>
            <w:vAlign w:val="center"/>
          </w:tcPr>
          <w:p w14:paraId="72F29A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0BCADD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12</w:t>
            </w:r>
          </w:p>
        </w:tc>
        <w:tc>
          <w:tcPr>
            <w:tcW w:w="698" w:type="dxa"/>
            <w:vAlign w:val="center"/>
          </w:tcPr>
          <w:p w14:paraId="6BC90AAB">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09B3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5E869311">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c>
          <w:tcPr>
            <w:tcW w:w="1400" w:type="dxa"/>
            <w:shd w:val="clear" w:color="auto" w:fill="auto"/>
            <w:vAlign w:val="center"/>
          </w:tcPr>
          <w:p w14:paraId="6A2F052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舞蹈镜</w:t>
            </w:r>
          </w:p>
        </w:tc>
        <w:tc>
          <w:tcPr>
            <w:tcW w:w="9766" w:type="dxa"/>
            <w:vAlign w:val="center"/>
          </w:tcPr>
          <w:p w14:paraId="2D534A0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镜子厚度约 5mm  玻璃材质 高清银镜 ， 不失真 不变形，1米一块，高度2.2米，舞蹈专用镜，边框2cm不锈钢，颜色可选。</w:t>
            </w:r>
          </w:p>
        </w:tc>
        <w:tc>
          <w:tcPr>
            <w:tcW w:w="698" w:type="dxa"/>
            <w:shd w:val="clear" w:color="auto" w:fill="auto"/>
            <w:vAlign w:val="center"/>
          </w:tcPr>
          <w:p w14:paraId="5F867A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w:t>
            </w:r>
          </w:p>
        </w:tc>
        <w:tc>
          <w:tcPr>
            <w:tcW w:w="843" w:type="dxa"/>
            <w:shd w:val="clear" w:color="auto" w:fill="auto"/>
            <w:vAlign w:val="center"/>
          </w:tcPr>
          <w:p w14:paraId="2AEB35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53</w:t>
            </w:r>
          </w:p>
        </w:tc>
        <w:tc>
          <w:tcPr>
            <w:tcW w:w="698" w:type="dxa"/>
            <w:vAlign w:val="center"/>
          </w:tcPr>
          <w:p w14:paraId="6F522E8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0D4C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4EF352B0">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p>
        </w:tc>
        <w:tc>
          <w:tcPr>
            <w:tcW w:w="1400" w:type="dxa"/>
            <w:shd w:val="clear" w:color="auto" w:fill="auto"/>
            <w:vAlign w:val="center"/>
          </w:tcPr>
          <w:p w14:paraId="3855B620">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练功垫</w:t>
            </w:r>
          </w:p>
        </w:tc>
        <w:tc>
          <w:tcPr>
            <w:tcW w:w="9766" w:type="dxa"/>
            <w:vAlign w:val="center"/>
          </w:tcPr>
          <w:p w14:paraId="113152B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1.材质:仰卧起坐海绵垫主要采用优质的海绵材质，具有良好的弹性和舒适性。这种材质不仅可以为用户提供稳定的支撑，还能减轻运动对腰部的冲击，减少受伤的风险。</w:t>
            </w:r>
          </w:p>
          <w:p w14:paraId="1FE9FAC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2.防滑设计:仰卧起坐海绵垫的底部通常采用防滑设计，以防止在运动中发生移动或滑动。这种设计可以确保海绵垫在使用过程中保持稳定，为用户提供更好的运动体验。</w:t>
            </w:r>
          </w:p>
        </w:tc>
        <w:tc>
          <w:tcPr>
            <w:tcW w:w="698" w:type="dxa"/>
            <w:shd w:val="clear" w:color="auto" w:fill="auto"/>
            <w:vAlign w:val="center"/>
          </w:tcPr>
          <w:p w14:paraId="6C7D00D4">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套</w:t>
            </w:r>
          </w:p>
        </w:tc>
        <w:tc>
          <w:tcPr>
            <w:tcW w:w="843" w:type="dxa"/>
            <w:shd w:val="clear" w:color="auto" w:fill="auto"/>
            <w:vAlign w:val="center"/>
          </w:tcPr>
          <w:p w14:paraId="12D85AC7">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15</w:t>
            </w:r>
          </w:p>
        </w:tc>
        <w:tc>
          <w:tcPr>
            <w:tcW w:w="698" w:type="dxa"/>
            <w:vAlign w:val="center"/>
          </w:tcPr>
          <w:p w14:paraId="08C891AD">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7509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63F47CE8">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p>
        </w:tc>
        <w:tc>
          <w:tcPr>
            <w:tcW w:w="1400" w:type="dxa"/>
            <w:shd w:val="clear" w:color="auto" w:fill="auto"/>
            <w:vAlign w:val="center"/>
          </w:tcPr>
          <w:p w14:paraId="67C1FB02">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更衣柜</w:t>
            </w:r>
          </w:p>
        </w:tc>
        <w:tc>
          <w:tcPr>
            <w:tcW w:w="9766" w:type="dxa"/>
            <w:vAlign w:val="center"/>
          </w:tcPr>
          <w:p w14:paraId="42271983">
            <w:pPr>
              <w:keepNext w:val="0"/>
              <w:keepLines w:val="0"/>
              <w:pageBreakBefore w:val="0"/>
              <w:widowControl w:val="0"/>
              <w:tabs>
                <w:tab w:val="left" w:pos="969"/>
              </w:tabs>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2层柜单门高95  列宽40  深50   2000*1600*500  2层8门    板材是16mm的实木颗粒板，防潮免漆板 背板5mm的</w:t>
            </w:r>
          </w:p>
        </w:tc>
        <w:tc>
          <w:tcPr>
            <w:tcW w:w="698" w:type="dxa"/>
            <w:shd w:val="clear" w:color="auto" w:fill="auto"/>
            <w:vAlign w:val="center"/>
          </w:tcPr>
          <w:p w14:paraId="490A08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组</w:t>
            </w:r>
          </w:p>
        </w:tc>
        <w:tc>
          <w:tcPr>
            <w:tcW w:w="843" w:type="dxa"/>
            <w:shd w:val="clear" w:color="auto" w:fill="auto"/>
            <w:vAlign w:val="center"/>
          </w:tcPr>
          <w:p w14:paraId="233A3B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w:t>
            </w:r>
          </w:p>
        </w:tc>
        <w:tc>
          <w:tcPr>
            <w:tcW w:w="698" w:type="dxa"/>
            <w:vAlign w:val="center"/>
          </w:tcPr>
          <w:p w14:paraId="4390065D">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49D4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498EFF46">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bookmarkStart w:id="101" w:name="_Hlk193134990"/>
            <w:r>
              <w:rPr>
                <w:rFonts w:hint="eastAsia" w:asciiTheme="minorEastAsia" w:hAnsiTheme="minorEastAsia" w:cstheme="minorEastAsia"/>
                <w:kern w:val="0"/>
                <w:sz w:val="24"/>
                <w:szCs w:val="24"/>
              </w:rPr>
              <w:t>5</w:t>
            </w:r>
          </w:p>
        </w:tc>
        <w:tc>
          <w:tcPr>
            <w:tcW w:w="1400" w:type="dxa"/>
            <w:shd w:val="clear" w:color="auto" w:fill="auto"/>
            <w:vAlign w:val="center"/>
          </w:tcPr>
          <w:p w14:paraId="4FE2BDAE">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环绕声音响系统</w:t>
            </w:r>
          </w:p>
        </w:tc>
        <w:tc>
          <w:tcPr>
            <w:tcW w:w="9766" w:type="dxa"/>
            <w:vAlign w:val="center"/>
          </w:tcPr>
          <w:p w14:paraId="2F2C32F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1.音响：低音单元：1X8寸  100磁35芯</w:t>
            </w:r>
          </w:p>
          <w:p w14:paraId="3CD5232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2.高音单元：2X3寸   60磁14芯</w:t>
            </w:r>
          </w:p>
          <w:p w14:paraId="534F63B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3.分频器：三路三分频</w:t>
            </w:r>
          </w:p>
          <w:p w14:paraId="72B3F71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4.阻抗：8Ω</w:t>
            </w:r>
          </w:p>
          <w:p w14:paraId="5C6FB73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5.中低音分频点：1.6KHz</w:t>
            </w:r>
          </w:p>
          <w:p w14:paraId="03FE5E5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6.灵敏度：90dB</w:t>
            </w:r>
          </w:p>
          <w:p w14:paraId="495CD42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7.额定功率：80W</w:t>
            </w:r>
          </w:p>
          <w:p w14:paraId="7C2650C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8.频率响应：50Hz-19KHz</w:t>
            </w:r>
          </w:p>
          <w:p w14:paraId="54EFB8A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9.板材：中纤板</w:t>
            </w:r>
          </w:p>
          <w:p w14:paraId="47D1C09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10.表面材料：黑色PVC皮</w:t>
            </w:r>
          </w:p>
          <w:p w14:paraId="4578255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11.面罩：黑色亚光铁网</w:t>
            </w:r>
          </w:p>
          <w:p w14:paraId="5CF0257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12.接线柱：红黑两极接线柱</w:t>
            </w:r>
          </w:p>
          <w:p w14:paraId="670BF83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13.深宽高：250*460*270mm</w:t>
            </w:r>
          </w:p>
          <w:p w14:paraId="4F54C5F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14.声音：低音弹性好，力度足，人声频带宽、中频密度高、高音清晰亮度好</w:t>
            </w:r>
          </w:p>
          <w:p w14:paraId="269743B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15.多合一效果器功放：采用32位高性能DSP，24位/48K采样纯数字的专业多合一效果器功放，专业用户和家庭用户都适合。</w:t>
            </w:r>
          </w:p>
          <w:p w14:paraId="1BA9E25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16.4.3寸真彩触摸显示屏，IPS型，分辨率480X272，高亮度工业级。界面美观，功能操作简单，特别适合家庭用户。</w:t>
            </w:r>
          </w:p>
          <w:p w14:paraId="7A7C49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17.4进1出HMDI，最新2.0版本，支持高达4K/60Hz显示，4组播放设备输入选择，ARC功能实现电视或投影仪和本产品的全数字无损声音传递。</w:t>
            </w:r>
          </w:p>
          <w:p w14:paraId="17452F0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18.双模蓝牙，蓝牙数字音频播放实现高品质音乐播放，同时蓝牙BLE控制实现手机APP。一部手机就可以蓝牙音乐播放和APP控制。</w:t>
            </w:r>
          </w:p>
          <w:p w14:paraId="78D3BCC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19.U盘音乐播放，可播放无损音乐，支持MP3/WMA/WAV/FLAC/APE多种格式。</w:t>
            </w:r>
          </w:p>
          <w:p w14:paraId="1E33ACC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20.光纤数字音频输入，2组模拟音频输入。</w:t>
            </w:r>
          </w:p>
          <w:p w14:paraId="352C0E1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21.音乐3段高中低EQ，适合家庭用户；7段参量均衡，高通滤波器和低通滤波器，静噪门，输入预增益，适合专业用户。音乐的变调功能。</w:t>
            </w:r>
          </w:p>
          <w:p w14:paraId="703FF5A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22.无线全数字麦克风，24位/48K采样，低延时，高信噪比，低失真，传输距离远，传输稳定可靠，两只全金属手持麦克风配合高清大屏液晶屏, 96 个频点， 4.3寸彩屏实时显示连接手持麦克风状态和电量。</w:t>
            </w:r>
          </w:p>
          <w:p w14:paraId="189545B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23.4组模拟麦克风输入，A1\A2\B1\B2麦克风。</w:t>
            </w:r>
          </w:p>
          <w:p w14:paraId="6DDC9A4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24.麦克风3段高中低EQ，适合家庭用户；双路AB组独立10段参量均衡，可以满足不同需求的麦克风同时使用，高通滤波器和低通滤波器，静噪门，限幅器，适合专业用户。</w:t>
            </w:r>
          </w:p>
          <w:p w14:paraId="218B380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25.独特的麦克风反馈拟制算法，有4级强度可调。</w:t>
            </w:r>
          </w:p>
          <w:p w14:paraId="2B4C172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26.专业的回音效果，5段参量均衡，高通滤波器和低通滤波器。</w:t>
            </w:r>
          </w:p>
          <w:p w14:paraId="4DA76E3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27.专业的混响效果，5段参量均衡，高通滤波器和低通滤波器。</w:t>
            </w:r>
          </w:p>
          <w:p w14:paraId="28DB876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28.5.1通道输出，输出通道都可以独立的混音、高低分频器、主输出7段参量均衡，环绕\中置\超低音5段参量均衡、延时、压限、极性变换、音量调节、静音。</w:t>
            </w:r>
          </w:p>
          <w:p w14:paraId="7710FE6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29.输出的唱歌模式/热舞模式/自动模式。</w:t>
            </w:r>
          </w:p>
          <w:p w14:paraId="459575C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30.专业的立体声模拟功放输出。</w:t>
            </w:r>
          </w:p>
          <w:p w14:paraId="6FFB667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31.管理者、用户和初级模式，密码管理；密码按键锁的功能。</w:t>
            </w:r>
          </w:p>
          <w:p w14:paraId="5CE4A15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32.音量初始值和最大值。</w:t>
            </w:r>
          </w:p>
          <w:p w14:paraId="750873B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33.拥有12组用户参数存储和调用。</w:t>
            </w:r>
          </w:p>
          <w:p w14:paraId="7A30C2D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34.VOD点歌控制接口RS232，无线红外遥控功能。</w:t>
            </w:r>
          </w:p>
          <w:p w14:paraId="737DE39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35免驱动USB接口连接，实时通过PC软件控制全部参数。</w:t>
            </w:r>
          </w:p>
          <w:p w14:paraId="2EA4FB2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36★为保证产品质量，本产品的控制软件需拥有自主的知识产权，（需提供“音箱分频器调试软件”的软件著作权登记证书复印件，并加盖制造商公章。）</w:t>
            </w:r>
          </w:p>
        </w:tc>
        <w:tc>
          <w:tcPr>
            <w:tcW w:w="698" w:type="dxa"/>
            <w:shd w:val="clear" w:color="auto" w:fill="auto"/>
            <w:vAlign w:val="center"/>
          </w:tcPr>
          <w:p w14:paraId="72D893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00B6A8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w:t>
            </w:r>
          </w:p>
        </w:tc>
        <w:tc>
          <w:tcPr>
            <w:tcW w:w="698" w:type="dxa"/>
            <w:vAlign w:val="center"/>
          </w:tcPr>
          <w:p w14:paraId="7CD286F8">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bookmarkEnd w:id="101"/>
      <w:tr w14:paraId="2BC1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63335ADD">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bookmarkStart w:id="102" w:name="_Hlk193309741"/>
            <w:r>
              <w:rPr>
                <w:rFonts w:hint="eastAsia" w:asciiTheme="minorEastAsia" w:hAnsiTheme="minorEastAsia" w:cstheme="minorEastAsia"/>
                <w:kern w:val="0"/>
                <w:sz w:val="24"/>
                <w:szCs w:val="24"/>
              </w:rPr>
              <w:t>6</w:t>
            </w:r>
          </w:p>
        </w:tc>
        <w:tc>
          <w:tcPr>
            <w:tcW w:w="1400" w:type="dxa"/>
            <w:shd w:val="clear" w:color="auto" w:fill="auto"/>
            <w:vAlign w:val="center"/>
          </w:tcPr>
          <w:p w14:paraId="3B39391D">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PVC地板</w:t>
            </w:r>
          </w:p>
        </w:tc>
        <w:tc>
          <w:tcPr>
            <w:tcW w:w="9766" w:type="dxa"/>
            <w:vAlign w:val="center"/>
          </w:tcPr>
          <w:p w14:paraId="5570F6D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带透明耐磨层 ，5.0气质灰，高跟鞋也可以比普通舞蹈地胶更加抗划痕 好清理 不滑不涩， 适合各种舞蹈 剧院级别 高端综合性舞蹈地胶，各类舞蹈都可以使用，重物压 高跟鞋可踩</w:t>
            </w:r>
          </w:p>
          <w:p w14:paraId="29C9371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1.产品要求采用100%全新原生料标准化生产，产品须无异味、环保性能优异</w:t>
            </w:r>
          </w:p>
          <w:p w14:paraId="57289A1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2.底层采用加厚密实材料，提高对室内地面的容忍度</w:t>
            </w:r>
          </w:p>
          <w:p w14:paraId="1445107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3.产品通过了国家体育用品质量监督检验中心对运动地板的物理检测</w:t>
            </w:r>
          </w:p>
          <w:p w14:paraId="6562CE1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★4.地板邵氏硬度检测（提供权威检测机构出具的带有CMA或CNAS标识的检测报告复印件并加盖制造商公章佐证）5.反弹率：≥90%</w:t>
            </w:r>
          </w:p>
          <w:p w14:paraId="3B551CA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冲击吸收：20～50%</w:t>
            </w:r>
          </w:p>
          <w:p w14:paraId="30014F6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硬度（邵A）：≥85度</w:t>
            </w:r>
          </w:p>
          <w:p w14:paraId="7ECAD8D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5.★阻燃性：B1级（需提供CMA或CNAS认证检测机构出具的检测报告并加盖公章）</w:t>
            </w:r>
          </w:p>
        </w:tc>
        <w:tc>
          <w:tcPr>
            <w:tcW w:w="698" w:type="dxa"/>
            <w:shd w:val="clear" w:color="auto" w:fill="auto"/>
            <w:vAlign w:val="center"/>
          </w:tcPr>
          <w:p w14:paraId="212127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w:t>
            </w:r>
          </w:p>
        </w:tc>
        <w:tc>
          <w:tcPr>
            <w:tcW w:w="843" w:type="dxa"/>
            <w:shd w:val="clear" w:color="auto" w:fill="auto"/>
            <w:vAlign w:val="center"/>
          </w:tcPr>
          <w:p w14:paraId="083771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124</w:t>
            </w:r>
          </w:p>
        </w:tc>
        <w:tc>
          <w:tcPr>
            <w:tcW w:w="698" w:type="dxa"/>
            <w:vAlign w:val="center"/>
          </w:tcPr>
          <w:p w14:paraId="44FE78F2">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bookmarkEnd w:id="102"/>
      <w:tr w14:paraId="65EE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54B30CEC">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bookmarkStart w:id="103" w:name="_Hlk193309875"/>
            <w:r>
              <w:rPr>
                <w:rFonts w:hint="eastAsia" w:asciiTheme="minorEastAsia" w:hAnsiTheme="minorEastAsia" w:cstheme="minorEastAsia"/>
                <w:kern w:val="0"/>
                <w:sz w:val="24"/>
                <w:szCs w:val="24"/>
              </w:rPr>
              <w:t>7</w:t>
            </w:r>
          </w:p>
        </w:tc>
        <w:tc>
          <w:tcPr>
            <w:tcW w:w="1400" w:type="dxa"/>
            <w:shd w:val="clear" w:color="auto" w:fill="auto"/>
            <w:vAlign w:val="center"/>
          </w:tcPr>
          <w:p w14:paraId="0A99DD3E">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拉丁舞地木质地板</w:t>
            </w:r>
          </w:p>
        </w:tc>
        <w:tc>
          <w:tcPr>
            <w:tcW w:w="9766" w:type="dxa"/>
            <w:vAlign w:val="center"/>
          </w:tcPr>
          <w:p w14:paraId="13D2F66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一、材质说明：</w:t>
            </w:r>
          </w:p>
          <w:p w14:paraId="135F7FF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1、油漆：运动木地板专用uv漆</w:t>
            </w:r>
          </w:p>
          <w:p w14:paraId="24BF320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2、枫桦木(学名：桦木)：厚度22mm×宽60~80mm×1810mm 长.</w:t>
            </w:r>
          </w:p>
          <w:p w14:paraId="28160A0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3、毛板：厚度12mm×2440mm长×1220mm宽（±1-2mm）</w:t>
            </w:r>
          </w:p>
          <w:p w14:paraId="30A20CA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4、防潮膜：无纺布</w:t>
            </w:r>
          </w:p>
          <w:p w14:paraId="0B5A709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5、单龙骨结构：厚度40×宽度50mm(松木实木±2mm)</w:t>
            </w:r>
          </w:p>
          <w:p w14:paraId="6473820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6、弹性胶垫：厚度15mm.</w:t>
            </w:r>
          </w:p>
          <w:p w14:paraId="1BC1D05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二、结构</w:t>
            </w:r>
          </w:p>
          <w:p w14:paraId="26C256D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1、油漆：采用运动木地板专用UV漆，在工厂生产线上标准化生产，油漆达到防滑、耐磨、抗划擦效果。</w:t>
            </w:r>
          </w:p>
          <w:p w14:paraId="0A25912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2、面层：采用24/22/20mm厚优质枫木/枫桦/柞木，木板面色调一致、平整刨光，无刨痕、翘曲与鼓包。</w:t>
            </w:r>
          </w:p>
          <w:p w14:paraId="4A29190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3、龙骨：采用优质松木龙骨截面尺寸为40mm×50mm。环保性能好、弹性均匀、耐腐蚀能力强,龙骨做完防腐工序后出厂。</w:t>
            </w:r>
          </w:p>
          <w:p w14:paraId="7826989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4、减震垫：采用运动木地板专用减震垫，减震垫厚度≥10mm，确保弹性稳定和减震效果。</w:t>
            </w:r>
          </w:p>
        </w:tc>
        <w:tc>
          <w:tcPr>
            <w:tcW w:w="698" w:type="dxa"/>
            <w:shd w:val="clear" w:color="auto" w:fill="auto"/>
            <w:vAlign w:val="center"/>
          </w:tcPr>
          <w:p w14:paraId="4F19B2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w:t>
            </w:r>
          </w:p>
        </w:tc>
        <w:tc>
          <w:tcPr>
            <w:tcW w:w="843" w:type="dxa"/>
            <w:shd w:val="clear" w:color="auto" w:fill="auto"/>
            <w:vAlign w:val="center"/>
          </w:tcPr>
          <w:p w14:paraId="4228FE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103</w:t>
            </w:r>
          </w:p>
        </w:tc>
        <w:tc>
          <w:tcPr>
            <w:tcW w:w="698" w:type="dxa"/>
            <w:vAlign w:val="center"/>
          </w:tcPr>
          <w:p w14:paraId="5B512557">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bookmarkEnd w:id="103"/>
      <w:tr w14:paraId="4814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0E69313D">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bookmarkStart w:id="104" w:name="_Hlk193309968"/>
            <w:r>
              <w:rPr>
                <w:rFonts w:hint="eastAsia" w:asciiTheme="minorEastAsia" w:hAnsiTheme="minorEastAsia" w:cstheme="minorEastAsia"/>
                <w:kern w:val="0"/>
                <w:sz w:val="24"/>
                <w:szCs w:val="24"/>
              </w:rPr>
              <w:t>8</w:t>
            </w:r>
          </w:p>
        </w:tc>
        <w:tc>
          <w:tcPr>
            <w:tcW w:w="1400" w:type="dxa"/>
            <w:shd w:val="clear" w:color="auto" w:fill="auto"/>
            <w:vAlign w:val="center"/>
          </w:tcPr>
          <w:p w14:paraId="2E660FE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窗帘</w:t>
            </w:r>
          </w:p>
        </w:tc>
        <w:tc>
          <w:tcPr>
            <w:tcW w:w="9766" w:type="dxa"/>
            <w:vAlign w:val="center"/>
          </w:tcPr>
          <w:p w14:paraId="02B074A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1、透光度：全遮光</w:t>
            </w:r>
          </w:p>
          <w:p w14:paraId="07C66D1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2、面料防尘性：窗帘具备防尘功能</w:t>
            </w:r>
          </w:p>
          <w:p w14:paraId="75949F9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3、面料防火性：防火</w:t>
            </w:r>
          </w:p>
          <w:p w14:paraId="2CA740F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4、面料抗UV性：是</w:t>
            </w:r>
          </w:p>
          <w:p w14:paraId="132E6BB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5、无任何毒性,无刺激性气味，属绿色环保型产品比普通涤纶更柔软，色牢度更高。</w:t>
            </w:r>
          </w:p>
          <w:p w14:paraId="71BD16E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6、尺寸：</w:t>
            </w:r>
          </w:p>
          <w:p w14:paraId="6F12388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6.1教室1尺寸为1260cm×260cm(长×高)，</w:t>
            </w:r>
          </w:p>
          <w:p w14:paraId="6EF344F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6.2教室2尺寸为1260cm×260cm(长×高)，</w:t>
            </w:r>
          </w:p>
        </w:tc>
        <w:tc>
          <w:tcPr>
            <w:tcW w:w="698" w:type="dxa"/>
            <w:shd w:val="clear" w:color="auto" w:fill="auto"/>
            <w:vAlign w:val="center"/>
          </w:tcPr>
          <w:p w14:paraId="669CD2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4FED06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w:t>
            </w:r>
          </w:p>
        </w:tc>
        <w:tc>
          <w:tcPr>
            <w:tcW w:w="698" w:type="dxa"/>
            <w:vAlign w:val="center"/>
          </w:tcPr>
          <w:p w14:paraId="35DF39A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bookmarkEnd w:id="104"/>
      <w:tr w14:paraId="3359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1A31079A">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9</w:t>
            </w:r>
          </w:p>
        </w:tc>
        <w:tc>
          <w:tcPr>
            <w:tcW w:w="1400" w:type="dxa"/>
            <w:shd w:val="clear" w:color="auto" w:fill="auto"/>
            <w:vAlign w:val="center"/>
          </w:tcPr>
          <w:p w14:paraId="5C1D043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空调</w:t>
            </w:r>
          </w:p>
        </w:tc>
        <w:tc>
          <w:tcPr>
            <w:tcW w:w="9766" w:type="dxa"/>
            <w:vAlign w:val="center"/>
          </w:tcPr>
          <w:p w14:paraId="1068F1E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3匹，冷暖型</w:t>
            </w:r>
          </w:p>
        </w:tc>
        <w:tc>
          <w:tcPr>
            <w:tcW w:w="698" w:type="dxa"/>
            <w:shd w:val="clear" w:color="auto" w:fill="auto"/>
            <w:vAlign w:val="center"/>
          </w:tcPr>
          <w:p w14:paraId="479F02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台</w:t>
            </w:r>
          </w:p>
        </w:tc>
        <w:tc>
          <w:tcPr>
            <w:tcW w:w="843" w:type="dxa"/>
            <w:shd w:val="clear" w:color="auto" w:fill="auto"/>
            <w:vAlign w:val="center"/>
          </w:tcPr>
          <w:p w14:paraId="67411D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4</w:t>
            </w:r>
          </w:p>
        </w:tc>
        <w:tc>
          <w:tcPr>
            <w:tcW w:w="698" w:type="dxa"/>
            <w:vAlign w:val="center"/>
          </w:tcPr>
          <w:p w14:paraId="71AFF9B1">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3B3A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7944F1AB">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bookmarkStart w:id="105" w:name="_Hlk204182158"/>
            <w:r>
              <w:rPr>
                <w:rFonts w:hint="eastAsia" w:asciiTheme="minorEastAsia" w:hAnsiTheme="minorEastAsia" w:cstheme="minorEastAsia"/>
                <w:kern w:val="0"/>
                <w:sz w:val="24"/>
                <w:szCs w:val="24"/>
              </w:rPr>
              <w:t>10</w:t>
            </w:r>
          </w:p>
        </w:tc>
        <w:tc>
          <w:tcPr>
            <w:tcW w:w="1400" w:type="dxa"/>
            <w:shd w:val="clear" w:color="auto" w:fill="auto"/>
            <w:vAlign w:val="center"/>
          </w:tcPr>
          <w:p w14:paraId="3AAE4BC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cstheme="minorEastAsia"/>
                <w:color w:val="000000"/>
                <w:sz w:val="24"/>
                <w:szCs w:val="24"/>
              </w:rPr>
              <w:t>智慧黑板（多媒体）</w:t>
            </w:r>
          </w:p>
        </w:tc>
        <w:tc>
          <w:tcPr>
            <w:tcW w:w="9766" w:type="dxa"/>
            <w:vAlign w:val="center"/>
          </w:tcPr>
          <w:p w14:paraId="180E99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一、屏体及触控技术要求：</w:t>
            </w:r>
          </w:p>
          <w:p w14:paraId="6E40A52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1.智能交互黑板显示尺寸≥86英寸，刷新率：60Hz，分辨率：3840*2160，在双系统下均支持30点触控。（需提供CMA或CNAS认证检测机构出具的检测报告并加盖公章）</w:t>
            </w:r>
          </w:p>
          <w:p w14:paraId="0A2B4FD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2.智能交互黑板表面玻璃采用高强度钢化玻璃，AG防眩光，厚度≤3.2mm，硬度≥莫氏7级，石墨硬度≥9H。</w:t>
            </w:r>
          </w:p>
          <w:p w14:paraId="3ACAD84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3.为确保教学有更大的使用面积，智能交互黑板整体长度＞4400mm。</w:t>
            </w:r>
          </w:p>
          <w:p w14:paraId="63CBE8D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4.智能交互黑板需采用全贴合设计，屏体表面无可见金属条纹，以45度角观察屏幕，钢化玻璃和液晶显示层无间隙密贴合，无水雾/水汽，减少显示面板与玻璃间的偏光、散射，画面显示更加清晰通透；178度可见屏体图像。</w:t>
            </w:r>
          </w:p>
          <w:p w14:paraId="4C25184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二、安全性要求：</w:t>
            </w:r>
          </w:p>
          <w:p w14:paraId="7C1C480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1.智能交互黑板背光系统支持DC调光方式，多级亮度调节，拍摄时画面无条纹闪烁。光源稳定无频闪，防止眼睛疲劳。（提供CMA或CNAS认证检测机构出具的检测报告并加盖公章）</w:t>
            </w:r>
          </w:p>
          <w:p w14:paraId="527CD72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2.满足《GB40070-2021儿童青少年学习用品近视防控卫生要求》。</w:t>
            </w:r>
          </w:p>
          <w:p w14:paraId="1FC2A83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3.智能交互黑板全通道支持纸质护眼模式，可实现画面纹理的实时调整；支持纸质纹理：素描纸、宣纸、水彩纸、牛皮纸、水纹纸；支持透明度调节与色温调节；显示画面各像素点灰度不规则，减少背景干扰。</w:t>
            </w:r>
          </w:p>
          <w:p w14:paraId="1EF6F9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4.智能交互黑板可进行硬件自检，包括对系统内存、存储、触控系统、光感系统、内置电脑、屏体信息、CPU型号、CPU使用率、设备名称等进行状态提示及故障提示。</w:t>
            </w:r>
          </w:p>
          <w:p w14:paraId="3F844D5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5.依据GB21520-2023标准，能效等级达到1级。</w:t>
            </w:r>
          </w:p>
          <w:p w14:paraId="1B45342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6.智能交互黑板具备屏体温度实时监控、高温预警及断电保护等功能。(需提供CMA或CNAS认证检测机构出具的检测报告并加盖公章)</w:t>
            </w:r>
          </w:p>
          <w:p w14:paraId="1C73527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三、教学要求：</w:t>
            </w:r>
          </w:p>
          <w:p w14:paraId="4956D1D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1.智能交互黑板前置面板至少具备1路HDMI接口（非转接），2路USB3.0接口，1路Type-C接口。（需提供CMA或CNAS认证检测机构出具的检测报告并加盖公章）</w:t>
            </w:r>
          </w:p>
          <w:p w14:paraId="55A4A72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2.为方便用户外接拓展设备，智能交互黑板后置标配非扩展HDMI输入≥2路，HDMI输出≥1路（支持安卓及其他通道信号输出）。（需提供CMA或CNAS认证检测机构出具的检测报告并加盖公章）</w:t>
            </w:r>
          </w:p>
          <w:p w14:paraId="319130E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3.智能交互黑板具有笔槽结构，可放置书写笔、粉笔、水性笔等，笔槽具有漏灰孔设计。</w:t>
            </w:r>
          </w:p>
          <w:p w14:paraId="1C6DD77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4.为方便维护，智能交互黑板具有前掀式维护功能，主屏向上掀起角度≥30°。</w:t>
            </w:r>
          </w:p>
          <w:p w14:paraId="3A2275A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5.★智能交互黑板前置按键≥6个，可实现音量加减、窗口关闭、触控开关等功能，且按键均支持功能复用。（需提供CMA或CNAS认证检测机构出具的检测报告并加盖公章）</w:t>
            </w:r>
          </w:p>
          <w:p w14:paraId="6E0DF5A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6.★前置按键面板向上倾斜，与黑板正面形成夹角，符合人体工学，操作更加便捷。（需提供CMA或CNAS认证检测机构出具的检测报告并加盖公章）</w:t>
            </w:r>
          </w:p>
          <w:p w14:paraId="3C6E268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7.智能交互黑板接口具备丝印中文标识。</w:t>
            </w:r>
          </w:p>
          <w:p w14:paraId="38DCA9B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8.★智能交互黑板采用≥12核国产化驱动芯片，8核CPU、4核GPU。Android系统版本≥14.0，内存≥2G，存储≥8G。（需提供CMA或CNAS认证检测机构出具的检测报告并加盖公章）</w:t>
            </w:r>
          </w:p>
          <w:p w14:paraId="4589667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9.采用针孔阵列发声设计，2.2声道，下边框具有6个发声单元，最大功率≥60W,扬声器在100%音量下，1米处声压级≥90dB，10米处声压级≥80dB；最低谐振频率不高于100Hz。（需提供CMA或CNAS认证检测机构出具的检测报告并加盖公章）</w:t>
            </w:r>
          </w:p>
          <w:p w14:paraId="24BAF49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10.★内置一体化超高清5K摄像头，单颗摄像头有效像素＞1900W，可输出最大分辨率5100*3800的图片与视频，支持搭配AI软件实现自动点名点数功能，支持远程巡课功能，具备指示灯工作状态提示。（需提供CMA或CNAS认证检测机构出具的检测报告并加盖公章）</w:t>
            </w:r>
          </w:p>
          <w:p w14:paraId="2EE2AAE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11.智能交互黑板内置8阵列麦克风，拾音角度≥180°，可用于对教室环境音频进行采集。</w:t>
            </w:r>
          </w:p>
          <w:p w14:paraId="1418143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12.★智能交互黑板具备前置电脑还原按键，无需专业人员即可轻松解决电脑系统故障，为避免误碰按键采用针孔式设计。(需提供CMA或CNAS认证检测机构出具的检测报告并加盖公章)（提供设备照片或者视频进行证明，视频一镜到底）</w:t>
            </w:r>
          </w:p>
          <w:p w14:paraId="232513C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13.只需一根网线连接，即可实现Windows和Andriod双系统同时上网。</w:t>
            </w:r>
          </w:p>
          <w:p w14:paraId="56CCAA7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14.具备无线（包括Wi-Fi和Bluetooth蓝牙）独立模块，支持单独拆卸。</w:t>
            </w:r>
          </w:p>
          <w:p w14:paraId="01F5983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15.智能交互黑板内置Wi-Fi6无线网卡，支持2.4G、5G双频，支持无线设备同时连接数量≥20个。在Android连接Wi-Fi上网（STA）的情况下，Windows会同步连接网络。Android下支持自定义AP无线热点名称和密码，满足IEEE802.11a\b\g\n\ac\axwave2协议标准，实现无线信号的中继和桥接，扩大无线网络的覆盖范围，适应不同教学需求和环境。</w:t>
            </w:r>
          </w:p>
          <w:p w14:paraId="7A75B47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四、应用功能要求：</w:t>
            </w:r>
          </w:p>
          <w:p w14:paraId="4C52CF4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智能交互黑板左右两侧可提供与教学应用密切相关的快捷键，数量各不少于14个，并支持自定义设置：时间，显示模式，支持单侧显示、双侧同时显示，该快捷键至少具有关闭窗口、展台、桌面、多屏互动等教学常用按键。(需提供CMA或CNAS认证检测机构出具的检测报告并加盖公章)</w:t>
            </w:r>
          </w:p>
          <w:p w14:paraId="02E8D28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2.在任意信号源下，从屏幕下方任意位置向上滑动，可调用快捷设置菜单无需切换系统，可快速调节Windows和Android的设置，并支持拖拽到屏幕任意位置。</w:t>
            </w:r>
          </w:p>
          <w:p w14:paraId="4A9B892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3.智能交互黑板具有悬浮菜单，两指可快速移动悬浮菜单至按压位置，悬浮菜单可进行自定义分组，可添加AI互动软件等不少于30个应用。</w:t>
            </w:r>
          </w:p>
          <w:p w14:paraId="2EA4140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4.支持智能手势，可通过多指长按屏幕实现悬浮窗快速调用、屏幕息屏或亮屏、屏幕下移、多任务等功能，方便教学操作。</w:t>
            </w:r>
          </w:p>
          <w:p w14:paraId="5B29308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5.为节约用电，具备自动待机功能，在无操作或无信号输入时，自动进入待机节能状态，时间间隔可自定义。</w:t>
            </w:r>
          </w:p>
          <w:p w14:paraId="1A09AD6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6.智能节电，可自定义设置，在无操作或无信号输入15分钟或更长时间,出现关机提示倒计时。</w:t>
            </w:r>
          </w:p>
          <w:p w14:paraId="0606FE5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7.智能交互黑板处于关机通电状态，外接电脑、机顶盒等设备接入交互黑板时，智能交互黑板可识别到外接设备的输入信号后自动开机。</w:t>
            </w:r>
          </w:p>
          <w:p w14:paraId="2DDD839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8.为方便管理，智能交互黑板具备锁屏功能，支持密码锁屏和二维码锁屏2种方式。</w:t>
            </w:r>
          </w:p>
          <w:p w14:paraId="68E4A76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9.可自动识别新接入的信号源，并自动切换到该信号源显示，在断开连接后，弹出确认，10秒后返回之前信号源。</w:t>
            </w:r>
          </w:p>
          <w:p w14:paraId="339A97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五、侧板要求：</w:t>
            </w:r>
          </w:p>
          <w:p w14:paraId="318BAB3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支持磁性材质教具吸附</w:t>
            </w:r>
          </w:p>
          <w:p w14:paraId="22FF8E4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板面光泽度需符合GB28231-2011标准，不高于8光泽度以免产生眩光</w:t>
            </w:r>
          </w:p>
          <w:p w14:paraId="62806C1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板面粗糙度需符合GB28231-2011标准，位于1.6um-2.0um之间</w:t>
            </w:r>
          </w:p>
          <w:p w14:paraId="6935363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板面符合GB/T9286-2021标准，支持色漆和清漆漆膜的划格试验，脱漆面积不明显大于5%达到0级标准</w:t>
            </w:r>
          </w:p>
          <w:p w14:paraId="07F8853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5.</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板面抗冲击性需符合GB/T1732-2020标准，漆膜耐冲击无裂纹现象。</w:t>
            </w:r>
          </w:p>
          <w:p w14:paraId="0FB33C9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六、内置电脑要求：</w:t>
            </w:r>
          </w:p>
          <w:p w14:paraId="4B3E02D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采用80pinIntel通用标准接口,即插即用，易于维护。</w:t>
            </w:r>
          </w:p>
          <w:p w14:paraId="1B94DAC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CPU采用Intel第11代或以上平台处理器酷睿I5处理器。</w:t>
            </w:r>
          </w:p>
          <w:p w14:paraId="35E8294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内存：≥8GDDR4。硬盘：≥256GSSD固态硬盘。</w:t>
            </w:r>
          </w:p>
          <w:p w14:paraId="5EF5ADC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接口：整机非外扩展具备5个USB接口；具有独立非外扩展的视频输出接口：≥1路HDMI等。</w:t>
            </w:r>
          </w:p>
          <w:p w14:paraId="732B312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七、配套教学软件：</w:t>
            </w:r>
          </w:p>
          <w:p w14:paraId="77CB042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w:t>
            </w:r>
            <w:r>
              <w:rPr>
                <w:rFonts w:hint="eastAsia" w:asciiTheme="minorEastAsia" w:hAnsiTheme="minorEastAsia" w:cstheme="minorEastAsia"/>
                <w:b/>
                <w:kern w:val="0"/>
                <w:sz w:val="24"/>
                <w:szCs w:val="24"/>
              </w:rPr>
              <w:tab/>
            </w:r>
            <w:bookmarkStart w:id="106" w:name="OLE_LINK15"/>
            <w:bookmarkStart w:id="107" w:name="OLE_LINK14"/>
            <w:r>
              <w:rPr>
                <w:rFonts w:hint="eastAsia" w:asciiTheme="minorEastAsia" w:hAnsiTheme="minorEastAsia" w:cstheme="minorEastAsia"/>
                <w:b/>
                <w:kern w:val="0"/>
                <w:sz w:val="24"/>
                <w:szCs w:val="24"/>
              </w:rPr>
              <w:t>支持多端程序入口,支持PC端、交互设备、移动端及网页端；且均可快速生成、播放课件。(所投智慧黑板配套软件生产厂家需通过SPCA软件能力成熟度模型认证并达到5级要求,提供相关证明文件加盖制造商公章)</w:t>
            </w:r>
            <w:bookmarkEnd w:id="106"/>
            <w:bookmarkEnd w:id="107"/>
          </w:p>
          <w:p w14:paraId="60B5B0C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不少于三种登录方式，包含账号密码直接登录、微信扫码登录、书写登录等，支持免登录打开本地课件；其中书写登录可录入内容及笔迹，在任意设备进行书写登录软件；</w:t>
            </w:r>
          </w:p>
          <w:p w14:paraId="6F1BD3C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教学软件至少包含，我的文件、回收站、我的班级、操作指南、个人设置等应用模块；</w:t>
            </w:r>
          </w:p>
          <w:p w14:paraId="6DF6967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回收站：教师可根据自身使用需求对已经创建好的课件进行修改或删除，删除后的课件可自行存放到回收站，默认情况下保存30天，30天后可自动清除；回收站内的课件支持单个课件，或者全部课件一键清除；</w:t>
            </w:r>
          </w:p>
          <w:p w14:paraId="3E5E7B8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（一）、备课模式</w:t>
            </w:r>
          </w:p>
          <w:p w14:paraId="3851582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老师个人账号无需完成特定任务，即可获取不少于100GB组织云端存储空间。</w:t>
            </w:r>
          </w:p>
          <w:p w14:paraId="5711754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提供预置的课件素材，允许老师在网页端、移动端、电脑端进行内容的选择与组合，快速生成课件并浏览，所有制作的课件均实时保存至云端，老师只需登录即可查看。</w:t>
            </w:r>
          </w:p>
          <w:p w14:paraId="4953BD2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支持老师根据教材章节目录、知识点选择对应的教学内容。老师仅需要按每个教学环节选择所需的教学模块即可快速生成一份课件。每个课时均提供教学内容模块，满足老师的个性化需求。</w:t>
            </w:r>
          </w:p>
          <w:p w14:paraId="07A3315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部分教学模块提供教学设计和课件内容，部分课件提供课件批注，帮助老师更好地选择、运用课件内容。</w:t>
            </w:r>
          </w:p>
          <w:p w14:paraId="5B35346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5.</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支持教师对课件知识点进行评价。</w:t>
            </w:r>
          </w:p>
          <w:p w14:paraId="51A63BD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6.</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软件支持单独PPT导入功能，并支持导入进度条提示功能，可查看当前导入进度，上传完成后具有中文提示功能。</w:t>
            </w:r>
          </w:p>
          <w:p w14:paraId="6FAFED0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7.</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提供语文生字卡片、英语生词卡片、化学工具编辑器、数学工具编辑器、物理仿真实验、英文手写识别等学课工具。</w:t>
            </w:r>
          </w:p>
          <w:p w14:paraId="236AC66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8.</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可插入表格，表格支持设置行列数，在表格上可以进行行列的添加、删除、合并和拆分，可编辑文字格式和表格格式。</w:t>
            </w:r>
          </w:p>
          <w:p w14:paraId="33BCD6B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9.</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可插入思维导图，包括逻辑图和组织结构图，思维导图可添加同级节点、下级节点上级节点，可编辑文字格式和思维导图格式。</w:t>
            </w:r>
          </w:p>
          <w:p w14:paraId="60C8172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（二）、授课模式</w:t>
            </w:r>
          </w:p>
          <w:p w14:paraId="23941CE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授课模式默认进入绿板状态，支持显示文件、工具和应用的便捷入口，当开始批注且绿板上有笔迹时，自动隐藏便捷入口，清除笔迹时，自动恢复显示便捷入口；</w:t>
            </w:r>
          </w:p>
          <w:p w14:paraId="7341978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支持单指长按屏幕任意空白区域呼出便捷入口（文件、工具、应用、一键收起）</w:t>
            </w:r>
          </w:p>
          <w:p w14:paraId="2D5E869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提供便捷应用模块，包括展台教学、投屏、课堂评价、录制课程、看电视、AI课堂、开启直播、专递课堂、白板、网页、音视频媒体播放器，实现授课场景教学应用的便捷调用；并支持点击展示已打开的全部应用，实现一键应用切换；支持自定义添加/移除应用；</w:t>
            </w:r>
          </w:p>
          <w:p w14:paraId="2D11DFB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文件入口支持拉起其他网盘，包含4种常用的三方网盘入口</w:t>
            </w:r>
          </w:p>
          <w:p w14:paraId="3F2E1AE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5.</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工具条支持上下移动，支持收起/展开，工具条支持批注、清页、文件、工具、应用切换、更多；工具子菜单支持屏幕拖动</w:t>
            </w:r>
          </w:p>
          <w:p w14:paraId="4E6686C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6.</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支持使用教辅工具，包含截图、时钟、放大镜、聚光灯、黑屏、随机数、骰子和大转盘8种；无论绿板状态、多文件全屏播放状态以及三方应用拉起状态均支持使用</w:t>
            </w:r>
          </w:p>
          <w:p w14:paraId="4AC2F97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7.</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打开本机文件、U盘文件等本地文件；不需导入，可直接打开本地视频、音频、图片、离线教学课件、PPT&amp;PPTX、PDF文件、DOC&amp;DOCX文件及swf文件；支持不少于多个文件窗口同屏播放显示，满足多素材授课需求。</w:t>
            </w:r>
          </w:p>
          <w:p w14:paraId="66B00DA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8.</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支持展示当前已打开的文件，点击实现文件窗口的便捷切换，支持文件一键全部最小化，支持双击标题栏实现文件全屏播放</w:t>
            </w:r>
          </w:p>
          <w:p w14:paraId="48E482C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9.</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文件窗口之间可进行独立批注；当起笔落点在绿板上时，识别为绿板批注，当起笔落点在小窗口时，识别为小窗口文件批注；文件大小窗口批注同步，可实现翻页跟随；绿板批注可以跟随绿板漫游；不少于8种笔型，6种颜色可选</w:t>
            </w:r>
          </w:p>
          <w:p w14:paraId="670C211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10.</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支持展示当前打开的文件列表，按照打开的时间倒叙排序，点击可进行便捷进行文件切换</w:t>
            </w:r>
          </w:p>
          <w:p w14:paraId="1E9895A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11.</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支持免登录打开离线课件，直接进入课件全屏播放状态；登录后，可返回备课编辑状态。可通过点击或触摸屏幕实现动画的显示和翻页，还支持点击工具条进行课件的前翻页和后翻页；</w:t>
            </w:r>
          </w:p>
          <w:p w14:paraId="3C65D86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12.</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提供不少于22个蒙层模板，老师备课时选择合适的蒙层图片遮住元素，授课时用橡皮擦除蒙层，展现被蒙住的元素</w:t>
            </w:r>
          </w:p>
          <w:p w14:paraId="3C2DD8E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（三）、电子黑板贴：</w:t>
            </w:r>
          </w:p>
          <w:p w14:paraId="6CD2BE3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教室内智能交互设备上点击电子黑板贴，可实现屏幕截图，实时语文、数学、外语、值日、通知等学科分类任务预留，截图操作灵活方便，支持手势拖拽边框缩放大小，可选择区域显示范围。</w:t>
            </w:r>
          </w:p>
          <w:p w14:paraId="41A43A7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智能交互设备上可查看/删除已留任务/通知内容，按学科语、数、外、通知等类别分别展示和查看，多图轮播，支持手势点击放大图片，手势滑动图片。</w:t>
            </w:r>
          </w:p>
          <w:p w14:paraId="1FEA826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电子黑板贴支持手势拖拽任意位置，拖拽至左侧或右侧后可自动收缩，不遮挡，再次点击可展开电子黑板贴，也可隐藏到工具栏。</w:t>
            </w:r>
          </w:p>
          <w:p w14:paraId="1A4618E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（四）、多屏互动</w:t>
            </w:r>
          </w:p>
          <w:p w14:paraId="1DB02EE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支持手机端、电脑端与交互显示设备无线投屏，可将笔记本电脑、手机、平板等移动终端文件传至交互显示设备，方便教师在接收端打开并操作文件。</w:t>
            </w:r>
          </w:p>
          <w:p w14:paraId="7DB7605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手机端向交互显示设备扫码连接时自动与交互显示设备网络匹配。</w:t>
            </w:r>
          </w:p>
          <w:p w14:paraId="457D88E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手机端在移动授课时，浏览网页、播放在线音视频等不消耗手机网络流量。</w:t>
            </w:r>
          </w:p>
          <w:p w14:paraId="1BE9E0B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支持多张图片图片、音视频等影像上传，可对上传图片进行旋转双向批注/擦除功能。</w:t>
            </w:r>
          </w:p>
          <w:p w14:paraId="467E0F7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5.</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Android、iOS、Windows系统的投屏画面，可支持不少于5个终端设备同时投屏，并自动分屏排布，可将任意一路画面全屏播放，并支持所投视频音频同时播放；支持多手机同时连接交互显示设备，可设置指定设备为主控设备。</w:t>
            </w:r>
          </w:p>
          <w:p w14:paraId="6FE180C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（五）、教学专属系统</w:t>
            </w:r>
          </w:p>
          <w:p w14:paraId="75A77DB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提供符合教师授课场景的教学桌面教学系统。</w:t>
            </w:r>
          </w:p>
          <w:p w14:paraId="4B63BDE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将教师授课常用应用放至主页，单击即可打开应用，方便教师快捷调用软件；</w:t>
            </w:r>
          </w:p>
          <w:p w14:paraId="5260B4C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开机进入教学桌面，教师可按照自己使用习惯，更换常用软件、背景，形成教师的定制化桌面。可通过登录账户，在其他设备上同步展示教师定制化教学桌面；</w:t>
            </w:r>
          </w:p>
          <w:p w14:paraId="236836B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U盘插入时，无需额外操作自动弹出U盘文件夹，方便教师直接选取U盘中内容；</w:t>
            </w:r>
          </w:p>
          <w:p w14:paraId="4189B5D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5.</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支持手势操作，左右滑动方便教师快速切换主页、应用页及Windows桌面，下滑屏幕下移，方便教师点击大屏上方功能按钮，上滑调起系统设置，方便教师快捷设置系统；</w:t>
            </w:r>
          </w:p>
          <w:p w14:paraId="4AF642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6.</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支持三种（账号、扫码、U盘-key）登录方式，支持应用登录联动功能，教师登录系统后打开其他应用，可进行快捷登录，无需再次输入账户密码；</w:t>
            </w:r>
          </w:p>
          <w:p w14:paraId="68DCCB7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7.</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支持在任意界面下，通过前置物理按键返回教学桌面；同时支持一键调出多任务窗口，将所有运行中应用进行展示，方便教师快速切换应用；</w:t>
            </w:r>
          </w:p>
          <w:p w14:paraId="792175E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8.</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应用页分类显示应用，包含课件制作、教学工具、管理辅助、数字资源等，方便教师快速找到相应应用；</w:t>
            </w:r>
          </w:p>
          <w:p w14:paraId="633C42B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（六）、设备管家</w:t>
            </w:r>
          </w:p>
          <w:p w14:paraId="69C6E1D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w:t>
            </w:r>
            <w:r>
              <w:rPr>
                <w:rFonts w:hint="eastAsia" w:asciiTheme="minorEastAsia" w:hAnsiTheme="minorEastAsia" w:cstheme="minorEastAsia"/>
                <w:b/>
                <w:kern w:val="0"/>
                <w:sz w:val="24"/>
                <w:szCs w:val="24"/>
              </w:rPr>
              <w:tab/>
            </w:r>
            <w:r>
              <w:rPr>
                <w:rFonts w:hint="eastAsia" w:asciiTheme="minorEastAsia" w:hAnsiTheme="minorEastAsia" w:cstheme="minorEastAsia"/>
                <w:b/>
                <w:kern w:val="0"/>
                <w:sz w:val="24"/>
                <w:szCs w:val="24"/>
              </w:rPr>
              <w:t>部署简单，设备连通互联网，输入对应学校编码，自动识别终端设备类型，完成部署；(所投智慧黑板制造商通过ITSS信息技术服务标准运行维护三级及以上证书,提供相关证明文件加盖制造商公章)</w:t>
            </w:r>
          </w:p>
          <w:p w14:paraId="0C78137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系统依据学校名称自动生成学校编码，支持扫描二维码查询学校编码；</w:t>
            </w:r>
          </w:p>
          <w:p w14:paraId="4CC83F6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窗口支持最小化隐藏到系统托盘，不影响教师日常使用；</w:t>
            </w:r>
          </w:p>
          <w:p w14:paraId="3A557B4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一键查看设备连接信息，包含Windows/office版本，硬盘、CPU、、内存、网络状态、固件版本号，</w:t>
            </w:r>
          </w:p>
          <w:p w14:paraId="472EE35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5.</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系统还原、备份：一键备份数据并可系统还原至最新备份系统，解决系统异常等问题，如无最新备份系统，备份还原状态需要与硬件一键备份还原保持一致；</w:t>
            </w:r>
          </w:p>
          <w:p w14:paraId="3541C55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6.</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弹窗拦截：提供广告拦截，对广告弹窗实现一键拦截，默认直接开启拦截；</w:t>
            </w:r>
          </w:p>
        </w:tc>
        <w:tc>
          <w:tcPr>
            <w:tcW w:w="698" w:type="dxa"/>
            <w:shd w:val="clear" w:color="auto" w:fill="auto"/>
            <w:vAlign w:val="center"/>
          </w:tcPr>
          <w:p w14:paraId="42287E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台</w:t>
            </w:r>
          </w:p>
        </w:tc>
        <w:tc>
          <w:tcPr>
            <w:tcW w:w="843" w:type="dxa"/>
            <w:shd w:val="clear" w:color="auto" w:fill="auto"/>
            <w:vAlign w:val="center"/>
          </w:tcPr>
          <w:p w14:paraId="2433A5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w:t>
            </w:r>
          </w:p>
        </w:tc>
        <w:tc>
          <w:tcPr>
            <w:tcW w:w="698" w:type="dxa"/>
            <w:vAlign w:val="center"/>
          </w:tcPr>
          <w:p w14:paraId="0A6B56BE">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核心产品</w:t>
            </w:r>
          </w:p>
        </w:tc>
      </w:tr>
      <w:bookmarkEnd w:id="105"/>
      <w:tr w14:paraId="1DAD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7278895F">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11</w:t>
            </w:r>
          </w:p>
        </w:tc>
        <w:tc>
          <w:tcPr>
            <w:tcW w:w="1400" w:type="dxa"/>
            <w:shd w:val="clear" w:color="auto" w:fill="auto"/>
            <w:vAlign w:val="center"/>
          </w:tcPr>
          <w:p w14:paraId="38AF8A9F">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教室专用护眼灯</w:t>
            </w:r>
          </w:p>
        </w:tc>
        <w:tc>
          <w:tcPr>
            <w:tcW w:w="9766" w:type="dxa"/>
            <w:vAlign w:val="center"/>
          </w:tcPr>
          <w:p w14:paraId="2BC97A2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1、功率：36W</w:t>
            </w:r>
          </w:p>
          <w:p w14:paraId="697338A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2、光通量：2880lm</w:t>
            </w:r>
          </w:p>
          <w:p w14:paraId="4261CC0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3、光效：80lm/W</w:t>
            </w:r>
          </w:p>
          <w:p w14:paraId="0DA603C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4、色温(CCT)：5700K</w:t>
            </w:r>
          </w:p>
          <w:p w14:paraId="788DBFB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5、显色指数(Ra)：Ra&gt;80</w:t>
            </w:r>
          </w:p>
          <w:p w14:paraId="2FB4DB1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6、工作电压：AC176-264V;50Hz</w:t>
            </w:r>
          </w:p>
          <w:p w14:paraId="6921CB4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7、频闪：无频闪</w:t>
            </w:r>
          </w:p>
          <w:p w14:paraId="6A5DB6A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8、功率因数(PF)：&gt;0.9</w:t>
            </w:r>
          </w:p>
          <w:p w14:paraId="06391D4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9、防触电等级：ClassI</w:t>
            </w:r>
          </w:p>
          <w:p w14:paraId="540AFB3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10、防护等级：IP20</w:t>
            </w:r>
          </w:p>
          <w:p w14:paraId="42ED99C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11、规格尺寸(长x宽x高)：295x1195x35mm</w:t>
            </w:r>
          </w:p>
          <w:p w14:paraId="65B32F0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12、灯具寿命：30000hrs(@LN70/B50)</w:t>
            </w:r>
          </w:p>
          <w:p w14:paraId="29D9BC2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12、工作环境(Ta)：-20℃-40℃</w:t>
            </w:r>
          </w:p>
          <w:p w14:paraId="6E8C5DC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13、推荐安装高度：2.5-4.5m</w:t>
            </w:r>
          </w:p>
        </w:tc>
        <w:tc>
          <w:tcPr>
            <w:tcW w:w="698" w:type="dxa"/>
            <w:shd w:val="clear" w:color="auto" w:fill="auto"/>
            <w:vAlign w:val="center"/>
          </w:tcPr>
          <w:p w14:paraId="4CDF8A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个</w:t>
            </w:r>
          </w:p>
        </w:tc>
        <w:tc>
          <w:tcPr>
            <w:tcW w:w="843" w:type="dxa"/>
            <w:shd w:val="clear" w:color="auto" w:fill="auto"/>
            <w:vAlign w:val="center"/>
          </w:tcPr>
          <w:p w14:paraId="26DDB6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16</w:t>
            </w:r>
          </w:p>
        </w:tc>
        <w:tc>
          <w:tcPr>
            <w:tcW w:w="698" w:type="dxa"/>
            <w:vAlign w:val="center"/>
          </w:tcPr>
          <w:p w14:paraId="463C3444">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41F8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6153B845">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bookmarkStart w:id="108" w:name="_Hlk193310117"/>
            <w:r>
              <w:rPr>
                <w:rFonts w:hint="eastAsia" w:asciiTheme="minorEastAsia" w:hAnsiTheme="minorEastAsia" w:cstheme="minorEastAsia"/>
                <w:kern w:val="0"/>
                <w:sz w:val="24"/>
                <w:szCs w:val="24"/>
              </w:rPr>
              <w:t>12</w:t>
            </w:r>
          </w:p>
        </w:tc>
        <w:tc>
          <w:tcPr>
            <w:tcW w:w="1400" w:type="dxa"/>
            <w:shd w:val="clear" w:color="auto" w:fill="auto"/>
            <w:vAlign w:val="center"/>
          </w:tcPr>
          <w:p w14:paraId="574EA4A1">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监控设备</w:t>
            </w:r>
          </w:p>
        </w:tc>
        <w:tc>
          <w:tcPr>
            <w:tcW w:w="9766" w:type="dxa"/>
            <w:vAlign w:val="center"/>
          </w:tcPr>
          <w:p w14:paraId="69BF03E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1、500万云台通道+500万固定通道，双路同步，分区看护</w:t>
            </w:r>
          </w:p>
          <w:p w14:paraId="3DED324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2、云台通道可视角度360°，固定通道可视角度130°</w:t>
            </w:r>
          </w:p>
          <w:p w14:paraId="42B3987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3、支持WiFi连接，灵活布线更方便</w:t>
            </w:r>
          </w:p>
          <w:p w14:paraId="0F36066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4、双光全彩，支持红外夜视、全彩夜视和移动侦测全彩模式</w:t>
            </w:r>
          </w:p>
          <w:p w14:paraId="426E30A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5、支持双向语音电话，沟通无障碍</w:t>
            </w:r>
          </w:p>
          <w:p w14:paraId="379B3D7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6、最高支持512GBMicroSD卡存储</w:t>
            </w:r>
          </w:p>
          <w:p w14:paraId="1946226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7、支持哭声检测、萌宠检测、语音闹钟等实用智能功能</w:t>
            </w:r>
          </w:p>
          <w:p w14:paraId="2EC4D00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8、支持APP远程监控，扫码一键添加</w:t>
            </w:r>
          </w:p>
        </w:tc>
        <w:tc>
          <w:tcPr>
            <w:tcW w:w="698" w:type="dxa"/>
            <w:shd w:val="clear" w:color="auto" w:fill="auto"/>
            <w:vAlign w:val="center"/>
          </w:tcPr>
          <w:p w14:paraId="1E51B5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0C9DAC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w:t>
            </w:r>
          </w:p>
        </w:tc>
        <w:tc>
          <w:tcPr>
            <w:tcW w:w="698" w:type="dxa"/>
            <w:vAlign w:val="center"/>
          </w:tcPr>
          <w:p w14:paraId="1E36AEF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bookmarkEnd w:id="108"/>
      <w:tr w14:paraId="5F8B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706F28B7">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13</w:t>
            </w:r>
          </w:p>
        </w:tc>
        <w:tc>
          <w:tcPr>
            <w:tcW w:w="1400" w:type="dxa"/>
            <w:shd w:val="clear" w:color="auto" w:fill="auto"/>
            <w:vAlign w:val="center"/>
          </w:tcPr>
          <w:p w14:paraId="5C0D61F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路由器</w:t>
            </w:r>
          </w:p>
        </w:tc>
        <w:tc>
          <w:tcPr>
            <w:tcW w:w="9766" w:type="dxa"/>
            <w:vAlign w:val="center"/>
          </w:tcPr>
          <w:p w14:paraId="3513BFB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通用，主要用于教室连接监控设备使用。</w:t>
            </w:r>
          </w:p>
        </w:tc>
        <w:tc>
          <w:tcPr>
            <w:tcW w:w="698" w:type="dxa"/>
            <w:shd w:val="clear" w:color="auto" w:fill="auto"/>
            <w:vAlign w:val="center"/>
          </w:tcPr>
          <w:p w14:paraId="080AB5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个</w:t>
            </w:r>
          </w:p>
        </w:tc>
        <w:tc>
          <w:tcPr>
            <w:tcW w:w="843" w:type="dxa"/>
            <w:shd w:val="clear" w:color="auto" w:fill="auto"/>
            <w:vAlign w:val="center"/>
          </w:tcPr>
          <w:p w14:paraId="7481C1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w:t>
            </w:r>
          </w:p>
        </w:tc>
        <w:tc>
          <w:tcPr>
            <w:tcW w:w="698" w:type="dxa"/>
            <w:vAlign w:val="center"/>
          </w:tcPr>
          <w:p w14:paraId="67C24EEC">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422E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17904B14">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14</w:t>
            </w:r>
          </w:p>
        </w:tc>
        <w:tc>
          <w:tcPr>
            <w:tcW w:w="1400" w:type="dxa"/>
            <w:shd w:val="clear" w:color="auto" w:fill="auto"/>
            <w:vAlign w:val="center"/>
          </w:tcPr>
          <w:p w14:paraId="2010DA45">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机柜</w:t>
            </w:r>
          </w:p>
        </w:tc>
        <w:tc>
          <w:tcPr>
            <w:tcW w:w="9766" w:type="dxa"/>
            <w:vAlign w:val="center"/>
          </w:tcPr>
          <w:p w14:paraId="7A95D3D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22U国标机柜</w:t>
            </w:r>
          </w:p>
        </w:tc>
        <w:tc>
          <w:tcPr>
            <w:tcW w:w="698" w:type="dxa"/>
            <w:shd w:val="clear" w:color="auto" w:fill="auto"/>
            <w:vAlign w:val="center"/>
          </w:tcPr>
          <w:p w14:paraId="45C6AB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4607DA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w:t>
            </w:r>
          </w:p>
        </w:tc>
        <w:tc>
          <w:tcPr>
            <w:tcW w:w="698" w:type="dxa"/>
            <w:vAlign w:val="center"/>
          </w:tcPr>
          <w:p w14:paraId="5059348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5C3C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78127778">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15</w:t>
            </w:r>
          </w:p>
        </w:tc>
        <w:tc>
          <w:tcPr>
            <w:tcW w:w="1400" w:type="dxa"/>
            <w:shd w:val="clear" w:color="auto" w:fill="auto"/>
            <w:vAlign w:val="center"/>
          </w:tcPr>
          <w:p w14:paraId="498765EC">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教学终端</w:t>
            </w:r>
          </w:p>
        </w:tc>
        <w:tc>
          <w:tcPr>
            <w:tcW w:w="9766" w:type="dxa"/>
            <w:vAlign w:val="center"/>
          </w:tcPr>
          <w:p w14:paraId="0419012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1、CPU：≥intel第13代i5-13500处理器</w:t>
            </w:r>
          </w:p>
          <w:p w14:paraId="42C2870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2、芯片组：intelH770系列或以上</w:t>
            </w:r>
          </w:p>
          <w:p w14:paraId="358A492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3、内存：≥8GDDR43200内存，最大支持2个内存插槽</w:t>
            </w:r>
          </w:p>
          <w:p w14:paraId="4FE0122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4、显卡：2GB显卡</w:t>
            </w:r>
          </w:p>
          <w:p w14:paraId="1206B2D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5、接口及扩展：主板原生USB接口≥10个；VGA接口、DP接口、RJ-45；至少1个PCIeX16、1个PCIeX1、1个PCI、1个PCIeX4、2个M.2扩展插槽。</w:t>
            </w:r>
          </w:p>
          <w:p w14:paraId="3F58F51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6、硬盘：512GBM.SSSD固态硬盘</w:t>
            </w:r>
          </w:p>
          <w:p w14:paraId="68E5F4E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7、网卡：10/100/1000千兆以太网接口</w:t>
            </w:r>
          </w:p>
          <w:p w14:paraId="692D6EE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8、机箱：机箱扩展、散热性好，体积不小于15L，内置扩音器。</w:t>
            </w:r>
          </w:p>
          <w:p w14:paraId="35E05A6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9、显示器：≥21.5寸宽屏LED背光液晶低蓝光显示器，</w:t>
            </w:r>
          </w:p>
          <w:p w14:paraId="3B56AA0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10、音频：集成</w:t>
            </w:r>
          </w:p>
          <w:p w14:paraId="45DC1CA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11、键盘鼠标：同品牌USB抗菌键盘及USB抗菌鼠标，需出具检测报告</w:t>
            </w:r>
          </w:p>
          <w:p w14:paraId="74D713C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12、操作系统：出场预装正版Windows11中文操作系统</w:t>
            </w:r>
          </w:p>
          <w:p w14:paraId="2ADD0CD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13、电源:≤180W节能高效电源</w:t>
            </w:r>
          </w:p>
          <w:p w14:paraId="5567741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14、★质量品质:节能产品认证；具备国家电子计算机质量监督检验中心出具的MTBF值不低于105万小时的认证证书；所投计算机产品数据接口性能通过国家权威检测机构测试、电源开关节能典型效率不低于90.9%，提供证明材料。</w:t>
            </w:r>
          </w:p>
          <w:p w14:paraId="707E55D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15、★服务：主机及显示器三年保修及上门服务，厂商服务体系通过4PS认证及CCCS认证证明，提供证明材料。</w:t>
            </w:r>
          </w:p>
        </w:tc>
        <w:tc>
          <w:tcPr>
            <w:tcW w:w="698" w:type="dxa"/>
            <w:shd w:val="clear" w:color="auto" w:fill="auto"/>
            <w:vAlign w:val="center"/>
          </w:tcPr>
          <w:p w14:paraId="106035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台</w:t>
            </w:r>
          </w:p>
        </w:tc>
        <w:tc>
          <w:tcPr>
            <w:tcW w:w="843" w:type="dxa"/>
            <w:shd w:val="clear" w:color="auto" w:fill="auto"/>
            <w:vAlign w:val="center"/>
          </w:tcPr>
          <w:p w14:paraId="465B7F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w:t>
            </w:r>
          </w:p>
        </w:tc>
        <w:tc>
          <w:tcPr>
            <w:tcW w:w="698" w:type="dxa"/>
            <w:vAlign w:val="center"/>
          </w:tcPr>
          <w:p w14:paraId="50166B31">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6409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738A36D3">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16</w:t>
            </w:r>
          </w:p>
        </w:tc>
        <w:tc>
          <w:tcPr>
            <w:tcW w:w="1400" w:type="dxa"/>
            <w:shd w:val="clear" w:color="auto" w:fill="auto"/>
            <w:vAlign w:val="center"/>
          </w:tcPr>
          <w:p w14:paraId="4D042E1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教学专用桌</w:t>
            </w:r>
          </w:p>
        </w:tc>
        <w:tc>
          <w:tcPr>
            <w:tcW w:w="9766" w:type="dxa"/>
            <w:vAlign w:val="center"/>
          </w:tcPr>
          <w:p w14:paraId="51BA3B0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1、办公桌规格：1200*600*750mm</w:t>
            </w:r>
          </w:p>
          <w:p w14:paraId="2CB4B1C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桌面基材采用25和16mm厚度E1级高密度三聚氰胺饰面实木颗粒板材，环保三聚氰胺贴面；要求板面光滑平整，防划伤、高强耐磨,集中耐高温200℃。板材截面采用同色PVC封边条经全自动封边机高温粘贴；修边光滑平整，无棱角，且经过抛光处理。</w:t>
            </w:r>
          </w:p>
          <w:p w14:paraId="7C58258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2、椅子规格：金属弓形椅;椅座、椅背采用进口网面。符合人体工程学原理设计，坐感舒适，最大承受200KG，优质不锈钢弓形框架.</w:t>
            </w:r>
          </w:p>
        </w:tc>
        <w:tc>
          <w:tcPr>
            <w:tcW w:w="698" w:type="dxa"/>
            <w:shd w:val="clear" w:color="auto" w:fill="auto"/>
            <w:vAlign w:val="center"/>
          </w:tcPr>
          <w:p w14:paraId="5AE10A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张</w:t>
            </w:r>
          </w:p>
        </w:tc>
        <w:tc>
          <w:tcPr>
            <w:tcW w:w="843" w:type="dxa"/>
            <w:shd w:val="clear" w:color="auto" w:fill="auto"/>
            <w:vAlign w:val="center"/>
          </w:tcPr>
          <w:p w14:paraId="3817FA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w:t>
            </w:r>
          </w:p>
        </w:tc>
        <w:tc>
          <w:tcPr>
            <w:tcW w:w="698" w:type="dxa"/>
            <w:vAlign w:val="center"/>
          </w:tcPr>
          <w:p w14:paraId="2076F674">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0480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74725A47">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17</w:t>
            </w:r>
          </w:p>
        </w:tc>
        <w:tc>
          <w:tcPr>
            <w:tcW w:w="1400" w:type="dxa"/>
            <w:shd w:val="clear" w:color="auto" w:fill="auto"/>
            <w:vAlign w:val="center"/>
          </w:tcPr>
          <w:p w14:paraId="52C3AB6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辅助设备材料</w:t>
            </w:r>
          </w:p>
        </w:tc>
        <w:tc>
          <w:tcPr>
            <w:tcW w:w="9766" w:type="dxa"/>
            <w:vAlign w:val="center"/>
          </w:tcPr>
          <w:p w14:paraId="33BFB25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1、电源线1：成品排插，尺寸≥2.5米</w:t>
            </w:r>
          </w:p>
          <w:p w14:paraId="222710D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2、电源线2：2.5平方，零火地线各80米</w:t>
            </w:r>
          </w:p>
          <w:p w14:paraId="73B198E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3、电源线3：1.5平方，零火地线各50米</w:t>
            </w:r>
          </w:p>
          <w:p w14:paraId="7FFCD80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3、地槽：不锈钢，尺寸≥1.5米。</w:t>
            </w:r>
          </w:p>
          <w:p w14:paraId="056041B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4、线槽/线管，尺寸≥20米。</w:t>
            </w:r>
          </w:p>
          <w:p w14:paraId="5A34E2D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5、音频线：尺寸：≥80米</w:t>
            </w:r>
          </w:p>
          <w:p w14:paraId="0312E51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6、开关模块：≥2个</w:t>
            </w:r>
          </w:p>
          <w:p w14:paraId="6972CA0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7、空调管加长：因施工环境一面墙全部都是玻璃，空调管≥3米</w:t>
            </w:r>
          </w:p>
        </w:tc>
        <w:tc>
          <w:tcPr>
            <w:tcW w:w="698" w:type="dxa"/>
            <w:shd w:val="clear" w:color="auto" w:fill="auto"/>
            <w:vAlign w:val="center"/>
          </w:tcPr>
          <w:p w14:paraId="4B48DC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批</w:t>
            </w:r>
          </w:p>
        </w:tc>
        <w:tc>
          <w:tcPr>
            <w:tcW w:w="843" w:type="dxa"/>
            <w:shd w:val="clear" w:color="auto" w:fill="auto"/>
            <w:vAlign w:val="center"/>
          </w:tcPr>
          <w:p w14:paraId="573DD1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w:t>
            </w:r>
          </w:p>
        </w:tc>
        <w:tc>
          <w:tcPr>
            <w:tcW w:w="698" w:type="dxa"/>
            <w:vAlign w:val="center"/>
          </w:tcPr>
          <w:p w14:paraId="63D33305">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2902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5D71CD9B">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18</w:t>
            </w:r>
          </w:p>
        </w:tc>
        <w:tc>
          <w:tcPr>
            <w:tcW w:w="1400" w:type="dxa"/>
            <w:shd w:val="clear" w:color="auto" w:fill="auto"/>
            <w:vAlign w:val="center"/>
          </w:tcPr>
          <w:p w14:paraId="1851BB0B">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教室文化建设</w:t>
            </w:r>
          </w:p>
        </w:tc>
        <w:tc>
          <w:tcPr>
            <w:tcW w:w="9766" w:type="dxa"/>
            <w:vAlign w:val="center"/>
          </w:tcPr>
          <w:p w14:paraId="25DB4B1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教室文化建设包含以下内容</w:t>
            </w:r>
          </w:p>
          <w:p w14:paraId="2F567D8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共计：182平方</w:t>
            </w:r>
          </w:p>
          <w:p w14:paraId="2E94B6B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一、室内顶部处理：共计182个平方</w:t>
            </w:r>
          </w:p>
          <w:p w14:paraId="3ACAF59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1、保证通风采光，</w:t>
            </w:r>
          </w:p>
          <w:p w14:paraId="44C5E0B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2、需采用不燃材料（如石膏板、金属板、矿棉板等材质）吊顶，</w:t>
            </w:r>
          </w:p>
          <w:p w14:paraId="341CAA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3、防霉、防潮、易清洁，搭配均匀照明灯，确保安全舒适的教学环境。</w:t>
            </w:r>
          </w:p>
          <w:p w14:paraId="100CDB5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二、墙面优化：共计160个平方</w:t>
            </w:r>
          </w:p>
          <w:p w14:paraId="72BB7A1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1、执行标准：</w:t>
            </w:r>
          </w:p>
          <w:p w14:paraId="3767FDA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1.1、（合成树脂乳液内墙涂料）JG/T9756-2018</w:t>
            </w:r>
          </w:p>
          <w:p w14:paraId="16603FE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1.2、（室内装饰装修材料内墙涂料中有害物质限量）GB18582</w:t>
            </w:r>
          </w:p>
          <w:p w14:paraId="636BCBE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2、材料要求：要求所用材料为墙面环保乳胶漆，</w:t>
            </w:r>
          </w:p>
          <w:p w14:paraId="7EA0E0F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2.1、在容器中的状态：无硬块，搅拌后呈均匀状</w:t>
            </w:r>
          </w:p>
          <w:p w14:paraId="750C18E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2.2、施工性：涂刷二道无障碍</w:t>
            </w:r>
          </w:p>
          <w:p w14:paraId="04B0B93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2.3、温度温度性：不变质</w:t>
            </w:r>
          </w:p>
          <w:p w14:paraId="0916690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2.4、低温成膜型：无异常</w:t>
            </w:r>
          </w:p>
          <w:p w14:paraId="7D596C8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2.5、涂抹外观：正常</w:t>
            </w:r>
          </w:p>
          <w:p w14:paraId="72815DD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2.6、干燥时间（表干）/h≤：2</w:t>
            </w:r>
          </w:p>
          <w:p w14:paraId="328FF10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2.7、耐碱性（24h）：无异常</w:t>
            </w:r>
          </w:p>
          <w:p w14:paraId="53F0662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2.8、初期干燥抗裂性：无裂纹</w:t>
            </w:r>
          </w:p>
          <w:p w14:paraId="52EB508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三、电路优化：零线50米，火线50米，地线50米</w:t>
            </w:r>
          </w:p>
          <w:p w14:paraId="6FB3FE5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1，所有线路必须穿阻燃PVC管或金属线槽（禁止裸露明线）</w:t>
            </w:r>
          </w:p>
          <w:p w14:paraId="5555EF1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2，配电箱需设漏电保护器，每回路负载≤80%额定功率</w:t>
            </w:r>
          </w:p>
          <w:p w14:paraId="3046B38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四、原有设备的拆除</w:t>
            </w:r>
          </w:p>
          <w:p w14:paraId="73FCA6F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1吊顶：182平方，</w:t>
            </w:r>
          </w:p>
          <w:p w14:paraId="398C1B7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2电路线：零火地线各50米，</w:t>
            </w:r>
          </w:p>
          <w:p w14:paraId="4CA9EB3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3灯具：12个灯，</w:t>
            </w:r>
          </w:p>
          <w:p w14:paraId="098A67B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4窗帘：30个平方，</w:t>
            </w:r>
          </w:p>
          <w:p w14:paraId="4D14375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5镜子：10个平方，</w:t>
            </w:r>
          </w:p>
          <w:p w14:paraId="7D47550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6门：两扇，</w:t>
            </w:r>
          </w:p>
          <w:p w14:paraId="08B3621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7木地板：182平方</w:t>
            </w:r>
          </w:p>
          <w:p w14:paraId="0F076DC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8多媒体设备：音响、投影设备</w:t>
            </w:r>
          </w:p>
          <w:p w14:paraId="082279D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9、需组织专业团队进行现场勘查，识别高风险设备（如高压配电箱、含汞灯具）</w:t>
            </w:r>
          </w:p>
          <w:p w14:paraId="2150FA9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szCs w:val="24"/>
              </w:rPr>
            </w:pPr>
            <w:r>
              <w:rPr>
                <w:rFonts w:hint="eastAsia"/>
                <w:sz w:val="24"/>
                <w:szCs w:val="24"/>
              </w:rPr>
              <w:t>10、制定详细的拆除方案（含时间节点、人员分工、应急预案）</w:t>
            </w:r>
          </w:p>
          <w:p w14:paraId="1268AB5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heme="minorEastAsia" w:hAnsiTheme="minorEastAsia" w:cstheme="minorEastAsia"/>
                <w:kern w:val="0"/>
                <w:sz w:val="24"/>
                <w:szCs w:val="24"/>
              </w:rPr>
            </w:pPr>
            <w:r>
              <w:rPr>
                <w:rFonts w:hint="eastAsia"/>
                <w:sz w:val="24"/>
                <w:szCs w:val="24"/>
              </w:rPr>
              <w:t>11、需提前向校方报备拆除时间，学校会协调停电时间窗口，</w:t>
            </w:r>
          </w:p>
        </w:tc>
        <w:tc>
          <w:tcPr>
            <w:tcW w:w="698" w:type="dxa"/>
            <w:shd w:val="clear" w:color="auto" w:fill="auto"/>
            <w:vAlign w:val="center"/>
          </w:tcPr>
          <w:p w14:paraId="715BDD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批</w:t>
            </w:r>
          </w:p>
        </w:tc>
        <w:tc>
          <w:tcPr>
            <w:tcW w:w="843" w:type="dxa"/>
            <w:shd w:val="clear" w:color="auto" w:fill="auto"/>
            <w:vAlign w:val="center"/>
          </w:tcPr>
          <w:p w14:paraId="1E9FE9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w:t>
            </w:r>
          </w:p>
        </w:tc>
        <w:tc>
          <w:tcPr>
            <w:tcW w:w="698" w:type="dxa"/>
            <w:vAlign w:val="center"/>
          </w:tcPr>
          <w:p w14:paraId="31C87CD7">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52BD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8" w:type="dxa"/>
            <w:gridSpan w:val="6"/>
            <w:vAlign w:val="center"/>
          </w:tcPr>
          <w:p w14:paraId="3677822B">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b/>
                <w:kern w:val="0"/>
                <w:sz w:val="24"/>
                <w:szCs w:val="24"/>
              </w:rPr>
            </w:pPr>
            <w:r>
              <w:rPr>
                <w:rFonts w:hint="eastAsia" w:asciiTheme="minorEastAsia" w:hAnsiTheme="minorEastAsia" w:cstheme="minorEastAsia"/>
                <w:b/>
                <w:kern w:val="0"/>
                <w:sz w:val="28"/>
                <w:szCs w:val="28"/>
              </w:rPr>
              <w:t>二、声乐训练标准教室升级（3间）</w:t>
            </w:r>
          </w:p>
        </w:tc>
      </w:tr>
      <w:tr w14:paraId="3979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6DD8ADED">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序号</w:t>
            </w:r>
          </w:p>
        </w:tc>
        <w:tc>
          <w:tcPr>
            <w:tcW w:w="1400" w:type="dxa"/>
            <w:vAlign w:val="center"/>
          </w:tcPr>
          <w:p w14:paraId="44E5073E">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设备名称</w:t>
            </w:r>
          </w:p>
        </w:tc>
        <w:tc>
          <w:tcPr>
            <w:tcW w:w="9766" w:type="dxa"/>
            <w:vAlign w:val="center"/>
          </w:tcPr>
          <w:p w14:paraId="044A5D1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技术参数</w:t>
            </w:r>
          </w:p>
        </w:tc>
        <w:tc>
          <w:tcPr>
            <w:tcW w:w="698" w:type="dxa"/>
            <w:vAlign w:val="center"/>
          </w:tcPr>
          <w:p w14:paraId="7D5FF620">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单位</w:t>
            </w:r>
          </w:p>
        </w:tc>
        <w:tc>
          <w:tcPr>
            <w:tcW w:w="843" w:type="dxa"/>
            <w:vAlign w:val="center"/>
          </w:tcPr>
          <w:p w14:paraId="40083FE4">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数量</w:t>
            </w:r>
          </w:p>
        </w:tc>
        <w:tc>
          <w:tcPr>
            <w:tcW w:w="698" w:type="dxa"/>
            <w:vAlign w:val="center"/>
          </w:tcPr>
          <w:p w14:paraId="32A55FD3">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备注</w:t>
            </w:r>
          </w:p>
        </w:tc>
      </w:tr>
      <w:tr w14:paraId="2DA1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3F63B9D8">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p>
        </w:tc>
        <w:tc>
          <w:tcPr>
            <w:tcW w:w="1400" w:type="dxa"/>
            <w:shd w:val="clear" w:color="auto" w:fill="auto"/>
            <w:vAlign w:val="center"/>
          </w:tcPr>
          <w:p w14:paraId="5098F3B0">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演奏立式钢琴</w:t>
            </w:r>
          </w:p>
        </w:tc>
        <w:tc>
          <w:tcPr>
            <w:tcW w:w="9766" w:type="dxa"/>
            <w:vAlign w:val="center"/>
          </w:tcPr>
          <w:p w14:paraId="554F3B80">
            <w:pPr>
              <w:keepNext w:val="0"/>
              <w:keepLines w:val="0"/>
              <w:pageBreakBefore w:val="0"/>
              <w:numPr>
                <w:ilvl w:val="0"/>
                <w:numId w:val="4"/>
              </w:numPr>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琴键数：88键;</w:t>
            </w:r>
          </w:p>
          <w:p w14:paraId="7D462394">
            <w:pPr>
              <w:keepNext w:val="0"/>
              <w:keepLines w:val="0"/>
              <w:pageBreakBefore w:val="0"/>
              <w:numPr>
                <w:ilvl w:val="0"/>
                <w:numId w:val="4"/>
              </w:numPr>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2.颜色：黑色亮光</w:t>
            </w:r>
          </w:p>
          <w:p w14:paraId="0B14F14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3.尺寸：1310mm*1530mm*660mm；</w:t>
            </w:r>
          </w:p>
          <w:p w14:paraId="19B763E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4.重量:259KG;</w:t>
            </w:r>
          </w:p>
          <w:p w14:paraId="6B22418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5.击弦机：枫木击弦机，精确度达到0.05毫米。</w:t>
            </w:r>
          </w:p>
          <w:p w14:paraId="6F0AE08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6.键盘：云杉实木制作、键体木材部分不能涂油漆、键皮与木材部分无痕粘接;</w:t>
            </w:r>
          </w:p>
          <w:p w14:paraId="2FD466E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7.白键面：采用丙烯树脂;</w:t>
            </w:r>
          </w:p>
          <w:p w14:paraId="77F4713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8.黑键面：酚醛树脂;</w:t>
            </w:r>
          </w:p>
          <w:p w14:paraId="0C0C69B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9.音板：云杉实木音板,运用独特技术设计，音色好且稳定，在各种条件下都能保持良好的工作状态；</w:t>
            </w:r>
          </w:p>
          <w:p w14:paraId="52EF50A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10.弦槌：采用高档纯羊毛榔头、特质内衬弦槌，并运用传统工艺制作的弦槌，音色明亮通透。;</w:t>
            </w:r>
          </w:p>
          <w:p w14:paraId="03FF420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11.弦轴板：由多层坚硬的色木交错高压力冷压而成，为弦轴钉提供稳固的握钉力，保证了音准稳定性，使用防潮密封胶粘合;</w:t>
            </w:r>
          </w:p>
          <w:p w14:paraId="0DA8291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12.★顶杆：采用高强度ABS材质，不易磨损变形，自润性能佳，保证产品稳定性；</w:t>
            </w:r>
          </w:p>
          <w:p w14:paraId="1ACE107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13.击弦机支架：铝合金支架，保证击弦机稳定性；</w:t>
            </w:r>
          </w:p>
          <w:p w14:paraId="20A8D43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14.键盘盖：摆杆式缓降系统；</w:t>
            </w:r>
          </w:p>
          <w:p w14:paraId="726F005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15.琴弦：高级琴弦、音色纯净，音准稳定，表面无镀铬或镀镍涂层;</w:t>
            </w:r>
          </w:p>
          <w:p w14:paraId="5C789A2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16.中盘：采用多层板且有金属加固，长期耐候不变形；</w:t>
            </w:r>
          </w:p>
          <w:p w14:paraId="472379D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17.★码桥：弧线型悬浮式码桥，纯实木制作，黏合式实木下桥码；;</w:t>
            </w:r>
          </w:p>
          <w:p w14:paraId="0460173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18.踏板材料：三个，实心纯铜制作;</w:t>
            </w:r>
          </w:p>
          <w:p w14:paraId="7C00DCE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19.踏板连杆：金属连杆方式机械传动;</w:t>
            </w:r>
          </w:p>
          <w:p w14:paraId="1C5351E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20.铸铁板：原产真空铸造大U型铸铁板，表面光滑细腻；</w:t>
            </w:r>
          </w:p>
          <w:p w14:paraId="21ED9C9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21.油漆：绿色无铅环保油漆，采用静电喷涂、自动淋油等先进涂饰工艺，令漆面光滑平整;</w:t>
            </w:r>
          </w:p>
          <w:p w14:paraId="0F7A136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22.上门板整板设计，金色金属部件；</w:t>
            </w:r>
          </w:p>
          <w:p w14:paraId="4E57B70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23.需包含琴凳.钢琴罩</w:t>
            </w:r>
          </w:p>
        </w:tc>
        <w:tc>
          <w:tcPr>
            <w:tcW w:w="698" w:type="dxa"/>
            <w:shd w:val="clear" w:color="auto" w:fill="auto"/>
            <w:vAlign w:val="center"/>
          </w:tcPr>
          <w:p w14:paraId="1B0D33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台</w:t>
            </w:r>
          </w:p>
        </w:tc>
        <w:tc>
          <w:tcPr>
            <w:tcW w:w="843" w:type="dxa"/>
            <w:shd w:val="clear" w:color="auto" w:fill="auto"/>
            <w:vAlign w:val="center"/>
          </w:tcPr>
          <w:p w14:paraId="36FD13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3</w:t>
            </w:r>
          </w:p>
        </w:tc>
        <w:tc>
          <w:tcPr>
            <w:tcW w:w="698" w:type="dxa"/>
            <w:vAlign w:val="center"/>
          </w:tcPr>
          <w:p w14:paraId="1F6450E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0942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483" w:type="dxa"/>
            <w:vAlign w:val="center"/>
          </w:tcPr>
          <w:p w14:paraId="78907081">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c>
          <w:tcPr>
            <w:tcW w:w="1400" w:type="dxa"/>
            <w:shd w:val="clear" w:color="auto" w:fill="auto"/>
            <w:vAlign w:val="center"/>
          </w:tcPr>
          <w:p w14:paraId="0B7C6656">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钢琴调律</w:t>
            </w:r>
          </w:p>
        </w:tc>
        <w:tc>
          <w:tcPr>
            <w:tcW w:w="9766" w:type="dxa"/>
            <w:vAlign w:val="center"/>
          </w:tcPr>
          <w:p w14:paraId="6167B68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需有专业调琴师进行调律。</w:t>
            </w:r>
          </w:p>
        </w:tc>
        <w:tc>
          <w:tcPr>
            <w:tcW w:w="698" w:type="dxa"/>
            <w:shd w:val="clear" w:color="auto" w:fill="auto"/>
            <w:vAlign w:val="center"/>
          </w:tcPr>
          <w:p w14:paraId="545DDA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次</w:t>
            </w:r>
          </w:p>
        </w:tc>
        <w:tc>
          <w:tcPr>
            <w:tcW w:w="843" w:type="dxa"/>
            <w:shd w:val="clear" w:color="auto" w:fill="auto"/>
            <w:vAlign w:val="center"/>
          </w:tcPr>
          <w:p w14:paraId="258D79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3</w:t>
            </w:r>
          </w:p>
        </w:tc>
        <w:tc>
          <w:tcPr>
            <w:tcW w:w="698" w:type="dxa"/>
            <w:vAlign w:val="center"/>
          </w:tcPr>
          <w:p w14:paraId="18FA9D85">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431F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67CC59B6">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p>
        </w:tc>
        <w:tc>
          <w:tcPr>
            <w:tcW w:w="1400" w:type="dxa"/>
            <w:shd w:val="clear" w:color="auto" w:fill="auto"/>
            <w:vAlign w:val="center"/>
          </w:tcPr>
          <w:p w14:paraId="0CC8F16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color w:val="000000"/>
                <w:sz w:val="24"/>
                <w:szCs w:val="24"/>
                <w:lang w:eastAsia="zh-CN"/>
              </w:rPr>
            </w:pPr>
            <w:bookmarkStart w:id="109" w:name="OLE_LINK5"/>
            <w:bookmarkStart w:id="110" w:name="OLE_LINK3"/>
            <w:r>
              <w:rPr>
                <w:rFonts w:hint="eastAsia" w:asciiTheme="minorEastAsia" w:hAnsiTheme="minorEastAsia" w:cstheme="minorEastAsia"/>
                <w:color w:val="000000"/>
                <w:sz w:val="24"/>
                <w:szCs w:val="24"/>
              </w:rPr>
              <w:t>智慧音乐教学云平台</w:t>
            </w:r>
            <w:bookmarkEnd w:id="109"/>
            <w:bookmarkEnd w:id="110"/>
          </w:p>
        </w:tc>
        <w:tc>
          <w:tcPr>
            <w:tcW w:w="9766" w:type="dxa"/>
            <w:vAlign w:val="center"/>
          </w:tcPr>
          <w:p w14:paraId="604461B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智慧音乐教学云平台创客系统采用账号登录，登录时需要输入账号、密码。下述所有功能需在统一软件内实现，系统具有注册账号及密码找回功能，需要输入手机号，系统会自动发送验证码到对应手机，输入验证码，和密码进行密码修改。</w:t>
            </w:r>
          </w:p>
          <w:p w14:paraId="422E57E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系统工具：该区域内的工具，可在系统内任何功能模块内使用。</w:t>
            </w:r>
          </w:p>
          <w:p w14:paraId="5BBC0A3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★1.屏幕录制：录制时，可选择单独录制系统声音、单独录制麦克风声音或两种声音全部录制，可将录制的视频保存至所需路径下。(需提供CMA或CNAS认证检测机构出具的检测报告并加盖公章)</w:t>
            </w:r>
          </w:p>
          <w:p w14:paraId="05788F3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2.屏幕截图：可对功能界面进行截图，并保存至所需路径下。</w:t>
            </w:r>
          </w:p>
          <w:p w14:paraId="791FFC2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3.节拍器：支持单独设置节拍分子和分母的大小，范围为1-16拍；改变分子，下方电子节拍器的拍数会跟随改变。</w:t>
            </w:r>
          </w:p>
          <w:p w14:paraId="2B9EC8B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4.电子节拍器每一拍都支持修改声音强度为强、次强、弱以及无声；播放有实际效果。(需提供CMA或CNAS认证检测机构出具的检测报告并加盖公章)</w:t>
            </w:r>
          </w:p>
          <w:p w14:paraId="513D183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Cs/>
                <w:kern w:val="0"/>
                <w:sz w:val="24"/>
                <w:szCs w:val="24"/>
              </w:rPr>
            </w:pPr>
            <w:r>
              <w:rPr>
                <w:rFonts w:hint="eastAsia" w:asciiTheme="minorEastAsia" w:hAnsiTheme="minorEastAsia" w:cstheme="minorEastAsia"/>
                <w:b/>
                <w:kern w:val="0"/>
                <w:sz w:val="24"/>
                <w:szCs w:val="24"/>
              </w:rPr>
              <w:t>5.支持六种细分节拍选择（单音、双音、三连音、四连音、前八后十六、前十六后八），改变分母大小，细分节拍时值会跟随改变；播放时会跟随细分进行播放。(需提供CMA或CNAS认证检测机构出具的检测报告并加盖公章)</w:t>
            </w:r>
          </w:p>
          <w:p w14:paraId="15AED4C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6.支持手动输入数字进行调节；支持通过点击加减号进行调节。</w:t>
            </w:r>
          </w:p>
          <w:p w14:paraId="1422218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7.支持选择BPM进行速度调节（具有Grave、Lento、Adagio、Adagietto、Andante、Allegretto、Allegro、Vivace、Presto、Prestissimo等不低于十种BPM）；支持通过点击TAP来修改速度。</w:t>
            </w:r>
          </w:p>
          <w:p w14:paraId="45E292E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8.支持倒计时：开启倒计时后，可选择时间，时间截止后，节拍器自动停止播放。</w:t>
            </w:r>
          </w:p>
          <w:p w14:paraId="237A301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9.具有板书功能，支持铅笔、喷雾器、直线、虚线、箭头、方块、圆形、椭圆形、三角形的书写以及文本的插入。</w:t>
            </w:r>
          </w:p>
          <w:p w14:paraId="02AA6F5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10.支持修改书写内容的颜色；支持修改插入文本的颜色；支持1-10级的粗细调整。</w:t>
            </w:r>
          </w:p>
          <w:p w14:paraId="6054F36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11.支持对书写的内容或插入的内容进行选中并拖拽位置、旋转或放大缩小。</w:t>
            </w:r>
          </w:p>
          <w:p w14:paraId="25A8BDF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12.支持对书写内容或插入文本进行撤销、恢复、删除等操作；支持对书写内容进行擦除、擦除全部、恢复擦除等操作。</w:t>
            </w:r>
          </w:p>
          <w:p w14:paraId="1D89E15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13.可收起左侧菜单展示栏，放大教学区域。</w:t>
            </w:r>
          </w:p>
          <w:p w14:paraId="11300E0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14.可在某功能模块内部，在不返回首页的情况下，直接跳转至其他功能模块。</w:t>
            </w:r>
          </w:p>
          <w:p w14:paraId="14E9D30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MIDI作曲</w:t>
            </w:r>
          </w:p>
          <w:p w14:paraId="7DFCBBB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应支持标准完整曲谱制作，包括固定谱表模板（常规谱表模板：空白谱表、高音、中音、低音、次中音、大谱表、简谱谱表，合唱谱表模板、室内乐谱表模板、独奏谱表模板、爵士乐谱表模板、流行音乐谱表模板、乐队与打击乐器谱表模板）以及自定义乐器谱表模板（木管乐器、自由簧片、铜管、有音高打击乐器、键盘、弦乐-拨弦乐器、弦乐-弓弦乐器）(需提供CMA或CNAS认证检测机构出具的检测报告并加盖公章)</w:t>
            </w:r>
          </w:p>
          <w:p w14:paraId="34111E2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2．模板支持添加演奏记号与术语，如：谱号、调号、拍号、音高、时值、重复与跳转、小节线、线条记号、倚音、琶音与滑音、震音、力度记号、指法、科尔文手势、音色、品格图、功能标记等。</w:t>
            </w:r>
          </w:p>
          <w:p w14:paraId="54C3EC0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3．支持修改谱例属性，如：标题、作曲、谱表数、小节数、每行小节数、调号、节拍、速度、速度文本、显隐速度、设置弱起小节、弱起小节节拍、散板以及脚踏记号的显示方式。</w:t>
            </w:r>
          </w:p>
          <w:p w14:paraId="033D3FB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4．支持设置多声部属性，如：谱表类型、连谱号类型、谱号、谱表名称、副名称、双声部、X符头、音色（128种高保真音色）。</w:t>
            </w:r>
          </w:p>
          <w:p w14:paraId="1CBD41C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支持排版，如：调整谱子页宽、标题字体、标题颜色、歌词字体、歌词颜色、标题与顶部间距、谱表与标题间距、标题与作曲间距、调整倚音空间（前距、间距、后距）、左右边距、底部边距、行间距、设置小节等间距等。</w:t>
            </w:r>
          </w:p>
          <w:p w14:paraId="551F642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支持单独修改音符属性，如：一键升降一个音或八度、添加歌词、插入文本；音符单独添加功能标记、谱号、临时记号、前倚音、后倚音、指法、琶音与滑音、震音、力度、科尔文手势、音色、品格图、换气符号、括号、脚踏符号、分隔、延音线、延长记号、X符头以及符干和音乐记号的朝向等。</w:t>
            </w:r>
          </w:p>
          <w:p w14:paraId="3579846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7．支持单独修改小节属性，如：谱号、调号、速度、节拍、小节线、跳跃记号、重复与跳转、换行、左右侧插入小节、删除小节等。</w:t>
            </w:r>
          </w:p>
          <w:p w14:paraId="0AE5BD3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8．支持多种谱例细节操作，如：显隐休止符、倚音上添加指法、移动线条记号等。</w:t>
            </w:r>
          </w:p>
          <w:p w14:paraId="4577D6C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9．支持特殊谱例操作，如：音符二重唱、跨谱表插入音符等。(需提供CMA或CNAS认证检测机构出具的检测报告并加盖公章)</w:t>
            </w:r>
          </w:p>
          <w:p w14:paraId="2892A53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10．创作谱表时具有插入与修改两种模式，在插入模式时可以选择不同时值或类型的音符进行插入（如：五线谱或简谱的二全音符、全音符、二分音符、四分音符、八分音符、十六分音符、三十二分音符、六十四分音符等），也可以选择不同调式、不同音级的和弦原位、转位进行插入；输入音符方式有：电脑键盘1234567和CDEFGAB/系统内虚拟琴键/屏幕点击/电子钢琴实体琴键；所有插入的音符会根据音值组合法自动完成节拍分割。(需提供CMA或CNAS认证检测机构出具的检测报告并加盖公章)</w:t>
            </w:r>
          </w:p>
          <w:p w14:paraId="5E779B0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11．音符调整方式有：选中音符上下拖动/使用电脑键盘上下键/.使用系统内置功能按键（可一键升降8度）/.通过虚拟琴键/实体琴键等调整音符音高；可以使用实体键盘的F1到F7进行时值的快捷切换。(需提供CMA或CNAS认证检测机构出具的检测报告并加盖公章)</w:t>
            </w:r>
          </w:p>
          <w:p w14:paraId="15C1A1D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★12．支持智能插入模式，可根据点击虚拟琴键或实体琴键的时长，自动插入对应时值的音符。(需提供CMA或CNAS认证检测机构出具的检测报告并加盖公章)</w:t>
            </w:r>
          </w:p>
          <w:p w14:paraId="2D33FFE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13．支持插入对应时值的休止符；支持插入附点或复附点音符；支持在音符上添加临时记号，如：升、降、重升、重降、还原等。</w:t>
            </w:r>
          </w:p>
          <w:p w14:paraId="134D1FD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14．支持自定义显隐操作面板，如：显示或隐藏谱例属性、缩略图、排版、符号面板等。</w:t>
            </w:r>
          </w:p>
          <w:p w14:paraId="7D64F7A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15．支持一键显隐键盘、标尺、网格等。</w:t>
            </w:r>
          </w:p>
          <w:p w14:paraId="1ECFBB0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16．支持修改键位为49键、61键、88键；一键显隐音名、唱名、音组。</w:t>
            </w:r>
          </w:p>
          <w:p w14:paraId="2B76289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17．支持修改调号；支持修改唱名类型为首调或固定调（首调即唱名跟随调号变化，固定调即唱名不会跟随调号变化）；支持修改128种高保真音色。</w:t>
            </w:r>
          </w:p>
          <w:p w14:paraId="55C7E3C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18．支持删除、撤销、恢复操作；支持复制粘贴音符。</w:t>
            </w:r>
          </w:p>
          <w:p w14:paraId="5870028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19．支持新增、删除、刷新缩略图。</w:t>
            </w:r>
          </w:p>
          <w:p w14:paraId="422D4EA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20．支持多种谱表切换，如：五线谱、简谱、五线谱节奏谱、简谱节奏谱；支持添加多种对照谱表，如：五线谱、简谱、五线谱节奏谱、简谱节奏谱、三线谱、四线谱、六线谱、不同调式的对照谱。</w:t>
            </w:r>
          </w:p>
          <w:p w14:paraId="6A2AF31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21．支持一键显隐唱名、图文、歌词、拼音、科尔文记号、直笛谱、陶笛铺、竹笛谱、葫芦丝谱等；支持一键显示小节序号、每行首个小节序号、每五小节显示、小节等间距等；一键升降一个音或八度。</w:t>
            </w:r>
          </w:p>
          <w:p w14:paraId="349E716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22．支持插入或删除不低于80个的小图标，如：形状、动物、音符、乐器、表情等。</w:t>
            </w:r>
          </w:p>
          <w:p w14:paraId="0126C3C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23．支持插入或删除图片、视频、音频等多媒体文件；支持插入或删除文本，可修改字体、粗细、斜体、颜色等。</w:t>
            </w:r>
          </w:p>
          <w:p w14:paraId="25BF32E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24．支持对编辑完成的谱子添加范唱、伴奏、唱名、节奏旋律文件进行MP3同步，声部选择框可进行拖拽，并且可以进行实时播放。</w:t>
            </w:r>
          </w:p>
          <w:p w14:paraId="4A0F985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25．可进行声部调整，可选择单个声部或多个声部进行播放，可修改每个声部的音色以及声部的音量。</w:t>
            </w:r>
          </w:p>
          <w:p w14:paraId="11E7AFD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26．具有谱曲播放、男生唱名、女生唱名、真人唱名、范唱播放、伴奏播放、男声节奏、女声节奏、女生试唱、打击节奏、伴奏+旋律等不低于十一种播放模式；支持在播放过程中暂停以及修改播放速度；支持选择一段音符进行播放。</w:t>
            </w:r>
          </w:p>
          <w:p w14:paraId="13D2D11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27．支持对谱子进行移调（15种调式可选）、调速（可通过时值、数字、速度术语等进行调速）等操作。</w:t>
            </w:r>
          </w:p>
          <w:p w14:paraId="1E090EE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28．支持界面放大缩小；支持新建乐谱、打开本地文件、保存以及另存为；支持合并多个文件；支持导出唱名。</w:t>
            </w:r>
          </w:p>
          <w:p w14:paraId="1F43BF5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29．支持导出MIDI文件并播放、导入MIDI文件并可二次编辑播放。</w:t>
            </w:r>
          </w:p>
          <w:p w14:paraId="22AF190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30．支持音视频剪辑功能，可对导入的音视频进行剪辑、压缩、缩放、添加logo等操作。</w:t>
            </w:r>
          </w:p>
          <w:p w14:paraId="7D059E3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31．系统支持不低于12种的快捷键可供教师使用。</w:t>
            </w:r>
          </w:p>
          <w:p w14:paraId="36531B3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32．支持修改课件背景颜色；支持添加或重置课件背景图。</w:t>
            </w:r>
          </w:p>
          <w:p w14:paraId="24B20BE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33．支持从MIDI作曲一键跳转至演奏课堂，可直接进行谱子的弹奏。</w:t>
            </w:r>
          </w:p>
          <w:p w14:paraId="3B70D8F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34．具有板书功能，支持铅笔、喷雾器、直线、虚线、箭头、方块、圆形、椭圆形、三角形的书写以及文本的插入。</w:t>
            </w:r>
          </w:p>
          <w:p w14:paraId="6A4B9A3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35．支持修改书写内容的颜色；支持修改插入文本的颜色；支持1-10级的粗细调整。</w:t>
            </w:r>
          </w:p>
          <w:p w14:paraId="7FB0685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36．支持对书写的内容或插入的内容进行选中并拖拽位置、旋转或放大缩小。</w:t>
            </w:r>
          </w:p>
          <w:p w14:paraId="3FB5E14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支持对书写内容或插入文本进行撤销、恢复、删除等操作；支持对书写内容进行擦除、擦除全部、恢复擦除等操作。</w:t>
            </w:r>
          </w:p>
          <w:p w14:paraId="53D827B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乐理课堂</w:t>
            </w:r>
          </w:p>
          <w:p w14:paraId="005611C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1．具有一组大谱表，同时搭配乐理知识、虚拟琴键和曲谱展示的综合教学白板。</w:t>
            </w:r>
          </w:p>
          <w:p w14:paraId="761E0F7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highlight w:val="red"/>
              </w:rPr>
            </w:pPr>
            <w:r>
              <w:rPr>
                <w:rFonts w:hint="eastAsia" w:asciiTheme="minorEastAsia" w:hAnsiTheme="minorEastAsia" w:cstheme="minorEastAsia"/>
                <w:b/>
                <w:kern w:val="0"/>
                <w:sz w:val="24"/>
                <w:szCs w:val="24"/>
              </w:rPr>
              <w:t>★2．五线谱表、虚拟音乐键盘与MIDI键盘相互映射；教师进行MIDI键盘演奏过程中，虚拟音乐键盘同时显示乐符在键盘上的弹奏位置；可显示弹奏力度，弹奏力度由强到弱7种不同颜色展示。(需提供CMA或CNAS认证检测机构出具的检测报告并加盖公章)</w:t>
            </w:r>
          </w:p>
          <w:p w14:paraId="6E92084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3．支持修改键位为49键、61键、88键；一键显隐音名、唱名、音组。</w:t>
            </w:r>
          </w:p>
          <w:p w14:paraId="6C5A141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4．支持修改调号；支持修改唱名类型为首调或固定调（首调即唱名跟随调号变化，固定调即唱名不会跟随调号变化）；支持修改128种高保真音色。</w:t>
            </w:r>
          </w:p>
          <w:p w14:paraId="1D5FDB5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5．支持一键显隐键盘、间线、节奏图、五度圈，直接点击五度圈的外圈大调，可直接修改谱表调号。</w:t>
            </w:r>
          </w:p>
          <w:p w14:paraId="0070A94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6．支持和弦与音程教学，具有32种和弦以及25种音程，以箭头对应琴键为根音，可准确展示和弦与音程的键位，白健和黑键以不同颜色进行高亮展示，对比明显。</w:t>
            </w:r>
          </w:p>
          <w:p w14:paraId="391840C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Cs/>
                <w:kern w:val="0"/>
                <w:sz w:val="24"/>
                <w:szCs w:val="24"/>
              </w:rPr>
            </w:pPr>
            <w:r>
              <w:rPr>
                <w:rFonts w:hint="eastAsia" w:asciiTheme="minorEastAsia" w:hAnsiTheme="minorEastAsia" w:cstheme="minorEastAsia"/>
                <w:b/>
                <w:kern w:val="0"/>
                <w:sz w:val="24"/>
                <w:szCs w:val="24"/>
              </w:rPr>
              <w:t>7．开启键位保留后，插入的音符、音程以及和弦的键位都会保持高亮不消失，直到插入下一个音符、音程以及和弦或关闭该模式后高亮消失。(需提供CMA或CNAS认证检测机构出具的检测报告并加盖公章)</w:t>
            </w:r>
          </w:p>
          <w:p w14:paraId="173627F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Cs/>
                <w:kern w:val="0"/>
                <w:sz w:val="24"/>
                <w:szCs w:val="24"/>
              </w:rPr>
            </w:pPr>
            <w:r>
              <w:rPr>
                <w:rFonts w:hint="eastAsia" w:asciiTheme="minorEastAsia" w:hAnsiTheme="minorEastAsia" w:cstheme="minorEastAsia"/>
                <w:bCs/>
                <w:kern w:val="0"/>
                <w:sz w:val="24"/>
                <w:szCs w:val="24"/>
              </w:rPr>
              <w:t>8．开启页面漫游后，通过实体琴键或虚拟琴键弹奏的音符会保留在大谱表上不消失，页面可无限延伸，可进行左右滑动。</w:t>
            </w:r>
          </w:p>
          <w:p w14:paraId="3767749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Cs/>
                <w:kern w:val="0"/>
                <w:sz w:val="24"/>
                <w:szCs w:val="24"/>
              </w:rPr>
            </w:pPr>
            <w:r>
              <w:rPr>
                <w:rFonts w:hint="eastAsia" w:asciiTheme="minorEastAsia" w:hAnsiTheme="minorEastAsia" w:cstheme="minorEastAsia"/>
                <w:b/>
                <w:kern w:val="0"/>
                <w:sz w:val="24"/>
                <w:szCs w:val="24"/>
              </w:rPr>
              <w:t>9．在不进入其他功能页面的情况下，支持乐理知识课件讲解，包括：音、音符与音乐记号、音程、和弦、节拍、中国民族调式、自然大小调式、自然大小调的变体等，可对乐理知识课件进行模糊搜索。(需提供CMA或CNAS认证检测机构出具的检测报告并加盖公章)</w:t>
            </w:r>
          </w:p>
          <w:p w14:paraId="385A985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Cs/>
                <w:kern w:val="0"/>
                <w:sz w:val="24"/>
                <w:szCs w:val="24"/>
              </w:rPr>
            </w:pPr>
            <w:r>
              <w:rPr>
                <w:rFonts w:hint="eastAsia" w:asciiTheme="minorEastAsia" w:hAnsiTheme="minorEastAsia" w:cstheme="minorEastAsia"/>
                <w:bCs/>
                <w:kern w:val="0"/>
                <w:sz w:val="24"/>
                <w:szCs w:val="24"/>
              </w:rPr>
              <w:t>10．支持直接在五线谱表上弹奏发声，并在五线谱表的相应位置展示音符。</w:t>
            </w:r>
          </w:p>
          <w:p w14:paraId="09D4E3C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bCs/>
                <w:kern w:val="0"/>
                <w:sz w:val="24"/>
                <w:szCs w:val="24"/>
              </w:rPr>
              <w:t>11．支持节拍教学，支持单独设置节拍分子和</w:t>
            </w:r>
            <w:r>
              <w:rPr>
                <w:rFonts w:hint="eastAsia" w:asciiTheme="minorEastAsia" w:hAnsiTheme="minorEastAsia" w:cstheme="minorEastAsia"/>
                <w:kern w:val="0"/>
                <w:sz w:val="24"/>
                <w:szCs w:val="24"/>
              </w:rPr>
              <w:t>分母的大小，范围为1-16拍；改变分子，下方电子节拍器的拍数会跟随改变。</w:t>
            </w:r>
          </w:p>
          <w:p w14:paraId="1F22DC5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12．电子节拍器每一拍都支持修改声音强度为强、次强、弱以及无声；播放有实际效果。</w:t>
            </w:r>
          </w:p>
          <w:p w14:paraId="3BC7454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13．支持六种细分节拍选择（单音、双音、三连音、四连音、前八后十六、前十六后八），改变分母大小，细分节拍时值会跟随改变；播放时会跟随细分进行播放。</w:t>
            </w:r>
          </w:p>
          <w:p w14:paraId="6114E32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14．支持手动输入数字进行调节；支持通过点击加减号进行调节。</w:t>
            </w:r>
          </w:p>
          <w:p w14:paraId="425A440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15．支持选择BPM进行速度调节（具有Grave、Lento、Adagio、Adagietto、Andante、Allegretto、Allegro、Vivace、Presto、Prestissimo等不低于十种BPM）；支持通过点击TAP来修改速度。</w:t>
            </w:r>
          </w:p>
          <w:p w14:paraId="7F18654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16．支持倒计时：开启倒计时后，可选择时间，时间截止后，节拍器自动停止播放。</w:t>
            </w:r>
          </w:p>
          <w:p w14:paraId="763760B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17．具有板书功能，支持铅笔、喷雾器、直线、虚线、箭头、方块、圆形、椭圆形、三角形的书写以及文本的插入。</w:t>
            </w:r>
          </w:p>
          <w:p w14:paraId="0D951CB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18．支持修改书写内容的颜色；支持修改插入文本的颜色；支持1-10级的粗细调整。</w:t>
            </w:r>
          </w:p>
          <w:p w14:paraId="3A7281E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19．支持对书写的内容或插入的内容进行选中并拖拽位置、旋转或放大缩小。</w:t>
            </w:r>
          </w:p>
          <w:p w14:paraId="7E5CA26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支持对书写内容或插入文本进行撤销、恢复、删除等操作；支持对书写内容进行擦除、擦除全部、恢复擦除等操作。</w:t>
            </w:r>
          </w:p>
          <w:p w14:paraId="7BA0825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数字化五线谱电教板</w:t>
            </w:r>
          </w:p>
          <w:p w14:paraId="5A03B4E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1.页面具有可配置谱表展示区域，课件展示区域，虚拟琴键以及功能操作区域。</w:t>
            </w:r>
          </w:p>
          <w:p w14:paraId="23354DC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2.包含多种谱表类型可选（高音、低音、中音、次中音、大谱表）；可修改谱表为简谱；可以添加小节以及删除小节；可撤销恢复。</w:t>
            </w:r>
          </w:p>
          <w:p w14:paraId="43E77640">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3.包含有多种时值的音符（二全音符、全音符、二分音符、四分音符、八分音符、十六分音符、三十二分音符、六十四分音符）以及休止符和附点可以进行插入。</w:t>
            </w:r>
          </w:p>
          <w:p w14:paraId="4745DC0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4.点击虚拟键盘上的琴键，会在上方谱表中插入对应的音符；点击黑键触摸区域输入升音和降音，并在谱表上显示有升音符和降音符的变音音符；支持在谱表中插入和弦与音程。(需提供CMA或CNAS认证检测机构出具的检测报告并加盖公章)</w:t>
            </w:r>
          </w:p>
          <w:p w14:paraId="2BC29E5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5.支持修改键位为49键、61键、88键；一键显隐音名、唱名、音组。</w:t>
            </w:r>
          </w:p>
          <w:p w14:paraId="30594CB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6.支持修改调号；支持修改唱名类型为首调或固定调（首调即唱名跟随调号变化，固定调即唱名不会跟随调号变化）；支持修改128种高保真音色。</w:t>
            </w:r>
          </w:p>
          <w:p w14:paraId="4756E1F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7.可通过五度圈外圈大调进行谱表调号修改；可通过移调按钮进行谱表调号修改。</w:t>
            </w:r>
          </w:p>
          <w:p w14:paraId="3D4A028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8.可修改播放速度；可修改小节拍号。</w:t>
            </w:r>
          </w:p>
          <w:p w14:paraId="6C5F1C9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9.可导入曲谱文件进行教学展示，可以对插入的音符或导入的曲谱进行播放、暂停、停止；播放过程中，上方音符和虚拟琴键会保持同步高亮。</w:t>
            </w:r>
          </w:p>
          <w:p w14:paraId="6C0E41F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10.支持和弦与音程教学，具有32种和弦以及25种音程，以箭头对应琴键为根音，可准确展示和弦与音程的键位，白健和黑键以不同颜色进行高亮展示，对比明显。</w:t>
            </w:r>
          </w:p>
          <w:p w14:paraId="2A7F1AA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11.开启键位保留后，插入的音符、音程以及和弦的键位都会保持高亮不消失，直到插入下一个音符、音程以及和弦或关闭该模式后高亮消失。</w:t>
            </w:r>
          </w:p>
          <w:p w14:paraId="335848C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12.在不进入其他功能页面的情况下，支持乐理知识课件讲解，包括：音、音符与音乐记号、音程、和弦、节拍、中国民族调式、自然大小调式、自然大小调的变体等，可对乐理知识课件进行模糊搜索。</w:t>
            </w:r>
          </w:p>
          <w:p w14:paraId="0751256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13.支持节拍教学，支持单独设置节拍分子和分母的大小，范围为1-16拍；改变分子，下方电子节拍器的拍数会跟随改变。</w:t>
            </w:r>
          </w:p>
          <w:p w14:paraId="575E19B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14.电子节拍器每一拍都支持修改声音强度为强、次强、弱以及无声；播放有实际效果。</w:t>
            </w:r>
          </w:p>
          <w:p w14:paraId="35879DB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15.支持六种细分节拍选择（单音、双音、三连音、四连音、前八后十六、前十六后八），改变分母大小，细分节拍时值会跟随改变；播放时会跟随细分进行播放。</w:t>
            </w:r>
          </w:p>
          <w:p w14:paraId="3FD742B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16.支持手动输入数字进行调节；支持通过点击加减号进行调节。</w:t>
            </w:r>
          </w:p>
          <w:p w14:paraId="34CE333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17.支持选择BPM进行速度调节（具有Grave、Lento、Adagio、Adagietto、Andante、Allegretto、Allegro、Vivace、Presto、Prestissimo等不低于十种BPM）；支持通过点击TAP来修改速度。</w:t>
            </w:r>
          </w:p>
          <w:p w14:paraId="4731637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18.支持倒计时：开启倒计时后，可选择时间，时间截止后，节拍器自动停止播放。</w:t>
            </w:r>
          </w:p>
          <w:p w14:paraId="4913652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19.具有板书功能，支持铅笔、喷雾器、直线、虚线、箭头、方块、圆形、椭圆形、三角形的书写以及文本的插入。</w:t>
            </w:r>
          </w:p>
          <w:p w14:paraId="4A88BD2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20.支持修改书写内容的颜色；支持修改插入文本的颜色；支持1-10级的粗细调整。</w:t>
            </w:r>
          </w:p>
          <w:p w14:paraId="2168F6C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21.支持对书写的内容或插入的内容进行选中并拖拽位置、旋转或放大缩小。</w:t>
            </w:r>
          </w:p>
          <w:p w14:paraId="4B1D9AB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支持对书写内容或插入文本进行撤销、恢复、删除等操作；支持对书写内容进行擦除、擦除全部、恢复擦除等操作。</w:t>
            </w:r>
          </w:p>
          <w:p w14:paraId="464F609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演奏课堂</w:t>
            </w:r>
          </w:p>
          <w:p w14:paraId="0DA66CC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支持与演示终端无缝连接，虚拟键盘虚化背景展示后与实体键盘弹奏画面完全对应；可展示弹奏键位以及弹奏力度，弹奏力度由强到弱7种不同颜色展示。(需提供CMA或CNAS认证检测机构出具的检测报告并加盖公章)</w:t>
            </w:r>
          </w:p>
          <w:p w14:paraId="418FA4E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2．支持修改键位为49键、61键、88键；一键显隐键盘、轨迹、音名、唱名。</w:t>
            </w:r>
          </w:p>
          <w:p w14:paraId="0085C8E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3．支持修改调号；支持修改唱名类型为首调或固定调（首调即唱名跟随调号变化，固定调即唱名不会跟随调号变化）；支持修改128种高保真音色。</w:t>
            </w:r>
          </w:p>
          <w:p w14:paraId="5F2570F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4．支持打开本地文件；打开文件后支持跟弹模式、评分模式、谱曲模式、五线谱模式、简谱模式、瀑布流模式、混合模式、双手弹奏、左手弹奏、右手弹奏模式等10种模式。</w:t>
            </w:r>
          </w:p>
          <w:p w14:paraId="121EA33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5．支持屏幕瀑布流和键盘对照弹奏练习，得到数据演奏结果，如完美、连击、弹早了、弹晚了、弹错了、弹漏了以及总体得分详情。</w:t>
            </w:r>
          </w:p>
          <w:p w14:paraId="3D6F46F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6、具有PK挑战功能，邀请对方进入挑战，开始挑战后，进入混合模式，曲谱演奏完毕后展示得分结果，可再次发起挑战。</w:t>
            </w:r>
          </w:p>
          <w:p w14:paraId="0DFE3D0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电子课本</w:t>
            </w:r>
          </w:p>
          <w:p w14:paraId="26C3E83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1．具有曲集、视唱、教材、与题库等教学资源，不低于2000节课时，具有视唱练耳功能，均为免费配送；如学校有课件定制需求，厂家可免费代老师制作课件以供授课使用。</w:t>
            </w:r>
          </w:p>
          <w:p w14:paraId="4AE7BCB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2．支持通过选择相应版本、相应课件单元、来查看相应课件内容。</w:t>
            </w:r>
          </w:p>
          <w:p w14:paraId="44BDB5A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3．具有谱曲播放、男生唱名、女生唱名、真人唱名、范唱播放、伴奏播放、男声节奏、女声节奏、女生试唱、打击节奏、伴奏+旋律等不低于十一种播放模式；支持在播放过程中暂停以及修改播放速度；支持选择一段音符进行播放。(需提供CMA或CNAS认证检测机构出具的检测报告并加盖公章)</w:t>
            </w:r>
          </w:p>
          <w:p w14:paraId="5EF79F3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4．可进行声部调整，可选择单个声部或多个声部进行播放，可修改每个声部的音色以及声部的音量。</w:t>
            </w:r>
          </w:p>
          <w:p w14:paraId="0086C10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5．支持多种谱表切换，如：五线谱、简谱、五线谱节奏谱、简谱节奏谱；支持添加多种对照谱表，如：五线谱、简谱、五线谱节奏谱、简谱节奏谱、三线谱、四线谱、六线谱、不同调式的对照谱。</w:t>
            </w:r>
          </w:p>
          <w:p w14:paraId="17AA2F7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6．支持一键显隐唱名、图文、歌词、拼音、科尔文记号、直笛谱、陶笛铺、竹笛谱、葫芦丝谱等；支持一键显示小节序号、每行首个小节序号、每五小节显示、小节等间距等；一键升降一个音或八度。</w:t>
            </w:r>
          </w:p>
          <w:p w14:paraId="6E75C88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7．支持一键显隐键盘、标尺、网格等。</w:t>
            </w:r>
          </w:p>
          <w:p w14:paraId="333445D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8．支持修改键位为49键、61键、88键；一键显隐音名、唱名、音组。</w:t>
            </w:r>
          </w:p>
          <w:p w14:paraId="7BD0792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9．支持修改调号；支持修改唱名类型为首调或固定调（首调即唱名跟随调号变化，固定调即唱名不会跟随调号变化）；支持修改128种高保真音色。</w:t>
            </w:r>
          </w:p>
          <w:p w14:paraId="4DB8D4C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10．课件谱曲播放时，可直接操作电子琴或电钢琴的音色按钮改变音色进行播放，可任意调用电子琴或电钢琴的音色通过电子琴或电钢琴的扬声器发声。</w:t>
            </w:r>
          </w:p>
          <w:p w14:paraId="3271492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11．支持从电子课本一键跳转至演奏课堂，可直接进行谱子的弹奏。</w:t>
            </w:r>
          </w:p>
          <w:p w14:paraId="1FC90E6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12．支持对课本进行二次编辑，可保存至自选路径下。</w:t>
            </w:r>
          </w:p>
          <w:p w14:paraId="6673E24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13．具有视唱练耳曲目不低于200首，可播放聆听模唱。</w:t>
            </w:r>
          </w:p>
          <w:p w14:paraId="28B3809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14．具有钢琴视频教学：提供关于识谱、手型、演奏技法、曲目讲解等不低于200个教学视频。</w:t>
            </w:r>
          </w:p>
          <w:p w14:paraId="0C959F6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15．具有乐理教学视频，包含音、半音、调号、谱号等教学视频不低于150集。</w:t>
            </w:r>
          </w:p>
          <w:p w14:paraId="3B9F45F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16．支持节拍教学，支持单独设置节拍分子和分母的大小，范围为1-16拍；改变分子，下方电子节拍器的拍数会跟随改变。</w:t>
            </w:r>
          </w:p>
          <w:p w14:paraId="696720C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17．电子节拍器每一拍都支持修改声音强度为强、次强、弱以及无声；播放有实际效果。</w:t>
            </w:r>
          </w:p>
          <w:p w14:paraId="340504C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18．支持六种细分节拍选择（单音、双音、三连音、四连音、前八后十六、前十六后八），改变分母大小，细分节拍时值会跟随改变；播放时会跟随细分进行播放。</w:t>
            </w:r>
          </w:p>
          <w:p w14:paraId="1E947EE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19．支持手动输入数字进行调节；支持通过点击加减号进行调节。</w:t>
            </w:r>
          </w:p>
          <w:p w14:paraId="10AB1D1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20．支持选择BPM进行速度调节（具有Grave、Lento、Adagio、Adagietto、Andante、Allegretto、Allegro、Vivace、Presto、Prestissimo等不低于十种BPM）；支持通过点击TAP来修改速度。</w:t>
            </w:r>
          </w:p>
          <w:p w14:paraId="578D496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21．支持倒计时：开启倒计时后，可选择时间，时间截止后，节拍器自动停止播放。</w:t>
            </w:r>
          </w:p>
          <w:p w14:paraId="1FB3F5D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22．具有板书功能，支持铅笔、喷雾器、直线、虚线、箭头、方块、圆形、椭圆形、三角形的书写以及文本的插入。</w:t>
            </w:r>
          </w:p>
          <w:p w14:paraId="0DE8387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23．支持修改书写内容的颜色；支持修改插入文本的颜色；支持1-10级的粗细调整。</w:t>
            </w:r>
          </w:p>
          <w:p w14:paraId="5057501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24．支持对书写的内容或插入的内容进行选中并拖拽位置、旋转或放大缩小。</w:t>
            </w:r>
          </w:p>
          <w:p w14:paraId="794B222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支持对书写内容或插入文本进行撤销、恢复、删除等操作；支持对书写内容进行擦除、擦除全部、恢复擦除等操作。</w:t>
            </w:r>
          </w:p>
          <w:p w14:paraId="7132C2B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钢琴书屋</w:t>
            </w:r>
          </w:p>
          <w:p w14:paraId="4AF8CFC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1．具有钢琴曲集、演奏理论、钢琴百科三大板块。</w:t>
            </w:r>
          </w:p>
          <w:p w14:paraId="35AF162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2．钢琴曲集：钢琴考级曲、菲伯尔、拜厄幼儿、拜厄、车尔尼、钢琴基础教程、哈农、流行钢琴、约翰.汤普森、考级教材等钢琴曲集不低于2000首。均免费配送。</w:t>
            </w:r>
          </w:p>
          <w:p w14:paraId="441F865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3．演奏理论：车尔尼、演奏小知识；可提供基础演奏技巧和一些弹奏钢琴的小知识。</w:t>
            </w:r>
          </w:p>
          <w:p w14:paraId="3130032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4．钢琴百科：主要是对钢琴进行一些基本的介绍，和一些演奏方面的小技巧。</w:t>
            </w:r>
          </w:p>
          <w:p w14:paraId="0BA63B4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5．具有板书功能，支持铅笔、喷雾器、直线、虚线、箭头、方块、圆形、椭圆形、三角形的书写以及文本的插入。</w:t>
            </w:r>
          </w:p>
          <w:p w14:paraId="70398D4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6．支持修改书写内容的颜色；支持修改插入文本的颜色；支持1-10级的粗细调整。</w:t>
            </w:r>
          </w:p>
          <w:p w14:paraId="714162E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7．支持对书写的内容或插入的内容进行选中并拖拽位置、旋转或放大缩小。</w:t>
            </w:r>
          </w:p>
          <w:p w14:paraId="383F484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8．支持对书写内容或插入文本进行撤销、恢复、删除等操作；支持对书写内容进行擦除、擦除全部、恢复擦除等操作。</w:t>
            </w:r>
          </w:p>
          <w:p w14:paraId="08D5E09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9．支持与演示终端无缝连接，虚拟键盘虚化背景展示后与实体键盘弹奏画面完全对应；可展示弹奏键位以及弹奏力度，弹奏力度由强到弱7种不同颜色展示。</w:t>
            </w:r>
          </w:p>
          <w:p w14:paraId="7785D3D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10．支持修改键位为49键、61键、88键；一键显隐键盘、轨迹、音名、唱名。</w:t>
            </w:r>
          </w:p>
          <w:p w14:paraId="6B0AED5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11．支持修改调号；支持修改唱名类型为首调或固定调（首调即唱名跟随调号变化，固定调即唱名不会跟随调号变化）；支持修改128种高保真音色。</w:t>
            </w:r>
          </w:p>
          <w:p w14:paraId="193A940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12．支持跟弹模式、评分模式、谱曲模式、五线谱模式、简谱模式、瀑布流模式、混合模式、双手弹奏、左手弹奏、右手弹奏模式等10种模式。</w:t>
            </w:r>
          </w:p>
          <w:p w14:paraId="24713A0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13．支持屏幕瀑布流和键盘对照弹奏练习，得到数据演奏结果，如完美、连击、弹早了、弹晚了、弹错了、弹漏了以及总体得分详情。</w:t>
            </w:r>
          </w:p>
          <w:p w14:paraId="010D94E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具有PK挑战功能，邀请对方进入挑战，开始挑战后，进入混合模式，曲谱演奏完毕后展示得分结果，可再次发起挑战。</w:t>
            </w:r>
          </w:p>
          <w:p w14:paraId="3FC26AA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音乐百科</w:t>
            </w:r>
          </w:p>
          <w:p w14:paraId="7B58887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1．包含乐器、音乐史、音乐家、戏曲家、音乐术语等相关音乐资源，均为免费配送。</w:t>
            </w:r>
          </w:p>
          <w:p w14:paraId="133C64D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2．包括中西乐器（不低于200种乐器介绍）、中西音乐家介绍（不低于300位音乐家介绍）、戏曲家介绍（不低于200位戏曲家介绍）、音乐术语、音乐符号、乐器构造、相关历史介绍等，不低于120万字。</w:t>
            </w:r>
          </w:p>
          <w:p w14:paraId="58E0A46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3．支持在模块内部进行内容的模糊搜索。</w:t>
            </w:r>
          </w:p>
          <w:p w14:paraId="0A902A6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4．以文字、音频、图片、视频混合教学。                                         </w:t>
            </w:r>
          </w:p>
          <w:p w14:paraId="3F42A61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5．各种不同音乐术语的讲解，如：强弱记号、速度记号、演奏方法、谱号、拍号、小节、倚音、变音记号、反复记号等。</w:t>
            </w:r>
          </w:p>
          <w:p w14:paraId="1FA7D97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6．不低于300个的乐器或音乐术语的音视频讲解。</w:t>
            </w:r>
          </w:p>
          <w:p w14:paraId="29A2510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7．音频和视频文件可调节播放速度、音量以及播放进度。</w:t>
            </w:r>
          </w:p>
          <w:p w14:paraId="781E90C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8．具有板书功能，支持铅笔、喷雾器、直线、虚线、箭头、方块、圆形、椭圆形、三角形的书写以及文本的插入。</w:t>
            </w:r>
          </w:p>
          <w:p w14:paraId="6003D78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9．支持修改书写内容的颜色；支持修改插入文本的颜色；支持1-10级的粗细调整。</w:t>
            </w:r>
          </w:p>
          <w:p w14:paraId="4D7FCFB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10．支持对书写的内容或插入的内容进行选中并拖拽位置、旋转或放大缩小。</w:t>
            </w:r>
          </w:p>
          <w:p w14:paraId="7BD3C9B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支持对书写内容或插入文本进行撤销、恢复、删除等操作；支持对书写内容进行擦除、擦除全部、恢复擦除等操作。</w:t>
            </w:r>
          </w:p>
          <w:p w14:paraId="431BEC7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乐器课堂</w:t>
            </w:r>
          </w:p>
          <w:p w14:paraId="689E412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具有竖笛、吉他、架子鼓、电子鼓机、葫芦丝、尤克里里等多种乐器教学。</w:t>
            </w:r>
          </w:p>
          <w:p w14:paraId="7C67318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1.竖笛：点击打开谱子，则会在屏幕中间显示所打开的曲谱，点击下方虚拟键盘所展示的音则会在竖笛展示图中显示当前点击音所需要的按孔，支持插入伴奏，支持竖笛演奏录制并播放。</w:t>
            </w:r>
          </w:p>
          <w:p w14:paraId="305812EF">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2.吉他：左上方有吉他常用的和弦示图，点击任意一个和弦图，则会在下方的虚拟键盘当中显示出相对应的音，上方具有吉他常用的分解和弦节奏型和扫弦节奏型，支持插入伴奏，支持吉他弹唱演奏录制并播放。</w:t>
            </w:r>
          </w:p>
          <w:p w14:paraId="5B7DA1E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3.葫芦丝：点击打开谱子，则会在屏幕中间显示所打开的曲谱，点击下方虚拟键盘所展示的音，则会在竖笛展示图中显示当前点击音所需要的按孔，支持插入伴奏，支持葫芦丝演奏录制并播放。</w:t>
            </w:r>
          </w:p>
          <w:p w14:paraId="51C46C7E">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4.尤克里里：左上方有尤克里里常用的和弦示图，点击任意一个和弦图，则会在下方的虚拟键盘当中显示出相对应的音，上方具有尤克里里常用的分解和弦节奏型和扫弦节奏型，支持插入伴奏，支持尤克里里弹唱演奏录制并播放。</w:t>
            </w:r>
          </w:p>
          <w:p w14:paraId="0ED4449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5.架子鼓：点击对应的乐器发出不同的声音，支持插入配乐，支持架子鼓演奏录制并播放。</w:t>
            </w:r>
          </w:p>
          <w:p w14:paraId="6750A2F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6、电子鼓击：不低于80种音轨，可随意进行排列组合，可分页展示；可选择播放当前页或播放全部页；可调整播放速度以及单次和循环播放。</w:t>
            </w:r>
          </w:p>
          <w:p w14:paraId="76CEEF5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趣味音乐</w:t>
            </w:r>
          </w:p>
          <w:p w14:paraId="1EB3104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具有拯救苹果、节奏火车、识谱练一练、听音比比看、音符翻牌、音符连连看、迎接音符等不低于7种音乐互动游戏，提升学生识谱、节奏、听音、弹奏等音乐综合能力。</w:t>
            </w:r>
          </w:p>
          <w:p w14:paraId="78DB243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拯救苹果：具有练习模式和挑战模式，练习模式：根据上方掉落的音名，玩家弹奏钢琴键上的对应位置琴键来拯救苹果，可设置关卡调整苹果掉落速度，挑战模式下：可设置关卡调整苹果掉落速度，通关模式下掉落速度会逐渐加快，可以加深学生对钢琴琴键音名的记忆，可进行分值测评，可查看系统所有用户排名情况。</w:t>
            </w:r>
          </w:p>
          <w:p w14:paraId="2B01F99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2.节奏火车：学生根据背景音乐的节奏，来点击琴键或电脑键盘，根据点击时节奏的准确性，可分为完美、优秀、很好和错过4种得分，可修改不同节拍与速度进行练习，可以锻炼学生对音乐节奏的把握能力。</w:t>
            </w:r>
          </w:p>
          <w:p w14:paraId="239CBB9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识谱练一练：具有唱名，音名，琴键三种练习方式，具有五线谱、简谱、简线混排谱三种谱例显示，具有钢琴虚拟键盘展示，具有不同练习试题，学生可以根据不同谱例展示的音符，在下方选择对应的唱名、音名以及琴键；锻炼学生识谱的综合能力。</w:t>
            </w:r>
          </w:p>
          <w:p w14:paraId="121E11E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听音比比看：分为练习模式和挑战模式，练习模式分为音高练习和音色练习，音高练习：系统可根据不同试题播放不同音高的音频，可重复播放试听，学生根据所听音频通过系统内C、D、E、F、G、A、B、C相对应的虚拟键盘进行音高练习，难度分为8个音高，弹错有相应提示音，选对可进入下一关卡，可查看正确答案。</w:t>
            </w:r>
          </w:p>
          <w:p w14:paraId="3584FF8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5.音色练习：具有不低于24种不同的乐器，学生可根据不同试题的乐器声音，选择正确的乐器，可重复播放试听，选错有相应提示音，选对可进入下一关卡，可查看正确答案。</w:t>
            </w:r>
          </w:p>
          <w:p w14:paraId="3213635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6.挑战模式：根据系统播放音高的音频在琴键上选择正确的音名，可重复播放试听，选错则闯关失败，选对可进入下一关卡并且难度进行递增。</w:t>
            </w:r>
          </w:p>
          <w:p w14:paraId="3A7A514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7.音符翻牌：通过选择不同纸牌，根据纸牌上显示的音符，十秒内在下方虚拟琴键上点击对应的琴键，选对进入下一关，选错或超时需重新开始。</w:t>
            </w:r>
          </w:p>
          <w:p w14:paraId="2D97223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8.音符连连看：通过选中两个相同且不被包围的音符，来达到使音符两两消失的效果，所有音符消除完毕即可完成游戏。</w:t>
            </w:r>
          </w:p>
          <w:p w14:paraId="16774AE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迎接音符：根据上方掉落的音符、休止符以及谱号，在下方点击对应的名称来迎接音符；可进行速度调节以及最大失败数量的调节，当失败数量达到上限时，游戏结束。</w:t>
            </w:r>
          </w:p>
          <w:p w14:paraId="6BE1157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教学管理</w:t>
            </w:r>
          </w:p>
          <w:p w14:paraId="25FA206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具有班级管理、学生管理、题库管理、音乐测评、演奏测评、电子教室等功能板块。</w:t>
            </w:r>
          </w:p>
          <w:p w14:paraId="7561524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班级管理：老师可以创建班级来添加班级的名称、入学年份以及班级编号，也可以自动生成班级编号，可进行班级搜索、班级名称修改删除等，可进行学生管理添加、修改、删除学生信息，学生信息包含姓名、性别、联系方式、学号、对应班级等。</w:t>
            </w:r>
          </w:p>
          <w:p w14:paraId="340E144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2、作业管理：可创建作业，添加修改或删除作业标题、对应班级、作业类型、作业要求等，可查看学生作业完成情况及完成时间，教师可对学生完成的作业进行批阅。</w:t>
            </w:r>
          </w:p>
          <w:p w14:paraId="213E424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题库管理：具有我的题库与公开题库，教师可创建题库，填入题库名称以及题库描述，可选择公开与不公开，当选择公开题库，那么我们所创建的题库将会出现在我的题库与公开题库当中，当选择不公开题库，则只会出现在我的题库当中，创建完成可编辑修改删除题库信息，可在题库中添加单选、多选、填空题等多种题型，可设置选项数量以及对应试题分值，教师可进去公开题库选择需要的相应试题供教师上课使用，可进行试题搜索和分类筛选，可选择平台上传或用户上传。</w:t>
            </w:r>
          </w:p>
          <w:p w14:paraId="1E5AC5C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音乐测评：创建测评可以填考试名称、考试时间、考试时长、考试班级、题库选择（可选择公开题库或我的题库）、考试总分、试题数量等，选择对应班级进行考试测评，学生提交完成后可自动生成考试数据及学生分数、可查看参加考试人员、得分情况、完成情况、正确率、学生详细答题情况。</w:t>
            </w:r>
          </w:p>
          <w:p w14:paraId="2749080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演奏测评：创建测评可设置名称、描述、考试班级、曲目，可选择所需文件，选择对应班级进行演奏测评；学生提交完成后可自动生成演奏测评数据及学生分数、可查看参加测评人员、得分情况、完成情况、测评次数。</w:t>
            </w:r>
          </w:p>
          <w:p w14:paraId="773CAA4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电子教室：老师可以通过控制学生端进行音频的传输，同时还可以查看学生的考勤和座位；可统一控制每个学生端，实现教师同屏、音视频同步传输；教师通过演奏测评可分配学生相应打谱任务，进行协作创作编辑；支持学生同屏展示、设定学生同屏、展现学生示范内容；实现教师与学生、学生与学生之间的同屏交流；支持视频分享一键展示教师指法；可设置横向与竖向的学生位置分布。</w:t>
            </w:r>
          </w:p>
          <w:p w14:paraId="44D32B4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音乐鉴赏</w:t>
            </w:r>
          </w:p>
          <w:p w14:paraId="13B37AC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1．包含古典音乐（贝多芬、莫扎特、海顿、肖邦）、流行音乐、民族歌曲、美声歌曲、民族民间音乐（不低于1000首），均为免费配送。</w:t>
            </w:r>
          </w:p>
          <w:p w14:paraId="1AA0DC8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具有谱曲播放、男生唱名、女生唱名、真人唱名、范唱播放、伴奏播放、男声节奏、女声节奏、女生试唱、打击节奏、伴奏+旋律等不低于十一种播放模式；支持在播放过程中暂停以及修改播放速度；支持选择一段音符进行播放。</w:t>
            </w:r>
          </w:p>
          <w:p w14:paraId="629BCE9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3．可进行声部调整，可选择单个声部或多个声部进行播放，可修改每个声部的音色以及声部的音量。</w:t>
            </w:r>
          </w:p>
          <w:p w14:paraId="3BE1C8D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4．支持多种谱表切换，如：五线谱、简谱、五线谱节奏谱、简谱节奏谱；支持添加多种对照谱表，如：五线谱、简谱、五线谱节奏谱、简谱节奏谱、三线谱、四线谱、六线谱、不同调式的对照谱。</w:t>
            </w:r>
          </w:p>
          <w:p w14:paraId="5B80367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5．支持一键显隐唱名、图文、歌词、拼音、科尔文记号、直笛谱、陶笛铺、竹笛谱、葫芦丝谱等；支持一键显示小节序号、每行首个小节序号、每五小节显示、小节等间距等；一键升降一个音或八度。</w:t>
            </w:r>
          </w:p>
          <w:p w14:paraId="767E53F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6．课件谱曲播放时，可直接操作电子琴或电钢琴的音色按钮改变音色进行播放，可任意调用电子琴或电钢琴的音色通过电子琴或电钢琴的扬声器发声。</w:t>
            </w:r>
          </w:p>
          <w:p w14:paraId="342AAE5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7．支持直接进行MP3格式文件播放，可调节速度、音量以及播放进度。</w:t>
            </w:r>
          </w:p>
          <w:p w14:paraId="7155640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8．以文字、音频、图片混合教学。</w:t>
            </w:r>
          </w:p>
          <w:p w14:paraId="1EF155C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9．具有板书功能，支持铅笔、喷雾器、直线、虚线、箭头、方块、圆形、椭圆形、三角形的书写以及文本的插入。</w:t>
            </w:r>
          </w:p>
          <w:p w14:paraId="2B52942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10．支持修改书写内容的颜色；支持修改插入文本的颜色；支持1-10级的粗细调整。</w:t>
            </w:r>
          </w:p>
          <w:p w14:paraId="5B7EE28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11．支持对书写的内容或插入的内容进行选中并拖拽位置、旋转或放大缩小。</w:t>
            </w:r>
          </w:p>
          <w:p w14:paraId="65AA301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支持对书写内容或插入文本进行撤销、恢复、删除等操作；支持对书写内容进行擦除、擦除全部、恢复擦除等操作。</w:t>
            </w:r>
          </w:p>
          <w:p w14:paraId="6C1D328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曲苑杂坛</w:t>
            </w:r>
          </w:p>
          <w:p w14:paraId="6B1F9C3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1．包含秦腔、豫剧、越剧、京剧、川剧、黄梅戏、昆曲、评剧等不低于10种戏曲种类，不低于500首戏曲，均为免费配送。</w:t>
            </w:r>
          </w:p>
          <w:p w14:paraId="1EA5F0F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具有谱曲播放、男生唱名、女生唱名、真人唱名、范唱播放、伴奏播放、男声节奏、女声节奏、女生试唱、打击节奏、伴奏+旋律等不低于十一种播放模式；支持在播放过程中暂停以及修改播放速度；支持选择一段音符进行播放。</w:t>
            </w:r>
          </w:p>
          <w:p w14:paraId="696025A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3．可进行声部调整，可选择单个声部或多个声部进行播放，可修改每个声部的音色以及声部的音量。</w:t>
            </w:r>
          </w:p>
          <w:p w14:paraId="10264F5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4．支持多种谱表切换，如：五线谱、简谱、五线谱节奏谱、简谱节奏谱；支持添加多种对照谱表，如：五线谱、简谱、五线谱节奏谱、简谱节奏谱、三线谱、四线谱、六线谱、不同调式的对照谱。</w:t>
            </w:r>
          </w:p>
          <w:p w14:paraId="3C179E2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5．支持一键显隐唱名、图文、歌词、拼音、科尔文记号、直笛谱、陶笛铺、竹笛谱、葫芦丝谱等；支持一键显示小节序号、每行首个小节序号、每五小节显示、小节等间距等；一键升降一个音或八度。</w:t>
            </w:r>
          </w:p>
          <w:p w14:paraId="3A1A453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6．课件谱曲播放时，可直接操作电子琴或电钢琴的音色按钮改变音色进行播放，可任意调用电子琴或电钢琴的音色通过电子琴或电钢琴的扬声器发声。</w:t>
            </w:r>
          </w:p>
          <w:p w14:paraId="535DE5E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7．支持直接进行MP3格式文件播放，可调节速度、音量以及播放进度。</w:t>
            </w:r>
          </w:p>
          <w:p w14:paraId="5DB5A78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8．以文字、音频、图片混合教学。</w:t>
            </w:r>
          </w:p>
          <w:p w14:paraId="2947FAD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9．具有板书功能，支持铅笔、喷雾器、直线、虚线、箭头、方块、圆形、椭圆形、三角形的书写以及文本的插入。</w:t>
            </w:r>
          </w:p>
          <w:p w14:paraId="58BA7ED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10．支持修改书写内容的颜色；支持修改插入文本的颜色；支持1-10级的粗细调整。</w:t>
            </w:r>
          </w:p>
          <w:p w14:paraId="1DC7030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11．支持对书写的内容或插入的内容进行选中并拖拽位置、旋转或放大缩小。</w:t>
            </w:r>
          </w:p>
          <w:p w14:paraId="09BF0F1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支持对书写内容或插入文本进行撤销、恢复、删除等操作；支持对书写内容进行擦除、擦除全部、恢复擦除等操作。</w:t>
            </w:r>
          </w:p>
          <w:p w14:paraId="670B29D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p>
          <w:p w14:paraId="552863B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合唱团</w:t>
            </w:r>
          </w:p>
          <w:p w14:paraId="3798EC6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具有合唱曲谱、合唱知识、工具箱、管理四大模块。</w:t>
            </w:r>
          </w:p>
          <w:p w14:paraId="4CFEB1C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1.合唱曲谱：包含童声合唱、男生合唱、女生合唱、混声合唱等不低于4种合唱类型，不低于200首合唱曲谱。</w:t>
            </w:r>
          </w:p>
          <w:p w14:paraId="68925E5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2.具有谱曲播放、男生唱名、女生唱名、真人唱名、范唱播放、伴奏播放、男声节奏、女声节奏、女生试唱、打击节奏、伴奏+旋律等不低于十一种播放模式；可设置不同声部的音色；可调整播放速度。</w:t>
            </w:r>
          </w:p>
          <w:p w14:paraId="18F6779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3.支持多种谱表切换，如：五线谱、简谱、五线谱节奏谱、简谱节奏谱；支持添加多种对照谱表，如：五线谱、简谱、五线谱节奏谱、简谱节奏谱、三线谱、四线谱、六线谱、不同调式的对照谱。</w:t>
            </w:r>
          </w:p>
          <w:p w14:paraId="54B6455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4.具有视唱功能，可选择是否播放曲谱；可进行录音、回访以及评分。</w:t>
            </w:r>
          </w:p>
          <w:p w14:paraId="31D298E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5.具有旋律趋势功能，点击进入旋律教学模块；可选择教学模式，如：轨迹曲线教学、轨迹音块教学以及综合教学；在旋律教学模式下，曲线、音块会跟随谱子同步移动，实时展示曲谱旋律走向。(需提供CMA或CNAS认证检测机构出具的检测报告并加盖公章)</w:t>
            </w:r>
          </w:p>
          <w:p w14:paraId="400ED48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6.支持节拍教学，支持单独设置节拍分子和分母的大小，范围为1-16拍；改变分子，下方电子节拍器的拍数会跟随改变。</w:t>
            </w:r>
          </w:p>
          <w:p w14:paraId="2BD7B7E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7.电子节拍器每一拍都支持修改声音强度为强、次强、弱以及无声；播放有实际效果。</w:t>
            </w:r>
          </w:p>
          <w:p w14:paraId="26B8267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8.支持六种细分节拍选择（单音、双音、三连音、四连音、前八后十六、前十六后八），改变分母大小，细分节拍时值会跟随改变；播放时会跟随细分进行播放。</w:t>
            </w:r>
          </w:p>
          <w:p w14:paraId="51D2330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9.支持手动输入数字进行调节；支持通过点击加减号进行调节。</w:t>
            </w:r>
          </w:p>
          <w:p w14:paraId="5394A48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10.支持选择BPM进行速度调节（具有Grave、Lento、Adagio、Adagietto、Andante、Allegretto、Allegro、Vivace、Presto、Prestissimo等不低于十种BPM）；支持通过点击TAP来修改速度。</w:t>
            </w:r>
          </w:p>
          <w:p w14:paraId="6DCC3F8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11.支持倒计时：开启倒计时后，可选择时间，时间截止后，节拍器自动停止播放。</w:t>
            </w:r>
          </w:p>
          <w:p w14:paraId="7FE5DEA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12.合唱知识：包含合唱指挥、合唱种类、合唱团体、合唱训练四个板块，支持文字、图片综合教学不低于20万字。</w:t>
            </w:r>
          </w:p>
          <w:p w14:paraId="7E9745D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13.合唱工具箱：具有标准音、模唱训练、节拍器、定时器、音准训练、音组训练、稳定性训练、音域检测八大功能。</w:t>
            </w:r>
          </w:p>
          <w:p w14:paraId="776EEAC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14.标准音：可进行标准音播放。</w:t>
            </w:r>
          </w:p>
          <w:p w14:paraId="4F37260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15.模唱训练：具有C大调音阶，从二度音程到七度音程的训练。</w:t>
            </w:r>
          </w:p>
          <w:p w14:paraId="1CCB4F8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16.节拍器：支持60-208的速度调节，支持1-6的节拍。</w:t>
            </w:r>
          </w:p>
          <w:p w14:paraId="23376BD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17.计时器：可进行计时、倒计时，可以调节倒计时时长。</w:t>
            </w:r>
          </w:p>
          <w:p w14:paraId="6676189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18.音准训练：可以播放标准音和当前音，可以设置性别以及结束时间，点击开始后系统会根据模唱的音进行评分，可以切换音高。</w:t>
            </w:r>
          </w:p>
          <w:p w14:paraId="27A5A1B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19.音组训练：内置13种单音可供训练，可选择单音或多音来进行练习。开始训练后，按照选择的顺序进行音的播放，也可以重新选择需要练习的音。</w:t>
            </w:r>
          </w:p>
          <w:p w14:paraId="5EFCB4E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20.稳定性训练：可进行难度选择，有入门级、标准级、专业级三种选择模式。点击开始后可进行声音的录制，根据发声的稳定性，会有相应的波动显示。</w:t>
            </w:r>
          </w:p>
          <w:p w14:paraId="09321C9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21.音域检测：具有从C1到c5的音域范围，分为低音区、中音区、高音区三个音区。系统会根据演唱的实际音高进行音域检测。</w:t>
            </w:r>
          </w:p>
          <w:p w14:paraId="25F838A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22.合唱管理：具有创建、查看、修改、删除合唱团等功能。</w:t>
            </w:r>
          </w:p>
          <w:p w14:paraId="560CC66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23.创建：可输入名称并上传图片进行创建。</w:t>
            </w:r>
          </w:p>
          <w:p w14:paraId="7F5CB63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24.查看：可查看或搜索合唱团的成员信息以及曲目信息。</w:t>
            </w:r>
          </w:p>
          <w:p w14:paraId="1FFA61E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25.可创建、删除成员；可新增、查看、删除合唱曲目；可从合唱曲谱中直接调用曲目进行练习；可设置声部名称、声部长和声部成员；可点击进入合唱曲谱进行视唱练习。</w:t>
            </w:r>
          </w:p>
          <w:p w14:paraId="72783C2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26.可查看成员的学习情况：例如成员姓名、练习时长、练习次数、最后练习时间等。</w:t>
            </w:r>
          </w:p>
          <w:p w14:paraId="15B887F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27.具有板书功能，支持铅笔、喷雾器、直线、虚线、箭头、方块、圆形、椭圆形、三角形的书写以及文本的插入。</w:t>
            </w:r>
          </w:p>
          <w:p w14:paraId="573C8FD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28.支持修改书写内容的颜色；支持修改插入文本的颜色；支持1-10级的粗细调整。</w:t>
            </w:r>
          </w:p>
          <w:p w14:paraId="39A93B6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29.支持对书写的内容或插入的内容进行选中并拖拽位置、旋转或放大缩小。</w:t>
            </w:r>
          </w:p>
          <w:p w14:paraId="33918A3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支持对书写内容或插入文本进行撤销、恢复、删除等操作；支持对书写内容进行擦除、擦除全部、恢复擦除等操作。</w:t>
            </w:r>
          </w:p>
        </w:tc>
        <w:tc>
          <w:tcPr>
            <w:tcW w:w="698" w:type="dxa"/>
            <w:shd w:val="clear" w:color="auto" w:fill="auto"/>
            <w:vAlign w:val="center"/>
          </w:tcPr>
          <w:p w14:paraId="3937E5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5CCDB4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3</w:t>
            </w:r>
          </w:p>
        </w:tc>
        <w:tc>
          <w:tcPr>
            <w:tcW w:w="698" w:type="dxa"/>
            <w:vAlign w:val="center"/>
          </w:tcPr>
          <w:p w14:paraId="4404EA6E">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01F1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0ED32CE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p>
        </w:tc>
        <w:tc>
          <w:tcPr>
            <w:tcW w:w="1400" w:type="dxa"/>
            <w:shd w:val="clear" w:color="auto" w:fill="auto"/>
            <w:vAlign w:val="center"/>
          </w:tcPr>
          <w:p w14:paraId="1EF9A67C">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教师端触摸设备</w:t>
            </w:r>
          </w:p>
        </w:tc>
        <w:tc>
          <w:tcPr>
            <w:tcW w:w="9766" w:type="dxa"/>
            <w:vAlign w:val="center"/>
          </w:tcPr>
          <w:p w14:paraId="2CA1AA40">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1、21.5触摸</w:t>
            </w:r>
          </w:p>
          <w:p w14:paraId="63641A8E">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2、CPU：N5095</w:t>
            </w:r>
          </w:p>
          <w:p w14:paraId="1212949D">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3、内存：8G</w:t>
            </w:r>
          </w:p>
          <w:p w14:paraId="136B8068">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4、固态:128G</w:t>
            </w:r>
          </w:p>
          <w:p w14:paraId="515F64E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5、参数：(G15)21.5英寸LED/16:9/20000:1/2ms/1920*1080/300cd/m²/H:178V:178，USB3.0*4，USB2.0*2，HDMI*1，9针COM口*1，RJ-45*1,</w:t>
            </w:r>
          </w:p>
          <w:p w14:paraId="4A1D5C0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6、音频输入输出接口*1，</w:t>
            </w:r>
          </w:p>
          <w:p w14:paraId="6389B80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7、标配WIFI内置2声道立体声高品质喇叭</w:t>
            </w:r>
          </w:p>
        </w:tc>
        <w:tc>
          <w:tcPr>
            <w:tcW w:w="698" w:type="dxa"/>
            <w:shd w:val="clear" w:color="auto" w:fill="auto"/>
            <w:vAlign w:val="center"/>
          </w:tcPr>
          <w:p w14:paraId="6B6683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台</w:t>
            </w:r>
          </w:p>
        </w:tc>
        <w:tc>
          <w:tcPr>
            <w:tcW w:w="843" w:type="dxa"/>
            <w:shd w:val="clear" w:color="auto" w:fill="auto"/>
            <w:vAlign w:val="center"/>
          </w:tcPr>
          <w:p w14:paraId="1109E7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3</w:t>
            </w:r>
          </w:p>
        </w:tc>
        <w:tc>
          <w:tcPr>
            <w:tcW w:w="698" w:type="dxa"/>
            <w:vAlign w:val="center"/>
          </w:tcPr>
          <w:p w14:paraId="618F1C8B">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3152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730D7B98">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5</w:t>
            </w:r>
          </w:p>
        </w:tc>
        <w:tc>
          <w:tcPr>
            <w:tcW w:w="1400" w:type="dxa"/>
            <w:shd w:val="clear" w:color="auto" w:fill="auto"/>
            <w:vAlign w:val="center"/>
          </w:tcPr>
          <w:p w14:paraId="4230A877">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数字化电钢琴教室乐理教学及控制系统</w:t>
            </w:r>
          </w:p>
        </w:tc>
        <w:tc>
          <w:tcPr>
            <w:tcW w:w="9766" w:type="dxa"/>
            <w:vAlign w:val="center"/>
          </w:tcPr>
          <w:p w14:paraId="76D2A86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软件支持认证用户登录。含注册帐号、找回密码、登录及游客登录两种模式选择。</w:t>
            </w:r>
          </w:p>
          <w:p w14:paraId="49C2455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控制软件具有课堂教学、系统控制、教学统计、视频展台、乐理教学、系统信息、六个功能模块。</w:t>
            </w:r>
          </w:p>
          <w:p w14:paraId="7820B7F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1、课堂教学状态下，授课教学模式包括教师授课、互动教学、分组教学、个人自习、分组自习）模式控制，编辑模式包括班级姓名、计时工具、实时统计、教学笔记、启动终端、评价清除、保存布局等诸多功能；                                                                             </w:t>
            </w:r>
          </w:p>
          <w:p w14:paraId="43B1361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asciiTheme="minorEastAsia" w:hAnsiTheme="minorEastAsia" w:cstheme="minorEastAsia"/>
                <w:kern w:val="0"/>
                <w:sz w:val="24"/>
                <w:szCs w:val="24"/>
              </w:rPr>
              <w:t>2</w:t>
            </w:r>
            <w:r>
              <w:rPr>
                <w:rFonts w:hint="eastAsia" w:eastAsia="MS Gothic" w:asciiTheme="minorEastAsia" w:hAnsiTheme="minorEastAsia" w:cstheme="minorEastAsia"/>
                <w:kern w:val="0"/>
                <w:sz w:val="24"/>
                <w:szCs w:val="24"/>
              </w:rPr>
              <w:t>､</w:t>
            </w:r>
            <w:r>
              <w:rPr>
                <w:rFonts w:hint="eastAsia" w:eastAsia="宋体" w:asciiTheme="minorEastAsia" w:hAnsiTheme="minorEastAsia" w:cstheme="minorEastAsia"/>
                <w:kern w:val="0"/>
                <w:sz w:val="24"/>
                <w:szCs w:val="24"/>
              </w:rPr>
              <w:t>课堂教学授课模式下：</w:t>
            </w:r>
          </w:p>
          <w:p w14:paraId="1D7A26E9">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2.1、教师授课：屏蔽学生琴信号、演奏、通话、录音，教师可一对广授课；(需提供CMA或CNAS认证检测机构出具的检测报告并加盖公章)</w:t>
            </w:r>
          </w:p>
          <w:p w14:paraId="1B28F562">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asciiTheme="minorEastAsia" w:hAnsiTheme="minorEastAsia" w:cstheme="minorEastAsia"/>
                <w:b/>
                <w:kern w:val="0"/>
                <w:sz w:val="24"/>
                <w:szCs w:val="24"/>
              </w:rPr>
            </w:pPr>
            <w:r>
              <w:rPr>
                <w:rFonts w:asciiTheme="minorEastAsia" w:hAnsiTheme="minorEastAsia" w:cstheme="minorEastAsia"/>
                <w:b/>
                <w:kern w:val="0"/>
                <w:sz w:val="24"/>
                <w:szCs w:val="24"/>
              </w:rPr>
              <w:t>2.2</w:t>
            </w:r>
            <w:r>
              <w:rPr>
                <w:rFonts w:hint="eastAsia" w:eastAsia="MS Gothic" w:asciiTheme="minorEastAsia" w:hAnsiTheme="minorEastAsia" w:cstheme="minorEastAsia"/>
                <w:b/>
                <w:kern w:val="0"/>
                <w:sz w:val="24"/>
                <w:szCs w:val="24"/>
              </w:rPr>
              <w:t>､</w:t>
            </w:r>
            <w:r>
              <w:rPr>
                <w:rFonts w:hint="eastAsia" w:asciiTheme="minorEastAsia" w:hAnsiTheme="minorEastAsia" w:cstheme="minorEastAsia"/>
                <w:b/>
                <w:kern w:val="0"/>
                <w:sz w:val="24"/>
                <w:szCs w:val="24"/>
              </w:rPr>
              <w:t>互动教学：教师可实现一对多、一对一教学指导。(需提供CMA或CNAS认证检测机构出具的检测报告并加盖公章)</w:t>
            </w:r>
          </w:p>
          <w:p w14:paraId="29A29FD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asciiTheme="minorEastAsia" w:hAnsiTheme="minorEastAsia" w:cstheme="minorEastAsia"/>
                <w:kern w:val="0"/>
                <w:sz w:val="24"/>
                <w:szCs w:val="24"/>
              </w:rPr>
              <w:t>2.3</w:t>
            </w:r>
            <w:r>
              <w:rPr>
                <w:rFonts w:hint="eastAsia" w:eastAsia="MS Gothic" w:asciiTheme="minorEastAsia" w:hAnsiTheme="minorEastAsia" w:cstheme="minorEastAsia"/>
                <w:kern w:val="0"/>
                <w:sz w:val="24"/>
                <w:szCs w:val="24"/>
              </w:rPr>
              <w:t>､</w:t>
            </w:r>
            <w:r>
              <w:rPr>
                <w:rFonts w:asciiTheme="minorEastAsia" w:hAnsiTheme="minorEastAsia" w:cstheme="minorEastAsia"/>
                <w:kern w:val="0"/>
                <w:sz w:val="24"/>
                <w:szCs w:val="24"/>
              </w:rPr>
              <w:t xml:space="preserve">  </w:t>
            </w:r>
            <w:r>
              <w:rPr>
                <w:rFonts w:hint="eastAsia" w:asciiTheme="minorEastAsia" w:hAnsiTheme="minorEastAsia" w:cstheme="minorEastAsia"/>
                <w:kern w:val="0"/>
                <w:sz w:val="24"/>
                <w:szCs w:val="24"/>
              </w:rPr>
              <w:t>分组教学：任意两个以上单元分为一组，演奏、录音，教师可一对不同的小组进行录音，演奏教学。</w:t>
            </w:r>
          </w:p>
          <w:p w14:paraId="57B8437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2.4、分组自习：可以进行学生分组，教师可以进行监听、指导、录音，可实现小组授课，小班管理等功能；</w:t>
            </w:r>
          </w:p>
          <w:p w14:paraId="0E6425F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2.5、个人自习：进入此模式，可监听学生弹琴情况，学生间弹琴相互不干扰，可以与学生进行通话指导。(需提供CMA或CNAS认证检测机构出具的检测报告并加盖公章)</w:t>
            </w:r>
          </w:p>
          <w:p w14:paraId="0934E76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asciiTheme="minorEastAsia" w:hAnsiTheme="minorEastAsia" w:cstheme="minorEastAsia"/>
                <w:kern w:val="0"/>
                <w:sz w:val="24"/>
                <w:szCs w:val="24"/>
              </w:rPr>
              <w:t>3</w:t>
            </w:r>
            <w:r>
              <w:rPr>
                <w:rFonts w:hint="eastAsia" w:eastAsia="MS Gothic" w:asciiTheme="minorEastAsia" w:hAnsiTheme="minorEastAsia" w:cstheme="minorEastAsia"/>
                <w:kern w:val="0"/>
                <w:sz w:val="24"/>
                <w:szCs w:val="24"/>
              </w:rPr>
              <w:t>､</w:t>
            </w:r>
            <w:r>
              <w:rPr>
                <w:rFonts w:hint="eastAsia" w:eastAsia="宋体" w:asciiTheme="minorEastAsia" w:hAnsiTheme="minorEastAsia" w:cstheme="minorEastAsia"/>
                <w:kern w:val="0"/>
                <w:sz w:val="24"/>
                <w:szCs w:val="24"/>
              </w:rPr>
              <w:t>编辑模式：</w:t>
            </w:r>
          </w:p>
          <w:p w14:paraId="53E27F4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asciiTheme="minorEastAsia" w:hAnsiTheme="minorEastAsia" w:cstheme="minorEastAsia"/>
                <w:kern w:val="0"/>
                <w:sz w:val="24"/>
                <w:szCs w:val="24"/>
              </w:rPr>
              <w:t>3.1</w:t>
            </w:r>
            <w:r>
              <w:rPr>
                <w:rFonts w:hint="eastAsia" w:eastAsia="MS Gothic" w:asciiTheme="minorEastAsia" w:hAnsiTheme="minorEastAsia" w:cstheme="minorEastAsia"/>
                <w:kern w:val="0"/>
                <w:sz w:val="24"/>
                <w:szCs w:val="24"/>
              </w:rPr>
              <w:t>､</w:t>
            </w:r>
            <w:r>
              <w:rPr>
                <w:rFonts w:hint="eastAsia" w:eastAsia="宋体" w:asciiTheme="minorEastAsia" w:hAnsiTheme="minorEastAsia" w:cstheme="minorEastAsia"/>
                <w:kern w:val="0"/>
                <w:sz w:val="24"/>
                <w:szCs w:val="24"/>
              </w:rPr>
              <w:t>班级姓名：可将常见班级名单通过下拉菜单转换。同时支持调用其它班级的教室编辑文件。</w:t>
            </w:r>
          </w:p>
          <w:p w14:paraId="367D082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asciiTheme="minorEastAsia" w:hAnsiTheme="minorEastAsia" w:cstheme="minorEastAsia"/>
                <w:kern w:val="0"/>
                <w:sz w:val="24"/>
                <w:szCs w:val="24"/>
              </w:rPr>
              <w:t>3.2</w:t>
            </w:r>
            <w:r>
              <w:rPr>
                <w:rFonts w:hint="eastAsia" w:eastAsia="MS Gothic" w:asciiTheme="minorEastAsia" w:hAnsiTheme="minorEastAsia" w:cstheme="minorEastAsia"/>
                <w:kern w:val="0"/>
                <w:sz w:val="24"/>
                <w:szCs w:val="24"/>
              </w:rPr>
              <w:t>､</w:t>
            </w:r>
            <w:r>
              <w:rPr>
                <w:rFonts w:hint="eastAsia" w:eastAsia="宋体" w:asciiTheme="minorEastAsia" w:hAnsiTheme="minorEastAsia" w:cstheme="minorEastAsia"/>
                <w:kern w:val="0"/>
                <w:sz w:val="24"/>
                <w:szCs w:val="24"/>
              </w:rPr>
              <w:t>计时工具：上下可调式时间显示，可以选择倒计时、计时器两种方式。</w:t>
            </w:r>
          </w:p>
          <w:p w14:paraId="485BDFB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asciiTheme="minorEastAsia" w:hAnsiTheme="minorEastAsia" w:cstheme="minorEastAsia"/>
                <w:kern w:val="0"/>
                <w:sz w:val="24"/>
                <w:szCs w:val="24"/>
              </w:rPr>
              <w:t>3.3</w:t>
            </w:r>
            <w:r>
              <w:rPr>
                <w:rFonts w:hint="eastAsia" w:eastAsia="MS Gothic" w:asciiTheme="minorEastAsia" w:hAnsiTheme="minorEastAsia" w:cstheme="minorEastAsia"/>
                <w:kern w:val="0"/>
                <w:sz w:val="24"/>
                <w:szCs w:val="24"/>
              </w:rPr>
              <w:t>､</w:t>
            </w:r>
            <w:r>
              <w:rPr>
                <w:rFonts w:hint="eastAsia" w:eastAsia="宋体" w:asciiTheme="minorEastAsia" w:hAnsiTheme="minorEastAsia" w:cstheme="minorEastAsia"/>
                <w:kern w:val="0"/>
                <w:sz w:val="24"/>
                <w:szCs w:val="24"/>
              </w:rPr>
              <w:t>实时统计：可对本班学生举手次数、表</w:t>
            </w:r>
            <w:r>
              <w:rPr>
                <w:rFonts w:hint="eastAsia" w:asciiTheme="minorEastAsia" w:hAnsiTheme="minorEastAsia" w:cstheme="minorEastAsia"/>
                <w:kern w:val="0"/>
                <w:sz w:val="24"/>
                <w:szCs w:val="24"/>
              </w:rPr>
              <w:t>扬次数、批评次数及教师评语进行列表式呈现。</w:t>
            </w:r>
          </w:p>
          <w:p w14:paraId="2FD771A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asciiTheme="minorEastAsia" w:hAnsiTheme="minorEastAsia" w:cstheme="minorEastAsia"/>
                <w:kern w:val="0"/>
                <w:sz w:val="24"/>
                <w:szCs w:val="24"/>
              </w:rPr>
              <w:t>3.4</w:t>
            </w:r>
            <w:r>
              <w:rPr>
                <w:rFonts w:hint="eastAsia" w:eastAsia="MS Gothic" w:asciiTheme="minorEastAsia" w:hAnsiTheme="minorEastAsia" w:cstheme="minorEastAsia"/>
                <w:kern w:val="0"/>
                <w:sz w:val="24"/>
                <w:szCs w:val="24"/>
              </w:rPr>
              <w:t>､</w:t>
            </w:r>
            <w:r>
              <w:rPr>
                <w:rFonts w:hint="eastAsia" w:eastAsia="宋体" w:asciiTheme="minorEastAsia" w:hAnsiTheme="minorEastAsia" w:cstheme="minorEastAsia"/>
                <w:kern w:val="0"/>
                <w:sz w:val="24"/>
                <w:szCs w:val="24"/>
              </w:rPr>
              <w:t>教学笔记：支持保存笔记、加载笔记和清空笔记功能。保存笔记条目时，系统自动识别前保存前十个字作为文件名，为了精准识别，会在笔记名前自动加上本班信息。</w:t>
            </w:r>
          </w:p>
          <w:p w14:paraId="27E1FE6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w:t>
            </w:r>
            <w:r>
              <w:rPr>
                <w:rFonts w:asciiTheme="minorEastAsia" w:hAnsiTheme="minorEastAsia" w:cstheme="minorEastAsia"/>
                <w:b/>
                <w:kern w:val="0"/>
                <w:sz w:val="24"/>
                <w:szCs w:val="24"/>
              </w:rPr>
              <w:t>3.5</w:t>
            </w:r>
            <w:r>
              <w:rPr>
                <w:rFonts w:hint="eastAsia" w:eastAsia="MS Gothic" w:asciiTheme="minorEastAsia" w:hAnsiTheme="minorEastAsia" w:cstheme="minorEastAsia"/>
                <w:b/>
                <w:kern w:val="0"/>
                <w:sz w:val="24"/>
                <w:szCs w:val="24"/>
              </w:rPr>
              <w:t>､</w:t>
            </w:r>
            <w:r>
              <w:rPr>
                <w:rFonts w:hint="eastAsia" w:eastAsia="宋体" w:asciiTheme="minorEastAsia" w:hAnsiTheme="minorEastAsia" w:cstheme="minorEastAsia"/>
                <w:b/>
                <w:kern w:val="0"/>
                <w:sz w:val="24"/>
                <w:szCs w:val="24"/>
              </w:rPr>
              <w:t>启动终端：可以对所有学生终端设备进行复位，快速恢复各终端的硬件工作参数。</w:t>
            </w:r>
            <w:r>
              <w:rPr>
                <w:rFonts w:hint="eastAsia" w:asciiTheme="minorEastAsia" w:hAnsiTheme="minorEastAsia" w:cstheme="minorEastAsia"/>
                <w:b/>
                <w:kern w:val="0"/>
                <w:sz w:val="24"/>
                <w:szCs w:val="24"/>
              </w:rPr>
              <w:t>(需提供CMA或CNAS认证检测机构出具的检测报告并加盖公章)</w:t>
            </w:r>
          </w:p>
          <w:p w14:paraId="128F088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asciiTheme="minorEastAsia" w:hAnsiTheme="minorEastAsia" w:cstheme="minorEastAsia"/>
                <w:kern w:val="0"/>
                <w:sz w:val="24"/>
                <w:szCs w:val="24"/>
              </w:rPr>
              <w:t>3.6</w:t>
            </w:r>
            <w:r>
              <w:rPr>
                <w:rFonts w:hint="eastAsia" w:eastAsia="MS Gothic" w:asciiTheme="minorEastAsia" w:hAnsiTheme="minorEastAsia" w:cstheme="minorEastAsia"/>
                <w:kern w:val="0"/>
                <w:sz w:val="24"/>
                <w:szCs w:val="24"/>
              </w:rPr>
              <w:t>､</w:t>
            </w:r>
            <w:r>
              <w:rPr>
                <w:rFonts w:hint="eastAsia" w:eastAsia="宋体" w:asciiTheme="minorEastAsia" w:hAnsiTheme="minorEastAsia" w:cstheme="minorEastAsia"/>
                <w:kern w:val="0"/>
                <w:sz w:val="24"/>
                <w:szCs w:val="24"/>
              </w:rPr>
              <w:t>系统支持终端线路故障提示。</w:t>
            </w:r>
          </w:p>
          <w:p w14:paraId="60D7A76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二</w:t>
            </w:r>
            <w:r>
              <w:rPr>
                <w:rFonts w:hint="eastAsia" w:eastAsia="MS Gothic" w:asciiTheme="minorEastAsia" w:hAnsiTheme="minorEastAsia" w:cstheme="minorEastAsia"/>
                <w:kern w:val="0"/>
                <w:sz w:val="24"/>
                <w:szCs w:val="24"/>
              </w:rPr>
              <w:t>､</w:t>
            </w:r>
            <w:r>
              <w:rPr>
                <w:rFonts w:hint="eastAsia" w:eastAsia="宋体" w:asciiTheme="minorEastAsia" w:hAnsiTheme="minorEastAsia" w:cstheme="minorEastAsia"/>
                <w:kern w:val="0"/>
                <w:sz w:val="24"/>
                <w:szCs w:val="24"/>
              </w:rPr>
              <w:t>系统控制：</w:t>
            </w:r>
          </w:p>
          <w:p w14:paraId="0656E70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2.1、可以显示自上课以来的操作记录，以文字条的形式呈现；</w:t>
            </w:r>
          </w:p>
          <w:p w14:paraId="174DFA0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2.2教师音频控制、学生音频控制为耳机音量和麦克风音量双通道自由调节。支持一键恢复默认值音量。</w:t>
            </w:r>
          </w:p>
          <w:p w14:paraId="70983D4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三、教学统计</w:t>
            </w:r>
          </w:p>
          <w:p w14:paraId="1F9D65A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支持多维度数据统计呈现，如教师统计、班级统计、及相应的学习详情列表呈现，如上课编号、上课时间、下课时间、弹奏时长、键盘弹奏数、表扬次数、批评次数、以及教师评语。</w:t>
            </w:r>
          </w:p>
          <w:p w14:paraId="7316094F">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四、视频展台</w:t>
            </w:r>
          </w:p>
          <w:p w14:paraId="67E0FB0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4.1可对教师指示进行指法采集，与外显设备连接可直观呈现教师指法。</w:t>
            </w:r>
          </w:p>
          <w:p w14:paraId="2E1E84C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4.2可对拍摄内容进行拍照或是录制。功能选择包括拍摄照片、录制视频、停止录制，所选路径、及状态显示。</w:t>
            </w:r>
          </w:p>
          <w:p w14:paraId="57510C6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五、系统信息：</w:t>
            </w:r>
          </w:p>
          <w:p w14:paraId="1E945A2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为保证软件为正式版权及版本，软件信息及生产商信息一目了然。可通过屏幕上的二维码与厂家售后直接对接。</w:t>
            </w:r>
          </w:p>
          <w:p w14:paraId="3B76E9F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★六、乐理教学：可以在屏幕上讲解各种乐理知识、演奏技巧(需提供CMA或CNAS认证检测机构出具的检测报告并加盖公章)</w:t>
            </w:r>
          </w:p>
          <w:p w14:paraId="6DC31AD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1、键盘种类：可选88键、76键、61键三种虚拟钢琴键盘。</w:t>
            </w:r>
          </w:p>
          <w:p w14:paraId="604BB78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2、音色种类：可选乐器音色种类多达150余种。</w:t>
            </w:r>
          </w:p>
          <w:p w14:paraId="1AE165E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3、谱表类型：可选单声部谱表、二声部谱表、大谱表。</w:t>
            </w:r>
          </w:p>
          <w:p w14:paraId="3B5DEC8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4、谱号类型：可选高音谱号、中音谱号、次中音谱号、低音谱号以及5种不常用谱号。</w:t>
            </w:r>
          </w:p>
          <w:p w14:paraId="333229F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5、调式类型：可选调式15种。</w:t>
            </w:r>
          </w:p>
          <w:p w14:paraId="10955E6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6、节拍速度：调节范围40~240bpm。</w:t>
            </w:r>
          </w:p>
          <w:p w14:paraId="386F904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7、音高记号：提供多达8种音高记号法。</w:t>
            </w:r>
          </w:p>
          <w:p w14:paraId="319137A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8、音程关系：支持15度以内的所有大小增减音程。</w:t>
            </w:r>
          </w:p>
          <w:p w14:paraId="6BAB032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9、和弦演示：支持显示7大类和弦，总计可显示1万种+和弦。</w:t>
            </w:r>
          </w:p>
          <w:p w14:paraId="673AB18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10、触控书写：提供屏幕谱表书写，书写笔颜色11种、粗细可调。</w:t>
            </w:r>
          </w:p>
          <w:p w14:paraId="5EB48A6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11、术语显示：所有术语具有中英文对照。</w:t>
            </w:r>
          </w:p>
          <w:p w14:paraId="36E5BAA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12、点击设置按钮（左上角第一个按钮），进入谱表、谱号、调号的选择页面。</w:t>
            </w:r>
          </w:p>
          <w:p w14:paraId="7B89CBE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13、选择谱号时，软件会展示各个谱号的名称，并且调号变音记号所在谱线位置会随谱号变动发生改变。</w:t>
            </w:r>
          </w:p>
          <w:p w14:paraId="0FC3818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14、选择调号时，软件会展示各个调号对应的关系大小调名称，设置完毕后，点击五线谱的谱线或间，播放的音高即会随谱号与调号的设置而改变。</w:t>
            </w:r>
          </w:p>
          <w:p w14:paraId="2E266F4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15、点击五线谱、音符、虚拟键盘，或在与系统连接的实体键盘演奏两个音，软件界面上方即会动态展示音程关系。</w:t>
            </w:r>
          </w:p>
          <w:p w14:paraId="5CA1463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16、点击或演奏三个或三个以上的音，软件界面上方动态展示和弦信息。</w:t>
            </w:r>
          </w:p>
          <w:p w14:paraId="2B813F6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17、激活考试模式后，选择学生坐席，点击五线谱中的音符，由选中的学生在实体键盘上按顺序演奏每一个音，正确时显示绿色爆炸效果并激活下一个音符，错误时显示红色爆炸效果并停留在当前音符，直到演奏正确时才激活下一个音符。</w:t>
            </w:r>
          </w:p>
        </w:tc>
        <w:tc>
          <w:tcPr>
            <w:tcW w:w="698" w:type="dxa"/>
            <w:shd w:val="clear" w:color="auto" w:fill="auto"/>
            <w:vAlign w:val="center"/>
          </w:tcPr>
          <w:p w14:paraId="3AF878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台</w:t>
            </w:r>
          </w:p>
        </w:tc>
        <w:tc>
          <w:tcPr>
            <w:tcW w:w="843" w:type="dxa"/>
            <w:shd w:val="clear" w:color="auto" w:fill="auto"/>
            <w:vAlign w:val="center"/>
          </w:tcPr>
          <w:p w14:paraId="70863A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3</w:t>
            </w:r>
          </w:p>
        </w:tc>
        <w:tc>
          <w:tcPr>
            <w:tcW w:w="698" w:type="dxa"/>
            <w:vAlign w:val="center"/>
          </w:tcPr>
          <w:p w14:paraId="6B9AF71D">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7B1E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540C80F1">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6</w:t>
            </w:r>
          </w:p>
        </w:tc>
        <w:tc>
          <w:tcPr>
            <w:tcW w:w="1400" w:type="dxa"/>
            <w:shd w:val="clear" w:color="auto" w:fill="auto"/>
            <w:vAlign w:val="center"/>
          </w:tcPr>
          <w:p w14:paraId="2B4514BB">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教师指法采集仪</w:t>
            </w:r>
          </w:p>
        </w:tc>
        <w:tc>
          <w:tcPr>
            <w:tcW w:w="9766" w:type="dxa"/>
            <w:vAlign w:val="center"/>
          </w:tcPr>
          <w:p w14:paraId="36DD44E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1、教师指法采集仪为便携式视频设备，支持电脑USB供电或外接电源，视频幅面完全覆盖音乐琴键，完整展示教师演奏示范；</w:t>
            </w:r>
          </w:p>
          <w:p w14:paraId="73443ED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2、教师指法采集仪支持500万像素（2592×1944），500万高清像素下，动态速度在15帧/秒以上；</w:t>
            </w:r>
          </w:p>
          <w:p w14:paraId="26BDBE3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3、教师指法采集仪支持免驱系统，包括Windows10/Windows8/8.1/Windows7/WindowsVISTA/WindowsXPsp2；</w:t>
            </w:r>
          </w:p>
          <w:p w14:paraId="30AB02C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4、输出格式JPG,图像色彩：RGB24位真彩，拍摄速度≤1秒，光源：自然光、内置6颗LED灯辅助光源，无极调控开关控制；"</w:t>
            </w:r>
          </w:p>
        </w:tc>
        <w:tc>
          <w:tcPr>
            <w:tcW w:w="698" w:type="dxa"/>
            <w:shd w:val="clear" w:color="auto" w:fill="auto"/>
            <w:vAlign w:val="center"/>
          </w:tcPr>
          <w:p w14:paraId="2010CD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7748EE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3</w:t>
            </w:r>
          </w:p>
        </w:tc>
        <w:tc>
          <w:tcPr>
            <w:tcW w:w="698" w:type="dxa"/>
            <w:vAlign w:val="center"/>
          </w:tcPr>
          <w:p w14:paraId="4181F672">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1CED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6C7D40D5">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bookmarkStart w:id="111" w:name="_Hlk193304019"/>
            <w:r>
              <w:rPr>
                <w:rFonts w:hint="eastAsia" w:asciiTheme="minorEastAsia" w:hAnsiTheme="minorEastAsia" w:cstheme="minorEastAsia"/>
                <w:kern w:val="0"/>
                <w:sz w:val="24"/>
                <w:szCs w:val="24"/>
              </w:rPr>
              <w:t>7</w:t>
            </w:r>
          </w:p>
        </w:tc>
        <w:tc>
          <w:tcPr>
            <w:tcW w:w="1400" w:type="dxa"/>
            <w:shd w:val="clear" w:color="auto" w:fill="auto"/>
            <w:vAlign w:val="center"/>
          </w:tcPr>
          <w:p w14:paraId="588D3EBE">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教学专用电钢琴</w:t>
            </w:r>
          </w:p>
        </w:tc>
        <w:tc>
          <w:tcPr>
            <w:tcW w:w="9766" w:type="dxa"/>
            <w:vAlign w:val="center"/>
          </w:tcPr>
          <w:p w14:paraId="6A90849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外观：立式、推拉盖板、三踏板</w:t>
            </w:r>
          </w:p>
          <w:p w14:paraId="7BD7894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1.键盘：88键钢琴力度键盘</w:t>
            </w:r>
          </w:p>
          <w:p w14:paraId="31D2827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2.力度：4级（3级+OFF)</w:t>
            </w:r>
          </w:p>
          <w:p w14:paraId="26B9952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3.显示：多功能液晶显示</w:t>
            </w:r>
          </w:p>
          <w:p w14:paraId="23963A4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4.复音数：≥128</w:t>
            </w:r>
          </w:p>
          <w:p w14:paraId="353550D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5.音色：≥356种旋律音色（包含8种中国民族音色)+4组键盘打击乐(包含299个打击乐音色）</w:t>
            </w:r>
          </w:p>
          <w:p w14:paraId="1AA34C1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6.叠加/分割：键分离、双音色</w:t>
            </w:r>
          </w:p>
          <w:p w14:paraId="07D300B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7.节奏：≥160种预置节奏（包含10种中国民族节奏）</w:t>
            </w:r>
          </w:p>
          <w:p w14:paraId="02112E2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节奏控制：启动/停止、同步启动、前奏/尾奏、插入A、插入B、自动低音和弦、和弦关闭、伴奏音量</w:t>
            </w:r>
          </w:p>
          <w:p w14:paraId="7B65886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8.速度：30-280</w:t>
            </w:r>
          </w:p>
          <w:p w14:paraId="27B9DA2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9.内置乐曲：80首预置歌曲+3首用户歌曲</w:t>
            </w:r>
          </w:p>
          <w:p w14:paraId="7190241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10.演奏增强：力度响应、延音</w:t>
            </w:r>
          </w:p>
          <w:p w14:paraId="3FB27CE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11.音高调节：移调、音调</w:t>
            </w:r>
          </w:p>
          <w:p w14:paraId="0742133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12.音效：全局DSP数码效果、混响、合唱、调音台</w:t>
            </w:r>
          </w:p>
          <w:p w14:paraId="56D08E7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13.录音：3轨录音(2旋律轨＋1伴奏轨)+16轨MIDI通道录音、3首用户歌曲</w:t>
            </w:r>
          </w:p>
          <w:p w14:paraId="0C55AD4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14.注册记忆：8个注册记忆(4记忆库x2存储)</w:t>
            </w:r>
          </w:p>
          <w:p w14:paraId="641FDA6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15.智能学习系统：歌曲旋律关闭模式、节拍器</w:t>
            </w:r>
          </w:p>
          <w:p w14:paraId="04DE39E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16.控制按钮：音量推杆、速度+/-、伴奏音量+/-、移调+/-、学习、左手、右手、数码效果、功能菜单、调音台、启动/停止、同步启动、插入A、插入B、前奏/尾奏、A.B.C.、A.B.C.关闭、双音色、下音色、歌曲、力度、节拍器、音色、数字+/-、录音、音轨1、音轨2、音轨3、暂停/播放MP3、节奏、状态记忆、M1~M2、记忆组、上一曲、下一曲、电源开关</w:t>
            </w:r>
          </w:p>
          <w:p w14:paraId="665FC16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17.接口：电源接口、耳机接口、USB设备接口、音频输出/输入接口、MIDIIN/OUT接口、USB-MIDI接口、踏板输入接口</w:t>
            </w:r>
          </w:p>
          <w:p w14:paraId="264ADB1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18.电源：DC12V</w:t>
            </w:r>
          </w:p>
          <w:p w14:paraId="1AC6CAA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19.扬声器：15W*2</w:t>
            </w:r>
          </w:p>
          <w:p w14:paraId="15BE0D8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20.尺寸：≥1355*450*815（mm）</w:t>
            </w:r>
          </w:p>
          <w:p w14:paraId="1B0E61C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cs="微软雅黑" w:asciiTheme="minorEastAsia" w:hAnsiTheme="minorEastAsia"/>
                <w:b/>
                <w:kern w:val="0"/>
                <w:sz w:val="24"/>
                <w:szCs w:val="24"/>
              </w:rPr>
              <w:t>★</w:t>
            </w:r>
            <w:r>
              <w:rPr>
                <w:rFonts w:hint="eastAsia" w:asciiTheme="minorEastAsia" w:hAnsiTheme="minorEastAsia" w:cstheme="minorEastAsia"/>
                <w:b/>
                <w:kern w:val="0"/>
                <w:sz w:val="24"/>
                <w:szCs w:val="24"/>
              </w:rPr>
              <w:t>（提供国家轻工业乐器质量监督检测中心出具的带有CMA或CNAS标识的检测报告复印件并加盖制造商公章佐证）</w:t>
            </w:r>
          </w:p>
        </w:tc>
        <w:tc>
          <w:tcPr>
            <w:tcW w:w="698" w:type="dxa"/>
            <w:shd w:val="clear" w:color="auto" w:fill="auto"/>
            <w:vAlign w:val="center"/>
          </w:tcPr>
          <w:p w14:paraId="65DE5E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台</w:t>
            </w:r>
          </w:p>
        </w:tc>
        <w:tc>
          <w:tcPr>
            <w:tcW w:w="843" w:type="dxa"/>
            <w:shd w:val="clear" w:color="auto" w:fill="auto"/>
            <w:vAlign w:val="center"/>
          </w:tcPr>
          <w:p w14:paraId="34B5AE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81</w:t>
            </w:r>
          </w:p>
        </w:tc>
        <w:tc>
          <w:tcPr>
            <w:tcW w:w="698" w:type="dxa"/>
            <w:vAlign w:val="center"/>
          </w:tcPr>
          <w:p w14:paraId="45712C40">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bookmarkEnd w:id="111"/>
      <w:tr w14:paraId="5717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1679A815">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8</w:t>
            </w:r>
          </w:p>
        </w:tc>
        <w:tc>
          <w:tcPr>
            <w:tcW w:w="1400" w:type="dxa"/>
            <w:shd w:val="clear" w:color="auto" w:fill="auto"/>
            <w:vAlign w:val="center"/>
          </w:tcPr>
          <w:p w14:paraId="416B38E1">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琴凳</w:t>
            </w:r>
          </w:p>
        </w:tc>
        <w:tc>
          <w:tcPr>
            <w:tcW w:w="9766" w:type="dxa"/>
            <w:vAlign w:val="center"/>
          </w:tcPr>
          <w:p w14:paraId="76C9201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1.规格：长460*宽300*高480mm。</w:t>
            </w:r>
          </w:p>
          <w:p w14:paraId="5E8308D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2.材质：优质皮革面，木框。"</w:t>
            </w:r>
          </w:p>
        </w:tc>
        <w:tc>
          <w:tcPr>
            <w:tcW w:w="698" w:type="dxa"/>
            <w:shd w:val="clear" w:color="auto" w:fill="auto"/>
            <w:vAlign w:val="center"/>
          </w:tcPr>
          <w:p w14:paraId="534D6B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个</w:t>
            </w:r>
          </w:p>
        </w:tc>
        <w:tc>
          <w:tcPr>
            <w:tcW w:w="843" w:type="dxa"/>
            <w:shd w:val="clear" w:color="auto" w:fill="auto"/>
            <w:vAlign w:val="center"/>
          </w:tcPr>
          <w:p w14:paraId="4ECEAB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81</w:t>
            </w:r>
          </w:p>
        </w:tc>
        <w:tc>
          <w:tcPr>
            <w:tcW w:w="698" w:type="dxa"/>
            <w:vAlign w:val="center"/>
          </w:tcPr>
          <w:p w14:paraId="77EA5084">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46CB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65DEBEAC">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9</w:t>
            </w:r>
          </w:p>
        </w:tc>
        <w:tc>
          <w:tcPr>
            <w:tcW w:w="1400" w:type="dxa"/>
            <w:shd w:val="clear" w:color="auto" w:fill="auto"/>
            <w:vAlign w:val="center"/>
          </w:tcPr>
          <w:p w14:paraId="2416BBF6">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主控操作台</w:t>
            </w:r>
          </w:p>
        </w:tc>
        <w:tc>
          <w:tcPr>
            <w:tcW w:w="9766" w:type="dxa"/>
            <w:vAlign w:val="center"/>
          </w:tcPr>
          <w:p w14:paraId="0CF19E1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2000*600*900多功能操作台，嵌入式设计理念，教师用琴、与计算机及相应主控设备可内置，整洁、美观、大气，节约空间，适用性强。</w:t>
            </w:r>
          </w:p>
        </w:tc>
        <w:tc>
          <w:tcPr>
            <w:tcW w:w="698" w:type="dxa"/>
            <w:shd w:val="clear" w:color="auto" w:fill="auto"/>
            <w:vAlign w:val="center"/>
          </w:tcPr>
          <w:p w14:paraId="369511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台</w:t>
            </w:r>
          </w:p>
        </w:tc>
        <w:tc>
          <w:tcPr>
            <w:tcW w:w="843" w:type="dxa"/>
            <w:shd w:val="clear" w:color="auto" w:fill="auto"/>
            <w:vAlign w:val="center"/>
          </w:tcPr>
          <w:p w14:paraId="6EE513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3</w:t>
            </w:r>
          </w:p>
        </w:tc>
        <w:tc>
          <w:tcPr>
            <w:tcW w:w="698" w:type="dxa"/>
            <w:vAlign w:val="center"/>
          </w:tcPr>
          <w:p w14:paraId="0C9C62CC">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08B2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7B07D356">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10</w:t>
            </w:r>
          </w:p>
        </w:tc>
        <w:tc>
          <w:tcPr>
            <w:tcW w:w="1400" w:type="dxa"/>
            <w:shd w:val="clear" w:color="auto" w:fill="auto"/>
            <w:vAlign w:val="center"/>
          </w:tcPr>
          <w:p w14:paraId="7E2AD7D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数字音频控制器</w:t>
            </w:r>
          </w:p>
        </w:tc>
        <w:tc>
          <w:tcPr>
            <w:tcW w:w="9766" w:type="dxa"/>
            <w:vAlign w:val="center"/>
          </w:tcPr>
          <w:p w14:paraId="5BB9484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1：外观尺寸：482*340*105（mm），可放入2U机柜，国标1.5mm厚铁板折弯成型机身，更加坚固；激光切割孔位，精准无毛刺，高温静电喷涂工艺，更加耐腐蚀！</w:t>
            </w:r>
          </w:p>
          <w:p w14:paraId="795EEB2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2：机身接口及配置：品字形220电源接口*1，RJ45电脑通讯网络专用接口*1，RJ45学生终端通讯接口*64；不锈钢带灯电源开关*2，不锈钢待机电源指示灯*2，铝合金提手*2。</w:t>
            </w:r>
          </w:p>
          <w:p w14:paraId="74AC76F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3：主机连接：系统与主控仪设备连接采用以太网连接，只需要将windos系统与主控仪进行网络IP地址匹配即可正常使用，免去针对不同windos系统安装不同驱动的麻烦，并能完美兼容市面上主流的win10系统。</w:t>
            </w:r>
          </w:p>
          <w:p w14:paraId="4D2FDE3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4：单机支持64台终端端口，满载功率≤200W（具体功率根据座位数量确定）；                                                                    5：电源功率：主控仪内置标准ATX架构大功率电源，配备超静音散热风扇，既保证设备具有图书馆级别的静音效果，又能为设备带来足够好的散热。</w:t>
            </w:r>
          </w:p>
          <w:p w14:paraId="4533189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6：数据处理：主控仪搭载高性能FPGA逻辑处理模块及高速低功耗双全工数据收发模块，保证数字音频信号无丢失、零延迟、无破音、完美还原琴声。"</w:t>
            </w:r>
          </w:p>
        </w:tc>
        <w:tc>
          <w:tcPr>
            <w:tcW w:w="698" w:type="dxa"/>
            <w:shd w:val="clear" w:color="auto" w:fill="auto"/>
            <w:vAlign w:val="center"/>
          </w:tcPr>
          <w:p w14:paraId="4EE954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台</w:t>
            </w:r>
          </w:p>
        </w:tc>
        <w:tc>
          <w:tcPr>
            <w:tcW w:w="843" w:type="dxa"/>
            <w:shd w:val="clear" w:color="auto" w:fill="auto"/>
            <w:vAlign w:val="center"/>
          </w:tcPr>
          <w:p w14:paraId="0C44C5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3</w:t>
            </w:r>
          </w:p>
        </w:tc>
        <w:tc>
          <w:tcPr>
            <w:tcW w:w="698" w:type="dxa"/>
            <w:vAlign w:val="center"/>
          </w:tcPr>
          <w:p w14:paraId="34D3CAD8">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1878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17E84445">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11</w:t>
            </w:r>
          </w:p>
        </w:tc>
        <w:tc>
          <w:tcPr>
            <w:tcW w:w="1400" w:type="dxa"/>
            <w:shd w:val="clear" w:color="auto" w:fill="auto"/>
            <w:vAlign w:val="center"/>
          </w:tcPr>
          <w:p w14:paraId="65476684">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耳麦</w:t>
            </w:r>
          </w:p>
        </w:tc>
        <w:tc>
          <w:tcPr>
            <w:tcW w:w="9766" w:type="dxa"/>
            <w:vAlign w:val="center"/>
          </w:tcPr>
          <w:p w14:paraId="2A730FFD">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1、接口类型：3.5mm单孔/双孔</w:t>
            </w:r>
          </w:p>
          <w:p w14:paraId="63B98A53">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2、线长：2M</w:t>
            </w:r>
          </w:p>
          <w:p w14:paraId="5F7F1A7B">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3、总谐波失真：&lt;=3%</w:t>
            </w:r>
          </w:p>
          <w:p w14:paraId="1C57B390">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4、喇叭尺寸：40MM</w:t>
            </w:r>
          </w:p>
          <w:p w14:paraId="3865B0A1">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5、喇叭灵敏度：102.8±3dB</w:t>
            </w:r>
          </w:p>
          <w:p w14:paraId="6C734AEA">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6、喇叭最大功率：30mW</w:t>
            </w:r>
          </w:p>
          <w:p w14:paraId="4DC60D3D">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7、喇叭失真比：≦3%</w:t>
            </w:r>
          </w:p>
          <w:p w14:paraId="1D379CD2">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8、喇叭抗阻：32Ω</w:t>
            </w:r>
          </w:p>
          <w:p w14:paraId="0755CFEA">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9、喇叭频响：20Hz~20KHz</w:t>
            </w:r>
          </w:p>
          <w:p w14:paraId="3F041A8F">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10、麦克风尺寸：φ6.0mm*2.7mm</w:t>
            </w:r>
          </w:p>
          <w:p w14:paraId="4081B20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11、麦克风指向：全指向</w:t>
            </w:r>
          </w:p>
          <w:p w14:paraId="468FD484">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12、麦克风灵敏度：-42dB+/-3dB</w:t>
            </w:r>
          </w:p>
          <w:p w14:paraId="66BC3794">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13、麦克风频响：100Hz-10KHz</w:t>
            </w:r>
          </w:p>
          <w:p w14:paraId="0256DEEE">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14、麦克风最大输入声压：110dB</w:t>
            </w:r>
          </w:p>
          <w:p w14:paraId="2702234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15、麦克风失真：10%@110dB1khz</w:t>
            </w:r>
          </w:p>
          <w:p w14:paraId="32E8167B">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16、麦克风抗阻：2.2K</w:t>
            </w:r>
          </w:p>
          <w:p w14:paraId="3C72DB95">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17、麦克风信噪比：&gt;=58dB"</w:t>
            </w:r>
          </w:p>
          <w:p w14:paraId="6CC2055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bCs/>
                <w:kern w:val="0"/>
                <w:sz w:val="24"/>
                <w:szCs w:val="24"/>
              </w:rPr>
              <w:t>18、(需提供CMA或CNAS认证检测机构出具的检测报告并加盖公章)</w:t>
            </w:r>
          </w:p>
        </w:tc>
        <w:tc>
          <w:tcPr>
            <w:tcW w:w="698" w:type="dxa"/>
            <w:shd w:val="clear" w:color="auto" w:fill="auto"/>
            <w:vAlign w:val="center"/>
          </w:tcPr>
          <w:p w14:paraId="692C97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副</w:t>
            </w:r>
          </w:p>
        </w:tc>
        <w:tc>
          <w:tcPr>
            <w:tcW w:w="843" w:type="dxa"/>
            <w:shd w:val="clear" w:color="auto" w:fill="auto"/>
            <w:vAlign w:val="center"/>
          </w:tcPr>
          <w:p w14:paraId="471515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81</w:t>
            </w:r>
          </w:p>
        </w:tc>
        <w:tc>
          <w:tcPr>
            <w:tcW w:w="698" w:type="dxa"/>
            <w:vAlign w:val="center"/>
          </w:tcPr>
          <w:p w14:paraId="4BCD6D91">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5E04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47275360">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12</w:t>
            </w:r>
          </w:p>
        </w:tc>
        <w:tc>
          <w:tcPr>
            <w:tcW w:w="1400" w:type="dxa"/>
            <w:shd w:val="clear" w:color="auto" w:fill="auto"/>
            <w:vAlign w:val="center"/>
          </w:tcPr>
          <w:p w14:paraId="28EF673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教师转换终端</w:t>
            </w:r>
          </w:p>
        </w:tc>
        <w:tc>
          <w:tcPr>
            <w:tcW w:w="9766" w:type="dxa"/>
            <w:vAlign w:val="center"/>
          </w:tcPr>
          <w:p w14:paraId="4ED8710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1.具有核心自主知识产权的CPLD芯片及电脑声卡芯片，低功耗双全工数据收发模块，差动全数字信号，抗干扰力强；44.1K/16位双声道立体声CD音质；内置Ti差分输入音频处理模块，消除破音和爆音，SNR&gt;90dB；THD+D&lt;0.01%；             </w:t>
            </w:r>
          </w:p>
          <w:p w14:paraId="3A30ED7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2.终端延时：小于千分之一秒，无听觉延迟感觉；                                                        </w:t>
            </w:r>
          </w:p>
          <w:p w14:paraId="1E7E54E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3.终端功能：耳机音量大小调节，终端呼叫开关、麦克开关控制、状态指示；终端接口：2组麦克风+2组耳机+2组音频输入，方便连接不同的信号源及耳麦； </w:t>
            </w:r>
          </w:p>
          <w:p w14:paraId="5AF97ED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4.终端连线：使用568B网线连接，安装简便快捷、性能稳定耐用；铁制高温喷塑外壳，                        </w:t>
            </w:r>
          </w:p>
          <w:p w14:paraId="45D82A5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5.终端尺寸规格：（145mm*95mm*30mm）"</w:t>
            </w:r>
          </w:p>
        </w:tc>
        <w:tc>
          <w:tcPr>
            <w:tcW w:w="698" w:type="dxa"/>
            <w:shd w:val="clear" w:color="auto" w:fill="auto"/>
            <w:vAlign w:val="center"/>
          </w:tcPr>
          <w:p w14:paraId="79868D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个</w:t>
            </w:r>
          </w:p>
        </w:tc>
        <w:tc>
          <w:tcPr>
            <w:tcW w:w="843" w:type="dxa"/>
            <w:shd w:val="clear" w:color="auto" w:fill="auto"/>
            <w:vAlign w:val="center"/>
          </w:tcPr>
          <w:p w14:paraId="6FFF59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3</w:t>
            </w:r>
          </w:p>
        </w:tc>
        <w:tc>
          <w:tcPr>
            <w:tcW w:w="698" w:type="dxa"/>
            <w:vAlign w:val="center"/>
          </w:tcPr>
          <w:p w14:paraId="649968BD">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46CC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73F29EB6">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13</w:t>
            </w:r>
          </w:p>
        </w:tc>
        <w:tc>
          <w:tcPr>
            <w:tcW w:w="1400" w:type="dxa"/>
            <w:shd w:val="clear" w:color="auto" w:fill="auto"/>
            <w:vAlign w:val="center"/>
          </w:tcPr>
          <w:p w14:paraId="72C047F2">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学生转换终端</w:t>
            </w:r>
          </w:p>
        </w:tc>
        <w:tc>
          <w:tcPr>
            <w:tcW w:w="9766" w:type="dxa"/>
            <w:vAlign w:val="center"/>
          </w:tcPr>
          <w:p w14:paraId="4E26C39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1.具有核心自主知识产权的CPLD芯片及电脑声卡芯片，低功耗双全工数据收发模块，差动全数字信号，抗干扰力强；44.1K /16位双声道立体声CD音质；内置Ti差分输入音频处理模块，消除破音和爆音，SNR&gt;90dB；THD+D&lt;0.01%；终端延时：小于千分之一秒，无听觉延迟感觉；          </w:t>
            </w:r>
          </w:p>
          <w:p w14:paraId="4E9C000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2.终端功能：耳机音量大小调节，终端呼叫开关、麦克开关控制、状态指示；按键采用全触摸控制，增加了按键灵敏度，延长使用寿命；MGC控制，可完美匹配市面上主流的电钢琴及电子琴；                                </w:t>
            </w:r>
          </w:p>
          <w:p w14:paraId="120D49A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3. 终端接口：1组麦克风+1组耳机+1组音频输入；终端连线：使用568B网线连接，安装简便快捷、性能稳定耐用；            </w:t>
            </w:r>
          </w:p>
          <w:p w14:paraId="18FE948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4.模具成型ABS外壳，终端尺寸规格（130mm*92mm*30mm）"</w:t>
            </w:r>
          </w:p>
        </w:tc>
        <w:tc>
          <w:tcPr>
            <w:tcW w:w="698" w:type="dxa"/>
            <w:shd w:val="clear" w:color="auto" w:fill="auto"/>
            <w:vAlign w:val="center"/>
          </w:tcPr>
          <w:p w14:paraId="797229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个</w:t>
            </w:r>
          </w:p>
        </w:tc>
        <w:tc>
          <w:tcPr>
            <w:tcW w:w="843" w:type="dxa"/>
            <w:shd w:val="clear" w:color="auto" w:fill="auto"/>
            <w:vAlign w:val="center"/>
          </w:tcPr>
          <w:p w14:paraId="5FC8BA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81</w:t>
            </w:r>
          </w:p>
        </w:tc>
        <w:tc>
          <w:tcPr>
            <w:tcW w:w="698" w:type="dxa"/>
            <w:vAlign w:val="center"/>
          </w:tcPr>
          <w:p w14:paraId="329B3DB9">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60B9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703069EC">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14</w:t>
            </w:r>
          </w:p>
        </w:tc>
        <w:tc>
          <w:tcPr>
            <w:tcW w:w="1400" w:type="dxa"/>
            <w:shd w:val="clear" w:color="auto" w:fill="auto"/>
            <w:vAlign w:val="center"/>
          </w:tcPr>
          <w:p w14:paraId="20117EB2">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调音台</w:t>
            </w:r>
          </w:p>
        </w:tc>
        <w:tc>
          <w:tcPr>
            <w:tcW w:w="9766" w:type="dxa"/>
            <w:vAlign w:val="center"/>
          </w:tcPr>
          <w:p w14:paraId="6AE3610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1、独有双差分输入电路可令输入增益更大，噪声更少。选用高级日本原装音调电容，令音质更加甜美。特设可调频的低音炮独立输出接口。                                   </w:t>
            </w:r>
          </w:p>
          <w:p w14:paraId="3859F00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2、16种回声和混响可调                                                              </w:t>
            </w:r>
          </w:p>
          <w:p w14:paraId="355A503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3、2编组4母线调音台                                         </w:t>
            </w:r>
          </w:p>
          <w:p w14:paraId="1C09899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4、4路线路输入+2组立体声输入,内置16种数码效果器                                  </w:t>
            </w:r>
          </w:p>
          <w:p w14:paraId="446EF10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5、内置多格式蓝牙MP3播放器,MP3音源可转入本机立体声声道进行调音或混合.                                                   </w:t>
            </w:r>
          </w:p>
          <w:p w14:paraId="572864D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6、分路3段美式EQ,带衰减带,带显示哑音选择开关.另设有监听功能.                                                       </w:t>
            </w:r>
          </w:p>
          <w:p w14:paraId="589B26B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7、6路母线(BUS):主输出+两编组+监听室输出+录音输出与返回                                                  </w:t>
            </w:r>
          </w:p>
          <w:p w14:paraId="1CBF06C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8、在无需外置设备下可独立完成6路不同音源的输出.                                            </w:t>
            </w:r>
          </w:p>
          <w:p w14:paraId="2BB61ED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9、1路AUX外接与返回,双7段图视均衡                        </w:t>
            </w:r>
          </w:p>
          <w:p w14:paraId="61F5DAE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10、100MM长行程推子控制.                                     </w:t>
            </w:r>
          </w:p>
          <w:p w14:paraId="1994496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11、内置48V幻象供电,内置80V-240V宽电压工作电源.</w:t>
            </w:r>
          </w:p>
          <w:p w14:paraId="42CE63A7">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12、稳固的全金属机身设计可靠性，配专用航空箱架                                 </w:t>
            </w:r>
            <w:r>
              <w:rPr>
                <w:rFonts w:hint="eastAsia" w:asciiTheme="minorEastAsia" w:hAnsiTheme="minorEastAsia" w:cstheme="minorEastAsia"/>
                <w:kern w:val="0"/>
                <w:sz w:val="24"/>
                <w:szCs w:val="24"/>
                <w:lang w:eastAsia="zh-CN"/>
              </w:rPr>
              <w:t>、</w:t>
            </w:r>
            <w:r>
              <w:rPr>
                <w:rFonts w:hint="eastAsia" w:asciiTheme="minorEastAsia" w:hAnsiTheme="minorEastAsia" w:cstheme="minorEastAsia"/>
                <w:b/>
                <w:kern w:val="0"/>
                <w:sz w:val="24"/>
                <w:szCs w:val="24"/>
              </w:rPr>
              <w:t xml:space="preserve">13、为保证教学质量，控制软件需拥有自主的知识产权，要求提供国家版权局颁发的“调音台DSP效果处理软件”的计算机软件著作权登记证书复印件，（提供证书复印件并加盖厂家公章）。                                                                                                                             </w:t>
            </w:r>
            <w:r>
              <w:rPr>
                <w:rFonts w:hint="eastAsia" w:asciiTheme="minorEastAsia" w:hAnsiTheme="minorEastAsia" w:cstheme="minorEastAsia"/>
                <w:kern w:val="0"/>
                <w:sz w:val="24"/>
                <w:szCs w:val="24"/>
              </w:rPr>
              <w:t xml:space="preserve">                                      </w:t>
            </w:r>
          </w:p>
        </w:tc>
        <w:tc>
          <w:tcPr>
            <w:tcW w:w="698" w:type="dxa"/>
            <w:shd w:val="clear" w:color="auto" w:fill="auto"/>
            <w:vAlign w:val="center"/>
          </w:tcPr>
          <w:p w14:paraId="51C9B7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台</w:t>
            </w:r>
          </w:p>
        </w:tc>
        <w:tc>
          <w:tcPr>
            <w:tcW w:w="843" w:type="dxa"/>
            <w:shd w:val="clear" w:color="auto" w:fill="auto"/>
            <w:vAlign w:val="center"/>
          </w:tcPr>
          <w:p w14:paraId="52B685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3</w:t>
            </w:r>
          </w:p>
        </w:tc>
        <w:tc>
          <w:tcPr>
            <w:tcW w:w="698" w:type="dxa"/>
            <w:vAlign w:val="center"/>
          </w:tcPr>
          <w:p w14:paraId="65F3A8AC">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282B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79D3CEFD">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15</w:t>
            </w:r>
          </w:p>
        </w:tc>
        <w:tc>
          <w:tcPr>
            <w:tcW w:w="1400" w:type="dxa"/>
            <w:shd w:val="clear" w:color="auto" w:fill="auto"/>
            <w:vAlign w:val="center"/>
          </w:tcPr>
          <w:p w14:paraId="7E71EA8D">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智能音乐电子示教板（含支架）</w:t>
            </w:r>
          </w:p>
        </w:tc>
        <w:tc>
          <w:tcPr>
            <w:tcW w:w="9766" w:type="dxa"/>
            <w:vAlign w:val="center"/>
          </w:tcPr>
          <w:p w14:paraId="16954A8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1、白色板面，可白板笔书写，谱表调式等各种符号印刷在进口专用白板漆漆面内部，杜绝印刷符号被水性笔腐蚀的现象，整板可书写，擦拭不留痕，经久耐用；具有良好书写和耐擦拭性能；(需提供CMA或CNAS认证检测机构出具的检测报告并加盖公章)</w:t>
            </w:r>
          </w:p>
          <w:p w14:paraId="5AEA424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2、一组61键电钢琴实物键盘；一组对应的智能MIDI键盘显示；一组用电子教鞭演示的可书写大谱表；(需提供CMA或CNAS认证检测机构出具的检测报告并加盖公章)</w:t>
            </w:r>
          </w:p>
          <w:p w14:paraId="5C48B09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★3、键盘与电子教鞭均可进行教学演示，结合导轨和可滑动的乐理标尺、和弦标尺、音程尺可实现全乐理教学；</w:t>
            </w:r>
            <w:r>
              <w:rPr>
                <w:rFonts w:hint="eastAsia" w:asciiTheme="minorEastAsia" w:hAnsiTheme="minorEastAsia" w:cstheme="minorEastAsia"/>
                <w:b/>
                <w:bCs/>
                <w:kern w:val="0"/>
                <w:sz w:val="24"/>
                <w:szCs w:val="24"/>
              </w:rPr>
              <w:t>(需提供CMA或CNAS认证检测机构出具的检测报告并加盖公章)</w:t>
            </w:r>
          </w:p>
          <w:p w14:paraId="22C022C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4、三位多功能LED显示音色、节奏、歌曲、速度、录放音等功能，二位LED显示节拍拍型,一位LED显示和弦，高度76mm的LED简谱显示，临时升降半音显示，61键智能MIDI键盘显示；(需提供CMA或CNAS认证检测机构出具的检测报告并加盖公章)</w:t>
            </w:r>
          </w:p>
          <w:p w14:paraId="2F0ECBC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5、音色：≥129种（其中128种标准GM音色+1组键盘打击乐音色）；</w:t>
            </w:r>
          </w:p>
          <w:p w14:paraId="737D497E">
            <w:pPr>
              <w:keepNext w:val="0"/>
              <w:keepLines w:val="0"/>
              <w:pageBreakBefore w:val="0"/>
              <w:tabs>
                <w:tab w:val="left" w:pos="8530"/>
              </w:tabs>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6、自动节奏：100种；</w:t>
            </w:r>
            <w:r>
              <w:rPr>
                <w:rFonts w:hint="eastAsia" w:asciiTheme="minorEastAsia" w:hAnsiTheme="minorEastAsia" w:cstheme="minorEastAsia"/>
                <w:kern w:val="0"/>
                <w:sz w:val="24"/>
                <w:szCs w:val="24"/>
              </w:rPr>
              <w:tab/>
            </w:r>
          </w:p>
          <w:p w14:paraId="6DDD754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7、调式：不少于12种，教学演示时“#/b”升/降半音显示可转换；</w:t>
            </w:r>
          </w:p>
          <w:p w14:paraId="7AED0F2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★8、示范曲：800首，包含人教版中小学教材中的歌曲和练习曲，播放示范曲时可显示歌曲的调式、拍型、拍速、拍点、音名、简谱等主要音乐要素；</w:t>
            </w:r>
            <w:r>
              <w:rPr>
                <w:rFonts w:hint="eastAsia" w:asciiTheme="minorEastAsia" w:hAnsiTheme="minorEastAsia" w:cstheme="minorEastAsia"/>
                <w:b/>
                <w:bCs/>
                <w:kern w:val="0"/>
                <w:sz w:val="24"/>
                <w:szCs w:val="24"/>
              </w:rPr>
              <w:t>(需提供CMA或CNAS认证检测机构出具的检测报告并加盖公章)</w:t>
            </w:r>
          </w:p>
          <w:p w14:paraId="23C5B6F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9、节拍器：1/4、2/4、3/4、4/4、3/8、6/8、9/8、2/2拍共8种拍型；</w:t>
            </w:r>
          </w:p>
          <w:p w14:paraId="543D984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10、速度控制：节奏、节拍、歌曲的速度30～280共251档连续可调；</w:t>
            </w:r>
          </w:p>
          <w:p w14:paraId="225A784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11、音量控制：总音量、伴奏音量可分别由数码电位器调节，且不少于16档；</w:t>
            </w:r>
          </w:p>
          <w:p w14:paraId="239A94F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12、录放音：录音音符不少于6000个，时间不小于15分钟，断电后录音数据不丢失；</w:t>
            </w:r>
          </w:p>
          <w:p w14:paraId="07C39C5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13、和弦演示：任意和声演示，三个和弦记忆器，自动识别大三和弦、小三和弦、七和弦和小七和弦，可显示和弦名；</w:t>
            </w:r>
          </w:p>
          <w:p w14:paraId="7390875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14、配置USB接口，可播放MP3等格式的歌曲；</w:t>
            </w:r>
          </w:p>
          <w:p w14:paraId="270F869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15、具有蓝牙功能；适配手机等连接终端音频；</w:t>
            </w:r>
          </w:p>
          <w:p w14:paraId="2D58500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16、双电子教鞭，可临时升降半音，配置环绕立体声系统和双扬声器；</w:t>
            </w:r>
          </w:p>
          <w:p w14:paraId="4995D5B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17、标准MIDI输入、输出接口，麦克输入、音频输出接口；</w:t>
            </w:r>
          </w:p>
          <w:p w14:paraId="36CB1F0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18、配备专用红外遥控器，可遥控操作电教板，遥控距离不小于12米；</w:t>
            </w:r>
          </w:p>
          <w:p w14:paraId="6A6D880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19、最大输出功率：不小于10W；</w:t>
            </w:r>
          </w:p>
          <w:p w14:paraId="0CC23B5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20、音域：C～c4；音准：a1=440Hz误差≤±3音分；</w:t>
            </w:r>
          </w:p>
          <w:p w14:paraId="34313DB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21、超宽范围的工作电源:AC100～250V/50Hz；</w:t>
            </w:r>
          </w:p>
          <w:p w14:paraId="15DA54E9">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22、规格尺寸：不小于1800×950×60mm。                                                                                                                                                       23、支架采用人字结构，无缝钢管制作，倾斜度可调。</w:t>
            </w:r>
          </w:p>
          <w:p w14:paraId="731526E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24、钢管壁厚不小于1.0mm，支架净重不小于11.0Kg。</w:t>
            </w:r>
          </w:p>
          <w:p w14:paraId="1CD725D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25、外表采用静电喷塑工艺，通体黑色。</w:t>
            </w:r>
          </w:p>
          <w:p w14:paraId="10FE5B4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26、支架上面要有拉钩钩住电教板，防止电教板从支架上倾倒。</w:t>
            </w:r>
          </w:p>
          <w:p w14:paraId="1538589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27、配置长度不小于50cm宽度不小于7cm的粉笔槽。</w:t>
            </w:r>
          </w:p>
          <w:p w14:paraId="46215BB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28、底部装万向轮，方便移动。</w:t>
            </w:r>
          </w:p>
          <w:p w14:paraId="0BAB30A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29、紧固件圴为不锈钢材质。</w:t>
            </w:r>
          </w:p>
          <w:p w14:paraId="7A16C9C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30、每个支架为一个包装。</w:t>
            </w:r>
          </w:p>
        </w:tc>
        <w:tc>
          <w:tcPr>
            <w:tcW w:w="698" w:type="dxa"/>
            <w:shd w:val="clear" w:color="auto" w:fill="auto"/>
            <w:vAlign w:val="center"/>
          </w:tcPr>
          <w:p w14:paraId="7C85AE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台</w:t>
            </w:r>
          </w:p>
        </w:tc>
        <w:tc>
          <w:tcPr>
            <w:tcW w:w="843" w:type="dxa"/>
            <w:shd w:val="clear" w:color="auto" w:fill="auto"/>
            <w:vAlign w:val="center"/>
          </w:tcPr>
          <w:p w14:paraId="2991E9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3</w:t>
            </w:r>
          </w:p>
        </w:tc>
        <w:tc>
          <w:tcPr>
            <w:tcW w:w="698" w:type="dxa"/>
            <w:vAlign w:val="center"/>
          </w:tcPr>
          <w:p w14:paraId="7ABA933E">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5F4C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3F344501">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bookmarkStart w:id="112" w:name="_Hlk193134037"/>
            <w:bookmarkStart w:id="113" w:name="_Hlk193134101"/>
            <w:r>
              <w:rPr>
                <w:rFonts w:hint="eastAsia" w:asciiTheme="minorEastAsia" w:hAnsiTheme="minorEastAsia" w:cstheme="minorEastAsia"/>
                <w:kern w:val="0"/>
                <w:sz w:val="24"/>
                <w:szCs w:val="24"/>
              </w:rPr>
              <w:t>16</w:t>
            </w:r>
          </w:p>
        </w:tc>
        <w:tc>
          <w:tcPr>
            <w:tcW w:w="1400" w:type="dxa"/>
            <w:shd w:val="clear" w:color="auto" w:fill="auto"/>
            <w:vAlign w:val="center"/>
          </w:tcPr>
          <w:p w14:paraId="70D58540">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木地板</w:t>
            </w:r>
          </w:p>
        </w:tc>
        <w:tc>
          <w:tcPr>
            <w:tcW w:w="9766" w:type="dxa"/>
            <w:vAlign w:val="center"/>
          </w:tcPr>
          <w:p w14:paraId="3C05A45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一、材质说明：</w:t>
            </w:r>
          </w:p>
          <w:p w14:paraId="3D2EC36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1、油 漆：运动木地板专用uv 漆</w:t>
            </w:r>
          </w:p>
          <w:p w14:paraId="03E16EFB">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2、枫桦木 (学名：桦木)：厚度22mm×宽60~80mm×1810mm长.</w:t>
            </w:r>
          </w:p>
          <w:p w14:paraId="004F5A0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3、毛板：厚度12mm×2440mm长×1220mm宽（±1-2mm）</w:t>
            </w:r>
          </w:p>
          <w:p w14:paraId="2C30890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4、防潮膜：无纺布</w:t>
            </w:r>
          </w:p>
          <w:p w14:paraId="20DCA5B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5、单龙骨结构：厚度40×宽度50mm(松木实木±2mm)</w:t>
            </w:r>
          </w:p>
          <w:p w14:paraId="72A3C86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6、弹性胶垫：厚度15mm.</w:t>
            </w:r>
          </w:p>
          <w:p w14:paraId="1C0C0CD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二、结构</w:t>
            </w:r>
          </w:p>
          <w:p w14:paraId="0AC5191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1、油漆：采用运动木地板专用UV漆，在工厂生产线上标准化生产，油漆达到防滑、耐磨、抗划擦效果。</w:t>
            </w:r>
          </w:p>
          <w:p w14:paraId="1E93D96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2、面层：采用24/22/20mm厚优质枫木/枫桦/柞木，木板面色调一致、平整刨光，无刨痕、翘曲与鼓包。</w:t>
            </w:r>
          </w:p>
          <w:p w14:paraId="17E202A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3、龙骨：采用优质松木龙骨截面尺寸为40mm×50mm。环保性能好、弹性均匀、耐腐蚀能力强,龙骨做完防腐工序后出厂。</w:t>
            </w:r>
          </w:p>
          <w:p w14:paraId="45212D2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4、减震垫：采用运动木地板专用减震垫，减震垫厚度≥10mm，确保弹性稳定和减震效果。</w:t>
            </w:r>
          </w:p>
        </w:tc>
        <w:tc>
          <w:tcPr>
            <w:tcW w:w="698" w:type="dxa"/>
            <w:shd w:val="clear" w:color="auto" w:fill="auto"/>
            <w:vAlign w:val="center"/>
          </w:tcPr>
          <w:p w14:paraId="453738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w:t>
            </w:r>
          </w:p>
        </w:tc>
        <w:tc>
          <w:tcPr>
            <w:tcW w:w="843" w:type="dxa"/>
            <w:shd w:val="clear" w:color="auto" w:fill="auto"/>
            <w:vAlign w:val="center"/>
          </w:tcPr>
          <w:p w14:paraId="6E4A3F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255</w:t>
            </w:r>
          </w:p>
        </w:tc>
        <w:tc>
          <w:tcPr>
            <w:tcW w:w="698" w:type="dxa"/>
            <w:vAlign w:val="center"/>
          </w:tcPr>
          <w:p w14:paraId="66C70D74">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0218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32E30B0B">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17</w:t>
            </w:r>
          </w:p>
        </w:tc>
        <w:tc>
          <w:tcPr>
            <w:tcW w:w="1400" w:type="dxa"/>
            <w:shd w:val="clear" w:color="auto" w:fill="auto"/>
            <w:vAlign w:val="center"/>
          </w:tcPr>
          <w:p w14:paraId="3588A721">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地插</w:t>
            </w:r>
          </w:p>
        </w:tc>
        <w:tc>
          <w:tcPr>
            <w:tcW w:w="9766" w:type="dxa"/>
            <w:vAlign w:val="center"/>
          </w:tcPr>
          <w:p w14:paraId="16909B9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1、材质：铜包铝合金</w:t>
            </w:r>
          </w:p>
          <w:p w14:paraId="11E1773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2、孔数：5孔</w:t>
            </w:r>
          </w:p>
          <w:p w14:paraId="3A0796B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3、插口电源：10A</w:t>
            </w:r>
          </w:p>
        </w:tc>
        <w:tc>
          <w:tcPr>
            <w:tcW w:w="698" w:type="dxa"/>
            <w:shd w:val="clear" w:color="auto" w:fill="auto"/>
            <w:vAlign w:val="center"/>
          </w:tcPr>
          <w:p w14:paraId="3F32BA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个</w:t>
            </w:r>
          </w:p>
        </w:tc>
        <w:tc>
          <w:tcPr>
            <w:tcW w:w="843" w:type="dxa"/>
            <w:shd w:val="clear" w:color="auto" w:fill="auto"/>
            <w:vAlign w:val="center"/>
          </w:tcPr>
          <w:p w14:paraId="29E256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90</w:t>
            </w:r>
          </w:p>
        </w:tc>
        <w:tc>
          <w:tcPr>
            <w:tcW w:w="698" w:type="dxa"/>
            <w:vAlign w:val="center"/>
          </w:tcPr>
          <w:p w14:paraId="199D162F">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2605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464D0DA2">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18</w:t>
            </w:r>
          </w:p>
        </w:tc>
        <w:tc>
          <w:tcPr>
            <w:tcW w:w="1400" w:type="dxa"/>
            <w:shd w:val="clear" w:color="auto" w:fill="auto"/>
            <w:vAlign w:val="center"/>
          </w:tcPr>
          <w:p w14:paraId="65DC29C6">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成品镜子</w:t>
            </w:r>
          </w:p>
        </w:tc>
        <w:tc>
          <w:tcPr>
            <w:tcW w:w="9766" w:type="dxa"/>
            <w:vAlign w:val="center"/>
          </w:tcPr>
          <w:p w14:paraId="3D68BC0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定制</w:t>
            </w:r>
          </w:p>
          <w:p w14:paraId="36F028F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1、尺寸：宽150cm×200cm</w:t>
            </w:r>
          </w:p>
        </w:tc>
        <w:tc>
          <w:tcPr>
            <w:tcW w:w="698" w:type="dxa"/>
            <w:shd w:val="clear" w:color="auto" w:fill="auto"/>
            <w:vAlign w:val="center"/>
          </w:tcPr>
          <w:p w14:paraId="72532B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个</w:t>
            </w:r>
          </w:p>
        </w:tc>
        <w:tc>
          <w:tcPr>
            <w:tcW w:w="843" w:type="dxa"/>
            <w:shd w:val="clear" w:color="auto" w:fill="auto"/>
            <w:vAlign w:val="center"/>
          </w:tcPr>
          <w:p w14:paraId="47B31D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3</w:t>
            </w:r>
          </w:p>
        </w:tc>
        <w:tc>
          <w:tcPr>
            <w:tcW w:w="698" w:type="dxa"/>
            <w:vAlign w:val="center"/>
          </w:tcPr>
          <w:p w14:paraId="5F191121">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54F2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6521EF0E">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19</w:t>
            </w:r>
          </w:p>
        </w:tc>
        <w:tc>
          <w:tcPr>
            <w:tcW w:w="1400" w:type="dxa"/>
            <w:shd w:val="clear" w:color="auto" w:fill="auto"/>
            <w:vAlign w:val="center"/>
          </w:tcPr>
          <w:p w14:paraId="49FEEED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窗帘</w:t>
            </w:r>
          </w:p>
        </w:tc>
        <w:tc>
          <w:tcPr>
            <w:tcW w:w="9766" w:type="dxa"/>
            <w:vAlign w:val="center"/>
          </w:tcPr>
          <w:p w14:paraId="48245168">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1、透光度：全遮光</w:t>
            </w:r>
          </w:p>
          <w:p w14:paraId="081E0E9A">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2、面料防尘性：窗帘具备防尘功能</w:t>
            </w:r>
          </w:p>
          <w:p w14:paraId="11F69877">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3、面料防火性：防火</w:t>
            </w:r>
          </w:p>
          <w:p w14:paraId="0FE0EA4D">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4、面料抗UV性：是</w:t>
            </w:r>
          </w:p>
          <w:p w14:paraId="6A1C08DB">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5、无任何毒性,无刺激性气味，属绿色环保型产品比普通涤纶更柔软，色牢度更高。</w:t>
            </w:r>
          </w:p>
          <w:p w14:paraId="356937A4">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6、尺寸：</w:t>
            </w:r>
          </w:p>
          <w:p w14:paraId="417235CD">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6.1教室1尺寸为600cm×260cm(长×高)，</w:t>
            </w:r>
          </w:p>
          <w:p w14:paraId="65849DE3">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6.2教室2尺寸为1200cm×260cm(长×高)，</w:t>
            </w:r>
          </w:p>
          <w:p w14:paraId="45050E10">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6.3教室3尺寸为900cm×260cm(长×高)，</w:t>
            </w:r>
          </w:p>
        </w:tc>
        <w:tc>
          <w:tcPr>
            <w:tcW w:w="698" w:type="dxa"/>
            <w:shd w:val="clear" w:color="auto" w:fill="auto"/>
            <w:vAlign w:val="center"/>
          </w:tcPr>
          <w:p w14:paraId="574A0F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22C57E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3</w:t>
            </w:r>
          </w:p>
        </w:tc>
        <w:tc>
          <w:tcPr>
            <w:tcW w:w="698" w:type="dxa"/>
            <w:vAlign w:val="center"/>
          </w:tcPr>
          <w:p w14:paraId="6FADD9E9">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796D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6B12FCD4">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c>
          <w:tcPr>
            <w:tcW w:w="1400" w:type="dxa"/>
            <w:shd w:val="clear" w:color="auto" w:fill="auto"/>
            <w:vAlign w:val="center"/>
          </w:tcPr>
          <w:p w14:paraId="61230647">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空调</w:t>
            </w:r>
          </w:p>
        </w:tc>
        <w:tc>
          <w:tcPr>
            <w:tcW w:w="9766" w:type="dxa"/>
            <w:vAlign w:val="center"/>
          </w:tcPr>
          <w:p w14:paraId="515E54B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3匹，冷暖型</w:t>
            </w:r>
          </w:p>
        </w:tc>
        <w:tc>
          <w:tcPr>
            <w:tcW w:w="698" w:type="dxa"/>
            <w:shd w:val="clear" w:color="auto" w:fill="auto"/>
            <w:vAlign w:val="center"/>
          </w:tcPr>
          <w:p w14:paraId="7CB21E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台</w:t>
            </w:r>
          </w:p>
        </w:tc>
        <w:tc>
          <w:tcPr>
            <w:tcW w:w="843" w:type="dxa"/>
            <w:shd w:val="clear" w:color="auto" w:fill="auto"/>
            <w:vAlign w:val="center"/>
          </w:tcPr>
          <w:p w14:paraId="7B188F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6</w:t>
            </w:r>
          </w:p>
        </w:tc>
        <w:tc>
          <w:tcPr>
            <w:tcW w:w="698" w:type="dxa"/>
            <w:vAlign w:val="center"/>
          </w:tcPr>
          <w:p w14:paraId="513EFDC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45A8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6C0DF174">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21</w:t>
            </w:r>
          </w:p>
        </w:tc>
        <w:tc>
          <w:tcPr>
            <w:tcW w:w="1400" w:type="dxa"/>
            <w:shd w:val="clear" w:color="auto" w:fill="auto"/>
            <w:vAlign w:val="center"/>
          </w:tcPr>
          <w:p w14:paraId="1503808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cstheme="minorEastAsia"/>
                <w:color w:val="000000"/>
                <w:sz w:val="24"/>
                <w:szCs w:val="24"/>
              </w:rPr>
              <w:t>智慧黑板（多媒体）</w:t>
            </w:r>
          </w:p>
        </w:tc>
        <w:tc>
          <w:tcPr>
            <w:tcW w:w="9766" w:type="dxa"/>
            <w:vAlign w:val="center"/>
          </w:tcPr>
          <w:p w14:paraId="2293B90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一、屏体及触控技术要求：</w:t>
            </w:r>
          </w:p>
          <w:p w14:paraId="1E2BF2C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1.智能交互黑板显示尺寸≥86英寸，刷新率：60Hz，分辨率：3840*2160，在双系统下均支持30点触控。（需提供CMA或CNAS认证检测机构出具的检测报告并加盖公章）</w:t>
            </w:r>
          </w:p>
          <w:p w14:paraId="2829208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2.智能交互黑板表面玻璃采用高强度钢化玻璃，AG防眩光，厚度≤3.2mm，硬度≥莫氏7级，石墨硬度≥9H。</w:t>
            </w:r>
          </w:p>
          <w:p w14:paraId="3ACDAD4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3.为确保教学有更大的使用面积，智能交互黑板整体长度＞4400mm。</w:t>
            </w:r>
          </w:p>
          <w:p w14:paraId="69F3CC9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智能交互黑板需采用全贴合设计，屏体表面无可见金属条纹，以45度角观察屏幕，钢化玻璃和液晶显示层无间隙密贴合，无水雾/水汽，减少显示面板与玻璃间的偏光、散射，画面显示更加清晰通透；178度可见屏体图像。</w:t>
            </w:r>
          </w:p>
          <w:p w14:paraId="0AA5132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二、安全性要求：</w:t>
            </w:r>
          </w:p>
          <w:p w14:paraId="70C6606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1.智能交互黑板背光系统支持DC调光方式，多级亮度调节，拍摄时画面无条纹闪烁。光源稳定无频闪，防止眼睛疲劳。（提供CMA或CNAS认证检测机构出具的检测报告并加盖公章）</w:t>
            </w:r>
          </w:p>
          <w:p w14:paraId="0EFEF9D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2.满足《GB40070-2021儿童青少年学习用品近视防控卫生要求》。</w:t>
            </w:r>
          </w:p>
          <w:p w14:paraId="5FF32B6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3.智能交互黑板全通道支持纸质护眼模式，可实现画面纹理的实时调整；支持纸质纹理：素描纸、宣纸、水彩纸、牛皮纸、水纹纸；支持透明度调节与色温调节；显示画面各像素点灰度不规则，减少背景干扰。</w:t>
            </w:r>
          </w:p>
          <w:p w14:paraId="70E9195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4.智能交互黑板可进行硬件自检，包括对系统内存、存储、触控系统、光感系统、内置电脑、屏体信息、CPU型号、CPU使用率、设备名称等进行状态提示及故障提示。</w:t>
            </w:r>
          </w:p>
          <w:p w14:paraId="52B2A6E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5.依据GB21520-2023标准，能效等级达到1级。</w:t>
            </w:r>
          </w:p>
          <w:p w14:paraId="4D44786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6.智能交互黑板具备屏体温度实时监控、高温预警及断电保护等功能。(需提供CMA或CNAS认证检测机构出具的检测报告并加盖公章)</w:t>
            </w:r>
          </w:p>
          <w:p w14:paraId="229FAA4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三、教学要求：</w:t>
            </w:r>
          </w:p>
          <w:p w14:paraId="1177C7B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1.智能交互黑板前置面板至少具备1路HDMI接口（非转接），2路USB3.0接口，1路Type-C接口。（需提供CMA或CNAS认证检测机构出具的检测报告并加盖公章）</w:t>
            </w:r>
          </w:p>
          <w:p w14:paraId="17A3B95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2.为方便用户外接拓展设备，智能交互黑板后置标配非扩展HDMI输入≥2路，HDMI输出≥1路（支持安卓及其他通道信号输出）。（需提供CMA或CNAS认证检测机构出具的检测报告并加盖公章）</w:t>
            </w:r>
          </w:p>
          <w:p w14:paraId="032E81C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3.智能交互黑板具有笔槽结构，可放置书写笔、粉笔、水性笔等，笔槽具有漏灰孔设计。</w:t>
            </w:r>
          </w:p>
          <w:p w14:paraId="7E46074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4.为方便维护，智能交互黑板具有前掀式维护功能，主屏向上掀起角度≥30°。</w:t>
            </w:r>
          </w:p>
          <w:p w14:paraId="73B23C4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5.★智能交互黑板前置按键≥6个，可实现音量加减、窗口关闭、触控开关等功能，且按键均支持功能复用。（需提供CMA或CNAS认证检测机构出具的检测报告并加盖公章）</w:t>
            </w:r>
          </w:p>
          <w:p w14:paraId="513838C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6.★前置按键面板向上倾斜，与黑板正面形成夹角，符合人体工学，操作更加便捷。（需提供CMA或CNAS认证检测机构出具的检测报告并加盖公章）</w:t>
            </w:r>
          </w:p>
          <w:p w14:paraId="206B44B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7.智能交互黑板接口具备丝印中文标识。</w:t>
            </w:r>
          </w:p>
          <w:p w14:paraId="313662E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8.★智能交互黑板采用≥12核国产化驱动芯片，8核CPU、4核GPU。Android系统版本≥14.0，内存≥2G，存储≥8G。（需提供CMA或CNAS认证检测机构出具的检测报告并加盖公章）</w:t>
            </w:r>
          </w:p>
          <w:p w14:paraId="75E4151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9.采用针孔阵列发声设计，2.2声道，下边框具有6个发声单元，最大功率≥60W,扬声器在100%音量下，1米处声压级≥90dB，10米处声压级≥80dB；最低谐振频率不高于100Hz。（需提供CMA或CNAS认证检测机构出具的检测报告并加盖公章）</w:t>
            </w:r>
          </w:p>
          <w:p w14:paraId="42197D0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10.★内置一体化超高清5K摄像头，单颗摄像头有效像素＞1900W，可输出最大分辨率5100*3800的图片与视频，支持搭配AI软件实现自动点名点数功能，支持远程巡课功能，具备指示灯工作状态提示。（需提供CMA或CNAS认证检测机构出具的检测报告并加盖公章）</w:t>
            </w:r>
          </w:p>
          <w:p w14:paraId="1251F81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11.智能交互黑板内置8阵列麦克风，拾音角度≥180°，可用于对教室环境音频进行采集。</w:t>
            </w:r>
          </w:p>
          <w:p w14:paraId="477168F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12.★智能交互黑板具备前置电脑还原按键，无需专业人员即可轻松解决电脑系统故障，为避免误碰按键采用针孔式设计。(需提供CMA或CNAS认证检测机构出具的检测报告并加盖公章)（提供设备照片或者视频进行证明，视频一镜到底）</w:t>
            </w:r>
          </w:p>
          <w:p w14:paraId="2D445CB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13.只需一根网线连接，即可实现Windows和Andriod双系统同时上网。</w:t>
            </w:r>
          </w:p>
          <w:p w14:paraId="159DD88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14.具备无线（包括Wi-Fi和Bluetooth蓝牙）独立模块，支持单独拆卸。</w:t>
            </w:r>
          </w:p>
          <w:p w14:paraId="5A271FB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15.智能交互黑板内置Wi-Fi6无线网卡，支持2.4G、5G双频，支持无线设备同时连接数量≥20个。在Android连接Wi-Fi上网（STA）的情况下，Windows会同步连接网络。Android下支持自定义AP无线热点名称和密码，满足IEEE802.11a\b\g\n\ac\axwave2协议标准，实现无线信号的中继和桥接，扩大无线网络的覆盖范围，适应不同教学需求和环境。</w:t>
            </w:r>
          </w:p>
          <w:p w14:paraId="7759ABB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四、应用功能要求：</w:t>
            </w:r>
          </w:p>
          <w:p w14:paraId="32E765A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智能交互黑板左右两侧可提供与教学应用密切相关的快捷键，数量各不少于14个，并支持自定义设置：时间，显示模式，支持单侧显示、双侧同时显示，该快捷键至少具有关闭窗口、展台、桌面、多屏互动等教学常用按键。(需提供CMA或CNAS认证检测机构出具的检测报告并加盖公章)</w:t>
            </w:r>
          </w:p>
          <w:p w14:paraId="2D5DBD9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2.在任意信号源下，从屏幕下方任意位置向上滑动，可调用快捷设置菜单无需切换系统，可快速调节Windows和Android的设置，并支持拖拽到屏幕任意位置。</w:t>
            </w:r>
          </w:p>
          <w:p w14:paraId="5A295AD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3.智能交互黑板具有悬浮菜单，两指可快速移动悬浮菜单至按压位置，悬浮菜单可进行自定义分组，可添加AI互动软件等不少于30个应用。</w:t>
            </w:r>
          </w:p>
          <w:p w14:paraId="5E92FDD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4.支持智能手势，可通过多指长按屏幕实现悬浮窗快速调用、屏幕息屏或亮屏、屏幕下移、多任务等功能，方便教学操作。</w:t>
            </w:r>
          </w:p>
          <w:p w14:paraId="5A7EB8F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5.为节约用电，具备自动待机功能，在无操作或无信号输入时，自动进入待机节能状态，时间间隔可自定义。</w:t>
            </w:r>
          </w:p>
          <w:p w14:paraId="0CD1A6A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6.智能节电，可自定义设置，在无操作或无信号输入15分钟或更长时间,出现关机提示倒计时。</w:t>
            </w:r>
          </w:p>
          <w:p w14:paraId="605EA7E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7.智能交互黑板处于关机通电状态，外接电脑、机顶盒等设备接入交互黑板时，智能交互黑板可识别到外接设备的输入信号后自动开机。</w:t>
            </w:r>
          </w:p>
          <w:p w14:paraId="679BFBD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8.为方便管理，智能交互黑板具备锁屏功能，支持密码锁屏和二维码锁屏2种方式。</w:t>
            </w:r>
          </w:p>
          <w:p w14:paraId="04BBBE9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9.可自动识别新接入的信号源，并自动切换到该信号源显示，在断开连接后，弹出确认，10秒后返回之前信号源。</w:t>
            </w:r>
          </w:p>
          <w:p w14:paraId="7521C0A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五、侧板要求：</w:t>
            </w:r>
          </w:p>
          <w:p w14:paraId="1399075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支持磁性材质教具吸附</w:t>
            </w:r>
          </w:p>
          <w:p w14:paraId="1CF31DF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板面光泽度需符合GB28231-2011标准，不高于8光泽度以免产生眩光</w:t>
            </w:r>
          </w:p>
          <w:p w14:paraId="12A2877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板面粗糙度需符合GB28231-2011标准，位于1.6um-2.0um之间</w:t>
            </w:r>
          </w:p>
          <w:p w14:paraId="0D1C8D3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板面符合GB/T9286-2021标准，支持色漆和清漆漆膜的划格试验，脱漆面积不明显大于5%达到0级标准</w:t>
            </w:r>
          </w:p>
          <w:p w14:paraId="672387D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板面抗冲击性需符合GB/T1732-2020标准，漆膜耐冲击无裂纹现象。</w:t>
            </w:r>
          </w:p>
          <w:p w14:paraId="38389A4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六、内置电脑要求：</w:t>
            </w:r>
          </w:p>
          <w:p w14:paraId="793B93C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采用80pinIntel通用标准接口,即插即用，易于维护。</w:t>
            </w:r>
          </w:p>
          <w:p w14:paraId="25DC085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CPU采用Intel第11代或以上平台处理器酷睿I5处理器。</w:t>
            </w:r>
          </w:p>
          <w:p w14:paraId="16781CAE">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3.</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内存：≥8GDDR4。硬盘：≥256GSSD固态硬盘。</w:t>
            </w:r>
          </w:p>
          <w:p w14:paraId="3798462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接口：整机非外扩展具备5个USB接口；具有独立非外扩展的视频输出接口：≥1路HDMI等。</w:t>
            </w:r>
          </w:p>
          <w:p w14:paraId="5142B1A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七、配套教学软件：</w:t>
            </w:r>
          </w:p>
          <w:p w14:paraId="13FB1FD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w:t>
            </w:r>
            <w:r>
              <w:rPr>
                <w:rFonts w:hint="eastAsia" w:asciiTheme="minorEastAsia" w:hAnsiTheme="minorEastAsia" w:cstheme="minorEastAsia"/>
                <w:b/>
                <w:kern w:val="0"/>
                <w:sz w:val="24"/>
                <w:szCs w:val="24"/>
              </w:rPr>
              <w:tab/>
            </w:r>
            <w:r>
              <w:rPr>
                <w:rFonts w:hint="eastAsia" w:asciiTheme="minorEastAsia" w:hAnsiTheme="minorEastAsia" w:cstheme="minorEastAsia"/>
                <w:b/>
                <w:kern w:val="0"/>
                <w:sz w:val="24"/>
                <w:szCs w:val="24"/>
              </w:rPr>
              <w:t>支持多端程序入口,支持PC端、交互设备、移动端及网页端；且均可快速生成、播放课件。(所投智慧黑板配套软件生产厂家需通过SPCA软件能力成熟度模型认证并达到5级要求,提供相关证明文件加盖制造商公章)</w:t>
            </w:r>
          </w:p>
          <w:p w14:paraId="2DD6DC6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不少于三种登录方式，包含账号密码直接登录、微信扫码登录、书写登录等，支持免登录打开本地课件；其中书写登录可录入内容及笔迹，在任意设备进行书写登录软件；</w:t>
            </w:r>
          </w:p>
          <w:p w14:paraId="7D34649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教学软件至少包含，我的文件、回收站、我的班级、操作指南、个人设置等应用模块；</w:t>
            </w:r>
          </w:p>
          <w:p w14:paraId="0A7A1F4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回收站：教师可根据自身使用需求对已经创建好的课件进行修改或删除，删除后的课件可自行存放到回收站，默认情况下保存30天，30天后可自动清除；回收站内的课件支持单个课件，或者全部课件一键清除；</w:t>
            </w:r>
          </w:p>
          <w:p w14:paraId="2A3B9C2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（一）、备课模式</w:t>
            </w:r>
          </w:p>
          <w:p w14:paraId="7A92A54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老师个人账号无需完成特定任务，即可获取不少于100GB组织云端存储空间。</w:t>
            </w:r>
          </w:p>
          <w:p w14:paraId="542EB5B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提供预置的课件素材，允许老师在网页端、移动端、电脑端进行内容的选择与组合，快速生成课件并浏览，所有制作的课件均实时保存至云端，老师只需登录即可查看。</w:t>
            </w:r>
          </w:p>
          <w:p w14:paraId="148124C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支持老师根据教材章节目录、知识点选择对应的教学内容。老师仅需要按每个教学环节选择所需的教学模块即可快速生成一份课件。每个课时均提供教学内容模块，满足老师的个性化需求。</w:t>
            </w:r>
          </w:p>
          <w:p w14:paraId="6685C0C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部分教学模块提供教学设计和课件内容，部分课件提供课件批注，帮助老师更好地选择、运用课件内容。</w:t>
            </w:r>
          </w:p>
          <w:p w14:paraId="3469C94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支持教师对课件知识点进行评价。</w:t>
            </w:r>
          </w:p>
          <w:p w14:paraId="071EDE4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软件支持单独PPT导入功能，并支持导入进度条提示功能，可查看当前导入进度，上传完成后具有中文提示功能。</w:t>
            </w:r>
          </w:p>
          <w:p w14:paraId="58698DE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提供语文生字卡片、英语生词卡片、化学工具编辑器、数学工具编辑器、物理仿真实验、英文手写识别等学课工具。</w:t>
            </w:r>
          </w:p>
          <w:p w14:paraId="5522D4F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可插入表格，表格支持设置行列数，在表格上可以进行行列的添加、删除、合并和拆分，可编辑文字格式和表格格式。</w:t>
            </w:r>
          </w:p>
          <w:p w14:paraId="4652AC8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可插入思维导图，包括逻辑图和组织结构图，思维导图可添加同级节点、下级节点上级节点，可编辑文字格式和思维导图格式。</w:t>
            </w:r>
          </w:p>
          <w:p w14:paraId="077F576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（二）、授课模式</w:t>
            </w:r>
          </w:p>
          <w:p w14:paraId="4044FC1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授课模式默认进入绿板状态，支持显示文件、工具和应用的便捷入口，当开始批注且绿板上有笔迹时，自动隐藏便捷入口，清除笔迹时，自动恢复显示便捷入口；</w:t>
            </w:r>
          </w:p>
          <w:p w14:paraId="5DE9E41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支持单指长按屏幕任意空白区域呼出便捷入口（文件、工具、应用、一键收起）</w:t>
            </w:r>
          </w:p>
          <w:p w14:paraId="6B6DA38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提供便捷应用模块，包括展台教学、投屏、课堂评价、录制课程、看电视、AI课堂、开启直播、专递课堂、白板、网页、音视频媒体播放器，实现授课场景教学应用的便捷调用；并支持点击展示已打开的全部应用，实现一键应用切换；支持自定义添加/移除应用；</w:t>
            </w:r>
          </w:p>
          <w:p w14:paraId="17523CC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文件入口支持拉起其他网盘，包含4种常用的三方网盘入口</w:t>
            </w:r>
          </w:p>
          <w:p w14:paraId="71149A1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工具条支持上下移动，支持收起/展开，工具条支持批注、清页、文件、工具、应用切换、更多；工具子菜单支持屏幕拖动</w:t>
            </w:r>
          </w:p>
          <w:p w14:paraId="38A64AF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支持使用教辅工具，包含截图、时钟、放大镜、聚光灯、黑屏、随机数、骰子和大转盘8种；无论绿板状态、多文件全屏播放状态以及三方应用拉起状态均支持使用</w:t>
            </w:r>
          </w:p>
          <w:p w14:paraId="60B26BF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打开本机文件、U盘文件等本地文件；不需导入，可直接打开本地视频、音频、图片、离线教学课件、PPT&amp;PPTX、PDF文件、DOC&amp;DOCX文件及swf文件；支持不少于多个文件窗口同屏播放显示，满足多素材授课需求。</w:t>
            </w:r>
          </w:p>
          <w:p w14:paraId="3834E64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支持展示当前已打开的文件，点击实现文件窗口的便捷切换，支持文件一键全部最小化，支持双击标题栏实现文件全屏播放</w:t>
            </w:r>
          </w:p>
          <w:p w14:paraId="12B622D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文件窗口之间可进行独立批注；当起笔落点在绿板上时，识别为绿板批注，当起笔落点在小窗口时，识别为小窗口文件批注；文件大小窗口批注同步，可实现翻页跟随；绿板批注可以跟随绿板漫游；不少于8种笔型，6种颜色可选</w:t>
            </w:r>
          </w:p>
          <w:p w14:paraId="74587E3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10.</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支持展示当前打开的文件列表，按照打开的时间倒叙排序，点击可进行便捷进行文件切换</w:t>
            </w:r>
          </w:p>
          <w:p w14:paraId="6528609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支持免登录打开离线课件，直接进入课件全屏播放状态；登录后，可返回备课编辑状态。可通过点击或触摸屏幕实现动画的显示和翻页，还支持点击工具条进行课件的前翻页和后翻页；</w:t>
            </w:r>
          </w:p>
          <w:p w14:paraId="292AEE9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12.</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提供不少于22个蒙层模板，老师备课时选择合适的蒙层图片遮住元素，授课时用橡皮擦除蒙层，展现被蒙住的元素</w:t>
            </w:r>
          </w:p>
          <w:p w14:paraId="69DF140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（三）、电子黑板贴：</w:t>
            </w:r>
          </w:p>
          <w:p w14:paraId="42EDF1C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教室内智能交互设备上点击电子黑板贴，可实现屏幕截图，实时语文、数学、外语、值日、通知等学科分类任务预留，截图操作灵活方便，支持手势拖拽边框缩放大小，可选择区域显示范围。</w:t>
            </w:r>
          </w:p>
          <w:p w14:paraId="7018C48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智能交互设备上可查看/删除已留任务/通知内容，按学科语、数、外、通知等类别分别展示和查看，多图轮播，支持手势点击放大图片，手势滑动图片。</w:t>
            </w:r>
          </w:p>
          <w:p w14:paraId="504983B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电子黑板贴支持手势拖拽任意位置，拖拽至左侧或右侧后可自动收缩，不遮挡，再次点击可展开电子黑板贴，也可隐藏到工具栏。</w:t>
            </w:r>
          </w:p>
          <w:p w14:paraId="7B74F69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（四）、多屏互动</w:t>
            </w:r>
          </w:p>
          <w:p w14:paraId="133687C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支持手机端、电脑端与交互显示设备无线投屏，可将笔记本电脑、手机、平板等移动终端文件传至交互显示设备，方便教师在接收端打开并操作文件。</w:t>
            </w:r>
          </w:p>
          <w:p w14:paraId="28EF570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手机端向交互显示设备扫码连接时自动与交互显示设备网络匹配。</w:t>
            </w:r>
          </w:p>
          <w:p w14:paraId="773429D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手机端在移动授课时，浏览网页、播放在线音视频等不消耗手机网络流量。</w:t>
            </w:r>
          </w:p>
          <w:p w14:paraId="262D4F2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支持多张图片图片、音视频等影像上传，可对上传图片进行旋转双向批注/擦除功能。</w:t>
            </w:r>
          </w:p>
          <w:p w14:paraId="5C34E00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Android、iOS、Windows系统的投屏画面，可支持不少于5个终端设备同时投屏，并自动分屏排布，可将任意一路画面全屏播放，并支持所投视频音频同时播放；支持多手机同时连接交互显示设备，可设置指定设备为主控设备。</w:t>
            </w:r>
          </w:p>
          <w:p w14:paraId="10DC080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（五）、教学专属系统</w:t>
            </w:r>
          </w:p>
          <w:p w14:paraId="0DFCED7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提供符合教师授课场景的教学桌面教学系统。</w:t>
            </w:r>
          </w:p>
          <w:p w14:paraId="471BB73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将教师授课常用应用放至主页，单击即可打开应用，方便教师快捷调用软件；</w:t>
            </w:r>
          </w:p>
          <w:p w14:paraId="04E2D03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开机进入教学桌面，教师可按照自己使用习惯，更换常用软件、背景，形成教师的定制化桌面。可通过登录账户，在其他设备上同步展示教师定制化教学桌面；</w:t>
            </w:r>
          </w:p>
          <w:p w14:paraId="2846465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U盘插入时，无需额外操作自动弹出U盘文件夹，方便教师直接选取U盘中内容；</w:t>
            </w:r>
          </w:p>
          <w:p w14:paraId="4F86FA6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支持手势操作，左右滑动方便教师快速切换主页、应用页及Windows桌面，下滑屏幕下移，方便教师点击大屏上方功能按钮，上滑调起系统设置，方便教师快捷设置系统；</w:t>
            </w:r>
          </w:p>
          <w:p w14:paraId="645F63E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支持三种（账号、扫码、U盘-key）登录方式，支持应用登录联动功能，教师登录系统后打开其他应用，可进行快捷登录，无需再次输入账户密码；</w:t>
            </w:r>
          </w:p>
          <w:p w14:paraId="0BD0AD8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支持在任意界面下，通过前置物理按键返回教学桌面；同时支持一键调出多任务窗口，将所有运行中应用进行展示，方便教师快速切换应用；</w:t>
            </w:r>
          </w:p>
          <w:p w14:paraId="7249DA8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应用页分类显示应用，包含课件制作、教学工具、管理辅助、数字资源等，方便教师快速找到相应应用；</w:t>
            </w:r>
          </w:p>
          <w:p w14:paraId="275C3BE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（六）、设备管家</w:t>
            </w:r>
          </w:p>
          <w:p w14:paraId="4C16625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w:t>
            </w:r>
            <w:r>
              <w:rPr>
                <w:rFonts w:hint="eastAsia" w:asciiTheme="minorEastAsia" w:hAnsiTheme="minorEastAsia" w:cstheme="minorEastAsia"/>
                <w:b/>
                <w:kern w:val="0"/>
                <w:sz w:val="24"/>
                <w:szCs w:val="24"/>
              </w:rPr>
              <w:tab/>
            </w:r>
            <w:r>
              <w:rPr>
                <w:rFonts w:hint="eastAsia" w:asciiTheme="minorEastAsia" w:hAnsiTheme="minorEastAsia" w:cstheme="minorEastAsia"/>
                <w:b/>
                <w:kern w:val="0"/>
                <w:sz w:val="24"/>
                <w:szCs w:val="24"/>
              </w:rPr>
              <w:t>部署简单，设备连通互联网，输入对应学校编码，自动识别终端设备类型，完成部署；(所投智慧黑板制造商通过ITSS信息技术服务标准运行维护三级及以上证书,提供相关证明文件加盖制造商公章)</w:t>
            </w:r>
          </w:p>
          <w:p w14:paraId="0BC77E1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系统依据学校名称自动生成学校编码，支持扫描二维码查询学校编码；</w:t>
            </w:r>
          </w:p>
          <w:p w14:paraId="2B8BD08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窗口支持最小化隐藏到系统托盘，不影响教师日常使用；</w:t>
            </w:r>
          </w:p>
          <w:p w14:paraId="7EC1E2F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一键查看设备连接信息，包含Windows/office版本，硬盘、CPU、、内存、网络状态、固件版本号，</w:t>
            </w:r>
          </w:p>
          <w:p w14:paraId="731340F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系统还原、备份：一键备份数据并可系统还原至最新备份系统，解决系统异常等问题，如无最新备份系统，备份还原状态需要与硬件一键备份还原保持一致；</w:t>
            </w:r>
          </w:p>
          <w:p w14:paraId="5F1EA3A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弹窗拦截：提供广告拦截，对广告弹窗实现一键拦截，默认直接开启拦截；</w:t>
            </w:r>
          </w:p>
        </w:tc>
        <w:tc>
          <w:tcPr>
            <w:tcW w:w="698" w:type="dxa"/>
            <w:shd w:val="clear" w:color="auto" w:fill="auto"/>
            <w:vAlign w:val="center"/>
          </w:tcPr>
          <w:p w14:paraId="0FA462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台</w:t>
            </w:r>
          </w:p>
        </w:tc>
        <w:tc>
          <w:tcPr>
            <w:tcW w:w="843" w:type="dxa"/>
            <w:shd w:val="clear" w:color="auto" w:fill="auto"/>
            <w:vAlign w:val="center"/>
          </w:tcPr>
          <w:p w14:paraId="75EE5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3</w:t>
            </w:r>
          </w:p>
        </w:tc>
        <w:tc>
          <w:tcPr>
            <w:tcW w:w="698" w:type="dxa"/>
            <w:vAlign w:val="center"/>
          </w:tcPr>
          <w:p w14:paraId="76E3AE40">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7AC7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4C0BB95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22</w:t>
            </w:r>
          </w:p>
        </w:tc>
        <w:tc>
          <w:tcPr>
            <w:tcW w:w="1400" w:type="dxa"/>
            <w:shd w:val="clear" w:color="auto" w:fill="auto"/>
            <w:vAlign w:val="center"/>
          </w:tcPr>
          <w:p w14:paraId="2A53F8D9">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教室专用护眼灯</w:t>
            </w:r>
          </w:p>
        </w:tc>
        <w:tc>
          <w:tcPr>
            <w:tcW w:w="9766" w:type="dxa"/>
            <w:vAlign w:val="center"/>
          </w:tcPr>
          <w:p w14:paraId="3C4F410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1、功率：36W</w:t>
            </w:r>
          </w:p>
          <w:p w14:paraId="6164220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2、光通量：2880lm</w:t>
            </w:r>
          </w:p>
          <w:p w14:paraId="5456AB2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3、光效：80lm/W</w:t>
            </w:r>
          </w:p>
          <w:p w14:paraId="509901A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4、色温(CCT)：5700K</w:t>
            </w:r>
          </w:p>
          <w:p w14:paraId="253236E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5、显色指数(Ra)：Ra&gt;80</w:t>
            </w:r>
          </w:p>
          <w:p w14:paraId="43CFBDC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6、工作电压：AC176-264V;50Hz</w:t>
            </w:r>
          </w:p>
          <w:p w14:paraId="694F924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7、频闪：无频闪</w:t>
            </w:r>
          </w:p>
          <w:p w14:paraId="039B08D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8、功率因数(PF)：&gt;0.9</w:t>
            </w:r>
          </w:p>
          <w:p w14:paraId="708E4DB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9、防触电等级：ClassI</w:t>
            </w:r>
          </w:p>
          <w:p w14:paraId="2DD965E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10、防护等级：IP20</w:t>
            </w:r>
          </w:p>
          <w:p w14:paraId="507F34A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11、规格尺寸(长x宽x高)：295x1195x35mm</w:t>
            </w:r>
          </w:p>
          <w:p w14:paraId="6550059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12、灯具寿命：30000hrs(@LN70/B50)</w:t>
            </w:r>
          </w:p>
          <w:p w14:paraId="6A1C866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12、工作环境(Ta)：-20℃-40℃</w:t>
            </w:r>
          </w:p>
          <w:p w14:paraId="281974D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13、推荐安装高度：2.5-4.5m</w:t>
            </w:r>
          </w:p>
        </w:tc>
        <w:tc>
          <w:tcPr>
            <w:tcW w:w="698" w:type="dxa"/>
            <w:shd w:val="clear" w:color="auto" w:fill="auto"/>
            <w:vAlign w:val="center"/>
          </w:tcPr>
          <w:p w14:paraId="460162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个</w:t>
            </w:r>
          </w:p>
        </w:tc>
        <w:tc>
          <w:tcPr>
            <w:tcW w:w="843" w:type="dxa"/>
            <w:shd w:val="clear" w:color="auto" w:fill="auto"/>
            <w:vAlign w:val="center"/>
          </w:tcPr>
          <w:p w14:paraId="275CF8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30</w:t>
            </w:r>
          </w:p>
        </w:tc>
        <w:tc>
          <w:tcPr>
            <w:tcW w:w="698" w:type="dxa"/>
            <w:vAlign w:val="center"/>
          </w:tcPr>
          <w:p w14:paraId="79B226F2">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0D81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0BBC8CC6">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23</w:t>
            </w:r>
          </w:p>
        </w:tc>
        <w:tc>
          <w:tcPr>
            <w:tcW w:w="1400" w:type="dxa"/>
            <w:shd w:val="clear" w:color="auto" w:fill="auto"/>
            <w:vAlign w:val="center"/>
          </w:tcPr>
          <w:p w14:paraId="6BF98CED">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教室专用黑板灯</w:t>
            </w:r>
          </w:p>
        </w:tc>
        <w:tc>
          <w:tcPr>
            <w:tcW w:w="9766" w:type="dxa"/>
            <w:vAlign w:val="center"/>
          </w:tcPr>
          <w:p w14:paraId="2F3956E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1、功率：36W</w:t>
            </w:r>
          </w:p>
          <w:p w14:paraId="645789E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2、光通量：3600lm</w:t>
            </w:r>
          </w:p>
          <w:p w14:paraId="7A873F2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3、光效：100lm/w</w:t>
            </w:r>
          </w:p>
          <w:p w14:paraId="746628B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4、色温：4000K/5000K</w:t>
            </w:r>
          </w:p>
        </w:tc>
        <w:tc>
          <w:tcPr>
            <w:tcW w:w="698" w:type="dxa"/>
            <w:shd w:val="clear" w:color="auto" w:fill="auto"/>
            <w:vAlign w:val="center"/>
          </w:tcPr>
          <w:p w14:paraId="0AB58A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个</w:t>
            </w:r>
          </w:p>
        </w:tc>
        <w:tc>
          <w:tcPr>
            <w:tcW w:w="843" w:type="dxa"/>
            <w:shd w:val="clear" w:color="auto" w:fill="auto"/>
            <w:vAlign w:val="center"/>
          </w:tcPr>
          <w:p w14:paraId="24E22B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6</w:t>
            </w:r>
          </w:p>
        </w:tc>
        <w:tc>
          <w:tcPr>
            <w:tcW w:w="698" w:type="dxa"/>
            <w:vAlign w:val="center"/>
          </w:tcPr>
          <w:p w14:paraId="637195B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58A0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74385EFF">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24</w:t>
            </w:r>
          </w:p>
        </w:tc>
        <w:tc>
          <w:tcPr>
            <w:tcW w:w="1400" w:type="dxa"/>
            <w:shd w:val="clear" w:color="auto" w:fill="auto"/>
            <w:vAlign w:val="center"/>
          </w:tcPr>
          <w:p w14:paraId="393ED5B2">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监控设备</w:t>
            </w:r>
          </w:p>
        </w:tc>
        <w:tc>
          <w:tcPr>
            <w:tcW w:w="9766" w:type="dxa"/>
            <w:vAlign w:val="center"/>
          </w:tcPr>
          <w:p w14:paraId="4296146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1、500万云台通道+500万固定通道，双路同步，分区看护</w:t>
            </w:r>
          </w:p>
          <w:p w14:paraId="481DC4A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2、云台通道可视角度360°，固定通道可视角度130°</w:t>
            </w:r>
          </w:p>
          <w:p w14:paraId="5744057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3、支持WiFi连接，灵活布线更方便</w:t>
            </w:r>
          </w:p>
          <w:p w14:paraId="0A3F65A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4、双光全彩，支持红外夜视、全彩夜视和移动侦测全彩模式</w:t>
            </w:r>
          </w:p>
          <w:p w14:paraId="28A9C0B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5、支持双向语音电话，沟通无障碍</w:t>
            </w:r>
          </w:p>
          <w:p w14:paraId="4359B2E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6、最高支持512GBMicroSD卡存储</w:t>
            </w:r>
          </w:p>
          <w:p w14:paraId="6A248DA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7、支持哭声检测、萌宠检测、语音闹钟等实用智能功能</w:t>
            </w:r>
          </w:p>
          <w:p w14:paraId="0E9ADDA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8、支持APP远程监控，扫码一键添加</w:t>
            </w:r>
          </w:p>
        </w:tc>
        <w:tc>
          <w:tcPr>
            <w:tcW w:w="698" w:type="dxa"/>
            <w:shd w:val="clear" w:color="auto" w:fill="auto"/>
            <w:vAlign w:val="center"/>
          </w:tcPr>
          <w:p w14:paraId="3E5896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1FCC1B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3</w:t>
            </w:r>
          </w:p>
        </w:tc>
        <w:tc>
          <w:tcPr>
            <w:tcW w:w="698" w:type="dxa"/>
            <w:vAlign w:val="center"/>
          </w:tcPr>
          <w:p w14:paraId="75F350EB">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56AB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5CE60D4C">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25</w:t>
            </w:r>
          </w:p>
        </w:tc>
        <w:tc>
          <w:tcPr>
            <w:tcW w:w="1400" w:type="dxa"/>
            <w:shd w:val="clear" w:color="auto" w:fill="auto"/>
            <w:vAlign w:val="center"/>
          </w:tcPr>
          <w:p w14:paraId="39097319">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路由器</w:t>
            </w:r>
          </w:p>
        </w:tc>
        <w:tc>
          <w:tcPr>
            <w:tcW w:w="9766" w:type="dxa"/>
            <w:vAlign w:val="center"/>
          </w:tcPr>
          <w:p w14:paraId="2289932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通用，主要用于教室连接监控设备使用。</w:t>
            </w:r>
          </w:p>
        </w:tc>
        <w:tc>
          <w:tcPr>
            <w:tcW w:w="698" w:type="dxa"/>
            <w:shd w:val="clear" w:color="auto" w:fill="auto"/>
            <w:vAlign w:val="center"/>
          </w:tcPr>
          <w:p w14:paraId="62A146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个</w:t>
            </w:r>
          </w:p>
        </w:tc>
        <w:tc>
          <w:tcPr>
            <w:tcW w:w="843" w:type="dxa"/>
            <w:shd w:val="clear" w:color="auto" w:fill="auto"/>
            <w:vAlign w:val="center"/>
          </w:tcPr>
          <w:p w14:paraId="275608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3</w:t>
            </w:r>
          </w:p>
        </w:tc>
        <w:tc>
          <w:tcPr>
            <w:tcW w:w="698" w:type="dxa"/>
            <w:vAlign w:val="center"/>
          </w:tcPr>
          <w:p w14:paraId="0295E8C8">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65CA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2F5EC6EF">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26</w:t>
            </w:r>
          </w:p>
        </w:tc>
        <w:tc>
          <w:tcPr>
            <w:tcW w:w="1400" w:type="dxa"/>
            <w:shd w:val="clear" w:color="auto" w:fill="auto"/>
            <w:vAlign w:val="center"/>
          </w:tcPr>
          <w:p w14:paraId="4B34B506">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机柜</w:t>
            </w:r>
          </w:p>
        </w:tc>
        <w:tc>
          <w:tcPr>
            <w:tcW w:w="9766" w:type="dxa"/>
            <w:vAlign w:val="center"/>
          </w:tcPr>
          <w:p w14:paraId="695A37D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22U国标机柜</w:t>
            </w:r>
          </w:p>
        </w:tc>
        <w:tc>
          <w:tcPr>
            <w:tcW w:w="698" w:type="dxa"/>
            <w:shd w:val="clear" w:color="auto" w:fill="auto"/>
            <w:vAlign w:val="center"/>
          </w:tcPr>
          <w:p w14:paraId="2FF5CE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5FCCD3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3</w:t>
            </w:r>
          </w:p>
        </w:tc>
        <w:tc>
          <w:tcPr>
            <w:tcW w:w="698" w:type="dxa"/>
            <w:vAlign w:val="center"/>
          </w:tcPr>
          <w:p w14:paraId="7AC15501">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bookmarkEnd w:id="112"/>
      <w:bookmarkEnd w:id="113"/>
      <w:tr w14:paraId="0137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673FFFA7">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27</w:t>
            </w:r>
          </w:p>
        </w:tc>
        <w:tc>
          <w:tcPr>
            <w:tcW w:w="1400" w:type="dxa"/>
            <w:shd w:val="clear" w:color="auto" w:fill="auto"/>
            <w:vAlign w:val="center"/>
          </w:tcPr>
          <w:p w14:paraId="14DBB3CB">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多媒体音箱系统</w:t>
            </w:r>
          </w:p>
        </w:tc>
        <w:tc>
          <w:tcPr>
            <w:tcW w:w="9766" w:type="dxa"/>
            <w:vAlign w:val="center"/>
          </w:tcPr>
          <w:p w14:paraId="295810A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含壁挂式音箱一套、功放、无线收发器、无线麦克风、领夹麦克风。</w:t>
            </w:r>
          </w:p>
        </w:tc>
        <w:tc>
          <w:tcPr>
            <w:tcW w:w="698" w:type="dxa"/>
            <w:shd w:val="clear" w:color="auto" w:fill="auto"/>
            <w:vAlign w:val="center"/>
          </w:tcPr>
          <w:p w14:paraId="193A43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129202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3</w:t>
            </w:r>
          </w:p>
        </w:tc>
        <w:tc>
          <w:tcPr>
            <w:tcW w:w="698" w:type="dxa"/>
            <w:vAlign w:val="center"/>
          </w:tcPr>
          <w:p w14:paraId="4341C790">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658D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70419657">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28</w:t>
            </w:r>
          </w:p>
        </w:tc>
        <w:tc>
          <w:tcPr>
            <w:tcW w:w="1400" w:type="dxa"/>
            <w:shd w:val="clear" w:color="auto" w:fill="auto"/>
            <w:vAlign w:val="center"/>
          </w:tcPr>
          <w:p w14:paraId="075B9405">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教学终端</w:t>
            </w:r>
          </w:p>
        </w:tc>
        <w:tc>
          <w:tcPr>
            <w:tcW w:w="9766" w:type="dxa"/>
            <w:vAlign w:val="center"/>
          </w:tcPr>
          <w:p w14:paraId="735C238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1、CPU：≥intel第13代i5-13500处理器</w:t>
            </w:r>
          </w:p>
          <w:p w14:paraId="51BDC0B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2、芯片组：intelH770系列或以上</w:t>
            </w:r>
          </w:p>
          <w:p w14:paraId="2D378E5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3、内存：≥8GDDR43200内存，最大支持2个内存插槽</w:t>
            </w:r>
          </w:p>
          <w:p w14:paraId="51A688A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4、显卡：2GB显卡</w:t>
            </w:r>
          </w:p>
          <w:p w14:paraId="26154D2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5、接口及扩展：主板原生USB接口≥10个；VGA接口、DP接口、RJ-45；至少1个PCIeX16、1个PCIeX1、1个PCI、1个PCIeX4、2个M.2扩展插槽。</w:t>
            </w:r>
          </w:p>
          <w:p w14:paraId="670639F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6、硬盘：512GBM.SSSD固态硬盘</w:t>
            </w:r>
          </w:p>
          <w:p w14:paraId="354A595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7、网卡：10/100/1000千兆以太网接口</w:t>
            </w:r>
          </w:p>
          <w:p w14:paraId="61B57CC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8、机箱：机箱扩展、散热性好，体积不小于15L，内置扩音器。</w:t>
            </w:r>
          </w:p>
          <w:p w14:paraId="7F113D7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9、显示器：≥21.5寸宽屏LED背光液晶低蓝光显示器，</w:t>
            </w:r>
          </w:p>
          <w:p w14:paraId="3C08DF6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10、音频：集成</w:t>
            </w:r>
          </w:p>
          <w:p w14:paraId="47FE492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11、键盘鼠标：同品牌USB抗菌键盘及USB抗菌鼠标，需出具检测报告</w:t>
            </w:r>
          </w:p>
          <w:p w14:paraId="3CB08155">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12、操作系统：出场预装正版Windows11中文操作系统</w:t>
            </w:r>
          </w:p>
          <w:p w14:paraId="5BD8E04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13、电源:≤180W节能高效电源</w:t>
            </w:r>
          </w:p>
          <w:p w14:paraId="1993D23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14、★质量品质:节能产品认证；具备国家电子计算机质量监督检验中心出具的MTBF值不低于105万小时的认证证书；所投计算机产品数据接口性能通过国家权威检测机构测试、电源开关节能典型效率不低于90.9%，提供证明材料。</w:t>
            </w:r>
          </w:p>
          <w:p w14:paraId="251DFCF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15、★服务：主机及显示器三年保修及上门服务，厂商服务体系通过4PS认证及CCCS认证证明，提供证明材料。</w:t>
            </w:r>
          </w:p>
        </w:tc>
        <w:tc>
          <w:tcPr>
            <w:tcW w:w="698" w:type="dxa"/>
            <w:shd w:val="clear" w:color="auto" w:fill="auto"/>
            <w:vAlign w:val="center"/>
          </w:tcPr>
          <w:p w14:paraId="13D6B4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台</w:t>
            </w:r>
          </w:p>
        </w:tc>
        <w:tc>
          <w:tcPr>
            <w:tcW w:w="843" w:type="dxa"/>
            <w:shd w:val="clear" w:color="auto" w:fill="auto"/>
            <w:vAlign w:val="center"/>
          </w:tcPr>
          <w:p w14:paraId="13F673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3</w:t>
            </w:r>
          </w:p>
        </w:tc>
        <w:tc>
          <w:tcPr>
            <w:tcW w:w="698" w:type="dxa"/>
            <w:vAlign w:val="center"/>
          </w:tcPr>
          <w:p w14:paraId="2141259C">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7F8E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55D68057">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29</w:t>
            </w:r>
          </w:p>
        </w:tc>
        <w:tc>
          <w:tcPr>
            <w:tcW w:w="1400" w:type="dxa"/>
            <w:shd w:val="clear" w:color="auto" w:fill="auto"/>
            <w:vAlign w:val="center"/>
          </w:tcPr>
          <w:p w14:paraId="33E2CA9F">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教学专用桌</w:t>
            </w:r>
          </w:p>
        </w:tc>
        <w:tc>
          <w:tcPr>
            <w:tcW w:w="9766" w:type="dxa"/>
            <w:vAlign w:val="center"/>
          </w:tcPr>
          <w:p w14:paraId="0A232AD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1、办公桌规格：1200*600*750mm</w:t>
            </w:r>
          </w:p>
          <w:p w14:paraId="687017A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桌面基材采用25和16mm厚度E1级高密度三聚氰胺饰面实木颗粒板材，环保三聚氰胺贴面；要求板面光滑平整，防划伤、高强耐磨,集中耐高温200℃。板材截面采用同色PVC封边条经全自动封边机高温粘贴；修边光滑平整，无棱角，且经过抛光处理。</w:t>
            </w:r>
          </w:p>
          <w:p w14:paraId="1795502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2、椅子规格：金属弓形椅;椅座、椅背采用进口网面。符合人体工程学原理设计，坐感舒适，最大承受200KG，优质不锈钢弓形框架.</w:t>
            </w:r>
          </w:p>
        </w:tc>
        <w:tc>
          <w:tcPr>
            <w:tcW w:w="698" w:type="dxa"/>
            <w:shd w:val="clear" w:color="auto" w:fill="auto"/>
            <w:vAlign w:val="center"/>
          </w:tcPr>
          <w:p w14:paraId="389B96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张</w:t>
            </w:r>
          </w:p>
        </w:tc>
        <w:tc>
          <w:tcPr>
            <w:tcW w:w="843" w:type="dxa"/>
            <w:shd w:val="clear" w:color="auto" w:fill="auto"/>
            <w:vAlign w:val="center"/>
          </w:tcPr>
          <w:p w14:paraId="1CAB08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3</w:t>
            </w:r>
          </w:p>
        </w:tc>
        <w:tc>
          <w:tcPr>
            <w:tcW w:w="698" w:type="dxa"/>
            <w:vAlign w:val="center"/>
          </w:tcPr>
          <w:p w14:paraId="70FB0B00">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3A87C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1F63A379">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30</w:t>
            </w:r>
          </w:p>
        </w:tc>
        <w:tc>
          <w:tcPr>
            <w:tcW w:w="1400" w:type="dxa"/>
            <w:shd w:val="clear" w:color="auto" w:fill="auto"/>
            <w:vAlign w:val="center"/>
          </w:tcPr>
          <w:p w14:paraId="0FC9414E">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辅助设备材料</w:t>
            </w:r>
          </w:p>
        </w:tc>
        <w:tc>
          <w:tcPr>
            <w:tcW w:w="9766" w:type="dxa"/>
            <w:vAlign w:val="center"/>
          </w:tcPr>
          <w:p w14:paraId="1FB86AE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1、电源线1：成品排插，长度2.5米</w:t>
            </w:r>
          </w:p>
          <w:p w14:paraId="3C6998C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2、电源线2：2.5平方，零火地线各80米</w:t>
            </w:r>
          </w:p>
          <w:p w14:paraId="5025900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3、电源线3：1.5平方，零火地线各50米</w:t>
            </w:r>
          </w:p>
          <w:p w14:paraId="420BC41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3、地槽：不锈钢，尺寸根据实际用为准。</w:t>
            </w:r>
          </w:p>
          <w:p w14:paraId="055AC10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4、线槽/线管，根据实际施工需求计量。</w:t>
            </w:r>
          </w:p>
          <w:p w14:paraId="46FA5AE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5、音频线：音频专用1卷</w:t>
            </w:r>
          </w:p>
          <w:p w14:paraId="2C9879A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6、开关模块</w:t>
            </w:r>
          </w:p>
          <w:p w14:paraId="326DB7A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7、空调管加长：根据实际安装尺寸计量</w:t>
            </w:r>
          </w:p>
        </w:tc>
        <w:tc>
          <w:tcPr>
            <w:tcW w:w="698" w:type="dxa"/>
            <w:shd w:val="clear" w:color="auto" w:fill="auto"/>
            <w:vAlign w:val="center"/>
          </w:tcPr>
          <w:p w14:paraId="4AD960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批</w:t>
            </w:r>
          </w:p>
        </w:tc>
        <w:tc>
          <w:tcPr>
            <w:tcW w:w="843" w:type="dxa"/>
            <w:shd w:val="clear" w:color="auto" w:fill="auto"/>
            <w:vAlign w:val="center"/>
          </w:tcPr>
          <w:p w14:paraId="68018F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3</w:t>
            </w:r>
          </w:p>
        </w:tc>
        <w:tc>
          <w:tcPr>
            <w:tcW w:w="698" w:type="dxa"/>
            <w:vAlign w:val="center"/>
          </w:tcPr>
          <w:p w14:paraId="010BBA7E">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5B28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2706D37B">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31</w:t>
            </w:r>
          </w:p>
        </w:tc>
        <w:tc>
          <w:tcPr>
            <w:tcW w:w="1400" w:type="dxa"/>
            <w:shd w:val="clear" w:color="auto" w:fill="auto"/>
            <w:vAlign w:val="center"/>
          </w:tcPr>
          <w:p w14:paraId="599B0C02">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教室文化建设</w:t>
            </w:r>
          </w:p>
        </w:tc>
        <w:tc>
          <w:tcPr>
            <w:tcW w:w="9766" w:type="dxa"/>
            <w:vAlign w:val="center"/>
          </w:tcPr>
          <w:p w14:paraId="47E13721">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教室文化建设包含以下内容</w:t>
            </w:r>
          </w:p>
          <w:p w14:paraId="30F4D680">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共计245平方</w:t>
            </w:r>
          </w:p>
          <w:p w14:paraId="39601D26">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一、室内顶部处理：共计245个平方</w:t>
            </w:r>
          </w:p>
          <w:p w14:paraId="7059B962">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1、保证通风采光，</w:t>
            </w:r>
          </w:p>
          <w:p w14:paraId="29A45C3D">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2、需采用不燃材料（如石膏板、金属板、矿棉板等材质）吊顶，</w:t>
            </w:r>
          </w:p>
          <w:p w14:paraId="57C4B615">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3、防霉、防潮、易清洁，搭配均匀照明灯，确保安全舒适的教学环境。</w:t>
            </w:r>
          </w:p>
          <w:p w14:paraId="097FEEFE">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二、墙面优化：共计236个平方</w:t>
            </w:r>
          </w:p>
          <w:p w14:paraId="6A44D31E">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1、执行标准：</w:t>
            </w:r>
          </w:p>
          <w:p w14:paraId="4E5B0F0D">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1.1、（合成树脂乳液内墙涂料）JG/T9756-2018</w:t>
            </w:r>
          </w:p>
          <w:p w14:paraId="481B0BCD">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1.2、（室内装饰装修材料内墙涂料中有害物质限量）GB18582</w:t>
            </w:r>
          </w:p>
          <w:p w14:paraId="11915326">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2、材料要求：要求所用材料为墙面环保乳胶漆，</w:t>
            </w:r>
          </w:p>
          <w:p w14:paraId="596D1CE7">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2.1、在容器中的状态：无硬块，搅拌后呈均匀状</w:t>
            </w:r>
          </w:p>
          <w:p w14:paraId="4D5D4EFA">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2.2、施工性：涂刷二道无障碍</w:t>
            </w:r>
          </w:p>
          <w:p w14:paraId="374D853D">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2.3、温度温度性：不变质</w:t>
            </w:r>
          </w:p>
          <w:p w14:paraId="7592422E">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2.4、低温成膜型：无异常</w:t>
            </w:r>
          </w:p>
          <w:p w14:paraId="33876D86">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2.5、涂抹外观：正常</w:t>
            </w:r>
          </w:p>
          <w:p w14:paraId="06BE8597">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2.6、干燥时间（表干）/h≤：2</w:t>
            </w:r>
          </w:p>
          <w:p w14:paraId="0A2F64A2">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2.7、耐碱性（24h）：无异常</w:t>
            </w:r>
          </w:p>
          <w:p w14:paraId="79F6A174">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2.8、初期干燥抗裂性：无裂纹</w:t>
            </w:r>
          </w:p>
          <w:p w14:paraId="1F41A56C">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三、电路优化：零线80米，火线80米，地线80米</w:t>
            </w:r>
          </w:p>
          <w:p w14:paraId="00EA97DF">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1，所有线路必须穿阻燃PVC管或金属线槽（禁止裸露明线）</w:t>
            </w:r>
          </w:p>
          <w:p w14:paraId="3A298B39">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2，配电箱需设漏电保护器，每回路负载≤80%额定功率</w:t>
            </w:r>
          </w:p>
          <w:p w14:paraId="695EBAF2">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四、原有设备的拆除</w:t>
            </w:r>
          </w:p>
          <w:p w14:paraId="0B9333F8">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1电路线：零火地线各80米，</w:t>
            </w:r>
          </w:p>
          <w:p w14:paraId="6FF86C47">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2灯具：24个灯，</w:t>
            </w:r>
          </w:p>
          <w:p w14:paraId="3FDCFA71">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3窗帘：85个平方，</w:t>
            </w:r>
          </w:p>
          <w:p w14:paraId="5B7718BF">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eastAsiaTheme="minorEastAsia"/>
                <w:sz w:val="24"/>
                <w:szCs w:val="24"/>
                <w:lang w:eastAsia="zh-CN"/>
              </w:rPr>
            </w:pPr>
            <w:r>
              <w:rPr>
                <w:rFonts w:hint="eastAsia"/>
                <w:sz w:val="24"/>
                <w:szCs w:val="24"/>
              </w:rPr>
              <w:t>4门：一个房间两扇，</w:t>
            </w:r>
          </w:p>
          <w:p w14:paraId="2EA9A77C">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6黑板：4.8个平方</w:t>
            </w:r>
          </w:p>
          <w:p w14:paraId="2658B832">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7多媒体设备：音响、投影设备</w:t>
            </w:r>
          </w:p>
          <w:p w14:paraId="48EA1C09">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8、需组织专业团队进行现场勘查，识别高风险设备（如高压配电箱、含汞灯具）</w:t>
            </w:r>
          </w:p>
          <w:p w14:paraId="5657E9BA">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9、制定详细的拆除方案（含时间节点、人员分工、应急预案）</w:t>
            </w:r>
          </w:p>
          <w:p w14:paraId="7E4BDE7D">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10、需提前向校方报备拆除时间，学校会协调停电时间窗口，</w:t>
            </w:r>
          </w:p>
          <w:p w14:paraId="2F97CDE3">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四、现有地板砖要开地槽，每个钢琴点位要走电源线及网线。开槽数量：共计81个点位，，电源线数量及规格：零火地电源线共计350米，规格为2.5平方，网线：共计1200米，规格为：超六类。</w:t>
            </w:r>
          </w:p>
        </w:tc>
        <w:tc>
          <w:tcPr>
            <w:tcW w:w="698" w:type="dxa"/>
            <w:shd w:val="clear" w:color="auto" w:fill="auto"/>
            <w:vAlign w:val="center"/>
          </w:tcPr>
          <w:p w14:paraId="586FA5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批</w:t>
            </w:r>
          </w:p>
        </w:tc>
        <w:tc>
          <w:tcPr>
            <w:tcW w:w="843" w:type="dxa"/>
            <w:shd w:val="clear" w:color="auto" w:fill="auto"/>
            <w:vAlign w:val="center"/>
          </w:tcPr>
          <w:p w14:paraId="18220A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3</w:t>
            </w:r>
          </w:p>
        </w:tc>
        <w:tc>
          <w:tcPr>
            <w:tcW w:w="698" w:type="dxa"/>
            <w:vAlign w:val="center"/>
          </w:tcPr>
          <w:p w14:paraId="593C0DD1">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3224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8" w:type="dxa"/>
            <w:gridSpan w:val="6"/>
            <w:vAlign w:val="center"/>
          </w:tcPr>
          <w:p w14:paraId="1E0E5F64">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b/>
                <w:kern w:val="0"/>
                <w:sz w:val="24"/>
                <w:szCs w:val="24"/>
              </w:rPr>
            </w:pPr>
            <w:r>
              <w:rPr>
                <w:rFonts w:hint="eastAsia" w:asciiTheme="minorEastAsia" w:hAnsiTheme="minorEastAsia" w:cstheme="minorEastAsia"/>
                <w:b/>
                <w:kern w:val="0"/>
                <w:sz w:val="28"/>
                <w:szCs w:val="28"/>
              </w:rPr>
              <w:t>三、音乐素养教学室升级（1间）</w:t>
            </w:r>
          </w:p>
        </w:tc>
      </w:tr>
      <w:tr w14:paraId="4B59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7F9AB099">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序号</w:t>
            </w:r>
          </w:p>
        </w:tc>
        <w:tc>
          <w:tcPr>
            <w:tcW w:w="1400" w:type="dxa"/>
            <w:vAlign w:val="center"/>
          </w:tcPr>
          <w:p w14:paraId="578165AC">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设备名称</w:t>
            </w:r>
          </w:p>
        </w:tc>
        <w:tc>
          <w:tcPr>
            <w:tcW w:w="9766" w:type="dxa"/>
            <w:vAlign w:val="center"/>
          </w:tcPr>
          <w:p w14:paraId="433941B0">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技术参数</w:t>
            </w:r>
          </w:p>
        </w:tc>
        <w:tc>
          <w:tcPr>
            <w:tcW w:w="698" w:type="dxa"/>
            <w:vAlign w:val="center"/>
          </w:tcPr>
          <w:p w14:paraId="1975EB17">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单位</w:t>
            </w:r>
          </w:p>
        </w:tc>
        <w:tc>
          <w:tcPr>
            <w:tcW w:w="843" w:type="dxa"/>
            <w:vAlign w:val="center"/>
          </w:tcPr>
          <w:p w14:paraId="307A845B">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数量</w:t>
            </w:r>
          </w:p>
        </w:tc>
        <w:tc>
          <w:tcPr>
            <w:tcW w:w="698" w:type="dxa"/>
            <w:vAlign w:val="center"/>
          </w:tcPr>
          <w:p w14:paraId="64FC9D63">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备注</w:t>
            </w:r>
          </w:p>
        </w:tc>
      </w:tr>
      <w:tr w14:paraId="462C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0A7C4898">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p>
        </w:tc>
        <w:tc>
          <w:tcPr>
            <w:tcW w:w="1400" w:type="dxa"/>
            <w:shd w:val="clear" w:color="auto" w:fill="auto"/>
            <w:vAlign w:val="center"/>
          </w:tcPr>
          <w:p w14:paraId="0292E551">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教学专用三角钢琴</w:t>
            </w:r>
          </w:p>
        </w:tc>
        <w:tc>
          <w:tcPr>
            <w:tcW w:w="9766" w:type="dxa"/>
            <w:vAlign w:val="center"/>
          </w:tcPr>
          <w:p w14:paraId="5842663F">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1.产地：原装进口</w:t>
            </w:r>
          </w:p>
          <w:p w14:paraId="0FF4C516">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2.气候适应要求：使用地气候适应性处理</w:t>
            </w:r>
          </w:p>
          <w:p w14:paraId="6DFAFA1B">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3.尺寸：长度161厘米及以上</w:t>
            </w:r>
          </w:p>
          <w:p w14:paraId="4BC6BB62">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4.颜色：黑色亮光</w:t>
            </w:r>
          </w:p>
          <w:p w14:paraId="3C1378E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5.外壳：实木板叠层胶合，并整体弯曲成型。</w:t>
            </w:r>
          </w:p>
          <w:p w14:paraId="6B976EAE">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6.琴腿：欧洲榉木实木</w:t>
            </w:r>
          </w:p>
          <w:p w14:paraId="1264632E">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7.金属部件：实心黄铜，抛光且经过喷漆</w:t>
            </w:r>
          </w:p>
          <w:p w14:paraId="308FA4EF">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8.背架：云杉木制作的木支架有3根放射状支架</w:t>
            </w:r>
          </w:p>
          <w:p w14:paraId="43D61A58">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9.音板：由欧洲云杉木实木单板径切密纹</w:t>
            </w:r>
          </w:p>
          <w:p w14:paraId="4C808B34">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10.肋木：实心直纹云杉实木肋木；肋木边缘嵌入内壳与内壳木材纹理链接，形成整体共鸣体</w:t>
            </w:r>
          </w:p>
          <w:p w14:paraId="64703BB3">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b/>
                <w:bCs/>
                <w:kern w:val="0"/>
                <w:sz w:val="24"/>
                <w:szCs w:val="24"/>
                <w:lang w:eastAsia="zh-CN"/>
              </w:rPr>
            </w:pPr>
            <w:r>
              <w:rPr>
                <w:rFonts w:hint="eastAsia" w:asciiTheme="minorEastAsia" w:hAnsiTheme="minorEastAsia" w:cstheme="minorEastAsia"/>
                <w:b/>
                <w:bCs/>
                <w:kern w:val="0"/>
                <w:sz w:val="24"/>
                <w:szCs w:val="24"/>
              </w:rPr>
              <w:t>11.★码桥：优质实木码桥，码桥采用硬枫木实木，低音悬浮式马桥加长有效弦长。</w:t>
            </w:r>
          </w:p>
          <w:p w14:paraId="68973BCB">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12.弦列：交叉弦列，组合式别弦钮。</w:t>
            </w:r>
          </w:p>
          <w:p w14:paraId="5D7992F7">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b/>
                <w:bCs/>
                <w:kern w:val="0"/>
                <w:sz w:val="24"/>
                <w:szCs w:val="24"/>
                <w:lang w:eastAsia="zh-CN"/>
              </w:rPr>
            </w:pPr>
            <w:r>
              <w:rPr>
                <w:rFonts w:hint="eastAsia" w:asciiTheme="minorEastAsia" w:hAnsiTheme="minorEastAsia" w:cstheme="minorEastAsia"/>
                <w:b/>
                <w:bCs/>
                <w:kern w:val="0"/>
                <w:sz w:val="24"/>
                <w:szCs w:val="24"/>
              </w:rPr>
              <w:t>13.★铸铁板：真空铸造</w:t>
            </w:r>
          </w:p>
          <w:p w14:paraId="0248059F">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14.调律钉：采用优质钢，带防锈镀镍涂层</w:t>
            </w:r>
          </w:p>
          <w:p w14:paraId="539D6C2F">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15.琴弦：裸弦使用进口高级抛光琴弦，音色纯净音准稳定，表面无镀铬涂层</w:t>
            </w:r>
          </w:p>
          <w:p w14:paraId="155E9ED0">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低音缠弦用进口钢材为芯，缠以纯实心铜</w:t>
            </w:r>
          </w:p>
          <w:p w14:paraId="077E2832">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16.止音器：配有上好羊毛的实木止音头</w:t>
            </w:r>
          </w:p>
          <w:p w14:paraId="03A6101A">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17.击弦机：铝合金外总档，环境适应性强，不易变形</w:t>
            </w:r>
          </w:p>
          <w:p w14:paraId="4FF5D32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18.键盘：琴键材料为纯正的云杉木实木木材；键皮与实木键体无缝粘接</w:t>
            </w:r>
          </w:p>
          <w:p w14:paraId="4E59EACA">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19.键侧木：配有高度调整螺丝的键侧木</w:t>
            </w:r>
          </w:p>
          <w:p w14:paraId="584E4FD7">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20.键盘架：取材于云杉木，并在中盘枕木和前档枕木中插入硬木插件，键盘架有5根以上平衡调节螺丝</w:t>
            </w:r>
          </w:p>
          <w:p w14:paraId="55DB8F57">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21.踏板：为硬质实心黄铜，柔音、低音延音及止音器踏板</w:t>
            </w:r>
          </w:p>
          <w:p w14:paraId="5B9825C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22.顶盖支撑：具有2个以上高度选择的顶盖支撑杆"</w:t>
            </w:r>
          </w:p>
          <w:p w14:paraId="593FDBA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23</w:t>
            </w:r>
            <w:bookmarkStart w:id="114" w:name="OLE_LINK6"/>
            <w:r>
              <w:rPr>
                <w:rFonts w:hint="eastAsia" w:asciiTheme="minorEastAsia" w:hAnsiTheme="minorEastAsia" w:cstheme="minorEastAsia"/>
                <w:kern w:val="0"/>
                <w:sz w:val="24"/>
                <w:szCs w:val="24"/>
              </w:rPr>
              <w:t>.需包含</w:t>
            </w:r>
            <w:bookmarkEnd w:id="114"/>
            <w:r>
              <w:rPr>
                <w:rFonts w:hint="eastAsia" w:asciiTheme="minorEastAsia" w:hAnsiTheme="minorEastAsia" w:cstheme="minorEastAsia"/>
                <w:kern w:val="0"/>
                <w:sz w:val="24"/>
                <w:szCs w:val="24"/>
              </w:rPr>
              <w:t>：琴罩、琴凳。</w:t>
            </w:r>
          </w:p>
        </w:tc>
        <w:tc>
          <w:tcPr>
            <w:tcW w:w="698" w:type="dxa"/>
            <w:shd w:val="clear" w:color="auto" w:fill="auto"/>
            <w:vAlign w:val="center"/>
          </w:tcPr>
          <w:p w14:paraId="796BFD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台</w:t>
            </w:r>
          </w:p>
        </w:tc>
        <w:tc>
          <w:tcPr>
            <w:tcW w:w="843" w:type="dxa"/>
            <w:shd w:val="clear" w:color="auto" w:fill="auto"/>
            <w:vAlign w:val="center"/>
          </w:tcPr>
          <w:p w14:paraId="31D7C4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w:t>
            </w:r>
          </w:p>
        </w:tc>
        <w:tc>
          <w:tcPr>
            <w:tcW w:w="698" w:type="dxa"/>
            <w:vAlign w:val="center"/>
          </w:tcPr>
          <w:p w14:paraId="1AB9878C">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13AF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7ED14022">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c>
          <w:tcPr>
            <w:tcW w:w="1400" w:type="dxa"/>
            <w:shd w:val="clear" w:color="auto" w:fill="auto"/>
            <w:vAlign w:val="center"/>
          </w:tcPr>
          <w:p w14:paraId="44128609">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三层实木合唱阶梯</w:t>
            </w:r>
          </w:p>
        </w:tc>
        <w:tc>
          <w:tcPr>
            <w:tcW w:w="9766" w:type="dxa"/>
            <w:vAlign w:val="center"/>
          </w:tcPr>
          <w:p w14:paraId="0AD9DDC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1、规格：900*1200*750mm，</w:t>
            </w:r>
          </w:p>
          <w:p w14:paraId="4084092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2、材质：本合唱台为实木本色，</w:t>
            </w:r>
          </w:p>
          <w:p w14:paraId="510E716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3、合唱台阶层数：3层</w:t>
            </w:r>
          </w:p>
          <w:p w14:paraId="50C2806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4、本合唱台选用优质实木，质地坚硬、更结实，色泽亮丽，并具纹理清晰，做出来的合唱台造型朴实大方、线条饱满流畅，实用性强、经久耐用；弹性和透气性好，导热性能好且保养简单。</w:t>
            </w:r>
          </w:p>
          <w:p w14:paraId="6E8AD80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5、外层涂有环保漆，具有防尘、防水、耐磨的作用，承重较好。</w:t>
            </w:r>
          </w:p>
        </w:tc>
        <w:tc>
          <w:tcPr>
            <w:tcW w:w="698" w:type="dxa"/>
            <w:shd w:val="clear" w:color="auto" w:fill="auto"/>
            <w:vAlign w:val="center"/>
          </w:tcPr>
          <w:p w14:paraId="22803F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个</w:t>
            </w:r>
          </w:p>
        </w:tc>
        <w:tc>
          <w:tcPr>
            <w:tcW w:w="843" w:type="dxa"/>
            <w:shd w:val="clear" w:color="auto" w:fill="auto"/>
            <w:vAlign w:val="center"/>
          </w:tcPr>
          <w:p w14:paraId="77107D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6</w:t>
            </w:r>
          </w:p>
        </w:tc>
        <w:tc>
          <w:tcPr>
            <w:tcW w:w="698" w:type="dxa"/>
            <w:vAlign w:val="center"/>
          </w:tcPr>
          <w:p w14:paraId="180A0887">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6509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76E2DD0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p>
        </w:tc>
        <w:tc>
          <w:tcPr>
            <w:tcW w:w="1400" w:type="dxa"/>
            <w:shd w:val="clear" w:color="auto" w:fill="auto"/>
            <w:vAlign w:val="center"/>
          </w:tcPr>
          <w:p w14:paraId="703375E6">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音响系统（调音台、话筒外接电子乐器）</w:t>
            </w:r>
          </w:p>
        </w:tc>
        <w:tc>
          <w:tcPr>
            <w:tcW w:w="9766" w:type="dxa"/>
            <w:vAlign w:val="center"/>
          </w:tcPr>
          <w:p w14:paraId="6EDA2FD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1、‌额定功率‌：350W（连续），700W（节目），1400W（峰值）</w:t>
            </w:r>
          </w:p>
          <w:p w14:paraId="2DACFE3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2、低音单元‌：1×15”低音扬声器</w:t>
            </w:r>
          </w:p>
          <w:p w14:paraId="5AA3ED7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‌3、高音单元‌：1×JBL2414H-C</w:t>
            </w:r>
          </w:p>
          <w:p w14:paraId="0F675ED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‌4、尺寸‌：680mm×407mm×449mm净重‌：24.9kg</w:t>
            </w:r>
          </w:p>
          <w:p w14:paraId="2BC474E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5、模拟调音台</w:t>
            </w:r>
          </w:p>
          <w:p w14:paraId="1C14C060">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6、16通道调音台：10个话筒/16个线路输入</w:t>
            </w:r>
          </w:p>
          <w:p w14:paraId="4AF41CBD">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7、10个话筒/16个线路输入</w:t>
            </w:r>
          </w:p>
          <w:p w14:paraId="26183D1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8、效果器：SPX，含24组预置效果器</w:t>
            </w:r>
          </w:p>
          <w:p w14:paraId="391D4D4A">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9、外观尺寸(W×H×D)：444mmx130mmx500mm</w:t>
            </w:r>
          </w:p>
          <w:p w14:paraId="136F1A70">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10、净重：6.8kg</w:t>
            </w:r>
          </w:p>
          <w:p w14:paraId="17529F8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11、动圈传感器，心形拾音模式，净重300g</w:t>
            </w:r>
          </w:p>
          <w:p w14:paraId="4F646F5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12、双通道，700w功率"</w:t>
            </w:r>
          </w:p>
        </w:tc>
        <w:tc>
          <w:tcPr>
            <w:tcW w:w="698" w:type="dxa"/>
            <w:shd w:val="clear" w:color="auto" w:fill="auto"/>
            <w:vAlign w:val="center"/>
          </w:tcPr>
          <w:p w14:paraId="41DFDA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个</w:t>
            </w:r>
          </w:p>
        </w:tc>
        <w:tc>
          <w:tcPr>
            <w:tcW w:w="843" w:type="dxa"/>
            <w:shd w:val="clear" w:color="auto" w:fill="auto"/>
            <w:vAlign w:val="center"/>
          </w:tcPr>
          <w:p w14:paraId="563CAB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w:t>
            </w:r>
          </w:p>
        </w:tc>
        <w:tc>
          <w:tcPr>
            <w:tcW w:w="698" w:type="dxa"/>
            <w:vAlign w:val="center"/>
          </w:tcPr>
          <w:p w14:paraId="029871F9">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27AC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57673FFD">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p>
        </w:tc>
        <w:tc>
          <w:tcPr>
            <w:tcW w:w="1400" w:type="dxa"/>
            <w:shd w:val="clear" w:color="auto" w:fill="auto"/>
            <w:vAlign w:val="center"/>
          </w:tcPr>
          <w:p w14:paraId="1F60004C">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教学专用远距离话筒</w:t>
            </w:r>
          </w:p>
        </w:tc>
        <w:tc>
          <w:tcPr>
            <w:tcW w:w="9766" w:type="dxa"/>
            <w:vAlign w:val="center"/>
          </w:tcPr>
          <w:p w14:paraId="6F719D5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1、"1/2""背极式驻极体电容""</w:t>
            </w:r>
          </w:p>
          <w:p w14:paraId="17AE326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2、灵敏度：19mV/Pa(-34.5dBV)</w:t>
            </w:r>
          </w:p>
          <w:p w14:paraId="31C6240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3、低切滤波器：80Hz,6dB/Oct，可切换开关</w:t>
            </w:r>
          </w:p>
          <w:p w14:paraId="4CEB916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4、指向性模式：136/156(0/20dBpad)(0.5%THD@1kHz)心形</w:t>
            </w:r>
          </w:p>
          <w:p w14:paraId="2A486F3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5、频率范围：20Hz-20KHz</w:t>
            </w:r>
          </w:p>
          <w:p w14:paraId="6B56B65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6、动态范围：120/140dB(0/20电路衰减）</w:t>
            </w:r>
          </w:p>
          <w:p w14:paraId="3BD6569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7、信噪比：78dB</w:t>
            </w:r>
          </w:p>
          <w:p w14:paraId="65B78DE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8、等效噪声电平：16dB(A)</w:t>
            </w:r>
          </w:p>
          <w:p w14:paraId="698B21C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9、电路衰减：20dB，切换开关</w:t>
            </w:r>
          </w:p>
          <w:p w14:paraId="303032A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10、电抗阻：&lt;200Ohms</w:t>
            </w:r>
          </w:p>
          <w:p w14:paraId="30C27A7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11、供电：48V</w:t>
            </w:r>
          </w:p>
          <w:p w14:paraId="397AA80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12、建议负载抗阻：&gt;1KOhms"</w:t>
            </w:r>
          </w:p>
        </w:tc>
        <w:tc>
          <w:tcPr>
            <w:tcW w:w="698" w:type="dxa"/>
            <w:shd w:val="clear" w:color="auto" w:fill="auto"/>
            <w:vAlign w:val="center"/>
          </w:tcPr>
          <w:p w14:paraId="722E03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4038CA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4</w:t>
            </w:r>
          </w:p>
        </w:tc>
        <w:tc>
          <w:tcPr>
            <w:tcW w:w="698" w:type="dxa"/>
            <w:vAlign w:val="center"/>
          </w:tcPr>
          <w:p w14:paraId="540AA54C">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71B7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3CBDFE09">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5</w:t>
            </w:r>
          </w:p>
        </w:tc>
        <w:tc>
          <w:tcPr>
            <w:tcW w:w="1400" w:type="dxa"/>
            <w:shd w:val="clear" w:color="auto" w:fill="auto"/>
            <w:vAlign w:val="center"/>
          </w:tcPr>
          <w:p w14:paraId="09E9D7CB">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教学专用用吉他</w:t>
            </w:r>
          </w:p>
        </w:tc>
        <w:tc>
          <w:tcPr>
            <w:tcW w:w="9766" w:type="dxa"/>
            <w:vAlign w:val="center"/>
          </w:tcPr>
          <w:p w14:paraId="623612C3">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1、41英寸D桶亮光</w:t>
            </w:r>
          </w:p>
          <w:p w14:paraId="15AF159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2、进口云杉面板，</w:t>
            </w:r>
          </w:p>
          <w:p w14:paraId="20F064D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3、玫瑰木背侧板，</w:t>
            </w:r>
          </w:p>
          <w:p w14:paraId="4D68738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4、SRT拾音器</w:t>
            </w:r>
          </w:p>
          <w:p w14:paraId="4B7C3175">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5、单板云杉木、玫瑰木</w:t>
            </w:r>
          </w:p>
          <w:p w14:paraId="23B4E84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6、System66+S.R.T拾音系统</w:t>
            </w:r>
          </w:p>
          <w:p w14:paraId="3559F08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7、100-118mm原木色，黑色</w:t>
            </w:r>
          </w:p>
        </w:tc>
        <w:tc>
          <w:tcPr>
            <w:tcW w:w="698" w:type="dxa"/>
            <w:shd w:val="clear" w:color="auto" w:fill="auto"/>
            <w:vAlign w:val="center"/>
          </w:tcPr>
          <w:p w14:paraId="5E373D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0A196D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w:t>
            </w:r>
          </w:p>
        </w:tc>
        <w:tc>
          <w:tcPr>
            <w:tcW w:w="698" w:type="dxa"/>
            <w:vAlign w:val="center"/>
          </w:tcPr>
          <w:p w14:paraId="25A1ED0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538D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0E26B87E">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6</w:t>
            </w:r>
          </w:p>
        </w:tc>
        <w:tc>
          <w:tcPr>
            <w:tcW w:w="1400" w:type="dxa"/>
            <w:shd w:val="clear" w:color="auto" w:fill="auto"/>
            <w:vAlign w:val="center"/>
          </w:tcPr>
          <w:p w14:paraId="5D83115D">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教学专用低音贝斯</w:t>
            </w:r>
          </w:p>
        </w:tc>
        <w:tc>
          <w:tcPr>
            <w:tcW w:w="9766" w:type="dxa"/>
            <w:vAlign w:val="center"/>
          </w:tcPr>
          <w:p w14:paraId="116E166F">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1、琴体：杨木</w:t>
            </w:r>
          </w:p>
          <w:p w14:paraId="49A2C7F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2、琴颈：枫木C型</w:t>
            </w:r>
          </w:p>
          <w:p w14:paraId="5609242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3、参数：34""有效弦长10""弧度半径</w:t>
            </w:r>
          </w:p>
          <w:p w14:paraId="4238A84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4、指板：20品枫木、玫瑰木</w:t>
            </w:r>
          </w:p>
          <w:p w14:paraId="7EE6960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5、上枕：骨质40MM</w:t>
            </w:r>
          </w:p>
          <w:p w14:paraId="568B00F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6、电路：1XTAGIMAJ型陶瓷单线圈</w:t>
            </w:r>
          </w:p>
          <w:p w14:paraId="5E46755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7、控制：2音量、1音色</w:t>
            </w:r>
          </w:p>
          <w:p w14:paraId="64EE189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8、琴桥：复古式琴桥</w:t>
            </w:r>
          </w:p>
          <w:p w14:paraId="261466D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9、弦准：复古式卷弦器"</w:t>
            </w:r>
          </w:p>
        </w:tc>
        <w:tc>
          <w:tcPr>
            <w:tcW w:w="698" w:type="dxa"/>
            <w:shd w:val="clear" w:color="auto" w:fill="auto"/>
            <w:vAlign w:val="center"/>
          </w:tcPr>
          <w:p w14:paraId="3C5691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6104A8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w:t>
            </w:r>
          </w:p>
        </w:tc>
        <w:tc>
          <w:tcPr>
            <w:tcW w:w="698" w:type="dxa"/>
            <w:vAlign w:val="center"/>
          </w:tcPr>
          <w:p w14:paraId="30409BA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0AA1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26632E34">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7</w:t>
            </w:r>
          </w:p>
        </w:tc>
        <w:tc>
          <w:tcPr>
            <w:tcW w:w="1400" w:type="dxa"/>
            <w:shd w:val="clear" w:color="auto" w:fill="auto"/>
            <w:vAlign w:val="center"/>
          </w:tcPr>
          <w:p w14:paraId="24D0E192">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教学专用爵士鼓（含鼓棒）</w:t>
            </w:r>
          </w:p>
        </w:tc>
        <w:tc>
          <w:tcPr>
            <w:tcW w:w="9766" w:type="dxa"/>
            <w:vAlign w:val="center"/>
          </w:tcPr>
          <w:p w14:paraId="0D307A4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"(22""底鼓、16""落地噠鼓、12""噠噠鼓、10""通通鼓和14""军鼓）</w:t>
            </w:r>
          </w:p>
          <w:p w14:paraId="3BB4890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．标准的</w:t>
            </w:r>
            <w:r>
              <w:rPr>
                <w:rFonts w:hint="eastAsia" w:asciiTheme="minorEastAsia" w:hAnsiTheme="minorEastAsia" w:cstheme="minorEastAsia"/>
                <w:color w:val="000000" w:themeColor="text1"/>
                <w:kern w:val="0"/>
                <w:sz w:val="24"/>
                <w:szCs w:val="24"/>
                <w14:textFill>
                  <w14:solidFill>
                    <w14:schemeClr w14:val="tx1"/>
                  </w14:solidFill>
                </w14:textFill>
              </w:rPr>
              <w:t>演奏</w:t>
            </w:r>
            <w:r>
              <w:rPr>
                <w:rFonts w:hint="eastAsia" w:asciiTheme="minorEastAsia" w:hAnsiTheme="minorEastAsia" w:cstheme="minorEastAsia"/>
                <w:kern w:val="0"/>
                <w:sz w:val="24"/>
                <w:szCs w:val="24"/>
              </w:rPr>
              <w:t>通鼓支架和万向球夹杆、P3型底鼓鼓皮".包含鼓垫、鼓凳</w:t>
            </w:r>
          </w:p>
        </w:tc>
        <w:tc>
          <w:tcPr>
            <w:tcW w:w="698" w:type="dxa"/>
            <w:shd w:val="clear" w:color="auto" w:fill="auto"/>
            <w:vAlign w:val="center"/>
          </w:tcPr>
          <w:p w14:paraId="0B5BDF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37839F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w:t>
            </w:r>
          </w:p>
        </w:tc>
        <w:tc>
          <w:tcPr>
            <w:tcW w:w="698" w:type="dxa"/>
            <w:vAlign w:val="center"/>
          </w:tcPr>
          <w:p w14:paraId="460F5C4B">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33AA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76F91900">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8</w:t>
            </w:r>
          </w:p>
        </w:tc>
        <w:tc>
          <w:tcPr>
            <w:tcW w:w="1400" w:type="dxa"/>
            <w:shd w:val="clear" w:color="auto" w:fill="auto"/>
            <w:vAlign w:val="center"/>
          </w:tcPr>
          <w:p w14:paraId="6708B2A6">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18寸中国鼓（含鼓棒）</w:t>
            </w:r>
          </w:p>
        </w:tc>
        <w:tc>
          <w:tcPr>
            <w:tcW w:w="9766" w:type="dxa"/>
            <w:vAlign w:val="center"/>
          </w:tcPr>
          <w:p w14:paraId="305EF8D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1、18寸，平放鼓，椿木黄牛皮，</w:t>
            </w:r>
          </w:p>
          <w:p w14:paraId="11FDF89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2、专业木器漆，</w:t>
            </w:r>
          </w:p>
          <w:p w14:paraId="33FD917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3、鼓架：加厚战鼓坐架，</w:t>
            </w:r>
          </w:p>
          <w:p w14:paraId="3962521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4、带轮子，带鼓罩，鼓棒，方巾、</w:t>
            </w:r>
          </w:p>
          <w:p w14:paraId="0A901EB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5、耐水耐腐蚀，环保，带鼓架，鼓面内圈加固，</w:t>
            </w:r>
          </w:p>
          <w:p w14:paraId="5230F2D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6、实木坐式鼓架(带轮)</w:t>
            </w:r>
          </w:p>
        </w:tc>
        <w:tc>
          <w:tcPr>
            <w:tcW w:w="698" w:type="dxa"/>
            <w:shd w:val="clear" w:color="auto" w:fill="auto"/>
            <w:vAlign w:val="center"/>
          </w:tcPr>
          <w:p w14:paraId="14CB2A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53049C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35</w:t>
            </w:r>
          </w:p>
        </w:tc>
        <w:tc>
          <w:tcPr>
            <w:tcW w:w="698" w:type="dxa"/>
            <w:vAlign w:val="center"/>
          </w:tcPr>
          <w:p w14:paraId="121C328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3B52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3345CD15">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9</w:t>
            </w:r>
          </w:p>
        </w:tc>
        <w:tc>
          <w:tcPr>
            <w:tcW w:w="1400" w:type="dxa"/>
            <w:shd w:val="clear" w:color="auto" w:fill="auto"/>
            <w:vAlign w:val="center"/>
          </w:tcPr>
          <w:p w14:paraId="1AF798C1">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教学专用电子鼓</w:t>
            </w:r>
          </w:p>
        </w:tc>
        <w:tc>
          <w:tcPr>
            <w:tcW w:w="9766" w:type="dxa"/>
            <w:vAlign w:val="center"/>
          </w:tcPr>
          <w:p w14:paraId="09B5BB9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1、军鼓：PDX-8</w:t>
            </w:r>
          </w:p>
          <w:p w14:paraId="61EEBE9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2、踩镲：CY-5</w:t>
            </w:r>
          </w:p>
          <w:p w14:paraId="54499BC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3、踩镲控制踏板：支持半开</w:t>
            </w:r>
          </w:p>
          <w:p w14:paraId="256718C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4、嗵鼓：PDX-6Ax3*1</w:t>
            </w:r>
          </w:p>
          <w:p w14:paraId="3432BAD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5、碎音镲：CY-8</w:t>
            </w:r>
          </w:p>
          <w:p w14:paraId="355194C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6、叮叮镲：CY-8</w:t>
            </w:r>
          </w:p>
          <w:p w14:paraId="7D43395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7、鼓架：四柱式支架</w:t>
            </w:r>
          </w:p>
          <w:p w14:paraId="292B606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8、不包含底鼓踏板和鼓凳。鼓组50（预设：25）音色143效果类型打击垫均衡器：每个打击垫</w:t>
            </w:r>
          </w:p>
          <w:p w14:paraId="3714CF7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9、多种效果：1个系统，30种类型教练功能（5种模式）时值检测（易）</w:t>
            </w:r>
          </w:p>
          <w:p w14:paraId="4AEAB6A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时值检测（难）</w:t>
            </w:r>
          </w:p>
          <w:p w14:paraId="2BBA6AD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10、节奏型切换节拍器速度（20-260）</w:t>
            </w:r>
          </w:p>
          <w:p w14:paraId="5C83A17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11、节奏类型（5种）</w:t>
            </w:r>
          </w:p>
          <w:p w14:paraId="242D535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12、音色（15种）蓝牙支持标准：蓝牙4.2版</w:t>
            </w:r>
          </w:p>
          <w:p w14:paraId="4CDB74C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13、支持配置：A2DP（音频），GATT（MIDI低功耗蓝牙）</w:t>
            </w:r>
          </w:p>
          <w:p w14:paraId="6B74E96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14、编码译码器：SBC（支持SCMS-T内容保护）显示屏16字符x2行LCD（带背光）接口输出/耳机接口：立体声迷你耳机型</w:t>
            </w:r>
          </w:p>
          <w:p w14:paraId="1F0D611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15、音频混合输入接口：立体声迷你耳机型</w:t>
            </w:r>
          </w:p>
          <w:p w14:paraId="322E4D3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16、USB计算机接口：USBB型</w:t>
            </w:r>
          </w:p>
          <w:p w14:paraId="6DB361F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17、触发器输入接口：DB-25型（底鼓、军鼓、嗵鼓1、嗵鼓2、嗵鼓3、踩镲、碎音镲1、碎音镲2、叮叮镲、踩镲控制）USB计算机速度：高速USB</w:t>
            </w:r>
          </w:p>
          <w:p w14:paraId="57D5990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18、驱动器模式：通用，专用</w:t>
            </w:r>
          </w:p>
          <w:p w14:paraId="58981E5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19、协议：USBMIDI，USB音频*2USB音频采样率（初始）：44.1kHz</w:t>
            </w:r>
          </w:p>
          <w:p w14:paraId="69763A8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20、采样率（采样率转换）：96kHz,48kHz</w:t>
            </w:r>
          </w:p>
          <w:p w14:paraId="7A94BE5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21、录音：2个声道</w:t>
            </w:r>
          </w:p>
          <w:p w14:paraId="5073612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22、播放：2个声道电源AC适配器（DC12V）电流250mA尺寸与重量尺寸1,230（长）x1,100（宽）x1,200（高）毫米</w:t>
            </w:r>
          </w:p>
        </w:tc>
        <w:tc>
          <w:tcPr>
            <w:tcW w:w="698" w:type="dxa"/>
            <w:shd w:val="clear" w:color="auto" w:fill="auto"/>
            <w:vAlign w:val="center"/>
          </w:tcPr>
          <w:p w14:paraId="53B142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4CFE4C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w:t>
            </w:r>
          </w:p>
        </w:tc>
        <w:tc>
          <w:tcPr>
            <w:tcW w:w="698" w:type="dxa"/>
            <w:vAlign w:val="center"/>
          </w:tcPr>
          <w:p w14:paraId="42B90DEC">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46B4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685AF24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10</w:t>
            </w:r>
          </w:p>
        </w:tc>
        <w:tc>
          <w:tcPr>
            <w:tcW w:w="1400" w:type="dxa"/>
            <w:shd w:val="clear" w:color="auto" w:fill="auto"/>
            <w:vAlign w:val="center"/>
          </w:tcPr>
          <w:p w14:paraId="7F087F1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教学专用电钢琴（舞蹈钢琴）</w:t>
            </w:r>
          </w:p>
        </w:tc>
        <w:tc>
          <w:tcPr>
            <w:tcW w:w="9766" w:type="dxa"/>
            <w:vAlign w:val="center"/>
          </w:tcPr>
          <w:p w14:paraId="69DF271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1、4.3英寸彩色液晶显示屏</w:t>
            </w:r>
          </w:p>
          <w:p w14:paraId="1FD1C54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2、850种音色，包括73种超清晰音色，27种兆级音色，和43组特效/鼓组音色</w:t>
            </w:r>
          </w:p>
          <w:p w14:paraId="2E93850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3、415种伴奏型，其中包含372种专业伴奏型，32种音乐会伴奏型，10种DJ伴奏型和1种自由演奏伴奏型</w:t>
            </w:r>
          </w:p>
          <w:p w14:paraId="3EC95EC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4、100MB用于安装扩展数据的内置存储空间</w:t>
            </w:r>
          </w:p>
          <w:p w14:paraId="3B89F14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5、重音和齐奏功能让伴奏型强化您的演奏</w:t>
            </w:r>
          </w:p>
          <w:p w14:paraId="5EB0DD7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6、支持麦克风输入并兼容Rec‘nShare应用</w:t>
            </w:r>
          </w:p>
          <w:p w14:paraId="5D0C84E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7、为快速和便捷设置而设计的演奏列表和注册记忆功能</w:t>
            </w:r>
          </w:p>
          <w:p w14:paraId="056A0D8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8、可通过ExpansionManager进行音色和伴奏型扩展"</w:t>
            </w:r>
          </w:p>
        </w:tc>
        <w:tc>
          <w:tcPr>
            <w:tcW w:w="698" w:type="dxa"/>
            <w:shd w:val="clear" w:color="auto" w:fill="auto"/>
            <w:vAlign w:val="center"/>
          </w:tcPr>
          <w:p w14:paraId="3527C9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台</w:t>
            </w:r>
          </w:p>
        </w:tc>
        <w:tc>
          <w:tcPr>
            <w:tcW w:w="843" w:type="dxa"/>
            <w:shd w:val="clear" w:color="auto" w:fill="auto"/>
            <w:vAlign w:val="center"/>
          </w:tcPr>
          <w:p w14:paraId="254C47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w:t>
            </w:r>
          </w:p>
        </w:tc>
        <w:tc>
          <w:tcPr>
            <w:tcW w:w="698" w:type="dxa"/>
            <w:vAlign w:val="center"/>
          </w:tcPr>
          <w:p w14:paraId="34EC355E">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2124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282DD8C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11</w:t>
            </w:r>
          </w:p>
        </w:tc>
        <w:tc>
          <w:tcPr>
            <w:tcW w:w="1400" w:type="dxa"/>
            <w:shd w:val="clear" w:color="auto" w:fill="auto"/>
            <w:vAlign w:val="center"/>
          </w:tcPr>
          <w:p w14:paraId="2D487F85">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电吉他效果器</w:t>
            </w:r>
          </w:p>
        </w:tc>
        <w:tc>
          <w:tcPr>
            <w:tcW w:w="9766" w:type="dxa"/>
            <w:vAlign w:val="center"/>
          </w:tcPr>
          <w:p w14:paraId="2A901BF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1、基于非线性逆向建模技术的前级模拟，并可使用MOOERSTUDIO软件导入更多AMP模型。</w:t>
            </w:r>
          </w:p>
          <w:p w14:paraId="40A4AC4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2、高品质麦克风模型搭配2048pts的采样长度，还原“高清”的CAB听感。</w:t>
            </w:r>
          </w:p>
          <w:p w14:paraId="3A3D23C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3、丰富的效果模块，超过180个效果类型可供选用。</w:t>
            </w:r>
          </w:p>
          <w:p w14:paraId="753A9B4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4、TONECAPTURE智能听感捕获技术可实现对音箱（带FXLOOP）前级的采样。</w:t>
            </w:r>
          </w:p>
          <w:p w14:paraId="06C980D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5、基于音色组的踩钉控制，共有85组，每组3个预置，利于现场的操作使用。</w:t>
            </w:r>
          </w:p>
          <w:p w14:paraId="22A933E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6、升级的鼓机功能，拥有60鼓机节奏和10个节拍器类型</w:t>
            </w:r>
          </w:p>
          <w:p w14:paraId="240F97A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7、完全开放的效果链顺序自定义，支持针对各个效果模块、FXLOOP设定位置。</w:t>
            </w:r>
          </w:p>
          <w:p w14:paraId="362B728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8、CTRL功能支持单块式开关操作或TAPTEMPO功能。</w:t>
            </w:r>
          </w:p>
          <w:p w14:paraId="0555FED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9、内置70秒立体声LOOPER乐句循环，可设置为“前置/后置”。</w:t>
            </w:r>
          </w:p>
          <w:p w14:paraId="658677A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10、延迟&amp;混响支持TRAILON效果尾音保持功能</w:t>
            </w:r>
          </w:p>
          <w:p w14:paraId="5DEC402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11、支持表情踏板功能全定义以及多参数定义，并支持外部表情踏板同时使用。</w:t>
            </w:r>
          </w:p>
          <w:p w14:paraId="6D73B85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12、兼顾便携的同时最大化地丰富接口类型，适用于更多连接场景。</w:t>
            </w:r>
          </w:p>
          <w:p w14:paraId="3E7052C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13、专业的USBAUDIO解决方案，提供专用ASIO驱动实现低延迟录音。</w:t>
            </w:r>
          </w:p>
          <w:p w14:paraId="0508EB5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14、MIDI接口支持定义为MIDIIN（作为受控设备）或MIDIOUT（作为控制设备）。</w:t>
            </w:r>
          </w:p>
          <w:p w14:paraId="7F72816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15、独立设置的全局EQ，可分别针对6.35mm&amp;耳机，XLR输出设定全局均衡参数。</w:t>
            </w:r>
          </w:p>
        </w:tc>
        <w:tc>
          <w:tcPr>
            <w:tcW w:w="698" w:type="dxa"/>
            <w:shd w:val="clear" w:color="auto" w:fill="auto"/>
            <w:vAlign w:val="center"/>
          </w:tcPr>
          <w:p w14:paraId="0B1876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0831D2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w:t>
            </w:r>
          </w:p>
        </w:tc>
        <w:tc>
          <w:tcPr>
            <w:tcW w:w="698" w:type="dxa"/>
            <w:vAlign w:val="center"/>
          </w:tcPr>
          <w:p w14:paraId="164B379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65C6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6B901E22">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12</w:t>
            </w:r>
          </w:p>
        </w:tc>
        <w:tc>
          <w:tcPr>
            <w:tcW w:w="1400" w:type="dxa"/>
            <w:shd w:val="clear" w:color="auto" w:fill="auto"/>
            <w:vAlign w:val="center"/>
          </w:tcPr>
          <w:p w14:paraId="5712C3E5">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电子乐器连接线</w:t>
            </w:r>
          </w:p>
        </w:tc>
        <w:tc>
          <w:tcPr>
            <w:tcW w:w="9766" w:type="dxa"/>
            <w:vAlign w:val="center"/>
          </w:tcPr>
          <w:p w14:paraId="57FECB7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五米5根，十米5根</w:t>
            </w:r>
          </w:p>
        </w:tc>
        <w:tc>
          <w:tcPr>
            <w:tcW w:w="698" w:type="dxa"/>
            <w:shd w:val="clear" w:color="auto" w:fill="auto"/>
            <w:vAlign w:val="center"/>
          </w:tcPr>
          <w:p w14:paraId="5475F5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根</w:t>
            </w:r>
          </w:p>
        </w:tc>
        <w:tc>
          <w:tcPr>
            <w:tcW w:w="843" w:type="dxa"/>
            <w:shd w:val="clear" w:color="auto" w:fill="auto"/>
            <w:vAlign w:val="center"/>
          </w:tcPr>
          <w:p w14:paraId="4E0D82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10</w:t>
            </w:r>
          </w:p>
        </w:tc>
        <w:tc>
          <w:tcPr>
            <w:tcW w:w="698" w:type="dxa"/>
            <w:vAlign w:val="center"/>
          </w:tcPr>
          <w:p w14:paraId="34CD761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5626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56689C84">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13</w:t>
            </w:r>
          </w:p>
        </w:tc>
        <w:tc>
          <w:tcPr>
            <w:tcW w:w="1400" w:type="dxa"/>
            <w:shd w:val="clear" w:color="auto" w:fill="auto"/>
            <w:vAlign w:val="center"/>
          </w:tcPr>
          <w:p w14:paraId="0649621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sz w:val="24"/>
                <w:szCs w:val="24"/>
              </w:rPr>
            </w:pPr>
            <w:r>
              <w:rPr>
                <w:rFonts w:hint="eastAsia" w:asciiTheme="minorEastAsia" w:hAnsiTheme="minorEastAsia" w:cstheme="minorEastAsia"/>
                <w:sz w:val="24"/>
                <w:szCs w:val="24"/>
              </w:rPr>
              <w:t>演奏电箱吉它（可插电）</w:t>
            </w:r>
          </w:p>
        </w:tc>
        <w:tc>
          <w:tcPr>
            <w:tcW w:w="9766" w:type="dxa"/>
            <w:vAlign w:val="center"/>
          </w:tcPr>
          <w:p w14:paraId="36192198">
            <w:pPr>
              <w:pStyle w:val="61"/>
              <w:keepNext w:val="0"/>
              <w:keepLines w:val="0"/>
              <w:pageBreakBefore w:val="0"/>
              <w:numPr>
                <w:ilvl w:val="0"/>
                <w:numId w:val="0"/>
              </w:numPr>
              <w:kinsoku/>
              <w:wordWrap/>
              <w:overflowPunct/>
              <w:topLinePunct w:val="0"/>
              <w:autoSpaceDE/>
              <w:autoSpaceDN/>
              <w:bidi w:val="0"/>
              <w:adjustRightInd/>
              <w:snapToGrid/>
              <w:spacing w:line="240" w:lineRule="auto"/>
              <w:jc w:val="left"/>
              <w:rPr>
                <w:rFonts w:asciiTheme="minorEastAsia" w:hAnsiTheme="minorEastAsia" w:cstheme="minorEastAsia"/>
                <w:kern w:val="0"/>
                <w:sz w:val="24"/>
              </w:rPr>
            </w:pPr>
            <w:r>
              <w:rPr>
                <w:rFonts w:hint="eastAsia" w:asciiTheme="minorEastAsia" w:hAnsiTheme="minorEastAsia" w:cstheme="minorEastAsia"/>
                <w:kern w:val="0"/>
                <w:sz w:val="24"/>
                <w:lang w:val="en-US" w:eastAsia="zh-CN"/>
              </w:rPr>
              <w:t>1、</w:t>
            </w:r>
            <w:r>
              <w:rPr>
                <w:rFonts w:hint="eastAsia" w:asciiTheme="minorEastAsia" w:hAnsiTheme="minorEastAsia" w:cstheme="minorEastAsia"/>
                <w:kern w:val="0"/>
                <w:sz w:val="24"/>
              </w:rPr>
              <w:t>桶形:TraditionalWesternCutaway</w:t>
            </w:r>
          </w:p>
          <w:p w14:paraId="0D497E31">
            <w:pPr>
              <w:pStyle w:val="61"/>
              <w:keepNext w:val="0"/>
              <w:keepLines w:val="0"/>
              <w:pageBreakBefore w:val="0"/>
              <w:numPr>
                <w:ilvl w:val="0"/>
                <w:numId w:val="0"/>
              </w:numPr>
              <w:kinsoku/>
              <w:wordWrap/>
              <w:overflowPunct/>
              <w:topLinePunct w:val="0"/>
              <w:autoSpaceDE/>
              <w:autoSpaceDN/>
              <w:bidi w:val="0"/>
              <w:adjustRightInd/>
              <w:snapToGrid/>
              <w:spacing w:line="240" w:lineRule="auto"/>
              <w:jc w:val="left"/>
              <w:rPr>
                <w:rFonts w:asciiTheme="minorEastAsia" w:hAnsiTheme="minorEastAsia" w:cstheme="minorEastAsia"/>
                <w:kern w:val="0"/>
                <w:sz w:val="24"/>
              </w:rPr>
            </w:pPr>
            <w:r>
              <w:rPr>
                <w:rFonts w:hint="eastAsia" w:asciiTheme="minorEastAsia" w:hAnsiTheme="minorEastAsia" w:cstheme="minorEastAsia"/>
                <w:kern w:val="0"/>
                <w:sz w:val="24"/>
                <w:lang w:val="en-US" w:eastAsia="zh-CN"/>
              </w:rPr>
              <w:t>2、</w:t>
            </w:r>
            <w:r>
              <w:rPr>
                <w:rFonts w:hint="eastAsia" w:asciiTheme="minorEastAsia" w:hAnsiTheme="minorEastAsia" w:cstheme="minorEastAsia"/>
                <w:kern w:val="0"/>
                <w:sz w:val="24"/>
              </w:rPr>
              <w:t>面板</w:t>
            </w:r>
            <w:r>
              <w:rPr>
                <w:rFonts w:hint="eastAsia" w:asciiTheme="minorEastAsia" w:hAnsiTheme="minorEastAsia" w:cstheme="minorEastAsia"/>
                <w:kern w:val="0"/>
                <w:sz w:val="24"/>
                <w:lang w:eastAsia="zh-CN"/>
              </w:rPr>
              <w:t>：</w:t>
            </w:r>
            <w:r>
              <w:rPr>
                <w:rFonts w:hint="eastAsia" w:asciiTheme="minorEastAsia" w:hAnsiTheme="minorEastAsia" w:cstheme="minorEastAsia"/>
                <w:kern w:val="0"/>
                <w:sz w:val="24"/>
              </w:rPr>
              <w:t xml:space="preserve">云杉                                                     </w:t>
            </w:r>
          </w:p>
          <w:p w14:paraId="3934C1F6">
            <w:pPr>
              <w:pStyle w:val="61"/>
              <w:keepNext w:val="0"/>
              <w:keepLines w:val="0"/>
              <w:pageBreakBefore w:val="0"/>
              <w:numPr>
                <w:ilvl w:val="0"/>
                <w:numId w:val="0"/>
              </w:numPr>
              <w:kinsoku/>
              <w:wordWrap/>
              <w:overflowPunct/>
              <w:topLinePunct w:val="0"/>
              <w:autoSpaceDE/>
              <w:autoSpaceDN/>
              <w:bidi w:val="0"/>
              <w:adjustRightInd/>
              <w:snapToGrid/>
              <w:spacing w:line="240" w:lineRule="auto"/>
              <w:jc w:val="left"/>
              <w:rPr>
                <w:rFonts w:asciiTheme="minorEastAsia" w:hAnsiTheme="minorEastAsia" w:cstheme="minorEastAsia"/>
                <w:kern w:val="0"/>
                <w:sz w:val="24"/>
              </w:rPr>
            </w:pPr>
            <w:r>
              <w:rPr>
                <w:rFonts w:hint="eastAsia" w:asciiTheme="minorEastAsia" w:hAnsiTheme="minorEastAsia" w:cstheme="minorEastAsia"/>
                <w:kern w:val="0"/>
                <w:sz w:val="24"/>
                <w:lang w:val="en-US" w:eastAsia="zh-CN"/>
              </w:rPr>
              <w:t>3、</w:t>
            </w:r>
            <w:r>
              <w:rPr>
                <w:rFonts w:hint="eastAsia" w:asciiTheme="minorEastAsia" w:hAnsiTheme="minorEastAsia" w:cstheme="minorEastAsia"/>
                <w:kern w:val="0"/>
                <w:sz w:val="24"/>
              </w:rPr>
              <w:t xml:space="preserve">侧板、背板:玫瑰木  </w:t>
            </w:r>
          </w:p>
          <w:p w14:paraId="6F10EA69">
            <w:pPr>
              <w:pStyle w:val="61"/>
              <w:keepNext w:val="0"/>
              <w:keepLines w:val="0"/>
              <w:pageBreakBefore w:val="0"/>
              <w:numPr>
                <w:ilvl w:val="0"/>
                <w:numId w:val="0"/>
              </w:numPr>
              <w:kinsoku/>
              <w:wordWrap/>
              <w:overflowPunct/>
              <w:topLinePunct w:val="0"/>
              <w:autoSpaceDE/>
              <w:autoSpaceDN/>
              <w:bidi w:val="0"/>
              <w:adjustRightInd/>
              <w:snapToGrid/>
              <w:spacing w:line="240" w:lineRule="auto"/>
              <w:jc w:val="left"/>
              <w:rPr>
                <w:rFonts w:asciiTheme="minorEastAsia" w:hAnsiTheme="minorEastAsia" w:cstheme="minorEastAsia"/>
                <w:kern w:val="0"/>
                <w:sz w:val="24"/>
              </w:rPr>
            </w:pPr>
            <w:r>
              <w:rPr>
                <w:rFonts w:hint="eastAsia" w:asciiTheme="minorEastAsia" w:hAnsiTheme="minorEastAsia" w:cstheme="minorEastAsia"/>
                <w:kern w:val="0"/>
                <w:sz w:val="24"/>
                <w:lang w:val="en-US" w:eastAsia="zh-CN"/>
              </w:rPr>
              <w:t>4、</w:t>
            </w:r>
            <w:r>
              <w:rPr>
                <w:rFonts w:hint="eastAsia" w:asciiTheme="minorEastAsia" w:hAnsiTheme="minorEastAsia" w:cstheme="minorEastAsia"/>
                <w:kern w:val="0"/>
                <w:sz w:val="24"/>
              </w:rPr>
              <w:t xml:space="preserve">琴颈:亚光那都木  </w:t>
            </w:r>
          </w:p>
          <w:p w14:paraId="427E35E8">
            <w:pPr>
              <w:pStyle w:val="61"/>
              <w:keepNext w:val="0"/>
              <w:keepLines w:val="0"/>
              <w:pageBreakBefore w:val="0"/>
              <w:numPr>
                <w:ilvl w:val="0"/>
                <w:numId w:val="0"/>
              </w:numPr>
              <w:kinsoku/>
              <w:wordWrap/>
              <w:overflowPunct/>
              <w:topLinePunct w:val="0"/>
              <w:autoSpaceDE/>
              <w:autoSpaceDN/>
              <w:bidi w:val="0"/>
              <w:adjustRightInd/>
              <w:snapToGrid/>
              <w:spacing w:line="240" w:lineRule="auto"/>
              <w:jc w:val="left"/>
              <w:rPr>
                <w:rFonts w:asciiTheme="minorEastAsia" w:hAnsiTheme="minorEastAsia" w:cstheme="minorEastAsia"/>
                <w:kern w:val="0"/>
                <w:sz w:val="24"/>
              </w:rPr>
            </w:pPr>
            <w:r>
              <w:rPr>
                <w:rFonts w:hint="eastAsia" w:asciiTheme="minorEastAsia" w:hAnsiTheme="minorEastAsia" w:cstheme="minorEastAsia"/>
                <w:kern w:val="0"/>
                <w:sz w:val="24"/>
                <w:lang w:val="en-US" w:eastAsia="zh-CN"/>
              </w:rPr>
              <w:t>5、</w:t>
            </w:r>
            <w:r>
              <w:rPr>
                <w:rFonts w:hint="eastAsia" w:asciiTheme="minorEastAsia" w:hAnsiTheme="minorEastAsia" w:cstheme="minorEastAsia"/>
                <w:kern w:val="0"/>
                <w:sz w:val="24"/>
              </w:rPr>
              <w:t>指板:玫瑰木</w:t>
            </w:r>
          </w:p>
          <w:p w14:paraId="0DDE50AD">
            <w:pPr>
              <w:pStyle w:val="61"/>
              <w:keepNext w:val="0"/>
              <w:keepLines w:val="0"/>
              <w:pageBreakBefore w:val="0"/>
              <w:numPr>
                <w:ilvl w:val="0"/>
                <w:numId w:val="0"/>
              </w:numPr>
              <w:kinsoku/>
              <w:wordWrap/>
              <w:overflowPunct/>
              <w:topLinePunct w:val="0"/>
              <w:autoSpaceDE/>
              <w:autoSpaceDN/>
              <w:bidi w:val="0"/>
              <w:adjustRightInd/>
              <w:snapToGrid/>
              <w:spacing w:line="240" w:lineRule="auto"/>
              <w:jc w:val="left"/>
              <w:rPr>
                <w:rFonts w:asciiTheme="minorEastAsia" w:hAnsiTheme="minorEastAsia" w:cstheme="minorEastAsia"/>
                <w:kern w:val="0"/>
                <w:sz w:val="24"/>
              </w:rPr>
            </w:pPr>
            <w:r>
              <w:rPr>
                <w:rFonts w:hint="eastAsia" w:asciiTheme="minorEastAsia" w:hAnsiTheme="minorEastAsia" w:cstheme="minorEastAsia"/>
                <w:kern w:val="0"/>
                <w:sz w:val="24"/>
                <w:lang w:val="en-US" w:eastAsia="zh-CN"/>
              </w:rPr>
              <w:t>6、</w:t>
            </w:r>
            <w:r>
              <w:rPr>
                <w:rFonts w:hint="eastAsia" w:asciiTheme="minorEastAsia" w:hAnsiTheme="minorEastAsia" w:cstheme="minorEastAsia"/>
                <w:kern w:val="0"/>
                <w:sz w:val="24"/>
              </w:rPr>
              <w:t>拾音器:压电拾音器SYSTEM66SRT</w:t>
            </w:r>
          </w:p>
        </w:tc>
        <w:tc>
          <w:tcPr>
            <w:tcW w:w="698" w:type="dxa"/>
            <w:shd w:val="clear" w:color="auto" w:fill="auto"/>
            <w:vAlign w:val="center"/>
          </w:tcPr>
          <w:p w14:paraId="1C3B8C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70777C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w:t>
            </w:r>
          </w:p>
        </w:tc>
        <w:tc>
          <w:tcPr>
            <w:tcW w:w="698" w:type="dxa"/>
            <w:vAlign w:val="center"/>
          </w:tcPr>
          <w:p w14:paraId="74D607D8">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3428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4B938BD8">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14</w:t>
            </w:r>
          </w:p>
        </w:tc>
        <w:tc>
          <w:tcPr>
            <w:tcW w:w="1400" w:type="dxa"/>
            <w:shd w:val="clear" w:color="auto" w:fill="auto"/>
            <w:vAlign w:val="center"/>
          </w:tcPr>
          <w:p w14:paraId="3459A242">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电吉他琴弦</w:t>
            </w:r>
          </w:p>
        </w:tc>
        <w:tc>
          <w:tcPr>
            <w:tcW w:w="9766" w:type="dxa"/>
            <w:vAlign w:val="center"/>
          </w:tcPr>
          <w:p w14:paraId="2B47E03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1、选用专业钢芯镀镍合金缠弦</w:t>
            </w:r>
          </w:p>
          <w:p w14:paraId="14AECF2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2、琴弦张力均匀，延音持久，金属感强电磁效果好，是练习用弦的佳选合金缠弦</w:t>
            </w:r>
          </w:p>
          <w:p w14:paraId="4BB37BF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3、防锈涂层</w:t>
            </w:r>
          </w:p>
          <w:p w14:paraId="33F1D21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4、手感顺滑</w:t>
            </w:r>
          </w:p>
          <w:p w14:paraId="3C7F41D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5、音色细腻柔和</w:t>
            </w:r>
          </w:p>
          <w:p w14:paraId="35C6E09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6、防锈弦更耐用</w:t>
            </w:r>
          </w:p>
          <w:p w14:paraId="33E8746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7、快乐享受演奏</w:t>
            </w:r>
          </w:p>
          <w:p w14:paraId="4E822CF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8、弹奏手感舒适</w:t>
            </w:r>
          </w:p>
          <w:p w14:paraId="3A84C27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9、增加使用寿命"</w:t>
            </w:r>
          </w:p>
        </w:tc>
        <w:tc>
          <w:tcPr>
            <w:tcW w:w="698" w:type="dxa"/>
            <w:shd w:val="clear" w:color="auto" w:fill="auto"/>
            <w:vAlign w:val="center"/>
          </w:tcPr>
          <w:p w14:paraId="39E59F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57482C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10</w:t>
            </w:r>
          </w:p>
        </w:tc>
        <w:tc>
          <w:tcPr>
            <w:tcW w:w="698" w:type="dxa"/>
            <w:vAlign w:val="center"/>
          </w:tcPr>
          <w:p w14:paraId="2DA6B2DB">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67F1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0AFC0B89">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15</w:t>
            </w:r>
          </w:p>
        </w:tc>
        <w:tc>
          <w:tcPr>
            <w:tcW w:w="1400" w:type="dxa"/>
            <w:shd w:val="clear" w:color="auto" w:fill="auto"/>
            <w:vAlign w:val="center"/>
          </w:tcPr>
          <w:p w14:paraId="523C4747">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木吉他琴弦</w:t>
            </w:r>
          </w:p>
        </w:tc>
        <w:tc>
          <w:tcPr>
            <w:tcW w:w="9766" w:type="dxa"/>
            <w:vAlign w:val="center"/>
          </w:tcPr>
          <w:p w14:paraId="463B761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1、民谣吉他套弦</w:t>
            </w:r>
          </w:p>
          <w:p w14:paraId="2F9FBF1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2、不锈钢丝光弦</w:t>
            </w:r>
          </w:p>
          <w:p w14:paraId="34FCDE0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3、防锈涂层．磷青铜缠弦钢芯"</w:t>
            </w:r>
          </w:p>
        </w:tc>
        <w:tc>
          <w:tcPr>
            <w:tcW w:w="698" w:type="dxa"/>
            <w:shd w:val="clear" w:color="auto" w:fill="auto"/>
            <w:vAlign w:val="center"/>
          </w:tcPr>
          <w:p w14:paraId="13EDA4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根</w:t>
            </w:r>
          </w:p>
        </w:tc>
        <w:tc>
          <w:tcPr>
            <w:tcW w:w="843" w:type="dxa"/>
            <w:shd w:val="clear" w:color="auto" w:fill="auto"/>
            <w:vAlign w:val="center"/>
          </w:tcPr>
          <w:p w14:paraId="6378FE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10</w:t>
            </w:r>
          </w:p>
        </w:tc>
        <w:tc>
          <w:tcPr>
            <w:tcW w:w="698" w:type="dxa"/>
            <w:vAlign w:val="center"/>
          </w:tcPr>
          <w:p w14:paraId="4588FC0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15F0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7CC9DC6C">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16</w:t>
            </w:r>
          </w:p>
        </w:tc>
        <w:tc>
          <w:tcPr>
            <w:tcW w:w="1400" w:type="dxa"/>
            <w:shd w:val="clear" w:color="auto" w:fill="auto"/>
            <w:vAlign w:val="center"/>
          </w:tcPr>
          <w:p w14:paraId="73FABAA7">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吉他变调夹</w:t>
            </w:r>
          </w:p>
        </w:tc>
        <w:tc>
          <w:tcPr>
            <w:tcW w:w="9766" w:type="dxa"/>
            <w:vAlign w:val="center"/>
          </w:tcPr>
          <w:p w14:paraId="7EA8D94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记忆弹簧夹力更足稳固耐用环保硅胶缓冲结构不伤琴颈电镀工艺防锈耐用</w:t>
            </w:r>
          </w:p>
        </w:tc>
        <w:tc>
          <w:tcPr>
            <w:tcW w:w="698" w:type="dxa"/>
            <w:shd w:val="clear" w:color="auto" w:fill="auto"/>
            <w:vAlign w:val="center"/>
          </w:tcPr>
          <w:p w14:paraId="551369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个</w:t>
            </w:r>
          </w:p>
        </w:tc>
        <w:tc>
          <w:tcPr>
            <w:tcW w:w="843" w:type="dxa"/>
            <w:shd w:val="clear" w:color="auto" w:fill="auto"/>
            <w:vAlign w:val="center"/>
          </w:tcPr>
          <w:p w14:paraId="574FF3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5</w:t>
            </w:r>
          </w:p>
        </w:tc>
        <w:tc>
          <w:tcPr>
            <w:tcW w:w="698" w:type="dxa"/>
            <w:vAlign w:val="center"/>
          </w:tcPr>
          <w:p w14:paraId="4542C742">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291A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09C26F6D">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17</w:t>
            </w:r>
          </w:p>
        </w:tc>
        <w:tc>
          <w:tcPr>
            <w:tcW w:w="1400" w:type="dxa"/>
            <w:shd w:val="clear" w:color="auto" w:fill="auto"/>
            <w:vAlign w:val="center"/>
          </w:tcPr>
          <w:p w14:paraId="65385B6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吉他调音器</w:t>
            </w:r>
          </w:p>
        </w:tc>
        <w:tc>
          <w:tcPr>
            <w:tcW w:w="9766" w:type="dxa"/>
            <w:vAlign w:val="center"/>
          </w:tcPr>
          <w:p w14:paraId="3A1E46D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1、校音范围◇C-a1◇65-445Hz)</w:t>
            </w:r>
          </w:p>
          <w:p w14:paraId="6534F72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2、校音项目◇吉他空弦</w:t>
            </w:r>
          </w:p>
          <w:p w14:paraId="23DCBF4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3、电源◇3V(CR2032钮扣锂电池1粒"</w:t>
            </w:r>
          </w:p>
        </w:tc>
        <w:tc>
          <w:tcPr>
            <w:tcW w:w="698" w:type="dxa"/>
            <w:shd w:val="clear" w:color="auto" w:fill="auto"/>
            <w:vAlign w:val="center"/>
          </w:tcPr>
          <w:p w14:paraId="1D915A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个</w:t>
            </w:r>
          </w:p>
        </w:tc>
        <w:tc>
          <w:tcPr>
            <w:tcW w:w="843" w:type="dxa"/>
            <w:shd w:val="clear" w:color="auto" w:fill="auto"/>
            <w:vAlign w:val="center"/>
          </w:tcPr>
          <w:p w14:paraId="4BF5BD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5</w:t>
            </w:r>
          </w:p>
        </w:tc>
        <w:tc>
          <w:tcPr>
            <w:tcW w:w="698" w:type="dxa"/>
            <w:vAlign w:val="center"/>
          </w:tcPr>
          <w:p w14:paraId="4ADC725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44BB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41D069C9">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18</w:t>
            </w:r>
          </w:p>
        </w:tc>
        <w:tc>
          <w:tcPr>
            <w:tcW w:w="1400" w:type="dxa"/>
            <w:shd w:val="clear" w:color="auto" w:fill="auto"/>
            <w:vAlign w:val="center"/>
          </w:tcPr>
          <w:p w14:paraId="5EDA0220">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教学专用立式钢琴</w:t>
            </w:r>
          </w:p>
        </w:tc>
        <w:tc>
          <w:tcPr>
            <w:tcW w:w="9766" w:type="dxa"/>
            <w:vAlign w:val="center"/>
          </w:tcPr>
          <w:p w14:paraId="5AD90DC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1.琴键数：88键;2.颜色：黑色亮光</w:t>
            </w:r>
          </w:p>
          <w:p w14:paraId="7CAA21D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3.尺寸：1310mm*1530mm*660mm；</w:t>
            </w:r>
          </w:p>
          <w:p w14:paraId="4284621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4.重量:259KG;</w:t>
            </w:r>
          </w:p>
          <w:p w14:paraId="2EAB64C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5.击弦机：枫木击弦机，精确度达到0.05毫米。</w:t>
            </w:r>
          </w:p>
          <w:p w14:paraId="36B474A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6.键盘：云杉实木制作、键体木材部分不能涂油漆、键皮与木材部分无痕粘接;</w:t>
            </w:r>
          </w:p>
          <w:p w14:paraId="01A0D38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7.白键面：采用丙烯树脂;</w:t>
            </w:r>
          </w:p>
          <w:p w14:paraId="5AA6418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8.黑键面：酚醛树脂;</w:t>
            </w:r>
          </w:p>
          <w:p w14:paraId="76E6083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9.音板：云杉实木音板,运用独特技术设计，音色好且稳定，在各种条件下都能保持良好的工作状态；</w:t>
            </w:r>
          </w:p>
          <w:p w14:paraId="2D535B8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10.弦槌：采用高档纯羊毛榔头、特质内衬弦槌，并运用传统工艺制作的弦槌，音色明亮通透。;</w:t>
            </w:r>
          </w:p>
          <w:p w14:paraId="4BC1CD6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11.弦轴板：由多层坚硬的色木交错高压力冷压而成，为弦轴钉提供稳固的握钉力，保证了音准稳定性，使用防潮密封胶粘合;</w:t>
            </w:r>
          </w:p>
          <w:p w14:paraId="39E8A4F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12.★顶杆：采用高强度ABS材质，不易磨损变形，自润性能佳，保证产品稳定性；</w:t>
            </w:r>
          </w:p>
          <w:p w14:paraId="468A9C9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13.击弦机支架：铝合金支架，保证击弦机稳定性；</w:t>
            </w:r>
          </w:p>
          <w:p w14:paraId="22BC061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14.键盘盖：摆杆式缓降系统；</w:t>
            </w:r>
          </w:p>
          <w:p w14:paraId="4671A85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15.琴弦：高级琴弦、音色纯净，音准稳定，表面无镀铬或镀镍涂层;</w:t>
            </w:r>
          </w:p>
          <w:p w14:paraId="688F7E2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16.中盘：采用多层板且有金属加固，长期耐候不变形；</w:t>
            </w:r>
          </w:p>
          <w:p w14:paraId="0B277EE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17.★码桥：弧线型悬浮式码桥，纯实木制作，黏合式实木下桥码；</w:t>
            </w:r>
          </w:p>
          <w:p w14:paraId="36F1136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18.踏板材料：三个，实心纯铜制作;</w:t>
            </w:r>
          </w:p>
          <w:p w14:paraId="3040325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19.踏板连杆：金属连杆方式机械传动;</w:t>
            </w:r>
          </w:p>
          <w:p w14:paraId="3123293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20.铸铁板：原产真空铸造大U型铸铁板，表面光滑细腻；</w:t>
            </w:r>
          </w:p>
          <w:p w14:paraId="473ADEE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21.油漆：绿色无铅环保油漆，采用静电喷涂、自动淋油等先进涂饰工艺，令漆面光滑平整;</w:t>
            </w:r>
          </w:p>
          <w:p w14:paraId="04D8CA5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22.上门板整板设计，金色金属部件；</w:t>
            </w:r>
          </w:p>
          <w:p w14:paraId="10F54C6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23.需提供质量认证：ISO9001</w:t>
            </w:r>
          </w:p>
          <w:p w14:paraId="571A0E8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24.需提供环境管理体系认证ISO14001</w:t>
            </w:r>
          </w:p>
          <w:p w14:paraId="61ADEAF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25.需包含琴凳.钢琴罩</w:t>
            </w:r>
          </w:p>
        </w:tc>
        <w:tc>
          <w:tcPr>
            <w:tcW w:w="698" w:type="dxa"/>
            <w:shd w:val="clear" w:color="auto" w:fill="auto"/>
            <w:vAlign w:val="center"/>
          </w:tcPr>
          <w:p w14:paraId="3989B0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台</w:t>
            </w:r>
          </w:p>
        </w:tc>
        <w:tc>
          <w:tcPr>
            <w:tcW w:w="843" w:type="dxa"/>
            <w:shd w:val="clear" w:color="auto" w:fill="auto"/>
            <w:vAlign w:val="center"/>
          </w:tcPr>
          <w:p w14:paraId="3B31AF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w:t>
            </w:r>
          </w:p>
        </w:tc>
        <w:tc>
          <w:tcPr>
            <w:tcW w:w="698" w:type="dxa"/>
            <w:vAlign w:val="center"/>
          </w:tcPr>
          <w:p w14:paraId="50921F3B">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0043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483" w:type="dxa"/>
            <w:vAlign w:val="center"/>
          </w:tcPr>
          <w:p w14:paraId="0A7B93D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bookmarkStart w:id="115" w:name="_Hlk193134423"/>
            <w:r>
              <w:rPr>
                <w:rFonts w:hint="eastAsia" w:asciiTheme="minorEastAsia" w:hAnsiTheme="minorEastAsia" w:cstheme="minorEastAsia"/>
                <w:kern w:val="0"/>
                <w:sz w:val="24"/>
                <w:szCs w:val="24"/>
              </w:rPr>
              <w:t>19</w:t>
            </w:r>
          </w:p>
        </w:tc>
        <w:tc>
          <w:tcPr>
            <w:tcW w:w="1400" w:type="dxa"/>
            <w:shd w:val="clear" w:color="auto" w:fill="auto"/>
            <w:vAlign w:val="center"/>
          </w:tcPr>
          <w:p w14:paraId="0AAC5929">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sz w:val="24"/>
                <w:szCs w:val="24"/>
              </w:rPr>
            </w:pPr>
            <w:r>
              <w:rPr>
                <w:rFonts w:hint="eastAsia" w:asciiTheme="minorEastAsia" w:hAnsiTheme="minorEastAsia" w:cstheme="minorEastAsia"/>
                <w:sz w:val="24"/>
                <w:szCs w:val="24"/>
              </w:rPr>
              <w:t>吉他挂钩</w:t>
            </w:r>
          </w:p>
        </w:tc>
        <w:tc>
          <w:tcPr>
            <w:tcW w:w="9766" w:type="dxa"/>
            <w:vAlign w:val="center"/>
          </w:tcPr>
          <w:p w14:paraId="01A1726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1.5米，槽板铝合金展架，配吉它专用短款自锁挂钩。</w:t>
            </w:r>
          </w:p>
        </w:tc>
        <w:tc>
          <w:tcPr>
            <w:tcW w:w="698" w:type="dxa"/>
            <w:shd w:val="clear" w:color="auto" w:fill="auto"/>
            <w:vAlign w:val="center"/>
          </w:tcPr>
          <w:p w14:paraId="3DC5E9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kern w:val="0"/>
                <w:sz w:val="24"/>
                <w:szCs w:val="24"/>
                <w:lang w:bidi="ar"/>
              </w:rPr>
            </w:pPr>
            <w:r>
              <w:rPr>
                <w:rFonts w:hint="eastAsia" w:asciiTheme="minorEastAsia" w:hAnsiTheme="minorEastAsia" w:cstheme="minorEastAsia"/>
                <w:kern w:val="0"/>
                <w:sz w:val="24"/>
                <w:szCs w:val="24"/>
                <w:lang w:bidi="ar"/>
              </w:rPr>
              <w:t>套</w:t>
            </w:r>
          </w:p>
        </w:tc>
        <w:tc>
          <w:tcPr>
            <w:tcW w:w="843" w:type="dxa"/>
            <w:shd w:val="clear" w:color="auto" w:fill="auto"/>
            <w:vAlign w:val="center"/>
          </w:tcPr>
          <w:p w14:paraId="0E07BA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kern w:val="0"/>
                <w:sz w:val="24"/>
                <w:szCs w:val="24"/>
                <w:lang w:bidi="ar"/>
              </w:rPr>
            </w:pPr>
            <w:r>
              <w:rPr>
                <w:rFonts w:hint="eastAsia" w:asciiTheme="minorEastAsia" w:hAnsiTheme="minorEastAsia" w:cstheme="minorEastAsia"/>
                <w:kern w:val="0"/>
                <w:sz w:val="24"/>
                <w:szCs w:val="24"/>
                <w:lang w:bidi="ar"/>
              </w:rPr>
              <w:t>2</w:t>
            </w:r>
          </w:p>
        </w:tc>
        <w:tc>
          <w:tcPr>
            <w:tcW w:w="698" w:type="dxa"/>
            <w:vAlign w:val="center"/>
          </w:tcPr>
          <w:p w14:paraId="2B86B63C">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bookmarkEnd w:id="115"/>
      <w:tr w14:paraId="2F26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008E93FE">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c>
          <w:tcPr>
            <w:tcW w:w="1400" w:type="dxa"/>
            <w:shd w:val="clear" w:color="auto" w:fill="auto"/>
            <w:vAlign w:val="center"/>
          </w:tcPr>
          <w:p w14:paraId="57B4624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sz w:val="24"/>
                <w:szCs w:val="24"/>
              </w:rPr>
            </w:pPr>
            <w:r>
              <w:rPr>
                <w:rFonts w:hint="eastAsia" w:asciiTheme="minorEastAsia" w:hAnsiTheme="minorEastAsia" w:cstheme="minorEastAsia"/>
                <w:sz w:val="24"/>
                <w:szCs w:val="24"/>
              </w:rPr>
              <w:t>实木更衣柜</w:t>
            </w:r>
          </w:p>
        </w:tc>
        <w:tc>
          <w:tcPr>
            <w:tcW w:w="9766" w:type="dxa"/>
            <w:vAlign w:val="center"/>
          </w:tcPr>
          <w:p w14:paraId="308A4D4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一、材质说明：</w:t>
            </w:r>
          </w:p>
          <w:p w14:paraId="16F7D39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1、油漆：运动木地板专用uv漆</w:t>
            </w:r>
          </w:p>
          <w:p w14:paraId="0FA9CE2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2、枫桦木(学名：桦木)：厚度22mm×宽60~80mm×1810mm长.</w:t>
            </w:r>
          </w:p>
          <w:p w14:paraId="6607EC9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3、毛板：厚度12mm×2440mm长×1220mm宽</w:t>
            </w:r>
          </w:p>
          <w:p w14:paraId="3F22D76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4、防潮膜：无纺布</w:t>
            </w:r>
          </w:p>
          <w:p w14:paraId="7FC61A2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5、单龙骨结构：厚度40×宽度50mm(松木实木±2mm)</w:t>
            </w:r>
          </w:p>
          <w:p w14:paraId="7746619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6、弹性胶垫：厚度15mm.</w:t>
            </w:r>
          </w:p>
          <w:p w14:paraId="23CD667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二、结构</w:t>
            </w:r>
          </w:p>
          <w:p w14:paraId="13394E5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1、油漆：采用运动木地板专用UV漆，在工厂生产线上标准化生产，油漆达到防滑、耐磨、抗划擦效果。</w:t>
            </w:r>
          </w:p>
          <w:p w14:paraId="4C32F53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2、面层：采用24/22/20mm厚优质枫木/枫桦/柞木，木板面色调一致、平整刨光，无刨痕、翘曲与鼓包。</w:t>
            </w:r>
          </w:p>
          <w:p w14:paraId="4B3EA59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3、龙骨：采用优质松木龙骨截面尺寸为40mm×50mm。环保性能好、弹性均匀、耐腐蚀能力强,龙骨做完防腐工序后出厂。</w:t>
            </w:r>
          </w:p>
          <w:p w14:paraId="63C1FA8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4、减震垫：采用运动木地板专用减震垫，减震垫厚度≥10mm，确保弹性稳定和减震效果。</w:t>
            </w:r>
          </w:p>
        </w:tc>
        <w:tc>
          <w:tcPr>
            <w:tcW w:w="698" w:type="dxa"/>
            <w:shd w:val="clear" w:color="auto" w:fill="auto"/>
            <w:vAlign w:val="center"/>
          </w:tcPr>
          <w:p w14:paraId="1A2D23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kern w:val="0"/>
                <w:sz w:val="24"/>
                <w:szCs w:val="24"/>
                <w:lang w:bidi="ar"/>
              </w:rPr>
            </w:pPr>
            <w:r>
              <w:rPr>
                <w:rFonts w:hint="eastAsia" w:asciiTheme="minorEastAsia" w:hAnsiTheme="minorEastAsia" w:cstheme="minorEastAsia"/>
                <w:kern w:val="0"/>
                <w:sz w:val="24"/>
                <w:szCs w:val="24"/>
                <w:lang w:bidi="ar"/>
              </w:rPr>
              <w:t>组</w:t>
            </w:r>
          </w:p>
        </w:tc>
        <w:tc>
          <w:tcPr>
            <w:tcW w:w="843" w:type="dxa"/>
            <w:shd w:val="clear" w:color="auto" w:fill="auto"/>
            <w:vAlign w:val="center"/>
          </w:tcPr>
          <w:p w14:paraId="7F9D15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kern w:val="0"/>
                <w:sz w:val="24"/>
                <w:szCs w:val="24"/>
                <w:lang w:bidi="ar"/>
              </w:rPr>
            </w:pPr>
            <w:r>
              <w:rPr>
                <w:rFonts w:hint="eastAsia" w:asciiTheme="minorEastAsia" w:hAnsiTheme="minorEastAsia" w:cstheme="minorEastAsia"/>
                <w:kern w:val="0"/>
                <w:sz w:val="24"/>
                <w:szCs w:val="24"/>
                <w:lang w:bidi="ar"/>
              </w:rPr>
              <w:t>4</w:t>
            </w:r>
          </w:p>
        </w:tc>
        <w:tc>
          <w:tcPr>
            <w:tcW w:w="698" w:type="dxa"/>
            <w:vAlign w:val="center"/>
          </w:tcPr>
          <w:p w14:paraId="23927A75">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5269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2AC1B87F">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21</w:t>
            </w:r>
          </w:p>
        </w:tc>
        <w:tc>
          <w:tcPr>
            <w:tcW w:w="1400" w:type="dxa"/>
            <w:shd w:val="clear" w:color="auto" w:fill="auto"/>
            <w:vAlign w:val="center"/>
          </w:tcPr>
          <w:p w14:paraId="2D5A534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木地板</w:t>
            </w:r>
          </w:p>
        </w:tc>
        <w:tc>
          <w:tcPr>
            <w:tcW w:w="9766" w:type="dxa"/>
            <w:vAlign w:val="center"/>
          </w:tcPr>
          <w:p w14:paraId="7B2C6D8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1、材质:进口橡木大板直拼</w:t>
            </w:r>
          </w:p>
          <w:p w14:paraId="4515072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2、环保等级:ENF级、母婴可用。板材厚度</w:t>
            </w:r>
          </w:p>
          <w:p w14:paraId="290FDBF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3、18MM加厚板材背板9MM，板材表面工艺</w:t>
            </w:r>
          </w:p>
          <w:p w14:paraId="562BC60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4、高温要膜，原木色/胡桃色/奶白色</w:t>
            </w:r>
          </w:p>
          <w:p w14:paraId="48253BA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5、尺寸2000*2000*60mm米高尺寸和内部结构可以定制</w:t>
            </w:r>
          </w:p>
          <w:p w14:paraId="224CE09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6、拉手：免拉手、45座内切拉手</w:t>
            </w:r>
          </w:p>
          <w:p w14:paraId="51EB526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7、铰链：一线品牌悍高M2.0系列2段力铰链</w:t>
            </w:r>
          </w:p>
          <w:p w14:paraId="6C80C13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8、门数：5门</w:t>
            </w:r>
          </w:p>
          <w:p w14:paraId="6F72353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9、预留跟脚线设计(尺寸2*15cm)可定制灯带</w:t>
            </w:r>
          </w:p>
          <w:p w14:paraId="593107F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10、挂衣杆:默认铝合金(可定做实木)"</w:t>
            </w:r>
          </w:p>
        </w:tc>
        <w:tc>
          <w:tcPr>
            <w:tcW w:w="698" w:type="dxa"/>
            <w:shd w:val="clear" w:color="auto" w:fill="auto"/>
            <w:vAlign w:val="center"/>
          </w:tcPr>
          <w:p w14:paraId="204F2E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w:t>
            </w:r>
          </w:p>
        </w:tc>
        <w:tc>
          <w:tcPr>
            <w:tcW w:w="843" w:type="dxa"/>
            <w:shd w:val="clear" w:color="auto" w:fill="auto"/>
            <w:vAlign w:val="center"/>
          </w:tcPr>
          <w:p w14:paraId="2BED86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136</w:t>
            </w:r>
          </w:p>
        </w:tc>
        <w:tc>
          <w:tcPr>
            <w:tcW w:w="698" w:type="dxa"/>
            <w:vAlign w:val="center"/>
          </w:tcPr>
          <w:p w14:paraId="1DF64E21">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5466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43AC8A9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22</w:t>
            </w:r>
          </w:p>
        </w:tc>
        <w:tc>
          <w:tcPr>
            <w:tcW w:w="1400" w:type="dxa"/>
            <w:shd w:val="clear" w:color="auto" w:fill="auto"/>
            <w:vAlign w:val="center"/>
          </w:tcPr>
          <w:p w14:paraId="1E54E8AD">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地插</w:t>
            </w:r>
          </w:p>
        </w:tc>
        <w:tc>
          <w:tcPr>
            <w:tcW w:w="9766" w:type="dxa"/>
            <w:vAlign w:val="center"/>
          </w:tcPr>
          <w:p w14:paraId="5544E17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1、材质：铜包铝合金</w:t>
            </w:r>
          </w:p>
          <w:p w14:paraId="499A4A8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2、孔数：5孔</w:t>
            </w:r>
          </w:p>
          <w:p w14:paraId="261CDAE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3、插口电源：10A</w:t>
            </w:r>
          </w:p>
        </w:tc>
        <w:tc>
          <w:tcPr>
            <w:tcW w:w="698" w:type="dxa"/>
            <w:shd w:val="clear" w:color="auto" w:fill="auto"/>
            <w:vAlign w:val="center"/>
          </w:tcPr>
          <w:p w14:paraId="6B0ADE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个</w:t>
            </w:r>
          </w:p>
        </w:tc>
        <w:tc>
          <w:tcPr>
            <w:tcW w:w="843" w:type="dxa"/>
            <w:shd w:val="clear" w:color="auto" w:fill="auto"/>
            <w:vAlign w:val="center"/>
          </w:tcPr>
          <w:p w14:paraId="4AE938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10</w:t>
            </w:r>
          </w:p>
        </w:tc>
        <w:tc>
          <w:tcPr>
            <w:tcW w:w="698" w:type="dxa"/>
            <w:vAlign w:val="center"/>
          </w:tcPr>
          <w:p w14:paraId="62F5C3E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6AE5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4A75F7F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23</w:t>
            </w:r>
          </w:p>
        </w:tc>
        <w:tc>
          <w:tcPr>
            <w:tcW w:w="1400" w:type="dxa"/>
            <w:shd w:val="clear" w:color="auto" w:fill="auto"/>
            <w:vAlign w:val="center"/>
          </w:tcPr>
          <w:p w14:paraId="6163DE18">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镜子</w:t>
            </w:r>
          </w:p>
        </w:tc>
        <w:tc>
          <w:tcPr>
            <w:tcW w:w="9766" w:type="dxa"/>
            <w:vAlign w:val="center"/>
          </w:tcPr>
          <w:p w14:paraId="21CD259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定制</w:t>
            </w:r>
          </w:p>
          <w:p w14:paraId="1D8D157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尺寸：宽650cm×200cm</w:t>
            </w:r>
          </w:p>
        </w:tc>
        <w:tc>
          <w:tcPr>
            <w:tcW w:w="698" w:type="dxa"/>
            <w:shd w:val="clear" w:color="auto" w:fill="auto"/>
            <w:vAlign w:val="center"/>
          </w:tcPr>
          <w:p w14:paraId="3C64A1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个</w:t>
            </w:r>
          </w:p>
        </w:tc>
        <w:tc>
          <w:tcPr>
            <w:tcW w:w="843" w:type="dxa"/>
            <w:shd w:val="clear" w:color="auto" w:fill="auto"/>
            <w:vAlign w:val="center"/>
          </w:tcPr>
          <w:p w14:paraId="6E0A2A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w:t>
            </w:r>
          </w:p>
        </w:tc>
        <w:tc>
          <w:tcPr>
            <w:tcW w:w="698" w:type="dxa"/>
            <w:vAlign w:val="center"/>
          </w:tcPr>
          <w:p w14:paraId="3CE43F9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71AA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74A5E81B">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bookmarkStart w:id="116" w:name="_Hlk193134505"/>
            <w:r>
              <w:rPr>
                <w:rFonts w:hint="eastAsia" w:asciiTheme="minorEastAsia" w:hAnsiTheme="minorEastAsia" w:cstheme="minorEastAsia"/>
                <w:kern w:val="0"/>
                <w:sz w:val="24"/>
                <w:szCs w:val="24"/>
              </w:rPr>
              <w:t>24</w:t>
            </w:r>
          </w:p>
        </w:tc>
        <w:tc>
          <w:tcPr>
            <w:tcW w:w="1400" w:type="dxa"/>
            <w:shd w:val="clear" w:color="auto" w:fill="auto"/>
            <w:vAlign w:val="center"/>
          </w:tcPr>
          <w:p w14:paraId="1FDCF48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窗帘</w:t>
            </w:r>
          </w:p>
        </w:tc>
        <w:tc>
          <w:tcPr>
            <w:tcW w:w="9766" w:type="dxa"/>
            <w:vAlign w:val="center"/>
          </w:tcPr>
          <w:p w14:paraId="3831782D">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1、透光度：全遮光</w:t>
            </w:r>
          </w:p>
          <w:p w14:paraId="39A590E5">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2、面料防尘性：窗帘具备防尘功能</w:t>
            </w:r>
          </w:p>
          <w:p w14:paraId="237522BB">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3、面料防火性：防火</w:t>
            </w:r>
          </w:p>
          <w:p w14:paraId="71A07305">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4、面料抗UV性：是</w:t>
            </w:r>
          </w:p>
          <w:p w14:paraId="67736621">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5、无任何毒性,无刺激性气味，属绿色环保型产品比普通涤纶更柔软，色牢度更高。</w:t>
            </w:r>
          </w:p>
          <w:p w14:paraId="6639E4DE">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6、尺寸：1500cm×260cm(长×高)，</w:t>
            </w:r>
          </w:p>
        </w:tc>
        <w:tc>
          <w:tcPr>
            <w:tcW w:w="698" w:type="dxa"/>
            <w:shd w:val="clear" w:color="auto" w:fill="auto"/>
            <w:vAlign w:val="center"/>
          </w:tcPr>
          <w:p w14:paraId="18002F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批</w:t>
            </w:r>
          </w:p>
        </w:tc>
        <w:tc>
          <w:tcPr>
            <w:tcW w:w="843" w:type="dxa"/>
            <w:shd w:val="clear" w:color="auto" w:fill="auto"/>
            <w:vAlign w:val="center"/>
          </w:tcPr>
          <w:p w14:paraId="4006FA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w:t>
            </w:r>
          </w:p>
        </w:tc>
        <w:tc>
          <w:tcPr>
            <w:tcW w:w="698" w:type="dxa"/>
            <w:vAlign w:val="center"/>
          </w:tcPr>
          <w:p w14:paraId="47E86EE2">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bookmarkEnd w:id="116"/>
      <w:tr w14:paraId="3DB4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0749BC00">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25</w:t>
            </w:r>
          </w:p>
        </w:tc>
        <w:tc>
          <w:tcPr>
            <w:tcW w:w="1400" w:type="dxa"/>
            <w:shd w:val="clear" w:color="auto" w:fill="auto"/>
            <w:vAlign w:val="center"/>
          </w:tcPr>
          <w:p w14:paraId="67CDCE95">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空调</w:t>
            </w:r>
          </w:p>
        </w:tc>
        <w:tc>
          <w:tcPr>
            <w:tcW w:w="9766" w:type="dxa"/>
            <w:vAlign w:val="center"/>
          </w:tcPr>
          <w:p w14:paraId="3D3C6BC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bookmarkStart w:id="117" w:name="OLE_LINK21"/>
            <w:r>
              <w:rPr>
                <w:rFonts w:hint="eastAsia" w:asciiTheme="minorEastAsia" w:hAnsiTheme="minorEastAsia" w:cstheme="minorEastAsia"/>
                <w:kern w:val="0"/>
                <w:sz w:val="24"/>
                <w:szCs w:val="24"/>
              </w:rPr>
              <w:t>3匹，冷暖型</w:t>
            </w:r>
            <w:bookmarkEnd w:id="117"/>
          </w:p>
        </w:tc>
        <w:tc>
          <w:tcPr>
            <w:tcW w:w="698" w:type="dxa"/>
            <w:shd w:val="clear" w:color="auto" w:fill="auto"/>
            <w:vAlign w:val="center"/>
          </w:tcPr>
          <w:p w14:paraId="0FFA9F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台</w:t>
            </w:r>
          </w:p>
        </w:tc>
        <w:tc>
          <w:tcPr>
            <w:tcW w:w="843" w:type="dxa"/>
            <w:shd w:val="clear" w:color="auto" w:fill="auto"/>
            <w:vAlign w:val="center"/>
          </w:tcPr>
          <w:p w14:paraId="1A92E8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w:t>
            </w:r>
          </w:p>
        </w:tc>
        <w:tc>
          <w:tcPr>
            <w:tcW w:w="698" w:type="dxa"/>
            <w:vAlign w:val="center"/>
          </w:tcPr>
          <w:p w14:paraId="1D61DB8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579D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27C8E91D">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bookmarkStart w:id="118" w:name="_Hlk193134857"/>
            <w:r>
              <w:rPr>
                <w:rFonts w:hint="eastAsia" w:asciiTheme="minorEastAsia" w:hAnsiTheme="minorEastAsia" w:cstheme="minorEastAsia"/>
                <w:kern w:val="0"/>
                <w:sz w:val="24"/>
                <w:szCs w:val="24"/>
              </w:rPr>
              <w:t>26</w:t>
            </w:r>
          </w:p>
        </w:tc>
        <w:tc>
          <w:tcPr>
            <w:tcW w:w="1400" w:type="dxa"/>
            <w:shd w:val="clear" w:color="auto" w:fill="auto"/>
            <w:vAlign w:val="center"/>
          </w:tcPr>
          <w:p w14:paraId="55EFCFC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cstheme="minorEastAsia"/>
                <w:color w:val="000000"/>
                <w:sz w:val="24"/>
                <w:szCs w:val="24"/>
              </w:rPr>
              <w:t>智慧黑板（多媒体）</w:t>
            </w:r>
          </w:p>
        </w:tc>
        <w:tc>
          <w:tcPr>
            <w:tcW w:w="9766" w:type="dxa"/>
            <w:vAlign w:val="center"/>
          </w:tcPr>
          <w:p w14:paraId="6088F7E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一、屏体及触控技术要求：</w:t>
            </w:r>
          </w:p>
          <w:p w14:paraId="24DBF72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1.智能交互黑板显示尺寸≥86英寸，刷新率：60Hz，分辨率：3840*2160，在双系统下均支持30点触控。（需提供CMA或CNAS认证检测机构出具的检测报告并加盖公章）</w:t>
            </w:r>
          </w:p>
          <w:p w14:paraId="3A66055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2.智能交互黑板表面玻璃采用高强度钢化玻璃，AG防眩光，厚度≤3.2mm，硬度≥莫氏7级，石墨硬度≥9H。</w:t>
            </w:r>
          </w:p>
          <w:p w14:paraId="7497416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3.为确保教学有更大的使用面积，智能交互黑板整体长度＞4400mm。</w:t>
            </w:r>
          </w:p>
          <w:p w14:paraId="17D7873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智能交互黑板需采用全贴合设计，屏体表面无可见金属条纹，以45度角观察屏幕，钢化玻璃和液晶显示层无间隙密贴合，无水雾/水汽，减少显示面板与玻璃间的偏光、散射，画面显示更加清晰通透；178度可见屏体图像。</w:t>
            </w:r>
          </w:p>
          <w:p w14:paraId="7803E32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二、安全性要求：</w:t>
            </w:r>
          </w:p>
          <w:p w14:paraId="737C52E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1.智能交互黑板背光系统支持DC调光方式，多级亮度调节，拍摄时画面无条纹闪烁。光源稳定无频闪，防止眼睛疲劳。（提供CMA或CNAS认证检测机构出具的检测报告并加盖公章）</w:t>
            </w:r>
          </w:p>
          <w:p w14:paraId="36916FF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2.满足《GB40070-2021儿童青少年学习用品近视防控卫生要求》。</w:t>
            </w:r>
          </w:p>
          <w:p w14:paraId="66E2903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3.智能交互黑板全通道支持纸质护眼模式，可实现画面纹理的实时调整；支持纸质纹理：素描纸、宣纸、水彩纸、牛皮纸、水纹纸；支持透明度调节与色温调节；显示画面各像素点灰度不规则，减少背景干扰。</w:t>
            </w:r>
          </w:p>
          <w:p w14:paraId="457D327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4.智能交互黑板可进行硬件自检，包括对系统内存、存储、触控系统、光感系统、内置电脑、屏体信息、CPU型号、CPU使用率、设备名称等进行状态提示及故障提示。</w:t>
            </w:r>
          </w:p>
          <w:p w14:paraId="2DCCC3C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5.依据GB21520-2023标准，能效等级达到1级。</w:t>
            </w:r>
          </w:p>
          <w:p w14:paraId="6105DFF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6.智能交互黑板具备屏体温度实时监控、高温预警及断电保护等功能。(需提供CMA或CNAS认证检测机构出具的检测报告并加盖公章)</w:t>
            </w:r>
          </w:p>
          <w:p w14:paraId="3B1090F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三、教学要求：</w:t>
            </w:r>
          </w:p>
          <w:p w14:paraId="29BEAE1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1.智能交互黑板前置面板至少具备1路HDMI接口（非转接），2路USB3.0接口，1路Type-C接口。（需提供CMA或CNAS认证检测机构出具的检测报告并加盖公章）</w:t>
            </w:r>
          </w:p>
          <w:p w14:paraId="4C1E51B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2.为方便用户外接拓展设备，智能交互黑板后置标配非扩展HDMI输入≥2路，HDMI输出≥1路（支持安卓及其他通道信号输出）。（需提供CMA或CNAS认证检测机构出具的检测报告并加盖公章）</w:t>
            </w:r>
          </w:p>
          <w:p w14:paraId="7A69E75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3.智能交互黑板具有笔槽结构，可放置书写笔、粉笔、水性笔等，笔槽具有漏灰孔设计。</w:t>
            </w:r>
          </w:p>
          <w:p w14:paraId="1460D66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4.为方便维护，智能交互黑板具有前掀式维护功能，主屏向上掀起角度≥30°。</w:t>
            </w:r>
          </w:p>
          <w:p w14:paraId="344F093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5.★智能交互黑板前置按键≥6个，可实现音量加减、窗口关闭、触控开关等功能，且按键均支持功能复用。（需提供CMA或CNAS认证检测机构出具的检测报告并加盖公章）</w:t>
            </w:r>
          </w:p>
          <w:p w14:paraId="74169A9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6.★前置按键面板向上倾斜，与黑板正面形成夹角，符合人体工学，操作更加便捷。（需提供CMA或CNAS认证检测机构出具的检测报告并加盖公章）</w:t>
            </w:r>
          </w:p>
          <w:p w14:paraId="6BA57FB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7.智能交互黑板接口具备丝印中文标识。</w:t>
            </w:r>
          </w:p>
          <w:p w14:paraId="6756124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8.★智能交互黑板采用≥12核国产化驱动芯片，8核CPU、4核GPU。Android系统版本≥14.0，内存≥2G，存储≥8G。（需提供CMA或CNAS认证检测机构出具的检测报告并加盖公章）</w:t>
            </w:r>
          </w:p>
          <w:p w14:paraId="4E866D0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9.采用针孔阵列发声设计，2.2声道，下边框具有6个发声单元，最大功率≥60W,扬声器在100%音量下，1米处声压级≥90dB，10米处声压级≥80dB；最低谐振频率不高于100Hz。（需提供CMA或CNAS认证检测机构出具的检测报告并加盖公章）</w:t>
            </w:r>
          </w:p>
          <w:p w14:paraId="6F201D8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10.★内置一体化超高清5K摄像头，单颗摄像头有效像素＞1900W，可输出最大分辨率5100*3800的图片与视频，支持搭配AI软件实现自动点名点数功能，支持远程巡课功能，具备指示灯工作状态提示。（需提供CMA或CNAS认证检测机构出具的检测报告并加盖公章）</w:t>
            </w:r>
          </w:p>
          <w:p w14:paraId="6A9DFA9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11.智能交互黑板内置8阵列麦克风，拾音角度≥180°，可用于对教室环境音频进行采集。</w:t>
            </w:r>
          </w:p>
          <w:p w14:paraId="33FEA1E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12.★智能交互黑板具备前置电脑还原按键，无需专业人员即可轻松解决电脑系统故障，为避免误碰按键采用针孔式设计。(需提供CMA或CNAS认证检测机构出具的检测报告并加盖公章)（提供设备照片或者视频进行证明，视频一镜到底）</w:t>
            </w:r>
          </w:p>
          <w:p w14:paraId="418ACFB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13.只需一根网线连接，即可实现Windows和Andriod双系统同时上网。</w:t>
            </w:r>
          </w:p>
          <w:p w14:paraId="78E7026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14.具备无线（包括Wi-Fi和Bluetooth蓝牙）独立模块，支持单独拆卸。</w:t>
            </w:r>
          </w:p>
          <w:p w14:paraId="15A68F5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15.智能交互黑板内置Wi-Fi6无线网卡，支持2.4G、5G双频，支持无线设备同时连接数量≥20个。在Android连接Wi-Fi上网（STA）的情况下，Windows会同步连接网络。Android下支持自定义AP无线热点名称和密码，满足IEEE802.11a\b\g\n\ac\axwave2协议标准，实现无线信号的中继和桥接，扩大无线网络的覆盖范围，适应不同教学需求和环境。</w:t>
            </w:r>
          </w:p>
          <w:p w14:paraId="46C114A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四、应用功能要求：</w:t>
            </w:r>
          </w:p>
          <w:p w14:paraId="4CDAA93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智能交互黑板左右两侧可提供与教学应用密切相关的快捷键，数量各不少于14个，并支持自定义设置：时间，显示模式，支持单侧显示、双侧同时显示，该快捷键至少具有关闭窗口、展台、桌面、多屏互动等教学常用按键。(需提供CMA或CNAS认证检测机构出具的检测报告并加盖公章)</w:t>
            </w:r>
          </w:p>
          <w:p w14:paraId="5A061CC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2.在任意信号源下，从屏幕下方任意位置向上滑动，可调用快捷设置菜单无需切换系统，可快速调节Windows和Android的设置，并支持拖拽到屏幕任意位置。</w:t>
            </w:r>
          </w:p>
          <w:p w14:paraId="02B6A7D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3.智能交互黑板具有悬浮菜单，两指可快速移动悬浮菜单至按压位置，悬浮菜单可进行自定义分组，可添加AI互动软件等不少于30个应用。</w:t>
            </w:r>
          </w:p>
          <w:p w14:paraId="04B6691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4.支持智能手势，可通过多指长按屏幕实现悬浮窗快速调用、屏幕息屏或亮屏、屏幕下移、多任务等功能，方便教学操作。</w:t>
            </w:r>
          </w:p>
          <w:p w14:paraId="10B84E4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5.为节约用电，具备自动待机功能，在无操作或无信号输入时，自动进入待机节能状态，时间间隔可自定义。</w:t>
            </w:r>
          </w:p>
          <w:p w14:paraId="6EF45FA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6.智能节电，可自定义设置，在无操作或无信号输入15分钟或更长时间,出现关机提示倒计时。</w:t>
            </w:r>
          </w:p>
          <w:p w14:paraId="647A900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7.智能交互黑板处于关机通电状态，外接电脑、机顶盒等设备接入交互黑板时，智能交互黑板可识别到外接设备的输入信号后自动开机。</w:t>
            </w:r>
          </w:p>
          <w:p w14:paraId="012EF32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8.为方便管理，智能交互黑板具备锁屏功能，支持密码锁屏和二维码锁屏2种方式。</w:t>
            </w:r>
          </w:p>
          <w:p w14:paraId="299CBD0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9.可自动识别新接入的信号源，并自动切换到该信号源显示，在断开连接后，弹出确认，10秒后返回之前信号源。</w:t>
            </w:r>
          </w:p>
          <w:p w14:paraId="65426E6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五、侧板要求：</w:t>
            </w:r>
          </w:p>
          <w:p w14:paraId="3926BAE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支持磁性材质教具吸附</w:t>
            </w:r>
          </w:p>
          <w:p w14:paraId="47BE945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板面光泽度需符合GB28231-2011标准，不高于8光泽度以免产生眩光</w:t>
            </w:r>
          </w:p>
          <w:p w14:paraId="534457D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板面粗糙度需符合GB28231-2011标准，位于1.6um-2.0um之间</w:t>
            </w:r>
          </w:p>
          <w:p w14:paraId="11F8BB6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板面符合GB/T9286-2021标准，支持色漆和清漆漆膜的划格试验，脱漆面积不明显大于5%达到0级标准</w:t>
            </w:r>
          </w:p>
          <w:p w14:paraId="6781D58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板面抗冲击性需符合GB/T1732-2020标准，漆膜耐冲击无裂纹现象。</w:t>
            </w:r>
          </w:p>
          <w:p w14:paraId="108BEEC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六、内置电脑要求：</w:t>
            </w:r>
          </w:p>
          <w:p w14:paraId="792E8A1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采用80pinIntel通用标准接口,即插即用，易于维护。</w:t>
            </w:r>
          </w:p>
          <w:p w14:paraId="50A8481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CPU采用Intel第11代或以上平台处理器酷睿I5处理器。</w:t>
            </w:r>
          </w:p>
          <w:p w14:paraId="2350C8A1">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3.</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内存：≥8GDDR4。硬盘：≥256GSSD固态硬盘。</w:t>
            </w:r>
          </w:p>
          <w:p w14:paraId="6FDA0E6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接口：整机非外扩展具备5个USB接口；具有独立非外扩展的视频输出接口：≥1路HDMI等。</w:t>
            </w:r>
          </w:p>
          <w:p w14:paraId="3E2A9A8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七、配套教学软件：</w:t>
            </w:r>
          </w:p>
          <w:p w14:paraId="3427F82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w:t>
            </w:r>
            <w:r>
              <w:rPr>
                <w:rFonts w:hint="eastAsia" w:asciiTheme="minorEastAsia" w:hAnsiTheme="minorEastAsia" w:cstheme="minorEastAsia"/>
                <w:b/>
                <w:kern w:val="0"/>
                <w:sz w:val="24"/>
                <w:szCs w:val="24"/>
              </w:rPr>
              <w:tab/>
            </w:r>
            <w:r>
              <w:rPr>
                <w:rFonts w:hint="eastAsia" w:asciiTheme="minorEastAsia" w:hAnsiTheme="minorEastAsia" w:cstheme="minorEastAsia"/>
                <w:b/>
                <w:kern w:val="0"/>
                <w:sz w:val="24"/>
                <w:szCs w:val="24"/>
              </w:rPr>
              <w:t>支持多端程序入口,支持PC端、交互设备、移动端及网页端；且均可快速生成、播放课件。(所投智慧黑板配套软件生产厂家需通过SPCA软件能力成熟度模型认证并达到5级要求,提供相关证明文件加盖制造商公章)</w:t>
            </w:r>
          </w:p>
          <w:p w14:paraId="778F69A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不少于三种登录方式，包含账号密码直接登录、微信扫码登录、书写登录等，支持免登录打开本地课件；其中书写登录可录入内容及笔迹，在任意设备进行书写登录软件；</w:t>
            </w:r>
          </w:p>
          <w:p w14:paraId="2326A97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教学软件至少包含，我的文件、回收站、我的班级、操作指南、个人设置等应用模块；</w:t>
            </w:r>
          </w:p>
          <w:p w14:paraId="07F42EC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回收站：教师可根据自身使用需求对已经创建好的课件进行修改或删除，删除后的课件可自行存放到回收站，默认情况下保存30天，30天后可自动清除；回收站内的课件支持单个课件，或者全部课件一键清除；</w:t>
            </w:r>
          </w:p>
          <w:p w14:paraId="2FBD9AC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（一）、备课模式</w:t>
            </w:r>
          </w:p>
          <w:p w14:paraId="78D91DF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老师个人账号无需完成特定任务，即可获取不少于100GB组织云端存储空间。</w:t>
            </w:r>
          </w:p>
          <w:p w14:paraId="21862B8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提供预置的课件素材，允许老师在网页端、移动端、电脑端进行内容的选择与组合，快速生成课件并浏览，所有制作的课件均实时保存至云端，老师只需登录即可查看。</w:t>
            </w:r>
          </w:p>
          <w:p w14:paraId="2A8AC53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支持老师根据教材章节目录、知识点选择对应的教学内容。老师仅需要按每个教学环节选择所需的教学模块即可快速生成一份课件。每个课时均提供教学内容模块，满足老师的个性化需求。</w:t>
            </w:r>
          </w:p>
          <w:p w14:paraId="73989FB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部分教学模块提供教学设计和课件内容，部分课件提供课件批注，帮助老师更好地选择、运用课件内容。</w:t>
            </w:r>
          </w:p>
          <w:p w14:paraId="49CBDD0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支持教师对课件知识点进行评价。</w:t>
            </w:r>
          </w:p>
          <w:p w14:paraId="08B40DC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软件支持单独PPT导入功能，并支持导入进度条提示功能，可查看当前导入进度，上传完成后具有中文提示功能。</w:t>
            </w:r>
          </w:p>
          <w:p w14:paraId="6201496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提供语文生字卡片、英语生词卡片、化学工具编辑器、数学工具编辑器、物理仿真实验、英文手写识别等学课工具。</w:t>
            </w:r>
          </w:p>
          <w:p w14:paraId="6F21382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可插入表格，表格支持设置行列数，在表格上可以进行行列的添加、删除、合并和拆分，可编辑文字格式和表格格式。</w:t>
            </w:r>
          </w:p>
          <w:p w14:paraId="6CA57E6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可插入思维导图，包括逻辑图和组织结构图，思维导图可添加同级节点、下级节点上级节点，可编辑文字格式和思维导图格式。</w:t>
            </w:r>
          </w:p>
          <w:p w14:paraId="2FDD1FC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（二）、授课模式</w:t>
            </w:r>
          </w:p>
          <w:p w14:paraId="4A9942B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授课模式默认进入绿板状态，支持显示文件、工具和应用的便捷入口，当开始批注且绿板上有笔迹时，自动隐藏便捷入口，清除笔迹时，自动恢复显示便捷入口；</w:t>
            </w:r>
          </w:p>
          <w:p w14:paraId="226A893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支持单指长按屏幕任意空白区域呼出便捷入口（文件、工具、应用、一键收起）</w:t>
            </w:r>
          </w:p>
          <w:p w14:paraId="5DAA010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提供便捷应用模块，包括展台教学、投屏、课堂评价、录制课程、看电视、AI课堂、开启直播、专递课堂、白板、网页、音视频媒体播放器，实现授课场景教学应用的便捷调用；并支持点击展示已打开的全部应用，实现一键应用切换；支持自定义添加/移除应用；</w:t>
            </w:r>
          </w:p>
          <w:p w14:paraId="63F7A18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文件入口支持拉起其他网盘，包含4种常用的三方网盘入口</w:t>
            </w:r>
          </w:p>
          <w:p w14:paraId="72D3AEF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工具条支持上下移动，支持收起/展开，工具条支持批注、清页、文件、工具、应用切换、更多；工具子菜单支持屏幕拖动</w:t>
            </w:r>
          </w:p>
          <w:p w14:paraId="0FBD6BC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支持使用教辅工具，包含截图、时钟、放大镜、聚光灯、黑屏、随机数、骰子和大转盘8种；无论绿板状态、多文件全屏播放状态以及三方应用拉起状态均支持使用</w:t>
            </w:r>
          </w:p>
          <w:p w14:paraId="3BBE6FB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打开本机文件、U盘文件等本地文件；不需导入，可直接打开本地视频、音频、图片、离线教学课件、PPT&amp;PPTX、PDF文件、DOC&amp;DOCX文件及swf文件；支持不少于多个文件窗口同屏播放显示，满足多素材授课需求。</w:t>
            </w:r>
          </w:p>
          <w:p w14:paraId="6DE0EF2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支持展示当前已打开的文件，点击实现文件窗口的便捷切换，支持文件一键全部最小化，支持双击标题栏实现文件全屏播放</w:t>
            </w:r>
          </w:p>
          <w:p w14:paraId="465EE82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文件窗口之间可进行独立批注；当起笔落点在绿板上时，识别为绿板批注，当起笔落点在小窗口时，识别为小窗口文件批注；文件大小窗口批注同步，可实现翻页跟随；绿板批注可以跟随绿板漫游；不少于8种笔型，6种颜色可选</w:t>
            </w:r>
          </w:p>
          <w:p w14:paraId="121BA18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10.</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支持展示当前打开的文件列表，按照打开的时间倒叙排序，点击可进行便捷进行文件切换</w:t>
            </w:r>
          </w:p>
          <w:p w14:paraId="7BF9B0C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支持免登录打开离线课件，直接进入课件全屏播放状态；登录后，可返回备课编辑状态。可通过点击或触摸屏幕实现动画的显示和翻页，还支持点击工具条进行课件的前翻页和后翻页；</w:t>
            </w:r>
          </w:p>
          <w:p w14:paraId="6D8EB52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12.</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提供不少于22个蒙层模板，老师备课时选择合适的蒙层图片遮住元素，授课时用橡皮擦除蒙层，展现被蒙住的元素</w:t>
            </w:r>
          </w:p>
          <w:p w14:paraId="0BF607A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（三）、电子黑板贴：</w:t>
            </w:r>
          </w:p>
          <w:p w14:paraId="66AEEFB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教室内智能交互设备上点击电子黑板贴，可实现屏幕截图，实时语文、数学、外语、值日、通知等学科分类任务预留，截图操作灵活方便，支持手势拖拽边框缩放大小，可选择区域显示范围。</w:t>
            </w:r>
          </w:p>
          <w:p w14:paraId="7A96873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智能交互设备上可查看/删除已留任务/通知内容，按学科语、数、外、通知等类别分别展示和查看，多图轮播，支持手势点击放大图片，手势滑动图片。</w:t>
            </w:r>
          </w:p>
          <w:p w14:paraId="5926142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电子黑板贴支持手势拖拽任意位置，拖拽至左侧或右侧后可自动收缩，不遮挡，再次点击可展开电子黑板贴，也可隐藏到工具栏。</w:t>
            </w:r>
          </w:p>
          <w:p w14:paraId="06F5141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（四）、多屏互动</w:t>
            </w:r>
          </w:p>
          <w:p w14:paraId="1CB7F29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支持手机端、电脑端与交互显示设备无线投屏，可将笔记本电脑、手机、平板等移动终端文件传至交互显示设备，方便教师在接收端打开并操作文件。</w:t>
            </w:r>
          </w:p>
          <w:p w14:paraId="49C45E3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手机端向交互显示设备扫码连接时自动与交互显示设备网络匹配。</w:t>
            </w:r>
          </w:p>
          <w:p w14:paraId="49F9B28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手机端在移动授课时，浏览网页、播放在线音视频等不消耗手机网络流量。</w:t>
            </w:r>
          </w:p>
          <w:p w14:paraId="580A172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支持多张图片图片、音视频等影像上传，可对上传图片进行旋转双向批注/擦除功能。</w:t>
            </w:r>
          </w:p>
          <w:p w14:paraId="2DC571D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Android、iOS、Windows系统的投屏画面，可支持不少于5个终端设备同时投屏，并自动分屏排布，可将任意一路画面全屏播放，并支持所投视频音频同时播放；支持多手机同时连接交互显示设备，可设置指定设备为主控设备。</w:t>
            </w:r>
          </w:p>
          <w:p w14:paraId="0E5125D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（五）、教学专属系统</w:t>
            </w:r>
          </w:p>
          <w:p w14:paraId="7A48FA4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提供符合教师授课场景的教学桌面教学系统。</w:t>
            </w:r>
          </w:p>
          <w:p w14:paraId="08C3CD3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将教师授课常用应用放至主页，单击即可打开应用，方便教师快捷调用软件；</w:t>
            </w:r>
          </w:p>
          <w:p w14:paraId="1400864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开机进入教学桌面，教师可按照自己使用习惯，更换常用软件、背景，形成教师的定制化桌面。可通过登录账户，在其他设备上同步展示教师定制化教学桌面；</w:t>
            </w:r>
          </w:p>
          <w:p w14:paraId="2D0D97D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U盘插入时，无需额外操作自动弹出U盘文件夹，方便教师直接选取U盘中内容；</w:t>
            </w:r>
          </w:p>
          <w:p w14:paraId="0384F08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支持手势操作，左右滑动方便教师快速切换主页、应用页及Windows桌面，下滑屏幕下移，方便教师点击大屏上方功能按钮，上滑调起系统设置，方便教师快捷设置系统；</w:t>
            </w:r>
          </w:p>
          <w:p w14:paraId="49B81E9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支持三种（账号、扫码、U盘-key）登录方式，支持应用登录联动功能，教师登录系统后打开其他应用，可进行快捷登录，无需再次输入账户密码；</w:t>
            </w:r>
          </w:p>
          <w:p w14:paraId="0BD4A65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支持在任意界面下，通过前置物理按键返回教学桌面；同时支持一键调出多任务窗口，将所有运行中应用进行展示，方便教师快速切换应用；</w:t>
            </w:r>
          </w:p>
          <w:p w14:paraId="346C0DE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应用页分类显示应用，包含课件制作、教学工具、管理辅助、数字资源等，方便教师快速找到相应应用；</w:t>
            </w:r>
          </w:p>
          <w:p w14:paraId="6691E31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（六）、设备管家</w:t>
            </w:r>
          </w:p>
          <w:p w14:paraId="45201DF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w:t>
            </w:r>
            <w:r>
              <w:rPr>
                <w:rFonts w:hint="eastAsia" w:asciiTheme="minorEastAsia" w:hAnsiTheme="minorEastAsia" w:cstheme="minorEastAsia"/>
                <w:b/>
                <w:kern w:val="0"/>
                <w:sz w:val="24"/>
                <w:szCs w:val="24"/>
              </w:rPr>
              <w:tab/>
            </w:r>
            <w:r>
              <w:rPr>
                <w:rFonts w:hint="eastAsia" w:asciiTheme="minorEastAsia" w:hAnsiTheme="minorEastAsia" w:cstheme="minorEastAsia"/>
                <w:b/>
                <w:kern w:val="0"/>
                <w:sz w:val="24"/>
                <w:szCs w:val="24"/>
              </w:rPr>
              <w:t>部署简单，设备连通互联网，输入对应学校编码，自动识别终端设备类型，完成部署；(所投智慧黑板制造商通过ITSS信息技术服务标准运行维护三级及以上证书,提供相关证明文件加盖制造商公章)</w:t>
            </w:r>
          </w:p>
          <w:p w14:paraId="259AF81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系统依据学校名称自动生成学校编码，支持扫描二维码查询学校编码；</w:t>
            </w:r>
          </w:p>
          <w:p w14:paraId="622C7F6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窗口支持最小化隐藏到系统托盘，不影响教师日常使用；</w:t>
            </w:r>
          </w:p>
          <w:p w14:paraId="558DE73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一键查看设备连接信息，包含Windows/office版本，硬盘、CPU、、内存、网络状态、固件版本号，</w:t>
            </w:r>
          </w:p>
          <w:p w14:paraId="337589C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系统还原、备份：一键备份数据并可系统还原至最新备份系统，解决系统异常等问题，如无最新备份系统，备份还原状态需要与硬件一键备份还原保持一致；</w:t>
            </w:r>
          </w:p>
          <w:p w14:paraId="07A1655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w:t>
            </w:r>
            <w:r>
              <w:rPr>
                <w:rFonts w:hint="eastAsia" w:asciiTheme="minorEastAsia" w:hAnsiTheme="minorEastAsia" w:cstheme="minorEastAsia"/>
                <w:kern w:val="0"/>
                <w:sz w:val="24"/>
                <w:szCs w:val="24"/>
              </w:rPr>
              <w:tab/>
            </w:r>
            <w:r>
              <w:rPr>
                <w:rFonts w:hint="eastAsia" w:asciiTheme="minorEastAsia" w:hAnsiTheme="minorEastAsia" w:cstheme="minorEastAsia"/>
                <w:kern w:val="0"/>
                <w:sz w:val="24"/>
                <w:szCs w:val="24"/>
              </w:rPr>
              <w:t>弹窗拦截：提供广告拦截，对广告弹窗实现一键拦截，默认直接开启拦截；</w:t>
            </w:r>
          </w:p>
        </w:tc>
        <w:tc>
          <w:tcPr>
            <w:tcW w:w="698" w:type="dxa"/>
            <w:shd w:val="clear" w:color="auto" w:fill="auto"/>
            <w:vAlign w:val="center"/>
          </w:tcPr>
          <w:p w14:paraId="24660B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台</w:t>
            </w:r>
          </w:p>
        </w:tc>
        <w:tc>
          <w:tcPr>
            <w:tcW w:w="843" w:type="dxa"/>
            <w:shd w:val="clear" w:color="auto" w:fill="auto"/>
            <w:vAlign w:val="center"/>
          </w:tcPr>
          <w:p w14:paraId="376DB8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w:t>
            </w:r>
          </w:p>
        </w:tc>
        <w:tc>
          <w:tcPr>
            <w:tcW w:w="698" w:type="dxa"/>
            <w:vAlign w:val="center"/>
          </w:tcPr>
          <w:p w14:paraId="3B208152">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4E8F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67765166">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27</w:t>
            </w:r>
          </w:p>
        </w:tc>
        <w:tc>
          <w:tcPr>
            <w:tcW w:w="1400" w:type="dxa"/>
            <w:shd w:val="clear" w:color="auto" w:fill="auto"/>
            <w:vAlign w:val="center"/>
          </w:tcPr>
          <w:p w14:paraId="73193DB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护眼灯</w:t>
            </w:r>
          </w:p>
        </w:tc>
        <w:tc>
          <w:tcPr>
            <w:tcW w:w="9766" w:type="dxa"/>
            <w:vAlign w:val="center"/>
          </w:tcPr>
          <w:p w14:paraId="03FC49F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1、功率：36W</w:t>
            </w:r>
          </w:p>
          <w:p w14:paraId="43CB9EB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2、光通量：2880lm</w:t>
            </w:r>
          </w:p>
          <w:p w14:paraId="5616FD0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3、光效：80lm/W</w:t>
            </w:r>
          </w:p>
          <w:p w14:paraId="3C99723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4、色温(CCT)：5700K</w:t>
            </w:r>
          </w:p>
          <w:p w14:paraId="7AB77F8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5、显色指数(Ra)：Ra&gt;80</w:t>
            </w:r>
          </w:p>
          <w:p w14:paraId="6BAE9B0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6、工作电压：AC176-264V;50Hz</w:t>
            </w:r>
          </w:p>
          <w:p w14:paraId="3EC98C8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7、频闪：无频闪</w:t>
            </w:r>
          </w:p>
          <w:p w14:paraId="223580B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8、功率因数(PF)：&gt;0.9</w:t>
            </w:r>
          </w:p>
          <w:p w14:paraId="220F4A2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9、防触电等级：ClassI</w:t>
            </w:r>
          </w:p>
          <w:p w14:paraId="442300D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10、防护等级：IP20</w:t>
            </w:r>
          </w:p>
          <w:p w14:paraId="5E8AB3A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11、规格尺寸(长x宽x高)：295x1195x35mm</w:t>
            </w:r>
          </w:p>
          <w:p w14:paraId="253C2C5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12、灯具寿命：30000hrs(@LN70/B50)</w:t>
            </w:r>
          </w:p>
          <w:p w14:paraId="6C41347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12、工作环境(Ta)：-20℃-40℃</w:t>
            </w:r>
          </w:p>
          <w:p w14:paraId="38C539F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13、推荐安装高度：2.5-4.5m</w:t>
            </w:r>
          </w:p>
        </w:tc>
        <w:tc>
          <w:tcPr>
            <w:tcW w:w="698" w:type="dxa"/>
            <w:shd w:val="clear" w:color="auto" w:fill="auto"/>
            <w:vAlign w:val="center"/>
          </w:tcPr>
          <w:p w14:paraId="3356B7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个</w:t>
            </w:r>
          </w:p>
        </w:tc>
        <w:tc>
          <w:tcPr>
            <w:tcW w:w="843" w:type="dxa"/>
            <w:shd w:val="clear" w:color="auto" w:fill="auto"/>
            <w:vAlign w:val="center"/>
          </w:tcPr>
          <w:p w14:paraId="68A524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12</w:t>
            </w:r>
          </w:p>
        </w:tc>
        <w:tc>
          <w:tcPr>
            <w:tcW w:w="698" w:type="dxa"/>
            <w:vAlign w:val="center"/>
          </w:tcPr>
          <w:p w14:paraId="65B03220">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2AB0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388CC1ED">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28</w:t>
            </w:r>
          </w:p>
        </w:tc>
        <w:tc>
          <w:tcPr>
            <w:tcW w:w="1400" w:type="dxa"/>
            <w:shd w:val="clear" w:color="auto" w:fill="auto"/>
            <w:vAlign w:val="center"/>
          </w:tcPr>
          <w:p w14:paraId="26CF9258">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黑板灯</w:t>
            </w:r>
          </w:p>
        </w:tc>
        <w:tc>
          <w:tcPr>
            <w:tcW w:w="9766" w:type="dxa"/>
            <w:vAlign w:val="center"/>
          </w:tcPr>
          <w:p w14:paraId="468317C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1、功率：36W</w:t>
            </w:r>
          </w:p>
          <w:p w14:paraId="1E77FA9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2、光通量：3600lm</w:t>
            </w:r>
          </w:p>
          <w:p w14:paraId="21CBE9B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3、光效：100lm/w</w:t>
            </w:r>
          </w:p>
          <w:p w14:paraId="1257421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4、色温：4000K/5000K</w:t>
            </w:r>
          </w:p>
        </w:tc>
        <w:tc>
          <w:tcPr>
            <w:tcW w:w="698" w:type="dxa"/>
            <w:shd w:val="clear" w:color="auto" w:fill="auto"/>
            <w:vAlign w:val="center"/>
          </w:tcPr>
          <w:p w14:paraId="6847EF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个</w:t>
            </w:r>
          </w:p>
        </w:tc>
        <w:tc>
          <w:tcPr>
            <w:tcW w:w="843" w:type="dxa"/>
            <w:shd w:val="clear" w:color="auto" w:fill="auto"/>
            <w:vAlign w:val="center"/>
          </w:tcPr>
          <w:p w14:paraId="4756DE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w:t>
            </w:r>
          </w:p>
        </w:tc>
        <w:tc>
          <w:tcPr>
            <w:tcW w:w="698" w:type="dxa"/>
            <w:vAlign w:val="center"/>
          </w:tcPr>
          <w:p w14:paraId="6980CD1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357D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3DB75CCF">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29</w:t>
            </w:r>
          </w:p>
        </w:tc>
        <w:tc>
          <w:tcPr>
            <w:tcW w:w="1400" w:type="dxa"/>
            <w:shd w:val="clear" w:color="auto" w:fill="auto"/>
            <w:vAlign w:val="center"/>
          </w:tcPr>
          <w:p w14:paraId="0286535B">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监控设备</w:t>
            </w:r>
          </w:p>
        </w:tc>
        <w:tc>
          <w:tcPr>
            <w:tcW w:w="9766" w:type="dxa"/>
            <w:vAlign w:val="center"/>
          </w:tcPr>
          <w:p w14:paraId="492557D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1、500万云台通道+500万固定通道，双路同步，分区看护</w:t>
            </w:r>
          </w:p>
          <w:p w14:paraId="2340755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2、云台通道可视角度360°，固定通道可视角度130°</w:t>
            </w:r>
          </w:p>
          <w:p w14:paraId="5268F40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3、支持WiFi连接，灵活布线更方便</w:t>
            </w:r>
          </w:p>
          <w:p w14:paraId="2DA32BD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4、双光全彩，支持红外夜视、全彩夜视和移动侦测全彩模式</w:t>
            </w:r>
          </w:p>
          <w:p w14:paraId="72ED042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5、支持双向语音电话，沟通无障碍</w:t>
            </w:r>
          </w:p>
          <w:p w14:paraId="3F5C106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6、最高支持512GBMicroSD卡存储</w:t>
            </w:r>
          </w:p>
          <w:p w14:paraId="033E0FA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7、支持哭声检测、萌宠检测、语音闹钟等实用智能功能</w:t>
            </w:r>
          </w:p>
          <w:p w14:paraId="0F5EF28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8、支持APP远程监控，扫码一键添加</w:t>
            </w:r>
          </w:p>
        </w:tc>
        <w:tc>
          <w:tcPr>
            <w:tcW w:w="698" w:type="dxa"/>
            <w:shd w:val="clear" w:color="auto" w:fill="auto"/>
            <w:vAlign w:val="center"/>
          </w:tcPr>
          <w:p w14:paraId="24FC52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09D4E6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w:t>
            </w:r>
          </w:p>
        </w:tc>
        <w:tc>
          <w:tcPr>
            <w:tcW w:w="698" w:type="dxa"/>
            <w:vAlign w:val="center"/>
          </w:tcPr>
          <w:p w14:paraId="28C68AA4">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7397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0CF734FC">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30</w:t>
            </w:r>
          </w:p>
        </w:tc>
        <w:tc>
          <w:tcPr>
            <w:tcW w:w="1400" w:type="dxa"/>
            <w:shd w:val="clear" w:color="auto" w:fill="auto"/>
            <w:vAlign w:val="center"/>
          </w:tcPr>
          <w:p w14:paraId="7E8B802D">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路由器</w:t>
            </w:r>
          </w:p>
        </w:tc>
        <w:tc>
          <w:tcPr>
            <w:tcW w:w="9766" w:type="dxa"/>
            <w:vAlign w:val="center"/>
          </w:tcPr>
          <w:p w14:paraId="59B10F1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通用，主要用于教室连接监控设备使用。</w:t>
            </w:r>
          </w:p>
        </w:tc>
        <w:tc>
          <w:tcPr>
            <w:tcW w:w="698" w:type="dxa"/>
            <w:shd w:val="clear" w:color="auto" w:fill="auto"/>
            <w:vAlign w:val="center"/>
          </w:tcPr>
          <w:p w14:paraId="61B5ED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个</w:t>
            </w:r>
          </w:p>
        </w:tc>
        <w:tc>
          <w:tcPr>
            <w:tcW w:w="843" w:type="dxa"/>
            <w:shd w:val="clear" w:color="auto" w:fill="auto"/>
            <w:vAlign w:val="center"/>
          </w:tcPr>
          <w:p w14:paraId="302356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w:t>
            </w:r>
          </w:p>
        </w:tc>
        <w:tc>
          <w:tcPr>
            <w:tcW w:w="698" w:type="dxa"/>
            <w:vAlign w:val="center"/>
          </w:tcPr>
          <w:p w14:paraId="4DCEE220">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bookmarkEnd w:id="118"/>
      <w:tr w14:paraId="145D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4484A7E5">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31</w:t>
            </w:r>
          </w:p>
        </w:tc>
        <w:tc>
          <w:tcPr>
            <w:tcW w:w="1400" w:type="dxa"/>
            <w:shd w:val="clear" w:color="auto" w:fill="auto"/>
            <w:vAlign w:val="center"/>
          </w:tcPr>
          <w:p w14:paraId="2A150131">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多媒体音响系统</w:t>
            </w:r>
          </w:p>
        </w:tc>
        <w:tc>
          <w:tcPr>
            <w:tcW w:w="9766" w:type="dxa"/>
            <w:vAlign w:val="center"/>
          </w:tcPr>
          <w:p w14:paraId="5743B1A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bookmarkStart w:id="119" w:name="OLE_LINK4"/>
            <w:r>
              <w:rPr>
                <w:rFonts w:hint="eastAsia" w:asciiTheme="minorEastAsia" w:hAnsiTheme="minorEastAsia" w:cstheme="minorEastAsia"/>
                <w:kern w:val="0"/>
                <w:sz w:val="24"/>
                <w:szCs w:val="24"/>
              </w:rPr>
              <w:t>含壁挂式音箱一套、功放、无线收发器、无线麦克风、领夹麦克风。</w:t>
            </w:r>
            <w:bookmarkEnd w:id="119"/>
          </w:p>
        </w:tc>
        <w:tc>
          <w:tcPr>
            <w:tcW w:w="698" w:type="dxa"/>
            <w:shd w:val="clear" w:color="auto" w:fill="auto"/>
            <w:vAlign w:val="center"/>
          </w:tcPr>
          <w:p w14:paraId="6F8427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0A0D1E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w:t>
            </w:r>
          </w:p>
        </w:tc>
        <w:tc>
          <w:tcPr>
            <w:tcW w:w="698" w:type="dxa"/>
            <w:vAlign w:val="center"/>
          </w:tcPr>
          <w:p w14:paraId="28FFB8E4">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5724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4E56B98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32</w:t>
            </w:r>
          </w:p>
        </w:tc>
        <w:tc>
          <w:tcPr>
            <w:tcW w:w="1400" w:type="dxa"/>
            <w:shd w:val="clear" w:color="auto" w:fill="auto"/>
            <w:vAlign w:val="center"/>
          </w:tcPr>
          <w:p w14:paraId="15C46C70">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机柜</w:t>
            </w:r>
          </w:p>
        </w:tc>
        <w:tc>
          <w:tcPr>
            <w:tcW w:w="9766" w:type="dxa"/>
            <w:vAlign w:val="center"/>
          </w:tcPr>
          <w:p w14:paraId="0E848A4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22U国标机柜</w:t>
            </w:r>
          </w:p>
        </w:tc>
        <w:tc>
          <w:tcPr>
            <w:tcW w:w="698" w:type="dxa"/>
            <w:shd w:val="clear" w:color="auto" w:fill="auto"/>
            <w:vAlign w:val="center"/>
          </w:tcPr>
          <w:p w14:paraId="56C6B4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54A83E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w:t>
            </w:r>
          </w:p>
        </w:tc>
        <w:tc>
          <w:tcPr>
            <w:tcW w:w="698" w:type="dxa"/>
            <w:vAlign w:val="center"/>
          </w:tcPr>
          <w:p w14:paraId="6D8337D1">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42A2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11F562BD">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33</w:t>
            </w:r>
          </w:p>
        </w:tc>
        <w:tc>
          <w:tcPr>
            <w:tcW w:w="1400" w:type="dxa"/>
            <w:shd w:val="clear" w:color="auto" w:fill="auto"/>
            <w:vAlign w:val="center"/>
          </w:tcPr>
          <w:p w14:paraId="2FF3500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教学终端</w:t>
            </w:r>
          </w:p>
        </w:tc>
        <w:tc>
          <w:tcPr>
            <w:tcW w:w="9766" w:type="dxa"/>
            <w:vAlign w:val="center"/>
          </w:tcPr>
          <w:p w14:paraId="0B04FF2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1、CPU：≥intel第13代i5-13500处理器</w:t>
            </w:r>
          </w:p>
          <w:p w14:paraId="11B4E85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2、芯片组：intelH770系列或以上</w:t>
            </w:r>
          </w:p>
          <w:p w14:paraId="3D0FDAA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3、内存：≥8GDDR43200内存，最大支持2个内存插槽</w:t>
            </w:r>
          </w:p>
          <w:p w14:paraId="5E57D9C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4、显卡：2GB显卡</w:t>
            </w:r>
          </w:p>
          <w:p w14:paraId="0CE1D60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5、接口及扩展：主板原生USB接口≥10个；VGA接口、DP接口、RJ-45；至少1个PCIeX16、1个PCIeX1、1个PCI、1个PCIeX4、2个M.2扩展插槽。</w:t>
            </w:r>
          </w:p>
          <w:p w14:paraId="5D4CA19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6、硬盘：512GBM.SSSD固态硬盘</w:t>
            </w:r>
          </w:p>
          <w:p w14:paraId="6142697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7、网卡：10/100/1000千兆以太网接口</w:t>
            </w:r>
          </w:p>
          <w:p w14:paraId="6FCA5D1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8、机箱：机箱扩展、散热性好，体积不小于15L，内置扩音器。</w:t>
            </w:r>
          </w:p>
          <w:p w14:paraId="65A1A7C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9、显示器：≥21.5寸宽屏LED背光液晶低蓝光显示器，</w:t>
            </w:r>
          </w:p>
          <w:p w14:paraId="1965368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10、音频：集成</w:t>
            </w:r>
          </w:p>
          <w:p w14:paraId="7DC1151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11、键盘鼠标：同品牌USB抗菌键盘及USB抗菌鼠标，需出具检测报告</w:t>
            </w:r>
          </w:p>
          <w:p w14:paraId="101B9422">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12、操作系统：出场预装正版Windows11中文操作系统</w:t>
            </w:r>
          </w:p>
          <w:p w14:paraId="15E1DA6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13、电源:≤180W节能高效电源</w:t>
            </w:r>
          </w:p>
          <w:p w14:paraId="48D95AA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14、★质量品质:节能产品认证；具备国家电子计算机质量监督检验中心出具的MTBF值不低于105万小时的认证证书；所投计算机产品数据接口性能通过国家权威检测机构测试、电源开关节能典型效率不低于90.9%，提供证明材料。</w:t>
            </w:r>
          </w:p>
          <w:p w14:paraId="1836BF5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15、★服务：主机及显示器三年保修及上门服务，厂商服务体系通过4PS认证及CCCS认证证明，提供证明材料。</w:t>
            </w:r>
          </w:p>
        </w:tc>
        <w:tc>
          <w:tcPr>
            <w:tcW w:w="698" w:type="dxa"/>
            <w:shd w:val="clear" w:color="auto" w:fill="auto"/>
            <w:vAlign w:val="center"/>
          </w:tcPr>
          <w:p w14:paraId="22E614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台</w:t>
            </w:r>
          </w:p>
        </w:tc>
        <w:tc>
          <w:tcPr>
            <w:tcW w:w="843" w:type="dxa"/>
            <w:shd w:val="clear" w:color="auto" w:fill="auto"/>
            <w:vAlign w:val="center"/>
          </w:tcPr>
          <w:p w14:paraId="43068E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w:t>
            </w:r>
          </w:p>
        </w:tc>
        <w:tc>
          <w:tcPr>
            <w:tcW w:w="698" w:type="dxa"/>
            <w:vAlign w:val="center"/>
          </w:tcPr>
          <w:p w14:paraId="08BC8454">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4216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6DB0495C">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34</w:t>
            </w:r>
          </w:p>
        </w:tc>
        <w:tc>
          <w:tcPr>
            <w:tcW w:w="1400" w:type="dxa"/>
            <w:shd w:val="clear" w:color="auto" w:fill="auto"/>
            <w:vAlign w:val="center"/>
          </w:tcPr>
          <w:p w14:paraId="0233C6CC">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教学专用桌</w:t>
            </w:r>
          </w:p>
        </w:tc>
        <w:tc>
          <w:tcPr>
            <w:tcW w:w="9766" w:type="dxa"/>
            <w:vAlign w:val="center"/>
          </w:tcPr>
          <w:p w14:paraId="40AB2A1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1、办公桌规格：1200*600*750mm</w:t>
            </w:r>
          </w:p>
          <w:p w14:paraId="7AA3B8E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桌面基材采用25和16mm厚度E1级高密度三聚氰胺饰面实木颗粒板材，环保三聚氰胺贴面；要求板面光滑平整，防划伤、高强耐磨,集中耐高温200℃。板材截面采用同色PVC封边条经全自动封边机高温粘贴；修边光滑平整，无棱角，且经过抛光处理。</w:t>
            </w:r>
          </w:p>
          <w:p w14:paraId="032E0B1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2、椅子规格：金属弓形椅;椅座、椅背采用进口网面。符合人体工程学原理设计，坐感舒适，最大承受200KG，优质不锈钢弓形框架.</w:t>
            </w:r>
          </w:p>
        </w:tc>
        <w:tc>
          <w:tcPr>
            <w:tcW w:w="698" w:type="dxa"/>
            <w:shd w:val="clear" w:color="auto" w:fill="auto"/>
            <w:vAlign w:val="center"/>
          </w:tcPr>
          <w:p w14:paraId="77ACFD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张</w:t>
            </w:r>
          </w:p>
        </w:tc>
        <w:tc>
          <w:tcPr>
            <w:tcW w:w="843" w:type="dxa"/>
            <w:shd w:val="clear" w:color="auto" w:fill="auto"/>
            <w:vAlign w:val="center"/>
          </w:tcPr>
          <w:p w14:paraId="518359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w:t>
            </w:r>
          </w:p>
        </w:tc>
        <w:tc>
          <w:tcPr>
            <w:tcW w:w="698" w:type="dxa"/>
            <w:vAlign w:val="center"/>
          </w:tcPr>
          <w:p w14:paraId="0450D4E8">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588C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48A110F6">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bookmarkStart w:id="120" w:name="_Hlk193134809"/>
            <w:r>
              <w:rPr>
                <w:rFonts w:hint="eastAsia" w:asciiTheme="minorEastAsia" w:hAnsiTheme="minorEastAsia" w:cstheme="minorEastAsia"/>
                <w:kern w:val="0"/>
                <w:sz w:val="24"/>
                <w:szCs w:val="24"/>
              </w:rPr>
              <w:t>35</w:t>
            </w:r>
          </w:p>
        </w:tc>
        <w:tc>
          <w:tcPr>
            <w:tcW w:w="1400" w:type="dxa"/>
            <w:shd w:val="clear" w:color="auto" w:fill="auto"/>
            <w:vAlign w:val="center"/>
          </w:tcPr>
          <w:p w14:paraId="06EABF9C">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辅助设备材料</w:t>
            </w:r>
          </w:p>
        </w:tc>
        <w:tc>
          <w:tcPr>
            <w:tcW w:w="9766" w:type="dxa"/>
            <w:vAlign w:val="center"/>
          </w:tcPr>
          <w:p w14:paraId="7220B2E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1、电源线1：成品排插，长度2.5米</w:t>
            </w:r>
          </w:p>
          <w:p w14:paraId="328147E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2、电源线2：2.5平方，零火地线各80米</w:t>
            </w:r>
          </w:p>
          <w:p w14:paraId="19B836D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3、电源线3：1.5平方，零火地线各50米</w:t>
            </w:r>
          </w:p>
          <w:p w14:paraId="030DF14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3、地槽：不锈钢，尺寸根据实际用为准。</w:t>
            </w:r>
          </w:p>
          <w:p w14:paraId="3B856E7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4、线槽/线管，根据实际施工需求计量。</w:t>
            </w:r>
          </w:p>
          <w:p w14:paraId="3C2CC63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5、音频线：音频专用1卷</w:t>
            </w:r>
          </w:p>
          <w:p w14:paraId="1ED4798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6、开关模块</w:t>
            </w:r>
          </w:p>
          <w:p w14:paraId="51CCC70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7、空调管加长：根据实际安装尺寸计量</w:t>
            </w:r>
          </w:p>
        </w:tc>
        <w:tc>
          <w:tcPr>
            <w:tcW w:w="698" w:type="dxa"/>
            <w:shd w:val="clear" w:color="auto" w:fill="auto"/>
            <w:vAlign w:val="center"/>
          </w:tcPr>
          <w:p w14:paraId="7F38DC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批</w:t>
            </w:r>
          </w:p>
        </w:tc>
        <w:tc>
          <w:tcPr>
            <w:tcW w:w="843" w:type="dxa"/>
            <w:shd w:val="clear" w:color="auto" w:fill="auto"/>
            <w:vAlign w:val="center"/>
          </w:tcPr>
          <w:p w14:paraId="721477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w:t>
            </w:r>
          </w:p>
        </w:tc>
        <w:tc>
          <w:tcPr>
            <w:tcW w:w="698" w:type="dxa"/>
            <w:vAlign w:val="center"/>
          </w:tcPr>
          <w:p w14:paraId="14067D40">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bookmarkEnd w:id="120"/>
      <w:tr w14:paraId="01F0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5361F5B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36</w:t>
            </w:r>
          </w:p>
        </w:tc>
        <w:tc>
          <w:tcPr>
            <w:tcW w:w="1400" w:type="dxa"/>
            <w:shd w:val="clear" w:color="auto" w:fill="auto"/>
            <w:vAlign w:val="center"/>
          </w:tcPr>
          <w:p w14:paraId="1F315B6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教室文化建设</w:t>
            </w:r>
          </w:p>
        </w:tc>
        <w:tc>
          <w:tcPr>
            <w:tcW w:w="9766" w:type="dxa"/>
            <w:vAlign w:val="center"/>
          </w:tcPr>
          <w:p w14:paraId="60D9700B">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教室文化建设包含以下内容</w:t>
            </w:r>
          </w:p>
          <w:p w14:paraId="3F1E5A51">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合计：136平方</w:t>
            </w:r>
          </w:p>
          <w:p w14:paraId="28165520">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一、室内顶部处理：共计136个平方</w:t>
            </w:r>
          </w:p>
          <w:p w14:paraId="6371DF2F">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1、保证通风采光，</w:t>
            </w:r>
          </w:p>
          <w:p w14:paraId="60237C5A">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2、需采用不燃材料（如石膏板、金属板、矿棉板等材质）吊顶，</w:t>
            </w:r>
          </w:p>
          <w:p w14:paraId="35739889">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3、防霉、防潮、易清洁，搭配均匀照明灯，确保安全舒适的教学环境。</w:t>
            </w:r>
          </w:p>
          <w:p w14:paraId="782785EF">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二、墙面优化：共计110个平方</w:t>
            </w:r>
          </w:p>
          <w:p w14:paraId="343212A0">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1、执行标准：</w:t>
            </w:r>
          </w:p>
          <w:p w14:paraId="66814999">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1.1、（合成树脂乳液内墙涂料）JG/T9756-2018</w:t>
            </w:r>
          </w:p>
          <w:p w14:paraId="73A9DDCD">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1.2、（室内装饰装修材料内墙涂料中有害物质限量）GB18582</w:t>
            </w:r>
          </w:p>
          <w:p w14:paraId="28E3203D">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2、材料要求：要求所用材料为墙面环保乳胶漆，</w:t>
            </w:r>
          </w:p>
          <w:p w14:paraId="3D2F1C15">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2.1、在容器中的状态：无硬块，搅拌后呈均匀状</w:t>
            </w:r>
          </w:p>
          <w:p w14:paraId="6F0ACD97">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2.2、施工性：涂刷二道无障碍</w:t>
            </w:r>
          </w:p>
          <w:p w14:paraId="70FE9707">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2.3、温度温度性：不变质</w:t>
            </w:r>
          </w:p>
          <w:p w14:paraId="35C30CC3">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2.4、低温成膜型：无异常</w:t>
            </w:r>
          </w:p>
          <w:p w14:paraId="42EA5B03">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2.5、涂抹外观：正常</w:t>
            </w:r>
          </w:p>
          <w:p w14:paraId="244C063B">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2.6、干燥时间（表干）/h≤：2</w:t>
            </w:r>
          </w:p>
          <w:p w14:paraId="36494755">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2.7、耐碱性（24h）：无异常</w:t>
            </w:r>
          </w:p>
          <w:p w14:paraId="7440606C">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2.8、初期干燥抗裂性：无裂纹</w:t>
            </w:r>
          </w:p>
          <w:p w14:paraId="24300DA1">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三、电路优化：零线80米，火线80米，地线80米</w:t>
            </w:r>
          </w:p>
          <w:p w14:paraId="3DDDDD47">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1，所有线路必须穿阻燃PVC管或金属线槽（禁止裸露明线）</w:t>
            </w:r>
          </w:p>
          <w:p w14:paraId="36B18D67">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2，配电箱需设漏电保护器，每回路负载≤80%额定功率</w:t>
            </w:r>
          </w:p>
          <w:p w14:paraId="50504F48">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四、原有设备的拆除</w:t>
            </w:r>
          </w:p>
          <w:p w14:paraId="0EB8DD9D">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1电路线：零火地线各80米，</w:t>
            </w:r>
          </w:p>
          <w:p w14:paraId="53AF93C7">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2灯具：12个灯，</w:t>
            </w:r>
          </w:p>
          <w:p w14:paraId="5F0F6EDF">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3窗帘：45个平方，</w:t>
            </w:r>
          </w:p>
          <w:p w14:paraId="5144E64A">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eastAsiaTheme="minorEastAsia"/>
                <w:sz w:val="24"/>
                <w:szCs w:val="24"/>
                <w:lang w:eastAsia="zh-CN"/>
              </w:rPr>
            </w:pPr>
            <w:r>
              <w:rPr>
                <w:rFonts w:hint="eastAsia"/>
                <w:sz w:val="24"/>
                <w:szCs w:val="24"/>
              </w:rPr>
              <w:t>4门：一个房间两扇，</w:t>
            </w:r>
          </w:p>
          <w:p w14:paraId="078E1E6F">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6黑板：4.8个平方</w:t>
            </w:r>
          </w:p>
          <w:p w14:paraId="2A6E4D62">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7多媒体设备：音响、投影设备</w:t>
            </w:r>
          </w:p>
          <w:p w14:paraId="63A5EE1E">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8、需组织专业团队进行现场勘查，识别高风险设备（如高压配电箱、含汞灯具）</w:t>
            </w:r>
          </w:p>
          <w:p w14:paraId="745BEB7F">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9、制定详细的拆除方案（含时间节点、人员分工、应急预案）</w:t>
            </w:r>
          </w:p>
          <w:p w14:paraId="3451C0B6">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10、需提前向校方报备拆除时间，学校会协调停电时间窗口，</w:t>
            </w:r>
          </w:p>
          <w:p w14:paraId="2944F0B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sz w:val="24"/>
                <w:szCs w:val="24"/>
              </w:rPr>
              <w:t>五、教室讲台需拉宽及加长，共计2平方。</w:t>
            </w:r>
          </w:p>
        </w:tc>
        <w:tc>
          <w:tcPr>
            <w:tcW w:w="698" w:type="dxa"/>
            <w:shd w:val="clear" w:color="auto" w:fill="auto"/>
            <w:vAlign w:val="center"/>
          </w:tcPr>
          <w:p w14:paraId="764FD9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批</w:t>
            </w:r>
          </w:p>
        </w:tc>
        <w:tc>
          <w:tcPr>
            <w:tcW w:w="843" w:type="dxa"/>
            <w:shd w:val="clear" w:color="auto" w:fill="auto"/>
            <w:vAlign w:val="center"/>
          </w:tcPr>
          <w:p w14:paraId="7280CE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w:t>
            </w:r>
          </w:p>
        </w:tc>
        <w:tc>
          <w:tcPr>
            <w:tcW w:w="698" w:type="dxa"/>
            <w:vAlign w:val="center"/>
          </w:tcPr>
          <w:p w14:paraId="41879025">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4B12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8" w:type="dxa"/>
            <w:gridSpan w:val="6"/>
            <w:vAlign w:val="center"/>
          </w:tcPr>
          <w:p w14:paraId="3217BE90">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b/>
                <w:kern w:val="0"/>
                <w:sz w:val="24"/>
                <w:szCs w:val="24"/>
              </w:rPr>
            </w:pPr>
            <w:r>
              <w:rPr>
                <w:rFonts w:hint="eastAsia" w:asciiTheme="minorEastAsia" w:hAnsiTheme="minorEastAsia" w:cstheme="minorEastAsia"/>
                <w:b/>
                <w:kern w:val="0"/>
                <w:sz w:val="28"/>
                <w:szCs w:val="28"/>
              </w:rPr>
              <w:t>四、形体更衣室升级（3间）</w:t>
            </w:r>
          </w:p>
        </w:tc>
      </w:tr>
      <w:tr w14:paraId="1537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472826E7">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bookmarkStart w:id="121" w:name="_Hlk193134650"/>
            <w:r>
              <w:rPr>
                <w:rFonts w:hint="eastAsia" w:asciiTheme="minorEastAsia" w:hAnsiTheme="minorEastAsia" w:cstheme="minorEastAsia"/>
                <w:kern w:val="0"/>
                <w:sz w:val="24"/>
                <w:szCs w:val="24"/>
              </w:rPr>
              <w:t>序号</w:t>
            </w:r>
          </w:p>
        </w:tc>
        <w:tc>
          <w:tcPr>
            <w:tcW w:w="1400" w:type="dxa"/>
            <w:vAlign w:val="center"/>
          </w:tcPr>
          <w:p w14:paraId="37DBC04F">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设备名称</w:t>
            </w:r>
          </w:p>
        </w:tc>
        <w:tc>
          <w:tcPr>
            <w:tcW w:w="9766" w:type="dxa"/>
            <w:vAlign w:val="center"/>
          </w:tcPr>
          <w:p w14:paraId="29E918F4">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技术参数</w:t>
            </w:r>
          </w:p>
        </w:tc>
        <w:tc>
          <w:tcPr>
            <w:tcW w:w="698" w:type="dxa"/>
            <w:vAlign w:val="center"/>
          </w:tcPr>
          <w:p w14:paraId="7B4C7790">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单位</w:t>
            </w:r>
          </w:p>
        </w:tc>
        <w:tc>
          <w:tcPr>
            <w:tcW w:w="843" w:type="dxa"/>
            <w:vAlign w:val="center"/>
          </w:tcPr>
          <w:p w14:paraId="5E909C8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数量</w:t>
            </w:r>
          </w:p>
        </w:tc>
        <w:tc>
          <w:tcPr>
            <w:tcW w:w="698" w:type="dxa"/>
            <w:vAlign w:val="center"/>
          </w:tcPr>
          <w:p w14:paraId="2C7E7C59">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备注</w:t>
            </w:r>
          </w:p>
        </w:tc>
      </w:tr>
      <w:bookmarkEnd w:id="121"/>
      <w:tr w14:paraId="745A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7BA1FB45">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bookmarkStart w:id="122" w:name="_Hlk193134663"/>
            <w:r>
              <w:rPr>
                <w:rFonts w:hint="eastAsia" w:asciiTheme="minorEastAsia" w:hAnsiTheme="minorEastAsia" w:cstheme="minorEastAsia"/>
                <w:kern w:val="0"/>
                <w:sz w:val="24"/>
                <w:szCs w:val="24"/>
              </w:rPr>
              <w:t>1</w:t>
            </w:r>
          </w:p>
        </w:tc>
        <w:tc>
          <w:tcPr>
            <w:tcW w:w="1400" w:type="dxa"/>
            <w:shd w:val="clear" w:color="auto" w:fill="auto"/>
            <w:vAlign w:val="center"/>
          </w:tcPr>
          <w:p w14:paraId="1DAD8509">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bidi="ar"/>
              </w:rPr>
              <w:t>文化建设</w:t>
            </w:r>
          </w:p>
        </w:tc>
        <w:tc>
          <w:tcPr>
            <w:tcW w:w="9766" w:type="dxa"/>
            <w:vAlign w:val="center"/>
          </w:tcPr>
          <w:p w14:paraId="49549088">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教室文化建设包含以下内容</w:t>
            </w:r>
          </w:p>
          <w:p w14:paraId="35D8BBA3">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合计：80平方</w:t>
            </w:r>
          </w:p>
          <w:p w14:paraId="04BC8F3C">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一、室内顶部处理：共计80个平方</w:t>
            </w:r>
          </w:p>
          <w:p w14:paraId="1DA0B2BD">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1、保证通风采光，</w:t>
            </w:r>
          </w:p>
          <w:p w14:paraId="79FAF906">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2、需采用不燃材料（如石膏板、金属板、矿棉板等材质）吊顶，</w:t>
            </w:r>
          </w:p>
          <w:p w14:paraId="57199CC6">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3、防霉、防潮、易清洁，搭配均匀照明灯，确保安全舒适的教学环境。</w:t>
            </w:r>
          </w:p>
          <w:p w14:paraId="6386DB53">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二、墙面优化：共计150个平方</w:t>
            </w:r>
          </w:p>
          <w:p w14:paraId="698BC2E1">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1、执行标准：</w:t>
            </w:r>
          </w:p>
          <w:p w14:paraId="17D85FED">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1.1、（合成树脂乳液内墙涂料）JG/T9756-2018</w:t>
            </w:r>
          </w:p>
          <w:p w14:paraId="7A27BA63">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1.2、（室内装饰装修材料内墙涂料中有害物质限量）GB18582</w:t>
            </w:r>
          </w:p>
          <w:p w14:paraId="7FD0087D">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2、材料要求：要求所用材料为墙面环保乳胶漆，</w:t>
            </w:r>
          </w:p>
          <w:p w14:paraId="056913EF">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2.1、在容器中的状态：无硬块，搅拌后呈均匀状</w:t>
            </w:r>
          </w:p>
          <w:p w14:paraId="5680EC4D">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2.2、施工性：涂刷二道无障碍</w:t>
            </w:r>
          </w:p>
          <w:p w14:paraId="49F25DFB">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2.3、温度温度性：不变质</w:t>
            </w:r>
          </w:p>
          <w:p w14:paraId="1735583F">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2.4、低温成膜型：无异常</w:t>
            </w:r>
          </w:p>
          <w:p w14:paraId="5885D413">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2.5、涂抹外观：正常</w:t>
            </w:r>
          </w:p>
          <w:p w14:paraId="6F09DFF9">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2.6、干燥时间（表干）/h≤：2</w:t>
            </w:r>
          </w:p>
          <w:p w14:paraId="19AE0E0B">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2.7、耐碱性（24h）：无异常</w:t>
            </w:r>
          </w:p>
          <w:p w14:paraId="7C284530">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2.8、初期干燥抗裂性：无裂纹</w:t>
            </w:r>
          </w:p>
          <w:p w14:paraId="7F3C37D6">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三、电路优化：零线20米，火线20米，地线20米</w:t>
            </w:r>
          </w:p>
          <w:p w14:paraId="18DC737E">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1</w:t>
            </w:r>
            <w:r>
              <w:rPr>
                <w:rFonts w:hint="eastAsia"/>
                <w:sz w:val="24"/>
                <w:szCs w:val="24"/>
                <w:lang w:eastAsia="zh-CN"/>
              </w:rPr>
              <w:t>、</w:t>
            </w:r>
            <w:r>
              <w:rPr>
                <w:rFonts w:hint="eastAsia"/>
                <w:sz w:val="24"/>
                <w:szCs w:val="24"/>
              </w:rPr>
              <w:t>所有线路必须穿阻燃PVC管或金属线槽（禁止裸露明线）</w:t>
            </w:r>
          </w:p>
          <w:p w14:paraId="4022953A">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w:t>
            </w:r>
            <w:r>
              <w:rPr>
                <w:rFonts w:hint="eastAsia"/>
                <w:sz w:val="24"/>
                <w:szCs w:val="24"/>
                <w:lang w:eastAsia="zh-CN"/>
              </w:rPr>
              <w:t>、</w:t>
            </w:r>
            <w:r>
              <w:rPr>
                <w:rFonts w:hint="eastAsia"/>
                <w:sz w:val="24"/>
                <w:szCs w:val="24"/>
              </w:rPr>
              <w:t>配电箱需设漏电保护器，每回路负载≤80%额定功率</w:t>
            </w:r>
          </w:p>
          <w:p w14:paraId="14A2147A">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四、原有设备的拆除</w:t>
            </w:r>
          </w:p>
          <w:p w14:paraId="4D10FA6C">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1</w:t>
            </w:r>
            <w:r>
              <w:rPr>
                <w:rFonts w:hint="eastAsia"/>
                <w:sz w:val="24"/>
                <w:szCs w:val="24"/>
                <w:lang w:eastAsia="zh-CN"/>
              </w:rPr>
              <w:t>、</w:t>
            </w:r>
            <w:r>
              <w:rPr>
                <w:rFonts w:hint="eastAsia"/>
                <w:sz w:val="24"/>
                <w:szCs w:val="24"/>
              </w:rPr>
              <w:t>电路线：零火地线各20米，</w:t>
            </w:r>
          </w:p>
          <w:p w14:paraId="144469B8">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w:t>
            </w:r>
            <w:r>
              <w:rPr>
                <w:rFonts w:hint="eastAsia"/>
                <w:sz w:val="24"/>
                <w:szCs w:val="24"/>
                <w:lang w:eastAsia="zh-CN"/>
              </w:rPr>
              <w:t>、</w:t>
            </w:r>
            <w:r>
              <w:rPr>
                <w:rFonts w:hint="eastAsia"/>
                <w:sz w:val="24"/>
                <w:szCs w:val="24"/>
              </w:rPr>
              <w:t>灯具：2个灯，</w:t>
            </w:r>
          </w:p>
          <w:p w14:paraId="58E86F3B">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3</w:t>
            </w:r>
            <w:r>
              <w:rPr>
                <w:rFonts w:hint="eastAsia"/>
                <w:sz w:val="24"/>
                <w:szCs w:val="24"/>
                <w:lang w:eastAsia="zh-CN"/>
              </w:rPr>
              <w:t>、</w:t>
            </w:r>
            <w:r>
              <w:rPr>
                <w:rFonts w:hint="eastAsia"/>
                <w:sz w:val="24"/>
                <w:szCs w:val="24"/>
              </w:rPr>
              <w:t>窗帘：8个平方，</w:t>
            </w:r>
          </w:p>
          <w:p w14:paraId="74330B03">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4</w:t>
            </w:r>
            <w:r>
              <w:rPr>
                <w:rFonts w:hint="eastAsia"/>
                <w:sz w:val="24"/>
                <w:szCs w:val="24"/>
                <w:lang w:eastAsia="zh-CN"/>
              </w:rPr>
              <w:t>、</w:t>
            </w:r>
            <w:r>
              <w:rPr>
                <w:rFonts w:hint="eastAsia"/>
                <w:sz w:val="24"/>
                <w:szCs w:val="24"/>
              </w:rPr>
              <w:t>门：两扇，里外个一个，</w:t>
            </w:r>
          </w:p>
          <w:p w14:paraId="5808224D">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5、需组织专业团队进行现场勘查，识别高风险设备（如高压配电箱、含汞灯具）</w:t>
            </w:r>
          </w:p>
          <w:p w14:paraId="7CDF8E2A">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6、制定详细的拆除方案（含时间节点、人员分工、应急预案）</w:t>
            </w:r>
          </w:p>
          <w:p w14:paraId="605C5D44">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7、需提前向校方报备拆除时间，学校会协调停电时间窗口，</w:t>
            </w:r>
          </w:p>
          <w:p w14:paraId="7AA8B8B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sz w:val="24"/>
                <w:szCs w:val="24"/>
              </w:rPr>
              <w:t>五、需在房间布置衣架1个，镜子1个，艺术画4个。</w:t>
            </w:r>
          </w:p>
        </w:tc>
        <w:tc>
          <w:tcPr>
            <w:tcW w:w="698" w:type="dxa"/>
            <w:shd w:val="clear" w:color="auto" w:fill="auto"/>
            <w:vAlign w:val="center"/>
          </w:tcPr>
          <w:p w14:paraId="3FB2B6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批</w:t>
            </w:r>
          </w:p>
        </w:tc>
        <w:tc>
          <w:tcPr>
            <w:tcW w:w="843" w:type="dxa"/>
            <w:shd w:val="clear" w:color="auto" w:fill="auto"/>
            <w:vAlign w:val="center"/>
          </w:tcPr>
          <w:p w14:paraId="688141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3</w:t>
            </w:r>
          </w:p>
        </w:tc>
        <w:tc>
          <w:tcPr>
            <w:tcW w:w="698" w:type="dxa"/>
            <w:vAlign w:val="center"/>
          </w:tcPr>
          <w:p w14:paraId="06861EAB">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2F3B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6C80E174">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c>
          <w:tcPr>
            <w:tcW w:w="1400" w:type="dxa"/>
            <w:shd w:val="clear" w:color="auto" w:fill="auto"/>
            <w:vAlign w:val="center"/>
          </w:tcPr>
          <w:p w14:paraId="16ECA2A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bidi="ar"/>
              </w:rPr>
              <w:t>木地板</w:t>
            </w:r>
          </w:p>
        </w:tc>
        <w:tc>
          <w:tcPr>
            <w:tcW w:w="9766" w:type="dxa"/>
            <w:vAlign w:val="center"/>
          </w:tcPr>
          <w:p w14:paraId="396C9EB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一、材质说明：</w:t>
            </w:r>
          </w:p>
          <w:p w14:paraId="4447D39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1、油漆：运动木地板专用uv漆</w:t>
            </w:r>
          </w:p>
          <w:p w14:paraId="25B62972">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2、枫桦木(学名：桦木)：厚度22mm×宽60~80mm×1810mm长.</w:t>
            </w:r>
          </w:p>
          <w:p w14:paraId="4791C84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3、毛板：厚度12mm×2440mm长×1220mm宽</w:t>
            </w:r>
          </w:p>
          <w:p w14:paraId="641FDB2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4、防潮膜：无纺布</w:t>
            </w:r>
          </w:p>
          <w:p w14:paraId="2267533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5、单龙骨结构：厚度40×宽度50mm(松木实木±2mm)</w:t>
            </w:r>
          </w:p>
          <w:p w14:paraId="72AE386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6、弹性胶垫：厚度15mm.</w:t>
            </w:r>
          </w:p>
          <w:p w14:paraId="335A7CB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二、结构</w:t>
            </w:r>
          </w:p>
          <w:p w14:paraId="7CACC34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1、油漆：采用运动木地板专用UV漆，在工厂生产线上标准化生产，油漆达到防滑、耐磨、抗划擦效果。</w:t>
            </w:r>
          </w:p>
          <w:p w14:paraId="7F547B8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2、面层：采用24/22/20mm厚优质枫木/枫桦/柞木，木板面色调一致、平整刨光，无刨痕、翘曲与鼓包。</w:t>
            </w:r>
          </w:p>
          <w:p w14:paraId="7CD5E3A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3、龙骨：采用优质松木龙骨截面尺寸为40mm×50mm。环保性能好、弹性均匀、耐腐蚀能力强,龙骨做完防腐工序后出厂。</w:t>
            </w:r>
          </w:p>
          <w:p w14:paraId="5FE2F88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4、减震垫：采用运动木地板专用减震垫，减震垫厚度≥10mm，确保弹性稳定和减震效果。</w:t>
            </w:r>
          </w:p>
        </w:tc>
        <w:tc>
          <w:tcPr>
            <w:tcW w:w="698" w:type="dxa"/>
            <w:shd w:val="clear" w:color="auto" w:fill="auto"/>
            <w:vAlign w:val="center"/>
          </w:tcPr>
          <w:p w14:paraId="214076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w:t>
            </w:r>
          </w:p>
        </w:tc>
        <w:tc>
          <w:tcPr>
            <w:tcW w:w="843" w:type="dxa"/>
            <w:shd w:val="clear" w:color="auto" w:fill="auto"/>
            <w:vAlign w:val="center"/>
          </w:tcPr>
          <w:p w14:paraId="15CBAF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74</w:t>
            </w:r>
          </w:p>
        </w:tc>
        <w:tc>
          <w:tcPr>
            <w:tcW w:w="698" w:type="dxa"/>
            <w:vAlign w:val="center"/>
          </w:tcPr>
          <w:p w14:paraId="4DF3EF2C">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553E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0C58D8E7">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p>
        </w:tc>
        <w:tc>
          <w:tcPr>
            <w:tcW w:w="1400" w:type="dxa"/>
            <w:shd w:val="clear" w:color="auto" w:fill="auto"/>
            <w:vAlign w:val="center"/>
          </w:tcPr>
          <w:p w14:paraId="29E53F0B">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bidi="ar"/>
              </w:rPr>
              <w:t>窗帘</w:t>
            </w:r>
          </w:p>
        </w:tc>
        <w:tc>
          <w:tcPr>
            <w:tcW w:w="9766" w:type="dxa"/>
            <w:vAlign w:val="center"/>
          </w:tcPr>
          <w:p w14:paraId="3A205982">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1、透光度：全遮光</w:t>
            </w:r>
          </w:p>
          <w:p w14:paraId="1792EF52">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2、面料防尘性：窗帘具备防尘功能</w:t>
            </w:r>
          </w:p>
          <w:p w14:paraId="1A5648E4">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3、面料防火性：防火</w:t>
            </w:r>
          </w:p>
          <w:p w14:paraId="3D7493A7">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4、面料抗UV性：是</w:t>
            </w:r>
          </w:p>
          <w:p w14:paraId="2D5DEEE4">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5、无任何毒性,无刺激性气味，属绿色环保型产品比普通涤纶更柔软，色牢度更高</w:t>
            </w:r>
          </w:p>
          <w:p w14:paraId="5680D762">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6、尺寸：250cm×260cm(长×高)，</w:t>
            </w:r>
          </w:p>
        </w:tc>
        <w:tc>
          <w:tcPr>
            <w:tcW w:w="698" w:type="dxa"/>
            <w:shd w:val="clear" w:color="auto" w:fill="auto"/>
            <w:vAlign w:val="center"/>
          </w:tcPr>
          <w:p w14:paraId="486C0B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71EE8A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3</w:t>
            </w:r>
          </w:p>
        </w:tc>
        <w:tc>
          <w:tcPr>
            <w:tcW w:w="698" w:type="dxa"/>
            <w:vAlign w:val="center"/>
          </w:tcPr>
          <w:p w14:paraId="19C178CB">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4147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4F416182">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p>
        </w:tc>
        <w:tc>
          <w:tcPr>
            <w:tcW w:w="1400" w:type="dxa"/>
            <w:shd w:val="clear" w:color="auto" w:fill="auto"/>
            <w:vAlign w:val="center"/>
          </w:tcPr>
          <w:p w14:paraId="085AF5FE">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bidi="ar"/>
              </w:rPr>
              <w:t>空调</w:t>
            </w:r>
          </w:p>
        </w:tc>
        <w:tc>
          <w:tcPr>
            <w:tcW w:w="9766" w:type="dxa"/>
            <w:vAlign w:val="center"/>
          </w:tcPr>
          <w:p w14:paraId="6EBD07F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3匹，冷暖型</w:t>
            </w:r>
          </w:p>
        </w:tc>
        <w:tc>
          <w:tcPr>
            <w:tcW w:w="698" w:type="dxa"/>
            <w:shd w:val="clear" w:color="auto" w:fill="auto"/>
            <w:vAlign w:val="center"/>
          </w:tcPr>
          <w:p w14:paraId="10ABB3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台</w:t>
            </w:r>
          </w:p>
        </w:tc>
        <w:tc>
          <w:tcPr>
            <w:tcW w:w="843" w:type="dxa"/>
            <w:shd w:val="clear" w:color="auto" w:fill="auto"/>
            <w:vAlign w:val="center"/>
          </w:tcPr>
          <w:p w14:paraId="1803E1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3</w:t>
            </w:r>
          </w:p>
        </w:tc>
        <w:tc>
          <w:tcPr>
            <w:tcW w:w="698" w:type="dxa"/>
            <w:vAlign w:val="center"/>
          </w:tcPr>
          <w:p w14:paraId="163BF028">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6E6B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8" w:type="dxa"/>
            <w:gridSpan w:val="6"/>
            <w:vAlign w:val="center"/>
          </w:tcPr>
          <w:p w14:paraId="39415038">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b/>
                <w:kern w:val="0"/>
                <w:sz w:val="24"/>
                <w:szCs w:val="24"/>
              </w:rPr>
            </w:pPr>
            <w:r>
              <w:rPr>
                <w:rFonts w:hint="eastAsia" w:asciiTheme="minorEastAsia" w:hAnsiTheme="minorEastAsia" w:cstheme="minorEastAsia"/>
                <w:b/>
                <w:kern w:val="0"/>
                <w:sz w:val="28"/>
                <w:szCs w:val="28"/>
              </w:rPr>
              <w:t>五、美术创作教室升级（2间）</w:t>
            </w:r>
          </w:p>
        </w:tc>
      </w:tr>
      <w:bookmarkEnd w:id="122"/>
      <w:tr w14:paraId="5728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69486B4E">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bookmarkStart w:id="123" w:name="_Hlk193137972"/>
            <w:r>
              <w:rPr>
                <w:rFonts w:hint="eastAsia" w:asciiTheme="minorEastAsia" w:hAnsiTheme="minorEastAsia" w:cstheme="minorEastAsia"/>
                <w:kern w:val="0"/>
                <w:sz w:val="24"/>
                <w:szCs w:val="24"/>
              </w:rPr>
              <w:t>序号</w:t>
            </w:r>
          </w:p>
        </w:tc>
        <w:tc>
          <w:tcPr>
            <w:tcW w:w="1400" w:type="dxa"/>
            <w:vAlign w:val="center"/>
          </w:tcPr>
          <w:p w14:paraId="266F1AA7">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设备名称</w:t>
            </w:r>
          </w:p>
        </w:tc>
        <w:tc>
          <w:tcPr>
            <w:tcW w:w="9766" w:type="dxa"/>
            <w:vAlign w:val="center"/>
          </w:tcPr>
          <w:p w14:paraId="17E3EC7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技术参数</w:t>
            </w:r>
          </w:p>
        </w:tc>
        <w:tc>
          <w:tcPr>
            <w:tcW w:w="698" w:type="dxa"/>
            <w:vAlign w:val="center"/>
          </w:tcPr>
          <w:p w14:paraId="0954EBE8">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单位</w:t>
            </w:r>
          </w:p>
        </w:tc>
        <w:tc>
          <w:tcPr>
            <w:tcW w:w="843" w:type="dxa"/>
            <w:vAlign w:val="center"/>
          </w:tcPr>
          <w:p w14:paraId="36237108">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数量</w:t>
            </w:r>
          </w:p>
        </w:tc>
        <w:tc>
          <w:tcPr>
            <w:tcW w:w="698" w:type="dxa"/>
            <w:vAlign w:val="center"/>
          </w:tcPr>
          <w:p w14:paraId="7CDA14A5">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备注</w:t>
            </w:r>
          </w:p>
        </w:tc>
      </w:tr>
      <w:bookmarkEnd w:id="123"/>
      <w:tr w14:paraId="0C65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085014BC">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p>
        </w:tc>
        <w:tc>
          <w:tcPr>
            <w:tcW w:w="1400" w:type="dxa"/>
            <w:shd w:val="clear" w:color="auto" w:fill="auto"/>
            <w:vAlign w:val="center"/>
          </w:tcPr>
          <w:p w14:paraId="379273D9">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文化建设</w:t>
            </w:r>
          </w:p>
        </w:tc>
        <w:tc>
          <w:tcPr>
            <w:tcW w:w="9766" w:type="dxa"/>
            <w:vAlign w:val="center"/>
          </w:tcPr>
          <w:p w14:paraId="53AE5EFF">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教室文化建设包含以下内容</w:t>
            </w:r>
          </w:p>
          <w:p w14:paraId="0969F858">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合计：100平方</w:t>
            </w:r>
          </w:p>
          <w:p w14:paraId="5D4106CD">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一、室内顶部处理：共计100个平方</w:t>
            </w:r>
          </w:p>
          <w:p w14:paraId="266C1283">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1、保证通风采光，</w:t>
            </w:r>
          </w:p>
          <w:p w14:paraId="430C3730">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2、需采用不燃材料（如石膏板、金属板、矿棉板等材质）吊顶，</w:t>
            </w:r>
          </w:p>
          <w:p w14:paraId="24D9AB00">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3、防霉、防潮、易清洁，搭配均匀照明灯，确保安全舒适的教学环境。</w:t>
            </w:r>
          </w:p>
          <w:p w14:paraId="7D2FE1B2">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二、墙面优化：共计160个平方</w:t>
            </w:r>
          </w:p>
          <w:p w14:paraId="222BDA1D">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1、执行标准：</w:t>
            </w:r>
          </w:p>
          <w:p w14:paraId="50910FDB">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1.1、（合成树脂乳液内墙涂料）JG/T9756-2018</w:t>
            </w:r>
          </w:p>
          <w:p w14:paraId="51AAC260">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1.2、（室内装饰装修材料内墙涂料中有害物质限量）GB18582</w:t>
            </w:r>
          </w:p>
          <w:p w14:paraId="7D1A5CF7">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2、材料要求：要求所用材料为墙面环保乳胶漆</w:t>
            </w:r>
          </w:p>
          <w:p w14:paraId="36C91F05">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2.1、在容器中的状态：无硬块，搅拌后呈均匀状</w:t>
            </w:r>
          </w:p>
          <w:p w14:paraId="31F50BC1">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2.2、施工性：涂刷二道无障碍</w:t>
            </w:r>
          </w:p>
          <w:p w14:paraId="6D972DAE">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2.3、温度温度性：不变质</w:t>
            </w:r>
          </w:p>
          <w:p w14:paraId="17095FF1">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2.4、低温成膜型：无异常</w:t>
            </w:r>
          </w:p>
          <w:p w14:paraId="39407F2B">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2.5、涂抹外观：正常</w:t>
            </w:r>
          </w:p>
          <w:p w14:paraId="3F97386E">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2.6、干燥时间（表干）/h≤：2</w:t>
            </w:r>
          </w:p>
          <w:p w14:paraId="7603C6C5">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2.7、耐碱性（24h）：无异常</w:t>
            </w:r>
          </w:p>
          <w:p w14:paraId="147B5FEA">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2.8、初期干燥抗裂性：无裂纹</w:t>
            </w:r>
          </w:p>
          <w:p w14:paraId="5D4EB038">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三、电路优化：零线30米，火线30米，地线30米</w:t>
            </w:r>
          </w:p>
          <w:p w14:paraId="5632F363">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1，所有线路必须穿阻燃PVC管或金属线槽（禁止裸露明线）</w:t>
            </w:r>
          </w:p>
          <w:p w14:paraId="7F1FE8EE">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2，配电箱需设漏电保护器，每回路负载≤80%额定功率</w:t>
            </w:r>
          </w:p>
          <w:p w14:paraId="46B2F1FE">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四、原有设备的拆除</w:t>
            </w:r>
          </w:p>
          <w:p w14:paraId="32EE0D86">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1电路线：零火地线各30米，</w:t>
            </w:r>
          </w:p>
          <w:p w14:paraId="4FDBEB97">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2灯具：8个灯，</w:t>
            </w:r>
          </w:p>
          <w:p w14:paraId="611AACCE">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3窗帘：30个平方，</w:t>
            </w:r>
          </w:p>
          <w:p w14:paraId="6FD55A18">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4门：教室1，1扇，教室2，2扇</w:t>
            </w:r>
          </w:p>
          <w:p w14:paraId="508A798F">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5、需组织专业团队进行现场勘查，识别高风险设备（如高压配电箱、含汞灯具）</w:t>
            </w:r>
          </w:p>
          <w:p w14:paraId="3217E8F9">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6、制定详细的拆除方案（含时间节点、人员分工、应急预案）</w:t>
            </w:r>
          </w:p>
          <w:p w14:paraId="0C6D847C">
            <w:pPr>
              <w:keepNext w:val="0"/>
              <w:keepLines w:val="0"/>
              <w:pageBreakBefore w:val="0"/>
              <w:kinsoku/>
              <w:wordWrap/>
              <w:overflowPunct/>
              <w:topLinePunct w:val="0"/>
              <w:autoSpaceDE/>
              <w:autoSpaceDN/>
              <w:bidi w:val="0"/>
              <w:adjustRightInd/>
              <w:snapToGrid/>
              <w:spacing w:line="240" w:lineRule="auto"/>
              <w:ind w:firstLine="0" w:firstLineChars="0"/>
              <w:jc w:val="left"/>
              <w:rPr>
                <w:sz w:val="24"/>
                <w:szCs w:val="24"/>
              </w:rPr>
            </w:pPr>
            <w:r>
              <w:rPr>
                <w:rFonts w:hint="eastAsia"/>
                <w:sz w:val="24"/>
                <w:szCs w:val="24"/>
              </w:rPr>
              <w:t>7、需提前向校方报备拆除时间，学校会协调停电时间窗口，</w:t>
            </w:r>
          </w:p>
          <w:p w14:paraId="5F28BB3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sz w:val="24"/>
                <w:szCs w:val="24"/>
              </w:rPr>
              <w:t>五、需在每个房间墙面上做艺术造型，每个房间至少覆盖一面墙，手工制作浮雕，造型内容：长城、树、花、动物、等供选择。</w:t>
            </w:r>
          </w:p>
        </w:tc>
        <w:tc>
          <w:tcPr>
            <w:tcW w:w="698" w:type="dxa"/>
            <w:shd w:val="clear" w:color="auto" w:fill="auto"/>
            <w:vAlign w:val="center"/>
          </w:tcPr>
          <w:p w14:paraId="66BB63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批</w:t>
            </w:r>
          </w:p>
        </w:tc>
        <w:tc>
          <w:tcPr>
            <w:tcW w:w="843" w:type="dxa"/>
            <w:shd w:val="clear" w:color="auto" w:fill="auto"/>
            <w:vAlign w:val="center"/>
          </w:tcPr>
          <w:p w14:paraId="0C92B5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w:t>
            </w:r>
          </w:p>
        </w:tc>
        <w:tc>
          <w:tcPr>
            <w:tcW w:w="698" w:type="dxa"/>
            <w:vAlign w:val="center"/>
          </w:tcPr>
          <w:p w14:paraId="55E73154">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231B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3E57DAAD">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c>
          <w:tcPr>
            <w:tcW w:w="1400" w:type="dxa"/>
            <w:shd w:val="clear" w:color="auto" w:fill="auto"/>
            <w:vAlign w:val="center"/>
          </w:tcPr>
          <w:p w14:paraId="3C0018D2">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木地板</w:t>
            </w:r>
          </w:p>
        </w:tc>
        <w:tc>
          <w:tcPr>
            <w:tcW w:w="9766" w:type="dxa"/>
            <w:vAlign w:val="center"/>
          </w:tcPr>
          <w:p w14:paraId="67A5CCD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一、材质说明：</w:t>
            </w:r>
          </w:p>
          <w:p w14:paraId="77A6051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1、油漆：运动木地板专用uv漆</w:t>
            </w:r>
          </w:p>
          <w:p w14:paraId="2A9E1656">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2、枫桦木(学名：桦木)：厚度22mm×宽60~80mm×1810mm长.</w:t>
            </w:r>
          </w:p>
          <w:p w14:paraId="36E0C1F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3、毛板：厚度12mm×2440mm长×1220mm宽</w:t>
            </w:r>
          </w:p>
          <w:p w14:paraId="789FD31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4、防潮膜：无纺布</w:t>
            </w:r>
          </w:p>
          <w:p w14:paraId="0BCB6FA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5、单龙骨结构：厚度40×宽度50mm(松木实木±2mm)</w:t>
            </w:r>
          </w:p>
          <w:p w14:paraId="7B77476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6、弹性胶垫：厚度15mm.</w:t>
            </w:r>
          </w:p>
          <w:p w14:paraId="281F300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二、结构</w:t>
            </w:r>
          </w:p>
          <w:p w14:paraId="3347BDB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1、油漆：采用运动木地板专用UV漆，在工厂生产线上标准化生产，油漆达到防滑、耐磨、抗划擦效果。</w:t>
            </w:r>
          </w:p>
          <w:p w14:paraId="4AA2D17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2、面层：采用24/22/20mm厚优质枫木/枫桦/柞木，木板面色调一致、平整刨光，无刨痕、翘曲与鼓包。</w:t>
            </w:r>
          </w:p>
          <w:p w14:paraId="718108A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3、龙骨：采用优质松木龙骨截面尺寸为40mm×50mm。环保性能好、弹性均匀、耐腐蚀能力强,龙骨做完防腐工序后出厂。</w:t>
            </w:r>
          </w:p>
          <w:p w14:paraId="768F2D7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4、减震垫：采用运动木地板专用减震垫，减震垫厚度≥10mm，确保弹性稳定和减震效果。</w:t>
            </w:r>
          </w:p>
        </w:tc>
        <w:tc>
          <w:tcPr>
            <w:tcW w:w="698" w:type="dxa"/>
            <w:shd w:val="clear" w:color="auto" w:fill="auto"/>
            <w:vAlign w:val="center"/>
          </w:tcPr>
          <w:p w14:paraId="3EE7E9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w:t>
            </w:r>
          </w:p>
        </w:tc>
        <w:tc>
          <w:tcPr>
            <w:tcW w:w="843" w:type="dxa"/>
            <w:shd w:val="clear" w:color="auto" w:fill="auto"/>
            <w:vAlign w:val="center"/>
          </w:tcPr>
          <w:p w14:paraId="0E2BB8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150</w:t>
            </w:r>
          </w:p>
        </w:tc>
        <w:tc>
          <w:tcPr>
            <w:tcW w:w="698" w:type="dxa"/>
            <w:vAlign w:val="center"/>
          </w:tcPr>
          <w:p w14:paraId="3A40976F">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21A6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83" w:type="dxa"/>
            <w:vAlign w:val="center"/>
          </w:tcPr>
          <w:p w14:paraId="544E3022">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p>
        </w:tc>
        <w:tc>
          <w:tcPr>
            <w:tcW w:w="1400" w:type="dxa"/>
            <w:shd w:val="clear" w:color="auto" w:fill="auto"/>
            <w:vAlign w:val="center"/>
          </w:tcPr>
          <w:p w14:paraId="274A6A29">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窗帘</w:t>
            </w:r>
          </w:p>
        </w:tc>
        <w:tc>
          <w:tcPr>
            <w:tcW w:w="9766" w:type="dxa"/>
            <w:vAlign w:val="center"/>
          </w:tcPr>
          <w:p w14:paraId="7CF186CE">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1、透光度：全遮光</w:t>
            </w:r>
          </w:p>
          <w:p w14:paraId="380BB7A6">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2、面料防尘性：窗帘具备防尘功能</w:t>
            </w:r>
          </w:p>
          <w:p w14:paraId="2AE10B67">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3、面料防火性：防火</w:t>
            </w:r>
          </w:p>
          <w:p w14:paraId="1B038B25">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4、面料抗UV性：是</w:t>
            </w:r>
          </w:p>
          <w:p w14:paraId="0CAC244C">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5、无任何毒性,无刺激性气味，属绿色环保型产品比普通涤纶更柔软，色牢度更高</w:t>
            </w:r>
          </w:p>
          <w:p w14:paraId="1E19E2AA">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6、尺寸：</w:t>
            </w:r>
          </w:p>
          <w:p w14:paraId="31C52ABA">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6.1教室1南部尺寸为800cm×260cm(长×高)，东部尺寸为600cm×260cm(长×高)，</w:t>
            </w:r>
          </w:p>
          <w:p w14:paraId="66AA52C2">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6.2教室2尺寸为550cm×260cm(长×高)，</w:t>
            </w:r>
          </w:p>
        </w:tc>
        <w:tc>
          <w:tcPr>
            <w:tcW w:w="698" w:type="dxa"/>
            <w:shd w:val="clear" w:color="auto" w:fill="auto"/>
            <w:vAlign w:val="center"/>
          </w:tcPr>
          <w:p w14:paraId="71F2EE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批</w:t>
            </w:r>
          </w:p>
        </w:tc>
        <w:tc>
          <w:tcPr>
            <w:tcW w:w="843" w:type="dxa"/>
            <w:shd w:val="clear" w:color="auto" w:fill="auto"/>
            <w:vAlign w:val="center"/>
          </w:tcPr>
          <w:p w14:paraId="0022DF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w:t>
            </w:r>
          </w:p>
        </w:tc>
        <w:tc>
          <w:tcPr>
            <w:tcW w:w="698" w:type="dxa"/>
            <w:vAlign w:val="center"/>
          </w:tcPr>
          <w:p w14:paraId="7D4F767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3893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5CCE5132">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p>
        </w:tc>
        <w:tc>
          <w:tcPr>
            <w:tcW w:w="1400" w:type="dxa"/>
            <w:shd w:val="clear" w:color="auto" w:fill="auto"/>
            <w:vAlign w:val="center"/>
          </w:tcPr>
          <w:p w14:paraId="7AE4E2D7">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空调</w:t>
            </w:r>
          </w:p>
        </w:tc>
        <w:tc>
          <w:tcPr>
            <w:tcW w:w="9766" w:type="dxa"/>
            <w:vAlign w:val="center"/>
          </w:tcPr>
          <w:p w14:paraId="60D4479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3匹，冷暖型</w:t>
            </w:r>
          </w:p>
        </w:tc>
        <w:tc>
          <w:tcPr>
            <w:tcW w:w="698" w:type="dxa"/>
            <w:shd w:val="clear" w:color="auto" w:fill="auto"/>
            <w:vAlign w:val="center"/>
          </w:tcPr>
          <w:p w14:paraId="2B6F7B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台</w:t>
            </w:r>
          </w:p>
        </w:tc>
        <w:tc>
          <w:tcPr>
            <w:tcW w:w="843" w:type="dxa"/>
            <w:shd w:val="clear" w:color="auto" w:fill="auto"/>
            <w:vAlign w:val="center"/>
          </w:tcPr>
          <w:p w14:paraId="58085E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w:t>
            </w:r>
          </w:p>
        </w:tc>
        <w:tc>
          <w:tcPr>
            <w:tcW w:w="698" w:type="dxa"/>
            <w:vAlign w:val="center"/>
          </w:tcPr>
          <w:p w14:paraId="32E15A5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5B4A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4CC294B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5</w:t>
            </w:r>
          </w:p>
        </w:tc>
        <w:tc>
          <w:tcPr>
            <w:tcW w:w="1400" w:type="dxa"/>
            <w:shd w:val="clear" w:color="auto" w:fill="auto"/>
            <w:vAlign w:val="center"/>
          </w:tcPr>
          <w:p w14:paraId="045044B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cstheme="minorEastAsia"/>
                <w:color w:val="000000"/>
                <w:sz w:val="24"/>
                <w:szCs w:val="24"/>
              </w:rPr>
              <w:t>智慧黑板（多媒体）</w:t>
            </w:r>
          </w:p>
        </w:tc>
        <w:tc>
          <w:tcPr>
            <w:tcW w:w="9766" w:type="dxa"/>
            <w:vAlign w:val="center"/>
          </w:tcPr>
          <w:p w14:paraId="74D2241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一、屏体及触控技术要求：</w:t>
            </w:r>
          </w:p>
          <w:p w14:paraId="4466D9F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1.智能交互黑板显示尺寸≥86英寸，刷新率：60Hz，分辨率：3840*2160，在双系统下均支持30点触控。（需提供CMA或CNAS认证检测机构出具的检测报告并加盖公章）</w:t>
            </w:r>
          </w:p>
          <w:p w14:paraId="61D8C8E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2.智能交互黑板表面玻璃采用高强度钢化玻璃，AG防眩光，厚度≤3.2mm，硬度≥莫氏7级，石墨硬度≥9H。</w:t>
            </w:r>
          </w:p>
          <w:p w14:paraId="47A330C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3.为确保教学有更大的使用面积，智能交互黑板整体长度＞4400mm。</w:t>
            </w:r>
          </w:p>
          <w:p w14:paraId="0E493D0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智能交互黑板需采用全贴合设计，屏体表面无可见金属条纹，以45度角观察屏幕，钢化玻璃和液晶显示层无间隙密贴合，无水雾/水汽，减少显示面板与玻璃间的偏光、散射，画面显示更加清晰通透；178度可见屏体图像。</w:t>
            </w:r>
          </w:p>
          <w:p w14:paraId="5CBC6E4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二、安全性要求：</w:t>
            </w:r>
          </w:p>
          <w:p w14:paraId="4ECC48A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1.智能交互黑板背光系统支持DC调光方式，多级亮度调节，拍摄时画面无条纹闪烁。光源稳定无频闪，防止眼睛疲劳。（提供CMA或CNAS认证检测机构出具的检测报告并加盖公章）</w:t>
            </w:r>
          </w:p>
          <w:p w14:paraId="179F182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2.满足《GB40070-2021儿童青少年学习用品近视防控卫生要求》。</w:t>
            </w:r>
          </w:p>
          <w:p w14:paraId="75380EB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3.智能交互黑板全通道支持纸质护眼模式，可实现画面纹理的实时调整；支持纸质纹理：素描纸、宣纸、水彩纸、牛皮纸、水纹纸；支持透明度调节与色温调节；显示画面各像素点灰度不规则，减少背景干扰。</w:t>
            </w:r>
          </w:p>
          <w:p w14:paraId="08CC3A7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4.智能交互黑板可进行硬件自检，包括对系统内存、存储、触控系统、光感系统、内置电脑、屏体信息、CPU型号、CPU使用率、设备名称等进行状态提示及故障提示。</w:t>
            </w:r>
          </w:p>
          <w:p w14:paraId="19D78B7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5.依据GB21520-2023标准，能效等级达到1级。</w:t>
            </w:r>
          </w:p>
          <w:p w14:paraId="1AA8A73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6.智能交互黑板具备屏体温度实时监控、高温预警及断电保护等功能。(需提供CMA或CNAS认证检测机构出具的检测报告并加盖公章)</w:t>
            </w:r>
          </w:p>
          <w:p w14:paraId="2A45CC5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三、教学要求：</w:t>
            </w:r>
          </w:p>
          <w:p w14:paraId="58C807C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1.智能交互黑板前置面板至少具备1路HDMI接口（非转接），2路USB3.0接口，1路Type-C接口。（需提供CMA或CNAS认证检测机构出具的检测报告并加盖公章）</w:t>
            </w:r>
          </w:p>
          <w:p w14:paraId="4504E24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2.为方便用户外接拓展设备，智能交互黑板后置标配非扩展HDMI输入≥2路，HDMI输出≥1路（支持安卓及其他通道信号输出）。（需提供CMA或CNAS认证检测机构出具的检测报告并加盖公章）</w:t>
            </w:r>
          </w:p>
          <w:p w14:paraId="000FEE0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3.智能交互黑板具有笔槽结构，可放置书写笔、粉笔、水性笔等，笔槽具有漏灰孔设计。</w:t>
            </w:r>
          </w:p>
          <w:p w14:paraId="1EE650B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4.为方便维护，智能交互黑板具有前掀式维护功能，主屏向上掀起角度≥30°。</w:t>
            </w:r>
          </w:p>
          <w:p w14:paraId="055FBCC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5.★智能交互黑板前置按键≥6个，可实现音量加减、窗口关闭、触控开关等功能，且按键均支持功能复用。（需提供CMA或CNAS认证检测机构出具的检测报告并加盖公章）</w:t>
            </w:r>
          </w:p>
          <w:p w14:paraId="1913DBE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6.★前置按键面板向上倾斜，与黑板正面形成夹角，符合人体工学，操作更加便捷。（需提供CMA或CNAS认证检测机构出具的检测报告并加盖公章）</w:t>
            </w:r>
          </w:p>
          <w:p w14:paraId="4B06C5C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7.智能交互黑板接口具备丝印中文标识。</w:t>
            </w:r>
          </w:p>
          <w:p w14:paraId="605E7B5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8.★智能交互黑板采用≥12核国产化驱动芯片，8核CPU、4核GPU。Android系统版本≥14.0，内存≥2G，存储≥8G。（需提供CMA或CNAS认证检测机构出具的检测报告并加盖公章）</w:t>
            </w:r>
          </w:p>
          <w:p w14:paraId="7CE7CAC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9.采用针孔阵列发声设计，2.2声道，下边框具有6个发声单元，最大功率≥60W,扬声器在100%音量下，1米处声压级≥90dB，10米处声压级≥80dB；最低谐振频率不高于100Hz。（需提供CMA或CNAS认证检测机构出具的检测报告并加盖公章）</w:t>
            </w:r>
          </w:p>
          <w:p w14:paraId="124FC22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10.★内置一体化超高清5K摄像头，单颗摄像头有效像素＞1900W，可输出最大分辨率5100*3800的图片与视频，支持搭配AI软件实现自动点名点数功能，支持远程巡课功能，具备指示灯工作状态提示。（需提供CMA或CNAS认证检测机构出具的检测报告并加盖公章）</w:t>
            </w:r>
          </w:p>
          <w:p w14:paraId="505CEB7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11.智能交互黑板内置8阵列麦克风，拾音角度≥180°，可用于对教室环境音频进行采集。</w:t>
            </w:r>
          </w:p>
          <w:p w14:paraId="7C3D5A2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12.★智能交互黑板具备前置电脑还原按键，无需专业人员即可轻松解决电脑系统故障，为避免误碰按键采用针孔式设计。(需提供CMA或CNAS认证检测机构出具的检测报告并加盖公章)（提供设备照片或者视频进行证明，视频一镜到底）</w:t>
            </w:r>
          </w:p>
          <w:p w14:paraId="07A2B83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13.只需一根网线连接，即可实现Windows和Andriod双系统同时上网。</w:t>
            </w:r>
          </w:p>
          <w:p w14:paraId="17B56C4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14.具备无线（包括Wi-Fi和Bluetooth蓝牙）独立模块，支持单独拆卸。</w:t>
            </w:r>
          </w:p>
          <w:p w14:paraId="0176E6D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15.智能交互黑板内置Wi-Fi6无线网卡，支持2.4G、5G双频，支持无线设备同时连接数量≥20个。在Android连接Wi-Fi上网（STA）的情况下，Windows会同步连接网络。Android下支持自定义AP无线热点名称和密码，满足IEEE802.11a\b\g\n\ac\axwave2协议标准，实现无线信号的中继和桥接，扩大无线网络的覆盖范围，适应不同教学需求和环境。</w:t>
            </w:r>
          </w:p>
          <w:p w14:paraId="2CDE21C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四、应用功能要求：</w:t>
            </w:r>
          </w:p>
          <w:p w14:paraId="1C417C0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智能交互黑板左右两侧可提供与教学应用密切相关的快捷键，数量各不少于14个，并支持自定义设置：时间，显示模式，支持单侧显示、双侧同时显示，该快捷键至少具有关闭窗口、展台、桌面、多屏互动等教学常用按键。(需提供CMA或CNAS认证检测机构出具的检测报告并加盖公章)</w:t>
            </w:r>
          </w:p>
          <w:p w14:paraId="2B3E61F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2.在任意信号源下，从屏幕下方任意位置向上滑动，可调用快捷设置菜单无需切换系统，可快速调节Windows和Android的设置，并支持拖拽到屏幕任意位置。</w:t>
            </w:r>
          </w:p>
          <w:p w14:paraId="648B137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3.智能交互黑板具有悬浮菜单，两指可快速移动悬浮菜单至按压位置，悬浮菜单可进行自定义分组，可添加AI互动软件等不少于30个应用。</w:t>
            </w:r>
          </w:p>
          <w:p w14:paraId="38682B4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4.支持智能手势，可通过多指长按屏幕实现悬浮窗快速调用、屏幕息屏或亮屏、屏幕下移、多任务等功能，方便教学操作。</w:t>
            </w:r>
          </w:p>
          <w:p w14:paraId="2AD028E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5.为节约用电，具备自动待机功能，在无操作或无信号输入时，自动进入待机节能状态，时间间隔可自定义。</w:t>
            </w:r>
          </w:p>
          <w:p w14:paraId="078C628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6.智能节电，可自定义设置，在无操作或无信号输入15分钟或更长时间,出现关机提示倒计时。</w:t>
            </w:r>
          </w:p>
          <w:p w14:paraId="02D2CFF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7.智能交互黑板处于关机通电状态，外接电脑、机顶盒等设备接入交互黑板时，智能交互黑板可识别到外接设备的输入信号后自动开机。</w:t>
            </w:r>
          </w:p>
          <w:p w14:paraId="1671DAA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8.为方便管理，智能交互黑板具备锁屏功能，支持密码锁屏和二维码锁屏2种方式。</w:t>
            </w:r>
          </w:p>
          <w:p w14:paraId="591ABE6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9.可自动识别新接入的信号源，并自动切换到该信号源显示，在断开连接后，弹出确认，10秒后返回之前信号源。</w:t>
            </w:r>
          </w:p>
          <w:p w14:paraId="40CFB75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五、侧板要求：</w:t>
            </w:r>
          </w:p>
          <w:p w14:paraId="510B611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1.支持磁性材质教具吸附</w:t>
            </w:r>
          </w:p>
          <w:p w14:paraId="0C0F947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2.板面光泽度需符合GB28231-2011标准，不高于8光泽度以免产生眩光</w:t>
            </w:r>
          </w:p>
          <w:p w14:paraId="465FFFB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3.板面粗糙度需符合GB28231-2011标准，位于1.6um-2.0um之间</w:t>
            </w:r>
          </w:p>
          <w:p w14:paraId="3432517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4.板面符合GB/T9286-2021标准，支持色漆和清漆漆膜的划格试验，脱漆面积不明显大于5%达到0级标准</w:t>
            </w:r>
          </w:p>
          <w:p w14:paraId="3D5290C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5.板面抗冲击性需符合GB/T1732-2020标准，漆膜耐冲击无裂纹现象。</w:t>
            </w:r>
          </w:p>
          <w:p w14:paraId="21C1B3A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六、内置电脑要求：</w:t>
            </w:r>
          </w:p>
          <w:p w14:paraId="5DAEE6F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1.采用80pinIntel通用标准接口,即插即用，易于维护。</w:t>
            </w:r>
          </w:p>
          <w:p w14:paraId="12737BE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2.CPU采用Intel第11代或以上平台处理器酷睿I5处理器。</w:t>
            </w:r>
          </w:p>
          <w:p w14:paraId="340BF99F">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3.内存：≥8GDDR4。硬盘：≥256GSSD固态硬盘。</w:t>
            </w:r>
          </w:p>
          <w:p w14:paraId="3605F00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1.接口：整机非外扩展具备5个USB接口；具有独立非外扩展的视频输出接口：≥1路HDMI等。</w:t>
            </w:r>
          </w:p>
          <w:p w14:paraId="6DA8A8F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七、配套教学软件：</w:t>
            </w:r>
          </w:p>
          <w:p w14:paraId="70F6D7C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1.支持多端程序入口,支持PC端、交互设备、移动端及网页端；且均可快速生成、播放课件。(所投智慧黑板配套软件生产厂家需通过SPCA软件能力成熟度模型认证并达到5级要求,提供相关证明文件加盖制造商公章)</w:t>
            </w:r>
          </w:p>
          <w:p w14:paraId="0DD6CE3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2.不少于三种登录方式，包含账号密码直接登录、微信扫码登录、书写登录等，支持免登录打开本地课件；其中书写登录可录入内容及笔迹，在任意设备进行书写登录软件；</w:t>
            </w:r>
          </w:p>
          <w:p w14:paraId="384FEB8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3.教学软件至少包含，我的文件、回收站、我的班级、操作指南、个人设置等应用模块；</w:t>
            </w:r>
          </w:p>
          <w:p w14:paraId="72AC7AE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4.回收站：教师可根据自身使用需求对已经创建好的课件进行修改或删除，删除后的课件可自行存放到回收站，默认情况下保存30天，30天后可自动清除；回收站内的课件支持单个课件，或者全部课件一键清除；</w:t>
            </w:r>
          </w:p>
          <w:p w14:paraId="5F09B84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（一）、备课模式</w:t>
            </w:r>
          </w:p>
          <w:p w14:paraId="5E13FA9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1.老师个人账号无需完成特定任务，即可获取不少于100GB组织云端存储空间。</w:t>
            </w:r>
          </w:p>
          <w:p w14:paraId="7C1B75C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2.提供预置的课件素材，允许老师在网页端、移动端、电脑端进行内容的选择与组合，快速生成课件并浏览，所有制作的课件均实时保存至云端，老师只需登录即可查看。</w:t>
            </w:r>
          </w:p>
          <w:p w14:paraId="16241B3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3.支持老师根据教材章节目录、知识点选择对应的教学内容。老师仅需要按每个教学环节选择所需的教学模块即可快速生成一份课件。每个课时均提供教学内容模块，满足老师的个性化需求。</w:t>
            </w:r>
          </w:p>
          <w:p w14:paraId="29A7EA3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4.部分教学模块提供教学设计和课件内容，部分课件提供课件批注，帮助老师更好地选择、运用课件内容。</w:t>
            </w:r>
          </w:p>
          <w:p w14:paraId="3940629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5.支持教师对课件知识点进行评价。</w:t>
            </w:r>
          </w:p>
          <w:p w14:paraId="3597DC9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6.软件支持单独PPT导入功能，并支持导入进度条提示功能，可查看当前导入进度，上传完成后具有中文提示功能。</w:t>
            </w:r>
          </w:p>
          <w:p w14:paraId="16068AF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7.提供语文生字卡片、英语生词卡片、化学工具编辑器、数学工具编辑器、物理仿真实验、英文手写识别等学课工具。</w:t>
            </w:r>
          </w:p>
          <w:p w14:paraId="16244AB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8.可插入表格，表格支持设置行列数，在表格上可以进行行列的添加、删除、合并和拆分，可编辑文字格式和表格格式。</w:t>
            </w:r>
          </w:p>
          <w:p w14:paraId="0C769ED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9.可插入思维导图，包括逻辑图和组织结构图，思维导图可添加同级节点、下级节点上级节点，可编辑文字格式和思维导图格式。</w:t>
            </w:r>
          </w:p>
          <w:p w14:paraId="0487154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（二）、授课模式</w:t>
            </w:r>
          </w:p>
          <w:p w14:paraId="106E37C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1.授课模式默认进入绿板状态，支持显示文件、工具和应用的便捷入口，当开始批注且绿板上有笔迹时，自动隐藏便捷入口，清除笔迹时，自动恢复显示便捷入口；</w:t>
            </w:r>
          </w:p>
          <w:p w14:paraId="2EE580A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2.支持单指长按屏幕任意空白区域呼出便捷入口（文件、工具、应用、一键收起）</w:t>
            </w:r>
          </w:p>
          <w:p w14:paraId="05BD8C9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提供便捷应用模块，包括展台教学、投屏、课堂评价、录制课程、看电视、AI课堂、开启直播、专递课堂、白板、网页、音视频媒体播放器，实现授课场景教学应用的便捷调用；并支持点击展示已打开的全部应用，实现一键应用切换；支持自定义添加/移除应用；</w:t>
            </w:r>
          </w:p>
          <w:p w14:paraId="0882385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4.文件入口支持拉起其他网盘，包含4种常用的三方网盘入口</w:t>
            </w:r>
          </w:p>
          <w:p w14:paraId="794ACA1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5.工具条支持上下移动，支持收起/展开，工具条支持批注、清页、文件、工具、应用切换、更多；工具子菜单支持屏幕拖动</w:t>
            </w:r>
          </w:p>
          <w:p w14:paraId="5DBDAD8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6.支持使用教辅工具，包含截图、时钟、放大镜、聚光灯、黑屏、随机数、骰子和大转盘8种；无论绿板状态、多文件全屏播放状态以及三方应用拉起状态均支持使用</w:t>
            </w:r>
          </w:p>
          <w:p w14:paraId="7C24AC6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支持打开本机文件、U盘文件等本地文件；不需导入，可直接打开本地视频、音频、图片、离线教学课件、PPT&amp;PPTX、PDF文件、DOC&amp;DOCX文件及swf文件；支持不少于多个文件窗口同屏播放显示，满足多素材授课需求。</w:t>
            </w:r>
          </w:p>
          <w:p w14:paraId="547CAAA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8.支持展示当前已打开的文件，点击实现文件窗口的便捷切换，支持文件一键全部最小化，支持双击标题栏实现文件全屏播放</w:t>
            </w:r>
          </w:p>
          <w:p w14:paraId="69C8A6E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文件窗口之间可进行独立批注；当起笔落点在绿板上时，识别为绿板批注，当起笔落点在小窗口时，识别为小窗口文件批注；文件大小窗口批注同步，可实现翻页跟随；绿板批注可以跟随绿板漫游；不少于8种笔型，6种颜色可选</w:t>
            </w:r>
          </w:p>
          <w:p w14:paraId="760A28B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10.支持展示当前打开的文件列表，按照打开的时间倒叙排序，点击可进行便捷进行文件切换</w:t>
            </w:r>
          </w:p>
          <w:p w14:paraId="2444E21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11.支持免登录打开离线课件，直接进入课件全屏播放状态；登录后，可返回备课编辑状态。可通过点击或触摸屏幕实现动画的显示和翻页，还支持点击工具条进行课件的前翻页和后翻页；</w:t>
            </w:r>
          </w:p>
          <w:p w14:paraId="4DC4D76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12.提供不少于22个蒙层模板，老师备课时选择合适的蒙层图片遮住元素，授课时用橡皮擦除蒙层，展现被蒙住的元素</w:t>
            </w:r>
          </w:p>
          <w:p w14:paraId="5DC9F6A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（三）、电子黑板贴：</w:t>
            </w:r>
          </w:p>
          <w:p w14:paraId="551990A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1.教室内智能交互设备上点击电子黑板贴，可实现屏幕截图，实时语文、数学、外语、值日、通知等学科分类任务预留，截图操作灵活方便，支持手势拖拽边框缩放大小，可选择区域显示范围。</w:t>
            </w:r>
          </w:p>
          <w:p w14:paraId="5D02451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2.智能交互设备上可查看/删除已留任务/通知内容，按学科语、数、外、通知等类别分别展示和查看，多图轮播，支持手势点击放大图片，手势滑动图片。</w:t>
            </w:r>
          </w:p>
          <w:p w14:paraId="0920BBB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3.电子黑板贴支持手势拖拽任意位置，拖拽至左侧或右侧后可自动收缩，不遮挡，再次点击可展开电子黑板贴，也可隐藏到工具栏。</w:t>
            </w:r>
          </w:p>
          <w:p w14:paraId="39E36F2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（四）、多屏互动</w:t>
            </w:r>
          </w:p>
          <w:p w14:paraId="184033F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1.支持手机端、电脑端与交互显示设备无线投屏，可将笔记本电脑、手机、平板等移动终端文件传至交互显示设备，方便教师在接收端打开并操作文件。</w:t>
            </w:r>
          </w:p>
          <w:p w14:paraId="4DAA10F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2.手机端向交互显示设备扫码连接时自动与交互显示设备网络匹配。</w:t>
            </w:r>
          </w:p>
          <w:p w14:paraId="45951F7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3.手机端在移动授课时，浏览网页、播放在线音视频等不消耗手机网络流量。</w:t>
            </w:r>
          </w:p>
          <w:p w14:paraId="6531BF4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4.支持多张图片图片、音视频等影像上传，可对上传图片进行旋转双向批注/擦除功能。</w:t>
            </w:r>
          </w:p>
          <w:p w14:paraId="5CAF4E0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支持Android、iOS、Windows系统的投屏画面，可支持不少于5个终端设备同时投屏，并自动分屏排布，可将任意一路画面全屏播放，并支持所投视频音频同时播放；支持多手机同时连接交互显示设备，可设置指定设备为主控设备。</w:t>
            </w:r>
          </w:p>
          <w:p w14:paraId="009788A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（五）、教学专属系统</w:t>
            </w:r>
          </w:p>
          <w:p w14:paraId="3D815B0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1.提供符合教师授课场景的教学桌面教学系统。</w:t>
            </w:r>
          </w:p>
          <w:p w14:paraId="0642AD2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2.将教师授课常用应用放至主页，单击即可打开应用，方便教师快捷调用软件；</w:t>
            </w:r>
          </w:p>
          <w:p w14:paraId="1727066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3.开机进入教学桌面，教师可按照自己使用习惯，更换常用软件、背景，形成教师的定制化桌面。可通过登录账户，在其他设备上同步展示教师定制化教学桌面；</w:t>
            </w:r>
          </w:p>
          <w:p w14:paraId="4286A43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4.U盘插入时，无需额外操作自动弹出U盘文件夹，方便教师直接选取U盘中内容；</w:t>
            </w:r>
          </w:p>
          <w:p w14:paraId="3E81161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5.支持手势操作，左右滑动方便教师快速切换主页、应用页及Windows桌面，下滑屏幕下移，方便教师点击大屏上方功能按钮，上滑调起系统设置，方便教师快捷设置系统；</w:t>
            </w:r>
          </w:p>
          <w:p w14:paraId="0DBCB9F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6.支持三种（账号、扫码、U盘-key）登录方式，支持应用登录联动功能，教师登录系统后打开其他应用，可进行快捷登录，无需再次输入账户密码；</w:t>
            </w:r>
          </w:p>
          <w:p w14:paraId="6389483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7.支持在任意界面下，通过前置物理按键返回教学桌面；同时支持一键调出多任务窗口，将所有运行中应用进行展示，方便教师快速切换应用；</w:t>
            </w:r>
          </w:p>
          <w:p w14:paraId="4D53218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8.应用页分类显示应用，包含课件制作、教学工具、管理辅助、数字资源等，方便教师快速找到相应应用；</w:t>
            </w:r>
          </w:p>
          <w:p w14:paraId="20422AA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（六）、设备管家</w:t>
            </w:r>
          </w:p>
          <w:p w14:paraId="7433DD1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1.部署简单，设备连通互联网，输入对应学校编码，自动识别终端设备类型，完成部署；(所投智慧黑板制造商通过ITSS信息技术服务标准运行维护三级及以上证书,提供相关证明文件加盖制造商公章)</w:t>
            </w:r>
          </w:p>
          <w:p w14:paraId="7B1102E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2.系统依据学校名称自动生成学校编码，支持扫描二维码查询学校编码；</w:t>
            </w:r>
          </w:p>
          <w:p w14:paraId="7836161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3.窗口支持最小化隐藏到系统托盘，不影响教师日常使用；</w:t>
            </w:r>
          </w:p>
          <w:p w14:paraId="6DE8E99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4.一键查看设备连接信息，包含Windows/office版本，硬盘、CPU、、内存、网络状态、固件版本号，</w:t>
            </w:r>
          </w:p>
          <w:p w14:paraId="187997D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5.系统还原、备份：一键备份数据并可系统还原至最新备份系统，解决系统异常等问题，如无最新备份系统，备份还原状态需要与硬件一键备份还原保持一致；</w:t>
            </w:r>
          </w:p>
          <w:p w14:paraId="3B563E7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6.弹窗拦截：提供广告拦截，对广告弹窗实现一键拦截，默认直接开启拦截；</w:t>
            </w:r>
          </w:p>
        </w:tc>
        <w:tc>
          <w:tcPr>
            <w:tcW w:w="698" w:type="dxa"/>
            <w:shd w:val="clear" w:color="auto" w:fill="auto"/>
            <w:vAlign w:val="center"/>
          </w:tcPr>
          <w:p w14:paraId="6F5AC5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台</w:t>
            </w:r>
          </w:p>
        </w:tc>
        <w:tc>
          <w:tcPr>
            <w:tcW w:w="843" w:type="dxa"/>
            <w:shd w:val="clear" w:color="auto" w:fill="auto"/>
            <w:vAlign w:val="center"/>
          </w:tcPr>
          <w:p w14:paraId="475BE7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w:t>
            </w:r>
          </w:p>
        </w:tc>
        <w:tc>
          <w:tcPr>
            <w:tcW w:w="698" w:type="dxa"/>
            <w:vAlign w:val="center"/>
          </w:tcPr>
          <w:p w14:paraId="70148208">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6D5D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171B6A5F">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6</w:t>
            </w:r>
          </w:p>
        </w:tc>
        <w:tc>
          <w:tcPr>
            <w:tcW w:w="1400" w:type="dxa"/>
            <w:shd w:val="clear" w:color="auto" w:fill="auto"/>
            <w:vAlign w:val="center"/>
          </w:tcPr>
          <w:p w14:paraId="20B1F9D5">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监控设备</w:t>
            </w:r>
          </w:p>
        </w:tc>
        <w:tc>
          <w:tcPr>
            <w:tcW w:w="9766" w:type="dxa"/>
            <w:vAlign w:val="center"/>
          </w:tcPr>
          <w:p w14:paraId="67DB54A6">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1、500万云台通道+500万固定通道，双路同步，分区看护</w:t>
            </w:r>
          </w:p>
          <w:p w14:paraId="0A11E30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2、云台通道可视角度360°，固定通道可视角度130°</w:t>
            </w:r>
          </w:p>
          <w:p w14:paraId="419D952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3、支持WiFi连接，灵活布线更方便</w:t>
            </w:r>
          </w:p>
          <w:p w14:paraId="3B4B0C6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4、双光全彩，支持红外夜视、全彩夜视和移动侦测全彩模式</w:t>
            </w:r>
          </w:p>
          <w:p w14:paraId="15AAB19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5、支持双向语音电话，沟通无障碍</w:t>
            </w:r>
          </w:p>
          <w:p w14:paraId="76FA0F7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6、最高支持512GBMicroSD卡存储</w:t>
            </w:r>
          </w:p>
          <w:p w14:paraId="1E8F49F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7、支持哭声检测、萌宠检测、语音闹钟等实用智能功能</w:t>
            </w:r>
          </w:p>
          <w:p w14:paraId="4913826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8、支持APP远程监控，扫码一键添加</w:t>
            </w:r>
          </w:p>
        </w:tc>
        <w:tc>
          <w:tcPr>
            <w:tcW w:w="698" w:type="dxa"/>
            <w:shd w:val="clear" w:color="auto" w:fill="auto"/>
            <w:vAlign w:val="center"/>
          </w:tcPr>
          <w:p w14:paraId="3DC6DB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1DBF27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w:t>
            </w:r>
          </w:p>
        </w:tc>
        <w:tc>
          <w:tcPr>
            <w:tcW w:w="698" w:type="dxa"/>
            <w:vAlign w:val="center"/>
          </w:tcPr>
          <w:p w14:paraId="248195F5">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53D1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1BBD72C4">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7</w:t>
            </w:r>
          </w:p>
        </w:tc>
        <w:tc>
          <w:tcPr>
            <w:tcW w:w="1400" w:type="dxa"/>
            <w:shd w:val="clear" w:color="auto" w:fill="auto"/>
            <w:vAlign w:val="center"/>
          </w:tcPr>
          <w:p w14:paraId="25C4CB0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路由器</w:t>
            </w:r>
          </w:p>
        </w:tc>
        <w:tc>
          <w:tcPr>
            <w:tcW w:w="9766" w:type="dxa"/>
            <w:vAlign w:val="center"/>
          </w:tcPr>
          <w:p w14:paraId="4BAC557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通用，主要用于教室连接监控设备使用。</w:t>
            </w:r>
          </w:p>
        </w:tc>
        <w:tc>
          <w:tcPr>
            <w:tcW w:w="698" w:type="dxa"/>
            <w:shd w:val="clear" w:color="auto" w:fill="auto"/>
            <w:vAlign w:val="center"/>
          </w:tcPr>
          <w:p w14:paraId="6C1A68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个</w:t>
            </w:r>
          </w:p>
        </w:tc>
        <w:tc>
          <w:tcPr>
            <w:tcW w:w="843" w:type="dxa"/>
            <w:shd w:val="clear" w:color="auto" w:fill="auto"/>
            <w:vAlign w:val="center"/>
          </w:tcPr>
          <w:p w14:paraId="2A7995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w:t>
            </w:r>
          </w:p>
        </w:tc>
        <w:tc>
          <w:tcPr>
            <w:tcW w:w="698" w:type="dxa"/>
            <w:vAlign w:val="center"/>
          </w:tcPr>
          <w:p w14:paraId="48B681FE">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10F0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266F12D4">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8</w:t>
            </w:r>
          </w:p>
        </w:tc>
        <w:tc>
          <w:tcPr>
            <w:tcW w:w="1400" w:type="dxa"/>
            <w:shd w:val="clear" w:color="auto" w:fill="auto"/>
            <w:vAlign w:val="center"/>
          </w:tcPr>
          <w:p w14:paraId="1E77C61F">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多媒体音响系统</w:t>
            </w:r>
          </w:p>
        </w:tc>
        <w:tc>
          <w:tcPr>
            <w:tcW w:w="9766" w:type="dxa"/>
            <w:vAlign w:val="center"/>
          </w:tcPr>
          <w:p w14:paraId="7ED63DA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含壁挂式音箱一套、功放、无线收发器、无线麦克风、领夹麦克风。</w:t>
            </w:r>
          </w:p>
        </w:tc>
        <w:tc>
          <w:tcPr>
            <w:tcW w:w="698" w:type="dxa"/>
            <w:shd w:val="clear" w:color="auto" w:fill="auto"/>
            <w:vAlign w:val="center"/>
          </w:tcPr>
          <w:p w14:paraId="6E8198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0CEA05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w:t>
            </w:r>
          </w:p>
        </w:tc>
        <w:tc>
          <w:tcPr>
            <w:tcW w:w="698" w:type="dxa"/>
            <w:vAlign w:val="center"/>
          </w:tcPr>
          <w:p w14:paraId="1086FC0C">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281D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7F2A8972">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9</w:t>
            </w:r>
          </w:p>
        </w:tc>
        <w:tc>
          <w:tcPr>
            <w:tcW w:w="1400" w:type="dxa"/>
            <w:shd w:val="clear" w:color="auto" w:fill="auto"/>
            <w:vAlign w:val="center"/>
          </w:tcPr>
          <w:p w14:paraId="62503159">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机柜</w:t>
            </w:r>
          </w:p>
        </w:tc>
        <w:tc>
          <w:tcPr>
            <w:tcW w:w="9766" w:type="dxa"/>
            <w:vAlign w:val="center"/>
          </w:tcPr>
          <w:p w14:paraId="0C7D574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22U国标机柜</w:t>
            </w:r>
          </w:p>
        </w:tc>
        <w:tc>
          <w:tcPr>
            <w:tcW w:w="698" w:type="dxa"/>
            <w:shd w:val="clear" w:color="auto" w:fill="auto"/>
            <w:vAlign w:val="center"/>
          </w:tcPr>
          <w:p w14:paraId="24AD7D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316898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w:t>
            </w:r>
          </w:p>
        </w:tc>
        <w:tc>
          <w:tcPr>
            <w:tcW w:w="698" w:type="dxa"/>
            <w:vAlign w:val="center"/>
          </w:tcPr>
          <w:p w14:paraId="7FDDB2AD">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0136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726B089F">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10</w:t>
            </w:r>
          </w:p>
        </w:tc>
        <w:tc>
          <w:tcPr>
            <w:tcW w:w="1400" w:type="dxa"/>
            <w:shd w:val="clear" w:color="auto" w:fill="auto"/>
            <w:vAlign w:val="center"/>
          </w:tcPr>
          <w:p w14:paraId="4EB13CAF">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教学终端</w:t>
            </w:r>
          </w:p>
        </w:tc>
        <w:tc>
          <w:tcPr>
            <w:tcW w:w="9766" w:type="dxa"/>
            <w:vAlign w:val="center"/>
          </w:tcPr>
          <w:p w14:paraId="6624C74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1、CPU：≥intel第13代i5-13500处理器</w:t>
            </w:r>
          </w:p>
          <w:p w14:paraId="6A0672C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2、芯片组：intelH770系列或以上</w:t>
            </w:r>
          </w:p>
          <w:p w14:paraId="701AC76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3、内存：≥8GDDR43200内存，最大支持2个内存插槽</w:t>
            </w:r>
          </w:p>
          <w:p w14:paraId="3100601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4、显卡：2GB显卡</w:t>
            </w:r>
          </w:p>
          <w:p w14:paraId="53E6441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5、接口及扩展：主板原生USB接口≥10个；VGA接口、DP接口、RJ-45；至少1个PCIeX16、1个PCIeX1、1个PCI、1个PCIeX4、2个M.2扩展插槽。</w:t>
            </w:r>
          </w:p>
          <w:p w14:paraId="047ADB8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6、硬盘：512GBM.SSSD固态硬盘</w:t>
            </w:r>
          </w:p>
          <w:p w14:paraId="2C94843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7、网卡：10/100/1000千兆以太网接口</w:t>
            </w:r>
          </w:p>
          <w:p w14:paraId="5A258B6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8、机箱：机箱扩展、散热性好，体积不小于15L，内置扩音器。</w:t>
            </w:r>
          </w:p>
          <w:p w14:paraId="29F1807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9、显示器：≥21.5寸宽屏LED背光液晶低蓝光显示器，</w:t>
            </w:r>
          </w:p>
          <w:p w14:paraId="4C00A48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10、音频：集成</w:t>
            </w:r>
          </w:p>
          <w:p w14:paraId="15CE66B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11、键盘鼠标：同品牌USB抗菌键盘及USB抗菌鼠标，需出具检测报告</w:t>
            </w:r>
          </w:p>
          <w:p w14:paraId="0C05E6BA">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12、操作系统：出场预装正版Windows11中文操作系统</w:t>
            </w:r>
          </w:p>
          <w:p w14:paraId="114CAE2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13、电源:≤180W节能高效电源</w:t>
            </w:r>
          </w:p>
          <w:p w14:paraId="5D9E4F9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14、★质量品质:节能产品认证；具备国家电子计算机质量监督检验中心出具的MTBF值不低于105万小时的认证证书；所投计算机产品数据接口性能通过国家权威检测机构测试、电源开关节能典型效率不低于90.9%，提供证明材料。</w:t>
            </w:r>
          </w:p>
          <w:p w14:paraId="2725021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15、★服务：主机及显示器三年保修及上门服务，厂商服务体系通过4PS认证及CCCS认证证明，提供证明材料。</w:t>
            </w:r>
          </w:p>
        </w:tc>
        <w:tc>
          <w:tcPr>
            <w:tcW w:w="698" w:type="dxa"/>
            <w:shd w:val="clear" w:color="auto" w:fill="auto"/>
            <w:vAlign w:val="center"/>
          </w:tcPr>
          <w:p w14:paraId="3BE08C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台</w:t>
            </w:r>
          </w:p>
        </w:tc>
        <w:tc>
          <w:tcPr>
            <w:tcW w:w="843" w:type="dxa"/>
            <w:shd w:val="clear" w:color="auto" w:fill="auto"/>
            <w:vAlign w:val="center"/>
          </w:tcPr>
          <w:p w14:paraId="76D4F7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w:t>
            </w:r>
          </w:p>
        </w:tc>
        <w:tc>
          <w:tcPr>
            <w:tcW w:w="698" w:type="dxa"/>
            <w:vAlign w:val="center"/>
          </w:tcPr>
          <w:p w14:paraId="2815CA46">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5EB7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83" w:type="dxa"/>
            <w:vAlign w:val="center"/>
          </w:tcPr>
          <w:p w14:paraId="35145580">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11</w:t>
            </w:r>
          </w:p>
        </w:tc>
        <w:tc>
          <w:tcPr>
            <w:tcW w:w="1400" w:type="dxa"/>
            <w:shd w:val="clear" w:color="auto" w:fill="auto"/>
            <w:vAlign w:val="center"/>
          </w:tcPr>
          <w:p w14:paraId="11F8FD0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教学专用桌</w:t>
            </w:r>
          </w:p>
        </w:tc>
        <w:tc>
          <w:tcPr>
            <w:tcW w:w="9766" w:type="dxa"/>
            <w:vAlign w:val="center"/>
          </w:tcPr>
          <w:p w14:paraId="2B68A38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1、办公桌规格：1200*600*750mm</w:t>
            </w:r>
          </w:p>
          <w:p w14:paraId="546CD33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桌面基材采用25和16mm厚度E1级高密度三聚氰胺饰面实木颗粒板材，环保三聚氰胺贴面；要求板面光滑平整，防划伤、高强耐磨,集中耐高温200℃。板材截面采用同色PVC封边条经全自动封边机高温粘贴；修边光滑平整，无棱角，且经过抛光处理。</w:t>
            </w:r>
          </w:p>
          <w:p w14:paraId="501AF3D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2、椅子规格：金属弓形椅;椅座、椅背采用进口网面。符合人体工程学原理设计，坐感舒适，最大承受200KG，优质不锈钢弓形框架.</w:t>
            </w:r>
          </w:p>
        </w:tc>
        <w:tc>
          <w:tcPr>
            <w:tcW w:w="698" w:type="dxa"/>
            <w:shd w:val="clear" w:color="auto" w:fill="auto"/>
            <w:vAlign w:val="center"/>
          </w:tcPr>
          <w:p w14:paraId="6E435F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张</w:t>
            </w:r>
          </w:p>
        </w:tc>
        <w:tc>
          <w:tcPr>
            <w:tcW w:w="843" w:type="dxa"/>
            <w:shd w:val="clear" w:color="auto" w:fill="auto"/>
            <w:vAlign w:val="center"/>
          </w:tcPr>
          <w:p w14:paraId="1674DD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w:t>
            </w:r>
          </w:p>
        </w:tc>
        <w:tc>
          <w:tcPr>
            <w:tcW w:w="698" w:type="dxa"/>
            <w:vAlign w:val="center"/>
          </w:tcPr>
          <w:p w14:paraId="7EE062E5">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6F5F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4ACBE122">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12</w:t>
            </w:r>
          </w:p>
        </w:tc>
        <w:tc>
          <w:tcPr>
            <w:tcW w:w="1400" w:type="dxa"/>
            <w:shd w:val="clear" w:color="auto" w:fill="auto"/>
            <w:vAlign w:val="center"/>
          </w:tcPr>
          <w:p w14:paraId="7C8F0837">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储物柜</w:t>
            </w:r>
          </w:p>
        </w:tc>
        <w:tc>
          <w:tcPr>
            <w:tcW w:w="9766" w:type="dxa"/>
            <w:vAlign w:val="center"/>
          </w:tcPr>
          <w:p w14:paraId="6DAF3F3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木质</w:t>
            </w:r>
          </w:p>
        </w:tc>
        <w:tc>
          <w:tcPr>
            <w:tcW w:w="698" w:type="dxa"/>
            <w:shd w:val="clear" w:color="auto" w:fill="auto"/>
            <w:vAlign w:val="center"/>
          </w:tcPr>
          <w:p w14:paraId="2B6FC9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张</w:t>
            </w:r>
          </w:p>
        </w:tc>
        <w:tc>
          <w:tcPr>
            <w:tcW w:w="843" w:type="dxa"/>
            <w:shd w:val="clear" w:color="auto" w:fill="auto"/>
            <w:vAlign w:val="center"/>
          </w:tcPr>
          <w:p w14:paraId="647599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4</w:t>
            </w:r>
          </w:p>
        </w:tc>
        <w:tc>
          <w:tcPr>
            <w:tcW w:w="698" w:type="dxa"/>
            <w:vAlign w:val="center"/>
          </w:tcPr>
          <w:p w14:paraId="72E0EB0B">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465D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51EDBCB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13</w:t>
            </w:r>
          </w:p>
        </w:tc>
        <w:tc>
          <w:tcPr>
            <w:tcW w:w="1400" w:type="dxa"/>
            <w:shd w:val="clear" w:color="auto" w:fill="auto"/>
            <w:vAlign w:val="center"/>
          </w:tcPr>
          <w:p w14:paraId="2C977566">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写生临摹</w:t>
            </w:r>
          </w:p>
        </w:tc>
        <w:tc>
          <w:tcPr>
            <w:tcW w:w="9766" w:type="dxa"/>
            <w:vAlign w:val="center"/>
          </w:tcPr>
          <w:p w14:paraId="4BA00E7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石膏雕塑</w:t>
            </w:r>
          </w:p>
        </w:tc>
        <w:tc>
          <w:tcPr>
            <w:tcW w:w="698" w:type="dxa"/>
            <w:shd w:val="clear" w:color="auto" w:fill="auto"/>
            <w:vAlign w:val="center"/>
          </w:tcPr>
          <w:p w14:paraId="0D38D6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50358A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10</w:t>
            </w:r>
          </w:p>
        </w:tc>
        <w:tc>
          <w:tcPr>
            <w:tcW w:w="698" w:type="dxa"/>
            <w:vAlign w:val="center"/>
          </w:tcPr>
          <w:p w14:paraId="1923B764">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6154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3562B7A5">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14</w:t>
            </w:r>
          </w:p>
        </w:tc>
        <w:tc>
          <w:tcPr>
            <w:tcW w:w="1400" w:type="dxa"/>
            <w:shd w:val="clear" w:color="auto" w:fill="auto"/>
            <w:vAlign w:val="center"/>
          </w:tcPr>
          <w:p w14:paraId="576BCCBC">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彩色写生临摹</w:t>
            </w:r>
          </w:p>
        </w:tc>
        <w:tc>
          <w:tcPr>
            <w:tcW w:w="9766" w:type="dxa"/>
            <w:vAlign w:val="center"/>
          </w:tcPr>
          <w:p w14:paraId="32B8CE4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彩色静物、彩色人头像、彩色风景、彩色场景</w:t>
            </w:r>
          </w:p>
        </w:tc>
        <w:tc>
          <w:tcPr>
            <w:tcW w:w="698" w:type="dxa"/>
            <w:shd w:val="clear" w:color="auto" w:fill="auto"/>
            <w:vAlign w:val="center"/>
          </w:tcPr>
          <w:p w14:paraId="6A17D0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2B9451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8</w:t>
            </w:r>
          </w:p>
        </w:tc>
        <w:tc>
          <w:tcPr>
            <w:tcW w:w="698" w:type="dxa"/>
            <w:vAlign w:val="center"/>
          </w:tcPr>
          <w:p w14:paraId="48203B2E">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5565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547EC31D">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15</w:t>
            </w:r>
          </w:p>
        </w:tc>
        <w:tc>
          <w:tcPr>
            <w:tcW w:w="1400" w:type="dxa"/>
            <w:shd w:val="clear" w:color="auto" w:fill="auto"/>
            <w:vAlign w:val="center"/>
          </w:tcPr>
          <w:p w14:paraId="4B67332E">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速写写生临摹</w:t>
            </w:r>
          </w:p>
        </w:tc>
        <w:tc>
          <w:tcPr>
            <w:tcW w:w="9766" w:type="dxa"/>
            <w:vAlign w:val="center"/>
          </w:tcPr>
          <w:p w14:paraId="6480561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速写人物、速写风景、速写静物、速写场景</w:t>
            </w:r>
          </w:p>
        </w:tc>
        <w:tc>
          <w:tcPr>
            <w:tcW w:w="698" w:type="dxa"/>
            <w:shd w:val="clear" w:color="auto" w:fill="auto"/>
            <w:vAlign w:val="center"/>
          </w:tcPr>
          <w:p w14:paraId="6BBA3D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15B157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8</w:t>
            </w:r>
          </w:p>
        </w:tc>
        <w:tc>
          <w:tcPr>
            <w:tcW w:w="698" w:type="dxa"/>
            <w:vAlign w:val="center"/>
          </w:tcPr>
          <w:p w14:paraId="724515CE">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2AF5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5A8903F1">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16</w:t>
            </w:r>
          </w:p>
        </w:tc>
        <w:tc>
          <w:tcPr>
            <w:tcW w:w="1400" w:type="dxa"/>
            <w:shd w:val="clear" w:color="auto" w:fill="auto"/>
            <w:vAlign w:val="center"/>
          </w:tcPr>
          <w:p w14:paraId="32A50518">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素描几何体</w:t>
            </w:r>
          </w:p>
        </w:tc>
        <w:tc>
          <w:tcPr>
            <w:tcW w:w="9766" w:type="dxa"/>
            <w:vAlign w:val="center"/>
          </w:tcPr>
          <w:p w14:paraId="6CF384C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单体两套：（方体、圆体）十套</w:t>
            </w:r>
          </w:p>
          <w:p w14:paraId="618ED29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穿插体两套（方体、圆体）十套</w:t>
            </w:r>
          </w:p>
        </w:tc>
        <w:tc>
          <w:tcPr>
            <w:tcW w:w="698" w:type="dxa"/>
            <w:shd w:val="clear" w:color="auto" w:fill="auto"/>
            <w:vAlign w:val="center"/>
          </w:tcPr>
          <w:p w14:paraId="59971B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批</w:t>
            </w:r>
          </w:p>
        </w:tc>
        <w:tc>
          <w:tcPr>
            <w:tcW w:w="843" w:type="dxa"/>
            <w:shd w:val="clear" w:color="auto" w:fill="auto"/>
            <w:vAlign w:val="center"/>
          </w:tcPr>
          <w:p w14:paraId="25BF73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w:t>
            </w:r>
          </w:p>
        </w:tc>
        <w:tc>
          <w:tcPr>
            <w:tcW w:w="698" w:type="dxa"/>
            <w:vAlign w:val="center"/>
          </w:tcPr>
          <w:p w14:paraId="13BF6D0C">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2C9A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83" w:type="dxa"/>
            <w:vAlign w:val="center"/>
          </w:tcPr>
          <w:p w14:paraId="74A4C1A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17</w:t>
            </w:r>
          </w:p>
        </w:tc>
        <w:tc>
          <w:tcPr>
            <w:tcW w:w="1400" w:type="dxa"/>
            <w:shd w:val="clear" w:color="auto" w:fill="auto"/>
            <w:vAlign w:val="center"/>
          </w:tcPr>
          <w:p w14:paraId="479D5089">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石膏像</w:t>
            </w:r>
          </w:p>
        </w:tc>
        <w:tc>
          <w:tcPr>
            <w:tcW w:w="9766" w:type="dxa"/>
            <w:vAlign w:val="center"/>
          </w:tcPr>
          <w:p w14:paraId="5F6FDEE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五官单体（圆体5个、切面体5个）共10个</w:t>
            </w:r>
          </w:p>
        </w:tc>
        <w:tc>
          <w:tcPr>
            <w:tcW w:w="698" w:type="dxa"/>
            <w:shd w:val="clear" w:color="auto" w:fill="auto"/>
            <w:vAlign w:val="center"/>
          </w:tcPr>
          <w:p w14:paraId="5C9EEE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批</w:t>
            </w:r>
          </w:p>
        </w:tc>
        <w:tc>
          <w:tcPr>
            <w:tcW w:w="843" w:type="dxa"/>
            <w:shd w:val="clear" w:color="auto" w:fill="auto"/>
            <w:vAlign w:val="center"/>
          </w:tcPr>
          <w:p w14:paraId="5E7F1C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w:t>
            </w:r>
          </w:p>
        </w:tc>
        <w:tc>
          <w:tcPr>
            <w:tcW w:w="698" w:type="dxa"/>
            <w:vAlign w:val="center"/>
          </w:tcPr>
          <w:p w14:paraId="15BF7AB7">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171C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71F3486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18</w:t>
            </w:r>
          </w:p>
        </w:tc>
        <w:tc>
          <w:tcPr>
            <w:tcW w:w="1400" w:type="dxa"/>
            <w:shd w:val="clear" w:color="auto" w:fill="auto"/>
            <w:vAlign w:val="center"/>
          </w:tcPr>
          <w:p w14:paraId="6C9AF46F">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石膏挂面像</w:t>
            </w:r>
          </w:p>
        </w:tc>
        <w:tc>
          <w:tcPr>
            <w:tcW w:w="9766" w:type="dxa"/>
            <w:vAlign w:val="center"/>
          </w:tcPr>
          <w:p w14:paraId="0E6E682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bookmarkStart w:id="124" w:name="OLE_LINK34"/>
            <w:r>
              <w:rPr>
                <w:rFonts w:hint="eastAsia" w:asciiTheme="minorEastAsia" w:hAnsiTheme="minorEastAsia" w:cstheme="minorEastAsia"/>
                <w:kern w:val="0"/>
                <w:sz w:val="24"/>
                <w:szCs w:val="24"/>
              </w:rPr>
              <w:t>2套（每套10件）</w:t>
            </w:r>
            <w:bookmarkEnd w:id="124"/>
          </w:p>
        </w:tc>
        <w:tc>
          <w:tcPr>
            <w:tcW w:w="698" w:type="dxa"/>
            <w:shd w:val="clear" w:color="auto" w:fill="auto"/>
            <w:vAlign w:val="center"/>
          </w:tcPr>
          <w:p w14:paraId="593526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20F68B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w:t>
            </w:r>
          </w:p>
        </w:tc>
        <w:tc>
          <w:tcPr>
            <w:tcW w:w="698" w:type="dxa"/>
            <w:vAlign w:val="center"/>
          </w:tcPr>
          <w:p w14:paraId="35086CBF">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5522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59543BE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19</w:t>
            </w:r>
          </w:p>
        </w:tc>
        <w:tc>
          <w:tcPr>
            <w:tcW w:w="1400" w:type="dxa"/>
            <w:shd w:val="clear" w:color="auto" w:fill="auto"/>
            <w:vAlign w:val="center"/>
          </w:tcPr>
          <w:p w14:paraId="30337801">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石膏圆雕像</w:t>
            </w:r>
          </w:p>
        </w:tc>
        <w:tc>
          <w:tcPr>
            <w:tcW w:w="9766" w:type="dxa"/>
            <w:vAlign w:val="center"/>
          </w:tcPr>
          <w:p w14:paraId="3F42001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1套（每套20件）</w:t>
            </w:r>
          </w:p>
        </w:tc>
        <w:tc>
          <w:tcPr>
            <w:tcW w:w="698" w:type="dxa"/>
            <w:shd w:val="clear" w:color="auto" w:fill="auto"/>
            <w:vAlign w:val="center"/>
          </w:tcPr>
          <w:p w14:paraId="33562D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616A8B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w:t>
            </w:r>
          </w:p>
        </w:tc>
        <w:tc>
          <w:tcPr>
            <w:tcW w:w="698" w:type="dxa"/>
            <w:vAlign w:val="center"/>
          </w:tcPr>
          <w:p w14:paraId="5F14EC2B">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6EDE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6E094EE5">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c>
          <w:tcPr>
            <w:tcW w:w="1400" w:type="dxa"/>
            <w:shd w:val="clear" w:color="auto" w:fill="auto"/>
            <w:vAlign w:val="center"/>
          </w:tcPr>
          <w:p w14:paraId="31FEFBB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彩色仿真静物组合</w:t>
            </w:r>
          </w:p>
        </w:tc>
        <w:tc>
          <w:tcPr>
            <w:tcW w:w="9766" w:type="dxa"/>
            <w:vAlign w:val="center"/>
          </w:tcPr>
          <w:p w14:paraId="0055F49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2套（器皿类、水果类）每套30件</w:t>
            </w:r>
          </w:p>
        </w:tc>
        <w:tc>
          <w:tcPr>
            <w:tcW w:w="698" w:type="dxa"/>
            <w:shd w:val="clear" w:color="auto" w:fill="auto"/>
            <w:vAlign w:val="center"/>
          </w:tcPr>
          <w:p w14:paraId="77E028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套</w:t>
            </w:r>
          </w:p>
        </w:tc>
        <w:tc>
          <w:tcPr>
            <w:tcW w:w="843" w:type="dxa"/>
            <w:shd w:val="clear" w:color="auto" w:fill="auto"/>
            <w:vAlign w:val="center"/>
          </w:tcPr>
          <w:p w14:paraId="71B38C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w:t>
            </w:r>
          </w:p>
        </w:tc>
        <w:tc>
          <w:tcPr>
            <w:tcW w:w="698" w:type="dxa"/>
            <w:vAlign w:val="center"/>
          </w:tcPr>
          <w:p w14:paraId="1900CC5B">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7551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63603C3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21</w:t>
            </w:r>
          </w:p>
        </w:tc>
        <w:tc>
          <w:tcPr>
            <w:tcW w:w="1400" w:type="dxa"/>
            <w:shd w:val="clear" w:color="auto" w:fill="auto"/>
            <w:vAlign w:val="center"/>
          </w:tcPr>
          <w:p w14:paraId="1999C550">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美术写生静物灯（聚光灯）</w:t>
            </w:r>
          </w:p>
        </w:tc>
        <w:tc>
          <w:tcPr>
            <w:tcW w:w="9766" w:type="dxa"/>
            <w:vAlign w:val="center"/>
          </w:tcPr>
          <w:p w14:paraId="5636C10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通用</w:t>
            </w:r>
          </w:p>
        </w:tc>
        <w:tc>
          <w:tcPr>
            <w:tcW w:w="698" w:type="dxa"/>
            <w:shd w:val="clear" w:color="auto" w:fill="auto"/>
            <w:vAlign w:val="center"/>
          </w:tcPr>
          <w:p w14:paraId="1A139C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个</w:t>
            </w:r>
          </w:p>
        </w:tc>
        <w:tc>
          <w:tcPr>
            <w:tcW w:w="843" w:type="dxa"/>
            <w:shd w:val="clear" w:color="auto" w:fill="auto"/>
            <w:vAlign w:val="center"/>
          </w:tcPr>
          <w:p w14:paraId="027A29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2</w:t>
            </w:r>
          </w:p>
        </w:tc>
        <w:tc>
          <w:tcPr>
            <w:tcW w:w="698" w:type="dxa"/>
            <w:vAlign w:val="center"/>
          </w:tcPr>
          <w:p w14:paraId="1D2D81B8">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3265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5B081D3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22</w:t>
            </w:r>
          </w:p>
        </w:tc>
        <w:tc>
          <w:tcPr>
            <w:tcW w:w="1400" w:type="dxa"/>
            <w:shd w:val="clear" w:color="auto" w:fill="auto"/>
            <w:vAlign w:val="center"/>
          </w:tcPr>
          <w:p w14:paraId="36651DBC">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画架</w:t>
            </w:r>
          </w:p>
        </w:tc>
        <w:tc>
          <w:tcPr>
            <w:tcW w:w="9766" w:type="dxa"/>
            <w:vAlign w:val="center"/>
          </w:tcPr>
          <w:p w14:paraId="3374199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通用</w:t>
            </w:r>
          </w:p>
        </w:tc>
        <w:tc>
          <w:tcPr>
            <w:tcW w:w="698" w:type="dxa"/>
            <w:shd w:val="clear" w:color="auto" w:fill="auto"/>
            <w:vAlign w:val="center"/>
          </w:tcPr>
          <w:p w14:paraId="03597C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套</w:t>
            </w:r>
          </w:p>
        </w:tc>
        <w:tc>
          <w:tcPr>
            <w:tcW w:w="843" w:type="dxa"/>
            <w:shd w:val="clear" w:color="auto" w:fill="auto"/>
            <w:vAlign w:val="center"/>
          </w:tcPr>
          <w:p w14:paraId="17632F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30</w:t>
            </w:r>
          </w:p>
        </w:tc>
        <w:tc>
          <w:tcPr>
            <w:tcW w:w="698" w:type="dxa"/>
            <w:vAlign w:val="center"/>
          </w:tcPr>
          <w:p w14:paraId="44EEC23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3C07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419338C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23</w:t>
            </w:r>
          </w:p>
        </w:tc>
        <w:tc>
          <w:tcPr>
            <w:tcW w:w="1400" w:type="dxa"/>
            <w:shd w:val="clear" w:color="auto" w:fill="auto"/>
            <w:vAlign w:val="center"/>
          </w:tcPr>
          <w:p w14:paraId="1799081E">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（素描）写生静物台</w:t>
            </w:r>
          </w:p>
        </w:tc>
        <w:tc>
          <w:tcPr>
            <w:tcW w:w="9766" w:type="dxa"/>
            <w:vAlign w:val="center"/>
          </w:tcPr>
          <w:p w14:paraId="3EB52EC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themeColor="text1"/>
                <w:kern w:val="0"/>
                <w:sz w:val="24"/>
                <w:szCs w:val="24"/>
                <w14:textFill>
                  <w14:solidFill>
                    <w14:schemeClr w14:val="tx1"/>
                  </w14:solidFill>
                </w14:textFill>
              </w:rPr>
              <w:t>通用</w:t>
            </w:r>
          </w:p>
        </w:tc>
        <w:tc>
          <w:tcPr>
            <w:tcW w:w="698" w:type="dxa"/>
            <w:shd w:val="clear" w:color="auto" w:fill="auto"/>
            <w:vAlign w:val="center"/>
          </w:tcPr>
          <w:p w14:paraId="7FD7CA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个</w:t>
            </w:r>
          </w:p>
        </w:tc>
        <w:tc>
          <w:tcPr>
            <w:tcW w:w="843" w:type="dxa"/>
            <w:shd w:val="clear" w:color="auto" w:fill="auto"/>
            <w:vAlign w:val="center"/>
          </w:tcPr>
          <w:p w14:paraId="7892B4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2</w:t>
            </w:r>
          </w:p>
        </w:tc>
        <w:tc>
          <w:tcPr>
            <w:tcW w:w="698" w:type="dxa"/>
            <w:vAlign w:val="center"/>
          </w:tcPr>
          <w:p w14:paraId="7E08E91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2115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8" w:type="dxa"/>
            <w:gridSpan w:val="6"/>
            <w:vAlign w:val="center"/>
          </w:tcPr>
          <w:p w14:paraId="542CC679">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b/>
                <w:kern w:val="0"/>
                <w:sz w:val="24"/>
                <w:szCs w:val="24"/>
              </w:rPr>
            </w:pPr>
            <w:r>
              <w:rPr>
                <w:rFonts w:hint="eastAsia" w:asciiTheme="minorEastAsia" w:hAnsiTheme="minorEastAsia" w:cstheme="minorEastAsia"/>
                <w:b/>
                <w:kern w:val="0"/>
                <w:sz w:val="28"/>
                <w:szCs w:val="28"/>
              </w:rPr>
              <w:t>六、教学配套设施优化及改造</w:t>
            </w:r>
          </w:p>
        </w:tc>
      </w:tr>
      <w:tr w14:paraId="72BD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46B01733">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序号</w:t>
            </w:r>
          </w:p>
        </w:tc>
        <w:tc>
          <w:tcPr>
            <w:tcW w:w="1400" w:type="dxa"/>
            <w:vAlign w:val="center"/>
          </w:tcPr>
          <w:p w14:paraId="2B88AA5A">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名称</w:t>
            </w:r>
          </w:p>
        </w:tc>
        <w:tc>
          <w:tcPr>
            <w:tcW w:w="9766" w:type="dxa"/>
            <w:vAlign w:val="center"/>
          </w:tcPr>
          <w:p w14:paraId="73552BBE">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技术参数</w:t>
            </w:r>
          </w:p>
        </w:tc>
        <w:tc>
          <w:tcPr>
            <w:tcW w:w="698" w:type="dxa"/>
            <w:vAlign w:val="center"/>
          </w:tcPr>
          <w:p w14:paraId="31EB8B6F">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单位</w:t>
            </w:r>
          </w:p>
        </w:tc>
        <w:tc>
          <w:tcPr>
            <w:tcW w:w="843" w:type="dxa"/>
            <w:vAlign w:val="center"/>
          </w:tcPr>
          <w:p w14:paraId="72F8E747">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数量</w:t>
            </w:r>
          </w:p>
        </w:tc>
        <w:tc>
          <w:tcPr>
            <w:tcW w:w="698" w:type="dxa"/>
            <w:vAlign w:val="center"/>
          </w:tcPr>
          <w:p w14:paraId="7D7B8A60">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cstheme="minorEastAsia"/>
                <w:kern w:val="0"/>
                <w:sz w:val="24"/>
                <w:szCs w:val="24"/>
              </w:rPr>
            </w:pPr>
            <w:r>
              <w:rPr>
                <w:rFonts w:hint="eastAsia" w:asciiTheme="minorEastAsia" w:hAnsiTheme="minorEastAsia" w:cstheme="minorEastAsia"/>
                <w:kern w:val="0"/>
                <w:sz w:val="24"/>
                <w:szCs w:val="24"/>
              </w:rPr>
              <w:t>备注</w:t>
            </w:r>
          </w:p>
        </w:tc>
      </w:tr>
      <w:tr w14:paraId="3406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28C17542">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p>
        </w:tc>
        <w:tc>
          <w:tcPr>
            <w:tcW w:w="1400" w:type="dxa"/>
            <w:shd w:val="clear" w:color="auto" w:fill="auto"/>
            <w:vAlign w:val="center"/>
          </w:tcPr>
          <w:p w14:paraId="28CA2D02">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lang w:bidi="ar"/>
              </w:rPr>
              <w:t>单扇门</w:t>
            </w:r>
          </w:p>
        </w:tc>
        <w:tc>
          <w:tcPr>
            <w:tcW w:w="9766" w:type="dxa"/>
            <w:vAlign w:val="center"/>
          </w:tcPr>
          <w:p w14:paraId="1A95AE4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类型：单扇</w:t>
            </w:r>
          </w:p>
          <w:p w14:paraId="71069F30">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1、尺寸：90CM×200CMC（宽×高）</w:t>
            </w:r>
          </w:p>
          <w:p w14:paraId="3AF0D56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2、隔声量（Rw或STC值）：有效隔离外界噪声干扰。</w:t>
            </w:r>
          </w:p>
          <w:p w14:paraId="54292CA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3、结构：采用多层复合结构，隔音阻尼材料+饰面材料。这种结构设计能有效吸收、反射、耗散声波能量，降低声音穿透。</w:t>
            </w:r>
          </w:p>
          <w:p w14:paraId="05D56ED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4、密封性能：配备高性能隔音条，确保门框与门扇之间无缝隙，减少空气传声。</w:t>
            </w:r>
          </w:p>
          <w:p w14:paraId="65C410D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5、五金配件：选用静音、耐用的五金锁具（内置消音垫片）确保开关门过程中的噪声最小化。</w:t>
            </w:r>
          </w:p>
          <w:p w14:paraId="4C1379F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6、环保与耐用性：选用符合环保标准的木材和胶黏剂，确保甲醛等有害物质释放量低于规定限值。表面处理应具有良好的防腐、耐磨性能，保证门体长期使用下的美观与功能性。</w:t>
            </w:r>
          </w:p>
        </w:tc>
        <w:tc>
          <w:tcPr>
            <w:tcW w:w="698" w:type="dxa"/>
            <w:shd w:val="clear" w:color="auto" w:fill="auto"/>
            <w:vAlign w:val="center"/>
          </w:tcPr>
          <w:p w14:paraId="7AFEBC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扇</w:t>
            </w:r>
          </w:p>
        </w:tc>
        <w:tc>
          <w:tcPr>
            <w:tcW w:w="843" w:type="dxa"/>
            <w:shd w:val="clear" w:color="auto" w:fill="auto"/>
            <w:vAlign w:val="center"/>
          </w:tcPr>
          <w:p w14:paraId="4D0255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29</w:t>
            </w:r>
          </w:p>
        </w:tc>
        <w:tc>
          <w:tcPr>
            <w:tcW w:w="698" w:type="dxa"/>
            <w:vAlign w:val="center"/>
          </w:tcPr>
          <w:p w14:paraId="6EB17A8B">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5224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2794F260">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c>
          <w:tcPr>
            <w:tcW w:w="1400" w:type="dxa"/>
            <w:shd w:val="clear" w:color="auto" w:fill="auto"/>
            <w:vAlign w:val="center"/>
          </w:tcPr>
          <w:p w14:paraId="151CB9FF">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lang w:bidi="ar"/>
              </w:rPr>
              <w:t>双扇门</w:t>
            </w:r>
          </w:p>
        </w:tc>
        <w:tc>
          <w:tcPr>
            <w:tcW w:w="9766" w:type="dxa"/>
            <w:vAlign w:val="center"/>
          </w:tcPr>
          <w:p w14:paraId="5844B31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bookmarkStart w:id="125" w:name="OLE_LINK39"/>
            <w:r>
              <w:rPr>
                <w:rFonts w:hint="eastAsia" w:asciiTheme="minorEastAsia" w:hAnsiTheme="minorEastAsia" w:cstheme="minorEastAsia"/>
                <w:kern w:val="0"/>
                <w:sz w:val="24"/>
                <w:szCs w:val="24"/>
              </w:rPr>
              <w:t>类型：双扇</w:t>
            </w:r>
            <w:bookmarkEnd w:id="125"/>
          </w:p>
          <w:p w14:paraId="11F4AD1B">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1、</w:t>
            </w:r>
            <w:bookmarkStart w:id="126" w:name="OLE_LINK41"/>
            <w:bookmarkStart w:id="127" w:name="OLE_LINK40"/>
            <w:r>
              <w:rPr>
                <w:rFonts w:hint="eastAsia" w:asciiTheme="minorEastAsia" w:hAnsiTheme="minorEastAsia" w:cstheme="minorEastAsia"/>
                <w:kern w:val="0"/>
                <w:sz w:val="24"/>
                <w:szCs w:val="24"/>
              </w:rPr>
              <w:t>尺寸：90CM×200CMC（宽×高）</w:t>
            </w:r>
            <w:bookmarkEnd w:id="126"/>
            <w:bookmarkEnd w:id="127"/>
          </w:p>
          <w:p w14:paraId="019268F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2、隔声量（Rw或STC值）：有效隔离外界噪声干扰。</w:t>
            </w:r>
          </w:p>
          <w:p w14:paraId="11BB792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3、结构：采用多层复合结构，隔音阻尼材料+饰面材料。这种结构设计能有效吸收、反射、耗散声波能量，降低声音穿透。</w:t>
            </w:r>
          </w:p>
          <w:p w14:paraId="03F4D80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4、密封性能：配备高性能隔音条，确保门框与门扇之间无缝隙，减少空气传声。</w:t>
            </w:r>
          </w:p>
          <w:p w14:paraId="4EB3A9F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5、五金配件：选用静音、耐用的五金锁具（内置消音垫片）确保开关门过程中的噪声最小化。</w:t>
            </w:r>
          </w:p>
          <w:p w14:paraId="724FDAA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6、环保与耐用性：选用符合环保标准的木材和胶黏剂，确保甲醛等有害物质释放量低于规定限值。表面处理应具有良好的防腐、耐磨性能，保证门体长期使用下的美观与功能性。</w:t>
            </w:r>
          </w:p>
        </w:tc>
        <w:tc>
          <w:tcPr>
            <w:tcW w:w="698" w:type="dxa"/>
            <w:shd w:val="clear" w:color="auto" w:fill="auto"/>
            <w:vAlign w:val="center"/>
          </w:tcPr>
          <w:p w14:paraId="7E14C0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扇</w:t>
            </w:r>
          </w:p>
        </w:tc>
        <w:tc>
          <w:tcPr>
            <w:tcW w:w="843" w:type="dxa"/>
            <w:shd w:val="clear" w:color="auto" w:fill="auto"/>
            <w:vAlign w:val="center"/>
          </w:tcPr>
          <w:p w14:paraId="1B55F5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24</w:t>
            </w:r>
          </w:p>
        </w:tc>
        <w:tc>
          <w:tcPr>
            <w:tcW w:w="698" w:type="dxa"/>
            <w:vAlign w:val="center"/>
          </w:tcPr>
          <w:p w14:paraId="45683459">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4F85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2561B18C">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p>
        </w:tc>
        <w:tc>
          <w:tcPr>
            <w:tcW w:w="1400" w:type="dxa"/>
            <w:shd w:val="clear" w:color="auto" w:fill="auto"/>
            <w:vAlign w:val="center"/>
          </w:tcPr>
          <w:p w14:paraId="78210E77">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lang w:bidi="ar"/>
              </w:rPr>
              <w:t>防火门</w:t>
            </w:r>
          </w:p>
        </w:tc>
        <w:tc>
          <w:tcPr>
            <w:tcW w:w="9766" w:type="dxa"/>
            <w:vAlign w:val="center"/>
          </w:tcPr>
          <w:p w14:paraId="1E4840E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bookmarkStart w:id="128" w:name="OLE_LINK42"/>
            <w:bookmarkStart w:id="129" w:name="OLE_LINK43"/>
            <w:r>
              <w:rPr>
                <w:rFonts w:hint="eastAsia" w:asciiTheme="minorEastAsia" w:hAnsiTheme="minorEastAsia" w:cstheme="minorEastAsia"/>
                <w:kern w:val="0"/>
                <w:sz w:val="24"/>
                <w:szCs w:val="24"/>
              </w:rPr>
              <w:t>类型：防火门</w:t>
            </w:r>
          </w:p>
          <w:bookmarkEnd w:id="128"/>
          <w:bookmarkEnd w:id="129"/>
          <w:p w14:paraId="52423A4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1、尺寸：145CM×205CMC</w:t>
            </w:r>
            <w:bookmarkStart w:id="130" w:name="OLE_LINK45"/>
            <w:bookmarkStart w:id="131" w:name="OLE_LINK44"/>
            <w:r>
              <w:rPr>
                <w:rFonts w:hint="eastAsia" w:asciiTheme="minorEastAsia" w:hAnsiTheme="minorEastAsia" w:cstheme="minorEastAsia"/>
                <w:kern w:val="0"/>
                <w:sz w:val="24"/>
                <w:szCs w:val="24"/>
              </w:rPr>
              <w:t>（宽×高）</w:t>
            </w:r>
            <w:bookmarkEnd w:id="130"/>
            <w:bookmarkEnd w:id="131"/>
            <w:r>
              <w:rPr>
                <w:rFonts w:hint="eastAsia" w:asciiTheme="minorEastAsia" w:hAnsiTheme="minorEastAsia" w:cstheme="minorEastAsia"/>
                <w:kern w:val="0"/>
                <w:sz w:val="24"/>
                <w:szCs w:val="24"/>
              </w:rPr>
              <w:t>/2、采用优质电解镀锌板（比冷轧钢板具有更强的耐腐蚀、防锈能力）不锈钢板制作，防火门内腹填实耐温1200℃以上的阻燃隔温材料（硅酸铝），表面采用静电喷塑处理。</w:t>
            </w:r>
          </w:p>
        </w:tc>
        <w:tc>
          <w:tcPr>
            <w:tcW w:w="698" w:type="dxa"/>
            <w:shd w:val="clear" w:color="auto" w:fill="auto"/>
            <w:vAlign w:val="center"/>
          </w:tcPr>
          <w:p w14:paraId="5661C6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扇</w:t>
            </w:r>
          </w:p>
        </w:tc>
        <w:tc>
          <w:tcPr>
            <w:tcW w:w="843" w:type="dxa"/>
            <w:shd w:val="clear" w:color="auto" w:fill="auto"/>
            <w:vAlign w:val="center"/>
          </w:tcPr>
          <w:p w14:paraId="79FA5A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8</w:t>
            </w:r>
          </w:p>
        </w:tc>
        <w:tc>
          <w:tcPr>
            <w:tcW w:w="698" w:type="dxa"/>
            <w:vAlign w:val="center"/>
          </w:tcPr>
          <w:p w14:paraId="5AA6FA5F">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671D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778B5B67">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p>
        </w:tc>
        <w:tc>
          <w:tcPr>
            <w:tcW w:w="1400" w:type="dxa"/>
            <w:shd w:val="clear" w:color="auto" w:fill="auto"/>
            <w:vAlign w:val="center"/>
          </w:tcPr>
          <w:p w14:paraId="52B969FF">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lang w:bidi="ar"/>
              </w:rPr>
              <w:t>防盗门</w:t>
            </w:r>
          </w:p>
        </w:tc>
        <w:tc>
          <w:tcPr>
            <w:tcW w:w="9766" w:type="dxa"/>
            <w:vAlign w:val="center"/>
          </w:tcPr>
          <w:p w14:paraId="7B83FBB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类型：铁门</w:t>
            </w:r>
          </w:p>
          <w:p w14:paraId="6D74B78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1、尺寸：180CM×200CM（宽×高）</w:t>
            </w:r>
          </w:p>
          <w:p w14:paraId="6DD7B5F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材质：门框及附框钢板纯厚不得低于1.5毫米，包边及套板钢板纯厚度不低于0.8毫米，门扇夹层采用6根2毫米的钢板加固（构成田字型），使前后板有机的连接在一起内外框结合紧密、平整；防盗门框、门扇面板夹层钢板采用冷轧钢板，符合GB/T708的规定。</w:t>
            </w:r>
          </w:p>
          <w:p w14:paraId="48A6B1C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3、要求防盗门内部填充物要充实，能起到隔音、防火、结实等效果。</w:t>
            </w:r>
          </w:p>
          <w:p w14:paraId="7958C61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外观：蓝色烤漆，漆面冷镀、防晒，平整、光洁无凹痕或机械损伤。涂层、镀层均匀、平整、光滑，不得有堆漆、麻点、气泡、漏涂以及流淌等现象。焊接牢固、焊点分布均匀，不允许有假焊、烧穿、漏焊夹渣或疏松等现象，外表面焊接打磨平整。</w:t>
            </w:r>
          </w:p>
        </w:tc>
        <w:tc>
          <w:tcPr>
            <w:tcW w:w="698" w:type="dxa"/>
            <w:shd w:val="clear" w:color="auto" w:fill="auto"/>
            <w:vAlign w:val="center"/>
          </w:tcPr>
          <w:p w14:paraId="469D32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扇</w:t>
            </w:r>
          </w:p>
        </w:tc>
        <w:tc>
          <w:tcPr>
            <w:tcW w:w="843" w:type="dxa"/>
            <w:shd w:val="clear" w:color="auto" w:fill="auto"/>
            <w:vAlign w:val="center"/>
          </w:tcPr>
          <w:p w14:paraId="6D9B6D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w:t>
            </w:r>
          </w:p>
        </w:tc>
        <w:tc>
          <w:tcPr>
            <w:tcW w:w="698" w:type="dxa"/>
            <w:vAlign w:val="center"/>
          </w:tcPr>
          <w:p w14:paraId="5DA6CC4B">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48CC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188F0BF5">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5</w:t>
            </w:r>
          </w:p>
        </w:tc>
        <w:tc>
          <w:tcPr>
            <w:tcW w:w="1400" w:type="dxa"/>
            <w:shd w:val="clear" w:color="auto" w:fill="auto"/>
            <w:vAlign w:val="center"/>
          </w:tcPr>
          <w:p w14:paraId="7605F8D5">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lang w:bidi="ar"/>
              </w:rPr>
              <w:t>室外窗户升级</w:t>
            </w:r>
          </w:p>
        </w:tc>
        <w:tc>
          <w:tcPr>
            <w:tcW w:w="9766" w:type="dxa"/>
            <w:vAlign w:val="center"/>
          </w:tcPr>
          <w:p w14:paraId="1E6EB397">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bookmarkStart w:id="132" w:name="OLE_LINK9"/>
            <w:r>
              <w:rPr>
                <w:rFonts w:hint="eastAsia" w:asciiTheme="minorEastAsia" w:hAnsiTheme="minorEastAsia" w:cstheme="minorEastAsia"/>
                <w:kern w:val="0"/>
                <w:sz w:val="24"/>
                <w:szCs w:val="24"/>
              </w:rPr>
              <w:t>一、普铝推拉窗</w:t>
            </w:r>
            <w:bookmarkEnd w:id="132"/>
            <w:r>
              <w:rPr>
                <w:rFonts w:hint="eastAsia" w:asciiTheme="minorEastAsia" w:hAnsiTheme="minorEastAsia" w:cstheme="minorEastAsia"/>
                <w:kern w:val="0"/>
                <w:sz w:val="24"/>
                <w:szCs w:val="24"/>
              </w:rPr>
              <w:t>，双层钢化玻璃。</w:t>
            </w:r>
          </w:p>
          <w:p w14:paraId="02E6748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二</w:t>
            </w:r>
            <w:r>
              <w:rPr>
                <w:rFonts w:asciiTheme="minorEastAsia" w:hAnsiTheme="minorEastAsia" w:cstheme="minorEastAsia"/>
                <w:kern w:val="0"/>
                <w:sz w:val="24"/>
                <w:szCs w:val="24"/>
              </w:rPr>
              <w:t>、</w:t>
            </w:r>
            <w:r>
              <w:rPr>
                <w:rFonts w:hint="eastAsia" w:ascii="MS Gothic" w:hAnsi="MS Gothic" w:eastAsia="MS Gothic" w:cs="MS Gothic"/>
                <w:kern w:val="0"/>
                <w:sz w:val="24"/>
                <w:szCs w:val="24"/>
              </w:rPr>
              <w:t>‌</w:t>
            </w:r>
            <w:r>
              <w:rPr>
                <w:rFonts w:hint="eastAsia" w:asciiTheme="minorEastAsia" w:hAnsiTheme="minorEastAsia" w:cstheme="minorEastAsia"/>
                <w:kern w:val="0"/>
                <w:sz w:val="24"/>
                <w:szCs w:val="24"/>
              </w:rPr>
              <w:t>型材厚度与强度</w:t>
            </w:r>
            <w:r>
              <w:rPr>
                <w:rFonts w:hint="eastAsia" w:ascii="MS Gothic" w:hAnsi="MS Gothic" w:eastAsia="MS Gothic" w:cs="MS Gothic"/>
                <w:kern w:val="0"/>
                <w:sz w:val="24"/>
                <w:szCs w:val="24"/>
              </w:rPr>
              <w:t>‌</w:t>
            </w:r>
          </w:p>
          <w:p w14:paraId="7C88D87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MS Gothic" w:hAnsi="MS Gothic" w:eastAsia="MS Gothic" w:cs="MS Gothic"/>
                <w:kern w:val="0"/>
                <w:sz w:val="24"/>
                <w:szCs w:val="24"/>
              </w:rPr>
              <w:t>‌</w:t>
            </w:r>
            <w:r>
              <w:rPr>
                <w:rFonts w:hint="eastAsia" w:cs="MS Gothic" w:asciiTheme="minorEastAsia" w:hAnsiTheme="minorEastAsia"/>
                <w:kern w:val="0"/>
                <w:sz w:val="24"/>
                <w:szCs w:val="24"/>
              </w:rPr>
              <w:t>1、</w:t>
            </w:r>
            <w:r>
              <w:rPr>
                <w:rFonts w:hint="eastAsia" w:asciiTheme="minorEastAsia" w:hAnsiTheme="minorEastAsia" w:cstheme="minorEastAsia"/>
                <w:kern w:val="0"/>
                <w:sz w:val="24"/>
                <w:szCs w:val="24"/>
              </w:rPr>
              <w:t>主型材壁厚</w:t>
            </w:r>
            <w:r>
              <w:rPr>
                <w:rFonts w:hint="eastAsia" w:ascii="MS Gothic" w:hAnsi="MS Gothic" w:eastAsia="MS Gothic" w:cs="MS Gothic"/>
                <w:kern w:val="0"/>
                <w:sz w:val="24"/>
                <w:szCs w:val="24"/>
              </w:rPr>
              <w:t>‌</w:t>
            </w:r>
            <w:r>
              <w:rPr>
                <w:rFonts w:hint="eastAsia" w:ascii="宋体" w:hAnsi="宋体" w:eastAsia="宋体" w:cs="宋体"/>
                <w:kern w:val="0"/>
                <w:sz w:val="24"/>
                <w:szCs w:val="24"/>
              </w:rPr>
              <w:t>：根据</w:t>
            </w:r>
            <w:r>
              <w:rPr>
                <w:rFonts w:asciiTheme="minorEastAsia" w:hAnsiTheme="minorEastAsia" w:cstheme="minorEastAsia"/>
                <w:kern w:val="0"/>
                <w:sz w:val="24"/>
                <w:szCs w:val="24"/>
              </w:rPr>
              <w:t>GB/T8478-2020</w:t>
            </w:r>
            <w:r>
              <w:rPr>
                <w:rFonts w:hint="eastAsia" w:asciiTheme="minorEastAsia" w:hAnsiTheme="minorEastAsia" w:cstheme="minorEastAsia"/>
                <w:kern w:val="0"/>
                <w:sz w:val="24"/>
                <w:szCs w:val="24"/>
              </w:rPr>
              <w:t>标准，推拉窗型材主要受力部位壁厚应符合规范，高层建筑（</w:t>
            </w:r>
            <w:r>
              <w:rPr>
                <w:rFonts w:asciiTheme="minorEastAsia" w:hAnsiTheme="minorEastAsia" w:cstheme="minorEastAsia"/>
                <w:kern w:val="0"/>
                <w:sz w:val="24"/>
                <w:szCs w:val="24"/>
              </w:rPr>
              <w:t>20</w:t>
            </w:r>
            <w:r>
              <w:rPr>
                <w:rFonts w:hint="eastAsia" w:asciiTheme="minorEastAsia" w:hAnsiTheme="minorEastAsia" w:cstheme="minorEastAsia"/>
                <w:kern w:val="0"/>
                <w:sz w:val="24"/>
                <w:szCs w:val="24"/>
              </w:rPr>
              <w:t>层以上）建议增加至</w:t>
            </w:r>
            <w:r>
              <w:rPr>
                <w:rFonts w:asciiTheme="minorEastAsia" w:hAnsiTheme="minorEastAsia" w:cstheme="minorEastAsia"/>
                <w:kern w:val="0"/>
                <w:sz w:val="24"/>
                <w:szCs w:val="24"/>
              </w:rPr>
              <w:t>1.</w:t>
            </w:r>
            <w:r>
              <w:rPr>
                <w:rFonts w:hint="eastAsia" w:asciiTheme="minorEastAsia" w:hAnsiTheme="minorEastAsia" w:cstheme="minorEastAsia"/>
                <w:kern w:val="0"/>
                <w:sz w:val="24"/>
                <w:szCs w:val="24"/>
              </w:rPr>
              <w:t>5</w:t>
            </w:r>
            <w:r>
              <w:rPr>
                <w:rFonts w:asciiTheme="minorEastAsia" w:hAnsiTheme="minorEastAsia" w:cstheme="minorEastAsia"/>
                <w:kern w:val="0"/>
                <w:sz w:val="24"/>
                <w:szCs w:val="24"/>
              </w:rPr>
              <w:t>mm</w:t>
            </w:r>
            <w:r>
              <w:rPr>
                <w:rFonts w:hint="eastAsia" w:asciiTheme="minorEastAsia" w:hAnsiTheme="minorEastAsia" w:cstheme="minorEastAsia"/>
                <w:kern w:val="0"/>
                <w:sz w:val="24"/>
                <w:szCs w:val="24"/>
              </w:rPr>
              <w:t>以上以确保抗风压性能。</w:t>
            </w:r>
          </w:p>
          <w:p w14:paraId="1A937D6E">
            <w:pPr>
              <w:pStyle w:val="61"/>
              <w:keepNext w:val="0"/>
              <w:keepLines w:val="0"/>
              <w:pageBreakBefore w:val="0"/>
              <w:numPr>
                <w:ilvl w:val="0"/>
                <w:numId w:val="5"/>
              </w:numPr>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rPr>
            </w:pPr>
            <w:r>
              <w:rPr>
                <w:rFonts w:hint="eastAsia" w:asciiTheme="minorEastAsia" w:hAnsiTheme="minorEastAsia" w:cstheme="minorEastAsia"/>
                <w:kern w:val="0"/>
                <w:sz w:val="24"/>
              </w:rPr>
              <w:t>力学性能</w:t>
            </w:r>
            <w:r>
              <w:rPr>
                <w:rFonts w:hint="eastAsia" w:ascii="MS Gothic" w:hAnsi="MS Gothic" w:eastAsia="MS Gothic" w:cs="MS Gothic"/>
                <w:kern w:val="0"/>
                <w:sz w:val="24"/>
              </w:rPr>
              <w:t>‌</w:t>
            </w:r>
            <w:r>
              <w:rPr>
                <w:rFonts w:hint="eastAsia" w:ascii="宋体" w:hAnsi="宋体" w:eastAsia="宋体" w:cs="宋体"/>
                <w:kern w:val="0"/>
                <w:sz w:val="24"/>
              </w:rPr>
              <w:t>：抗拉强度需≥</w:t>
            </w:r>
            <w:r>
              <w:rPr>
                <w:rFonts w:asciiTheme="minorEastAsia" w:hAnsiTheme="minorEastAsia" w:cstheme="minorEastAsia"/>
                <w:kern w:val="0"/>
                <w:sz w:val="24"/>
              </w:rPr>
              <w:t>157N/mm²</w:t>
            </w:r>
            <w:r>
              <w:rPr>
                <w:rFonts w:hint="eastAsia" w:asciiTheme="minorEastAsia" w:hAnsiTheme="minorEastAsia" w:cstheme="minorEastAsia"/>
                <w:kern w:val="0"/>
                <w:sz w:val="24"/>
              </w:rPr>
              <w:t>，屈服强度≥</w:t>
            </w:r>
            <w:r>
              <w:rPr>
                <w:rFonts w:asciiTheme="minorEastAsia" w:hAnsiTheme="minorEastAsia" w:cstheme="minorEastAsia"/>
                <w:kern w:val="0"/>
                <w:sz w:val="24"/>
              </w:rPr>
              <w:t>108N/mm²</w:t>
            </w:r>
            <w:r>
              <w:rPr>
                <w:rFonts w:hint="eastAsia" w:asciiTheme="minorEastAsia" w:hAnsiTheme="minorEastAsia" w:cstheme="minorEastAsia"/>
                <w:kern w:val="0"/>
                <w:sz w:val="24"/>
              </w:rPr>
              <w:t>，</w:t>
            </w:r>
          </w:p>
          <w:p w14:paraId="119525B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MS Gothic" w:hAnsi="MS Gothic" w:eastAsia="MS Gothic" w:cs="MS Gothic"/>
                <w:kern w:val="0"/>
                <w:sz w:val="24"/>
                <w:szCs w:val="24"/>
              </w:rPr>
              <w:t>‌</w:t>
            </w:r>
            <w:r>
              <w:rPr>
                <w:rFonts w:hint="eastAsia" w:ascii="MS Gothic" w:hAnsi="MS Gothic" w:cs="MS Gothic"/>
                <w:kern w:val="0"/>
                <w:sz w:val="24"/>
                <w:szCs w:val="24"/>
              </w:rPr>
              <w:t>3、</w:t>
            </w:r>
            <w:r>
              <w:rPr>
                <w:rFonts w:hint="eastAsia" w:asciiTheme="minorEastAsia" w:hAnsiTheme="minorEastAsia" w:cstheme="minorEastAsia"/>
                <w:kern w:val="0"/>
                <w:sz w:val="24"/>
                <w:szCs w:val="24"/>
              </w:rPr>
              <w:t>窗扇厚度</w:t>
            </w:r>
            <w:r>
              <w:rPr>
                <w:rFonts w:hint="eastAsia" w:ascii="MS Gothic" w:hAnsi="MS Gothic" w:eastAsia="MS Gothic" w:cs="MS Gothic"/>
                <w:kern w:val="0"/>
                <w:sz w:val="24"/>
                <w:szCs w:val="24"/>
              </w:rPr>
              <w:t>‌</w:t>
            </w:r>
            <w:r>
              <w:rPr>
                <w:rFonts w:hint="eastAsia" w:ascii="宋体" w:hAnsi="宋体" w:eastAsia="宋体" w:cs="宋体"/>
                <w:kern w:val="0"/>
                <w:sz w:val="24"/>
                <w:szCs w:val="24"/>
              </w:rPr>
              <w:t>：窗扇厚度应≥</w:t>
            </w:r>
            <w:r>
              <w:rPr>
                <w:rFonts w:asciiTheme="minorEastAsia" w:hAnsiTheme="minorEastAsia" w:cstheme="minorEastAsia"/>
                <w:kern w:val="0"/>
                <w:sz w:val="24"/>
                <w:szCs w:val="24"/>
              </w:rPr>
              <w:t>1</w:t>
            </w:r>
            <w:r>
              <w:rPr>
                <w:rFonts w:hint="eastAsia" w:asciiTheme="minorEastAsia" w:hAnsiTheme="minorEastAsia" w:cstheme="minorEastAsia"/>
                <w:kern w:val="0"/>
                <w:sz w:val="24"/>
                <w:szCs w:val="24"/>
              </w:rPr>
              <w:t>4</w:t>
            </w:r>
            <w:r>
              <w:rPr>
                <w:rFonts w:asciiTheme="minorEastAsia" w:hAnsiTheme="minorEastAsia" w:cstheme="minorEastAsia"/>
                <w:kern w:val="0"/>
                <w:sz w:val="24"/>
                <w:szCs w:val="24"/>
              </w:rPr>
              <w:t>mm</w:t>
            </w:r>
            <w:r>
              <w:rPr>
                <w:rFonts w:hint="eastAsia" w:asciiTheme="minorEastAsia" w:hAnsiTheme="minorEastAsia" w:cstheme="minorEastAsia"/>
                <w:kern w:val="0"/>
                <w:sz w:val="24"/>
                <w:szCs w:val="24"/>
              </w:rPr>
              <w:t>，增强结构稳定性。</w:t>
            </w:r>
          </w:p>
          <w:p w14:paraId="421903F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三</w:t>
            </w:r>
            <w:r>
              <w:rPr>
                <w:rFonts w:asciiTheme="minorEastAsia" w:hAnsiTheme="minorEastAsia" w:cstheme="minorEastAsia"/>
                <w:kern w:val="0"/>
                <w:sz w:val="24"/>
                <w:szCs w:val="24"/>
              </w:rPr>
              <w:t>、</w:t>
            </w:r>
            <w:r>
              <w:rPr>
                <w:rFonts w:hint="eastAsia" w:asciiTheme="minorEastAsia" w:hAnsiTheme="minorEastAsia" w:cstheme="minorEastAsia"/>
                <w:kern w:val="0"/>
                <w:sz w:val="24"/>
                <w:szCs w:val="24"/>
              </w:rPr>
              <w:t>性能指标</w:t>
            </w:r>
            <w:r>
              <w:rPr>
                <w:rFonts w:hint="eastAsia" w:ascii="MS Gothic" w:hAnsi="MS Gothic" w:eastAsia="MS Gothic" w:cs="MS Gothic"/>
                <w:kern w:val="0"/>
                <w:sz w:val="24"/>
                <w:szCs w:val="24"/>
              </w:rPr>
              <w:t>‌</w:t>
            </w:r>
          </w:p>
          <w:p w14:paraId="58AD4FE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MS Gothic" w:hAnsi="MS Gothic" w:eastAsia="MS Gothic" w:cs="MS Gothic"/>
                <w:kern w:val="0"/>
                <w:sz w:val="24"/>
                <w:szCs w:val="24"/>
              </w:rPr>
              <w:t>‌</w:t>
            </w:r>
            <w:r>
              <w:rPr>
                <w:rFonts w:hint="eastAsia" w:ascii="MS Gothic" w:hAnsi="MS Gothic" w:cs="MS Gothic"/>
                <w:kern w:val="0"/>
                <w:sz w:val="24"/>
                <w:szCs w:val="24"/>
              </w:rPr>
              <w:t>1、</w:t>
            </w:r>
            <w:r>
              <w:rPr>
                <w:rFonts w:hint="eastAsia" w:asciiTheme="minorEastAsia" w:hAnsiTheme="minorEastAsia" w:cstheme="minorEastAsia"/>
                <w:kern w:val="0"/>
                <w:sz w:val="24"/>
                <w:szCs w:val="24"/>
              </w:rPr>
              <w:t>气密性</w:t>
            </w:r>
            <w:r>
              <w:rPr>
                <w:rFonts w:hint="eastAsia" w:ascii="MS Gothic" w:hAnsi="MS Gothic" w:eastAsia="MS Gothic" w:cs="MS Gothic"/>
                <w:kern w:val="0"/>
                <w:sz w:val="24"/>
                <w:szCs w:val="24"/>
              </w:rPr>
              <w:t>‌</w:t>
            </w:r>
            <w:r>
              <w:rPr>
                <w:rFonts w:hint="eastAsia" w:ascii="宋体" w:hAnsi="宋体" w:eastAsia="宋体" w:cs="宋体"/>
                <w:kern w:val="0"/>
                <w:sz w:val="24"/>
                <w:szCs w:val="24"/>
              </w:rPr>
              <w:t>：需有效隔绝室内外空气，防止冷热交换。</w:t>
            </w:r>
          </w:p>
          <w:p w14:paraId="22649F8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MS Gothic" w:hAnsi="MS Gothic" w:cs="MS Gothic"/>
                <w:kern w:val="0"/>
                <w:sz w:val="24"/>
                <w:szCs w:val="24"/>
              </w:rPr>
              <w:t>2、</w:t>
            </w:r>
            <w:r>
              <w:rPr>
                <w:rFonts w:hint="eastAsia" w:asciiTheme="minorEastAsia" w:hAnsiTheme="minorEastAsia" w:cstheme="minorEastAsia"/>
                <w:kern w:val="0"/>
                <w:sz w:val="24"/>
                <w:szCs w:val="24"/>
              </w:rPr>
              <w:t>水密性</w:t>
            </w:r>
            <w:r>
              <w:rPr>
                <w:rFonts w:hint="eastAsia" w:ascii="MS Gothic" w:hAnsi="MS Gothic" w:eastAsia="MS Gothic" w:cs="MS Gothic"/>
                <w:kern w:val="0"/>
                <w:sz w:val="24"/>
                <w:szCs w:val="24"/>
              </w:rPr>
              <w:t>‌</w:t>
            </w:r>
            <w:r>
              <w:rPr>
                <w:rFonts w:hint="eastAsia" w:ascii="宋体" w:hAnsi="宋体" w:eastAsia="宋体" w:cs="宋体"/>
                <w:kern w:val="0"/>
                <w:sz w:val="24"/>
                <w:szCs w:val="24"/>
              </w:rPr>
              <w:t>：应具备防水设计，防止雨水渗透。</w:t>
            </w:r>
          </w:p>
          <w:p w14:paraId="6405461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MS Gothic" w:hAnsi="MS Gothic" w:cs="MS Gothic"/>
                <w:kern w:val="0"/>
                <w:sz w:val="24"/>
                <w:szCs w:val="24"/>
              </w:rPr>
              <w:t>3、</w:t>
            </w:r>
            <w:r>
              <w:rPr>
                <w:rFonts w:hint="eastAsia" w:asciiTheme="minorEastAsia" w:hAnsiTheme="minorEastAsia" w:cstheme="minorEastAsia"/>
                <w:kern w:val="0"/>
                <w:sz w:val="24"/>
                <w:szCs w:val="24"/>
              </w:rPr>
              <w:t>抗风压性</w:t>
            </w:r>
            <w:r>
              <w:rPr>
                <w:rFonts w:hint="eastAsia" w:ascii="MS Gothic" w:hAnsi="MS Gothic" w:eastAsia="MS Gothic" w:cs="MS Gothic"/>
                <w:kern w:val="0"/>
                <w:sz w:val="24"/>
                <w:szCs w:val="24"/>
              </w:rPr>
              <w:t>‌</w:t>
            </w:r>
            <w:r>
              <w:rPr>
                <w:rFonts w:hint="eastAsia" w:ascii="宋体" w:hAnsi="宋体" w:eastAsia="宋体" w:cs="宋体"/>
                <w:kern w:val="0"/>
                <w:sz w:val="24"/>
                <w:szCs w:val="24"/>
              </w:rPr>
              <w:t>：需承受强风压力，高层建筑尤其需强化此性能。</w:t>
            </w:r>
          </w:p>
          <w:p w14:paraId="0FE04A3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MS Gothic" w:hAnsi="MS Gothic" w:cs="MS Gothic"/>
                <w:kern w:val="0"/>
                <w:sz w:val="24"/>
                <w:szCs w:val="24"/>
              </w:rPr>
              <w:t>4、</w:t>
            </w:r>
            <w:r>
              <w:rPr>
                <w:rFonts w:hint="eastAsia" w:asciiTheme="minorEastAsia" w:hAnsiTheme="minorEastAsia" w:cstheme="minorEastAsia"/>
                <w:kern w:val="0"/>
                <w:sz w:val="24"/>
                <w:szCs w:val="24"/>
              </w:rPr>
              <w:t>开闭力</w:t>
            </w:r>
            <w:r>
              <w:rPr>
                <w:rFonts w:hint="eastAsia" w:ascii="MS Gothic" w:hAnsi="MS Gothic" w:eastAsia="MS Gothic" w:cs="MS Gothic"/>
                <w:kern w:val="0"/>
                <w:sz w:val="24"/>
                <w:szCs w:val="24"/>
              </w:rPr>
              <w:t>‌</w:t>
            </w:r>
            <w:r>
              <w:rPr>
                <w:rFonts w:hint="eastAsia" w:ascii="宋体" w:hAnsi="宋体" w:eastAsia="宋体" w:cs="宋体"/>
                <w:kern w:val="0"/>
                <w:sz w:val="24"/>
                <w:szCs w:val="24"/>
              </w:rPr>
              <w:t>：推拉窗扇开关力应≤</w:t>
            </w:r>
            <w:r>
              <w:rPr>
                <w:rFonts w:asciiTheme="minorEastAsia" w:hAnsiTheme="minorEastAsia" w:cstheme="minorEastAsia"/>
                <w:kern w:val="0"/>
                <w:sz w:val="24"/>
                <w:szCs w:val="24"/>
              </w:rPr>
              <w:t>100N</w:t>
            </w:r>
            <w:r>
              <w:rPr>
                <w:rFonts w:hint="eastAsia" w:asciiTheme="minorEastAsia" w:hAnsiTheme="minorEastAsia" w:cstheme="minorEastAsia"/>
                <w:kern w:val="0"/>
                <w:sz w:val="24"/>
                <w:szCs w:val="24"/>
              </w:rPr>
              <w:t>，确保操作顺畅。</w:t>
            </w:r>
          </w:p>
          <w:p w14:paraId="53412E8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四</w:t>
            </w:r>
            <w:r>
              <w:rPr>
                <w:rFonts w:asciiTheme="minorEastAsia" w:hAnsiTheme="minorEastAsia" w:cstheme="minorEastAsia"/>
                <w:kern w:val="0"/>
                <w:sz w:val="24"/>
                <w:szCs w:val="24"/>
              </w:rPr>
              <w:t>、</w:t>
            </w:r>
            <w:r>
              <w:rPr>
                <w:rFonts w:hint="eastAsia" w:asciiTheme="minorEastAsia" w:hAnsiTheme="minorEastAsia" w:cstheme="minorEastAsia"/>
                <w:kern w:val="0"/>
                <w:sz w:val="24"/>
                <w:szCs w:val="24"/>
              </w:rPr>
              <w:t>安全与配件要求</w:t>
            </w:r>
            <w:r>
              <w:rPr>
                <w:rFonts w:hint="eastAsia" w:ascii="MS Gothic" w:hAnsi="MS Gothic" w:eastAsia="MS Gothic" w:cs="MS Gothic"/>
                <w:kern w:val="0"/>
                <w:sz w:val="24"/>
                <w:szCs w:val="24"/>
              </w:rPr>
              <w:t>‌</w:t>
            </w:r>
          </w:p>
          <w:p w14:paraId="7F53AC9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MS Gothic" w:hAnsi="MS Gothic" w:cs="MS Gothic"/>
                <w:kern w:val="0"/>
                <w:sz w:val="24"/>
                <w:szCs w:val="24"/>
              </w:rPr>
              <w:t>1、</w:t>
            </w:r>
            <w:r>
              <w:rPr>
                <w:rFonts w:hint="eastAsia" w:ascii="MS Gothic" w:hAnsi="MS Gothic" w:eastAsia="MS Gothic" w:cs="MS Gothic"/>
                <w:kern w:val="0"/>
                <w:sz w:val="24"/>
                <w:szCs w:val="24"/>
              </w:rPr>
              <w:t>‌</w:t>
            </w:r>
            <w:r>
              <w:rPr>
                <w:rFonts w:hint="eastAsia" w:asciiTheme="minorEastAsia" w:hAnsiTheme="minorEastAsia" w:cstheme="minorEastAsia"/>
                <w:kern w:val="0"/>
                <w:sz w:val="24"/>
                <w:szCs w:val="24"/>
              </w:rPr>
              <w:t>五金件强度</w:t>
            </w:r>
            <w:r>
              <w:rPr>
                <w:rFonts w:hint="eastAsia" w:ascii="MS Gothic" w:hAnsi="MS Gothic" w:eastAsia="MS Gothic" w:cs="MS Gothic"/>
                <w:kern w:val="0"/>
                <w:sz w:val="24"/>
                <w:szCs w:val="24"/>
              </w:rPr>
              <w:t>‌</w:t>
            </w:r>
            <w:r>
              <w:rPr>
                <w:rFonts w:hint="eastAsia" w:ascii="宋体" w:hAnsi="宋体" w:eastAsia="宋体" w:cs="宋体"/>
                <w:kern w:val="0"/>
                <w:sz w:val="24"/>
                <w:szCs w:val="24"/>
              </w:rPr>
              <w:t>：外开窗五金件强度≥</w:t>
            </w:r>
            <w:r>
              <w:rPr>
                <w:rFonts w:asciiTheme="minorEastAsia" w:hAnsiTheme="minorEastAsia" w:cstheme="minorEastAsia"/>
                <w:kern w:val="0"/>
                <w:sz w:val="24"/>
                <w:szCs w:val="24"/>
              </w:rPr>
              <w:t>70N</w:t>
            </w:r>
            <w:r>
              <w:rPr>
                <w:rFonts w:hint="eastAsia" w:asciiTheme="minorEastAsia" w:hAnsiTheme="minorEastAsia" w:cstheme="minorEastAsia"/>
                <w:kern w:val="0"/>
                <w:sz w:val="24"/>
                <w:szCs w:val="24"/>
              </w:rPr>
              <w:t>，力矩需符合</w:t>
            </w:r>
            <w:r>
              <w:rPr>
                <w:rFonts w:asciiTheme="minorEastAsia" w:hAnsiTheme="minorEastAsia" w:cstheme="minorEastAsia"/>
                <w:kern w:val="0"/>
                <w:sz w:val="24"/>
                <w:szCs w:val="24"/>
              </w:rPr>
              <w:t>40-80N·m</w:t>
            </w:r>
            <w:r>
              <w:rPr>
                <w:rFonts w:hint="eastAsia" w:asciiTheme="minorEastAsia" w:hAnsiTheme="minorEastAsia" w:cstheme="minorEastAsia"/>
                <w:kern w:val="0"/>
                <w:sz w:val="24"/>
                <w:szCs w:val="24"/>
              </w:rPr>
              <w:t>（上悬式）或</w:t>
            </w:r>
            <w:r>
              <w:rPr>
                <w:rFonts w:asciiTheme="minorEastAsia" w:hAnsiTheme="minorEastAsia" w:cstheme="minorEastAsia"/>
                <w:kern w:val="0"/>
                <w:sz w:val="24"/>
                <w:szCs w:val="24"/>
              </w:rPr>
              <w:t>20-40N·m</w:t>
            </w:r>
            <w:r>
              <w:rPr>
                <w:rFonts w:hint="eastAsia" w:asciiTheme="minorEastAsia" w:hAnsiTheme="minorEastAsia" w:cstheme="minorEastAsia"/>
                <w:kern w:val="0"/>
                <w:sz w:val="24"/>
                <w:szCs w:val="24"/>
              </w:rPr>
              <w:t>（下悬式）范围。</w:t>
            </w:r>
          </w:p>
          <w:p w14:paraId="70E325D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MS Gothic" w:hAnsi="MS Gothic" w:eastAsia="MS Gothic" w:cs="MS Gothic"/>
                <w:kern w:val="0"/>
                <w:sz w:val="24"/>
                <w:szCs w:val="24"/>
              </w:rPr>
              <w:t>‌</w:t>
            </w:r>
            <w:r>
              <w:rPr>
                <w:rFonts w:hint="eastAsia" w:ascii="MS Gothic" w:hAnsi="MS Gothic" w:cs="MS Gothic"/>
                <w:kern w:val="0"/>
                <w:sz w:val="24"/>
                <w:szCs w:val="24"/>
              </w:rPr>
              <w:t>2、</w:t>
            </w:r>
            <w:r>
              <w:rPr>
                <w:rFonts w:hint="eastAsia" w:asciiTheme="minorEastAsia" w:hAnsiTheme="minorEastAsia" w:cstheme="minorEastAsia"/>
                <w:kern w:val="0"/>
                <w:sz w:val="24"/>
                <w:szCs w:val="24"/>
              </w:rPr>
              <w:t>玻璃标准</w:t>
            </w:r>
            <w:r>
              <w:rPr>
                <w:rFonts w:hint="eastAsia" w:ascii="MS Gothic" w:hAnsi="MS Gothic" w:eastAsia="MS Gothic" w:cs="MS Gothic"/>
                <w:kern w:val="0"/>
                <w:sz w:val="24"/>
                <w:szCs w:val="24"/>
              </w:rPr>
              <w:t>‌</w:t>
            </w:r>
            <w:r>
              <w:rPr>
                <w:rFonts w:hint="eastAsia" w:ascii="宋体" w:hAnsi="宋体" w:eastAsia="宋体" w:cs="宋体"/>
                <w:kern w:val="0"/>
                <w:sz w:val="24"/>
                <w:szCs w:val="24"/>
              </w:rPr>
              <w:t>：单片钾玻璃厚度≥</w:t>
            </w:r>
            <w:r>
              <w:rPr>
                <w:rFonts w:hint="eastAsia" w:asciiTheme="minorEastAsia" w:hAnsiTheme="minorEastAsia" w:cstheme="minorEastAsia"/>
                <w:kern w:val="0"/>
                <w:sz w:val="24"/>
                <w:szCs w:val="24"/>
              </w:rPr>
              <w:t>6</w:t>
            </w:r>
            <w:r>
              <w:rPr>
                <w:rFonts w:asciiTheme="minorEastAsia" w:hAnsiTheme="minorEastAsia" w:cstheme="minorEastAsia"/>
                <w:kern w:val="0"/>
                <w:sz w:val="24"/>
                <w:szCs w:val="24"/>
              </w:rPr>
              <w:t>mm</w:t>
            </w:r>
            <w:r>
              <w:rPr>
                <w:rFonts w:hint="eastAsia" w:asciiTheme="minorEastAsia" w:hAnsiTheme="minorEastAsia" w:cstheme="minorEastAsia"/>
                <w:kern w:val="0"/>
                <w:sz w:val="24"/>
                <w:szCs w:val="24"/>
              </w:rPr>
              <w:t>，中空玻璃间隔膜总厚≥</w:t>
            </w:r>
            <w:r>
              <w:rPr>
                <w:rFonts w:asciiTheme="minorEastAsia" w:hAnsiTheme="minorEastAsia" w:cstheme="minorEastAsia"/>
                <w:kern w:val="0"/>
                <w:sz w:val="24"/>
                <w:szCs w:val="24"/>
              </w:rPr>
              <w:t>4mm</w:t>
            </w:r>
            <w:r>
              <w:rPr>
                <w:rFonts w:hint="eastAsia" w:asciiTheme="minorEastAsia" w:hAnsiTheme="minorEastAsia" w:cstheme="minorEastAsia"/>
                <w:kern w:val="0"/>
                <w:sz w:val="24"/>
                <w:szCs w:val="24"/>
              </w:rPr>
              <w:t>。</w:t>
            </w:r>
          </w:p>
          <w:p w14:paraId="0BF8321F">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五</w:t>
            </w:r>
            <w:r>
              <w:rPr>
                <w:rFonts w:asciiTheme="minorEastAsia" w:hAnsiTheme="minorEastAsia" w:cstheme="minorEastAsia"/>
                <w:kern w:val="0"/>
                <w:sz w:val="24"/>
                <w:szCs w:val="24"/>
              </w:rPr>
              <w:t>、</w:t>
            </w:r>
            <w:r>
              <w:rPr>
                <w:rFonts w:hint="eastAsia" w:ascii="MS Gothic" w:hAnsi="MS Gothic" w:eastAsia="MS Gothic" w:cs="MS Gothic"/>
                <w:kern w:val="0"/>
                <w:sz w:val="24"/>
                <w:szCs w:val="24"/>
              </w:rPr>
              <w:t>‌</w:t>
            </w:r>
            <w:r>
              <w:rPr>
                <w:rFonts w:hint="eastAsia" w:asciiTheme="minorEastAsia" w:hAnsiTheme="minorEastAsia" w:cstheme="minorEastAsia"/>
                <w:kern w:val="0"/>
                <w:sz w:val="24"/>
                <w:szCs w:val="24"/>
              </w:rPr>
              <w:t>表面与安装质量</w:t>
            </w:r>
            <w:r>
              <w:rPr>
                <w:rFonts w:hint="eastAsia" w:ascii="MS Gothic" w:hAnsi="MS Gothic" w:eastAsia="MS Gothic" w:cs="MS Gothic"/>
                <w:kern w:val="0"/>
                <w:sz w:val="24"/>
                <w:szCs w:val="24"/>
              </w:rPr>
              <w:t>‌</w:t>
            </w:r>
          </w:p>
          <w:p w14:paraId="2EE8446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MS Gothic" w:hAnsi="MS Gothic" w:eastAsia="MS Gothic" w:cs="MS Gothic"/>
                <w:kern w:val="0"/>
                <w:sz w:val="24"/>
                <w:szCs w:val="24"/>
              </w:rPr>
              <w:t>‌1、</w:t>
            </w:r>
            <w:r>
              <w:rPr>
                <w:rFonts w:hint="eastAsia" w:asciiTheme="minorEastAsia" w:hAnsiTheme="minorEastAsia" w:cstheme="minorEastAsia"/>
                <w:kern w:val="0"/>
                <w:sz w:val="24"/>
                <w:szCs w:val="24"/>
              </w:rPr>
              <w:t>表面处理</w:t>
            </w:r>
            <w:r>
              <w:rPr>
                <w:rFonts w:hint="eastAsia" w:ascii="MS Gothic" w:hAnsi="MS Gothic" w:eastAsia="MS Gothic" w:cs="MS Gothic"/>
                <w:kern w:val="0"/>
                <w:sz w:val="24"/>
                <w:szCs w:val="24"/>
              </w:rPr>
              <w:t>‌</w:t>
            </w:r>
            <w:r>
              <w:rPr>
                <w:rFonts w:hint="eastAsia" w:ascii="宋体" w:hAnsi="宋体" w:eastAsia="宋体" w:cs="宋体"/>
                <w:kern w:val="0"/>
                <w:sz w:val="24"/>
                <w:szCs w:val="24"/>
              </w:rPr>
              <w:t>：色泽均匀、无划痕、气泡或氧化膜脱落（氧化膜厚度≥</w:t>
            </w:r>
            <w:r>
              <w:rPr>
                <w:rFonts w:asciiTheme="minorEastAsia" w:hAnsiTheme="minorEastAsia" w:cstheme="minorEastAsia"/>
                <w:kern w:val="0"/>
                <w:sz w:val="24"/>
                <w:szCs w:val="24"/>
              </w:rPr>
              <w:t>10μm</w:t>
            </w:r>
            <w:r>
              <w:rPr>
                <w:rFonts w:hint="eastAsia" w:asciiTheme="minorEastAsia" w:hAnsiTheme="minorEastAsia" w:cstheme="minorEastAsia"/>
                <w:kern w:val="0"/>
                <w:sz w:val="24"/>
                <w:szCs w:val="24"/>
              </w:rPr>
              <w:t>）。</w:t>
            </w:r>
          </w:p>
          <w:p w14:paraId="45BE5FE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MS Gothic" w:hAnsi="MS Gothic" w:cs="MS Gothic"/>
                <w:kern w:val="0"/>
                <w:sz w:val="24"/>
                <w:szCs w:val="24"/>
              </w:rPr>
              <w:t>2、</w:t>
            </w:r>
            <w:r>
              <w:rPr>
                <w:rFonts w:hint="eastAsia" w:asciiTheme="minorEastAsia" w:hAnsiTheme="minorEastAsia" w:cstheme="minorEastAsia"/>
                <w:kern w:val="0"/>
                <w:sz w:val="24"/>
                <w:szCs w:val="24"/>
              </w:rPr>
              <w:t>安装偏差</w:t>
            </w:r>
            <w:r>
              <w:rPr>
                <w:rFonts w:hint="eastAsia" w:ascii="MS Gothic" w:hAnsi="MS Gothic" w:eastAsia="MS Gothic" w:cs="MS Gothic"/>
                <w:kern w:val="0"/>
                <w:sz w:val="24"/>
                <w:szCs w:val="24"/>
              </w:rPr>
              <w:t>‌</w:t>
            </w:r>
            <w:r>
              <w:rPr>
                <w:rFonts w:hint="eastAsia" w:ascii="宋体" w:hAnsi="宋体" w:eastAsia="宋体" w:cs="宋体"/>
                <w:kern w:val="0"/>
                <w:sz w:val="24"/>
                <w:szCs w:val="24"/>
              </w:rPr>
              <w:t>：框体垂直度偏差≤</w:t>
            </w:r>
            <w:r>
              <w:rPr>
                <w:rFonts w:asciiTheme="minorEastAsia" w:hAnsiTheme="minorEastAsia" w:cstheme="minorEastAsia"/>
                <w:kern w:val="0"/>
                <w:sz w:val="24"/>
                <w:szCs w:val="24"/>
              </w:rPr>
              <w:t>2.5mm</w:t>
            </w:r>
            <w:r>
              <w:rPr>
                <w:rFonts w:hint="eastAsia" w:asciiTheme="minorEastAsia" w:hAnsiTheme="minorEastAsia" w:cstheme="minorEastAsia"/>
                <w:kern w:val="0"/>
                <w:sz w:val="24"/>
                <w:szCs w:val="24"/>
              </w:rPr>
              <w:t>，水平偏差≤</w:t>
            </w:r>
            <w:r>
              <w:rPr>
                <w:rFonts w:asciiTheme="minorEastAsia" w:hAnsiTheme="minorEastAsia" w:cstheme="minorEastAsia"/>
                <w:kern w:val="0"/>
                <w:sz w:val="24"/>
                <w:szCs w:val="24"/>
              </w:rPr>
              <w:t>2mm</w:t>
            </w:r>
            <w:r>
              <w:rPr>
                <w:rFonts w:hint="eastAsia" w:asciiTheme="minorEastAsia" w:hAnsiTheme="minorEastAsia" w:cstheme="minorEastAsia"/>
                <w:kern w:val="0"/>
                <w:sz w:val="24"/>
                <w:szCs w:val="24"/>
              </w:rPr>
              <w:t>，标高偏差≤</w:t>
            </w:r>
            <w:r>
              <w:rPr>
                <w:rFonts w:asciiTheme="minorEastAsia" w:hAnsiTheme="minorEastAsia" w:cstheme="minorEastAsia"/>
                <w:kern w:val="0"/>
                <w:sz w:val="24"/>
                <w:szCs w:val="24"/>
              </w:rPr>
              <w:t>5mm</w:t>
            </w:r>
            <w:r>
              <w:rPr>
                <w:rFonts w:hint="eastAsia" w:asciiTheme="minorEastAsia" w:hAnsiTheme="minorEastAsia" w:cstheme="minorEastAsia"/>
                <w:kern w:val="0"/>
                <w:sz w:val="24"/>
                <w:szCs w:val="24"/>
              </w:rPr>
              <w:t>。</w:t>
            </w:r>
          </w:p>
          <w:p w14:paraId="7BC59223">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eastAsia="宋体" w:asciiTheme="minorEastAsia" w:hAnsiTheme="minorEastAsia" w:cstheme="minorEastAsia"/>
                <w:kern w:val="0"/>
                <w:sz w:val="24"/>
                <w:szCs w:val="24"/>
                <w:lang w:eastAsia="zh-CN"/>
              </w:rPr>
            </w:pPr>
            <w:r>
              <w:rPr>
                <w:rFonts w:hint="eastAsia" w:ascii="MS Gothic" w:hAnsi="MS Gothic" w:cs="MS Gothic"/>
                <w:kern w:val="0"/>
                <w:sz w:val="24"/>
                <w:szCs w:val="24"/>
              </w:rPr>
              <w:t>3、</w:t>
            </w:r>
            <w:r>
              <w:rPr>
                <w:rFonts w:hint="eastAsia" w:asciiTheme="minorEastAsia" w:hAnsiTheme="minorEastAsia" w:cstheme="minorEastAsia"/>
                <w:kern w:val="0"/>
                <w:sz w:val="24"/>
                <w:szCs w:val="24"/>
              </w:rPr>
              <w:t>密封要求</w:t>
            </w:r>
            <w:r>
              <w:rPr>
                <w:rFonts w:hint="eastAsia" w:ascii="MS Gothic" w:hAnsi="MS Gothic" w:eastAsia="MS Gothic" w:cs="MS Gothic"/>
                <w:kern w:val="0"/>
                <w:sz w:val="24"/>
                <w:szCs w:val="24"/>
              </w:rPr>
              <w:t>‌</w:t>
            </w:r>
            <w:r>
              <w:rPr>
                <w:rFonts w:hint="eastAsia" w:ascii="宋体" w:hAnsi="宋体" w:eastAsia="宋体" w:cs="宋体"/>
                <w:kern w:val="0"/>
                <w:sz w:val="24"/>
                <w:szCs w:val="24"/>
              </w:rPr>
              <w:t>：框体与墙体缝隙需填嵌饱满，密封胶无裂纹</w:t>
            </w:r>
          </w:p>
          <w:p w14:paraId="5C6881F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asciiTheme="minorEastAsia" w:hAnsiTheme="minorEastAsia" w:cstheme="minorEastAsia"/>
                <w:kern w:val="0"/>
                <w:sz w:val="24"/>
                <w:szCs w:val="24"/>
              </w:rPr>
              <w:t>六、</w:t>
            </w:r>
            <w:r>
              <w:rPr>
                <w:rFonts w:hint="eastAsia" w:ascii="MS Gothic" w:hAnsi="MS Gothic" w:eastAsia="MS Gothic" w:cs="MS Gothic"/>
                <w:kern w:val="0"/>
                <w:sz w:val="24"/>
                <w:szCs w:val="24"/>
              </w:rPr>
              <w:t>‌</w:t>
            </w:r>
            <w:r>
              <w:rPr>
                <w:rFonts w:hint="eastAsia" w:asciiTheme="minorEastAsia" w:hAnsiTheme="minorEastAsia" w:cstheme="minorEastAsia"/>
                <w:kern w:val="0"/>
                <w:sz w:val="24"/>
                <w:szCs w:val="24"/>
              </w:rPr>
              <w:t>尺寸分格</w:t>
            </w:r>
            <w:r>
              <w:rPr>
                <w:rFonts w:hint="eastAsia" w:ascii="MS Gothic" w:hAnsi="MS Gothic" w:eastAsia="MS Gothic" w:cs="MS Gothic"/>
                <w:kern w:val="0"/>
                <w:sz w:val="24"/>
                <w:szCs w:val="24"/>
              </w:rPr>
              <w:t>‌</w:t>
            </w:r>
            <w:r>
              <w:rPr>
                <w:rFonts w:hint="eastAsia" w:ascii="宋体" w:hAnsi="宋体" w:eastAsia="宋体" w:cs="宋体"/>
                <w:kern w:val="0"/>
                <w:sz w:val="24"/>
                <w:szCs w:val="24"/>
              </w:rPr>
              <w:t>：需根据国家标准选择窗扇宽度和高度，高层建筑需额外考虑抗风压。</w:t>
            </w:r>
          </w:p>
          <w:p w14:paraId="3725909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asciiTheme="minorEastAsia" w:hAnsiTheme="minorEastAsia" w:cstheme="minorEastAsia"/>
                <w:kern w:val="0"/>
                <w:sz w:val="24"/>
                <w:szCs w:val="24"/>
              </w:rPr>
              <w:t>七、需拆除原有窗户</w:t>
            </w:r>
          </w:p>
        </w:tc>
        <w:tc>
          <w:tcPr>
            <w:tcW w:w="698" w:type="dxa"/>
            <w:shd w:val="clear" w:color="auto" w:fill="auto"/>
            <w:vAlign w:val="center"/>
          </w:tcPr>
          <w:p w14:paraId="6335AB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w:t>
            </w:r>
          </w:p>
        </w:tc>
        <w:tc>
          <w:tcPr>
            <w:tcW w:w="843" w:type="dxa"/>
            <w:shd w:val="clear" w:color="auto" w:fill="auto"/>
            <w:vAlign w:val="center"/>
          </w:tcPr>
          <w:p w14:paraId="650F13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402</w:t>
            </w:r>
          </w:p>
        </w:tc>
        <w:tc>
          <w:tcPr>
            <w:tcW w:w="698" w:type="dxa"/>
            <w:vAlign w:val="center"/>
          </w:tcPr>
          <w:p w14:paraId="14924791">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5510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77F5F88B">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6</w:t>
            </w:r>
          </w:p>
        </w:tc>
        <w:tc>
          <w:tcPr>
            <w:tcW w:w="1400" w:type="dxa"/>
            <w:shd w:val="clear" w:color="auto" w:fill="auto"/>
            <w:vAlign w:val="center"/>
          </w:tcPr>
          <w:p w14:paraId="250158B4">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lang w:bidi="ar"/>
              </w:rPr>
              <w:t>不锈钢防盗网</w:t>
            </w:r>
          </w:p>
        </w:tc>
        <w:tc>
          <w:tcPr>
            <w:tcW w:w="9766" w:type="dxa"/>
            <w:vAlign w:val="center"/>
          </w:tcPr>
          <w:p w14:paraId="53FFD3D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1.材料：优质不锈钢作为原材料，具有耐腐蚀、耐磨损、耐高温等优点。</w:t>
            </w:r>
          </w:p>
          <w:p w14:paraId="192595C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2.网孔尺寸：符合安全规范</w:t>
            </w:r>
          </w:p>
          <w:p w14:paraId="3E9DB5F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3.线径：符合安全规范</w:t>
            </w:r>
          </w:p>
          <w:p w14:paraId="660E2F7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4.制作工艺：采用焊接工艺，在保证尺寸和线径的前提下，焊点应牢固、美观。</w:t>
            </w:r>
          </w:p>
          <w:p w14:paraId="459DEDB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5.质量要求：应能很好地抵抗拉力、剪力、冲击力和破坏力等，同时没有生锈、变形等质量问题。</w:t>
            </w:r>
          </w:p>
        </w:tc>
        <w:tc>
          <w:tcPr>
            <w:tcW w:w="698" w:type="dxa"/>
            <w:shd w:val="clear" w:color="auto" w:fill="auto"/>
            <w:vAlign w:val="center"/>
          </w:tcPr>
          <w:p w14:paraId="0A8135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w:t>
            </w:r>
          </w:p>
        </w:tc>
        <w:tc>
          <w:tcPr>
            <w:tcW w:w="843" w:type="dxa"/>
            <w:shd w:val="clear" w:color="auto" w:fill="auto"/>
            <w:vAlign w:val="center"/>
          </w:tcPr>
          <w:p w14:paraId="6A23EB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402</w:t>
            </w:r>
          </w:p>
        </w:tc>
        <w:tc>
          <w:tcPr>
            <w:tcW w:w="698" w:type="dxa"/>
            <w:vAlign w:val="center"/>
          </w:tcPr>
          <w:p w14:paraId="5319A144">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7CF0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1C26E9E0">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7</w:t>
            </w:r>
          </w:p>
        </w:tc>
        <w:tc>
          <w:tcPr>
            <w:tcW w:w="1400" w:type="dxa"/>
            <w:shd w:val="clear" w:color="auto" w:fill="auto"/>
            <w:vAlign w:val="center"/>
          </w:tcPr>
          <w:p w14:paraId="61916870">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lang w:bidi="ar"/>
              </w:rPr>
              <w:t>环境系统性能优化</w:t>
            </w:r>
          </w:p>
        </w:tc>
        <w:tc>
          <w:tcPr>
            <w:tcW w:w="9766" w:type="dxa"/>
            <w:vAlign w:val="center"/>
          </w:tcPr>
          <w:p w14:paraId="340BCC3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知行楼公共区及教室墙部优化</w:t>
            </w:r>
          </w:p>
          <w:p w14:paraId="10267DDB">
            <w:pPr>
              <w:pStyle w:val="61"/>
              <w:keepNext w:val="0"/>
              <w:keepLines w:val="0"/>
              <w:pageBreakBefore w:val="0"/>
              <w:numPr>
                <w:ilvl w:val="0"/>
                <w:numId w:val="0"/>
              </w:numPr>
              <w:kinsoku/>
              <w:wordWrap/>
              <w:overflowPunct/>
              <w:topLinePunct w:val="0"/>
              <w:autoSpaceDE/>
              <w:autoSpaceDN/>
              <w:bidi w:val="0"/>
              <w:adjustRightInd/>
              <w:snapToGrid/>
              <w:spacing w:line="240" w:lineRule="auto"/>
              <w:jc w:val="left"/>
              <w:rPr>
                <w:rFonts w:asciiTheme="minorEastAsia" w:hAnsiTheme="minorEastAsia" w:cstheme="minorEastAsia"/>
                <w:kern w:val="0"/>
                <w:sz w:val="24"/>
              </w:rPr>
            </w:pPr>
            <w:r>
              <w:rPr>
                <w:rFonts w:hint="eastAsia" w:asciiTheme="minorEastAsia" w:hAnsiTheme="minorEastAsia" w:cstheme="minorEastAsia"/>
                <w:kern w:val="0"/>
                <w:sz w:val="24"/>
                <w:lang w:eastAsia="zh-CN"/>
              </w:rPr>
              <w:t>一、</w:t>
            </w:r>
            <w:r>
              <w:rPr>
                <w:rFonts w:hint="eastAsia" w:asciiTheme="minorEastAsia" w:hAnsiTheme="minorEastAsia" w:cstheme="minorEastAsia"/>
                <w:kern w:val="0"/>
                <w:sz w:val="24"/>
              </w:rPr>
              <w:t>执行标准：</w:t>
            </w:r>
          </w:p>
          <w:p w14:paraId="6B0C02D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cstheme="minorEastAsia"/>
                <w:kern w:val="0"/>
                <w:sz w:val="24"/>
                <w:szCs w:val="24"/>
              </w:rPr>
              <w:t>（合成树脂乳液内墙涂料）JG/T9756-2018</w:t>
            </w:r>
          </w:p>
          <w:p w14:paraId="24CD539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lang w:val="en-US" w:eastAsia="zh-CN"/>
              </w:rPr>
              <w:t>2.</w:t>
            </w:r>
            <w:r>
              <w:rPr>
                <w:rFonts w:hint="eastAsia" w:asciiTheme="minorEastAsia" w:hAnsiTheme="minorEastAsia" w:cstheme="minorEastAsia"/>
                <w:kern w:val="0"/>
                <w:sz w:val="24"/>
                <w:szCs w:val="24"/>
              </w:rPr>
              <w:t>（室内装饰装修材料内墙涂料中有害物质限量）GB18582</w:t>
            </w:r>
          </w:p>
          <w:p w14:paraId="3A7E5432">
            <w:pPr>
              <w:pStyle w:val="61"/>
              <w:keepNext w:val="0"/>
              <w:keepLines w:val="0"/>
              <w:pageBreakBefore w:val="0"/>
              <w:numPr>
                <w:ilvl w:val="0"/>
                <w:numId w:val="0"/>
              </w:numPr>
              <w:kinsoku/>
              <w:wordWrap/>
              <w:overflowPunct/>
              <w:topLinePunct w:val="0"/>
              <w:autoSpaceDE/>
              <w:autoSpaceDN/>
              <w:bidi w:val="0"/>
              <w:adjustRightInd/>
              <w:snapToGrid/>
              <w:spacing w:line="240" w:lineRule="auto"/>
              <w:jc w:val="left"/>
              <w:rPr>
                <w:rFonts w:asciiTheme="minorEastAsia" w:hAnsiTheme="minorEastAsia" w:cstheme="minorEastAsia"/>
                <w:kern w:val="0"/>
                <w:sz w:val="24"/>
              </w:rPr>
            </w:pPr>
            <w:r>
              <w:rPr>
                <w:rFonts w:hint="eastAsia" w:asciiTheme="minorEastAsia" w:hAnsiTheme="minorEastAsia" w:cstheme="minorEastAsia"/>
                <w:kern w:val="0"/>
                <w:sz w:val="24"/>
                <w:lang w:eastAsia="zh-CN"/>
              </w:rPr>
              <w:t>二、</w:t>
            </w:r>
            <w:r>
              <w:rPr>
                <w:rFonts w:hint="eastAsia" w:asciiTheme="minorEastAsia" w:hAnsiTheme="minorEastAsia" w:cstheme="minorEastAsia"/>
                <w:kern w:val="0"/>
                <w:sz w:val="24"/>
              </w:rPr>
              <w:t>材料要求：要求所用材料为墙面环保乳胶漆，</w:t>
            </w:r>
          </w:p>
          <w:p w14:paraId="30421D9C">
            <w:pPr>
              <w:pStyle w:val="61"/>
              <w:keepNext w:val="0"/>
              <w:keepLines w:val="0"/>
              <w:pageBreakBefore w:val="0"/>
              <w:numPr>
                <w:ilvl w:val="0"/>
                <w:numId w:val="0"/>
              </w:numPr>
              <w:kinsoku/>
              <w:wordWrap/>
              <w:overflowPunct/>
              <w:topLinePunct w:val="0"/>
              <w:autoSpaceDE/>
              <w:autoSpaceDN/>
              <w:bidi w:val="0"/>
              <w:adjustRightInd/>
              <w:snapToGrid/>
              <w:spacing w:line="240" w:lineRule="auto"/>
              <w:jc w:val="left"/>
              <w:rPr>
                <w:rFonts w:asciiTheme="minorEastAsia" w:hAnsiTheme="minorEastAsia" w:cstheme="minorEastAsia"/>
                <w:kern w:val="0"/>
                <w:sz w:val="24"/>
              </w:rPr>
            </w:pPr>
            <w:r>
              <w:rPr>
                <w:rFonts w:hint="eastAsia" w:asciiTheme="minorEastAsia" w:hAnsiTheme="minorEastAsia" w:cstheme="minorEastAsia"/>
                <w:kern w:val="0"/>
                <w:sz w:val="24"/>
                <w:lang w:val="en-US" w:eastAsia="zh-CN"/>
              </w:rPr>
              <w:t>1.</w:t>
            </w:r>
            <w:r>
              <w:rPr>
                <w:rFonts w:hint="eastAsia" w:asciiTheme="minorEastAsia" w:hAnsiTheme="minorEastAsia" w:cstheme="minorEastAsia"/>
                <w:kern w:val="0"/>
                <w:sz w:val="24"/>
              </w:rPr>
              <w:t>在容器中的状态：无硬块，搅拌后呈均匀状</w:t>
            </w:r>
          </w:p>
          <w:p w14:paraId="6DCF95E6">
            <w:pPr>
              <w:pStyle w:val="61"/>
              <w:keepNext w:val="0"/>
              <w:keepLines w:val="0"/>
              <w:pageBreakBefore w:val="0"/>
              <w:numPr>
                <w:ilvl w:val="0"/>
                <w:numId w:val="0"/>
              </w:numPr>
              <w:kinsoku/>
              <w:wordWrap/>
              <w:overflowPunct/>
              <w:topLinePunct w:val="0"/>
              <w:autoSpaceDE/>
              <w:autoSpaceDN/>
              <w:bidi w:val="0"/>
              <w:adjustRightInd/>
              <w:snapToGrid/>
              <w:spacing w:line="240" w:lineRule="auto"/>
              <w:jc w:val="left"/>
              <w:rPr>
                <w:rFonts w:asciiTheme="minorEastAsia" w:hAnsiTheme="minorEastAsia" w:cstheme="minorEastAsia"/>
                <w:kern w:val="0"/>
                <w:sz w:val="24"/>
              </w:rPr>
            </w:pPr>
            <w:r>
              <w:rPr>
                <w:rFonts w:hint="eastAsia" w:asciiTheme="minorEastAsia" w:hAnsiTheme="minorEastAsia" w:cstheme="minorEastAsia"/>
                <w:kern w:val="0"/>
                <w:sz w:val="24"/>
                <w:lang w:val="en-US" w:eastAsia="zh-CN"/>
              </w:rPr>
              <w:t>2.</w:t>
            </w:r>
            <w:r>
              <w:rPr>
                <w:rFonts w:hint="eastAsia" w:asciiTheme="minorEastAsia" w:hAnsiTheme="minorEastAsia" w:cstheme="minorEastAsia"/>
                <w:kern w:val="0"/>
                <w:sz w:val="24"/>
              </w:rPr>
              <w:t>施工性：涂刷二道无障碍</w:t>
            </w:r>
          </w:p>
          <w:p w14:paraId="3F05C60E">
            <w:pPr>
              <w:pStyle w:val="61"/>
              <w:keepNext w:val="0"/>
              <w:keepLines w:val="0"/>
              <w:pageBreakBefore w:val="0"/>
              <w:numPr>
                <w:ilvl w:val="0"/>
                <w:numId w:val="0"/>
              </w:numPr>
              <w:kinsoku/>
              <w:wordWrap/>
              <w:overflowPunct/>
              <w:topLinePunct w:val="0"/>
              <w:autoSpaceDE/>
              <w:autoSpaceDN/>
              <w:bidi w:val="0"/>
              <w:adjustRightInd/>
              <w:snapToGrid/>
              <w:spacing w:line="240" w:lineRule="auto"/>
              <w:jc w:val="left"/>
              <w:rPr>
                <w:rFonts w:asciiTheme="minorEastAsia" w:hAnsiTheme="minorEastAsia" w:cstheme="minorEastAsia"/>
                <w:kern w:val="0"/>
                <w:sz w:val="24"/>
              </w:rPr>
            </w:pPr>
            <w:r>
              <w:rPr>
                <w:rFonts w:hint="eastAsia" w:asciiTheme="minorEastAsia" w:hAnsiTheme="minorEastAsia" w:cstheme="minorEastAsia"/>
                <w:kern w:val="0"/>
                <w:sz w:val="24"/>
                <w:lang w:val="en-US" w:eastAsia="zh-CN"/>
              </w:rPr>
              <w:t>3.</w:t>
            </w:r>
            <w:r>
              <w:rPr>
                <w:rFonts w:hint="eastAsia" w:asciiTheme="minorEastAsia" w:hAnsiTheme="minorEastAsia" w:cstheme="minorEastAsia"/>
                <w:kern w:val="0"/>
                <w:sz w:val="24"/>
              </w:rPr>
              <w:t>温度温度性：不变质</w:t>
            </w:r>
          </w:p>
          <w:p w14:paraId="088837D1">
            <w:pPr>
              <w:pStyle w:val="61"/>
              <w:keepNext w:val="0"/>
              <w:keepLines w:val="0"/>
              <w:pageBreakBefore w:val="0"/>
              <w:numPr>
                <w:ilvl w:val="0"/>
                <w:numId w:val="0"/>
              </w:numPr>
              <w:kinsoku/>
              <w:wordWrap/>
              <w:overflowPunct/>
              <w:topLinePunct w:val="0"/>
              <w:autoSpaceDE/>
              <w:autoSpaceDN/>
              <w:bidi w:val="0"/>
              <w:adjustRightInd/>
              <w:snapToGrid/>
              <w:spacing w:line="240" w:lineRule="auto"/>
              <w:jc w:val="left"/>
              <w:rPr>
                <w:rFonts w:asciiTheme="minorEastAsia" w:hAnsiTheme="minorEastAsia" w:cstheme="minorEastAsia"/>
                <w:kern w:val="0"/>
                <w:sz w:val="24"/>
              </w:rPr>
            </w:pPr>
            <w:r>
              <w:rPr>
                <w:rFonts w:hint="eastAsia" w:asciiTheme="minorEastAsia" w:hAnsiTheme="minorEastAsia" w:cstheme="minorEastAsia"/>
                <w:kern w:val="0"/>
                <w:sz w:val="24"/>
                <w:lang w:val="en-US" w:eastAsia="zh-CN"/>
              </w:rPr>
              <w:t>4.</w:t>
            </w:r>
            <w:r>
              <w:rPr>
                <w:rFonts w:hint="eastAsia" w:asciiTheme="minorEastAsia" w:hAnsiTheme="minorEastAsia" w:cstheme="minorEastAsia"/>
                <w:kern w:val="0"/>
                <w:sz w:val="24"/>
              </w:rPr>
              <w:t>低温成膜型：无异常</w:t>
            </w:r>
          </w:p>
          <w:p w14:paraId="182338F9">
            <w:pPr>
              <w:pStyle w:val="61"/>
              <w:keepNext w:val="0"/>
              <w:keepLines w:val="0"/>
              <w:pageBreakBefore w:val="0"/>
              <w:numPr>
                <w:ilvl w:val="0"/>
                <w:numId w:val="0"/>
              </w:numPr>
              <w:kinsoku/>
              <w:wordWrap/>
              <w:overflowPunct/>
              <w:topLinePunct w:val="0"/>
              <w:autoSpaceDE/>
              <w:autoSpaceDN/>
              <w:bidi w:val="0"/>
              <w:adjustRightInd/>
              <w:snapToGrid/>
              <w:spacing w:line="240" w:lineRule="auto"/>
              <w:jc w:val="left"/>
              <w:rPr>
                <w:rFonts w:asciiTheme="minorEastAsia" w:hAnsiTheme="minorEastAsia" w:cstheme="minorEastAsia"/>
                <w:kern w:val="0"/>
                <w:sz w:val="24"/>
              </w:rPr>
            </w:pPr>
            <w:r>
              <w:rPr>
                <w:rFonts w:hint="eastAsia" w:asciiTheme="minorEastAsia" w:hAnsiTheme="minorEastAsia" w:cstheme="minorEastAsia"/>
                <w:kern w:val="0"/>
                <w:sz w:val="24"/>
                <w:lang w:val="en-US" w:eastAsia="zh-CN"/>
              </w:rPr>
              <w:t>5.</w:t>
            </w:r>
            <w:r>
              <w:rPr>
                <w:rFonts w:hint="eastAsia" w:asciiTheme="minorEastAsia" w:hAnsiTheme="minorEastAsia" w:cstheme="minorEastAsia"/>
                <w:kern w:val="0"/>
                <w:sz w:val="24"/>
              </w:rPr>
              <w:t>涂抹外观：正常</w:t>
            </w:r>
          </w:p>
          <w:p w14:paraId="3D9DB32A">
            <w:pPr>
              <w:pStyle w:val="61"/>
              <w:keepNext w:val="0"/>
              <w:keepLines w:val="0"/>
              <w:pageBreakBefore w:val="0"/>
              <w:numPr>
                <w:ilvl w:val="0"/>
                <w:numId w:val="0"/>
              </w:numPr>
              <w:kinsoku/>
              <w:wordWrap/>
              <w:overflowPunct/>
              <w:topLinePunct w:val="0"/>
              <w:autoSpaceDE/>
              <w:autoSpaceDN/>
              <w:bidi w:val="0"/>
              <w:adjustRightInd/>
              <w:snapToGrid/>
              <w:spacing w:line="240" w:lineRule="auto"/>
              <w:jc w:val="left"/>
              <w:rPr>
                <w:rFonts w:asciiTheme="minorEastAsia" w:hAnsiTheme="minorEastAsia" w:cstheme="minorEastAsia"/>
                <w:kern w:val="0"/>
                <w:sz w:val="24"/>
              </w:rPr>
            </w:pPr>
            <w:r>
              <w:rPr>
                <w:rFonts w:hint="eastAsia" w:asciiTheme="minorEastAsia" w:hAnsiTheme="minorEastAsia" w:cstheme="minorEastAsia"/>
                <w:kern w:val="0"/>
                <w:sz w:val="24"/>
                <w:lang w:val="en-US" w:eastAsia="zh-CN"/>
              </w:rPr>
              <w:t>6.</w:t>
            </w:r>
            <w:r>
              <w:rPr>
                <w:rFonts w:hint="eastAsia" w:asciiTheme="minorEastAsia" w:hAnsiTheme="minorEastAsia" w:cstheme="minorEastAsia"/>
                <w:kern w:val="0"/>
                <w:sz w:val="24"/>
              </w:rPr>
              <w:t>干燥时间（表干）/h≤：2</w:t>
            </w:r>
          </w:p>
          <w:p w14:paraId="40EC89C0">
            <w:pPr>
              <w:pStyle w:val="61"/>
              <w:keepNext w:val="0"/>
              <w:keepLines w:val="0"/>
              <w:pageBreakBefore w:val="0"/>
              <w:numPr>
                <w:ilvl w:val="0"/>
                <w:numId w:val="0"/>
              </w:numPr>
              <w:kinsoku/>
              <w:wordWrap/>
              <w:overflowPunct/>
              <w:topLinePunct w:val="0"/>
              <w:autoSpaceDE/>
              <w:autoSpaceDN/>
              <w:bidi w:val="0"/>
              <w:adjustRightInd/>
              <w:snapToGrid/>
              <w:spacing w:line="240" w:lineRule="auto"/>
              <w:jc w:val="left"/>
              <w:rPr>
                <w:rFonts w:asciiTheme="minorEastAsia" w:hAnsiTheme="minorEastAsia" w:cstheme="minorEastAsia"/>
                <w:kern w:val="0"/>
                <w:sz w:val="24"/>
              </w:rPr>
            </w:pPr>
            <w:r>
              <w:rPr>
                <w:rFonts w:hint="eastAsia" w:asciiTheme="minorEastAsia" w:hAnsiTheme="minorEastAsia" w:cstheme="minorEastAsia"/>
                <w:kern w:val="0"/>
                <w:sz w:val="24"/>
                <w:lang w:val="en-US" w:eastAsia="zh-CN"/>
              </w:rPr>
              <w:t>7.</w:t>
            </w:r>
            <w:r>
              <w:rPr>
                <w:rFonts w:hint="eastAsia" w:asciiTheme="minorEastAsia" w:hAnsiTheme="minorEastAsia" w:cstheme="minorEastAsia"/>
                <w:kern w:val="0"/>
                <w:sz w:val="24"/>
              </w:rPr>
              <w:t>耐碱性（24h）：无异常</w:t>
            </w:r>
          </w:p>
          <w:p w14:paraId="41DEAA27">
            <w:pPr>
              <w:pStyle w:val="61"/>
              <w:keepNext w:val="0"/>
              <w:keepLines w:val="0"/>
              <w:pageBreakBefore w:val="0"/>
              <w:numPr>
                <w:ilvl w:val="0"/>
                <w:numId w:val="0"/>
              </w:numPr>
              <w:kinsoku/>
              <w:wordWrap/>
              <w:overflowPunct/>
              <w:topLinePunct w:val="0"/>
              <w:autoSpaceDE/>
              <w:autoSpaceDN/>
              <w:bidi w:val="0"/>
              <w:adjustRightInd/>
              <w:snapToGrid/>
              <w:spacing w:line="240" w:lineRule="auto"/>
              <w:jc w:val="left"/>
              <w:rPr>
                <w:rFonts w:asciiTheme="minorEastAsia" w:hAnsiTheme="minorEastAsia" w:cstheme="minorEastAsia"/>
                <w:kern w:val="0"/>
                <w:sz w:val="24"/>
              </w:rPr>
            </w:pPr>
            <w:r>
              <w:rPr>
                <w:rFonts w:hint="eastAsia" w:asciiTheme="minorEastAsia" w:hAnsiTheme="minorEastAsia" w:cstheme="minorEastAsia"/>
                <w:kern w:val="0"/>
                <w:sz w:val="24"/>
                <w:lang w:val="en-US" w:eastAsia="zh-CN"/>
              </w:rPr>
              <w:t>8.</w:t>
            </w:r>
            <w:r>
              <w:rPr>
                <w:rFonts w:hint="eastAsia" w:asciiTheme="minorEastAsia" w:hAnsiTheme="minorEastAsia" w:cstheme="minorEastAsia"/>
                <w:kern w:val="0"/>
                <w:sz w:val="24"/>
              </w:rPr>
              <w:t>初期干燥抗裂性：无裂纹</w:t>
            </w:r>
          </w:p>
        </w:tc>
        <w:tc>
          <w:tcPr>
            <w:tcW w:w="698" w:type="dxa"/>
            <w:shd w:val="clear" w:color="auto" w:fill="auto"/>
            <w:vAlign w:val="center"/>
          </w:tcPr>
          <w:p w14:paraId="021A34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w:t>
            </w:r>
          </w:p>
        </w:tc>
        <w:tc>
          <w:tcPr>
            <w:tcW w:w="843" w:type="dxa"/>
            <w:shd w:val="clear" w:color="auto" w:fill="auto"/>
            <w:vAlign w:val="center"/>
          </w:tcPr>
          <w:p w14:paraId="3D7D61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6350</w:t>
            </w:r>
          </w:p>
        </w:tc>
        <w:tc>
          <w:tcPr>
            <w:tcW w:w="698" w:type="dxa"/>
            <w:vAlign w:val="center"/>
          </w:tcPr>
          <w:p w14:paraId="74DBCD71">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65B1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3CE46846">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8</w:t>
            </w:r>
          </w:p>
        </w:tc>
        <w:tc>
          <w:tcPr>
            <w:tcW w:w="1400" w:type="dxa"/>
            <w:shd w:val="clear" w:color="auto" w:fill="auto"/>
            <w:vAlign w:val="center"/>
          </w:tcPr>
          <w:p w14:paraId="085A411B">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lang w:bidi="ar"/>
              </w:rPr>
              <w:t>窗户防护系统升级</w:t>
            </w:r>
          </w:p>
        </w:tc>
        <w:tc>
          <w:tcPr>
            <w:tcW w:w="9766" w:type="dxa"/>
            <w:vAlign w:val="center"/>
          </w:tcPr>
          <w:p w14:paraId="59D75DC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知行楼音乐教室、舞蹈教室、美术教室及音乐社团走廊教室。拆除原有窗户及垃圾清运。</w:t>
            </w:r>
          </w:p>
          <w:p w14:paraId="69E65F53">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窗户防护升级，共计：402平方，拆除窗户共计120个，因每个窗户的尺寸不一致，测量以平方数为准。单位为平方不为个。</w:t>
            </w:r>
          </w:p>
        </w:tc>
        <w:tc>
          <w:tcPr>
            <w:tcW w:w="698" w:type="dxa"/>
            <w:shd w:val="clear" w:color="auto" w:fill="auto"/>
            <w:vAlign w:val="center"/>
          </w:tcPr>
          <w:p w14:paraId="4E4523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w:t>
            </w:r>
          </w:p>
        </w:tc>
        <w:tc>
          <w:tcPr>
            <w:tcW w:w="843" w:type="dxa"/>
            <w:shd w:val="clear" w:color="auto" w:fill="auto"/>
            <w:vAlign w:val="center"/>
          </w:tcPr>
          <w:p w14:paraId="5D3849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170</w:t>
            </w:r>
          </w:p>
        </w:tc>
        <w:tc>
          <w:tcPr>
            <w:tcW w:w="698" w:type="dxa"/>
            <w:vAlign w:val="center"/>
          </w:tcPr>
          <w:p w14:paraId="32C96DF1">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3A06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56F10406">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9</w:t>
            </w:r>
          </w:p>
        </w:tc>
        <w:tc>
          <w:tcPr>
            <w:tcW w:w="1400" w:type="dxa"/>
            <w:shd w:val="clear" w:color="auto" w:fill="auto"/>
            <w:vAlign w:val="center"/>
          </w:tcPr>
          <w:p w14:paraId="3484F80A">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lang w:bidi="ar"/>
              </w:rPr>
              <w:t>公共卫生空间环境提升</w:t>
            </w:r>
          </w:p>
        </w:tc>
        <w:tc>
          <w:tcPr>
            <w:tcW w:w="9766" w:type="dxa"/>
            <w:vAlign w:val="center"/>
          </w:tcPr>
          <w:p w14:paraId="305CC38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共计4层楼，每层楼男女各一间，共计260各平方，卫生间隔断为每层楼男女各4个，小便池每层楼4个，公共洗手台，每层楼1个，共计4个，拖把池，每层楼1个，共计4个。</w:t>
            </w:r>
          </w:p>
          <w:p w14:paraId="1E809F7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一、公共卫生间区域顶部处理</w:t>
            </w:r>
          </w:p>
          <w:p w14:paraId="2BE5BAF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1、要求具有防水、防腐、抗老化材料。</w:t>
            </w:r>
          </w:p>
          <w:p w14:paraId="6717363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2、采用高强度装饰扣板，色彩、样式。</w:t>
            </w:r>
          </w:p>
          <w:p w14:paraId="416F925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3、要求与墙体材料匹配，整体协调、美观。</w:t>
            </w:r>
          </w:p>
          <w:p w14:paraId="61CE883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4、需要提供3种不同颜色供需方选择</w:t>
            </w:r>
          </w:p>
          <w:p w14:paraId="62FC067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二、卫生间隔断</w:t>
            </w:r>
          </w:p>
          <w:p w14:paraId="158D0E9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1、板材厚度：常规。</w:t>
            </w:r>
          </w:p>
          <w:p w14:paraId="4226171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2、防水、防潮。</w:t>
            </w:r>
          </w:p>
          <w:p w14:paraId="408A348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3、抗酸碱：在正常使用下2年内不受腐蚀。</w:t>
            </w:r>
          </w:p>
          <w:p w14:paraId="7712F3C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4、表面耐磨耐刮性：在正常使用下2年内无刮花。</w:t>
            </w:r>
          </w:p>
          <w:p w14:paraId="61B56D4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5、材料应有良好的绝缘性、不带静电、不吸尘、与人体接触无害。</w:t>
            </w:r>
          </w:p>
          <w:p w14:paraId="0116C6D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6、所用板材需达到国家防火要求、遇火时不产生有毒有害气体。</w:t>
            </w:r>
          </w:p>
          <w:p w14:paraId="787F034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三、小便池</w:t>
            </w:r>
          </w:p>
          <w:p w14:paraId="141C8AD7">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1、结构应稳定并具有适当的排泄口和防异味的设计。</w:t>
            </w:r>
          </w:p>
          <w:p w14:paraId="2C43930D">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2、尺寸应符合相关技术要求。</w:t>
            </w:r>
          </w:p>
          <w:p w14:paraId="1781801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3、外观应美观大方，并应设计于易清洁和维护。</w:t>
            </w:r>
          </w:p>
          <w:p w14:paraId="309D58C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4、应具有适当的重量和支撑力以确保其安全稳定。</w:t>
            </w:r>
          </w:p>
          <w:p w14:paraId="40CF110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5、需要提供3种不同样式供需方选择</w:t>
            </w:r>
          </w:p>
          <w:p w14:paraId="3185A35E">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四、公共洗手台</w:t>
            </w:r>
          </w:p>
          <w:p w14:paraId="48DFC9C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1、台面材料具备防腐蚀、防水、易清洁的特性</w:t>
            </w:r>
          </w:p>
          <w:p w14:paraId="6518D091">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2、洗手台与地面要求保留一定的间隙，方便清洁和排水。</w:t>
            </w:r>
          </w:p>
          <w:p w14:paraId="160A2319">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3、洗手台安装位置位置应避免与其他设备或者结构物相互影响，确保使用的便利性及安全性</w:t>
            </w:r>
          </w:p>
          <w:p w14:paraId="5FBC41E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4、洗手台要求配备独立的排水系统，确保排水通畅，避免水流外溢。</w:t>
            </w:r>
          </w:p>
          <w:p w14:paraId="1AB8802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五、拖把池</w:t>
            </w:r>
          </w:p>
          <w:p w14:paraId="5AF218E7">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1、需方便清洗拖把及消毒，应设计易于清洗拖把的结构。</w:t>
            </w:r>
          </w:p>
          <w:p w14:paraId="22CD573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2、要求设计美观实用，结构合理，使用方便，不占用过多空间避免浪费水资源。</w:t>
            </w:r>
          </w:p>
          <w:p w14:paraId="7A7B2D88">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3、需要提供3种不同形状供需方选择</w:t>
            </w:r>
          </w:p>
          <w:p w14:paraId="2FB2E190">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六、蹲便水箱</w:t>
            </w:r>
          </w:p>
          <w:p w14:paraId="23C1933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1、要求边缘应平整，线条流畅，不允许有毛刺、缺损。</w:t>
            </w:r>
          </w:p>
          <w:p w14:paraId="2A24D4C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2、要求隐蔽面应平整，光滑、无缺损。</w:t>
            </w:r>
          </w:p>
          <w:p w14:paraId="053B65D4">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3、需有3种不同样式供校方选择</w:t>
            </w:r>
          </w:p>
          <w:p w14:paraId="1DADD1EC">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七、原有设备的拆除优化及垃圾清运。</w:t>
            </w:r>
          </w:p>
        </w:tc>
        <w:tc>
          <w:tcPr>
            <w:tcW w:w="698" w:type="dxa"/>
            <w:shd w:val="clear" w:color="auto" w:fill="auto"/>
            <w:vAlign w:val="center"/>
          </w:tcPr>
          <w:p w14:paraId="12D361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项</w:t>
            </w:r>
          </w:p>
        </w:tc>
        <w:tc>
          <w:tcPr>
            <w:tcW w:w="843" w:type="dxa"/>
            <w:shd w:val="clear" w:color="auto" w:fill="auto"/>
            <w:vAlign w:val="center"/>
          </w:tcPr>
          <w:p w14:paraId="78C39F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4</w:t>
            </w:r>
          </w:p>
        </w:tc>
        <w:tc>
          <w:tcPr>
            <w:tcW w:w="698" w:type="dxa"/>
            <w:vAlign w:val="center"/>
          </w:tcPr>
          <w:p w14:paraId="2E82F4E3">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r w14:paraId="5674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694B2862">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10</w:t>
            </w:r>
          </w:p>
        </w:tc>
        <w:tc>
          <w:tcPr>
            <w:tcW w:w="1400" w:type="dxa"/>
            <w:shd w:val="clear" w:color="auto" w:fill="auto"/>
            <w:vAlign w:val="center"/>
          </w:tcPr>
          <w:p w14:paraId="09AE52E4">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color w:val="000000"/>
                <w:kern w:val="0"/>
                <w:sz w:val="24"/>
                <w:szCs w:val="24"/>
              </w:rPr>
            </w:pPr>
            <w:bookmarkStart w:id="133" w:name="OLE_LINK2"/>
            <w:bookmarkStart w:id="134" w:name="OLE_LINK1"/>
            <w:r>
              <w:rPr>
                <w:rFonts w:hint="eastAsia" w:asciiTheme="minorEastAsia" w:hAnsiTheme="minorEastAsia" w:cstheme="minorEastAsia"/>
                <w:color w:val="000000"/>
                <w:sz w:val="24"/>
                <w:szCs w:val="24"/>
                <w:lang w:bidi="ar"/>
              </w:rPr>
              <w:t>教室地面系统局部处理</w:t>
            </w:r>
            <w:bookmarkEnd w:id="133"/>
            <w:bookmarkEnd w:id="134"/>
          </w:p>
        </w:tc>
        <w:tc>
          <w:tcPr>
            <w:tcW w:w="9766" w:type="dxa"/>
            <w:vAlign w:val="center"/>
          </w:tcPr>
          <w:p w14:paraId="414B54B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共计：知行楼一至四层教室地面维，共计40个平方。</w:t>
            </w:r>
          </w:p>
          <w:p w14:paraId="387CFB0B">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技术要求</w:t>
            </w:r>
          </w:p>
          <w:p w14:paraId="73DE310A">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要求修复与优化前需将破损的区域进行拆除修复及清理。</w:t>
            </w:r>
          </w:p>
          <w:p w14:paraId="0EDE0072">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要求与原地面地板相匹配接近的地板，确保修复后颜色和纹理一致。</w:t>
            </w:r>
          </w:p>
          <w:p w14:paraId="0EDE40A5">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要求修复后将修复区域与原区域中间无明显缝隙，平整一致。</w:t>
            </w:r>
          </w:p>
        </w:tc>
        <w:tc>
          <w:tcPr>
            <w:tcW w:w="698" w:type="dxa"/>
            <w:shd w:val="clear" w:color="auto" w:fill="auto"/>
            <w:vAlign w:val="center"/>
          </w:tcPr>
          <w:p w14:paraId="3EBB26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项</w:t>
            </w:r>
          </w:p>
        </w:tc>
        <w:tc>
          <w:tcPr>
            <w:tcW w:w="843" w:type="dxa"/>
            <w:shd w:val="clear" w:color="auto" w:fill="auto"/>
            <w:vAlign w:val="center"/>
          </w:tcPr>
          <w:p w14:paraId="669462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1</w:t>
            </w:r>
          </w:p>
        </w:tc>
        <w:tc>
          <w:tcPr>
            <w:tcW w:w="698" w:type="dxa"/>
            <w:vAlign w:val="center"/>
          </w:tcPr>
          <w:p w14:paraId="03749A58">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cstheme="minorEastAsia"/>
                <w:kern w:val="0"/>
                <w:sz w:val="24"/>
                <w:szCs w:val="24"/>
              </w:rPr>
            </w:pPr>
          </w:p>
        </w:tc>
      </w:tr>
    </w:tbl>
    <w:p w14:paraId="4D9BA2E2">
      <w:pPr>
        <w:ind w:firstLine="420"/>
        <w:rPr>
          <w:rFonts w:asciiTheme="minorEastAsia" w:hAnsiTheme="minorEastAsia"/>
        </w:rPr>
      </w:pPr>
    </w:p>
    <w:p w14:paraId="2E2CBA8D">
      <w:pPr>
        <w:ind w:firstLine="422"/>
        <w:rPr>
          <w:rFonts w:ascii="宋体" w:hAnsi="宋体" w:eastAsia="宋体" w:cs="宋体"/>
          <w:b/>
          <w:bCs/>
        </w:rPr>
      </w:pPr>
    </w:p>
    <w:p w14:paraId="469F13BE">
      <w:pPr>
        <w:pStyle w:val="5"/>
        <w:ind w:firstLine="643"/>
        <w:rPr>
          <w:color w:val="auto"/>
        </w:rPr>
      </w:pPr>
    </w:p>
    <w:p w14:paraId="084DB9C5">
      <w:pPr>
        <w:ind w:firstLine="420"/>
        <w:rPr>
          <w:rFonts w:ascii="宋体" w:hAnsi="宋体" w:eastAsia="宋体" w:cs="宋体"/>
        </w:rPr>
        <w:sectPr>
          <w:pgSz w:w="16838" w:h="11906" w:orient="landscape"/>
          <w:pgMar w:top="1418" w:right="1701" w:bottom="1418" w:left="1701" w:header="851" w:footer="992" w:gutter="0"/>
          <w:cols w:space="425" w:num="1"/>
          <w:docGrid w:type="lines" w:linePitch="312" w:charSpace="0"/>
        </w:sectPr>
      </w:pPr>
    </w:p>
    <w:p w14:paraId="60F153FE">
      <w:pPr>
        <w:ind w:firstLine="0" w:firstLineChars="0"/>
        <w:rPr>
          <w:rFonts w:ascii="宋体" w:hAnsi="宋体" w:eastAsia="宋体" w:cs="宋体"/>
        </w:rPr>
      </w:pPr>
    </w:p>
    <w:p w14:paraId="78684FA4">
      <w:pPr>
        <w:pStyle w:val="25"/>
        <w:spacing w:line="400" w:lineRule="exact"/>
        <w:ind w:firstLine="0" w:firstLineChars="0"/>
        <w:rPr>
          <w:rFonts w:ascii="宋体" w:hAnsi="宋体" w:eastAsia="宋体" w:cs="宋体"/>
        </w:rPr>
      </w:pPr>
      <w:bookmarkStart w:id="135" w:name="_Toc10216"/>
      <w:r>
        <w:rPr>
          <w:rFonts w:hint="eastAsia" w:ascii="宋体" w:hAnsi="宋体" w:eastAsia="宋体" w:cs="宋体"/>
        </w:rPr>
        <w:t>第六章投标文件格式</w:t>
      </w:r>
      <w:bookmarkEnd w:id="135"/>
    </w:p>
    <w:p w14:paraId="5335F771">
      <w:pPr>
        <w:spacing w:line="400" w:lineRule="exact"/>
        <w:ind w:firstLine="640"/>
        <w:jc w:val="center"/>
        <w:rPr>
          <w:rFonts w:ascii="宋体" w:hAnsi="宋体" w:eastAsia="宋体" w:cs="宋体"/>
          <w:sz w:val="32"/>
          <w:szCs w:val="32"/>
        </w:rPr>
      </w:pPr>
    </w:p>
    <w:p w14:paraId="0BE8E8C4">
      <w:pPr>
        <w:pStyle w:val="2"/>
        <w:spacing w:line="400" w:lineRule="exact"/>
        <w:ind w:firstLine="4080" w:firstLineChars="1700"/>
        <w:rPr>
          <w:rFonts w:ascii="宋体" w:hAnsi="宋体" w:eastAsia="宋体" w:cs="宋体"/>
        </w:rPr>
      </w:pPr>
      <w:r>
        <w:rPr>
          <w:rFonts w:hint="eastAsia" w:ascii="宋体" w:hAnsi="宋体" w:eastAsia="宋体" w:cs="宋体"/>
        </w:rPr>
        <w:t>（封面格式）</w:t>
      </w:r>
    </w:p>
    <w:p w14:paraId="4B1A2B57">
      <w:pPr>
        <w:pStyle w:val="2"/>
        <w:spacing w:line="400" w:lineRule="exact"/>
        <w:ind w:firstLine="240"/>
        <w:rPr>
          <w:rFonts w:ascii="宋体" w:hAnsi="宋体" w:eastAsia="宋体" w:cs="宋体"/>
        </w:rPr>
      </w:pPr>
    </w:p>
    <w:p w14:paraId="5BB59A6F">
      <w:pPr>
        <w:pStyle w:val="2"/>
        <w:spacing w:line="400" w:lineRule="exact"/>
        <w:ind w:firstLine="280"/>
        <w:jc w:val="center"/>
        <w:rPr>
          <w:rFonts w:ascii="宋体" w:hAnsi="宋体" w:eastAsia="宋体" w:cs="宋体"/>
          <w:sz w:val="28"/>
          <w:szCs w:val="28"/>
        </w:rPr>
      </w:pPr>
    </w:p>
    <w:p w14:paraId="2748C1BF">
      <w:pPr>
        <w:spacing w:line="400" w:lineRule="exact"/>
        <w:ind w:firstLine="640"/>
        <w:jc w:val="center"/>
        <w:rPr>
          <w:rFonts w:ascii="宋体" w:hAnsi="宋体" w:eastAsia="宋体" w:cs="宋体"/>
          <w:kern w:val="0"/>
          <w:sz w:val="32"/>
          <w:szCs w:val="32"/>
          <w:u w:val="single"/>
        </w:rPr>
      </w:pPr>
    </w:p>
    <w:p w14:paraId="672EA83B">
      <w:pPr>
        <w:spacing w:line="400" w:lineRule="exact"/>
        <w:ind w:firstLine="640"/>
        <w:jc w:val="center"/>
        <w:rPr>
          <w:rFonts w:ascii="宋体" w:hAnsi="宋体" w:eastAsia="宋体" w:cs="宋体"/>
          <w:kern w:val="0"/>
          <w:sz w:val="32"/>
          <w:szCs w:val="32"/>
        </w:rPr>
      </w:pP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（项目名称及包段）</w:t>
      </w:r>
    </w:p>
    <w:p w14:paraId="2119A46D">
      <w:pPr>
        <w:pStyle w:val="64"/>
        <w:ind w:firstLine="880"/>
        <w:rPr>
          <w:rFonts w:ascii="宋体" w:hAnsi="宋体" w:eastAsia="宋体" w:cs="宋体"/>
        </w:rPr>
      </w:pPr>
    </w:p>
    <w:p w14:paraId="6441F10B">
      <w:pPr>
        <w:spacing w:before="312" w:beforeLines="100" w:line="400" w:lineRule="exact"/>
        <w:ind w:firstLine="880"/>
        <w:jc w:val="center"/>
        <w:rPr>
          <w:rFonts w:ascii="宋体" w:hAnsi="宋体" w:eastAsia="宋体" w:cs="宋体"/>
          <w:sz w:val="44"/>
          <w:szCs w:val="44"/>
        </w:rPr>
      </w:pPr>
    </w:p>
    <w:p w14:paraId="392B0F9F">
      <w:pPr>
        <w:spacing w:before="312" w:beforeLines="100" w:line="400" w:lineRule="exact"/>
        <w:ind w:firstLine="964"/>
        <w:jc w:val="center"/>
        <w:rPr>
          <w:rFonts w:ascii="宋体" w:hAnsi="宋体" w:eastAsia="宋体" w:cs="宋体"/>
          <w:b/>
          <w:bCs/>
          <w:sz w:val="48"/>
          <w:szCs w:val="48"/>
        </w:rPr>
      </w:pPr>
      <w:r>
        <w:rPr>
          <w:rFonts w:hint="eastAsia" w:ascii="宋体" w:hAnsi="宋体" w:eastAsia="宋体" w:cs="宋体"/>
          <w:b/>
          <w:bCs/>
          <w:sz w:val="48"/>
          <w:szCs w:val="48"/>
        </w:rPr>
        <w:t>投  标  文  件</w:t>
      </w:r>
    </w:p>
    <w:p w14:paraId="4CB06738">
      <w:pPr>
        <w:spacing w:line="400" w:lineRule="exact"/>
        <w:ind w:firstLine="640"/>
        <w:jc w:val="center"/>
        <w:rPr>
          <w:rFonts w:ascii="宋体" w:hAnsi="宋体" w:eastAsia="宋体" w:cs="宋体"/>
          <w:sz w:val="32"/>
          <w:szCs w:val="32"/>
        </w:rPr>
      </w:pPr>
    </w:p>
    <w:p w14:paraId="318F661D">
      <w:pPr>
        <w:spacing w:line="400" w:lineRule="exact"/>
        <w:ind w:firstLine="640"/>
        <w:jc w:val="center"/>
        <w:rPr>
          <w:rFonts w:ascii="宋体" w:hAnsi="宋体" w:eastAsia="宋体" w:cs="宋体"/>
          <w:sz w:val="32"/>
          <w:szCs w:val="32"/>
        </w:rPr>
      </w:pPr>
    </w:p>
    <w:p w14:paraId="759AA882">
      <w:pPr>
        <w:spacing w:line="400" w:lineRule="exact"/>
        <w:ind w:firstLine="640"/>
        <w:jc w:val="center"/>
        <w:rPr>
          <w:rFonts w:ascii="宋体" w:hAnsi="宋体" w:eastAsia="宋体" w:cs="宋体"/>
          <w:sz w:val="32"/>
          <w:szCs w:val="32"/>
        </w:rPr>
      </w:pPr>
    </w:p>
    <w:p w14:paraId="7FE0B058">
      <w:pPr>
        <w:spacing w:line="400" w:lineRule="exact"/>
        <w:ind w:firstLine="640"/>
        <w:jc w:val="center"/>
        <w:rPr>
          <w:rFonts w:ascii="宋体" w:hAnsi="宋体" w:eastAsia="宋体" w:cs="宋体"/>
          <w:sz w:val="32"/>
          <w:szCs w:val="32"/>
        </w:rPr>
      </w:pPr>
    </w:p>
    <w:p w14:paraId="5F8CF923">
      <w:pPr>
        <w:spacing w:line="400" w:lineRule="exact"/>
        <w:ind w:firstLine="640"/>
        <w:jc w:val="center"/>
        <w:rPr>
          <w:rFonts w:ascii="宋体" w:hAnsi="宋体" w:eastAsia="宋体" w:cs="宋体"/>
          <w:sz w:val="32"/>
          <w:szCs w:val="32"/>
        </w:rPr>
      </w:pPr>
    </w:p>
    <w:p w14:paraId="55039FFB">
      <w:pPr>
        <w:spacing w:line="400" w:lineRule="exact"/>
        <w:ind w:firstLine="640"/>
        <w:jc w:val="center"/>
        <w:rPr>
          <w:rFonts w:ascii="宋体" w:hAnsi="宋体" w:eastAsia="宋体" w:cs="宋体"/>
          <w:sz w:val="32"/>
          <w:szCs w:val="32"/>
        </w:rPr>
      </w:pPr>
    </w:p>
    <w:p w14:paraId="1B92C6DD">
      <w:pPr>
        <w:spacing w:line="400" w:lineRule="exact"/>
        <w:ind w:firstLine="640"/>
        <w:jc w:val="center"/>
        <w:rPr>
          <w:rFonts w:ascii="宋体" w:hAnsi="宋体" w:eastAsia="宋体" w:cs="宋体"/>
          <w:sz w:val="32"/>
          <w:szCs w:val="32"/>
        </w:rPr>
      </w:pPr>
    </w:p>
    <w:p w14:paraId="1EDDC6E2">
      <w:pPr>
        <w:spacing w:line="400" w:lineRule="exact"/>
        <w:ind w:firstLine="640"/>
        <w:jc w:val="center"/>
        <w:rPr>
          <w:rFonts w:ascii="宋体" w:hAnsi="宋体" w:eastAsia="宋体" w:cs="宋体"/>
          <w:sz w:val="32"/>
          <w:szCs w:val="32"/>
        </w:rPr>
      </w:pPr>
    </w:p>
    <w:p w14:paraId="3183B4A5">
      <w:pPr>
        <w:spacing w:line="400" w:lineRule="exact"/>
        <w:ind w:firstLine="640"/>
        <w:rPr>
          <w:rFonts w:ascii="宋体" w:hAnsi="宋体" w:eastAsia="宋体" w:cs="宋体"/>
          <w:sz w:val="32"/>
          <w:szCs w:val="32"/>
        </w:rPr>
      </w:pPr>
    </w:p>
    <w:p w14:paraId="765E1B34">
      <w:pPr>
        <w:ind w:firstLine="420"/>
      </w:pPr>
    </w:p>
    <w:p w14:paraId="5A97FD27">
      <w:pPr>
        <w:pStyle w:val="4"/>
        <w:ind w:firstLine="420"/>
      </w:pPr>
    </w:p>
    <w:p w14:paraId="10F3EE9F">
      <w:pPr>
        <w:ind w:firstLine="420"/>
      </w:pPr>
    </w:p>
    <w:p w14:paraId="74790972">
      <w:pPr>
        <w:spacing w:line="400" w:lineRule="exact"/>
        <w:ind w:firstLine="640"/>
        <w:jc w:val="center"/>
        <w:rPr>
          <w:rFonts w:ascii="宋体" w:hAnsi="宋体" w:eastAsia="宋体" w:cs="宋体"/>
          <w:sz w:val="32"/>
          <w:szCs w:val="32"/>
        </w:rPr>
      </w:pPr>
    </w:p>
    <w:p w14:paraId="56F6F10D">
      <w:pPr>
        <w:spacing w:line="400" w:lineRule="exact"/>
        <w:ind w:firstLine="0" w:firstLineChars="0"/>
        <w:rPr>
          <w:rFonts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（单位电子签章）</w:t>
      </w:r>
    </w:p>
    <w:p w14:paraId="66679DEC">
      <w:pPr>
        <w:spacing w:line="400" w:lineRule="exact"/>
        <w:ind w:firstLine="0" w:firstLineChars="0"/>
        <w:rPr>
          <w:rFonts w:ascii="宋体" w:hAnsi="宋体" w:eastAsia="宋体" w:cs="宋体"/>
          <w:sz w:val="28"/>
          <w:szCs w:val="28"/>
        </w:rPr>
      </w:pPr>
      <w:r>
        <w:rPr>
          <w:rFonts w:hint="eastAsia" w:ascii="宋体" w:hAnsi="宋体" w:eastAsia="宋体" w:cs="宋体"/>
          <w:sz w:val="28"/>
          <w:szCs w:val="28"/>
        </w:rPr>
        <w:t>法定代表人或其委托代理人：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（电子签名或盖章）</w:t>
      </w:r>
    </w:p>
    <w:p w14:paraId="0F2D71BF">
      <w:pPr>
        <w:spacing w:line="400" w:lineRule="exact"/>
        <w:ind w:firstLine="1680" w:firstLineChars="600"/>
        <w:rPr>
          <w:rFonts w:ascii="宋体" w:hAnsi="宋体" w:eastAsia="宋体" w:cs="宋体"/>
          <w:sz w:val="28"/>
          <w:szCs w:val="28"/>
        </w:rPr>
      </w:pPr>
      <w:r>
        <w:rPr>
          <w:rFonts w:hint="eastAsia" w:ascii="宋体" w:hAnsi="宋体" w:eastAsia="宋体" w:cs="宋体"/>
          <w:sz w:val="28"/>
          <w:szCs w:val="28"/>
          <w:u w:val="single"/>
        </w:rPr>
        <w:t xml:space="preserve">         </w:t>
      </w:r>
      <w:bookmarkStart w:id="136" w:name="_Toc31101"/>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月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End w:id="136"/>
    </w:p>
    <w:p w14:paraId="238A3E5A">
      <w:pPr>
        <w:ind w:firstLine="420"/>
      </w:pPr>
      <w:bookmarkStart w:id="137" w:name="_Toc16464"/>
      <w:bookmarkStart w:id="138" w:name="_Toc472429341"/>
      <w:bookmarkStart w:id="139" w:name="_Toc472337696"/>
      <w:r>
        <w:rPr>
          <w:rFonts w:hint="eastAsia"/>
        </w:rPr>
        <w:br w:type="page"/>
      </w:r>
    </w:p>
    <w:p w14:paraId="3E54772A">
      <w:pPr>
        <w:ind w:firstLine="0" w:firstLineChars="0"/>
        <w:jc w:val="center"/>
        <w:rPr>
          <w:sz w:val="24"/>
          <w:szCs w:val="28"/>
        </w:rPr>
      </w:pPr>
      <w:r>
        <w:rPr>
          <w:rFonts w:hint="eastAsia"/>
          <w:sz w:val="24"/>
          <w:szCs w:val="28"/>
        </w:rPr>
        <w:t>目    录</w:t>
      </w:r>
      <w:bookmarkEnd w:id="137"/>
    </w:p>
    <w:bookmarkEnd w:id="138"/>
    <w:bookmarkEnd w:id="139"/>
    <w:p w14:paraId="6DA45684">
      <w:pPr>
        <w:ind w:firstLine="420"/>
      </w:pPr>
      <w:r>
        <w:rPr>
          <w:rFonts w:hint="eastAsia"/>
        </w:rPr>
        <w:t xml:space="preserve">一、投标函及投标函附录 </w:t>
      </w:r>
    </w:p>
    <w:p w14:paraId="17AF9429">
      <w:pPr>
        <w:ind w:firstLine="420"/>
      </w:pPr>
      <w:r>
        <w:rPr>
          <w:rFonts w:hint="eastAsia"/>
        </w:rPr>
        <w:t>二、法定代表人（单位负责人）身份证明（适用于无委托代理人的情况）</w:t>
      </w:r>
    </w:p>
    <w:p w14:paraId="70F58959">
      <w:pPr>
        <w:ind w:firstLine="420"/>
      </w:pPr>
      <w:r>
        <w:rPr>
          <w:rFonts w:hint="eastAsia"/>
        </w:rPr>
        <w:t xml:space="preserve">三、授权委托书（适用于有委托代理人的情况） </w:t>
      </w:r>
    </w:p>
    <w:p w14:paraId="610B970B">
      <w:pPr>
        <w:ind w:firstLine="420"/>
      </w:pPr>
      <w:r>
        <w:rPr>
          <w:rFonts w:hint="eastAsia"/>
        </w:rPr>
        <w:t>四、分项报价表</w:t>
      </w:r>
    </w:p>
    <w:p w14:paraId="3F23CFB2">
      <w:pPr>
        <w:ind w:firstLine="420"/>
      </w:pPr>
      <w:r>
        <w:rPr>
          <w:rFonts w:hint="eastAsia"/>
        </w:rPr>
        <w:t>五、商务及技术偏差表</w:t>
      </w:r>
    </w:p>
    <w:p w14:paraId="1BBF920B">
      <w:pPr>
        <w:ind w:firstLine="420"/>
      </w:pPr>
      <w:r>
        <w:rPr>
          <w:rFonts w:hint="eastAsia"/>
        </w:rPr>
        <w:t>六、技术方案</w:t>
      </w:r>
    </w:p>
    <w:p w14:paraId="76AC6262">
      <w:pPr>
        <w:ind w:firstLine="420"/>
      </w:pPr>
      <w:r>
        <w:rPr>
          <w:rFonts w:hint="eastAsia"/>
        </w:rPr>
        <w:t>七、售后服务方案</w:t>
      </w:r>
    </w:p>
    <w:p w14:paraId="38BC943C">
      <w:pPr>
        <w:ind w:firstLine="420"/>
      </w:pPr>
      <w:r>
        <w:rPr>
          <w:rFonts w:hint="eastAsia"/>
        </w:rPr>
        <w:t>八、资格证明材料</w:t>
      </w:r>
    </w:p>
    <w:p w14:paraId="4D839346">
      <w:pPr>
        <w:ind w:firstLine="420"/>
      </w:pPr>
      <w:r>
        <w:rPr>
          <w:rFonts w:hint="eastAsia"/>
        </w:rPr>
        <w:t>九、中小企业声明函(如有)</w:t>
      </w:r>
    </w:p>
    <w:p w14:paraId="11A22980">
      <w:pPr>
        <w:ind w:firstLine="420"/>
      </w:pPr>
      <w:r>
        <w:rPr>
          <w:rFonts w:hint="eastAsia"/>
        </w:rPr>
        <w:t>十、残疾人福利性单位声明函(如有)（非专门面向中小企业适用）</w:t>
      </w:r>
    </w:p>
    <w:p w14:paraId="5F55FFFC">
      <w:pPr>
        <w:ind w:firstLine="420"/>
      </w:pPr>
      <w:r>
        <w:rPr>
          <w:rFonts w:hint="eastAsia"/>
        </w:rPr>
        <w:t>十一、监狱企业证明文件（如有）（非专门面向中小企业适用）</w:t>
      </w:r>
    </w:p>
    <w:p w14:paraId="02CD1415">
      <w:pPr>
        <w:ind w:firstLine="420"/>
      </w:pPr>
      <w:r>
        <w:rPr>
          <w:rFonts w:hint="eastAsia"/>
        </w:rPr>
        <w:t>十二、反商业贿赂承诺书</w:t>
      </w:r>
    </w:p>
    <w:p w14:paraId="6E7C7CB4">
      <w:pPr>
        <w:ind w:firstLine="420"/>
      </w:pPr>
      <w:r>
        <w:rPr>
          <w:rFonts w:hint="eastAsia"/>
        </w:rPr>
        <w:t>十三、其他材料</w:t>
      </w:r>
    </w:p>
    <w:p w14:paraId="6E8BF935">
      <w:pPr>
        <w:ind w:firstLine="420"/>
      </w:pPr>
    </w:p>
    <w:p w14:paraId="3CC50B5E">
      <w:pPr>
        <w:ind w:firstLine="440"/>
        <w:rPr>
          <w:rFonts w:ascii="宋体" w:hAnsi="宋体" w:eastAsia="宋体" w:cs="宋体"/>
          <w:sz w:val="22"/>
        </w:rPr>
      </w:pPr>
      <w:r>
        <w:rPr>
          <w:rFonts w:hint="eastAsia" w:ascii="宋体" w:hAnsi="宋体" w:eastAsia="宋体" w:cs="宋体"/>
          <w:sz w:val="22"/>
        </w:rPr>
        <w:br w:type="page"/>
      </w:r>
    </w:p>
    <w:p w14:paraId="286B4B21">
      <w:pPr>
        <w:pStyle w:val="6"/>
        <w:ind w:firstLine="0" w:firstLineChars="0"/>
        <w:jc w:val="center"/>
        <w:rPr>
          <w:b/>
          <w:bCs/>
        </w:rPr>
      </w:pPr>
      <w:bookmarkStart w:id="140" w:name="_Toc472337697"/>
      <w:bookmarkStart w:id="141" w:name="_Toc472429342"/>
      <w:r>
        <w:rPr>
          <w:rFonts w:hint="eastAsia"/>
          <w:b/>
          <w:bCs/>
        </w:rPr>
        <w:t>一、投标函及投标函附录</w:t>
      </w:r>
      <w:bookmarkEnd w:id="140"/>
      <w:bookmarkEnd w:id="141"/>
    </w:p>
    <w:p w14:paraId="236B5330">
      <w:pPr>
        <w:pStyle w:val="7"/>
        <w:ind w:firstLine="0" w:firstLineChars="0"/>
        <w:jc w:val="center"/>
      </w:pPr>
      <w:r>
        <w:rPr>
          <w:rFonts w:hint="eastAsia"/>
        </w:rPr>
        <w:t>（一）投标函</w:t>
      </w:r>
    </w:p>
    <w:p w14:paraId="342E046A">
      <w:pPr>
        <w:widowControl/>
        <w:spacing w:line="360" w:lineRule="auto"/>
        <w:ind w:firstLine="0" w:firstLineChars="0"/>
        <w:rPr>
          <w:rFonts w:ascii="宋体" w:hAnsi="宋体" w:eastAsia="宋体" w:cs="宋体"/>
          <w:szCs w:val="21"/>
          <w:u w:val="single"/>
        </w:rPr>
      </w:pPr>
      <w:r>
        <w:rPr>
          <w:rFonts w:hint="eastAsia" w:ascii="宋体" w:hAnsi="宋体" w:eastAsia="宋体" w:cs="宋体"/>
          <w:szCs w:val="21"/>
        </w:rPr>
        <w:t>致：</w:t>
      </w:r>
      <w:r>
        <w:rPr>
          <w:rFonts w:hint="eastAsia" w:ascii="宋体" w:hAnsi="宋体" w:eastAsia="宋体" w:cs="宋体"/>
          <w:szCs w:val="21"/>
          <w:u w:val="single"/>
        </w:rPr>
        <w:t xml:space="preserve">（采购人）    </w:t>
      </w:r>
    </w:p>
    <w:p w14:paraId="47815472">
      <w:pPr>
        <w:spacing w:line="360" w:lineRule="auto"/>
        <w:ind w:firstLine="420"/>
        <w:rPr>
          <w:rFonts w:ascii="宋体" w:hAnsi="宋体" w:eastAsia="宋体" w:cs="宋体"/>
          <w:szCs w:val="21"/>
        </w:rPr>
      </w:pPr>
      <w:r>
        <w:rPr>
          <w:rFonts w:hint="eastAsia" w:ascii="宋体" w:hAnsi="宋体" w:eastAsia="宋体" w:cs="宋体"/>
          <w:szCs w:val="21"/>
        </w:rPr>
        <w:t>1.我方已仔细研究了</w:t>
      </w:r>
      <w:r>
        <w:rPr>
          <w:rFonts w:hint="eastAsia" w:ascii="宋体" w:hAnsi="宋体" w:eastAsia="宋体" w:cs="宋体"/>
          <w:szCs w:val="21"/>
          <w:u w:val="single"/>
        </w:rPr>
        <w:t xml:space="preserve">            </w:t>
      </w:r>
      <w:r>
        <w:rPr>
          <w:rFonts w:hint="eastAsia" w:ascii="宋体" w:hAnsi="宋体" w:eastAsia="宋体" w:cs="宋体"/>
          <w:szCs w:val="21"/>
        </w:rPr>
        <w:t>（项目名称）招标文件的全部内容，愿以人民币（大写）</w:t>
      </w:r>
      <w:r>
        <w:rPr>
          <w:rFonts w:hint="eastAsia" w:ascii="宋体" w:hAnsi="宋体" w:eastAsia="宋体" w:cs="宋体"/>
          <w:szCs w:val="21"/>
          <w:u w:val="single"/>
        </w:rPr>
        <w:t xml:space="preserve">        元</w:t>
      </w:r>
      <w:r>
        <w:rPr>
          <w:rFonts w:hint="eastAsia" w:ascii="宋体" w:hAnsi="宋体" w:eastAsia="宋体" w:cs="宋体"/>
          <w:szCs w:val="21"/>
        </w:rPr>
        <w:t>（小写</w:t>
      </w:r>
      <w:r>
        <w:rPr>
          <w:rFonts w:hint="eastAsia" w:ascii="宋体" w:hAnsi="宋体" w:eastAsia="宋体" w:cs="宋体"/>
          <w:szCs w:val="21"/>
          <w:u w:val="single"/>
        </w:rPr>
        <w:t xml:space="preserve">      </w:t>
      </w:r>
      <w:r>
        <w:rPr>
          <w:rFonts w:hint="eastAsia" w:ascii="宋体" w:hAnsi="宋体" w:eastAsia="宋体" w:cs="宋体"/>
          <w:szCs w:val="21"/>
        </w:rPr>
        <w:t>元）的投标总报价，交货期</w:t>
      </w:r>
      <w:r>
        <w:rPr>
          <w:rFonts w:hint="eastAsia" w:ascii="宋体" w:hAnsi="宋体" w:eastAsia="宋体" w:cs="宋体"/>
          <w:szCs w:val="21"/>
          <w:u w:val="single"/>
        </w:rPr>
        <w:t xml:space="preserve">      </w:t>
      </w:r>
      <w:r>
        <w:rPr>
          <w:rFonts w:hint="eastAsia" w:ascii="宋体" w:hAnsi="宋体" w:eastAsia="宋体" w:cs="宋体"/>
          <w:szCs w:val="21"/>
        </w:rPr>
        <w:t>，质保期</w:t>
      </w:r>
      <w:r>
        <w:rPr>
          <w:rFonts w:hint="eastAsia" w:ascii="宋体" w:hAnsi="宋体" w:eastAsia="宋体" w:cs="宋体"/>
          <w:szCs w:val="21"/>
          <w:u w:val="single"/>
        </w:rPr>
        <w:t xml:space="preserve">        </w:t>
      </w:r>
      <w:r>
        <w:rPr>
          <w:rFonts w:hint="eastAsia" w:ascii="宋体" w:hAnsi="宋体" w:eastAsia="宋体" w:cs="宋体"/>
          <w:szCs w:val="21"/>
        </w:rPr>
        <w:t>，按合同约定实施和完成本项目，并承担其任何质量缺陷等问题所造成的任何损失。</w:t>
      </w:r>
    </w:p>
    <w:p w14:paraId="31CCB272">
      <w:pPr>
        <w:spacing w:line="360" w:lineRule="auto"/>
        <w:ind w:firstLine="420"/>
        <w:rPr>
          <w:rFonts w:ascii="宋体" w:hAnsi="宋体" w:eastAsia="宋体" w:cs="宋体"/>
          <w:szCs w:val="21"/>
        </w:rPr>
      </w:pPr>
      <w:r>
        <w:rPr>
          <w:rFonts w:hint="eastAsia" w:ascii="宋体" w:hAnsi="宋体" w:eastAsia="宋体" w:cs="宋体"/>
          <w:szCs w:val="21"/>
        </w:rPr>
        <w:t>2.我方承诺投标有效期为自投标截止之日起60日历天。在投标有效期内不修改、撤销投标文件。</w:t>
      </w:r>
    </w:p>
    <w:p w14:paraId="40340080">
      <w:pPr>
        <w:spacing w:line="360" w:lineRule="auto"/>
        <w:ind w:firstLine="420"/>
        <w:rPr>
          <w:rFonts w:ascii="宋体" w:hAnsi="宋体" w:eastAsia="宋体" w:cs="宋体"/>
          <w:szCs w:val="21"/>
        </w:rPr>
      </w:pPr>
      <w:r>
        <w:rPr>
          <w:rFonts w:hint="eastAsia" w:ascii="宋体" w:hAnsi="宋体" w:eastAsia="宋体" w:cs="宋体"/>
          <w:szCs w:val="21"/>
        </w:rPr>
        <w:t>3.如我方中标：</w:t>
      </w:r>
    </w:p>
    <w:p w14:paraId="77A7E983">
      <w:pPr>
        <w:spacing w:line="360" w:lineRule="auto"/>
        <w:ind w:firstLine="420"/>
        <w:rPr>
          <w:rFonts w:ascii="宋体" w:hAnsi="宋体" w:eastAsia="宋体" w:cs="宋体"/>
          <w:szCs w:val="21"/>
        </w:rPr>
      </w:pPr>
      <w:r>
        <w:rPr>
          <w:rFonts w:hint="eastAsia" w:ascii="宋体" w:hAnsi="宋体" w:eastAsia="宋体" w:cs="宋体"/>
          <w:szCs w:val="21"/>
        </w:rPr>
        <w:t>（1）我方承诺在收到中标通知书后，在中标通知书规定的期限内与你方签订合同。</w:t>
      </w:r>
    </w:p>
    <w:p w14:paraId="6B46AAB1">
      <w:pPr>
        <w:spacing w:line="360" w:lineRule="auto"/>
        <w:ind w:firstLine="210" w:firstLineChars="100"/>
        <w:rPr>
          <w:rFonts w:ascii="宋体" w:hAnsi="宋体" w:eastAsia="宋体" w:cs="宋体"/>
          <w:szCs w:val="21"/>
        </w:rPr>
      </w:pPr>
      <w:r>
        <w:rPr>
          <w:rFonts w:hint="eastAsia" w:ascii="宋体" w:hAnsi="宋体" w:eastAsia="宋体" w:cs="宋体"/>
          <w:szCs w:val="21"/>
        </w:rPr>
        <w:t>（2）随同本投标函递交的投标函附录属于合同文件的组成部分。</w:t>
      </w:r>
    </w:p>
    <w:p w14:paraId="63C8F1DF">
      <w:pPr>
        <w:spacing w:line="360" w:lineRule="auto"/>
        <w:ind w:firstLine="210" w:firstLineChars="100"/>
        <w:rPr>
          <w:rFonts w:ascii="宋体" w:hAnsi="宋体" w:eastAsia="宋体" w:cs="宋体"/>
          <w:szCs w:val="21"/>
        </w:rPr>
      </w:pPr>
      <w:r>
        <w:rPr>
          <w:rFonts w:hint="eastAsia" w:ascii="宋体" w:hAnsi="宋体" w:eastAsia="宋体" w:cs="宋体"/>
          <w:szCs w:val="21"/>
        </w:rPr>
        <w:t>（3）我方承诺按照招标文件规定向你方递交履约担保。</w:t>
      </w:r>
    </w:p>
    <w:p w14:paraId="11BB2FED">
      <w:pPr>
        <w:spacing w:line="360" w:lineRule="auto"/>
        <w:ind w:firstLine="210" w:firstLineChars="100"/>
        <w:rPr>
          <w:rFonts w:ascii="宋体" w:hAnsi="宋体" w:eastAsia="宋体" w:cs="宋体"/>
          <w:szCs w:val="21"/>
        </w:rPr>
      </w:pPr>
      <w:r>
        <w:rPr>
          <w:rFonts w:hint="eastAsia" w:ascii="宋体" w:hAnsi="宋体" w:eastAsia="宋体" w:cs="宋体"/>
          <w:szCs w:val="21"/>
        </w:rPr>
        <w:t>（4）如果我方中标，同意按招标文件规定的收费标准向采购代理机构支付服务费。</w:t>
      </w:r>
    </w:p>
    <w:p w14:paraId="21906251">
      <w:pPr>
        <w:spacing w:line="360" w:lineRule="auto"/>
        <w:ind w:firstLine="420"/>
        <w:rPr>
          <w:rFonts w:ascii="宋体" w:hAnsi="宋体" w:eastAsia="宋体" w:cs="宋体"/>
          <w:szCs w:val="21"/>
        </w:rPr>
      </w:pPr>
      <w:r>
        <w:rPr>
          <w:rFonts w:hint="eastAsia" w:ascii="宋体" w:hAnsi="宋体" w:eastAsia="宋体" w:cs="宋体"/>
          <w:szCs w:val="21"/>
        </w:rPr>
        <w:t>4.我方在此声明，所递交的投标文件及有关资料内容完整、真实和准确，且不存在第二章“投标人须知”第1.4.3项规定的任何一种情形。</w:t>
      </w:r>
    </w:p>
    <w:p w14:paraId="7B69A41A">
      <w:pPr>
        <w:spacing w:line="360" w:lineRule="auto"/>
        <w:ind w:firstLine="420"/>
        <w:rPr>
          <w:rFonts w:ascii="宋体" w:hAnsi="宋体" w:eastAsia="宋体" w:cs="宋体"/>
          <w:szCs w:val="21"/>
        </w:rPr>
      </w:pPr>
      <w:r>
        <w:rPr>
          <w:rFonts w:hint="eastAsia" w:ascii="宋体" w:hAnsi="宋体" w:eastAsia="宋体" w:cs="宋体"/>
          <w:szCs w:val="21"/>
        </w:rPr>
        <w:t xml:space="preserve">5. </w:t>
      </w:r>
      <w:r>
        <w:rPr>
          <w:rFonts w:hint="eastAsia" w:ascii="宋体" w:hAnsi="宋体" w:eastAsia="宋体" w:cs="宋体"/>
          <w:szCs w:val="21"/>
          <w:u w:val="single"/>
        </w:rPr>
        <w:t xml:space="preserve">              （其他补充说明）</w:t>
      </w:r>
      <w:r>
        <w:rPr>
          <w:rFonts w:hint="eastAsia" w:ascii="宋体" w:hAnsi="宋体" w:eastAsia="宋体" w:cs="宋体"/>
          <w:szCs w:val="21"/>
        </w:rPr>
        <w:t>。</w:t>
      </w:r>
    </w:p>
    <w:p w14:paraId="2D1B3ED9">
      <w:pPr>
        <w:spacing w:line="400" w:lineRule="exact"/>
        <w:ind w:firstLine="420"/>
        <w:rPr>
          <w:rFonts w:ascii="宋体" w:hAnsi="宋体" w:eastAsia="宋体" w:cs="宋体"/>
          <w:szCs w:val="21"/>
        </w:rPr>
      </w:pPr>
      <w:r>
        <w:rPr>
          <w:rFonts w:hint="eastAsia" w:ascii="宋体" w:hAnsi="宋体" w:eastAsia="宋体" w:cs="宋体"/>
          <w:szCs w:val="21"/>
        </w:rPr>
        <w:t xml:space="preserve">  </w:t>
      </w:r>
    </w:p>
    <w:p w14:paraId="43D895A0">
      <w:pPr>
        <w:spacing w:line="400" w:lineRule="exact"/>
        <w:ind w:firstLine="2940" w:firstLineChars="1400"/>
        <w:rPr>
          <w:rFonts w:ascii="宋体" w:hAnsi="宋体" w:eastAsia="宋体" w:cs="宋体"/>
          <w:szCs w:val="21"/>
        </w:rPr>
      </w:pPr>
      <w:r>
        <w:rPr>
          <w:rFonts w:hint="eastAsia" w:ascii="宋体" w:hAnsi="宋体" w:eastAsia="宋体" w:cs="宋体"/>
          <w:szCs w:val="21"/>
        </w:rPr>
        <w:t>投标人：</w:t>
      </w:r>
      <w:r>
        <w:rPr>
          <w:rFonts w:hint="eastAsia" w:ascii="宋体" w:hAnsi="宋体"/>
          <w:szCs w:val="21"/>
          <w:u w:val="single"/>
        </w:rPr>
        <w:t xml:space="preserve">             </w:t>
      </w:r>
      <w:r>
        <w:rPr>
          <w:rFonts w:hint="eastAsia" w:ascii="宋体" w:hAnsi="宋体" w:eastAsia="宋体" w:cs="宋体"/>
          <w:szCs w:val="21"/>
        </w:rPr>
        <w:t>（单位电子签章）</w:t>
      </w:r>
    </w:p>
    <w:p w14:paraId="43B5BFB7">
      <w:pPr>
        <w:spacing w:line="400" w:lineRule="exact"/>
        <w:ind w:firstLine="2940" w:firstLineChars="1400"/>
        <w:rPr>
          <w:rFonts w:ascii="宋体" w:hAnsi="宋体" w:eastAsia="宋体" w:cs="宋体"/>
          <w:szCs w:val="21"/>
        </w:rPr>
      </w:pPr>
      <w:r>
        <w:rPr>
          <w:rFonts w:hint="eastAsia" w:ascii="宋体" w:hAnsi="宋体" w:eastAsia="宋体" w:cs="宋体"/>
          <w:szCs w:val="21"/>
        </w:rPr>
        <w:t>法定代表人或其委托代理人：</w:t>
      </w:r>
      <w:r>
        <w:rPr>
          <w:rFonts w:hint="eastAsia" w:ascii="宋体" w:hAnsi="宋体"/>
          <w:szCs w:val="21"/>
          <w:u w:val="single"/>
        </w:rPr>
        <w:t xml:space="preserve">       </w:t>
      </w:r>
      <w:r>
        <w:rPr>
          <w:rFonts w:hint="eastAsia" w:ascii="宋体" w:hAnsi="宋体" w:eastAsia="宋体" w:cs="宋体"/>
          <w:szCs w:val="21"/>
        </w:rPr>
        <w:t>（电子签名或盖章）</w:t>
      </w:r>
    </w:p>
    <w:p w14:paraId="1C358813">
      <w:pPr>
        <w:spacing w:line="400" w:lineRule="exact"/>
        <w:ind w:firstLine="2940" w:firstLineChars="1400"/>
        <w:rPr>
          <w:rFonts w:ascii="宋体" w:hAnsi="宋体" w:eastAsia="宋体" w:cs="宋体"/>
          <w:szCs w:val="21"/>
        </w:rPr>
      </w:pPr>
      <w:r>
        <w:rPr>
          <w:rFonts w:hint="eastAsia" w:ascii="宋体" w:hAnsi="宋体" w:eastAsia="宋体" w:cs="宋体"/>
          <w:szCs w:val="21"/>
        </w:rPr>
        <w:t>地址：</w:t>
      </w:r>
      <w:r>
        <w:rPr>
          <w:rFonts w:hint="eastAsia" w:ascii="宋体" w:hAnsi="宋体"/>
          <w:szCs w:val="21"/>
          <w:u w:val="single"/>
        </w:rPr>
        <w:t xml:space="preserve">             </w:t>
      </w:r>
    </w:p>
    <w:p w14:paraId="152D8B84">
      <w:pPr>
        <w:spacing w:line="400" w:lineRule="exact"/>
        <w:ind w:firstLine="2940" w:firstLineChars="1400"/>
        <w:rPr>
          <w:rFonts w:ascii="宋体" w:hAnsi="宋体" w:eastAsia="宋体" w:cs="宋体"/>
          <w:szCs w:val="21"/>
        </w:rPr>
      </w:pPr>
      <w:r>
        <w:rPr>
          <w:rFonts w:hint="eastAsia" w:ascii="宋体" w:hAnsi="宋体" w:eastAsia="宋体" w:cs="宋体"/>
          <w:szCs w:val="21"/>
        </w:rPr>
        <w:t>电话：</w:t>
      </w:r>
      <w:r>
        <w:rPr>
          <w:rFonts w:hint="eastAsia" w:ascii="宋体" w:hAnsi="宋体"/>
          <w:szCs w:val="21"/>
          <w:u w:val="single"/>
        </w:rPr>
        <w:t xml:space="preserve">             </w:t>
      </w:r>
    </w:p>
    <w:p w14:paraId="4461228F">
      <w:pPr>
        <w:spacing w:line="400" w:lineRule="exact"/>
        <w:ind w:firstLine="2940" w:firstLineChars="1400"/>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33F3B630">
      <w:pPr>
        <w:ind w:firstLine="420"/>
        <w:rPr>
          <w:rFonts w:ascii="宋体" w:hAnsi="宋体" w:eastAsia="宋体" w:cs="宋体"/>
          <w:szCs w:val="21"/>
        </w:rPr>
      </w:pPr>
      <w:r>
        <w:rPr>
          <w:rFonts w:hint="eastAsia" w:ascii="宋体" w:hAnsi="宋体" w:eastAsia="宋体" w:cs="宋体"/>
          <w:szCs w:val="21"/>
        </w:rPr>
        <w:br w:type="page"/>
      </w:r>
    </w:p>
    <w:p w14:paraId="57B90818">
      <w:pPr>
        <w:pStyle w:val="7"/>
        <w:ind w:firstLine="0" w:firstLineChars="0"/>
        <w:jc w:val="center"/>
      </w:pPr>
      <w:r>
        <w:rPr>
          <w:rFonts w:hint="eastAsia"/>
        </w:rPr>
        <w:t>（二）投标函附录</w:t>
      </w:r>
    </w:p>
    <w:p w14:paraId="39A9BC2E">
      <w:pPr>
        <w:spacing w:line="400" w:lineRule="exact"/>
        <w:ind w:firstLine="420"/>
        <w:rPr>
          <w:rFonts w:ascii="宋体" w:hAnsi="宋体" w:eastAsia="宋体" w:cs="宋体"/>
          <w:szCs w:val="21"/>
        </w:rPr>
      </w:pPr>
    </w:p>
    <w:tbl>
      <w:tblPr>
        <w:tblStyle w:val="27"/>
        <w:tblW w:w="86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18"/>
        <w:gridCol w:w="6641"/>
      </w:tblGrid>
      <w:tr w14:paraId="215AF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8" w:hRule="atLeast"/>
          <w:jc w:val="center"/>
        </w:trPr>
        <w:tc>
          <w:tcPr>
            <w:tcW w:w="2018" w:type="dxa"/>
            <w:vAlign w:val="center"/>
          </w:tcPr>
          <w:p w14:paraId="202A11C6">
            <w:pPr>
              <w:widowControl/>
              <w:spacing w:line="400" w:lineRule="exact"/>
              <w:ind w:firstLine="420"/>
              <w:rPr>
                <w:rFonts w:ascii="宋体" w:hAnsi="宋体" w:eastAsia="宋体" w:cs="宋体"/>
                <w:szCs w:val="21"/>
              </w:rPr>
            </w:pPr>
            <w:r>
              <w:rPr>
                <w:rFonts w:hint="eastAsia" w:ascii="宋体" w:hAnsi="宋体" w:eastAsia="宋体" w:cs="宋体"/>
                <w:szCs w:val="21"/>
              </w:rPr>
              <w:t>项目名称</w:t>
            </w:r>
          </w:p>
        </w:tc>
        <w:tc>
          <w:tcPr>
            <w:tcW w:w="6641" w:type="dxa"/>
            <w:vAlign w:val="center"/>
          </w:tcPr>
          <w:p w14:paraId="3012C24C">
            <w:pPr>
              <w:widowControl/>
              <w:spacing w:line="400" w:lineRule="exact"/>
              <w:ind w:firstLine="420"/>
              <w:jc w:val="center"/>
              <w:rPr>
                <w:rFonts w:ascii="宋体" w:hAnsi="宋体" w:eastAsia="宋体" w:cs="宋体"/>
                <w:szCs w:val="21"/>
              </w:rPr>
            </w:pPr>
          </w:p>
        </w:tc>
      </w:tr>
      <w:tr w14:paraId="3A324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7" w:hRule="atLeast"/>
          <w:jc w:val="center"/>
        </w:trPr>
        <w:tc>
          <w:tcPr>
            <w:tcW w:w="2018" w:type="dxa"/>
            <w:vAlign w:val="center"/>
          </w:tcPr>
          <w:p w14:paraId="7982463D">
            <w:pPr>
              <w:widowControl/>
              <w:spacing w:line="400" w:lineRule="exact"/>
              <w:ind w:firstLine="420"/>
              <w:rPr>
                <w:rFonts w:ascii="宋体" w:hAnsi="宋体" w:eastAsia="宋体" w:cs="宋体"/>
                <w:szCs w:val="21"/>
              </w:rPr>
            </w:pPr>
            <w:r>
              <w:rPr>
                <w:rFonts w:hint="eastAsia" w:ascii="宋体" w:hAnsi="宋体" w:eastAsia="宋体" w:cs="宋体"/>
                <w:szCs w:val="21"/>
              </w:rPr>
              <w:t>投标人名称</w:t>
            </w:r>
          </w:p>
        </w:tc>
        <w:tc>
          <w:tcPr>
            <w:tcW w:w="6641" w:type="dxa"/>
            <w:vAlign w:val="center"/>
          </w:tcPr>
          <w:p w14:paraId="52B74C01">
            <w:pPr>
              <w:widowControl/>
              <w:spacing w:line="400" w:lineRule="exact"/>
              <w:ind w:firstLine="420"/>
              <w:jc w:val="center"/>
              <w:rPr>
                <w:rFonts w:ascii="宋体" w:hAnsi="宋体" w:eastAsia="宋体" w:cs="宋体"/>
                <w:szCs w:val="21"/>
              </w:rPr>
            </w:pPr>
          </w:p>
        </w:tc>
      </w:tr>
      <w:tr w14:paraId="427EA5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3" w:hRule="atLeast"/>
          <w:jc w:val="center"/>
        </w:trPr>
        <w:tc>
          <w:tcPr>
            <w:tcW w:w="2018" w:type="dxa"/>
            <w:vAlign w:val="center"/>
          </w:tcPr>
          <w:p w14:paraId="2C3B748B">
            <w:pPr>
              <w:spacing w:line="400" w:lineRule="exact"/>
              <w:ind w:firstLine="420"/>
              <w:rPr>
                <w:rFonts w:ascii="宋体" w:hAnsi="宋体" w:eastAsia="宋体" w:cs="宋体"/>
                <w:szCs w:val="21"/>
              </w:rPr>
            </w:pPr>
            <w:r>
              <w:rPr>
                <w:rFonts w:hint="eastAsia" w:ascii="宋体" w:hAnsi="宋体" w:eastAsia="宋体" w:cs="宋体"/>
                <w:szCs w:val="21"/>
              </w:rPr>
              <w:t>投标报价</w:t>
            </w:r>
          </w:p>
        </w:tc>
        <w:tc>
          <w:tcPr>
            <w:tcW w:w="6641" w:type="dxa"/>
            <w:vAlign w:val="center"/>
          </w:tcPr>
          <w:p w14:paraId="29A6EA71">
            <w:pPr>
              <w:spacing w:line="400" w:lineRule="exact"/>
              <w:ind w:firstLine="420"/>
              <w:jc w:val="left"/>
              <w:rPr>
                <w:rFonts w:ascii="宋体" w:hAnsi="宋体" w:eastAsia="宋体" w:cs="宋体"/>
                <w:szCs w:val="21"/>
                <w:u w:val="single"/>
              </w:rPr>
            </w:pPr>
            <w:r>
              <w:rPr>
                <w:rFonts w:hint="eastAsia" w:ascii="宋体" w:hAnsi="宋体" w:eastAsia="宋体" w:cs="宋体"/>
                <w:szCs w:val="21"/>
              </w:rPr>
              <w:t>大写：</w:t>
            </w:r>
            <w:r>
              <w:rPr>
                <w:rFonts w:hint="eastAsia" w:ascii="宋体" w:hAnsi="宋体" w:eastAsia="宋体" w:cs="宋体"/>
                <w:szCs w:val="21"/>
                <w:u w:val="single"/>
              </w:rPr>
              <w:t xml:space="preserve">                             </w:t>
            </w:r>
          </w:p>
          <w:p w14:paraId="08894AFF">
            <w:pPr>
              <w:spacing w:line="400" w:lineRule="exact"/>
              <w:ind w:firstLine="420"/>
              <w:jc w:val="left"/>
              <w:rPr>
                <w:rFonts w:ascii="宋体" w:hAnsi="宋体" w:eastAsia="宋体" w:cs="宋体"/>
                <w:szCs w:val="21"/>
              </w:rPr>
            </w:pPr>
            <w:r>
              <w:rPr>
                <w:rFonts w:hint="eastAsia" w:ascii="宋体" w:hAnsi="宋体" w:eastAsia="宋体" w:cs="宋体"/>
                <w:szCs w:val="21"/>
              </w:rPr>
              <w:t>小写：</w:t>
            </w:r>
            <w:r>
              <w:rPr>
                <w:rFonts w:hint="eastAsia" w:ascii="宋体" w:hAnsi="宋体" w:eastAsia="宋体" w:cs="宋体"/>
                <w:szCs w:val="21"/>
                <w:u w:val="single"/>
              </w:rPr>
              <w:t xml:space="preserve">                             </w:t>
            </w:r>
          </w:p>
        </w:tc>
      </w:tr>
      <w:tr w14:paraId="1A5A2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2018" w:type="dxa"/>
            <w:vAlign w:val="center"/>
          </w:tcPr>
          <w:p w14:paraId="77BE86E3">
            <w:pPr>
              <w:spacing w:line="400" w:lineRule="exact"/>
              <w:ind w:firstLine="420"/>
              <w:rPr>
                <w:rFonts w:ascii="宋体" w:hAnsi="宋体" w:eastAsia="宋体" w:cs="宋体"/>
                <w:szCs w:val="21"/>
              </w:rPr>
            </w:pPr>
            <w:r>
              <w:rPr>
                <w:rFonts w:hint="eastAsia" w:ascii="宋体" w:hAnsi="宋体" w:eastAsia="宋体" w:cs="宋体"/>
                <w:szCs w:val="21"/>
              </w:rPr>
              <w:t>投标内容</w:t>
            </w:r>
          </w:p>
        </w:tc>
        <w:tc>
          <w:tcPr>
            <w:tcW w:w="6641" w:type="dxa"/>
            <w:vAlign w:val="center"/>
          </w:tcPr>
          <w:p w14:paraId="412727A7">
            <w:pPr>
              <w:spacing w:line="400" w:lineRule="exact"/>
              <w:ind w:firstLine="420"/>
              <w:jc w:val="center"/>
              <w:rPr>
                <w:rFonts w:ascii="宋体" w:hAnsi="宋体" w:eastAsia="宋体" w:cs="宋体"/>
                <w:szCs w:val="21"/>
              </w:rPr>
            </w:pPr>
          </w:p>
        </w:tc>
      </w:tr>
      <w:tr w14:paraId="536FDA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2018" w:type="dxa"/>
            <w:vAlign w:val="center"/>
          </w:tcPr>
          <w:p w14:paraId="513B1DE7">
            <w:pPr>
              <w:spacing w:line="400" w:lineRule="exact"/>
              <w:ind w:firstLine="420"/>
              <w:rPr>
                <w:rFonts w:ascii="宋体" w:hAnsi="宋体" w:eastAsia="宋体" w:cs="宋体"/>
                <w:szCs w:val="21"/>
              </w:rPr>
            </w:pPr>
            <w:r>
              <w:rPr>
                <w:rFonts w:hint="eastAsia" w:ascii="宋体" w:hAnsi="宋体" w:eastAsia="宋体" w:cs="宋体"/>
                <w:szCs w:val="21"/>
              </w:rPr>
              <w:t>质量要求</w:t>
            </w:r>
          </w:p>
        </w:tc>
        <w:tc>
          <w:tcPr>
            <w:tcW w:w="6641" w:type="dxa"/>
            <w:vAlign w:val="center"/>
          </w:tcPr>
          <w:p w14:paraId="41F6AE4E">
            <w:pPr>
              <w:spacing w:line="400" w:lineRule="exact"/>
              <w:ind w:firstLine="420"/>
              <w:jc w:val="center"/>
              <w:rPr>
                <w:rFonts w:ascii="宋体" w:hAnsi="宋体" w:eastAsia="宋体" w:cs="宋体"/>
                <w:szCs w:val="21"/>
              </w:rPr>
            </w:pPr>
          </w:p>
        </w:tc>
      </w:tr>
      <w:tr w14:paraId="4AE27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2018" w:type="dxa"/>
            <w:vAlign w:val="center"/>
          </w:tcPr>
          <w:p w14:paraId="24CE0E4D">
            <w:pPr>
              <w:widowControl/>
              <w:spacing w:line="400" w:lineRule="exact"/>
              <w:ind w:firstLine="420"/>
              <w:rPr>
                <w:rFonts w:ascii="宋体" w:hAnsi="宋体" w:eastAsia="宋体" w:cs="宋体"/>
                <w:szCs w:val="21"/>
              </w:rPr>
            </w:pPr>
            <w:r>
              <w:rPr>
                <w:rFonts w:hint="eastAsia" w:ascii="宋体" w:hAnsi="宋体" w:eastAsia="宋体" w:cs="宋体"/>
                <w:szCs w:val="21"/>
              </w:rPr>
              <w:t>交货期</w:t>
            </w:r>
          </w:p>
        </w:tc>
        <w:tc>
          <w:tcPr>
            <w:tcW w:w="6641" w:type="dxa"/>
            <w:vAlign w:val="center"/>
          </w:tcPr>
          <w:p w14:paraId="25FF59BF">
            <w:pPr>
              <w:spacing w:line="400" w:lineRule="exact"/>
              <w:ind w:firstLine="420"/>
              <w:jc w:val="center"/>
              <w:rPr>
                <w:rFonts w:ascii="宋体" w:hAnsi="宋体" w:eastAsia="宋体" w:cs="宋体"/>
                <w:szCs w:val="21"/>
              </w:rPr>
            </w:pPr>
          </w:p>
        </w:tc>
      </w:tr>
      <w:tr w14:paraId="2E6223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018" w:type="dxa"/>
            <w:vAlign w:val="center"/>
          </w:tcPr>
          <w:p w14:paraId="11EB1EB4">
            <w:pPr>
              <w:widowControl/>
              <w:spacing w:line="400" w:lineRule="exact"/>
              <w:ind w:firstLine="420"/>
              <w:rPr>
                <w:rFonts w:ascii="宋体" w:hAnsi="宋体" w:eastAsia="宋体" w:cs="宋体"/>
                <w:szCs w:val="21"/>
              </w:rPr>
            </w:pPr>
            <w:r>
              <w:rPr>
                <w:rFonts w:hint="eastAsia" w:ascii="宋体" w:hAnsi="宋体" w:eastAsia="宋体" w:cs="宋体"/>
                <w:szCs w:val="21"/>
              </w:rPr>
              <w:t>质保期</w:t>
            </w:r>
          </w:p>
        </w:tc>
        <w:tc>
          <w:tcPr>
            <w:tcW w:w="6641" w:type="dxa"/>
            <w:vAlign w:val="center"/>
          </w:tcPr>
          <w:p w14:paraId="0B8B0624">
            <w:pPr>
              <w:spacing w:line="400" w:lineRule="exact"/>
              <w:ind w:firstLine="420"/>
              <w:jc w:val="center"/>
              <w:rPr>
                <w:rFonts w:ascii="宋体" w:hAnsi="宋体" w:eastAsia="宋体" w:cs="宋体"/>
                <w:szCs w:val="21"/>
              </w:rPr>
            </w:pPr>
          </w:p>
        </w:tc>
      </w:tr>
      <w:tr w14:paraId="04D89C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6" w:hRule="atLeast"/>
          <w:jc w:val="center"/>
        </w:trPr>
        <w:tc>
          <w:tcPr>
            <w:tcW w:w="2018" w:type="dxa"/>
            <w:vAlign w:val="center"/>
          </w:tcPr>
          <w:p w14:paraId="574AE57A">
            <w:pPr>
              <w:widowControl/>
              <w:spacing w:line="400" w:lineRule="exact"/>
              <w:ind w:firstLine="420"/>
              <w:rPr>
                <w:rFonts w:ascii="宋体" w:hAnsi="宋体" w:eastAsia="宋体" w:cs="宋体"/>
                <w:szCs w:val="21"/>
              </w:rPr>
            </w:pPr>
            <w:r>
              <w:rPr>
                <w:rFonts w:hint="eastAsia" w:ascii="宋体" w:hAnsi="宋体" w:eastAsia="宋体" w:cs="宋体"/>
                <w:szCs w:val="21"/>
              </w:rPr>
              <w:t>投标有效期</w:t>
            </w:r>
          </w:p>
        </w:tc>
        <w:tc>
          <w:tcPr>
            <w:tcW w:w="6641" w:type="dxa"/>
            <w:vAlign w:val="center"/>
          </w:tcPr>
          <w:p w14:paraId="10EFFEF5">
            <w:pPr>
              <w:spacing w:line="400" w:lineRule="exact"/>
              <w:ind w:firstLine="420"/>
              <w:jc w:val="center"/>
              <w:rPr>
                <w:rFonts w:ascii="宋体" w:hAnsi="宋体" w:eastAsia="宋体" w:cs="宋体"/>
                <w:szCs w:val="21"/>
              </w:rPr>
            </w:pPr>
            <w:r>
              <w:rPr>
                <w:rFonts w:hint="eastAsia" w:ascii="宋体" w:hAnsi="宋体" w:eastAsia="宋体" w:cs="宋体"/>
                <w:szCs w:val="21"/>
              </w:rPr>
              <w:t>60日历天（从投标截止之日算起）</w:t>
            </w:r>
          </w:p>
        </w:tc>
      </w:tr>
      <w:tr w14:paraId="3F537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6" w:hRule="atLeast"/>
          <w:jc w:val="center"/>
        </w:trPr>
        <w:tc>
          <w:tcPr>
            <w:tcW w:w="2018" w:type="dxa"/>
            <w:vAlign w:val="center"/>
          </w:tcPr>
          <w:p w14:paraId="42264BC9">
            <w:pPr>
              <w:spacing w:line="400" w:lineRule="exact"/>
              <w:ind w:firstLine="420"/>
              <w:rPr>
                <w:rFonts w:ascii="宋体" w:hAnsi="宋体" w:eastAsia="宋体" w:cs="宋体"/>
                <w:szCs w:val="21"/>
              </w:rPr>
            </w:pPr>
            <w:r>
              <w:rPr>
                <w:rFonts w:hint="eastAsia" w:ascii="宋体" w:hAnsi="宋体" w:eastAsia="宋体" w:cs="宋体"/>
                <w:szCs w:val="21"/>
              </w:rPr>
              <w:t>价格折扣</w:t>
            </w:r>
          </w:p>
          <w:p w14:paraId="0786482D">
            <w:pPr>
              <w:spacing w:line="400" w:lineRule="exact"/>
              <w:ind w:firstLine="0" w:firstLineChars="0"/>
              <w:rPr>
                <w:rFonts w:ascii="宋体" w:hAnsi="宋体" w:eastAsia="宋体" w:cs="宋体"/>
                <w:szCs w:val="21"/>
              </w:rPr>
            </w:pPr>
            <w:r>
              <w:rPr>
                <w:rFonts w:hint="eastAsia" w:ascii="宋体" w:hAnsi="宋体" w:eastAsia="宋体" w:cs="宋体"/>
                <w:szCs w:val="21"/>
              </w:rPr>
              <w:t>（非专门面向中小企业采购时使用）</w:t>
            </w:r>
          </w:p>
        </w:tc>
        <w:tc>
          <w:tcPr>
            <w:tcW w:w="6641" w:type="dxa"/>
            <w:vAlign w:val="center"/>
          </w:tcPr>
          <w:p w14:paraId="2DA7A744">
            <w:pPr>
              <w:pStyle w:val="67"/>
              <w:widowControl w:val="0"/>
              <w:autoSpaceDE w:val="0"/>
              <w:autoSpaceDN w:val="0"/>
              <w:spacing w:before="0" w:after="0" w:line="400" w:lineRule="exact"/>
              <w:jc w:val="center"/>
              <w:rPr>
                <w:rFonts w:ascii="宋体" w:hAnsi="宋体" w:eastAsia="宋体" w:cs="宋体"/>
                <w:sz w:val="21"/>
                <w:szCs w:val="21"/>
                <w:lang w:val="en-US" w:eastAsia="zh-CN"/>
              </w:rPr>
            </w:pPr>
            <w:r>
              <w:rPr>
                <w:rFonts w:hint="eastAsia" w:ascii="宋体" w:hAnsi="宋体" w:eastAsia="宋体" w:cs="宋体"/>
                <w:spacing w:val="-1"/>
                <w:sz w:val="21"/>
                <w:szCs w:val="21"/>
                <w:lang w:val="en-US" w:eastAsia="zh-CN"/>
              </w:rPr>
              <w:t>我公司</w:t>
            </w:r>
            <w:r>
              <w:rPr>
                <w:rFonts w:hint="eastAsia" w:ascii="宋体" w:hAnsi="宋体" w:eastAsia="宋体" w:cs="宋体"/>
                <w:spacing w:val="-1"/>
                <w:sz w:val="21"/>
                <w:szCs w:val="21"/>
                <w:u w:val="single"/>
                <w:lang w:val="en-US" w:eastAsia="zh-CN"/>
              </w:rPr>
              <w:t xml:space="preserve">    （</w:t>
            </w:r>
            <w:r>
              <w:rPr>
                <w:rFonts w:hint="eastAsia" w:ascii="宋体" w:hAnsi="宋体" w:eastAsia="宋体" w:cs="宋体"/>
                <w:spacing w:val="-1"/>
                <w:sz w:val="21"/>
                <w:szCs w:val="21"/>
                <w:u w:val="single"/>
                <w:lang w:eastAsia="zh-CN"/>
              </w:rPr>
              <w:t>符合</w:t>
            </w:r>
            <w:r>
              <w:rPr>
                <w:rFonts w:hint="eastAsia" w:ascii="宋体" w:hAnsi="宋体" w:eastAsia="宋体" w:cs="宋体"/>
                <w:spacing w:val="-1"/>
                <w:sz w:val="21"/>
                <w:szCs w:val="21"/>
                <w:u w:val="single"/>
                <w:lang w:val="en-US" w:eastAsia="zh-CN"/>
              </w:rPr>
              <w:t xml:space="preserve">/不符合）     </w:t>
            </w:r>
            <w:r>
              <w:rPr>
                <w:rFonts w:hint="eastAsia" w:ascii="宋体" w:hAnsi="宋体" w:eastAsia="宋体" w:cs="宋体"/>
                <w:spacing w:val="-1"/>
                <w:sz w:val="21"/>
                <w:szCs w:val="21"/>
                <w:lang w:eastAsia="zh-CN"/>
              </w:rPr>
              <w:t>小微企业价格折扣</w:t>
            </w:r>
          </w:p>
        </w:tc>
      </w:tr>
      <w:tr w14:paraId="5BF68F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3" w:hRule="atLeast"/>
          <w:jc w:val="center"/>
        </w:trPr>
        <w:tc>
          <w:tcPr>
            <w:tcW w:w="2018" w:type="dxa"/>
            <w:vAlign w:val="center"/>
          </w:tcPr>
          <w:p w14:paraId="5202215D">
            <w:pPr>
              <w:widowControl/>
              <w:spacing w:line="400" w:lineRule="exact"/>
              <w:ind w:firstLine="420"/>
              <w:rPr>
                <w:rFonts w:ascii="宋体" w:hAnsi="宋体" w:eastAsia="宋体" w:cs="宋体"/>
                <w:szCs w:val="21"/>
              </w:rPr>
            </w:pPr>
            <w:r>
              <w:rPr>
                <w:rFonts w:hint="eastAsia" w:ascii="宋体" w:hAnsi="宋体" w:eastAsia="宋体" w:cs="宋体"/>
                <w:szCs w:val="21"/>
              </w:rPr>
              <w:t>备  注</w:t>
            </w:r>
          </w:p>
        </w:tc>
        <w:tc>
          <w:tcPr>
            <w:tcW w:w="6641" w:type="dxa"/>
            <w:vAlign w:val="center"/>
          </w:tcPr>
          <w:p w14:paraId="1CF2E773">
            <w:pPr>
              <w:widowControl/>
              <w:spacing w:line="400" w:lineRule="exact"/>
              <w:ind w:firstLine="420"/>
              <w:jc w:val="left"/>
              <w:rPr>
                <w:rFonts w:ascii="宋体" w:hAnsi="宋体" w:eastAsia="宋体" w:cs="宋体"/>
                <w:szCs w:val="21"/>
              </w:rPr>
            </w:pPr>
          </w:p>
        </w:tc>
      </w:tr>
    </w:tbl>
    <w:p w14:paraId="77FD9D5F">
      <w:pPr>
        <w:spacing w:line="400" w:lineRule="exact"/>
        <w:ind w:firstLine="422"/>
        <w:rPr>
          <w:rFonts w:ascii="宋体" w:hAnsi="宋体" w:eastAsia="宋体" w:cs="宋体"/>
          <w:b/>
          <w:szCs w:val="21"/>
        </w:rPr>
      </w:pPr>
    </w:p>
    <w:p w14:paraId="4B7C8357">
      <w:pPr>
        <w:spacing w:line="400" w:lineRule="exact"/>
        <w:ind w:firstLine="2318" w:firstLineChars="1104"/>
        <w:rPr>
          <w:rFonts w:ascii="宋体" w:hAnsi="宋体" w:eastAsia="宋体" w:cs="宋体"/>
          <w:szCs w:val="21"/>
        </w:rPr>
      </w:pPr>
      <w:r>
        <w:rPr>
          <w:rFonts w:hint="eastAsia" w:ascii="宋体" w:hAnsi="宋体" w:eastAsia="宋体" w:cs="宋体"/>
          <w:szCs w:val="21"/>
        </w:rPr>
        <w:t>投标人：</w:t>
      </w:r>
      <w:r>
        <w:rPr>
          <w:rFonts w:hint="eastAsia" w:ascii="宋体" w:hAnsi="宋体" w:eastAsia="宋体" w:cs="宋体"/>
          <w:szCs w:val="21"/>
          <w:u w:val="single"/>
        </w:rPr>
        <w:t xml:space="preserve">             </w:t>
      </w:r>
      <w:r>
        <w:rPr>
          <w:rFonts w:hint="eastAsia" w:ascii="宋体" w:hAnsi="宋体" w:eastAsia="宋体" w:cs="宋体"/>
          <w:szCs w:val="21"/>
        </w:rPr>
        <w:t>（单位电子签章）</w:t>
      </w:r>
    </w:p>
    <w:p w14:paraId="53FE3533">
      <w:pPr>
        <w:spacing w:line="400" w:lineRule="exact"/>
        <w:ind w:firstLine="2318" w:firstLineChars="1104"/>
        <w:rPr>
          <w:rFonts w:ascii="宋体" w:hAnsi="宋体" w:eastAsia="宋体" w:cs="宋体"/>
          <w:szCs w:val="21"/>
        </w:rPr>
      </w:pPr>
    </w:p>
    <w:p w14:paraId="63FFA3FB">
      <w:pPr>
        <w:spacing w:line="400" w:lineRule="exact"/>
        <w:ind w:firstLine="2318" w:firstLineChars="1104"/>
        <w:rPr>
          <w:rFonts w:ascii="宋体" w:hAnsi="宋体" w:eastAsia="宋体" w:cs="宋体"/>
          <w:szCs w:val="21"/>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w:t>
      </w:r>
      <w:r>
        <w:rPr>
          <w:rFonts w:hint="eastAsia" w:ascii="宋体" w:hAnsi="宋体" w:eastAsia="宋体" w:cs="宋体"/>
          <w:szCs w:val="21"/>
        </w:rPr>
        <w:t>（电子签名或盖章）</w:t>
      </w:r>
    </w:p>
    <w:p w14:paraId="10145B1E">
      <w:pPr>
        <w:spacing w:line="400" w:lineRule="exact"/>
        <w:ind w:firstLine="2318" w:firstLineChars="1104"/>
        <w:rPr>
          <w:rFonts w:ascii="宋体" w:hAnsi="宋体" w:eastAsia="宋体" w:cs="宋体"/>
          <w:szCs w:val="21"/>
        </w:rPr>
      </w:pPr>
    </w:p>
    <w:p w14:paraId="4B91269A">
      <w:pPr>
        <w:spacing w:line="400" w:lineRule="exact"/>
        <w:ind w:firstLine="2318" w:firstLineChars="1104"/>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44A6C53B">
      <w:pPr>
        <w:pStyle w:val="26"/>
      </w:pPr>
    </w:p>
    <w:p w14:paraId="093B5BA1">
      <w:pPr>
        <w:ind w:firstLine="420"/>
      </w:pPr>
      <w:r>
        <w:rPr>
          <w:rFonts w:hint="eastAsia"/>
        </w:rPr>
        <w:br w:type="page"/>
      </w:r>
    </w:p>
    <w:p w14:paraId="0C99DAC5">
      <w:pPr>
        <w:pStyle w:val="6"/>
        <w:ind w:firstLine="0" w:firstLineChars="0"/>
        <w:jc w:val="center"/>
      </w:pPr>
      <w:r>
        <w:rPr>
          <w:rFonts w:hint="eastAsia"/>
        </w:rPr>
        <w:t>二、法定代表人（单位负责人）身份证明</w:t>
      </w:r>
    </w:p>
    <w:p w14:paraId="41140B08">
      <w:pPr>
        <w:spacing w:line="400" w:lineRule="exact"/>
        <w:ind w:firstLine="420"/>
        <w:rPr>
          <w:rFonts w:ascii="宋体" w:hAnsi="宋体" w:eastAsia="宋体" w:cs="宋体"/>
          <w:szCs w:val="21"/>
        </w:rPr>
      </w:pPr>
    </w:p>
    <w:p w14:paraId="0F615508">
      <w:pPr>
        <w:spacing w:line="400" w:lineRule="exact"/>
        <w:ind w:firstLine="420"/>
        <w:rPr>
          <w:rFonts w:ascii="宋体" w:hAnsi="宋体" w:eastAsia="宋体" w:cs="宋体"/>
          <w:szCs w:val="21"/>
          <w:u w:val="single"/>
        </w:rPr>
      </w:pPr>
      <w:r>
        <w:rPr>
          <w:rFonts w:hint="eastAsia" w:ascii="宋体" w:hAnsi="宋体" w:eastAsia="宋体" w:cs="宋体"/>
          <w:szCs w:val="21"/>
        </w:rPr>
        <w:t>投标人名称：</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4D249EC3">
      <w:pPr>
        <w:spacing w:line="400" w:lineRule="exact"/>
        <w:ind w:firstLine="420"/>
        <w:rPr>
          <w:rFonts w:ascii="宋体" w:hAnsi="宋体" w:eastAsia="宋体" w:cs="宋体"/>
          <w:szCs w:val="21"/>
          <w:u w:val="single"/>
        </w:rPr>
      </w:pPr>
      <w:r>
        <w:rPr>
          <w:rFonts w:hint="eastAsia" w:ascii="宋体" w:hAnsi="宋体" w:eastAsia="宋体" w:cs="宋体"/>
          <w:szCs w:val="21"/>
        </w:rPr>
        <w:t>姓名：</w:t>
      </w:r>
      <w:r>
        <w:rPr>
          <w:rFonts w:hint="eastAsia" w:ascii="宋体" w:hAnsi="宋体" w:eastAsia="宋体" w:cs="宋体"/>
          <w:szCs w:val="21"/>
          <w:u w:val="single"/>
        </w:rPr>
        <w:t xml:space="preserve">                                         </w:t>
      </w:r>
    </w:p>
    <w:p w14:paraId="7A45F392">
      <w:pPr>
        <w:spacing w:line="400" w:lineRule="exact"/>
        <w:ind w:firstLine="420"/>
        <w:rPr>
          <w:rFonts w:ascii="宋体" w:hAnsi="宋体" w:eastAsia="宋体" w:cs="宋体"/>
          <w:szCs w:val="21"/>
          <w:u w:val="single"/>
        </w:rPr>
      </w:pPr>
      <w:r>
        <w:rPr>
          <w:rFonts w:hint="eastAsia" w:ascii="宋体" w:hAnsi="宋体" w:eastAsia="宋体" w:cs="宋体"/>
          <w:szCs w:val="21"/>
        </w:rPr>
        <w:t>性别：</w:t>
      </w:r>
      <w:r>
        <w:rPr>
          <w:rFonts w:hint="eastAsia" w:ascii="宋体" w:hAnsi="宋体" w:eastAsia="宋体" w:cs="宋体"/>
          <w:szCs w:val="21"/>
          <w:u w:val="single"/>
        </w:rPr>
        <w:t xml:space="preserve">                                         </w:t>
      </w:r>
    </w:p>
    <w:p w14:paraId="2267F830">
      <w:pPr>
        <w:spacing w:line="400" w:lineRule="exact"/>
        <w:ind w:firstLine="420"/>
        <w:rPr>
          <w:rFonts w:ascii="宋体" w:hAnsi="宋体" w:eastAsia="宋体" w:cs="宋体"/>
          <w:szCs w:val="21"/>
          <w:u w:val="single"/>
        </w:rPr>
      </w:pPr>
      <w:r>
        <w:rPr>
          <w:rFonts w:hint="eastAsia" w:ascii="宋体" w:hAnsi="宋体" w:eastAsia="宋体" w:cs="宋体"/>
          <w:szCs w:val="21"/>
        </w:rPr>
        <w:t>年龄：</w:t>
      </w:r>
      <w:r>
        <w:rPr>
          <w:rFonts w:hint="eastAsia" w:ascii="宋体" w:hAnsi="宋体" w:eastAsia="宋体" w:cs="宋体"/>
          <w:szCs w:val="21"/>
          <w:u w:val="single"/>
        </w:rPr>
        <w:t xml:space="preserve">            </w:t>
      </w:r>
      <w:r>
        <w:rPr>
          <w:rFonts w:hint="eastAsia" w:ascii="宋体" w:hAnsi="宋体" w:eastAsia="宋体" w:cs="宋体"/>
          <w:szCs w:val="21"/>
        </w:rPr>
        <w:t>职务：</w:t>
      </w:r>
      <w:r>
        <w:rPr>
          <w:rFonts w:hint="eastAsia" w:ascii="宋体" w:hAnsi="宋体" w:eastAsia="宋体" w:cs="宋体"/>
          <w:szCs w:val="21"/>
          <w:u w:val="single"/>
        </w:rPr>
        <w:t xml:space="preserve">                </w:t>
      </w:r>
    </w:p>
    <w:p w14:paraId="36F8A860">
      <w:pPr>
        <w:spacing w:line="400" w:lineRule="exact"/>
        <w:ind w:firstLine="420"/>
        <w:rPr>
          <w:rFonts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w:t>
      </w:r>
    </w:p>
    <w:p w14:paraId="37FCD592">
      <w:pPr>
        <w:spacing w:line="400" w:lineRule="exact"/>
        <w:ind w:firstLine="840" w:firstLineChars="400"/>
        <w:rPr>
          <w:rFonts w:ascii="宋体" w:hAnsi="宋体" w:eastAsia="宋体" w:cs="宋体"/>
          <w:szCs w:val="21"/>
        </w:rPr>
      </w:pPr>
      <w:r>
        <w:rPr>
          <w:rFonts w:hint="eastAsia" w:ascii="宋体" w:hAnsi="宋体" w:eastAsia="宋体" w:cs="宋体"/>
          <w:szCs w:val="21"/>
        </w:rPr>
        <w:t>特此证明。</w:t>
      </w:r>
    </w:p>
    <w:p w14:paraId="0E89FD0B">
      <w:pPr>
        <w:spacing w:line="400" w:lineRule="exact"/>
        <w:ind w:firstLine="420"/>
        <w:rPr>
          <w:rFonts w:ascii="宋体" w:hAnsi="宋体" w:eastAsia="宋体" w:cs="宋体"/>
          <w:szCs w:val="21"/>
        </w:rPr>
      </w:pPr>
    </w:p>
    <w:p w14:paraId="78231015">
      <w:pPr>
        <w:spacing w:line="400" w:lineRule="exact"/>
        <w:ind w:firstLine="420"/>
        <w:rPr>
          <w:rFonts w:ascii="宋体" w:hAnsi="宋体" w:eastAsia="宋体" w:cs="宋体"/>
          <w:szCs w:val="21"/>
        </w:rPr>
      </w:pPr>
      <w:r>
        <w:rPr>
          <w:rFonts w:hint="eastAsia" w:ascii="宋体" w:hAnsi="宋体" w:eastAsia="宋体" w:cs="宋体"/>
          <w:szCs w:val="21"/>
        </w:rPr>
        <w:t>附：法定代表人身份证复印件。</w:t>
      </w:r>
    </w:p>
    <w:p w14:paraId="0FE2E616">
      <w:pPr>
        <w:pStyle w:val="2"/>
        <w:spacing w:line="400" w:lineRule="exact"/>
        <w:ind w:firstLine="210"/>
        <w:rPr>
          <w:rFonts w:ascii="宋体" w:hAnsi="宋体" w:eastAsia="宋体" w:cs="宋体"/>
          <w:sz w:val="21"/>
          <w:szCs w:val="21"/>
        </w:rPr>
      </w:pPr>
    </w:p>
    <w:p w14:paraId="7AA885B2">
      <w:pPr>
        <w:spacing w:line="400" w:lineRule="exact"/>
        <w:ind w:firstLine="420"/>
        <w:rPr>
          <w:rFonts w:ascii="宋体" w:hAnsi="宋体" w:eastAsia="宋体" w:cs="宋体"/>
          <w:szCs w:val="21"/>
        </w:rPr>
      </w:pPr>
    </w:p>
    <w:p w14:paraId="455EC6AD">
      <w:pPr>
        <w:spacing w:line="400" w:lineRule="exact"/>
        <w:ind w:firstLine="4200" w:firstLineChars="2000"/>
        <w:rPr>
          <w:rFonts w:ascii="宋体" w:hAnsi="宋体" w:eastAsia="宋体" w:cs="宋体"/>
          <w:szCs w:val="21"/>
        </w:rPr>
      </w:pPr>
      <w:r>
        <w:rPr>
          <w:rFonts w:hint="eastAsia" w:ascii="宋体" w:hAnsi="宋体" w:eastAsia="宋体" w:cs="宋体"/>
          <w:szCs w:val="21"/>
        </w:rPr>
        <w:t>投标人：</w:t>
      </w:r>
      <w:r>
        <w:rPr>
          <w:rFonts w:hint="eastAsia" w:ascii="宋体" w:hAnsi="宋体" w:eastAsia="宋体" w:cs="宋体"/>
          <w:szCs w:val="21"/>
          <w:u w:val="single"/>
        </w:rPr>
        <w:t xml:space="preserve">            </w:t>
      </w:r>
      <w:r>
        <w:rPr>
          <w:rFonts w:hint="eastAsia" w:ascii="宋体" w:hAnsi="宋体" w:eastAsia="宋体" w:cs="宋体"/>
          <w:szCs w:val="21"/>
        </w:rPr>
        <w:t>（单位电子签章）</w:t>
      </w:r>
    </w:p>
    <w:p w14:paraId="008D8389">
      <w:pPr>
        <w:spacing w:line="400" w:lineRule="exact"/>
        <w:ind w:firstLine="4515" w:firstLineChars="2150"/>
        <w:rPr>
          <w:rFonts w:ascii="宋体" w:hAnsi="宋体" w:eastAsia="宋体" w:cs="宋体"/>
          <w:szCs w:val="21"/>
          <w:u w:val="single"/>
        </w:rPr>
      </w:pPr>
    </w:p>
    <w:p w14:paraId="0D356E48">
      <w:pPr>
        <w:spacing w:line="400" w:lineRule="exact"/>
        <w:ind w:firstLine="4515" w:firstLineChars="2150"/>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5600AD84">
      <w:pPr>
        <w:ind w:firstLine="420"/>
        <w:rPr>
          <w:rFonts w:ascii="宋体" w:hAnsi="宋体" w:eastAsia="宋体" w:cs="宋体"/>
          <w:szCs w:val="21"/>
        </w:rPr>
      </w:pPr>
      <w:r>
        <w:rPr>
          <w:rFonts w:hint="eastAsia" w:ascii="宋体" w:hAnsi="宋体" w:eastAsia="宋体" w:cs="宋体"/>
          <w:szCs w:val="21"/>
        </w:rPr>
        <w:br w:type="page"/>
      </w:r>
    </w:p>
    <w:p w14:paraId="048B494D">
      <w:pPr>
        <w:pStyle w:val="6"/>
        <w:ind w:firstLine="0" w:firstLineChars="0"/>
        <w:jc w:val="center"/>
      </w:pPr>
      <w:bookmarkStart w:id="142" w:name="_Toc184635140"/>
      <w:r>
        <w:rPr>
          <w:rFonts w:hint="eastAsia"/>
        </w:rPr>
        <w:t>三、授权委托书</w:t>
      </w:r>
      <w:bookmarkEnd w:id="142"/>
    </w:p>
    <w:p w14:paraId="3670AB2F">
      <w:pPr>
        <w:spacing w:line="400" w:lineRule="exact"/>
        <w:ind w:firstLine="420"/>
        <w:rPr>
          <w:rFonts w:ascii="宋体" w:hAnsi="宋体" w:eastAsia="宋体" w:cs="宋体"/>
          <w:szCs w:val="21"/>
        </w:rPr>
      </w:pPr>
    </w:p>
    <w:p w14:paraId="5A055C05">
      <w:pPr>
        <w:spacing w:line="400" w:lineRule="exact"/>
        <w:ind w:firstLine="420"/>
        <w:rPr>
          <w:rFonts w:ascii="宋体" w:hAnsi="宋体" w:eastAsia="宋体" w:cs="宋体"/>
          <w:szCs w:val="21"/>
        </w:rPr>
      </w:pPr>
      <w:r>
        <w:rPr>
          <w:rFonts w:hint="eastAsia" w:ascii="宋体" w:hAnsi="宋体" w:eastAsia="宋体" w:cs="宋体"/>
          <w:szCs w:val="21"/>
        </w:rPr>
        <w:t>本人</w:t>
      </w:r>
      <w:r>
        <w:rPr>
          <w:rFonts w:hint="eastAsia" w:ascii="宋体" w:hAnsi="宋体" w:eastAsia="宋体" w:cs="宋体"/>
          <w:szCs w:val="21"/>
          <w:u w:val="single"/>
        </w:rPr>
        <w:t xml:space="preserve">          </w:t>
      </w:r>
      <w:r>
        <w:rPr>
          <w:rFonts w:hint="eastAsia" w:ascii="宋体" w:hAnsi="宋体" w:eastAsia="宋体" w:cs="宋体"/>
          <w:szCs w:val="21"/>
        </w:rPr>
        <w:t>（姓名）</w:t>
      </w:r>
      <w:r>
        <w:rPr>
          <w:rFonts w:hint="eastAsia" w:ascii="宋体" w:hAnsi="宋体" w:eastAsia="宋体" w:cs="宋体"/>
          <w:szCs w:val="21"/>
          <w:u w:val="single"/>
        </w:rPr>
        <w:t xml:space="preserve">          </w:t>
      </w:r>
      <w:r>
        <w:rPr>
          <w:rFonts w:hint="eastAsia" w:ascii="宋体" w:hAnsi="宋体" w:eastAsia="宋体" w:cs="宋体"/>
          <w:szCs w:val="21"/>
        </w:rPr>
        <w:t>系（投标人名称）的法定代表人，现委托</w:t>
      </w:r>
      <w:r>
        <w:rPr>
          <w:rFonts w:hint="eastAsia" w:ascii="宋体" w:hAnsi="宋体" w:eastAsia="宋体" w:cs="宋体"/>
          <w:szCs w:val="21"/>
          <w:u w:val="single"/>
        </w:rPr>
        <w:t xml:space="preserve">      </w:t>
      </w:r>
      <w:r>
        <w:rPr>
          <w:rFonts w:hint="eastAsia" w:ascii="宋体" w:hAnsi="宋体" w:eastAsia="宋体" w:cs="宋体"/>
          <w:szCs w:val="21"/>
        </w:rPr>
        <w:t>（姓名）为我方代理人。代理人根据授权，以我方名义签署、澄清、说明、补正、递交、撤回、修改</w:t>
      </w:r>
      <w:r>
        <w:rPr>
          <w:rFonts w:hint="eastAsia" w:ascii="宋体" w:hAnsi="宋体" w:eastAsia="宋体" w:cs="宋体"/>
          <w:szCs w:val="21"/>
          <w:u w:val="single"/>
        </w:rPr>
        <w:t xml:space="preserve">           （项目名称） </w:t>
      </w:r>
      <w:r>
        <w:rPr>
          <w:rFonts w:hint="eastAsia" w:ascii="宋体" w:hAnsi="宋体" w:eastAsia="宋体" w:cs="宋体"/>
          <w:szCs w:val="21"/>
        </w:rPr>
        <w:t>投标文件、签订合同和处理有关事宜，其法律后果由我方承担。</w:t>
      </w:r>
    </w:p>
    <w:p w14:paraId="43263009">
      <w:pPr>
        <w:spacing w:line="400" w:lineRule="exact"/>
        <w:ind w:firstLine="420"/>
        <w:rPr>
          <w:rFonts w:ascii="宋体" w:hAnsi="宋体" w:eastAsia="宋体" w:cs="宋体"/>
          <w:szCs w:val="21"/>
        </w:rPr>
      </w:pPr>
      <w:r>
        <w:rPr>
          <w:rFonts w:hint="eastAsia" w:ascii="宋体" w:hAnsi="宋体" w:eastAsia="宋体" w:cs="宋体"/>
          <w:szCs w:val="21"/>
        </w:rPr>
        <w:t>代理人无转委托权。</w:t>
      </w:r>
    </w:p>
    <w:p w14:paraId="16CD4569">
      <w:pPr>
        <w:ind w:firstLine="420"/>
        <w:rPr>
          <w:rFonts w:ascii="宋体" w:hAnsi="宋体" w:eastAsia="宋体" w:cs="宋体"/>
          <w:szCs w:val="21"/>
        </w:rPr>
      </w:pPr>
    </w:p>
    <w:p w14:paraId="4E69E992">
      <w:pPr>
        <w:spacing w:line="400" w:lineRule="exact"/>
        <w:ind w:firstLine="422"/>
        <w:rPr>
          <w:rFonts w:ascii="宋体" w:hAnsi="宋体" w:eastAsia="宋体" w:cs="宋体"/>
          <w:b/>
          <w:bCs/>
          <w:szCs w:val="21"/>
        </w:rPr>
      </w:pPr>
      <w:r>
        <w:rPr>
          <w:rFonts w:hint="eastAsia" w:ascii="宋体" w:hAnsi="宋体" w:eastAsia="宋体" w:cs="宋体"/>
          <w:b/>
          <w:bCs/>
          <w:szCs w:val="21"/>
        </w:rPr>
        <w:t>委托期限：本授权书至投标有效期结束前始终有效。</w:t>
      </w:r>
    </w:p>
    <w:p w14:paraId="14E3F67A">
      <w:pPr>
        <w:spacing w:line="400" w:lineRule="exact"/>
        <w:ind w:firstLine="420"/>
        <w:rPr>
          <w:rFonts w:ascii="宋体" w:hAnsi="宋体" w:eastAsia="宋体" w:cs="宋体"/>
          <w:szCs w:val="21"/>
        </w:rPr>
      </w:pPr>
    </w:p>
    <w:p w14:paraId="07C920DE">
      <w:pPr>
        <w:spacing w:line="400" w:lineRule="exact"/>
        <w:ind w:firstLine="420"/>
        <w:rPr>
          <w:rFonts w:ascii="宋体" w:hAnsi="宋体" w:eastAsia="宋体" w:cs="宋体"/>
          <w:szCs w:val="21"/>
        </w:rPr>
      </w:pPr>
      <w:r>
        <w:rPr>
          <w:rFonts w:hint="eastAsia" w:ascii="宋体" w:hAnsi="宋体" w:eastAsia="宋体" w:cs="宋体"/>
          <w:szCs w:val="21"/>
        </w:rPr>
        <w:t>附：法定代表人身份证复印件及委托代理人身份证复印件</w:t>
      </w:r>
    </w:p>
    <w:p w14:paraId="425651D0">
      <w:pPr>
        <w:spacing w:line="400" w:lineRule="exact"/>
        <w:ind w:firstLine="420"/>
        <w:rPr>
          <w:rFonts w:ascii="宋体" w:hAnsi="宋体" w:eastAsia="宋体" w:cs="宋体"/>
          <w:szCs w:val="21"/>
        </w:rPr>
      </w:pPr>
    </w:p>
    <w:p w14:paraId="6F81A3D5">
      <w:pPr>
        <w:spacing w:line="400" w:lineRule="exact"/>
        <w:ind w:firstLine="420"/>
        <w:rPr>
          <w:rFonts w:ascii="宋体" w:hAnsi="宋体" w:eastAsia="宋体" w:cs="宋体"/>
          <w:szCs w:val="21"/>
        </w:rPr>
      </w:pPr>
      <w:r>
        <w:rPr>
          <w:rFonts w:hint="eastAsia" w:ascii="宋体" w:hAnsi="宋体" w:eastAsia="宋体" w:cs="宋体"/>
          <w:szCs w:val="21"/>
        </w:rPr>
        <w:t>注：本授权委托书需由投标人加盖单位公章并由法定代表人和委托代理人签字。</w:t>
      </w:r>
    </w:p>
    <w:p w14:paraId="67368BBD">
      <w:pPr>
        <w:spacing w:line="400" w:lineRule="exact"/>
        <w:ind w:firstLine="420"/>
        <w:rPr>
          <w:rFonts w:ascii="宋体" w:hAnsi="宋体" w:eastAsia="宋体" w:cs="宋体"/>
          <w:szCs w:val="21"/>
        </w:rPr>
      </w:pPr>
    </w:p>
    <w:p w14:paraId="715B0412">
      <w:pPr>
        <w:spacing w:line="400" w:lineRule="exact"/>
        <w:ind w:firstLine="4725" w:firstLineChars="2250"/>
        <w:rPr>
          <w:rFonts w:ascii="宋体" w:hAnsi="宋体" w:eastAsia="宋体" w:cs="宋体"/>
          <w:szCs w:val="21"/>
        </w:rPr>
      </w:pPr>
      <w:r>
        <w:rPr>
          <w:rFonts w:hint="eastAsia" w:ascii="宋体" w:hAnsi="宋体" w:eastAsia="宋体" w:cs="宋体"/>
          <w:szCs w:val="21"/>
        </w:rPr>
        <w:t>投标人：</w:t>
      </w:r>
      <w:r>
        <w:rPr>
          <w:rFonts w:hint="eastAsia" w:ascii="宋体" w:hAnsi="宋体" w:eastAsia="宋体" w:cs="宋体"/>
          <w:szCs w:val="21"/>
          <w:u w:val="single"/>
        </w:rPr>
        <w:t xml:space="preserve">            </w:t>
      </w:r>
      <w:r>
        <w:rPr>
          <w:rFonts w:hint="eastAsia" w:ascii="宋体" w:hAnsi="宋体" w:eastAsia="宋体" w:cs="宋体"/>
          <w:szCs w:val="21"/>
        </w:rPr>
        <w:t>（单位电子签章）</w:t>
      </w:r>
    </w:p>
    <w:p w14:paraId="62A017FE">
      <w:pPr>
        <w:spacing w:line="400" w:lineRule="exact"/>
        <w:ind w:firstLine="420"/>
        <w:rPr>
          <w:rFonts w:ascii="宋体" w:hAnsi="宋体" w:eastAsia="宋体" w:cs="宋体"/>
          <w:szCs w:val="21"/>
        </w:rPr>
      </w:pPr>
    </w:p>
    <w:p w14:paraId="4E835457">
      <w:pPr>
        <w:spacing w:line="360" w:lineRule="auto"/>
        <w:ind w:firstLine="4725" w:firstLineChars="2250"/>
        <w:rPr>
          <w:rFonts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（电子签名或盖章）</w:t>
      </w:r>
    </w:p>
    <w:p w14:paraId="334ED774">
      <w:pPr>
        <w:spacing w:line="360" w:lineRule="auto"/>
        <w:ind w:firstLine="4725" w:firstLineChars="2250"/>
        <w:rPr>
          <w:rFonts w:ascii="宋体" w:hAnsi="宋体" w:eastAsia="宋体" w:cs="宋体"/>
          <w:szCs w:val="21"/>
        </w:rPr>
      </w:pPr>
      <w:r>
        <w:rPr>
          <w:rFonts w:hint="eastAsia" w:ascii="宋体" w:hAnsi="宋体" w:eastAsia="宋体" w:cs="宋体"/>
          <w:szCs w:val="21"/>
        </w:rPr>
        <w:t>身份证号码：</w:t>
      </w:r>
      <w:r>
        <w:rPr>
          <w:rFonts w:hint="eastAsia" w:ascii="宋体" w:hAnsi="宋体" w:eastAsia="宋体" w:cs="宋体"/>
          <w:szCs w:val="21"/>
          <w:u w:val="single"/>
        </w:rPr>
        <w:t xml:space="preserve">               </w:t>
      </w:r>
    </w:p>
    <w:p w14:paraId="1D5D8FB1">
      <w:pPr>
        <w:spacing w:line="360" w:lineRule="auto"/>
        <w:ind w:firstLine="4725" w:firstLineChars="2250"/>
        <w:rPr>
          <w:rFonts w:ascii="宋体" w:hAnsi="宋体" w:eastAsia="宋体" w:cs="宋体"/>
          <w:szCs w:val="21"/>
        </w:rPr>
      </w:pPr>
      <w:r>
        <w:rPr>
          <w:rFonts w:hint="eastAsia" w:ascii="宋体" w:hAnsi="宋体" w:eastAsia="宋体" w:cs="宋体"/>
          <w:szCs w:val="21"/>
        </w:rPr>
        <w:t>委托代理人：</w:t>
      </w:r>
      <w:r>
        <w:rPr>
          <w:rFonts w:hint="eastAsia" w:ascii="宋体" w:hAnsi="宋体" w:eastAsia="宋体" w:cs="宋体"/>
          <w:szCs w:val="21"/>
          <w:u w:val="single"/>
        </w:rPr>
        <w:t xml:space="preserve">           </w:t>
      </w:r>
      <w:r>
        <w:rPr>
          <w:rFonts w:hint="eastAsia" w:ascii="宋体" w:hAnsi="宋体" w:eastAsia="宋体" w:cs="宋体"/>
          <w:szCs w:val="21"/>
        </w:rPr>
        <w:t>（电子签名或盖章）</w:t>
      </w:r>
    </w:p>
    <w:p w14:paraId="1CEA6DC2">
      <w:pPr>
        <w:spacing w:line="360" w:lineRule="auto"/>
        <w:ind w:firstLine="4725" w:firstLineChars="2250"/>
        <w:rPr>
          <w:rFonts w:ascii="宋体" w:hAnsi="宋体" w:eastAsia="宋体" w:cs="宋体"/>
          <w:szCs w:val="21"/>
          <w:u w:val="single"/>
        </w:rPr>
      </w:pPr>
      <w:r>
        <w:rPr>
          <w:rFonts w:hint="eastAsia" w:ascii="宋体" w:hAnsi="宋体" w:eastAsia="宋体" w:cs="宋体"/>
          <w:szCs w:val="21"/>
        </w:rPr>
        <w:t>身份证号码：</w:t>
      </w:r>
      <w:r>
        <w:rPr>
          <w:rFonts w:hint="eastAsia" w:ascii="宋体" w:hAnsi="宋体" w:eastAsia="宋体" w:cs="宋体"/>
          <w:szCs w:val="21"/>
          <w:u w:val="single"/>
        </w:rPr>
        <w:t xml:space="preserve">              </w:t>
      </w:r>
    </w:p>
    <w:p w14:paraId="1E23C0C7">
      <w:pPr>
        <w:spacing w:line="400" w:lineRule="exact"/>
        <w:ind w:firstLine="5355" w:firstLineChars="2550"/>
        <w:rPr>
          <w:rFonts w:ascii="宋体" w:hAnsi="宋体" w:eastAsia="宋体" w:cs="宋体"/>
          <w:szCs w:val="21"/>
        </w:rPr>
      </w:pPr>
    </w:p>
    <w:p w14:paraId="1FDA3A86">
      <w:pPr>
        <w:spacing w:line="400" w:lineRule="exact"/>
        <w:ind w:firstLine="5040" w:firstLineChars="2400"/>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3FD5D6C3">
      <w:pPr>
        <w:ind w:firstLine="600"/>
        <w:rPr>
          <w:sz w:val="30"/>
          <w:szCs w:val="30"/>
        </w:rPr>
      </w:pPr>
      <w:r>
        <w:rPr>
          <w:rFonts w:hint="eastAsia"/>
          <w:sz w:val="30"/>
          <w:szCs w:val="30"/>
        </w:rPr>
        <w:br w:type="page"/>
      </w:r>
    </w:p>
    <w:p w14:paraId="3F16C48B">
      <w:pPr>
        <w:pStyle w:val="6"/>
        <w:numPr>
          <w:ilvl w:val="1"/>
          <w:numId w:val="0"/>
        </w:numPr>
        <w:spacing w:before="60" w:after="60" w:line="360" w:lineRule="auto"/>
        <w:jc w:val="center"/>
        <w:rPr>
          <w:rFonts w:eastAsia="宋体" w:cs="宋体"/>
          <w:szCs w:val="28"/>
        </w:rPr>
      </w:pPr>
      <w:bookmarkStart w:id="143" w:name="_Toc5437"/>
      <w:bookmarkStart w:id="144" w:name="_Toc475624458"/>
      <w:r>
        <w:rPr>
          <w:rFonts w:hint="eastAsia" w:eastAsia="宋体" w:cs="宋体"/>
          <w:b/>
          <w:bCs/>
          <w:szCs w:val="28"/>
        </w:rPr>
        <w:t>四、分项报价表</w:t>
      </w:r>
    </w:p>
    <w:p w14:paraId="4D23C86E">
      <w:pPr>
        <w:numPr>
          <w:ilvl w:val="0"/>
          <w:numId w:val="6"/>
        </w:numPr>
        <w:spacing w:line="360" w:lineRule="exact"/>
        <w:ind w:firstLine="482"/>
        <w:jc w:val="center"/>
        <w:outlineLvl w:val="1"/>
        <w:rPr>
          <w:rFonts w:ascii="宋体" w:hAnsi="宋体" w:cs="宋体"/>
          <w:b/>
          <w:sz w:val="24"/>
          <w:szCs w:val="24"/>
        </w:rPr>
      </w:pPr>
      <w:r>
        <w:rPr>
          <w:rFonts w:hint="eastAsia" w:ascii="宋体" w:hAnsi="宋体" w:cs="宋体"/>
          <w:b/>
          <w:sz w:val="24"/>
          <w:szCs w:val="24"/>
        </w:rPr>
        <w:t>货物分项报价一览表</w:t>
      </w:r>
    </w:p>
    <w:p w14:paraId="39F83DBB">
      <w:pPr>
        <w:pStyle w:val="47"/>
        <w:rPr>
          <w:rFonts w:hAnsi="宋体"/>
          <w:color w:val="auto"/>
        </w:rPr>
      </w:pPr>
    </w:p>
    <w:p w14:paraId="2FE12BF3">
      <w:pPr>
        <w:spacing w:line="312" w:lineRule="auto"/>
        <w:ind w:firstLine="422"/>
        <w:jc w:val="center"/>
        <w:rPr>
          <w:rFonts w:ascii="宋体" w:hAnsi="宋体" w:cs="宋体"/>
          <w:b/>
          <w:szCs w:val="21"/>
        </w:rPr>
      </w:pPr>
      <w:r>
        <w:rPr>
          <w:rFonts w:hint="eastAsia" w:ascii="宋体" w:hAnsi="宋体" w:cs="宋体"/>
          <w:b/>
          <w:szCs w:val="21"/>
        </w:rPr>
        <w:t xml:space="preserve">                                                                 单位：元</w:t>
      </w:r>
    </w:p>
    <w:tbl>
      <w:tblPr>
        <w:tblStyle w:val="27"/>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136"/>
        <w:gridCol w:w="1371"/>
        <w:gridCol w:w="1026"/>
        <w:gridCol w:w="1113"/>
        <w:gridCol w:w="1113"/>
        <w:gridCol w:w="927"/>
        <w:gridCol w:w="927"/>
        <w:gridCol w:w="1113"/>
        <w:gridCol w:w="985"/>
      </w:tblGrid>
      <w:tr w14:paraId="7DE6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853" w:type="dxa"/>
            <w:noWrap/>
            <w:vAlign w:val="center"/>
          </w:tcPr>
          <w:p w14:paraId="4CCAA914">
            <w:pPr>
              <w:ind w:firstLine="0" w:firstLineChars="0"/>
              <w:jc w:val="center"/>
              <w:rPr>
                <w:rFonts w:ascii="宋体" w:hAnsi="宋体" w:cs="宋体"/>
                <w:szCs w:val="21"/>
              </w:rPr>
            </w:pPr>
            <w:r>
              <w:rPr>
                <w:rFonts w:hint="eastAsia" w:ascii="宋体" w:hAnsi="宋体" w:cs="宋体"/>
                <w:szCs w:val="21"/>
              </w:rPr>
              <w:t>序号</w:t>
            </w:r>
          </w:p>
        </w:tc>
        <w:tc>
          <w:tcPr>
            <w:tcW w:w="1136" w:type="dxa"/>
            <w:noWrap/>
            <w:vAlign w:val="center"/>
          </w:tcPr>
          <w:p w14:paraId="1E6AE922">
            <w:pPr>
              <w:ind w:firstLine="0" w:firstLineChars="0"/>
              <w:jc w:val="center"/>
              <w:rPr>
                <w:rFonts w:ascii="宋体" w:hAnsi="宋体" w:cs="宋体"/>
                <w:szCs w:val="21"/>
              </w:rPr>
            </w:pPr>
            <w:r>
              <w:rPr>
                <w:rFonts w:hint="eastAsia" w:ascii="宋体" w:hAnsi="宋体" w:cs="宋体"/>
                <w:szCs w:val="21"/>
              </w:rPr>
              <w:t>货物名称</w:t>
            </w:r>
          </w:p>
        </w:tc>
        <w:tc>
          <w:tcPr>
            <w:tcW w:w="1371" w:type="dxa"/>
            <w:noWrap/>
            <w:vAlign w:val="center"/>
          </w:tcPr>
          <w:p w14:paraId="7359CB77">
            <w:pPr>
              <w:ind w:firstLine="0" w:firstLineChars="0"/>
              <w:jc w:val="center"/>
              <w:rPr>
                <w:rFonts w:ascii="宋体" w:hAnsi="宋体" w:cs="宋体"/>
                <w:szCs w:val="21"/>
              </w:rPr>
            </w:pPr>
            <w:r>
              <w:rPr>
                <w:rFonts w:hint="eastAsia" w:ascii="宋体" w:hAnsi="宋体" w:cs="宋体"/>
                <w:szCs w:val="21"/>
              </w:rPr>
              <w:t>规格型号</w:t>
            </w:r>
          </w:p>
        </w:tc>
        <w:tc>
          <w:tcPr>
            <w:tcW w:w="1026" w:type="dxa"/>
            <w:noWrap/>
            <w:vAlign w:val="center"/>
          </w:tcPr>
          <w:p w14:paraId="38E5661F">
            <w:pPr>
              <w:ind w:firstLine="0" w:firstLineChars="0"/>
              <w:jc w:val="center"/>
              <w:rPr>
                <w:rFonts w:ascii="宋体" w:hAnsi="宋体" w:cs="宋体"/>
                <w:szCs w:val="21"/>
              </w:rPr>
            </w:pPr>
            <w:r>
              <w:rPr>
                <w:rFonts w:hint="eastAsia" w:ascii="宋体" w:hAnsi="宋体" w:cs="宋体"/>
                <w:szCs w:val="21"/>
              </w:rPr>
              <w:t>制造商</w:t>
            </w:r>
          </w:p>
        </w:tc>
        <w:tc>
          <w:tcPr>
            <w:tcW w:w="1113" w:type="dxa"/>
            <w:noWrap/>
            <w:vAlign w:val="center"/>
          </w:tcPr>
          <w:p w14:paraId="2FCD072B">
            <w:pPr>
              <w:ind w:firstLine="0" w:firstLineChars="0"/>
              <w:jc w:val="center"/>
              <w:rPr>
                <w:rFonts w:ascii="宋体" w:hAnsi="宋体" w:cs="宋体"/>
                <w:szCs w:val="21"/>
              </w:rPr>
            </w:pPr>
            <w:r>
              <w:rPr>
                <w:rFonts w:hint="eastAsia" w:ascii="宋体" w:hAnsi="宋体" w:cs="宋体"/>
                <w:szCs w:val="21"/>
              </w:rPr>
              <w:t>品牌</w:t>
            </w:r>
          </w:p>
        </w:tc>
        <w:tc>
          <w:tcPr>
            <w:tcW w:w="1113" w:type="dxa"/>
            <w:noWrap/>
            <w:vAlign w:val="center"/>
          </w:tcPr>
          <w:p w14:paraId="4D813E8A">
            <w:pPr>
              <w:ind w:firstLine="0" w:firstLineChars="0"/>
              <w:jc w:val="center"/>
              <w:rPr>
                <w:rFonts w:ascii="宋体" w:hAnsi="宋体" w:cs="宋体"/>
                <w:szCs w:val="21"/>
              </w:rPr>
            </w:pPr>
            <w:r>
              <w:rPr>
                <w:rFonts w:hint="eastAsia" w:ascii="宋体" w:hAnsi="宋体" w:cs="宋体"/>
                <w:szCs w:val="21"/>
              </w:rPr>
              <w:t>单位</w:t>
            </w:r>
          </w:p>
        </w:tc>
        <w:tc>
          <w:tcPr>
            <w:tcW w:w="927" w:type="dxa"/>
            <w:noWrap/>
            <w:vAlign w:val="center"/>
          </w:tcPr>
          <w:p w14:paraId="6381B8A6">
            <w:pPr>
              <w:ind w:firstLine="0" w:firstLineChars="0"/>
              <w:jc w:val="center"/>
              <w:rPr>
                <w:rFonts w:ascii="宋体" w:hAnsi="宋体" w:cs="宋体"/>
                <w:szCs w:val="21"/>
              </w:rPr>
            </w:pPr>
            <w:r>
              <w:rPr>
                <w:rFonts w:hint="eastAsia" w:ascii="宋体" w:hAnsi="宋体" w:cs="宋体"/>
                <w:szCs w:val="21"/>
              </w:rPr>
              <w:t>数量</w:t>
            </w:r>
          </w:p>
        </w:tc>
        <w:tc>
          <w:tcPr>
            <w:tcW w:w="927" w:type="dxa"/>
            <w:noWrap/>
            <w:vAlign w:val="center"/>
          </w:tcPr>
          <w:p w14:paraId="4C17A885">
            <w:pPr>
              <w:ind w:firstLine="0" w:firstLineChars="0"/>
              <w:jc w:val="center"/>
              <w:rPr>
                <w:rFonts w:ascii="宋体" w:hAnsi="宋体" w:cs="宋体"/>
                <w:szCs w:val="21"/>
              </w:rPr>
            </w:pPr>
            <w:r>
              <w:rPr>
                <w:rFonts w:hint="eastAsia" w:ascii="宋体" w:hAnsi="宋体" w:cs="宋体"/>
                <w:szCs w:val="21"/>
              </w:rPr>
              <w:t>单价</w:t>
            </w:r>
          </w:p>
        </w:tc>
        <w:tc>
          <w:tcPr>
            <w:tcW w:w="1113" w:type="dxa"/>
            <w:noWrap/>
            <w:vAlign w:val="center"/>
          </w:tcPr>
          <w:p w14:paraId="1C2EC504">
            <w:pPr>
              <w:ind w:firstLine="0" w:firstLineChars="0"/>
              <w:jc w:val="center"/>
              <w:rPr>
                <w:rFonts w:ascii="宋体" w:hAnsi="宋体" w:cs="宋体"/>
                <w:szCs w:val="21"/>
              </w:rPr>
            </w:pPr>
            <w:r>
              <w:rPr>
                <w:rFonts w:hint="eastAsia" w:ascii="宋体" w:hAnsi="宋体" w:cs="宋体"/>
                <w:szCs w:val="21"/>
              </w:rPr>
              <w:t>合计</w:t>
            </w:r>
          </w:p>
        </w:tc>
        <w:tc>
          <w:tcPr>
            <w:tcW w:w="985" w:type="dxa"/>
            <w:noWrap/>
            <w:vAlign w:val="center"/>
          </w:tcPr>
          <w:p w14:paraId="4E19C3D2">
            <w:pPr>
              <w:ind w:firstLine="0" w:firstLineChars="0"/>
              <w:jc w:val="center"/>
              <w:rPr>
                <w:rFonts w:ascii="宋体" w:hAnsi="宋体" w:cs="宋体"/>
                <w:szCs w:val="21"/>
              </w:rPr>
            </w:pPr>
            <w:r>
              <w:rPr>
                <w:rFonts w:hint="eastAsia" w:ascii="宋体" w:hAnsi="宋体" w:cs="宋体"/>
                <w:szCs w:val="21"/>
              </w:rPr>
              <w:t>备注</w:t>
            </w:r>
          </w:p>
        </w:tc>
      </w:tr>
      <w:tr w14:paraId="1170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53" w:type="dxa"/>
            <w:noWrap/>
            <w:vAlign w:val="center"/>
          </w:tcPr>
          <w:p w14:paraId="2413EF42">
            <w:pPr>
              <w:ind w:firstLine="0" w:firstLineChars="0"/>
              <w:jc w:val="center"/>
              <w:rPr>
                <w:rFonts w:ascii="宋体" w:hAnsi="宋体" w:cs="宋体"/>
                <w:szCs w:val="21"/>
              </w:rPr>
            </w:pPr>
            <w:r>
              <w:rPr>
                <w:rFonts w:hint="eastAsia" w:ascii="宋体" w:hAnsi="宋体" w:cs="宋体"/>
                <w:szCs w:val="21"/>
              </w:rPr>
              <w:t>1</w:t>
            </w:r>
          </w:p>
        </w:tc>
        <w:tc>
          <w:tcPr>
            <w:tcW w:w="1136" w:type="dxa"/>
            <w:noWrap/>
            <w:vAlign w:val="center"/>
          </w:tcPr>
          <w:p w14:paraId="3C4B3E6A">
            <w:pPr>
              <w:ind w:firstLine="0" w:firstLineChars="0"/>
              <w:jc w:val="center"/>
              <w:rPr>
                <w:rFonts w:ascii="宋体" w:hAnsi="宋体" w:cs="宋体"/>
                <w:szCs w:val="21"/>
              </w:rPr>
            </w:pPr>
          </w:p>
        </w:tc>
        <w:tc>
          <w:tcPr>
            <w:tcW w:w="1371" w:type="dxa"/>
            <w:noWrap/>
            <w:vAlign w:val="center"/>
          </w:tcPr>
          <w:p w14:paraId="4FCE265A">
            <w:pPr>
              <w:ind w:firstLine="0" w:firstLineChars="0"/>
              <w:jc w:val="center"/>
              <w:rPr>
                <w:rFonts w:ascii="宋体" w:hAnsi="宋体" w:cs="宋体"/>
                <w:szCs w:val="21"/>
              </w:rPr>
            </w:pPr>
          </w:p>
        </w:tc>
        <w:tc>
          <w:tcPr>
            <w:tcW w:w="1026" w:type="dxa"/>
            <w:noWrap/>
            <w:vAlign w:val="center"/>
          </w:tcPr>
          <w:p w14:paraId="387F31D3">
            <w:pPr>
              <w:ind w:firstLine="0" w:firstLineChars="0"/>
              <w:jc w:val="center"/>
              <w:rPr>
                <w:rFonts w:ascii="宋体" w:hAnsi="宋体" w:cs="宋体"/>
                <w:szCs w:val="21"/>
              </w:rPr>
            </w:pPr>
          </w:p>
        </w:tc>
        <w:tc>
          <w:tcPr>
            <w:tcW w:w="1113" w:type="dxa"/>
            <w:noWrap/>
            <w:vAlign w:val="center"/>
          </w:tcPr>
          <w:p w14:paraId="456843D5">
            <w:pPr>
              <w:ind w:firstLine="0" w:firstLineChars="0"/>
              <w:jc w:val="center"/>
              <w:rPr>
                <w:rFonts w:ascii="宋体" w:hAnsi="宋体" w:cs="宋体"/>
                <w:szCs w:val="21"/>
              </w:rPr>
            </w:pPr>
          </w:p>
        </w:tc>
        <w:tc>
          <w:tcPr>
            <w:tcW w:w="1113" w:type="dxa"/>
            <w:noWrap/>
            <w:vAlign w:val="center"/>
          </w:tcPr>
          <w:p w14:paraId="26BD22D0">
            <w:pPr>
              <w:ind w:firstLine="0" w:firstLineChars="0"/>
              <w:jc w:val="center"/>
              <w:rPr>
                <w:rFonts w:ascii="宋体" w:hAnsi="宋体" w:cs="宋体"/>
                <w:szCs w:val="21"/>
              </w:rPr>
            </w:pPr>
          </w:p>
        </w:tc>
        <w:tc>
          <w:tcPr>
            <w:tcW w:w="927" w:type="dxa"/>
            <w:noWrap/>
            <w:vAlign w:val="center"/>
          </w:tcPr>
          <w:p w14:paraId="35066261">
            <w:pPr>
              <w:ind w:firstLine="0" w:firstLineChars="0"/>
              <w:jc w:val="center"/>
              <w:rPr>
                <w:rFonts w:ascii="宋体" w:hAnsi="宋体" w:cs="宋体"/>
                <w:szCs w:val="21"/>
              </w:rPr>
            </w:pPr>
          </w:p>
        </w:tc>
        <w:tc>
          <w:tcPr>
            <w:tcW w:w="927" w:type="dxa"/>
            <w:noWrap/>
            <w:vAlign w:val="center"/>
          </w:tcPr>
          <w:p w14:paraId="0FDEDBBD">
            <w:pPr>
              <w:ind w:firstLine="0" w:firstLineChars="0"/>
              <w:jc w:val="center"/>
              <w:rPr>
                <w:rFonts w:ascii="宋体" w:hAnsi="宋体" w:cs="宋体"/>
                <w:szCs w:val="21"/>
              </w:rPr>
            </w:pPr>
          </w:p>
        </w:tc>
        <w:tc>
          <w:tcPr>
            <w:tcW w:w="1113" w:type="dxa"/>
            <w:noWrap/>
            <w:vAlign w:val="center"/>
          </w:tcPr>
          <w:p w14:paraId="7FB9A1F1">
            <w:pPr>
              <w:ind w:firstLine="0" w:firstLineChars="0"/>
              <w:jc w:val="center"/>
              <w:rPr>
                <w:rFonts w:ascii="宋体" w:hAnsi="宋体" w:cs="宋体"/>
                <w:szCs w:val="21"/>
              </w:rPr>
            </w:pPr>
          </w:p>
        </w:tc>
        <w:tc>
          <w:tcPr>
            <w:tcW w:w="985" w:type="dxa"/>
            <w:noWrap/>
            <w:vAlign w:val="center"/>
          </w:tcPr>
          <w:p w14:paraId="77E6CB8A">
            <w:pPr>
              <w:ind w:firstLine="0" w:firstLineChars="0"/>
              <w:jc w:val="center"/>
              <w:rPr>
                <w:rFonts w:ascii="宋体" w:hAnsi="宋体" w:cs="宋体"/>
                <w:szCs w:val="21"/>
              </w:rPr>
            </w:pPr>
          </w:p>
        </w:tc>
      </w:tr>
      <w:tr w14:paraId="790F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53" w:type="dxa"/>
            <w:noWrap/>
            <w:vAlign w:val="center"/>
          </w:tcPr>
          <w:p w14:paraId="2D928022">
            <w:pPr>
              <w:ind w:firstLine="0" w:firstLineChars="0"/>
              <w:jc w:val="center"/>
              <w:rPr>
                <w:rFonts w:ascii="宋体" w:hAnsi="宋体" w:cs="宋体"/>
                <w:szCs w:val="21"/>
              </w:rPr>
            </w:pPr>
            <w:r>
              <w:rPr>
                <w:rFonts w:hint="eastAsia" w:ascii="宋体" w:hAnsi="宋体" w:cs="宋体"/>
                <w:szCs w:val="21"/>
              </w:rPr>
              <w:t>2</w:t>
            </w:r>
          </w:p>
        </w:tc>
        <w:tc>
          <w:tcPr>
            <w:tcW w:w="1136" w:type="dxa"/>
            <w:noWrap/>
            <w:vAlign w:val="center"/>
          </w:tcPr>
          <w:p w14:paraId="3232DBF7">
            <w:pPr>
              <w:ind w:firstLine="0" w:firstLineChars="0"/>
              <w:jc w:val="center"/>
              <w:rPr>
                <w:rFonts w:ascii="宋体" w:hAnsi="宋体" w:cs="宋体"/>
                <w:szCs w:val="21"/>
              </w:rPr>
            </w:pPr>
          </w:p>
        </w:tc>
        <w:tc>
          <w:tcPr>
            <w:tcW w:w="1371" w:type="dxa"/>
            <w:noWrap/>
            <w:vAlign w:val="center"/>
          </w:tcPr>
          <w:p w14:paraId="771F2BA5">
            <w:pPr>
              <w:ind w:firstLine="0" w:firstLineChars="0"/>
              <w:jc w:val="center"/>
              <w:rPr>
                <w:rFonts w:ascii="宋体" w:hAnsi="宋体" w:cs="宋体"/>
                <w:szCs w:val="21"/>
              </w:rPr>
            </w:pPr>
          </w:p>
        </w:tc>
        <w:tc>
          <w:tcPr>
            <w:tcW w:w="1026" w:type="dxa"/>
            <w:noWrap/>
            <w:vAlign w:val="center"/>
          </w:tcPr>
          <w:p w14:paraId="61ADF24D">
            <w:pPr>
              <w:ind w:firstLine="0" w:firstLineChars="0"/>
              <w:jc w:val="center"/>
              <w:rPr>
                <w:rFonts w:ascii="宋体" w:hAnsi="宋体" w:cs="宋体"/>
                <w:szCs w:val="21"/>
              </w:rPr>
            </w:pPr>
          </w:p>
        </w:tc>
        <w:tc>
          <w:tcPr>
            <w:tcW w:w="1113" w:type="dxa"/>
            <w:noWrap/>
            <w:vAlign w:val="center"/>
          </w:tcPr>
          <w:p w14:paraId="3B20C7D5">
            <w:pPr>
              <w:ind w:firstLine="0" w:firstLineChars="0"/>
              <w:jc w:val="center"/>
              <w:rPr>
                <w:rFonts w:ascii="宋体" w:hAnsi="宋体" w:cs="宋体"/>
                <w:szCs w:val="21"/>
              </w:rPr>
            </w:pPr>
          </w:p>
        </w:tc>
        <w:tc>
          <w:tcPr>
            <w:tcW w:w="1113" w:type="dxa"/>
            <w:noWrap/>
            <w:vAlign w:val="center"/>
          </w:tcPr>
          <w:p w14:paraId="7B6D31FE">
            <w:pPr>
              <w:ind w:firstLine="0" w:firstLineChars="0"/>
              <w:jc w:val="center"/>
              <w:rPr>
                <w:rFonts w:ascii="宋体" w:hAnsi="宋体" w:cs="宋体"/>
                <w:szCs w:val="21"/>
              </w:rPr>
            </w:pPr>
          </w:p>
        </w:tc>
        <w:tc>
          <w:tcPr>
            <w:tcW w:w="927" w:type="dxa"/>
            <w:noWrap/>
            <w:vAlign w:val="center"/>
          </w:tcPr>
          <w:p w14:paraId="130E5C33">
            <w:pPr>
              <w:ind w:firstLine="0" w:firstLineChars="0"/>
              <w:jc w:val="center"/>
              <w:rPr>
                <w:rFonts w:ascii="宋体" w:hAnsi="宋体" w:cs="宋体"/>
                <w:szCs w:val="21"/>
              </w:rPr>
            </w:pPr>
          </w:p>
        </w:tc>
        <w:tc>
          <w:tcPr>
            <w:tcW w:w="927" w:type="dxa"/>
            <w:noWrap/>
            <w:vAlign w:val="center"/>
          </w:tcPr>
          <w:p w14:paraId="39F676F2">
            <w:pPr>
              <w:ind w:firstLine="0" w:firstLineChars="0"/>
              <w:jc w:val="center"/>
              <w:rPr>
                <w:rFonts w:ascii="宋体" w:hAnsi="宋体" w:cs="宋体"/>
                <w:szCs w:val="21"/>
              </w:rPr>
            </w:pPr>
          </w:p>
        </w:tc>
        <w:tc>
          <w:tcPr>
            <w:tcW w:w="1113" w:type="dxa"/>
            <w:noWrap/>
            <w:vAlign w:val="center"/>
          </w:tcPr>
          <w:p w14:paraId="0B160F7B">
            <w:pPr>
              <w:ind w:firstLine="0" w:firstLineChars="0"/>
              <w:jc w:val="center"/>
              <w:rPr>
                <w:rFonts w:ascii="宋体" w:hAnsi="宋体" w:cs="宋体"/>
                <w:szCs w:val="21"/>
              </w:rPr>
            </w:pPr>
          </w:p>
        </w:tc>
        <w:tc>
          <w:tcPr>
            <w:tcW w:w="985" w:type="dxa"/>
            <w:noWrap/>
            <w:vAlign w:val="center"/>
          </w:tcPr>
          <w:p w14:paraId="50635AFB">
            <w:pPr>
              <w:ind w:firstLine="0" w:firstLineChars="0"/>
              <w:jc w:val="center"/>
              <w:rPr>
                <w:rFonts w:ascii="宋体" w:hAnsi="宋体" w:cs="宋体"/>
                <w:szCs w:val="21"/>
              </w:rPr>
            </w:pPr>
          </w:p>
        </w:tc>
      </w:tr>
      <w:tr w14:paraId="6730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53" w:type="dxa"/>
            <w:noWrap/>
            <w:vAlign w:val="center"/>
          </w:tcPr>
          <w:p w14:paraId="2F7B0495">
            <w:pPr>
              <w:ind w:firstLine="0" w:firstLineChars="0"/>
              <w:jc w:val="center"/>
              <w:rPr>
                <w:rFonts w:ascii="宋体" w:hAnsi="宋体" w:cs="宋体"/>
                <w:szCs w:val="21"/>
              </w:rPr>
            </w:pPr>
            <w:r>
              <w:rPr>
                <w:rFonts w:hint="eastAsia" w:ascii="宋体" w:hAnsi="宋体" w:cs="宋体"/>
                <w:szCs w:val="21"/>
              </w:rPr>
              <w:t>3</w:t>
            </w:r>
          </w:p>
        </w:tc>
        <w:tc>
          <w:tcPr>
            <w:tcW w:w="1136" w:type="dxa"/>
            <w:noWrap/>
            <w:vAlign w:val="center"/>
          </w:tcPr>
          <w:p w14:paraId="3D7E2D1A">
            <w:pPr>
              <w:ind w:firstLine="0" w:firstLineChars="0"/>
              <w:jc w:val="center"/>
              <w:rPr>
                <w:rFonts w:ascii="宋体" w:hAnsi="宋体" w:cs="宋体"/>
                <w:szCs w:val="21"/>
              </w:rPr>
            </w:pPr>
          </w:p>
        </w:tc>
        <w:tc>
          <w:tcPr>
            <w:tcW w:w="1371" w:type="dxa"/>
            <w:noWrap/>
            <w:vAlign w:val="center"/>
          </w:tcPr>
          <w:p w14:paraId="4620E5C9">
            <w:pPr>
              <w:ind w:firstLine="0" w:firstLineChars="0"/>
              <w:jc w:val="center"/>
              <w:rPr>
                <w:rFonts w:ascii="宋体" w:hAnsi="宋体" w:cs="宋体"/>
                <w:szCs w:val="21"/>
              </w:rPr>
            </w:pPr>
          </w:p>
        </w:tc>
        <w:tc>
          <w:tcPr>
            <w:tcW w:w="1026" w:type="dxa"/>
            <w:noWrap/>
            <w:vAlign w:val="center"/>
          </w:tcPr>
          <w:p w14:paraId="0F85C217">
            <w:pPr>
              <w:ind w:firstLine="0" w:firstLineChars="0"/>
              <w:jc w:val="center"/>
              <w:rPr>
                <w:rFonts w:ascii="宋体" w:hAnsi="宋体" w:cs="宋体"/>
                <w:szCs w:val="21"/>
              </w:rPr>
            </w:pPr>
          </w:p>
        </w:tc>
        <w:tc>
          <w:tcPr>
            <w:tcW w:w="1113" w:type="dxa"/>
            <w:noWrap/>
            <w:vAlign w:val="center"/>
          </w:tcPr>
          <w:p w14:paraId="3BF14888">
            <w:pPr>
              <w:ind w:firstLine="0" w:firstLineChars="0"/>
              <w:jc w:val="center"/>
              <w:rPr>
                <w:rFonts w:ascii="宋体" w:hAnsi="宋体" w:cs="宋体"/>
                <w:szCs w:val="21"/>
              </w:rPr>
            </w:pPr>
          </w:p>
        </w:tc>
        <w:tc>
          <w:tcPr>
            <w:tcW w:w="1113" w:type="dxa"/>
            <w:noWrap/>
            <w:vAlign w:val="center"/>
          </w:tcPr>
          <w:p w14:paraId="02C24A7B">
            <w:pPr>
              <w:ind w:firstLine="0" w:firstLineChars="0"/>
              <w:jc w:val="center"/>
              <w:rPr>
                <w:rFonts w:ascii="宋体" w:hAnsi="宋体" w:cs="宋体"/>
                <w:szCs w:val="21"/>
              </w:rPr>
            </w:pPr>
          </w:p>
        </w:tc>
        <w:tc>
          <w:tcPr>
            <w:tcW w:w="927" w:type="dxa"/>
            <w:noWrap/>
            <w:vAlign w:val="center"/>
          </w:tcPr>
          <w:p w14:paraId="4D516081">
            <w:pPr>
              <w:ind w:firstLine="0" w:firstLineChars="0"/>
              <w:jc w:val="center"/>
              <w:rPr>
                <w:rFonts w:ascii="宋体" w:hAnsi="宋体" w:cs="宋体"/>
                <w:szCs w:val="21"/>
              </w:rPr>
            </w:pPr>
          </w:p>
        </w:tc>
        <w:tc>
          <w:tcPr>
            <w:tcW w:w="927" w:type="dxa"/>
            <w:noWrap/>
            <w:vAlign w:val="center"/>
          </w:tcPr>
          <w:p w14:paraId="52B847A9">
            <w:pPr>
              <w:ind w:firstLine="0" w:firstLineChars="0"/>
              <w:jc w:val="center"/>
              <w:rPr>
                <w:rFonts w:ascii="宋体" w:hAnsi="宋体" w:cs="宋体"/>
                <w:szCs w:val="21"/>
              </w:rPr>
            </w:pPr>
          </w:p>
        </w:tc>
        <w:tc>
          <w:tcPr>
            <w:tcW w:w="1113" w:type="dxa"/>
            <w:noWrap/>
            <w:vAlign w:val="center"/>
          </w:tcPr>
          <w:p w14:paraId="4192A4AE">
            <w:pPr>
              <w:ind w:firstLine="0" w:firstLineChars="0"/>
              <w:jc w:val="center"/>
              <w:rPr>
                <w:rFonts w:ascii="宋体" w:hAnsi="宋体" w:cs="宋体"/>
                <w:szCs w:val="21"/>
              </w:rPr>
            </w:pPr>
          </w:p>
        </w:tc>
        <w:tc>
          <w:tcPr>
            <w:tcW w:w="985" w:type="dxa"/>
            <w:noWrap/>
            <w:vAlign w:val="center"/>
          </w:tcPr>
          <w:p w14:paraId="4ACCA1E0">
            <w:pPr>
              <w:ind w:firstLine="0" w:firstLineChars="0"/>
              <w:jc w:val="center"/>
              <w:rPr>
                <w:rFonts w:ascii="宋体" w:hAnsi="宋体" w:cs="宋体"/>
                <w:szCs w:val="21"/>
              </w:rPr>
            </w:pPr>
          </w:p>
        </w:tc>
      </w:tr>
      <w:tr w14:paraId="31B3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53" w:type="dxa"/>
            <w:noWrap/>
            <w:vAlign w:val="center"/>
          </w:tcPr>
          <w:p w14:paraId="5DB78CF4">
            <w:pPr>
              <w:ind w:firstLine="0" w:firstLineChars="0"/>
              <w:jc w:val="center"/>
              <w:rPr>
                <w:rFonts w:ascii="宋体" w:hAnsi="宋体" w:cs="宋体"/>
                <w:szCs w:val="21"/>
              </w:rPr>
            </w:pPr>
            <w:r>
              <w:rPr>
                <w:rFonts w:hint="eastAsia" w:ascii="宋体" w:hAnsi="宋体" w:cs="宋体"/>
                <w:szCs w:val="21"/>
              </w:rPr>
              <w:t>4</w:t>
            </w:r>
          </w:p>
        </w:tc>
        <w:tc>
          <w:tcPr>
            <w:tcW w:w="1136" w:type="dxa"/>
            <w:noWrap/>
            <w:vAlign w:val="center"/>
          </w:tcPr>
          <w:p w14:paraId="0D80440D">
            <w:pPr>
              <w:ind w:firstLine="0" w:firstLineChars="0"/>
              <w:jc w:val="center"/>
              <w:rPr>
                <w:rFonts w:ascii="宋体" w:hAnsi="宋体" w:cs="宋体"/>
                <w:szCs w:val="21"/>
              </w:rPr>
            </w:pPr>
          </w:p>
        </w:tc>
        <w:tc>
          <w:tcPr>
            <w:tcW w:w="1371" w:type="dxa"/>
            <w:noWrap/>
            <w:vAlign w:val="center"/>
          </w:tcPr>
          <w:p w14:paraId="52B2AB21">
            <w:pPr>
              <w:ind w:firstLine="0" w:firstLineChars="0"/>
              <w:jc w:val="center"/>
              <w:rPr>
                <w:rFonts w:ascii="宋体" w:hAnsi="宋体" w:cs="宋体"/>
                <w:szCs w:val="21"/>
              </w:rPr>
            </w:pPr>
          </w:p>
        </w:tc>
        <w:tc>
          <w:tcPr>
            <w:tcW w:w="1026" w:type="dxa"/>
            <w:noWrap/>
            <w:vAlign w:val="center"/>
          </w:tcPr>
          <w:p w14:paraId="35B36194">
            <w:pPr>
              <w:ind w:firstLine="0" w:firstLineChars="0"/>
              <w:jc w:val="center"/>
              <w:rPr>
                <w:rFonts w:ascii="宋体" w:hAnsi="宋体" w:cs="宋体"/>
                <w:szCs w:val="21"/>
              </w:rPr>
            </w:pPr>
          </w:p>
        </w:tc>
        <w:tc>
          <w:tcPr>
            <w:tcW w:w="1113" w:type="dxa"/>
            <w:noWrap/>
            <w:vAlign w:val="center"/>
          </w:tcPr>
          <w:p w14:paraId="708B3F25">
            <w:pPr>
              <w:ind w:firstLine="0" w:firstLineChars="0"/>
              <w:jc w:val="center"/>
              <w:rPr>
                <w:rFonts w:ascii="宋体" w:hAnsi="宋体" w:cs="宋体"/>
                <w:szCs w:val="21"/>
              </w:rPr>
            </w:pPr>
          </w:p>
        </w:tc>
        <w:tc>
          <w:tcPr>
            <w:tcW w:w="1113" w:type="dxa"/>
            <w:noWrap/>
            <w:vAlign w:val="center"/>
          </w:tcPr>
          <w:p w14:paraId="7DC197FE">
            <w:pPr>
              <w:ind w:firstLine="0" w:firstLineChars="0"/>
              <w:jc w:val="center"/>
              <w:rPr>
                <w:rFonts w:ascii="宋体" w:hAnsi="宋体" w:cs="宋体"/>
                <w:szCs w:val="21"/>
              </w:rPr>
            </w:pPr>
          </w:p>
        </w:tc>
        <w:tc>
          <w:tcPr>
            <w:tcW w:w="927" w:type="dxa"/>
            <w:noWrap/>
            <w:vAlign w:val="center"/>
          </w:tcPr>
          <w:p w14:paraId="3EA9325C">
            <w:pPr>
              <w:ind w:firstLine="0" w:firstLineChars="0"/>
              <w:jc w:val="center"/>
              <w:rPr>
                <w:rFonts w:ascii="宋体" w:hAnsi="宋体" w:cs="宋体"/>
                <w:szCs w:val="21"/>
              </w:rPr>
            </w:pPr>
          </w:p>
        </w:tc>
        <w:tc>
          <w:tcPr>
            <w:tcW w:w="927" w:type="dxa"/>
            <w:noWrap/>
            <w:vAlign w:val="center"/>
          </w:tcPr>
          <w:p w14:paraId="2EA35989">
            <w:pPr>
              <w:ind w:firstLine="0" w:firstLineChars="0"/>
              <w:jc w:val="center"/>
              <w:rPr>
                <w:rFonts w:ascii="宋体" w:hAnsi="宋体" w:cs="宋体"/>
                <w:szCs w:val="21"/>
              </w:rPr>
            </w:pPr>
          </w:p>
        </w:tc>
        <w:tc>
          <w:tcPr>
            <w:tcW w:w="1113" w:type="dxa"/>
            <w:noWrap/>
            <w:vAlign w:val="center"/>
          </w:tcPr>
          <w:p w14:paraId="64658B5C">
            <w:pPr>
              <w:ind w:firstLine="0" w:firstLineChars="0"/>
              <w:jc w:val="center"/>
              <w:rPr>
                <w:rFonts w:ascii="宋体" w:hAnsi="宋体" w:cs="宋体"/>
                <w:szCs w:val="21"/>
              </w:rPr>
            </w:pPr>
          </w:p>
        </w:tc>
        <w:tc>
          <w:tcPr>
            <w:tcW w:w="985" w:type="dxa"/>
            <w:noWrap/>
            <w:vAlign w:val="center"/>
          </w:tcPr>
          <w:p w14:paraId="520C28F4">
            <w:pPr>
              <w:ind w:firstLine="0" w:firstLineChars="0"/>
              <w:jc w:val="center"/>
              <w:rPr>
                <w:rFonts w:ascii="宋体" w:hAnsi="宋体" w:cs="宋体"/>
                <w:szCs w:val="21"/>
              </w:rPr>
            </w:pPr>
          </w:p>
        </w:tc>
      </w:tr>
      <w:tr w14:paraId="04C7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53" w:type="dxa"/>
            <w:noWrap/>
            <w:vAlign w:val="center"/>
          </w:tcPr>
          <w:p w14:paraId="7C5C476E">
            <w:pPr>
              <w:ind w:firstLine="0" w:firstLineChars="0"/>
              <w:jc w:val="center"/>
              <w:rPr>
                <w:rFonts w:ascii="宋体" w:hAnsi="宋体" w:cs="宋体"/>
                <w:szCs w:val="21"/>
              </w:rPr>
            </w:pPr>
            <w:r>
              <w:rPr>
                <w:rFonts w:hint="eastAsia" w:ascii="宋体" w:hAnsi="宋体" w:cs="宋体"/>
                <w:szCs w:val="21"/>
              </w:rPr>
              <w:t>5</w:t>
            </w:r>
          </w:p>
        </w:tc>
        <w:tc>
          <w:tcPr>
            <w:tcW w:w="1136" w:type="dxa"/>
            <w:noWrap/>
            <w:vAlign w:val="center"/>
          </w:tcPr>
          <w:p w14:paraId="1EAE27E1">
            <w:pPr>
              <w:ind w:firstLine="0" w:firstLineChars="0"/>
              <w:jc w:val="center"/>
              <w:rPr>
                <w:rFonts w:ascii="宋体" w:hAnsi="宋体" w:cs="宋体"/>
                <w:szCs w:val="21"/>
              </w:rPr>
            </w:pPr>
          </w:p>
        </w:tc>
        <w:tc>
          <w:tcPr>
            <w:tcW w:w="1371" w:type="dxa"/>
            <w:noWrap/>
            <w:vAlign w:val="center"/>
          </w:tcPr>
          <w:p w14:paraId="57C33051">
            <w:pPr>
              <w:ind w:firstLine="0" w:firstLineChars="0"/>
              <w:jc w:val="center"/>
              <w:rPr>
                <w:rFonts w:ascii="宋体" w:hAnsi="宋体" w:cs="宋体"/>
                <w:szCs w:val="21"/>
              </w:rPr>
            </w:pPr>
          </w:p>
        </w:tc>
        <w:tc>
          <w:tcPr>
            <w:tcW w:w="1026" w:type="dxa"/>
            <w:noWrap/>
            <w:vAlign w:val="center"/>
          </w:tcPr>
          <w:p w14:paraId="4DE80F83">
            <w:pPr>
              <w:ind w:firstLine="0" w:firstLineChars="0"/>
              <w:jc w:val="center"/>
              <w:rPr>
                <w:rFonts w:ascii="宋体" w:hAnsi="宋体" w:cs="宋体"/>
                <w:szCs w:val="21"/>
              </w:rPr>
            </w:pPr>
          </w:p>
        </w:tc>
        <w:tc>
          <w:tcPr>
            <w:tcW w:w="1113" w:type="dxa"/>
            <w:noWrap/>
            <w:vAlign w:val="center"/>
          </w:tcPr>
          <w:p w14:paraId="77AEB47D">
            <w:pPr>
              <w:ind w:firstLine="0" w:firstLineChars="0"/>
              <w:jc w:val="center"/>
              <w:rPr>
                <w:rFonts w:ascii="宋体" w:hAnsi="宋体" w:cs="宋体"/>
                <w:szCs w:val="21"/>
              </w:rPr>
            </w:pPr>
          </w:p>
        </w:tc>
        <w:tc>
          <w:tcPr>
            <w:tcW w:w="1113" w:type="dxa"/>
            <w:noWrap/>
            <w:vAlign w:val="center"/>
          </w:tcPr>
          <w:p w14:paraId="73507313">
            <w:pPr>
              <w:ind w:firstLine="0" w:firstLineChars="0"/>
              <w:jc w:val="center"/>
              <w:rPr>
                <w:rFonts w:ascii="宋体" w:hAnsi="宋体" w:cs="宋体"/>
                <w:szCs w:val="21"/>
              </w:rPr>
            </w:pPr>
          </w:p>
        </w:tc>
        <w:tc>
          <w:tcPr>
            <w:tcW w:w="927" w:type="dxa"/>
            <w:noWrap/>
            <w:vAlign w:val="center"/>
          </w:tcPr>
          <w:p w14:paraId="5D6086C9">
            <w:pPr>
              <w:ind w:firstLine="0" w:firstLineChars="0"/>
              <w:jc w:val="center"/>
              <w:rPr>
                <w:rFonts w:ascii="宋体" w:hAnsi="宋体" w:cs="宋体"/>
                <w:szCs w:val="21"/>
              </w:rPr>
            </w:pPr>
          </w:p>
        </w:tc>
        <w:tc>
          <w:tcPr>
            <w:tcW w:w="927" w:type="dxa"/>
            <w:noWrap/>
            <w:vAlign w:val="center"/>
          </w:tcPr>
          <w:p w14:paraId="39539345">
            <w:pPr>
              <w:ind w:firstLine="0" w:firstLineChars="0"/>
              <w:jc w:val="center"/>
              <w:rPr>
                <w:rFonts w:ascii="宋体" w:hAnsi="宋体" w:cs="宋体"/>
                <w:szCs w:val="21"/>
              </w:rPr>
            </w:pPr>
          </w:p>
        </w:tc>
        <w:tc>
          <w:tcPr>
            <w:tcW w:w="1113" w:type="dxa"/>
            <w:noWrap/>
            <w:vAlign w:val="center"/>
          </w:tcPr>
          <w:p w14:paraId="79491966">
            <w:pPr>
              <w:ind w:firstLine="0" w:firstLineChars="0"/>
              <w:jc w:val="center"/>
              <w:rPr>
                <w:rFonts w:ascii="宋体" w:hAnsi="宋体" w:cs="宋体"/>
                <w:szCs w:val="21"/>
              </w:rPr>
            </w:pPr>
          </w:p>
        </w:tc>
        <w:tc>
          <w:tcPr>
            <w:tcW w:w="985" w:type="dxa"/>
            <w:noWrap/>
            <w:vAlign w:val="center"/>
          </w:tcPr>
          <w:p w14:paraId="2B1A593C">
            <w:pPr>
              <w:ind w:firstLine="0" w:firstLineChars="0"/>
              <w:jc w:val="center"/>
              <w:rPr>
                <w:rFonts w:ascii="宋体" w:hAnsi="宋体" w:cs="宋体"/>
                <w:szCs w:val="21"/>
              </w:rPr>
            </w:pPr>
          </w:p>
        </w:tc>
      </w:tr>
      <w:tr w14:paraId="3E30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53" w:type="dxa"/>
            <w:noWrap/>
            <w:vAlign w:val="center"/>
          </w:tcPr>
          <w:p w14:paraId="48843CF1">
            <w:pPr>
              <w:ind w:firstLine="0" w:firstLineChars="0"/>
              <w:jc w:val="center"/>
              <w:rPr>
                <w:rFonts w:ascii="宋体" w:hAnsi="宋体" w:cs="宋体"/>
                <w:szCs w:val="21"/>
              </w:rPr>
            </w:pPr>
            <w:r>
              <w:rPr>
                <w:rFonts w:hint="eastAsia" w:ascii="宋体" w:hAnsi="宋体" w:cs="宋体"/>
                <w:szCs w:val="21"/>
              </w:rPr>
              <w:t>…</w:t>
            </w:r>
          </w:p>
        </w:tc>
        <w:tc>
          <w:tcPr>
            <w:tcW w:w="1136" w:type="dxa"/>
            <w:noWrap/>
          </w:tcPr>
          <w:p w14:paraId="6CA60E4D">
            <w:pPr>
              <w:ind w:firstLine="0" w:firstLineChars="0"/>
              <w:jc w:val="center"/>
              <w:rPr>
                <w:rFonts w:ascii="宋体" w:hAnsi="宋体" w:cs="宋体"/>
                <w:szCs w:val="21"/>
              </w:rPr>
            </w:pPr>
          </w:p>
        </w:tc>
        <w:tc>
          <w:tcPr>
            <w:tcW w:w="1371" w:type="dxa"/>
            <w:noWrap/>
          </w:tcPr>
          <w:p w14:paraId="1C76CC20">
            <w:pPr>
              <w:ind w:firstLine="0" w:firstLineChars="0"/>
              <w:jc w:val="center"/>
              <w:rPr>
                <w:rFonts w:ascii="宋体" w:hAnsi="宋体" w:cs="宋体"/>
                <w:szCs w:val="21"/>
              </w:rPr>
            </w:pPr>
          </w:p>
        </w:tc>
        <w:tc>
          <w:tcPr>
            <w:tcW w:w="1026" w:type="dxa"/>
            <w:noWrap/>
          </w:tcPr>
          <w:p w14:paraId="6ED2EC78">
            <w:pPr>
              <w:ind w:firstLine="0" w:firstLineChars="0"/>
              <w:jc w:val="center"/>
              <w:rPr>
                <w:rFonts w:ascii="宋体" w:hAnsi="宋体" w:cs="宋体"/>
                <w:szCs w:val="21"/>
              </w:rPr>
            </w:pPr>
          </w:p>
        </w:tc>
        <w:tc>
          <w:tcPr>
            <w:tcW w:w="1113" w:type="dxa"/>
            <w:noWrap/>
          </w:tcPr>
          <w:p w14:paraId="496F664D">
            <w:pPr>
              <w:ind w:firstLine="0" w:firstLineChars="0"/>
              <w:jc w:val="center"/>
              <w:rPr>
                <w:rFonts w:ascii="宋体" w:hAnsi="宋体" w:cs="宋体"/>
                <w:szCs w:val="21"/>
              </w:rPr>
            </w:pPr>
          </w:p>
        </w:tc>
        <w:tc>
          <w:tcPr>
            <w:tcW w:w="1113" w:type="dxa"/>
            <w:noWrap/>
          </w:tcPr>
          <w:p w14:paraId="3EE67562">
            <w:pPr>
              <w:ind w:firstLine="0" w:firstLineChars="0"/>
              <w:jc w:val="center"/>
              <w:rPr>
                <w:rFonts w:ascii="宋体" w:hAnsi="宋体" w:cs="宋体"/>
                <w:szCs w:val="21"/>
              </w:rPr>
            </w:pPr>
          </w:p>
        </w:tc>
        <w:tc>
          <w:tcPr>
            <w:tcW w:w="927" w:type="dxa"/>
            <w:noWrap/>
          </w:tcPr>
          <w:p w14:paraId="05FDC5FF">
            <w:pPr>
              <w:ind w:firstLine="0" w:firstLineChars="0"/>
              <w:jc w:val="center"/>
              <w:rPr>
                <w:rFonts w:ascii="宋体" w:hAnsi="宋体" w:cs="宋体"/>
                <w:szCs w:val="21"/>
              </w:rPr>
            </w:pPr>
          </w:p>
        </w:tc>
        <w:tc>
          <w:tcPr>
            <w:tcW w:w="927" w:type="dxa"/>
            <w:noWrap/>
          </w:tcPr>
          <w:p w14:paraId="67B8140B">
            <w:pPr>
              <w:ind w:firstLine="0" w:firstLineChars="0"/>
              <w:jc w:val="center"/>
              <w:rPr>
                <w:rFonts w:ascii="宋体" w:hAnsi="宋体" w:cs="宋体"/>
                <w:szCs w:val="21"/>
              </w:rPr>
            </w:pPr>
          </w:p>
        </w:tc>
        <w:tc>
          <w:tcPr>
            <w:tcW w:w="1113" w:type="dxa"/>
            <w:noWrap/>
          </w:tcPr>
          <w:p w14:paraId="0150A5FE">
            <w:pPr>
              <w:ind w:firstLine="0" w:firstLineChars="0"/>
              <w:jc w:val="center"/>
              <w:rPr>
                <w:rFonts w:ascii="宋体" w:hAnsi="宋体" w:cs="宋体"/>
                <w:szCs w:val="21"/>
              </w:rPr>
            </w:pPr>
          </w:p>
        </w:tc>
        <w:tc>
          <w:tcPr>
            <w:tcW w:w="985" w:type="dxa"/>
            <w:noWrap/>
          </w:tcPr>
          <w:p w14:paraId="7061D264">
            <w:pPr>
              <w:ind w:firstLine="0" w:firstLineChars="0"/>
              <w:jc w:val="center"/>
              <w:rPr>
                <w:rFonts w:ascii="宋体" w:hAnsi="宋体" w:cs="宋体"/>
                <w:szCs w:val="21"/>
              </w:rPr>
            </w:pPr>
          </w:p>
        </w:tc>
      </w:tr>
      <w:tr w14:paraId="3A9E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466" w:type="dxa"/>
            <w:gridSpan w:val="8"/>
            <w:noWrap/>
            <w:vAlign w:val="center"/>
          </w:tcPr>
          <w:p w14:paraId="5869CAE0">
            <w:pPr>
              <w:ind w:firstLine="0" w:firstLineChars="0"/>
              <w:jc w:val="center"/>
              <w:rPr>
                <w:rFonts w:ascii="宋体" w:hAnsi="宋体" w:cs="宋体"/>
                <w:szCs w:val="21"/>
              </w:rPr>
            </w:pPr>
            <w:r>
              <w:rPr>
                <w:rFonts w:hint="eastAsia" w:ascii="宋体" w:hAnsi="宋体" w:cs="宋体"/>
                <w:szCs w:val="21"/>
              </w:rPr>
              <w:t>合    计</w:t>
            </w:r>
          </w:p>
        </w:tc>
        <w:tc>
          <w:tcPr>
            <w:tcW w:w="1113" w:type="dxa"/>
            <w:noWrap/>
          </w:tcPr>
          <w:p w14:paraId="6ADAE93E">
            <w:pPr>
              <w:ind w:firstLine="0" w:firstLineChars="0"/>
              <w:jc w:val="center"/>
              <w:rPr>
                <w:rFonts w:ascii="宋体" w:hAnsi="宋体" w:cs="宋体"/>
                <w:szCs w:val="21"/>
              </w:rPr>
            </w:pPr>
          </w:p>
        </w:tc>
        <w:tc>
          <w:tcPr>
            <w:tcW w:w="985" w:type="dxa"/>
            <w:noWrap/>
          </w:tcPr>
          <w:p w14:paraId="4615058C">
            <w:pPr>
              <w:ind w:firstLine="0" w:firstLineChars="0"/>
              <w:jc w:val="center"/>
              <w:rPr>
                <w:rFonts w:ascii="宋体" w:hAnsi="宋体" w:cs="宋体"/>
                <w:szCs w:val="21"/>
              </w:rPr>
            </w:pPr>
          </w:p>
        </w:tc>
      </w:tr>
    </w:tbl>
    <w:p w14:paraId="79AC4B8B">
      <w:pPr>
        <w:spacing w:line="336" w:lineRule="auto"/>
        <w:ind w:firstLine="420"/>
        <w:rPr>
          <w:rFonts w:ascii="宋体" w:hAnsi="宋体" w:cs="宋体"/>
          <w:szCs w:val="21"/>
        </w:rPr>
      </w:pPr>
      <w:r>
        <w:rPr>
          <w:rFonts w:hint="eastAsia" w:ascii="宋体" w:hAnsi="宋体" w:cs="宋体"/>
          <w:szCs w:val="21"/>
        </w:rPr>
        <w:t>注：该表格仅供参考，投标人可根据需要自行扩展。</w:t>
      </w:r>
    </w:p>
    <w:p w14:paraId="37D3E0F2">
      <w:pPr>
        <w:spacing w:line="312" w:lineRule="auto"/>
        <w:ind w:firstLine="480"/>
        <w:rPr>
          <w:rFonts w:ascii="宋体" w:hAnsi="宋体" w:cs="宋体"/>
          <w:sz w:val="24"/>
        </w:rPr>
      </w:pPr>
    </w:p>
    <w:p w14:paraId="67AD3EC1">
      <w:pPr>
        <w:tabs>
          <w:tab w:val="left" w:pos="1365"/>
        </w:tabs>
        <w:spacing w:line="360" w:lineRule="auto"/>
        <w:ind w:firstLine="315" w:firstLineChars="150"/>
        <w:jc w:val="right"/>
        <w:rPr>
          <w:rFonts w:ascii="宋体" w:hAnsi="宋体" w:cs="宋体"/>
          <w:szCs w:val="21"/>
        </w:rPr>
      </w:pPr>
      <w:r>
        <w:rPr>
          <w:rFonts w:hint="eastAsia" w:ascii="宋体" w:hAnsi="宋体" w:cs="宋体"/>
          <w:szCs w:val="21"/>
        </w:rPr>
        <w:t xml:space="preserve">投标单位（单位电子签章）：                    </w:t>
      </w:r>
    </w:p>
    <w:p w14:paraId="4B8B6C4D">
      <w:pPr>
        <w:tabs>
          <w:tab w:val="left" w:pos="1365"/>
        </w:tabs>
        <w:spacing w:line="360" w:lineRule="auto"/>
        <w:ind w:firstLine="315" w:firstLineChars="150"/>
        <w:jc w:val="right"/>
        <w:rPr>
          <w:rFonts w:ascii="宋体" w:hAnsi="宋体" w:cs="宋体"/>
          <w:szCs w:val="21"/>
        </w:rPr>
      </w:pPr>
      <w:r>
        <w:rPr>
          <w:rFonts w:hint="eastAsia" w:ascii="宋体" w:hAnsi="宋体" w:cs="宋体"/>
          <w:szCs w:val="21"/>
        </w:rPr>
        <w:t>法定代表人或其委托代理人（电子签名或盖章）：</w:t>
      </w:r>
    </w:p>
    <w:p w14:paraId="7C161F43">
      <w:pPr>
        <w:spacing w:line="312" w:lineRule="auto"/>
        <w:ind w:firstLine="420"/>
        <w:jc w:val="right"/>
        <w:rPr>
          <w:rFonts w:ascii="宋体" w:hAnsi="宋体" w:cs="宋体"/>
          <w:szCs w:val="21"/>
        </w:rPr>
      </w:pPr>
      <w:r>
        <w:rPr>
          <w:rFonts w:hint="eastAsia" w:ascii="宋体" w:hAnsi="宋体" w:cs="宋体"/>
          <w:szCs w:val="21"/>
        </w:rPr>
        <w:t>日   期：     年    月    日</w:t>
      </w:r>
    </w:p>
    <w:p w14:paraId="67C5AD49">
      <w:pPr>
        <w:pStyle w:val="2"/>
        <w:ind w:firstLine="240"/>
      </w:pPr>
    </w:p>
    <w:p w14:paraId="37A82F5E">
      <w:pPr>
        <w:pStyle w:val="2"/>
        <w:ind w:firstLine="240"/>
      </w:pPr>
    </w:p>
    <w:p w14:paraId="4B175760">
      <w:pPr>
        <w:pStyle w:val="6"/>
        <w:numPr>
          <w:ilvl w:val="0"/>
          <w:numId w:val="6"/>
        </w:numPr>
        <w:adjustRightInd w:val="0"/>
        <w:snapToGrid w:val="0"/>
        <w:spacing w:line="400" w:lineRule="exact"/>
        <w:ind w:firstLine="0" w:firstLineChars="0"/>
        <w:jc w:val="center"/>
        <w:rPr>
          <w:rFonts w:cs="宋体"/>
          <w:sz w:val="24"/>
          <w:szCs w:val="24"/>
        </w:rPr>
      </w:pPr>
      <w:bookmarkStart w:id="145" w:name="_Toc29376"/>
      <w:r>
        <w:rPr>
          <w:rFonts w:hint="eastAsia" w:cs="宋体"/>
          <w:sz w:val="24"/>
          <w:szCs w:val="24"/>
        </w:rPr>
        <w:t>小型、微型（监狱、残疾人福利性单位）企业产品明细表</w:t>
      </w:r>
      <w:bookmarkEnd w:id="145"/>
    </w:p>
    <w:p w14:paraId="0FDF84EE">
      <w:pPr>
        <w:ind w:firstLine="0" w:firstLineChars="0"/>
      </w:pPr>
    </w:p>
    <w:tbl>
      <w:tblPr>
        <w:tblStyle w:val="27"/>
        <w:tblW w:w="10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750"/>
        <w:gridCol w:w="1626"/>
        <w:gridCol w:w="1290"/>
        <w:gridCol w:w="2297"/>
        <w:gridCol w:w="1017"/>
        <w:gridCol w:w="830"/>
        <w:gridCol w:w="1030"/>
      </w:tblGrid>
      <w:tr w14:paraId="09A5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539" w:type="dxa"/>
            <w:vMerge w:val="restart"/>
            <w:noWrap/>
            <w:vAlign w:val="center"/>
          </w:tcPr>
          <w:p w14:paraId="77B3A751">
            <w:pPr>
              <w:pStyle w:val="68"/>
              <w:tabs>
                <w:tab w:val="left" w:pos="1260"/>
              </w:tabs>
              <w:spacing w:before="156" w:after="156" w:line="400" w:lineRule="exact"/>
              <w:jc w:val="center"/>
              <w:rPr>
                <w:rFonts w:ascii="宋体" w:hAnsi="宋体" w:cs="宋体"/>
                <w:szCs w:val="21"/>
                <w:lang w:val="en-GB"/>
              </w:rPr>
            </w:pPr>
            <w:r>
              <w:rPr>
                <w:rFonts w:hint="eastAsia" w:ascii="宋体" w:hAnsi="宋体" w:cs="宋体"/>
                <w:szCs w:val="21"/>
                <w:lang w:val="en-GB"/>
              </w:rPr>
              <w:t>中小企业扶持政策</w:t>
            </w:r>
          </w:p>
        </w:tc>
        <w:tc>
          <w:tcPr>
            <w:tcW w:w="9840" w:type="dxa"/>
            <w:gridSpan w:val="7"/>
            <w:noWrap/>
            <w:vAlign w:val="center"/>
          </w:tcPr>
          <w:p w14:paraId="18BBDA25">
            <w:pPr>
              <w:pStyle w:val="68"/>
              <w:tabs>
                <w:tab w:val="left" w:pos="1260"/>
              </w:tabs>
              <w:spacing w:before="40" w:after="40" w:line="400" w:lineRule="exact"/>
              <w:rPr>
                <w:rFonts w:ascii="宋体" w:hAnsi="宋体" w:cs="宋体"/>
                <w:szCs w:val="21"/>
                <w:lang w:val="en-GB"/>
              </w:rPr>
            </w:pPr>
            <w:r>
              <w:rPr>
                <w:rFonts w:hint="eastAsia" w:ascii="宋体" w:hAnsi="宋体" w:cs="宋体"/>
                <w:szCs w:val="21"/>
                <w:lang w:val="en-GB"/>
              </w:rPr>
              <w:t>如属所列情形的，请在括号内打“√”：</w:t>
            </w:r>
          </w:p>
          <w:p w14:paraId="0890F4E4">
            <w:pPr>
              <w:pStyle w:val="68"/>
              <w:tabs>
                <w:tab w:val="left" w:pos="1260"/>
              </w:tabs>
              <w:spacing w:before="40" w:after="40" w:line="400" w:lineRule="exact"/>
              <w:rPr>
                <w:rFonts w:ascii="宋体" w:hAnsi="宋体" w:cs="宋体"/>
                <w:szCs w:val="21"/>
              </w:rPr>
            </w:pPr>
            <w:r>
              <w:rPr>
                <w:rFonts w:hint="eastAsia" w:ascii="宋体" w:hAnsi="宋体" w:cs="宋体"/>
                <w:szCs w:val="21"/>
              </w:rPr>
              <w:t>（  ）小型、微型企业投标且提供本企业制造的产品。</w:t>
            </w:r>
          </w:p>
          <w:p w14:paraId="46B1BBA7">
            <w:pPr>
              <w:pStyle w:val="68"/>
              <w:tabs>
                <w:tab w:val="left" w:pos="1260"/>
              </w:tabs>
              <w:spacing w:before="40" w:after="40" w:line="400" w:lineRule="exact"/>
              <w:rPr>
                <w:rFonts w:ascii="宋体" w:hAnsi="宋体" w:cs="宋体"/>
                <w:szCs w:val="21"/>
              </w:rPr>
            </w:pPr>
            <w:r>
              <w:rPr>
                <w:rFonts w:hint="eastAsia" w:ascii="宋体" w:hAnsi="宋体" w:cs="宋体"/>
                <w:szCs w:val="21"/>
              </w:rPr>
              <w:t>（  ）小微企业投标且提供其他小型、微型企业产品的，请填写下表内容：</w:t>
            </w:r>
          </w:p>
        </w:tc>
      </w:tr>
      <w:tr w14:paraId="6DF5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539" w:type="dxa"/>
            <w:vMerge w:val="continue"/>
            <w:noWrap/>
            <w:vAlign w:val="center"/>
          </w:tcPr>
          <w:p w14:paraId="14E7B87D">
            <w:pPr>
              <w:pStyle w:val="68"/>
              <w:tabs>
                <w:tab w:val="left" w:pos="1260"/>
              </w:tabs>
              <w:spacing w:before="156" w:after="156" w:line="400" w:lineRule="exact"/>
              <w:jc w:val="center"/>
              <w:rPr>
                <w:rFonts w:ascii="宋体" w:hAnsi="宋体" w:cs="宋体"/>
                <w:szCs w:val="21"/>
                <w:lang w:val="en-GB"/>
              </w:rPr>
            </w:pPr>
          </w:p>
        </w:tc>
        <w:tc>
          <w:tcPr>
            <w:tcW w:w="1750" w:type="dxa"/>
            <w:noWrap/>
            <w:vAlign w:val="center"/>
          </w:tcPr>
          <w:p w14:paraId="12A0A9C1">
            <w:pPr>
              <w:pStyle w:val="68"/>
              <w:tabs>
                <w:tab w:val="left" w:pos="1260"/>
              </w:tabs>
              <w:spacing w:before="40" w:after="40" w:line="400" w:lineRule="exact"/>
              <w:jc w:val="center"/>
              <w:rPr>
                <w:rFonts w:ascii="宋体" w:hAnsi="宋体" w:cs="宋体"/>
                <w:szCs w:val="21"/>
                <w:lang w:val="en-GB"/>
              </w:rPr>
            </w:pPr>
            <w:r>
              <w:rPr>
                <w:rFonts w:hint="eastAsia" w:ascii="宋体" w:hAnsi="宋体" w:cs="宋体"/>
                <w:szCs w:val="21"/>
                <w:lang w:val="en-GB"/>
              </w:rPr>
              <w:t>货物名称</w:t>
            </w:r>
          </w:p>
        </w:tc>
        <w:tc>
          <w:tcPr>
            <w:tcW w:w="1626" w:type="dxa"/>
            <w:noWrap/>
            <w:vAlign w:val="center"/>
          </w:tcPr>
          <w:p w14:paraId="219D0340">
            <w:pPr>
              <w:pStyle w:val="68"/>
              <w:tabs>
                <w:tab w:val="left" w:pos="1260"/>
              </w:tabs>
              <w:spacing w:before="40" w:after="40" w:line="400" w:lineRule="exact"/>
              <w:jc w:val="center"/>
              <w:rPr>
                <w:rFonts w:ascii="宋体" w:hAnsi="宋体" w:cs="宋体"/>
                <w:szCs w:val="21"/>
                <w:lang w:val="en-GB"/>
              </w:rPr>
            </w:pPr>
            <w:r>
              <w:rPr>
                <w:rFonts w:hint="eastAsia" w:ascii="宋体" w:hAnsi="宋体" w:cs="宋体"/>
                <w:szCs w:val="21"/>
                <w:lang w:val="en-GB"/>
              </w:rPr>
              <w:t>品牌</w:t>
            </w:r>
            <w:r>
              <w:rPr>
                <w:rFonts w:hint="eastAsia" w:ascii="宋体" w:hAnsi="宋体" w:cs="宋体"/>
                <w:szCs w:val="21"/>
              </w:rPr>
              <w:t>/规格</w:t>
            </w:r>
            <w:r>
              <w:rPr>
                <w:rFonts w:hint="eastAsia" w:ascii="宋体" w:hAnsi="宋体" w:cs="宋体"/>
                <w:szCs w:val="21"/>
                <w:lang w:val="en-GB"/>
              </w:rPr>
              <w:t>型号</w:t>
            </w:r>
          </w:p>
        </w:tc>
        <w:tc>
          <w:tcPr>
            <w:tcW w:w="1290" w:type="dxa"/>
            <w:noWrap/>
            <w:vAlign w:val="center"/>
          </w:tcPr>
          <w:p w14:paraId="4CD95BB5">
            <w:pPr>
              <w:pStyle w:val="68"/>
              <w:tabs>
                <w:tab w:val="left" w:pos="1260"/>
              </w:tabs>
              <w:spacing w:before="40" w:after="40" w:line="400" w:lineRule="exact"/>
              <w:jc w:val="center"/>
              <w:rPr>
                <w:rFonts w:ascii="宋体" w:hAnsi="宋体" w:cs="宋体"/>
                <w:szCs w:val="21"/>
                <w:lang w:val="en-GB"/>
              </w:rPr>
            </w:pPr>
            <w:r>
              <w:rPr>
                <w:rFonts w:hint="eastAsia" w:ascii="宋体" w:hAnsi="宋体" w:cs="宋体"/>
                <w:szCs w:val="21"/>
                <w:lang w:val="en-GB"/>
              </w:rPr>
              <w:t>制造商</w:t>
            </w:r>
          </w:p>
        </w:tc>
        <w:tc>
          <w:tcPr>
            <w:tcW w:w="2297" w:type="dxa"/>
            <w:noWrap/>
            <w:vAlign w:val="center"/>
          </w:tcPr>
          <w:p w14:paraId="497DF3E6">
            <w:pPr>
              <w:pStyle w:val="68"/>
              <w:tabs>
                <w:tab w:val="left" w:pos="1260"/>
              </w:tabs>
              <w:spacing w:before="40" w:after="40" w:line="400" w:lineRule="exact"/>
              <w:jc w:val="center"/>
              <w:rPr>
                <w:rFonts w:ascii="宋体" w:hAnsi="宋体" w:cs="宋体"/>
                <w:szCs w:val="21"/>
                <w:lang w:val="en-GB"/>
              </w:rPr>
            </w:pPr>
            <w:r>
              <w:rPr>
                <w:rFonts w:hint="eastAsia" w:ascii="宋体" w:hAnsi="宋体" w:cs="宋体"/>
                <w:szCs w:val="21"/>
                <w:lang w:val="en-GB"/>
              </w:rPr>
              <w:t>制造商企业类型</w:t>
            </w:r>
          </w:p>
        </w:tc>
        <w:tc>
          <w:tcPr>
            <w:tcW w:w="1017" w:type="dxa"/>
            <w:noWrap/>
            <w:vAlign w:val="center"/>
          </w:tcPr>
          <w:p w14:paraId="79CC9EDA">
            <w:pPr>
              <w:pStyle w:val="68"/>
              <w:tabs>
                <w:tab w:val="left" w:pos="1260"/>
              </w:tabs>
              <w:spacing w:before="40" w:after="40" w:line="400" w:lineRule="exact"/>
              <w:jc w:val="center"/>
              <w:rPr>
                <w:rFonts w:ascii="宋体" w:hAnsi="宋体" w:cs="宋体"/>
                <w:szCs w:val="21"/>
                <w:lang w:val="en-GB"/>
              </w:rPr>
            </w:pPr>
            <w:r>
              <w:rPr>
                <w:rFonts w:hint="eastAsia" w:ascii="宋体" w:hAnsi="宋体" w:cs="宋体"/>
                <w:szCs w:val="21"/>
                <w:lang w:val="en-GB"/>
              </w:rPr>
              <w:t>数量</w:t>
            </w:r>
          </w:p>
        </w:tc>
        <w:tc>
          <w:tcPr>
            <w:tcW w:w="830" w:type="dxa"/>
            <w:noWrap/>
            <w:vAlign w:val="center"/>
          </w:tcPr>
          <w:p w14:paraId="3428D64D">
            <w:pPr>
              <w:pStyle w:val="68"/>
              <w:tabs>
                <w:tab w:val="left" w:pos="1260"/>
              </w:tabs>
              <w:spacing w:before="40" w:after="40" w:line="400" w:lineRule="exact"/>
              <w:jc w:val="center"/>
              <w:rPr>
                <w:rFonts w:ascii="宋体" w:hAnsi="宋体" w:cs="宋体"/>
                <w:szCs w:val="21"/>
                <w:lang w:val="en-GB"/>
              </w:rPr>
            </w:pPr>
            <w:r>
              <w:rPr>
                <w:rFonts w:hint="eastAsia" w:ascii="宋体" w:hAnsi="宋体" w:cs="宋体"/>
                <w:szCs w:val="21"/>
                <w:lang w:val="en-GB"/>
              </w:rPr>
              <w:t>单价</w:t>
            </w:r>
          </w:p>
        </w:tc>
        <w:tc>
          <w:tcPr>
            <w:tcW w:w="1030" w:type="dxa"/>
            <w:noWrap/>
            <w:vAlign w:val="center"/>
          </w:tcPr>
          <w:p w14:paraId="25E08AE1">
            <w:pPr>
              <w:pStyle w:val="68"/>
              <w:tabs>
                <w:tab w:val="left" w:pos="1260"/>
              </w:tabs>
              <w:spacing w:before="40" w:after="40" w:line="400" w:lineRule="exact"/>
              <w:jc w:val="center"/>
              <w:rPr>
                <w:rFonts w:ascii="宋体" w:hAnsi="宋体" w:cs="宋体"/>
                <w:szCs w:val="21"/>
                <w:lang w:val="en-GB"/>
              </w:rPr>
            </w:pPr>
            <w:r>
              <w:rPr>
                <w:rFonts w:hint="eastAsia" w:ascii="宋体" w:hAnsi="宋体" w:cs="宋体"/>
                <w:szCs w:val="21"/>
                <w:lang w:val="en-GB"/>
              </w:rPr>
              <w:t>金额</w:t>
            </w:r>
          </w:p>
        </w:tc>
      </w:tr>
      <w:tr w14:paraId="16DF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9" w:type="dxa"/>
            <w:vMerge w:val="continue"/>
            <w:noWrap/>
            <w:vAlign w:val="center"/>
          </w:tcPr>
          <w:p w14:paraId="5F23AF62">
            <w:pPr>
              <w:pStyle w:val="68"/>
              <w:tabs>
                <w:tab w:val="left" w:pos="1260"/>
              </w:tabs>
              <w:spacing w:before="156" w:after="156" w:line="400" w:lineRule="exact"/>
              <w:jc w:val="center"/>
              <w:rPr>
                <w:rFonts w:ascii="宋体" w:hAnsi="宋体" w:cs="宋体"/>
                <w:szCs w:val="21"/>
                <w:lang w:val="en-GB"/>
              </w:rPr>
            </w:pPr>
          </w:p>
        </w:tc>
        <w:tc>
          <w:tcPr>
            <w:tcW w:w="1750" w:type="dxa"/>
            <w:noWrap/>
            <w:vAlign w:val="center"/>
          </w:tcPr>
          <w:p w14:paraId="4220FFFF">
            <w:pPr>
              <w:pStyle w:val="68"/>
              <w:tabs>
                <w:tab w:val="left" w:pos="1260"/>
              </w:tabs>
              <w:spacing w:before="40" w:after="40" w:line="400" w:lineRule="exact"/>
              <w:jc w:val="center"/>
              <w:rPr>
                <w:rFonts w:ascii="宋体" w:hAnsi="宋体" w:cs="宋体"/>
                <w:szCs w:val="21"/>
                <w:lang w:val="en-GB"/>
              </w:rPr>
            </w:pPr>
          </w:p>
        </w:tc>
        <w:tc>
          <w:tcPr>
            <w:tcW w:w="1626" w:type="dxa"/>
            <w:noWrap/>
            <w:vAlign w:val="center"/>
          </w:tcPr>
          <w:p w14:paraId="2C3D8091">
            <w:pPr>
              <w:pStyle w:val="68"/>
              <w:tabs>
                <w:tab w:val="left" w:pos="1260"/>
              </w:tabs>
              <w:spacing w:before="40" w:after="40" w:line="400" w:lineRule="exact"/>
              <w:jc w:val="center"/>
              <w:rPr>
                <w:rFonts w:ascii="宋体" w:hAnsi="宋体" w:cs="宋体"/>
                <w:szCs w:val="21"/>
                <w:lang w:val="en-GB"/>
              </w:rPr>
            </w:pPr>
          </w:p>
        </w:tc>
        <w:tc>
          <w:tcPr>
            <w:tcW w:w="1290" w:type="dxa"/>
            <w:noWrap/>
            <w:vAlign w:val="center"/>
          </w:tcPr>
          <w:p w14:paraId="32F139CD">
            <w:pPr>
              <w:pStyle w:val="68"/>
              <w:tabs>
                <w:tab w:val="left" w:pos="1260"/>
              </w:tabs>
              <w:spacing w:before="40" w:after="40" w:line="400" w:lineRule="exact"/>
              <w:jc w:val="center"/>
              <w:rPr>
                <w:rFonts w:ascii="宋体" w:hAnsi="宋体" w:cs="宋体"/>
                <w:szCs w:val="21"/>
                <w:lang w:val="en-GB"/>
              </w:rPr>
            </w:pPr>
          </w:p>
        </w:tc>
        <w:tc>
          <w:tcPr>
            <w:tcW w:w="2297" w:type="dxa"/>
            <w:noWrap/>
            <w:vAlign w:val="center"/>
          </w:tcPr>
          <w:p w14:paraId="04CB7C67">
            <w:pPr>
              <w:pStyle w:val="68"/>
              <w:tabs>
                <w:tab w:val="left" w:pos="1260"/>
              </w:tabs>
              <w:spacing w:before="40" w:after="40" w:line="400" w:lineRule="exact"/>
              <w:jc w:val="center"/>
              <w:rPr>
                <w:rFonts w:ascii="宋体" w:hAnsi="宋体" w:cs="宋体"/>
                <w:szCs w:val="21"/>
                <w:lang w:val="en-GB"/>
              </w:rPr>
            </w:pPr>
          </w:p>
        </w:tc>
        <w:tc>
          <w:tcPr>
            <w:tcW w:w="1017" w:type="dxa"/>
            <w:noWrap/>
            <w:vAlign w:val="center"/>
          </w:tcPr>
          <w:p w14:paraId="76BE7486">
            <w:pPr>
              <w:pStyle w:val="68"/>
              <w:tabs>
                <w:tab w:val="left" w:pos="1260"/>
              </w:tabs>
              <w:spacing w:before="40" w:after="40" w:line="400" w:lineRule="exact"/>
              <w:jc w:val="center"/>
              <w:rPr>
                <w:rFonts w:ascii="宋体" w:hAnsi="宋体" w:cs="宋体"/>
                <w:szCs w:val="21"/>
                <w:lang w:val="en-GB"/>
              </w:rPr>
            </w:pPr>
          </w:p>
        </w:tc>
        <w:tc>
          <w:tcPr>
            <w:tcW w:w="830" w:type="dxa"/>
            <w:noWrap/>
            <w:vAlign w:val="center"/>
          </w:tcPr>
          <w:p w14:paraId="1AC5CBFD">
            <w:pPr>
              <w:pStyle w:val="68"/>
              <w:tabs>
                <w:tab w:val="left" w:pos="1260"/>
              </w:tabs>
              <w:spacing w:before="40" w:after="40" w:line="400" w:lineRule="exact"/>
              <w:jc w:val="center"/>
              <w:rPr>
                <w:rFonts w:ascii="宋体" w:hAnsi="宋体" w:cs="宋体"/>
                <w:szCs w:val="21"/>
                <w:lang w:val="en-GB"/>
              </w:rPr>
            </w:pPr>
          </w:p>
        </w:tc>
        <w:tc>
          <w:tcPr>
            <w:tcW w:w="1030" w:type="dxa"/>
            <w:noWrap/>
            <w:vAlign w:val="center"/>
          </w:tcPr>
          <w:p w14:paraId="0F9F9183">
            <w:pPr>
              <w:pStyle w:val="68"/>
              <w:tabs>
                <w:tab w:val="left" w:pos="1260"/>
              </w:tabs>
              <w:spacing w:before="40" w:after="40" w:line="400" w:lineRule="exact"/>
              <w:jc w:val="center"/>
              <w:rPr>
                <w:rFonts w:ascii="宋体" w:hAnsi="宋体" w:cs="宋体"/>
                <w:szCs w:val="21"/>
                <w:lang w:val="en-GB"/>
              </w:rPr>
            </w:pPr>
          </w:p>
        </w:tc>
      </w:tr>
      <w:tr w14:paraId="1710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9" w:type="dxa"/>
            <w:vMerge w:val="continue"/>
            <w:noWrap/>
            <w:vAlign w:val="center"/>
          </w:tcPr>
          <w:p w14:paraId="129A8A14">
            <w:pPr>
              <w:pStyle w:val="68"/>
              <w:tabs>
                <w:tab w:val="left" w:pos="1260"/>
              </w:tabs>
              <w:spacing w:before="156" w:after="156" w:line="400" w:lineRule="exact"/>
              <w:jc w:val="center"/>
              <w:rPr>
                <w:rFonts w:ascii="宋体" w:hAnsi="宋体" w:cs="宋体"/>
                <w:szCs w:val="21"/>
                <w:lang w:val="en-GB"/>
              </w:rPr>
            </w:pPr>
          </w:p>
        </w:tc>
        <w:tc>
          <w:tcPr>
            <w:tcW w:w="1750" w:type="dxa"/>
            <w:noWrap/>
            <w:vAlign w:val="center"/>
          </w:tcPr>
          <w:p w14:paraId="12765871">
            <w:pPr>
              <w:pStyle w:val="68"/>
              <w:tabs>
                <w:tab w:val="left" w:pos="1260"/>
              </w:tabs>
              <w:spacing w:before="40" w:after="40" w:line="400" w:lineRule="exact"/>
              <w:jc w:val="center"/>
              <w:rPr>
                <w:rFonts w:ascii="宋体" w:hAnsi="宋体" w:cs="宋体"/>
                <w:szCs w:val="21"/>
                <w:lang w:val="en-GB"/>
              </w:rPr>
            </w:pPr>
          </w:p>
        </w:tc>
        <w:tc>
          <w:tcPr>
            <w:tcW w:w="1626" w:type="dxa"/>
            <w:noWrap/>
            <w:vAlign w:val="center"/>
          </w:tcPr>
          <w:p w14:paraId="79C8CF53">
            <w:pPr>
              <w:pStyle w:val="68"/>
              <w:tabs>
                <w:tab w:val="left" w:pos="1260"/>
              </w:tabs>
              <w:spacing w:before="40" w:after="40" w:line="400" w:lineRule="exact"/>
              <w:jc w:val="center"/>
              <w:rPr>
                <w:rFonts w:ascii="宋体" w:hAnsi="宋体" w:cs="宋体"/>
                <w:szCs w:val="21"/>
                <w:lang w:val="en-GB"/>
              </w:rPr>
            </w:pPr>
          </w:p>
        </w:tc>
        <w:tc>
          <w:tcPr>
            <w:tcW w:w="1290" w:type="dxa"/>
            <w:noWrap/>
            <w:vAlign w:val="center"/>
          </w:tcPr>
          <w:p w14:paraId="412B6510">
            <w:pPr>
              <w:pStyle w:val="68"/>
              <w:tabs>
                <w:tab w:val="left" w:pos="1260"/>
              </w:tabs>
              <w:spacing w:before="40" w:after="40" w:line="400" w:lineRule="exact"/>
              <w:jc w:val="center"/>
              <w:rPr>
                <w:rFonts w:ascii="宋体" w:hAnsi="宋体" w:cs="宋体"/>
                <w:szCs w:val="21"/>
                <w:lang w:val="en-GB"/>
              </w:rPr>
            </w:pPr>
          </w:p>
        </w:tc>
        <w:tc>
          <w:tcPr>
            <w:tcW w:w="2297" w:type="dxa"/>
            <w:noWrap/>
            <w:vAlign w:val="center"/>
          </w:tcPr>
          <w:p w14:paraId="10355A6A">
            <w:pPr>
              <w:pStyle w:val="68"/>
              <w:tabs>
                <w:tab w:val="left" w:pos="1260"/>
              </w:tabs>
              <w:spacing w:before="40" w:after="40" w:line="400" w:lineRule="exact"/>
              <w:jc w:val="center"/>
              <w:rPr>
                <w:rFonts w:ascii="宋体" w:hAnsi="宋体" w:cs="宋体"/>
                <w:szCs w:val="21"/>
                <w:lang w:val="en-GB"/>
              </w:rPr>
            </w:pPr>
          </w:p>
        </w:tc>
        <w:tc>
          <w:tcPr>
            <w:tcW w:w="1017" w:type="dxa"/>
            <w:noWrap/>
            <w:vAlign w:val="center"/>
          </w:tcPr>
          <w:p w14:paraId="01C44539">
            <w:pPr>
              <w:pStyle w:val="68"/>
              <w:tabs>
                <w:tab w:val="left" w:pos="1260"/>
              </w:tabs>
              <w:spacing w:before="40" w:after="40" w:line="400" w:lineRule="exact"/>
              <w:jc w:val="center"/>
              <w:rPr>
                <w:rFonts w:ascii="宋体" w:hAnsi="宋体" w:cs="宋体"/>
                <w:szCs w:val="21"/>
                <w:lang w:val="en-GB"/>
              </w:rPr>
            </w:pPr>
          </w:p>
        </w:tc>
        <w:tc>
          <w:tcPr>
            <w:tcW w:w="830" w:type="dxa"/>
            <w:noWrap/>
            <w:vAlign w:val="center"/>
          </w:tcPr>
          <w:p w14:paraId="017015AD">
            <w:pPr>
              <w:pStyle w:val="68"/>
              <w:tabs>
                <w:tab w:val="left" w:pos="1260"/>
              </w:tabs>
              <w:spacing w:before="40" w:after="40" w:line="400" w:lineRule="exact"/>
              <w:jc w:val="center"/>
              <w:rPr>
                <w:rFonts w:ascii="宋体" w:hAnsi="宋体" w:cs="宋体"/>
                <w:szCs w:val="21"/>
                <w:lang w:val="en-GB"/>
              </w:rPr>
            </w:pPr>
          </w:p>
        </w:tc>
        <w:tc>
          <w:tcPr>
            <w:tcW w:w="1030" w:type="dxa"/>
            <w:noWrap/>
            <w:vAlign w:val="center"/>
          </w:tcPr>
          <w:p w14:paraId="3DA4AA60">
            <w:pPr>
              <w:pStyle w:val="68"/>
              <w:tabs>
                <w:tab w:val="left" w:pos="1260"/>
              </w:tabs>
              <w:spacing w:before="40" w:after="40" w:line="400" w:lineRule="exact"/>
              <w:jc w:val="center"/>
              <w:rPr>
                <w:rFonts w:ascii="宋体" w:hAnsi="宋体" w:cs="宋体"/>
                <w:szCs w:val="21"/>
                <w:lang w:val="en-GB"/>
              </w:rPr>
            </w:pPr>
          </w:p>
        </w:tc>
      </w:tr>
      <w:tr w14:paraId="2186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9" w:type="dxa"/>
            <w:vMerge w:val="continue"/>
            <w:noWrap/>
            <w:vAlign w:val="center"/>
          </w:tcPr>
          <w:p w14:paraId="4DC6B13C">
            <w:pPr>
              <w:pStyle w:val="68"/>
              <w:tabs>
                <w:tab w:val="left" w:pos="1260"/>
              </w:tabs>
              <w:spacing w:before="156" w:after="156" w:line="400" w:lineRule="exact"/>
              <w:jc w:val="center"/>
              <w:rPr>
                <w:rFonts w:ascii="宋体" w:hAnsi="宋体" w:cs="宋体"/>
                <w:szCs w:val="21"/>
                <w:lang w:val="en-GB"/>
              </w:rPr>
            </w:pPr>
          </w:p>
        </w:tc>
        <w:tc>
          <w:tcPr>
            <w:tcW w:w="1750" w:type="dxa"/>
            <w:noWrap/>
            <w:vAlign w:val="center"/>
          </w:tcPr>
          <w:p w14:paraId="27338510">
            <w:pPr>
              <w:pStyle w:val="68"/>
              <w:tabs>
                <w:tab w:val="left" w:pos="1260"/>
              </w:tabs>
              <w:spacing w:before="40" w:after="40" w:line="400" w:lineRule="exact"/>
              <w:jc w:val="center"/>
              <w:rPr>
                <w:rFonts w:ascii="宋体" w:hAnsi="宋体" w:cs="宋体"/>
                <w:szCs w:val="21"/>
                <w:lang w:val="en-GB"/>
              </w:rPr>
            </w:pPr>
          </w:p>
        </w:tc>
        <w:tc>
          <w:tcPr>
            <w:tcW w:w="1626" w:type="dxa"/>
            <w:noWrap/>
            <w:vAlign w:val="center"/>
          </w:tcPr>
          <w:p w14:paraId="09F422BA">
            <w:pPr>
              <w:pStyle w:val="68"/>
              <w:tabs>
                <w:tab w:val="left" w:pos="1260"/>
              </w:tabs>
              <w:spacing w:before="40" w:after="40" w:line="400" w:lineRule="exact"/>
              <w:jc w:val="center"/>
              <w:rPr>
                <w:rFonts w:ascii="宋体" w:hAnsi="宋体" w:cs="宋体"/>
                <w:szCs w:val="21"/>
                <w:lang w:val="en-GB"/>
              </w:rPr>
            </w:pPr>
          </w:p>
        </w:tc>
        <w:tc>
          <w:tcPr>
            <w:tcW w:w="1290" w:type="dxa"/>
            <w:noWrap/>
            <w:vAlign w:val="center"/>
          </w:tcPr>
          <w:p w14:paraId="6E97CBE8">
            <w:pPr>
              <w:pStyle w:val="68"/>
              <w:tabs>
                <w:tab w:val="left" w:pos="1260"/>
              </w:tabs>
              <w:spacing w:before="40" w:after="40" w:line="400" w:lineRule="exact"/>
              <w:jc w:val="center"/>
              <w:rPr>
                <w:rFonts w:ascii="宋体" w:hAnsi="宋体" w:cs="宋体"/>
                <w:szCs w:val="21"/>
                <w:lang w:val="en-GB"/>
              </w:rPr>
            </w:pPr>
          </w:p>
        </w:tc>
        <w:tc>
          <w:tcPr>
            <w:tcW w:w="2297" w:type="dxa"/>
            <w:noWrap/>
            <w:vAlign w:val="center"/>
          </w:tcPr>
          <w:p w14:paraId="2851E0F5">
            <w:pPr>
              <w:pStyle w:val="68"/>
              <w:tabs>
                <w:tab w:val="left" w:pos="1260"/>
              </w:tabs>
              <w:spacing w:before="40" w:after="40" w:line="400" w:lineRule="exact"/>
              <w:jc w:val="center"/>
              <w:rPr>
                <w:rFonts w:ascii="宋体" w:hAnsi="宋体" w:cs="宋体"/>
                <w:szCs w:val="21"/>
                <w:lang w:val="en-GB"/>
              </w:rPr>
            </w:pPr>
          </w:p>
        </w:tc>
        <w:tc>
          <w:tcPr>
            <w:tcW w:w="1017" w:type="dxa"/>
            <w:noWrap/>
            <w:vAlign w:val="center"/>
          </w:tcPr>
          <w:p w14:paraId="21636AEE">
            <w:pPr>
              <w:pStyle w:val="68"/>
              <w:tabs>
                <w:tab w:val="left" w:pos="1260"/>
              </w:tabs>
              <w:spacing w:before="40" w:after="40" w:line="400" w:lineRule="exact"/>
              <w:jc w:val="center"/>
              <w:rPr>
                <w:rFonts w:ascii="宋体" w:hAnsi="宋体" w:cs="宋体"/>
                <w:szCs w:val="21"/>
                <w:lang w:val="en-GB"/>
              </w:rPr>
            </w:pPr>
          </w:p>
        </w:tc>
        <w:tc>
          <w:tcPr>
            <w:tcW w:w="830" w:type="dxa"/>
            <w:noWrap/>
            <w:vAlign w:val="center"/>
          </w:tcPr>
          <w:p w14:paraId="08E377F4">
            <w:pPr>
              <w:pStyle w:val="68"/>
              <w:tabs>
                <w:tab w:val="left" w:pos="1260"/>
              </w:tabs>
              <w:spacing w:before="40" w:after="40" w:line="400" w:lineRule="exact"/>
              <w:jc w:val="center"/>
              <w:rPr>
                <w:rFonts w:ascii="宋体" w:hAnsi="宋体" w:cs="宋体"/>
                <w:szCs w:val="21"/>
                <w:lang w:val="en-GB"/>
              </w:rPr>
            </w:pPr>
          </w:p>
        </w:tc>
        <w:tc>
          <w:tcPr>
            <w:tcW w:w="1030" w:type="dxa"/>
            <w:noWrap/>
            <w:vAlign w:val="center"/>
          </w:tcPr>
          <w:p w14:paraId="72BC0BE6">
            <w:pPr>
              <w:pStyle w:val="68"/>
              <w:tabs>
                <w:tab w:val="left" w:pos="1260"/>
              </w:tabs>
              <w:spacing w:before="40" w:after="40" w:line="400" w:lineRule="exact"/>
              <w:jc w:val="center"/>
              <w:rPr>
                <w:rFonts w:ascii="宋体" w:hAnsi="宋体" w:cs="宋体"/>
                <w:szCs w:val="21"/>
                <w:lang w:val="en-GB"/>
              </w:rPr>
            </w:pPr>
          </w:p>
        </w:tc>
      </w:tr>
      <w:tr w14:paraId="2BB0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9" w:type="dxa"/>
            <w:vMerge w:val="continue"/>
            <w:noWrap/>
            <w:vAlign w:val="center"/>
          </w:tcPr>
          <w:p w14:paraId="37CDC657">
            <w:pPr>
              <w:pStyle w:val="68"/>
              <w:tabs>
                <w:tab w:val="left" w:pos="1260"/>
              </w:tabs>
              <w:spacing w:before="156" w:after="156" w:line="400" w:lineRule="exact"/>
              <w:jc w:val="center"/>
              <w:rPr>
                <w:rFonts w:ascii="宋体" w:hAnsi="宋体" w:cs="宋体"/>
                <w:szCs w:val="21"/>
                <w:lang w:val="en-GB"/>
              </w:rPr>
            </w:pPr>
          </w:p>
        </w:tc>
        <w:tc>
          <w:tcPr>
            <w:tcW w:w="1750" w:type="dxa"/>
            <w:noWrap/>
            <w:vAlign w:val="center"/>
          </w:tcPr>
          <w:p w14:paraId="2979CBA8">
            <w:pPr>
              <w:pStyle w:val="68"/>
              <w:tabs>
                <w:tab w:val="left" w:pos="1260"/>
              </w:tabs>
              <w:spacing w:before="40" w:after="40" w:line="400" w:lineRule="exact"/>
              <w:jc w:val="center"/>
              <w:rPr>
                <w:rFonts w:ascii="宋体" w:hAnsi="宋体" w:cs="宋体"/>
                <w:szCs w:val="21"/>
                <w:lang w:val="en-GB"/>
              </w:rPr>
            </w:pPr>
          </w:p>
        </w:tc>
        <w:tc>
          <w:tcPr>
            <w:tcW w:w="1626" w:type="dxa"/>
            <w:noWrap/>
            <w:vAlign w:val="center"/>
          </w:tcPr>
          <w:p w14:paraId="5661076D">
            <w:pPr>
              <w:pStyle w:val="68"/>
              <w:tabs>
                <w:tab w:val="left" w:pos="1260"/>
              </w:tabs>
              <w:spacing w:before="40" w:after="40" w:line="400" w:lineRule="exact"/>
              <w:jc w:val="center"/>
              <w:rPr>
                <w:rFonts w:ascii="宋体" w:hAnsi="宋体" w:cs="宋体"/>
                <w:szCs w:val="21"/>
                <w:lang w:val="en-GB"/>
              </w:rPr>
            </w:pPr>
          </w:p>
        </w:tc>
        <w:tc>
          <w:tcPr>
            <w:tcW w:w="1290" w:type="dxa"/>
            <w:noWrap/>
            <w:vAlign w:val="center"/>
          </w:tcPr>
          <w:p w14:paraId="2DCE0EEB">
            <w:pPr>
              <w:pStyle w:val="68"/>
              <w:tabs>
                <w:tab w:val="left" w:pos="1260"/>
              </w:tabs>
              <w:spacing w:before="40" w:after="40" w:line="400" w:lineRule="exact"/>
              <w:jc w:val="center"/>
              <w:rPr>
                <w:rFonts w:ascii="宋体" w:hAnsi="宋体" w:cs="宋体"/>
                <w:szCs w:val="21"/>
                <w:lang w:val="en-GB"/>
              </w:rPr>
            </w:pPr>
          </w:p>
        </w:tc>
        <w:tc>
          <w:tcPr>
            <w:tcW w:w="2297" w:type="dxa"/>
            <w:noWrap/>
            <w:vAlign w:val="center"/>
          </w:tcPr>
          <w:p w14:paraId="5E159181">
            <w:pPr>
              <w:pStyle w:val="68"/>
              <w:tabs>
                <w:tab w:val="left" w:pos="1260"/>
              </w:tabs>
              <w:spacing w:before="40" w:after="40" w:line="400" w:lineRule="exact"/>
              <w:jc w:val="center"/>
              <w:rPr>
                <w:rFonts w:ascii="宋体" w:hAnsi="宋体" w:cs="宋体"/>
                <w:szCs w:val="21"/>
                <w:lang w:val="en-GB"/>
              </w:rPr>
            </w:pPr>
          </w:p>
        </w:tc>
        <w:tc>
          <w:tcPr>
            <w:tcW w:w="1017" w:type="dxa"/>
            <w:noWrap/>
            <w:vAlign w:val="center"/>
          </w:tcPr>
          <w:p w14:paraId="38DE5A27">
            <w:pPr>
              <w:pStyle w:val="68"/>
              <w:tabs>
                <w:tab w:val="left" w:pos="1260"/>
              </w:tabs>
              <w:spacing w:before="40" w:after="40" w:line="400" w:lineRule="exact"/>
              <w:jc w:val="center"/>
              <w:rPr>
                <w:rFonts w:ascii="宋体" w:hAnsi="宋体" w:cs="宋体"/>
                <w:szCs w:val="21"/>
                <w:lang w:val="en-GB"/>
              </w:rPr>
            </w:pPr>
          </w:p>
        </w:tc>
        <w:tc>
          <w:tcPr>
            <w:tcW w:w="830" w:type="dxa"/>
            <w:noWrap/>
            <w:vAlign w:val="center"/>
          </w:tcPr>
          <w:p w14:paraId="0F783045">
            <w:pPr>
              <w:pStyle w:val="68"/>
              <w:tabs>
                <w:tab w:val="left" w:pos="1260"/>
              </w:tabs>
              <w:spacing w:before="40" w:after="40" w:line="400" w:lineRule="exact"/>
              <w:jc w:val="center"/>
              <w:rPr>
                <w:rFonts w:ascii="宋体" w:hAnsi="宋体" w:cs="宋体"/>
                <w:szCs w:val="21"/>
                <w:lang w:val="en-GB"/>
              </w:rPr>
            </w:pPr>
          </w:p>
        </w:tc>
        <w:tc>
          <w:tcPr>
            <w:tcW w:w="1030" w:type="dxa"/>
            <w:noWrap/>
            <w:vAlign w:val="center"/>
          </w:tcPr>
          <w:p w14:paraId="53F4331F">
            <w:pPr>
              <w:pStyle w:val="68"/>
              <w:tabs>
                <w:tab w:val="left" w:pos="1260"/>
              </w:tabs>
              <w:spacing w:before="40" w:after="40" w:line="400" w:lineRule="exact"/>
              <w:jc w:val="center"/>
              <w:rPr>
                <w:rFonts w:ascii="宋体" w:hAnsi="宋体" w:cs="宋体"/>
                <w:szCs w:val="21"/>
                <w:lang w:val="en-GB"/>
              </w:rPr>
            </w:pPr>
          </w:p>
        </w:tc>
      </w:tr>
      <w:tr w14:paraId="0D3A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39" w:type="dxa"/>
            <w:vMerge w:val="continue"/>
            <w:noWrap/>
            <w:vAlign w:val="center"/>
          </w:tcPr>
          <w:p w14:paraId="085B2525">
            <w:pPr>
              <w:pStyle w:val="68"/>
              <w:tabs>
                <w:tab w:val="left" w:pos="1260"/>
              </w:tabs>
              <w:spacing w:before="156" w:after="156" w:line="400" w:lineRule="exact"/>
              <w:jc w:val="center"/>
              <w:rPr>
                <w:rFonts w:ascii="宋体" w:hAnsi="宋体" w:cs="宋体"/>
                <w:szCs w:val="21"/>
                <w:lang w:val="en-GB"/>
              </w:rPr>
            </w:pPr>
          </w:p>
        </w:tc>
        <w:tc>
          <w:tcPr>
            <w:tcW w:w="6963" w:type="dxa"/>
            <w:gridSpan w:val="4"/>
            <w:noWrap/>
            <w:vAlign w:val="center"/>
          </w:tcPr>
          <w:p w14:paraId="5F34CFC3">
            <w:pPr>
              <w:pStyle w:val="68"/>
              <w:tabs>
                <w:tab w:val="left" w:pos="1260"/>
              </w:tabs>
              <w:spacing w:before="40" w:after="40" w:line="400" w:lineRule="exact"/>
              <w:jc w:val="center"/>
              <w:rPr>
                <w:rFonts w:ascii="宋体" w:hAnsi="宋体" w:cs="宋体"/>
                <w:szCs w:val="21"/>
                <w:lang w:val="en-GB"/>
              </w:rPr>
            </w:pPr>
            <w:r>
              <w:rPr>
                <w:rFonts w:hint="eastAsia" w:ascii="宋体" w:hAnsi="宋体" w:cs="宋体"/>
                <w:szCs w:val="21"/>
              </w:rPr>
              <w:t>小型、微型企业产品</w:t>
            </w:r>
            <w:r>
              <w:rPr>
                <w:rFonts w:hint="eastAsia" w:ascii="宋体" w:hAnsi="宋体" w:cs="宋体"/>
                <w:szCs w:val="21"/>
                <w:lang w:val="en-GB"/>
              </w:rPr>
              <w:t>合计</w:t>
            </w:r>
          </w:p>
        </w:tc>
        <w:tc>
          <w:tcPr>
            <w:tcW w:w="1017" w:type="dxa"/>
            <w:noWrap/>
            <w:vAlign w:val="center"/>
          </w:tcPr>
          <w:p w14:paraId="01DACFFF">
            <w:pPr>
              <w:pStyle w:val="68"/>
              <w:tabs>
                <w:tab w:val="left" w:pos="1260"/>
              </w:tabs>
              <w:spacing w:before="40" w:after="40" w:line="400" w:lineRule="exact"/>
              <w:jc w:val="center"/>
              <w:rPr>
                <w:rFonts w:ascii="宋体" w:hAnsi="宋体" w:cs="宋体"/>
                <w:szCs w:val="21"/>
                <w:lang w:val="en-GB"/>
              </w:rPr>
            </w:pPr>
          </w:p>
        </w:tc>
        <w:tc>
          <w:tcPr>
            <w:tcW w:w="830" w:type="dxa"/>
            <w:noWrap/>
            <w:vAlign w:val="center"/>
          </w:tcPr>
          <w:p w14:paraId="732E97A4">
            <w:pPr>
              <w:pStyle w:val="68"/>
              <w:tabs>
                <w:tab w:val="left" w:pos="1260"/>
              </w:tabs>
              <w:spacing w:before="40" w:after="40" w:line="400" w:lineRule="exact"/>
              <w:jc w:val="center"/>
              <w:rPr>
                <w:rFonts w:ascii="宋体" w:hAnsi="宋体" w:cs="宋体"/>
                <w:szCs w:val="21"/>
                <w:lang w:val="en-GB"/>
              </w:rPr>
            </w:pPr>
          </w:p>
        </w:tc>
        <w:tc>
          <w:tcPr>
            <w:tcW w:w="1030" w:type="dxa"/>
            <w:noWrap/>
            <w:vAlign w:val="center"/>
          </w:tcPr>
          <w:p w14:paraId="6C962C52">
            <w:pPr>
              <w:pStyle w:val="68"/>
              <w:tabs>
                <w:tab w:val="left" w:pos="1260"/>
              </w:tabs>
              <w:spacing w:before="40" w:after="40" w:line="400" w:lineRule="exact"/>
              <w:jc w:val="center"/>
              <w:rPr>
                <w:rFonts w:ascii="宋体" w:hAnsi="宋体" w:cs="宋体"/>
                <w:szCs w:val="21"/>
                <w:lang w:val="en-GB"/>
              </w:rPr>
            </w:pPr>
          </w:p>
        </w:tc>
      </w:tr>
    </w:tbl>
    <w:p w14:paraId="0FDCE55C">
      <w:pPr>
        <w:spacing w:line="400" w:lineRule="exact"/>
        <w:ind w:firstLine="420"/>
        <w:jc w:val="left"/>
        <w:rPr>
          <w:rFonts w:ascii="宋体" w:hAnsi="宋体" w:cs="宋体"/>
          <w:szCs w:val="21"/>
        </w:rPr>
      </w:pPr>
      <w:r>
        <w:rPr>
          <w:rFonts w:hint="eastAsia" w:ascii="宋体" w:hAnsi="宋体" w:cs="宋体"/>
          <w:szCs w:val="21"/>
        </w:rPr>
        <w:t>填报要求：</w:t>
      </w:r>
    </w:p>
    <w:p w14:paraId="0DCCAD7F">
      <w:pPr>
        <w:spacing w:line="400" w:lineRule="exact"/>
        <w:ind w:firstLine="420"/>
        <w:jc w:val="left"/>
        <w:rPr>
          <w:rFonts w:ascii="宋体" w:hAnsi="宋体" w:cs="宋体"/>
          <w:szCs w:val="21"/>
        </w:rPr>
      </w:pPr>
      <w:r>
        <w:rPr>
          <w:rFonts w:hint="eastAsia" w:ascii="宋体" w:hAnsi="宋体" w:cs="宋体"/>
          <w:szCs w:val="21"/>
        </w:rPr>
        <w:t>1. 本表的货物名称、规格型号和注册商标、金额应与《货物分项报价一览表》一致。</w:t>
      </w:r>
    </w:p>
    <w:p w14:paraId="7A9F9440">
      <w:pPr>
        <w:spacing w:line="400" w:lineRule="exact"/>
        <w:ind w:firstLine="420"/>
        <w:jc w:val="left"/>
        <w:rPr>
          <w:rFonts w:ascii="宋体" w:hAnsi="宋体" w:cs="宋体"/>
          <w:szCs w:val="21"/>
        </w:rPr>
      </w:pPr>
      <w:r>
        <w:rPr>
          <w:rFonts w:hint="eastAsia" w:ascii="宋体" w:hAnsi="宋体" w:cs="宋体"/>
          <w:szCs w:val="21"/>
        </w:rPr>
        <w:t>2. 制造商为小型或微型企业时才需要填“制造商企业类型”栏，填写内容为“小型”或“微型”。（监狱企业、残疾人福利企业视同小微企业）</w:t>
      </w:r>
    </w:p>
    <w:p w14:paraId="52B21CCB">
      <w:pPr>
        <w:spacing w:line="400" w:lineRule="exact"/>
        <w:ind w:firstLine="420"/>
        <w:jc w:val="left"/>
        <w:rPr>
          <w:rFonts w:ascii="宋体" w:hAnsi="宋体" w:cs="宋体"/>
          <w:szCs w:val="21"/>
        </w:rPr>
      </w:pPr>
      <w:r>
        <w:rPr>
          <w:rFonts w:hint="eastAsia" w:ascii="宋体" w:hAnsi="宋体" w:cs="宋体"/>
          <w:szCs w:val="21"/>
        </w:rPr>
        <w:t>3. 请投标人正确填写本表，所填内容将作为评审的依据。其内容或数据应与对应的证明资料相符。</w:t>
      </w:r>
    </w:p>
    <w:p w14:paraId="797555AD">
      <w:pPr>
        <w:spacing w:line="400" w:lineRule="exact"/>
        <w:ind w:firstLine="420"/>
        <w:jc w:val="left"/>
        <w:rPr>
          <w:rFonts w:ascii="宋体" w:hAnsi="宋体" w:cs="宋体"/>
          <w:szCs w:val="21"/>
        </w:rPr>
      </w:pPr>
      <w:r>
        <w:rPr>
          <w:rFonts w:hint="eastAsia" w:ascii="宋体" w:hAnsi="宋体" w:cs="宋体"/>
          <w:szCs w:val="21"/>
        </w:rPr>
        <w:t>4.如产品较多时，投标人可自行增加表格。没有相关产品可不填此表。</w:t>
      </w:r>
    </w:p>
    <w:p w14:paraId="3CD43BDC">
      <w:pPr>
        <w:pStyle w:val="10"/>
        <w:spacing w:line="360" w:lineRule="auto"/>
        <w:rPr>
          <w:rFonts w:ascii="宋体" w:hAnsi="宋体" w:cs="宋体"/>
          <w:szCs w:val="21"/>
        </w:rPr>
      </w:pPr>
    </w:p>
    <w:p w14:paraId="25101B8B">
      <w:pPr>
        <w:pStyle w:val="10"/>
        <w:spacing w:line="360" w:lineRule="auto"/>
        <w:rPr>
          <w:rFonts w:ascii="宋体" w:hAnsi="宋体" w:cs="宋体"/>
          <w:szCs w:val="21"/>
        </w:rPr>
      </w:pPr>
    </w:p>
    <w:p w14:paraId="3755200C">
      <w:pPr>
        <w:spacing w:line="360" w:lineRule="auto"/>
        <w:ind w:firstLine="420"/>
        <w:rPr>
          <w:rFonts w:ascii="宋体" w:hAnsi="宋体" w:cs="宋体"/>
          <w:szCs w:val="21"/>
        </w:rPr>
      </w:pPr>
      <w:r>
        <w:rPr>
          <w:rFonts w:hint="eastAsia" w:ascii="宋体" w:hAnsi="宋体" w:cs="宋体"/>
          <w:szCs w:val="21"/>
        </w:rPr>
        <w:t>法定代表人或授权委托人 （电子签名或盖章）</w:t>
      </w:r>
    </w:p>
    <w:p w14:paraId="3694090F">
      <w:pPr>
        <w:spacing w:line="360" w:lineRule="auto"/>
        <w:ind w:firstLine="420"/>
        <w:rPr>
          <w:rFonts w:ascii="宋体" w:hAnsi="宋体" w:cs="宋体"/>
          <w:szCs w:val="21"/>
        </w:rPr>
      </w:pPr>
    </w:p>
    <w:p w14:paraId="59DB429D">
      <w:pPr>
        <w:spacing w:line="360" w:lineRule="auto"/>
        <w:ind w:firstLine="420"/>
        <w:rPr>
          <w:rFonts w:ascii="宋体" w:hAnsi="宋体" w:cs="宋体"/>
          <w:szCs w:val="21"/>
        </w:rPr>
      </w:pPr>
      <w:r>
        <w:rPr>
          <w:rFonts w:hint="eastAsia" w:ascii="宋体" w:hAnsi="宋体" w:cs="宋体"/>
          <w:szCs w:val="21"/>
        </w:rPr>
        <w:t>供应商：（盖单位章）</w:t>
      </w:r>
    </w:p>
    <w:p w14:paraId="3450E066">
      <w:pPr>
        <w:spacing w:line="360" w:lineRule="auto"/>
        <w:ind w:firstLine="420"/>
        <w:rPr>
          <w:rFonts w:ascii="宋体" w:hAnsi="宋体" w:cs="宋体"/>
          <w:szCs w:val="21"/>
        </w:rPr>
      </w:pPr>
    </w:p>
    <w:p w14:paraId="2CE363EA">
      <w:pPr>
        <w:spacing w:line="336" w:lineRule="auto"/>
        <w:ind w:firstLine="420" w:firstLineChars="200"/>
        <w:rPr>
          <w:rFonts w:ascii="宋体" w:hAnsi="宋体" w:eastAsia="宋体" w:cs="宋体"/>
          <w:szCs w:val="21"/>
        </w:rPr>
      </w:pPr>
      <w:r>
        <w:rPr>
          <w:rFonts w:hint="eastAsia" w:ascii="宋体" w:hAnsi="宋体" w:cs="宋体"/>
          <w:szCs w:val="21"/>
        </w:rPr>
        <w:t>日   期：</w:t>
      </w:r>
    </w:p>
    <w:p w14:paraId="278C1E73">
      <w:pPr>
        <w:ind w:firstLine="562"/>
        <w:rPr>
          <w:rFonts w:ascii="宋体" w:hAnsi="宋体" w:eastAsia="宋体" w:cs="宋体"/>
          <w:b/>
          <w:sz w:val="28"/>
          <w:szCs w:val="28"/>
        </w:rPr>
      </w:pPr>
      <w:r>
        <w:rPr>
          <w:rFonts w:hint="eastAsia" w:ascii="宋体" w:hAnsi="宋体" w:eastAsia="宋体" w:cs="宋体"/>
          <w:b/>
          <w:sz w:val="28"/>
          <w:szCs w:val="28"/>
        </w:rPr>
        <w:br w:type="page"/>
      </w:r>
    </w:p>
    <w:p w14:paraId="4AD721A1">
      <w:pPr>
        <w:pStyle w:val="2"/>
        <w:ind w:firstLine="540" w:firstLineChars="192"/>
        <w:jc w:val="center"/>
        <w:outlineLvl w:val="1"/>
        <w:rPr>
          <w:rFonts w:ascii="宋体" w:hAnsi="宋体" w:eastAsia="宋体" w:cs="宋体"/>
          <w:b/>
          <w:sz w:val="28"/>
          <w:szCs w:val="28"/>
        </w:rPr>
      </w:pPr>
      <w:r>
        <w:rPr>
          <w:rFonts w:hint="eastAsia" w:ascii="宋体" w:hAnsi="宋体" w:eastAsia="宋体" w:cs="宋体"/>
          <w:b/>
          <w:sz w:val="28"/>
          <w:szCs w:val="28"/>
        </w:rPr>
        <w:t>五、商务及技术偏差表</w:t>
      </w:r>
    </w:p>
    <w:p w14:paraId="5BB7DBE8">
      <w:pPr>
        <w:pStyle w:val="2"/>
        <w:ind w:firstLine="463" w:firstLineChars="192"/>
        <w:jc w:val="center"/>
        <w:rPr>
          <w:rFonts w:asciiTheme="minorEastAsia" w:hAnsiTheme="minorEastAsia" w:cstheme="minorEastAsia"/>
          <w:b/>
          <w:bCs/>
          <w:szCs w:val="24"/>
        </w:rPr>
      </w:pPr>
      <w:r>
        <w:rPr>
          <w:rFonts w:hint="eastAsia" w:asciiTheme="minorEastAsia" w:hAnsiTheme="minorEastAsia" w:cstheme="minorEastAsia"/>
          <w:b/>
          <w:bCs/>
          <w:szCs w:val="24"/>
        </w:rPr>
        <w:t>（一）商务偏差表</w:t>
      </w:r>
    </w:p>
    <w:tbl>
      <w:tblPr>
        <w:tblStyle w:val="27"/>
        <w:tblW w:w="8223"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6"/>
        <w:gridCol w:w="2693"/>
        <w:gridCol w:w="2979"/>
        <w:gridCol w:w="1625"/>
      </w:tblGrid>
      <w:tr w14:paraId="38505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exact"/>
        </w:trPr>
        <w:tc>
          <w:tcPr>
            <w:tcW w:w="926" w:type="dxa"/>
            <w:noWrap/>
          </w:tcPr>
          <w:p w14:paraId="0295469F">
            <w:pPr>
              <w:pStyle w:val="63"/>
              <w:spacing w:before="72"/>
              <w:ind w:firstLine="0" w:firstLineChars="0"/>
              <w:jc w:val="center"/>
              <w:rPr>
                <w:rFonts w:hint="default" w:asciiTheme="minorEastAsia" w:hAnsiTheme="minorEastAsia" w:eastAsiaTheme="minorEastAsia" w:cstheme="minorEastAsia"/>
                <w:bCs/>
                <w:sz w:val="21"/>
                <w:szCs w:val="21"/>
              </w:rPr>
            </w:pPr>
            <w:r>
              <w:rPr>
                <w:rFonts w:asciiTheme="minorEastAsia" w:hAnsiTheme="minorEastAsia" w:eastAsiaTheme="minorEastAsia" w:cstheme="minorEastAsia"/>
                <w:bCs/>
                <w:sz w:val="21"/>
                <w:szCs w:val="21"/>
              </w:rPr>
              <w:t>序号</w:t>
            </w:r>
          </w:p>
        </w:tc>
        <w:tc>
          <w:tcPr>
            <w:tcW w:w="2693" w:type="dxa"/>
            <w:noWrap/>
          </w:tcPr>
          <w:p w14:paraId="2269647F">
            <w:pPr>
              <w:pStyle w:val="63"/>
              <w:spacing w:before="72"/>
              <w:ind w:firstLine="0" w:firstLineChars="0"/>
              <w:jc w:val="center"/>
              <w:rPr>
                <w:rFonts w:hint="default" w:asciiTheme="minorEastAsia" w:hAnsiTheme="minorEastAsia" w:eastAsiaTheme="minorEastAsia" w:cstheme="minorEastAsia"/>
                <w:bCs/>
                <w:sz w:val="21"/>
                <w:szCs w:val="21"/>
              </w:rPr>
            </w:pPr>
            <w:r>
              <w:rPr>
                <w:rFonts w:asciiTheme="minorEastAsia" w:hAnsiTheme="minorEastAsia" w:eastAsiaTheme="minorEastAsia" w:cstheme="minorEastAsia"/>
                <w:bCs/>
                <w:sz w:val="21"/>
                <w:szCs w:val="21"/>
              </w:rPr>
              <w:t>招标文件章节及条款号</w:t>
            </w:r>
          </w:p>
        </w:tc>
        <w:tc>
          <w:tcPr>
            <w:tcW w:w="2979" w:type="dxa"/>
            <w:noWrap/>
          </w:tcPr>
          <w:p w14:paraId="632BB1FB">
            <w:pPr>
              <w:pStyle w:val="63"/>
              <w:spacing w:before="72"/>
              <w:ind w:firstLine="0" w:firstLineChars="0"/>
              <w:jc w:val="center"/>
              <w:rPr>
                <w:rFonts w:hint="default" w:asciiTheme="minorEastAsia" w:hAnsiTheme="minorEastAsia" w:eastAsiaTheme="minorEastAsia" w:cstheme="minorEastAsia"/>
                <w:bCs/>
                <w:sz w:val="21"/>
                <w:szCs w:val="21"/>
              </w:rPr>
            </w:pPr>
            <w:r>
              <w:rPr>
                <w:rFonts w:asciiTheme="minorEastAsia" w:hAnsiTheme="minorEastAsia" w:eastAsiaTheme="minorEastAsia" w:cstheme="minorEastAsia"/>
                <w:bCs/>
                <w:sz w:val="21"/>
                <w:szCs w:val="21"/>
              </w:rPr>
              <w:t>投标文件章节及条款号</w:t>
            </w:r>
          </w:p>
        </w:tc>
        <w:tc>
          <w:tcPr>
            <w:tcW w:w="1625" w:type="dxa"/>
            <w:noWrap/>
          </w:tcPr>
          <w:p w14:paraId="1AC3A38F">
            <w:pPr>
              <w:pStyle w:val="63"/>
              <w:spacing w:before="72"/>
              <w:ind w:firstLine="0" w:firstLineChars="0"/>
              <w:jc w:val="center"/>
              <w:rPr>
                <w:rFonts w:hint="default" w:asciiTheme="minorEastAsia" w:hAnsiTheme="minorEastAsia" w:eastAsiaTheme="minorEastAsia" w:cstheme="minorEastAsia"/>
                <w:bCs/>
                <w:sz w:val="21"/>
                <w:szCs w:val="21"/>
              </w:rPr>
            </w:pPr>
            <w:r>
              <w:rPr>
                <w:rFonts w:asciiTheme="minorEastAsia" w:hAnsiTheme="minorEastAsia" w:eastAsiaTheme="minorEastAsia" w:cstheme="minorEastAsia"/>
                <w:bCs/>
                <w:sz w:val="21"/>
                <w:szCs w:val="21"/>
              </w:rPr>
              <w:t>偏差说明</w:t>
            </w:r>
          </w:p>
        </w:tc>
      </w:tr>
      <w:tr w14:paraId="419C5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926" w:type="dxa"/>
            <w:noWrap/>
            <w:vAlign w:val="center"/>
          </w:tcPr>
          <w:p w14:paraId="7DE9FB77">
            <w:pPr>
              <w:spacing w:line="312" w:lineRule="auto"/>
              <w:ind w:firstLine="0" w:firstLineChars="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1</w:t>
            </w:r>
          </w:p>
        </w:tc>
        <w:tc>
          <w:tcPr>
            <w:tcW w:w="2693" w:type="dxa"/>
            <w:noWrap/>
          </w:tcPr>
          <w:p w14:paraId="09E889C0">
            <w:pPr>
              <w:ind w:firstLine="420"/>
              <w:rPr>
                <w:rFonts w:asciiTheme="minorEastAsia" w:hAnsiTheme="minorEastAsia" w:cstheme="minorEastAsia"/>
                <w:bCs/>
                <w:kern w:val="0"/>
                <w:szCs w:val="21"/>
              </w:rPr>
            </w:pPr>
          </w:p>
        </w:tc>
        <w:tc>
          <w:tcPr>
            <w:tcW w:w="2979" w:type="dxa"/>
            <w:noWrap/>
          </w:tcPr>
          <w:p w14:paraId="43589CEB">
            <w:pPr>
              <w:ind w:firstLine="420"/>
              <w:rPr>
                <w:rFonts w:asciiTheme="minorEastAsia" w:hAnsiTheme="minorEastAsia" w:cstheme="minorEastAsia"/>
                <w:bCs/>
                <w:kern w:val="0"/>
                <w:szCs w:val="21"/>
              </w:rPr>
            </w:pPr>
          </w:p>
        </w:tc>
        <w:tc>
          <w:tcPr>
            <w:tcW w:w="1625" w:type="dxa"/>
            <w:noWrap/>
          </w:tcPr>
          <w:p w14:paraId="38F25B9E">
            <w:pPr>
              <w:ind w:firstLine="420"/>
              <w:rPr>
                <w:rFonts w:asciiTheme="minorEastAsia" w:hAnsiTheme="minorEastAsia" w:cstheme="minorEastAsia"/>
                <w:bCs/>
                <w:kern w:val="0"/>
                <w:szCs w:val="21"/>
              </w:rPr>
            </w:pPr>
          </w:p>
        </w:tc>
      </w:tr>
      <w:tr w14:paraId="6758B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26" w:type="dxa"/>
            <w:noWrap/>
            <w:vAlign w:val="center"/>
          </w:tcPr>
          <w:p w14:paraId="78DF1C98">
            <w:pPr>
              <w:spacing w:line="312" w:lineRule="auto"/>
              <w:ind w:firstLine="0" w:firstLineChars="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2</w:t>
            </w:r>
          </w:p>
        </w:tc>
        <w:tc>
          <w:tcPr>
            <w:tcW w:w="2693" w:type="dxa"/>
            <w:noWrap/>
          </w:tcPr>
          <w:p w14:paraId="1BB97693">
            <w:pPr>
              <w:ind w:firstLine="420"/>
              <w:rPr>
                <w:rFonts w:asciiTheme="minorEastAsia" w:hAnsiTheme="minorEastAsia" w:cstheme="minorEastAsia"/>
                <w:bCs/>
                <w:kern w:val="0"/>
                <w:szCs w:val="21"/>
              </w:rPr>
            </w:pPr>
          </w:p>
        </w:tc>
        <w:tc>
          <w:tcPr>
            <w:tcW w:w="2979" w:type="dxa"/>
            <w:noWrap/>
          </w:tcPr>
          <w:p w14:paraId="51CC100E">
            <w:pPr>
              <w:ind w:firstLine="420"/>
              <w:rPr>
                <w:rFonts w:asciiTheme="minorEastAsia" w:hAnsiTheme="minorEastAsia" w:cstheme="minorEastAsia"/>
                <w:bCs/>
                <w:kern w:val="0"/>
                <w:szCs w:val="21"/>
              </w:rPr>
            </w:pPr>
          </w:p>
        </w:tc>
        <w:tc>
          <w:tcPr>
            <w:tcW w:w="1625" w:type="dxa"/>
            <w:noWrap/>
          </w:tcPr>
          <w:p w14:paraId="6931838B">
            <w:pPr>
              <w:ind w:firstLine="420"/>
              <w:rPr>
                <w:rFonts w:asciiTheme="minorEastAsia" w:hAnsiTheme="minorEastAsia" w:cstheme="minorEastAsia"/>
                <w:bCs/>
                <w:kern w:val="0"/>
                <w:szCs w:val="21"/>
              </w:rPr>
            </w:pPr>
          </w:p>
        </w:tc>
      </w:tr>
      <w:tr w14:paraId="32BD1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26" w:type="dxa"/>
            <w:noWrap/>
            <w:vAlign w:val="center"/>
          </w:tcPr>
          <w:p w14:paraId="4B634AB6">
            <w:pPr>
              <w:spacing w:line="312" w:lineRule="auto"/>
              <w:ind w:firstLine="0" w:firstLineChars="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3</w:t>
            </w:r>
          </w:p>
        </w:tc>
        <w:tc>
          <w:tcPr>
            <w:tcW w:w="2693" w:type="dxa"/>
            <w:noWrap/>
          </w:tcPr>
          <w:p w14:paraId="2EF503B4">
            <w:pPr>
              <w:ind w:firstLine="420"/>
              <w:rPr>
                <w:rFonts w:asciiTheme="minorEastAsia" w:hAnsiTheme="minorEastAsia" w:cstheme="minorEastAsia"/>
                <w:bCs/>
                <w:kern w:val="0"/>
                <w:szCs w:val="21"/>
              </w:rPr>
            </w:pPr>
          </w:p>
        </w:tc>
        <w:tc>
          <w:tcPr>
            <w:tcW w:w="2979" w:type="dxa"/>
            <w:noWrap/>
          </w:tcPr>
          <w:p w14:paraId="4752CCF6">
            <w:pPr>
              <w:ind w:firstLine="420"/>
              <w:rPr>
                <w:rFonts w:asciiTheme="minorEastAsia" w:hAnsiTheme="minorEastAsia" w:cstheme="minorEastAsia"/>
                <w:bCs/>
                <w:kern w:val="0"/>
                <w:szCs w:val="21"/>
              </w:rPr>
            </w:pPr>
          </w:p>
        </w:tc>
        <w:tc>
          <w:tcPr>
            <w:tcW w:w="1625" w:type="dxa"/>
            <w:noWrap/>
          </w:tcPr>
          <w:p w14:paraId="7D41F4ED">
            <w:pPr>
              <w:ind w:firstLine="420"/>
              <w:rPr>
                <w:rFonts w:asciiTheme="minorEastAsia" w:hAnsiTheme="minorEastAsia" w:cstheme="minorEastAsia"/>
                <w:bCs/>
                <w:kern w:val="0"/>
                <w:szCs w:val="21"/>
              </w:rPr>
            </w:pPr>
          </w:p>
        </w:tc>
      </w:tr>
      <w:tr w14:paraId="03BC4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26" w:type="dxa"/>
            <w:noWrap/>
            <w:vAlign w:val="center"/>
          </w:tcPr>
          <w:p w14:paraId="05EB190C">
            <w:pPr>
              <w:spacing w:line="312" w:lineRule="auto"/>
              <w:ind w:firstLine="0" w:firstLineChars="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4</w:t>
            </w:r>
          </w:p>
        </w:tc>
        <w:tc>
          <w:tcPr>
            <w:tcW w:w="2693" w:type="dxa"/>
            <w:noWrap/>
          </w:tcPr>
          <w:p w14:paraId="08321D89">
            <w:pPr>
              <w:ind w:firstLine="420"/>
              <w:rPr>
                <w:rFonts w:asciiTheme="minorEastAsia" w:hAnsiTheme="minorEastAsia" w:cstheme="minorEastAsia"/>
                <w:bCs/>
                <w:kern w:val="0"/>
                <w:szCs w:val="21"/>
              </w:rPr>
            </w:pPr>
          </w:p>
        </w:tc>
        <w:tc>
          <w:tcPr>
            <w:tcW w:w="2979" w:type="dxa"/>
            <w:noWrap/>
          </w:tcPr>
          <w:p w14:paraId="4A4667F4">
            <w:pPr>
              <w:ind w:firstLine="420"/>
              <w:rPr>
                <w:rFonts w:asciiTheme="minorEastAsia" w:hAnsiTheme="minorEastAsia" w:cstheme="minorEastAsia"/>
                <w:bCs/>
                <w:kern w:val="0"/>
                <w:szCs w:val="21"/>
              </w:rPr>
            </w:pPr>
          </w:p>
        </w:tc>
        <w:tc>
          <w:tcPr>
            <w:tcW w:w="1625" w:type="dxa"/>
            <w:noWrap/>
          </w:tcPr>
          <w:p w14:paraId="40C1DBA7">
            <w:pPr>
              <w:ind w:firstLine="420"/>
              <w:rPr>
                <w:rFonts w:asciiTheme="minorEastAsia" w:hAnsiTheme="minorEastAsia" w:cstheme="minorEastAsia"/>
                <w:bCs/>
                <w:kern w:val="0"/>
                <w:szCs w:val="21"/>
              </w:rPr>
            </w:pPr>
          </w:p>
        </w:tc>
      </w:tr>
      <w:tr w14:paraId="3794B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26" w:type="dxa"/>
            <w:noWrap/>
            <w:vAlign w:val="center"/>
          </w:tcPr>
          <w:p w14:paraId="159172CA">
            <w:pPr>
              <w:spacing w:line="312" w:lineRule="auto"/>
              <w:ind w:firstLine="0" w:firstLineChars="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5</w:t>
            </w:r>
          </w:p>
        </w:tc>
        <w:tc>
          <w:tcPr>
            <w:tcW w:w="2693" w:type="dxa"/>
            <w:noWrap/>
          </w:tcPr>
          <w:p w14:paraId="74FBED11">
            <w:pPr>
              <w:ind w:firstLine="420"/>
              <w:rPr>
                <w:rFonts w:asciiTheme="minorEastAsia" w:hAnsiTheme="minorEastAsia" w:cstheme="minorEastAsia"/>
                <w:bCs/>
                <w:kern w:val="0"/>
                <w:szCs w:val="21"/>
              </w:rPr>
            </w:pPr>
          </w:p>
        </w:tc>
        <w:tc>
          <w:tcPr>
            <w:tcW w:w="2979" w:type="dxa"/>
            <w:noWrap/>
          </w:tcPr>
          <w:p w14:paraId="6DECE955">
            <w:pPr>
              <w:ind w:firstLine="420"/>
              <w:rPr>
                <w:rFonts w:asciiTheme="minorEastAsia" w:hAnsiTheme="minorEastAsia" w:cstheme="minorEastAsia"/>
                <w:bCs/>
                <w:kern w:val="0"/>
                <w:szCs w:val="21"/>
              </w:rPr>
            </w:pPr>
          </w:p>
        </w:tc>
        <w:tc>
          <w:tcPr>
            <w:tcW w:w="1625" w:type="dxa"/>
            <w:noWrap/>
          </w:tcPr>
          <w:p w14:paraId="5A962615">
            <w:pPr>
              <w:ind w:firstLine="420"/>
              <w:rPr>
                <w:rFonts w:asciiTheme="minorEastAsia" w:hAnsiTheme="minorEastAsia" w:cstheme="minorEastAsia"/>
                <w:bCs/>
                <w:kern w:val="0"/>
                <w:szCs w:val="21"/>
              </w:rPr>
            </w:pPr>
          </w:p>
        </w:tc>
      </w:tr>
      <w:tr w14:paraId="552FC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926" w:type="dxa"/>
            <w:noWrap/>
            <w:vAlign w:val="center"/>
          </w:tcPr>
          <w:p w14:paraId="116E0DAD">
            <w:pPr>
              <w:spacing w:line="312" w:lineRule="auto"/>
              <w:ind w:firstLine="0" w:firstLineChars="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6</w:t>
            </w:r>
          </w:p>
        </w:tc>
        <w:tc>
          <w:tcPr>
            <w:tcW w:w="2693" w:type="dxa"/>
            <w:noWrap/>
          </w:tcPr>
          <w:p w14:paraId="2DF324ED">
            <w:pPr>
              <w:ind w:firstLine="420"/>
              <w:rPr>
                <w:rFonts w:asciiTheme="minorEastAsia" w:hAnsiTheme="minorEastAsia" w:cstheme="minorEastAsia"/>
                <w:bCs/>
                <w:kern w:val="0"/>
                <w:szCs w:val="21"/>
              </w:rPr>
            </w:pPr>
          </w:p>
        </w:tc>
        <w:tc>
          <w:tcPr>
            <w:tcW w:w="2979" w:type="dxa"/>
            <w:noWrap/>
          </w:tcPr>
          <w:p w14:paraId="55871287">
            <w:pPr>
              <w:ind w:firstLine="420"/>
              <w:rPr>
                <w:rFonts w:asciiTheme="minorEastAsia" w:hAnsiTheme="minorEastAsia" w:cstheme="minorEastAsia"/>
                <w:bCs/>
                <w:kern w:val="0"/>
                <w:szCs w:val="21"/>
              </w:rPr>
            </w:pPr>
          </w:p>
        </w:tc>
        <w:tc>
          <w:tcPr>
            <w:tcW w:w="1625" w:type="dxa"/>
            <w:noWrap/>
          </w:tcPr>
          <w:p w14:paraId="55F5B456">
            <w:pPr>
              <w:ind w:firstLine="420"/>
              <w:rPr>
                <w:rFonts w:asciiTheme="minorEastAsia" w:hAnsiTheme="minorEastAsia" w:cstheme="minorEastAsia"/>
                <w:bCs/>
                <w:kern w:val="0"/>
                <w:szCs w:val="21"/>
              </w:rPr>
            </w:pPr>
          </w:p>
        </w:tc>
      </w:tr>
      <w:tr w14:paraId="69BAB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926" w:type="dxa"/>
            <w:noWrap/>
            <w:vAlign w:val="center"/>
          </w:tcPr>
          <w:p w14:paraId="409E6B03">
            <w:pPr>
              <w:spacing w:line="312" w:lineRule="auto"/>
              <w:ind w:firstLine="0" w:firstLineChars="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2693" w:type="dxa"/>
            <w:noWrap/>
          </w:tcPr>
          <w:p w14:paraId="3C300456">
            <w:pPr>
              <w:ind w:firstLine="420"/>
              <w:rPr>
                <w:rFonts w:asciiTheme="minorEastAsia" w:hAnsiTheme="minorEastAsia" w:cstheme="minorEastAsia"/>
                <w:bCs/>
                <w:kern w:val="0"/>
                <w:szCs w:val="21"/>
              </w:rPr>
            </w:pPr>
          </w:p>
        </w:tc>
        <w:tc>
          <w:tcPr>
            <w:tcW w:w="2979" w:type="dxa"/>
            <w:noWrap/>
          </w:tcPr>
          <w:p w14:paraId="24D26AE2">
            <w:pPr>
              <w:ind w:firstLine="420"/>
              <w:rPr>
                <w:rFonts w:asciiTheme="minorEastAsia" w:hAnsiTheme="minorEastAsia" w:cstheme="minorEastAsia"/>
                <w:bCs/>
                <w:kern w:val="0"/>
                <w:szCs w:val="21"/>
              </w:rPr>
            </w:pPr>
          </w:p>
        </w:tc>
        <w:tc>
          <w:tcPr>
            <w:tcW w:w="1625" w:type="dxa"/>
            <w:noWrap/>
          </w:tcPr>
          <w:p w14:paraId="2FA46597">
            <w:pPr>
              <w:ind w:firstLine="420"/>
              <w:rPr>
                <w:rFonts w:asciiTheme="minorEastAsia" w:hAnsiTheme="minorEastAsia" w:cstheme="minorEastAsia"/>
                <w:bCs/>
                <w:kern w:val="0"/>
                <w:szCs w:val="21"/>
              </w:rPr>
            </w:pPr>
          </w:p>
        </w:tc>
      </w:tr>
    </w:tbl>
    <w:p w14:paraId="2E8B00F8">
      <w:pPr>
        <w:ind w:firstLine="420"/>
        <w:rPr>
          <w:rFonts w:ascii="宋体" w:hAnsi="宋体" w:eastAsia="宋体" w:cs="宋体"/>
          <w:szCs w:val="21"/>
        </w:rPr>
      </w:pPr>
      <w:r>
        <w:rPr>
          <w:rFonts w:hint="eastAsia" w:ascii="宋体" w:hAnsi="宋体" w:eastAsia="宋体" w:cs="宋体"/>
          <w:szCs w:val="21"/>
        </w:rPr>
        <w:br w:type="page"/>
      </w:r>
    </w:p>
    <w:p w14:paraId="3658416C">
      <w:pPr>
        <w:pStyle w:val="2"/>
        <w:ind w:firstLine="463" w:firstLineChars="192"/>
        <w:jc w:val="center"/>
        <w:rPr>
          <w:rFonts w:asciiTheme="minorEastAsia" w:hAnsiTheme="minorEastAsia" w:cstheme="minorEastAsia"/>
          <w:b/>
          <w:bCs/>
          <w:szCs w:val="24"/>
        </w:rPr>
      </w:pPr>
      <w:r>
        <w:rPr>
          <w:rFonts w:hint="eastAsia" w:asciiTheme="minorEastAsia" w:hAnsiTheme="minorEastAsia" w:cstheme="minorEastAsia"/>
          <w:b/>
          <w:bCs/>
          <w:szCs w:val="24"/>
        </w:rPr>
        <w:t>（二）技术偏差表</w:t>
      </w:r>
    </w:p>
    <w:p w14:paraId="335F3FF7">
      <w:pPr>
        <w:tabs>
          <w:tab w:val="left" w:pos="926"/>
          <w:tab w:val="left" w:pos="4335"/>
          <w:tab w:val="left" w:pos="7227"/>
        </w:tabs>
        <w:spacing w:line="400" w:lineRule="exact"/>
        <w:ind w:firstLine="420"/>
        <w:jc w:val="left"/>
        <w:rPr>
          <w:rFonts w:ascii="宋体" w:hAnsi="宋体" w:eastAsia="宋体" w:cs="宋体"/>
          <w:szCs w:val="21"/>
        </w:rPr>
      </w:pPr>
      <w:r>
        <w:rPr>
          <w:rFonts w:hint="eastAsia" w:ascii="宋体" w:hAnsi="宋体" w:eastAsia="宋体" w:cs="宋体"/>
          <w:szCs w:val="21"/>
        </w:rPr>
        <w:t xml:space="preserve">项目名称 ：                                              </w:t>
      </w:r>
    </w:p>
    <w:p w14:paraId="7ED7468B">
      <w:pPr>
        <w:tabs>
          <w:tab w:val="left" w:pos="926"/>
          <w:tab w:val="left" w:pos="4335"/>
          <w:tab w:val="left" w:pos="6390"/>
        </w:tabs>
        <w:spacing w:line="400" w:lineRule="exact"/>
        <w:ind w:firstLine="420"/>
        <w:jc w:val="left"/>
        <w:rPr>
          <w:rFonts w:ascii="宋体" w:hAnsi="宋体" w:eastAsia="宋体" w:cs="宋体"/>
          <w:szCs w:val="21"/>
        </w:rPr>
      </w:pPr>
      <w:r>
        <w:rPr>
          <w:rFonts w:hint="eastAsia" w:ascii="宋体" w:hAnsi="宋体" w:eastAsia="宋体" w:cs="宋体"/>
          <w:szCs w:val="21"/>
        </w:rPr>
        <w:t>项目编号：</w:t>
      </w:r>
      <w:r>
        <w:rPr>
          <w:rFonts w:hint="eastAsia" w:ascii="宋体" w:hAnsi="宋体" w:eastAsia="宋体" w:cs="宋体"/>
          <w:szCs w:val="21"/>
        </w:rPr>
        <w:tab/>
      </w:r>
      <w:r>
        <w:rPr>
          <w:rFonts w:hint="eastAsia" w:ascii="宋体" w:hAnsi="宋体" w:eastAsia="宋体" w:cs="宋体"/>
          <w:szCs w:val="21"/>
        </w:rPr>
        <w:tab/>
      </w:r>
    </w:p>
    <w:tbl>
      <w:tblPr>
        <w:tblStyle w:val="27"/>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632"/>
        <w:gridCol w:w="2009"/>
        <w:gridCol w:w="2351"/>
        <w:gridCol w:w="1344"/>
        <w:gridCol w:w="1238"/>
      </w:tblGrid>
      <w:tr w14:paraId="2E58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54" w:type="dxa"/>
            <w:vMerge w:val="restart"/>
            <w:vAlign w:val="center"/>
          </w:tcPr>
          <w:p w14:paraId="0DE8396C">
            <w:pPr>
              <w:spacing w:line="312" w:lineRule="auto"/>
              <w:ind w:firstLine="0" w:firstLineChars="0"/>
              <w:jc w:val="center"/>
              <w:rPr>
                <w:rFonts w:ascii="宋体" w:hAnsi="宋体"/>
                <w:szCs w:val="21"/>
              </w:rPr>
            </w:pPr>
            <w:r>
              <w:rPr>
                <w:rFonts w:hint="eastAsia" w:ascii="宋体" w:hAnsi="宋体"/>
                <w:szCs w:val="21"/>
              </w:rPr>
              <w:t>序号</w:t>
            </w:r>
          </w:p>
        </w:tc>
        <w:tc>
          <w:tcPr>
            <w:tcW w:w="1632" w:type="dxa"/>
            <w:vMerge w:val="restart"/>
            <w:vAlign w:val="center"/>
          </w:tcPr>
          <w:p w14:paraId="04D445FB">
            <w:pPr>
              <w:spacing w:line="312" w:lineRule="auto"/>
              <w:ind w:firstLine="0" w:firstLineChars="0"/>
              <w:jc w:val="center"/>
              <w:rPr>
                <w:rFonts w:ascii="宋体" w:hAnsi="宋体" w:eastAsia="宋体"/>
                <w:szCs w:val="21"/>
              </w:rPr>
            </w:pPr>
            <w:r>
              <w:rPr>
                <w:rFonts w:hint="eastAsia" w:ascii="宋体" w:hAnsi="宋体"/>
                <w:szCs w:val="21"/>
              </w:rPr>
              <w:t>货物名称</w:t>
            </w:r>
          </w:p>
        </w:tc>
        <w:tc>
          <w:tcPr>
            <w:tcW w:w="4360" w:type="dxa"/>
            <w:gridSpan w:val="2"/>
            <w:vAlign w:val="center"/>
          </w:tcPr>
          <w:p w14:paraId="35026EBA">
            <w:pPr>
              <w:spacing w:line="312" w:lineRule="auto"/>
              <w:ind w:firstLine="420"/>
              <w:jc w:val="center"/>
              <w:rPr>
                <w:rFonts w:ascii="宋体" w:hAnsi="宋体"/>
                <w:szCs w:val="21"/>
              </w:rPr>
            </w:pPr>
            <w:r>
              <w:rPr>
                <w:rFonts w:hint="eastAsia" w:ascii="宋体" w:hAnsi="宋体"/>
                <w:szCs w:val="21"/>
              </w:rPr>
              <w:t>技术参数及要求</w:t>
            </w:r>
          </w:p>
        </w:tc>
        <w:tc>
          <w:tcPr>
            <w:tcW w:w="1344" w:type="dxa"/>
            <w:vMerge w:val="restart"/>
            <w:vAlign w:val="center"/>
          </w:tcPr>
          <w:p w14:paraId="54B5BB61">
            <w:pPr>
              <w:spacing w:line="312" w:lineRule="auto"/>
              <w:ind w:firstLine="0" w:firstLineChars="0"/>
              <w:jc w:val="center"/>
              <w:rPr>
                <w:rFonts w:ascii="宋体" w:hAnsi="宋体"/>
                <w:szCs w:val="21"/>
              </w:rPr>
            </w:pPr>
            <w:r>
              <w:rPr>
                <w:rFonts w:hint="eastAsia" w:ascii="宋体" w:hAnsi="宋体"/>
                <w:szCs w:val="21"/>
              </w:rPr>
              <w:t>对招标文件偏差</w:t>
            </w:r>
          </w:p>
        </w:tc>
        <w:tc>
          <w:tcPr>
            <w:tcW w:w="1238" w:type="dxa"/>
            <w:vMerge w:val="restart"/>
            <w:vAlign w:val="center"/>
          </w:tcPr>
          <w:p w14:paraId="1362FC85">
            <w:pPr>
              <w:spacing w:line="312" w:lineRule="auto"/>
              <w:ind w:firstLine="0" w:firstLineChars="0"/>
              <w:jc w:val="center"/>
              <w:rPr>
                <w:rFonts w:ascii="宋体" w:hAnsi="宋体"/>
                <w:szCs w:val="21"/>
              </w:rPr>
            </w:pPr>
            <w:r>
              <w:rPr>
                <w:rFonts w:hint="eastAsia" w:ascii="宋体" w:hAnsi="宋体"/>
                <w:szCs w:val="21"/>
              </w:rPr>
              <w:t>偏差说明</w:t>
            </w:r>
          </w:p>
        </w:tc>
      </w:tr>
      <w:tr w14:paraId="4862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54" w:type="dxa"/>
            <w:vMerge w:val="continue"/>
            <w:vAlign w:val="center"/>
          </w:tcPr>
          <w:p w14:paraId="304990E7">
            <w:pPr>
              <w:spacing w:line="312" w:lineRule="auto"/>
              <w:ind w:firstLine="420"/>
              <w:jc w:val="center"/>
              <w:rPr>
                <w:rFonts w:ascii="宋体" w:hAnsi="宋体"/>
                <w:szCs w:val="21"/>
              </w:rPr>
            </w:pPr>
          </w:p>
        </w:tc>
        <w:tc>
          <w:tcPr>
            <w:tcW w:w="1632" w:type="dxa"/>
            <w:vMerge w:val="continue"/>
            <w:vAlign w:val="center"/>
          </w:tcPr>
          <w:p w14:paraId="0401A43D">
            <w:pPr>
              <w:spacing w:line="312" w:lineRule="auto"/>
              <w:ind w:firstLine="420"/>
              <w:jc w:val="center"/>
              <w:rPr>
                <w:rFonts w:ascii="宋体" w:hAnsi="宋体"/>
                <w:szCs w:val="21"/>
              </w:rPr>
            </w:pPr>
          </w:p>
        </w:tc>
        <w:tc>
          <w:tcPr>
            <w:tcW w:w="2009" w:type="dxa"/>
            <w:vAlign w:val="center"/>
          </w:tcPr>
          <w:p w14:paraId="1E0C4C5F">
            <w:pPr>
              <w:spacing w:line="312" w:lineRule="auto"/>
              <w:ind w:firstLine="420"/>
              <w:rPr>
                <w:rFonts w:ascii="宋体" w:hAnsi="宋体"/>
                <w:szCs w:val="21"/>
              </w:rPr>
            </w:pPr>
            <w:r>
              <w:rPr>
                <w:rFonts w:hint="eastAsia" w:ascii="宋体" w:hAnsi="宋体"/>
                <w:szCs w:val="21"/>
              </w:rPr>
              <w:t>招标技术要求</w:t>
            </w:r>
          </w:p>
        </w:tc>
        <w:tc>
          <w:tcPr>
            <w:tcW w:w="2351" w:type="dxa"/>
            <w:vAlign w:val="center"/>
          </w:tcPr>
          <w:p w14:paraId="0EAB8ADC">
            <w:pPr>
              <w:spacing w:line="312" w:lineRule="auto"/>
              <w:ind w:firstLine="420"/>
              <w:rPr>
                <w:rFonts w:ascii="宋体" w:hAnsi="宋体"/>
                <w:szCs w:val="21"/>
              </w:rPr>
            </w:pPr>
            <w:r>
              <w:rPr>
                <w:rFonts w:hint="eastAsia" w:ascii="宋体" w:hAnsi="宋体"/>
                <w:szCs w:val="21"/>
              </w:rPr>
              <w:t>投标技术指标</w:t>
            </w:r>
          </w:p>
        </w:tc>
        <w:tc>
          <w:tcPr>
            <w:tcW w:w="1344" w:type="dxa"/>
            <w:vMerge w:val="continue"/>
            <w:vAlign w:val="center"/>
          </w:tcPr>
          <w:p w14:paraId="62C44342">
            <w:pPr>
              <w:spacing w:line="312" w:lineRule="auto"/>
              <w:ind w:firstLine="420"/>
              <w:jc w:val="center"/>
              <w:rPr>
                <w:rFonts w:ascii="宋体" w:hAnsi="宋体"/>
                <w:szCs w:val="21"/>
              </w:rPr>
            </w:pPr>
          </w:p>
        </w:tc>
        <w:tc>
          <w:tcPr>
            <w:tcW w:w="1238" w:type="dxa"/>
            <w:vMerge w:val="continue"/>
            <w:vAlign w:val="center"/>
          </w:tcPr>
          <w:p w14:paraId="6547ED1E">
            <w:pPr>
              <w:spacing w:line="312" w:lineRule="auto"/>
              <w:ind w:firstLine="420"/>
              <w:jc w:val="center"/>
              <w:rPr>
                <w:rFonts w:ascii="宋体" w:hAnsi="宋体"/>
                <w:szCs w:val="21"/>
              </w:rPr>
            </w:pPr>
          </w:p>
        </w:tc>
      </w:tr>
      <w:tr w14:paraId="4293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54" w:type="dxa"/>
            <w:vAlign w:val="center"/>
          </w:tcPr>
          <w:p w14:paraId="563BAD4F">
            <w:pPr>
              <w:spacing w:line="312" w:lineRule="auto"/>
              <w:ind w:firstLine="420"/>
              <w:jc w:val="left"/>
              <w:rPr>
                <w:rFonts w:ascii="宋体" w:hAnsi="宋体"/>
                <w:szCs w:val="21"/>
              </w:rPr>
            </w:pPr>
            <w:r>
              <w:rPr>
                <w:rFonts w:hint="eastAsia" w:ascii="宋体" w:hAnsi="宋体"/>
                <w:szCs w:val="21"/>
              </w:rPr>
              <w:t>1</w:t>
            </w:r>
          </w:p>
        </w:tc>
        <w:tc>
          <w:tcPr>
            <w:tcW w:w="1632" w:type="dxa"/>
            <w:vAlign w:val="center"/>
          </w:tcPr>
          <w:p w14:paraId="678B9525">
            <w:pPr>
              <w:spacing w:line="312" w:lineRule="auto"/>
              <w:ind w:firstLine="420"/>
              <w:jc w:val="center"/>
              <w:rPr>
                <w:rFonts w:ascii="宋体" w:hAnsi="宋体"/>
                <w:szCs w:val="21"/>
              </w:rPr>
            </w:pPr>
          </w:p>
        </w:tc>
        <w:tc>
          <w:tcPr>
            <w:tcW w:w="2009" w:type="dxa"/>
            <w:vAlign w:val="center"/>
          </w:tcPr>
          <w:p w14:paraId="7AB6792E">
            <w:pPr>
              <w:spacing w:line="312" w:lineRule="auto"/>
              <w:ind w:firstLine="420"/>
              <w:jc w:val="center"/>
              <w:rPr>
                <w:rFonts w:ascii="宋体" w:hAnsi="宋体"/>
                <w:szCs w:val="21"/>
              </w:rPr>
            </w:pPr>
          </w:p>
        </w:tc>
        <w:tc>
          <w:tcPr>
            <w:tcW w:w="2351" w:type="dxa"/>
            <w:vAlign w:val="center"/>
          </w:tcPr>
          <w:p w14:paraId="38101823">
            <w:pPr>
              <w:spacing w:line="312" w:lineRule="auto"/>
              <w:ind w:firstLine="420"/>
              <w:jc w:val="center"/>
              <w:rPr>
                <w:rFonts w:ascii="宋体" w:hAnsi="宋体"/>
                <w:szCs w:val="21"/>
              </w:rPr>
            </w:pPr>
          </w:p>
        </w:tc>
        <w:tc>
          <w:tcPr>
            <w:tcW w:w="1344" w:type="dxa"/>
            <w:vAlign w:val="center"/>
          </w:tcPr>
          <w:p w14:paraId="02915BB5">
            <w:pPr>
              <w:spacing w:line="312" w:lineRule="auto"/>
              <w:ind w:firstLine="420"/>
              <w:jc w:val="center"/>
              <w:rPr>
                <w:rFonts w:ascii="宋体" w:hAnsi="宋体"/>
                <w:szCs w:val="21"/>
              </w:rPr>
            </w:pPr>
          </w:p>
        </w:tc>
        <w:tc>
          <w:tcPr>
            <w:tcW w:w="1238" w:type="dxa"/>
            <w:vAlign w:val="center"/>
          </w:tcPr>
          <w:p w14:paraId="67FB43E7">
            <w:pPr>
              <w:spacing w:line="312" w:lineRule="auto"/>
              <w:ind w:firstLine="420"/>
              <w:jc w:val="center"/>
              <w:rPr>
                <w:rFonts w:ascii="宋体" w:hAnsi="宋体"/>
                <w:szCs w:val="21"/>
              </w:rPr>
            </w:pPr>
          </w:p>
        </w:tc>
      </w:tr>
      <w:tr w14:paraId="1FF9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54" w:type="dxa"/>
            <w:vAlign w:val="center"/>
          </w:tcPr>
          <w:p w14:paraId="3EFB21CB">
            <w:pPr>
              <w:spacing w:line="312" w:lineRule="auto"/>
              <w:ind w:firstLine="420"/>
              <w:jc w:val="left"/>
              <w:rPr>
                <w:rFonts w:ascii="宋体" w:hAnsi="宋体"/>
                <w:szCs w:val="21"/>
              </w:rPr>
            </w:pPr>
            <w:r>
              <w:rPr>
                <w:rFonts w:hint="eastAsia" w:ascii="宋体" w:hAnsi="宋体"/>
                <w:szCs w:val="21"/>
              </w:rPr>
              <w:t>2</w:t>
            </w:r>
          </w:p>
        </w:tc>
        <w:tc>
          <w:tcPr>
            <w:tcW w:w="1632" w:type="dxa"/>
            <w:vAlign w:val="center"/>
          </w:tcPr>
          <w:p w14:paraId="1BB7FA9C">
            <w:pPr>
              <w:spacing w:line="312" w:lineRule="auto"/>
              <w:ind w:firstLine="420"/>
              <w:jc w:val="center"/>
              <w:rPr>
                <w:rFonts w:ascii="宋体" w:hAnsi="宋体"/>
                <w:szCs w:val="21"/>
              </w:rPr>
            </w:pPr>
          </w:p>
        </w:tc>
        <w:tc>
          <w:tcPr>
            <w:tcW w:w="2009" w:type="dxa"/>
            <w:vAlign w:val="center"/>
          </w:tcPr>
          <w:p w14:paraId="1374ABCB">
            <w:pPr>
              <w:spacing w:line="312" w:lineRule="auto"/>
              <w:ind w:firstLine="420"/>
              <w:jc w:val="center"/>
              <w:rPr>
                <w:rFonts w:ascii="宋体" w:hAnsi="宋体"/>
                <w:szCs w:val="21"/>
              </w:rPr>
            </w:pPr>
          </w:p>
        </w:tc>
        <w:tc>
          <w:tcPr>
            <w:tcW w:w="2351" w:type="dxa"/>
            <w:vAlign w:val="center"/>
          </w:tcPr>
          <w:p w14:paraId="4C7762E3">
            <w:pPr>
              <w:spacing w:line="312" w:lineRule="auto"/>
              <w:ind w:firstLine="420"/>
              <w:jc w:val="center"/>
              <w:rPr>
                <w:rFonts w:ascii="宋体" w:hAnsi="宋体"/>
                <w:szCs w:val="21"/>
              </w:rPr>
            </w:pPr>
          </w:p>
        </w:tc>
        <w:tc>
          <w:tcPr>
            <w:tcW w:w="1344" w:type="dxa"/>
            <w:vAlign w:val="center"/>
          </w:tcPr>
          <w:p w14:paraId="41ED7364">
            <w:pPr>
              <w:spacing w:line="312" w:lineRule="auto"/>
              <w:ind w:firstLine="420"/>
              <w:jc w:val="center"/>
              <w:rPr>
                <w:rFonts w:ascii="宋体" w:hAnsi="宋体"/>
                <w:szCs w:val="21"/>
              </w:rPr>
            </w:pPr>
          </w:p>
        </w:tc>
        <w:tc>
          <w:tcPr>
            <w:tcW w:w="1238" w:type="dxa"/>
            <w:vAlign w:val="center"/>
          </w:tcPr>
          <w:p w14:paraId="504703CB">
            <w:pPr>
              <w:spacing w:line="312" w:lineRule="auto"/>
              <w:ind w:firstLine="420"/>
              <w:jc w:val="center"/>
              <w:rPr>
                <w:rFonts w:ascii="宋体" w:hAnsi="宋体"/>
                <w:szCs w:val="21"/>
              </w:rPr>
            </w:pPr>
          </w:p>
        </w:tc>
      </w:tr>
      <w:tr w14:paraId="5009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54" w:type="dxa"/>
            <w:vAlign w:val="center"/>
          </w:tcPr>
          <w:p w14:paraId="5EEB99CA">
            <w:pPr>
              <w:spacing w:line="312" w:lineRule="auto"/>
              <w:ind w:firstLine="420"/>
              <w:jc w:val="left"/>
              <w:rPr>
                <w:rFonts w:ascii="宋体" w:hAnsi="宋体"/>
                <w:szCs w:val="21"/>
              </w:rPr>
            </w:pPr>
            <w:r>
              <w:rPr>
                <w:rFonts w:hint="eastAsia" w:ascii="宋体" w:hAnsi="宋体"/>
                <w:szCs w:val="21"/>
              </w:rPr>
              <w:t>3</w:t>
            </w:r>
          </w:p>
        </w:tc>
        <w:tc>
          <w:tcPr>
            <w:tcW w:w="1632" w:type="dxa"/>
            <w:vAlign w:val="center"/>
          </w:tcPr>
          <w:p w14:paraId="7A4B5B86">
            <w:pPr>
              <w:spacing w:line="312" w:lineRule="auto"/>
              <w:ind w:firstLine="420"/>
              <w:jc w:val="center"/>
              <w:rPr>
                <w:rFonts w:ascii="宋体" w:hAnsi="宋体"/>
                <w:szCs w:val="21"/>
              </w:rPr>
            </w:pPr>
          </w:p>
        </w:tc>
        <w:tc>
          <w:tcPr>
            <w:tcW w:w="2009" w:type="dxa"/>
            <w:vAlign w:val="center"/>
          </w:tcPr>
          <w:p w14:paraId="19D12BC9">
            <w:pPr>
              <w:spacing w:line="312" w:lineRule="auto"/>
              <w:ind w:firstLine="420"/>
              <w:jc w:val="center"/>
              <w:rPr>
                <w:rFonts w:ascii="宋体" w:hAnsi="宋体"/>
                <w:szCs w:val="21"/>
              </w:rPr>
            </w:pPr>
          </w:p>
        </w:tc>
        <w:tc>
          <w:tcPr>
            <w:tcW w:w="2351" w:type="dxa"/>
            <w:vAlign w:val="center"/>
          </w:tcPr>
          <w:p w14:paraId="17442A4B">
            <w:pPr>
              <w:spacing w:line="312" w:lineRule="auto"/>
              <w:ind w:firstLine="420"/>
              <w:jc w:val="center"/>
              <w:rPr>
                <w:rFonts w:ascii="宋体" w:hAnsi="宋体"/>
                <w:szCs w:val="21"/>
              </w:rPr>
            </w:pPr>
          </w:p>
        </w:tc>
        <w:tc>
          <w:tcPr>
            <w:tcW w:w="1344" w:type="dxa"/>
            <w:vAlign w:val="center"/>
          </w:tcPr>
          <w:p w14:paraId="33F51AA1">
            <w:pPr>
              <w:spacing w:line="312" w:lineRule="auto"/>
              <w:ind w:firstLine="420"/>
              <w:jc w:val="center"/>
              <w:rPr>
                <w:rFonts w:ascii="宋体" w:hAnsi="宋体"/>
                <w:szCs w:val="21"/>
              </w:rPr>
            </w:pPr>
          </w:p>
        </w:tc>
        <w:tc>
          <w:tcPr>
            <w:tcW w:w="1238" w:type="dxa"/>
            <w:vAlign w:val="center"/>
          </w:tcPr>
          <w:p w14:paraId="56E76BDC">
            <w:pPr>
              <w:spacing w:line="312" w:lineRule="auto"/>
              <w:ind w:firstLine="420"/>
              <w:jc w:val="center"/>
              <w:rPr>
                <w:rFonts w:ascii="宋体" w:hAnsi="宋体"/>
                <w:szCs w:val="21"/>
              </w:rPr>
            </w:pPr>
          </w:p>
        </w:tc>
      </w:tr>
      <w:tr w14:paraId="51D4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54" w:type="dxa"/>
            <w:vAlign w:val="center"/>
          </w:tcPr>
          <w:p w14:paraId="1A2928E5">
            <w:pPr>
              <w:spacing w:line="312" w:lineRule="auto"/>
              <w:ind w:firstLine="420"/>
              <w:jc w:val="left"/>
              <w:rPr>
                <w:rFonts w:ascii="宋体" w:hAnsi="宋体"/>
                <w:szCs w:val="21"/>
              </w:rPr>
            </w:pPr>
            <w:r>
              <w:rPr>
                <w:rFonts w:hint="eastAsia" w:ascii="宋体" w:hAnsi="宋体"/>
                <w:szCs w:val="21"/>
              </w:rPr>
              <w:t>4</w:t>
            </w:r>
          </w:p>
        </w:tc>
        <w:tc>
          <w:tcPr>
            <w:tcW w:w="1632" w:type="dxa"/>
            <w:vAlign w:val="center"/>
          </w:tcPr>
          <w:p w14:paraId="770A19FF">
            <w:pPr>
              <w:spacing w:line="312" w:lineRule="auto"/>
              <w:ind w:firstLine="420"/>
              <w:jc w:val="center"/>
              <w:rPr>
                <w:rFonts w:ascii="宋体" w:hAnsi="宋体"/>
                <w:szCs w:val="21"/>
              </w:rPr>
            </w:pPr>
          </w:p>
        </w:tc>
        <w:tc>
          <w:tcPr>
            <w:tcW w:w="2009" w:type="dxa"/>
            <w:vAlign w:val="center"/>
          </w:tcPr>
          <w:p w14:paraId="192D2036">
            <w:pPr>
              <w:spacing w:line="312" w:lineRule="auto"/>
              <w:ind w:firstLine="420"/>
              <w:jc w:val="center"/>
              <w:rPr>
                <w:rFonts w:ascii="宋体" w:hAnsi="宋体"/>
                <w:szCs w:val="21"/>
              </w:rPr>
            </w:pPr>
          </w:p>
        </w:tc>
        <w:tc>
          <w:tcPr>
            <w:tcW w:w="2351" w:type="dxa"/>
            <w:vAlign w:val="center"/>
          </w:tcPr>
          <w:p w14:paraId="32835ECD">
            <w:pPr>
              <w:spacing w:line="312" w:lineRule="auto"/>
              <w:ind w:firstLine="420"/>
              <w:jc w:val="center"/>
              <w:rPr>
                <w:rFonts w:ascii="宋体" w:hAnsi="宋体"/>
                <w:szCs w:val="21"/>
              </w:rPr>
            </w:pPr>
          </w:p>
        </w:tc>
        <w:tc>
          <w:tcPr>
            <w:tcW w:w="1344" w:type="dxa"/>
            <w:vAlign w:val="center"/>
          </w:tcPr>
          <w:p w14:paraId="15A3F07F">
            <w:pPr>
              <w:spacing w:line="312" w:lineRule="auto"/>
              <w:ind w:firstLine="420"/>
              <w:jc w:val="center"/>
              <w:rPr>
                <w:rFonts w:ascii="宋体" w:hAnsi="宋体"/>
                <w:szCs w:val="21"/>
              </w:rPr>
            </w:pPr>
          </w:p>
        </w:tc>
        <w:tc>
          <w:tcPr>
            <w:tcW w:w="1238" w:type="dxa"/>
            <w:vAlign w:val="center"/>
          </w:tcPr>
          <w:p w14:paraId="13D64D84">
            <w:pPr>
              <w:spacing w:line="312" w:lineRule="auto"/>
              <w:ind w:firstLine="420"/>
              <w:jc w:val="center"/>
              <w:rPr>
                <w:rFonts w:ascii="宋体" w:hAnsi="宋体"/>
                <w:szCs w:val="21"/>
              </w:rPr>
            </w:pPr>
          </w:p>
        </w:tc>
      </w:tr>
      <w:tr w14:paraId="15F1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54" w:type="dxa"/>
            <w:vAlign w:val="center"/>
          </w:tcPr>
          <w:p w14:paraId="7B01ACE5">
            <w:pPr>
              <w:spacing w:line="312" w:lineRule="auto"/>
              <w:ind w:firstLine="420"/>
              <w:jc w:val="left"/>
              <w:rPr>
                <w:rFonts w:ascii="宋体" w:hAnsi="宋体"/>
                <w:szCs w:val="21"/>
              </w:rPr>
            </w:pPr>
            <w:r>
              <w:rPr>
                <w:rFonts w:hint="eastAsia" w:ascii="宋体" w:hAnsi="宋体"/>
                <w:szCs w:val="21"/>
              </w:rPr>
              <w:t>5</w:t>
            </w:r>
          </w:p>
        </w:tc>
        <w:tc>
          <w:tcPr>
            <w:tcW w:w="1632" w:type="dxa"/>
            <w:vAlign w:val="center"/>
          </w:tcPr>
          <w:p w14:paraId="15083B7B">
            <w:pPr>
              <w:spacing w:line="312" w:lineRule="auto"/>
              <w:ind w:firstLine="420"/>
              <w:jc w:val="center"/>
              <w:rPr>
                <w:rFonts w:ascii="宋体" w:hAnsi="宋体"/>
                <w:szCs w:val="21"/>
              </w:rPr>
            </w:pPr>
          </w:p>
        </w:tc>
        <w:tc>
          <w:tcPr>
            <w:tcW w:w="2009" w:type="dxa"/>
            <w:vAlign w:val="center"/>
          </w:tcPr>
          <w:p w14:paraId="28C1D996">
            <w:pPr>
              <w:spacing w:line="312" w:lineRule="auto"/>
              <w:ind w:firstLine="420"/>
              <w:jc w:val="center"/>
              <w:rPr>
                <w:rFonts w:ascii="宋体" w:hAnsi="宋体"/>
                <w:szCs w:val="21"/>
              </w:rPr>
            </w:pPr>
          </w:p>
        </w:tc>
        <w:tc>
          <w:tcPr>
            <w:tcW w:w="2351" w:type="dxa"/>
            <w:vAlign w:val="center"/>
          </w:tcPr>
          <w:p w14:paraId="4F984631">
            <w:pPr>
              <w:spacing w:line="312" w:lineRule="auto"/>
              <w:ind w:firstLine="420"/>
              <w:jc w:val="center"/>
              <w:rPr>
                <w:rFonts w:ascii="宋体" w:hAnsi="宋体"/>
                <w:szCs w:val="21"/>
              </w:rPr>
            </w:pPr>
          </w:p>
        </w:tc>
        <w:tc>
          <w:tcPr>
            <w:tcW w:w="1344" w:type="dxa"/>
            <w:vAlign w:val="center"/>
          </w:tcPr>
          <w:p w14:paraId="4148D4DB">
            <w:pPr>
              <w:spacing w:line="312" w:lineRule="auto"/>
              <w:ind w:firstLine="420"/>
              <w:jc w:val="center"/>
              <w:rPr>
                <w:rFonts w:ascii="宋体" w:hAnsi="宋体"/>
                <w:szCs w:val="21"/>
              </w:rPr>
            </w:pPr>
          </w:p>
        </w:tc>
        <w:tc>
          <w:tcPr>
            <w:tcW w:w="1238" w:type="dxa"/>
            <w:vAlign w:val="center"/>
          </w:tcPr>
          <w:p w14:paraId="7CB90E7C">
            <w:pPr>
              <w:spacing w:line="312" w:lineRule="auto"/>
              <w:ind w:firstLine="420"/>
              <w:jc w:val="center"/>
              <w:rPr>
                <w:rFonts w:ascii="宋体" w:hAnsi="宋体"/>
                <w:szCs w:val="21"/>
              </w:rPr>
            </w:pPr>
          </w:p>
        </w:tc>
      </w:tr>
      <w:tr w14:paraId="2A8B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54" w:type="dxa"/>
            <w:vAlign w:val="center"/>
          </w:tcPr>
          <w:p w14:paraId="7861CF91">
            <w:pPr>
              <w:spacing w:line="312" w:lineRule="auto"/>
              <w:ind w:firstLine="420"/>
              <w:jc w:val="left"/>
              <w:rPr>
                <w:rFonts w:ascii="宋体" w:hAnsi="宋体"/>
                <w:szCs w:val="21"/>
              </w:rPr>
            </w:pPr>
            <w:r>
              <w:rPr>
                <w:rFonts w:hint="eastAsia" w:ascii="宋体" w:hAnsi="宋体"/>
                <w:szCs w:val="21"/>
              </w:rPr>
              <w:t>6</w:t>
            </w:r>
          </w:p>
        </w:tc>
        <w:tc>
          <w:tcPr>
            <w:tcW w:w="1632" w:type="dxa"/>
            <w:vAlign w:val="center"/>
          </w:tcPr>
          <w:p w14:paraId="023A34AD">
            <w:pPr>
              <w:spacing w:line="312" w:lineRule="auto"/>
              <w:ind w:firstLine="420"/>
              <w:jc w:val="center"/>
              <w:rPr>
                <w:rFonts w:ascii="宋体" w:hAnsi="宋体"/>
                <w:szCs w:val="21"/>
              </w:rPr>
            </w:pPr>
          </w:p>
        </w:tc>
        <w:tc>
          <w:tcPr>
            <w:tcW w:w="2009" w:type="dxa"/>
            <w:vAlign w:val="center"/>
          </w:tcPr>
          <w:p w14:paraId="3C838431">
            <w:pPr>
              <w:spacing w:line="312" w:lineRule="auto"/>
              <w:ind w:firstLine="420"/>
              <w:jc w:val="center"/>
              <w:rPr>
                <w:rFonts w:ascii="宋体" w:hAnsi="宋体"/>
                <w:szCs w:val="21"/>
              </w:rPr>
            </w:pPr>
          </w:p>
        </w:tc>
        <w:tc>
          <w:tcPr>
            <w:tcW w:w="2351" w:type="dxa"/>
            <w:vAlign w:val="center"/>
          </w:tcPr>
          <w:p w14:paraId="589C2F25">
            <w:pPr>
              <w:spacing w:line="312" w:lineRule="auto"/>
              <w:ind w:firstLine="420"/>
              <w:jc w:val="center"/>
              <w:rPr>
                <w:rFonts w:ascii="宋体" w:hAnsi="宋体"/>
                <w:szCs w:val="21"/>
              </w:rPr>
            </w:pPr>
          </w:p>
        </w:tc>
        <w:tc>
          <w:tcPr>
            <w:tcW w:w="1344" w:type="dxa"/>
            <w:vAlign w:val="center"/>
          </w:tcPr>
          <w:p w14:paraId="601F9A8E">
            <w:pPr>
              <w:spacing w:line="312" w:lineRule="auto"/>
              <w:ind w:firstLine="420"/>
              <w:jc w:val="center"/>
              <w:rPr>
                <w:rFonts w:ascii="宋体" w:hAnsi="宋体"/>
                <w:szCs w:val="21"/>
              </w:rPr>
            </w:pPr>
          </w:p>
        </w:tc>
        <w:tc>
          <w:tcPr>
            <w:tcW w:w="1238" w:type="dxa"/>
            <w:vAlign w:val="center"/>
          </w:tcPr>
          <w:p w14:paraId="44A207F4">
            <w:pPr>
              <w:spacing w:line="312" w:lineRule="auto"/>
              <w:ind w:firstLine="420"/>
              <w:jc w:val="center"/>
              <w:rPr>
                <w:rFonts w:ascii="宋体" w:hAnsi="宋体"/>
                <w:szCs w:val="21"/>
              </w:rPr>
            </w:pPr>
          </w:p>
        </w:tc>
      </w:tr>
      <w:tr w14:paraId="0493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954" w:type="dxa"/>
            <w:vAlign w:val="center"/>
          </w:tcPr>
          <w:p w14:paraId="0F9AFAF8">
            <w:pPr>
              <w:spacing w:line="312" w:lineRule="auto"/>
              <w:ind w:firstLine="420"/>
              <w:jc w:val="left"/>
              <w:rPr>
                <w:rFonts w:ascii="宋体" w:hAnsi="宋体"/>
                <w:szCs w:val="21"/>
              </w:rPr>
            </w:pPr>
            <w:r>
              <w:rPr>
                <w:rFonts w:ascii="宋体" w:hAnsi="宋体"/>
                <w:szCs w:val="21"/>
              </w:rPr>
              <w:t>…</w:t>
            </w:r>
          </w:p>
        </w:tc>
        <w:tc>
          <w:tcPr>
            <w:tcW w:w="1632" w:type="dxa"/>
            <w:vAlign w:val="center"/>
          </w:tcPr>
          <w:p w14:paraId="12DEA9CD">
            <w:pPr>
              <w:spacing w:line="312" w:lineRule="auto"/>
              <w:ind w:firstLine="420"/>
              <w:rPr>
                <w:rFonts w:ascii="宋体" w:hAnsi="宋体"/>
              </w:rPr>
            </w:pPr>
          </w:p>
        </w:tc>
        <w:tc>
          <w:tcPr>
            <w:tcW w:w="2009" w:type="dxa"/>
            <w:vAlign w:val="center"/>
          </w:tcPr>
          <w:p w14:paraId="7EE5D901">
            <w:pPr>
              <w:spacing w:line="312" w:lineRule="auto"/>
              <w:ind w:firstLine="420"/>
              <w:rPr>
                <w:rFonts w:ascii="宋体" w:hAnsi="宋体"/>
              </w:rPr>
            </w:pPr>
          </w:p>
        </w:tc>
        <w:tc>
          <w:tcPr>
            <w:tcW w:w="2351" w:type="dxa"/>
            <w:vAlign w:val="center"/>
          </w:tcPr>
          <w:p w14:paraId="753BC739">
            <w:pPr>
              <w:spacing w:line="312" w:lineRule="auto"/>
              <w:ind w:firstLine="420"/>
              <w:rPr>
                <w:rFonts w:ascii="宋体" w:hAnsi="宋体"/>
              </w:rPr>
            </w:pPr>
          </w:p>
        </w:tc>
        <w:tc>
          <w:tcPr>
            <w:tcW w:w="1344" w:type="dxa"/>
            <w:vAlign w:val="center"/>
          </w:tcPr>
          <w:p w14:paraId="470E9C57">
            <w:pPr>
              <w:spacing w:line="312" w:lineRule="auto"/>
              <w:ind w:firstLine="420"/>
              <w:rPr>
                <w:rFonts w:ascii="宋体" w:hAnsi="宋体"/>
              </w:rPr>
            </w:pPr>
          </w:p>
        </w:tc>
        <w:tc>
          <w:tcPr>
            <w:tcW w:w="1238" w:type="dxa"/>
            <w:vAlign w:val="center"/>
          </w:tcPr>
          <w:p w14:paraId="0054A8F7">
            <w:pPr>
              <w:spacing w:line="312" w:lineRule="auto"/>
              <w:ind w:firstLine="420"/>
              <w:rPr>
                <w:rFonts w:ascii="宋体" w:hAnsi="宋体"/>
              </w:rPr>
            </w:pPr>
          </w:p>
        </w:tc>
      </w:tr>
    </w:tbl>
    <w:p w14:paraId="19FD26F6">
      <w:pPr>
        <w:spacing w:line="240" w:lineRule="auto"/>
        <w:ind w:firstLine="0" w:firstLineChars="0"/>
        <w:rPr>
          <w:rFonts w:ascii="宋体" w:hAnsi="宋体" w:eastAsia="宋体" w:cs="宋体"/>
          <w:szCs w:val="21"/>
        </w:rPr>
      </w:pPr>
      <w:r>
        <w:rPr>
          <w:rFonts w:hint="eastAsia" w:ascii="宋体" w:hAnsi="宋体" w:eastAsia="宋体" w:cs="宋体"/>
          <w:szCs w:val="21"/>
        </w:rPr>
        <w:t xml:space="preserve">                         </w:t>
      </w:r>
    </w:p>
    <w:p w14:paraId="5F5CE39F">
      <w:pPr>
        <w:spacing w:line="400" w:lineRule="exact"/>
        <w:ind w:firstLine="420"/>
        <w:rPr>
          <w:rFonts w:ascii="宋体" w:hAnsi="宋体" w:eastAsia="宋体" w:cs="宋体"/>
          <w:szCs w:val="21"/>
        </w:rPr>
      </w:pPr>
      <w:r>
        <w:rPr>
          <w:rFonts w:hint="eastAsia" w:ascii="宋体" w:hAnsi="宋体" w:eastAsia="宋体" w:cs="宋体"/>
          <w:szCs w:val="21"/>
        </w:rPr>
        <w:t>注：投标人应按招标文件中的采购项目产品技术标准与要求，根据投报产品进行相应响应，投标人必须根据所投产品的实际情况如实填写。偏差情况填写“负偏差”或“正偏差”或“无偏差”。</w:t>
      </w:r>
    </w:p>
    <w:p w14:paraId="7262524C">
      <w:pPr>
        <w:keepNext/>
        <w:keepLines/>
        <w:numPr>
          <w:ilvl w:val="1"/>
          <w:numId w:val="0"/>
        </w:numPr>
        <w:spacing w:before="60" w:after="60" w:line="400" w:lineRule="exact"/>
        <w:ind w:firstLine="422" w:firstLineChars="200"/>
        <w:rPr>
          <w:rFonts w:eastAsia="宋体" w:cs="宋体"/>
          <w:b/>
          <w:bCs/>
          <w:szCs w:val="21"/>
        </w:rPr>
      </w:pPr>
      <w:r>
        <w:rPr>
          <w:rFonts w:hint="eastAsia" w:eastAsia="宋体" w:cs="宋体"/>
          <w:b/>
          <w:bCs/>
          <w:szCs w:val="21"/>
        </w:rPr>
        <w:t>投标人保证：除商务和技术偏差表列出的偏差外，供应商响应招标文件的全部要求。</w:t>
      </w:r>
    </w:p>
    <w:p w14:paraId="7E66DA9B">
      <w:pPr>
        <w:spacing w:line="400" w:lineRule="exact"/>
        <w:ind w:firstLine="3885" w:firstLineChars="1850"/>
        <w:rPr>
          <w:rFonts w:ascii="宋体" w:hAnsi="宋体" w:cs="宋体"/>
          <w:szCs w:val="21"/>
        </w:rPr>
      </w:pPr>
    </w:p>
    <w:p w14:paraId="68C1EE6B">
      <w:pPr>
        <w:spacing w:line="400" w:lineRule="exact"/>
        <w:ind w:firstLine="420"/>
        <w:jc w:val="righ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(单位电子签章)</w:t>
      </w:r>
    </w:p>
    <w:p w14:paraId="57CDB71D">
      <w:pPr>
        <w:spacing w:line="400" w:lineRule="exact"/>
        <w:ind w:right="-319" w:rightChars="-152" w:firstLine="3885" w:firstLineChars="1850"/>
        <w:jc w:val="right"/>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(签字或盖章)</w:t>
      </w:r>
    </w:p>
    <w:p w14:paraId="4508EC99">
      <w:pPr>
        <w:spacing w:line="400" w:lineRule="exact"/>
        <w:ind w:firstLine="5678" w:firstLineChars="2704"/>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B01C186">
      <w:pPr>
        <w:pStyle w:val="2"/>
        <w:numPr>
          <w:ilvl w:val="0"/>
          <w:numId w:val="7"/>
        </w:numPr>
        <w:ind w:firstLine="540" w:firstLineChars="192"/>
        <w:jc w:val="center"/>
        <w:rPr>
          <w:rFonts w:ascii="宋体" w:hAnsi="宋体" w:cs="宋体"/>
          <w:b/>
          <w:sz w:val="28"/>
          <w:szCs w:val="28"/>
        </w:rPr>
      </w:pPr>
      <w:r>
        <w:rPr>
          <w:rFonts w:hint="eastAsia"/>
          <w:b/>
          <w:sz w:val="28"/>
          <w:szCs w:val="28"/>
        </w:rPr>
        <w:br w:type="page"/>
      </w:r>
      <w:bookmarkStart w:id="146" w:name="_Toc11835"/>
      <w:r>
        <w:rPr>
          <w:rFonts w:hint="eastAsia" w:ascii="宋体" w:hAnsi="宋体" w:cs="宋体"/>
          <w:b/>
          <w:sz w:val="28"/>
          <w:szCs w:val="28"/>
        </w:rPr>
        <w:t>技术方案</w:t>
      </w:r>
    </w:p>
    <w:p w14:paraId="54861C5B">
      <w:pPr>
        <w:widowControl/>
        <w:ind w:firstLine="420"/>
        <w:jc w:val="center"/>
        <w:rPr>
          <w:rFonts w:ascii="宋体" w:hAnsi="宋体" w:cs="宋体"/>
          <w:kern w:val="0"/>
          <w:szCs w:val="21"/>
        </w:rPr>
      </w:pPr>
      <w:r>
        <w:rPr>
          <w:rFonts w:hint="eastAsia" w:ascii="宋体" w:hAnsi="宋体" w:cs="宋体"/>
          <w:kern w:val="0"/>
          <w:szCs w:val="21"/>
        </w:rPr>
        <w:t>（</w:t>
      </w:r>
      <w:r>
        <w:rPr>
          <w:rFonts w:hint="eastAsia" w:ascii="宋体" w:hAnsi="宋体"/>
          <w:b/>
          <w:szCs w:val="21"/>
        </w:rPr>
        <w:t>内容及格式由投标人自拟</w:t>
      </w:r>
      <w:r>
        <w:rPr>
          <w:rFonts w:hint="eastAsia" w:ascii="宋体" w:hAnsi="宋体" w:cs="宋体"/>
          <w:kern w:val="0"/>
          <w:szCs w:val="21"/>
        </w:rPr>
        <w:t>）</w:t>
      </w:r>
    </w:p>
    <w:p w14:paraId="677EFA27">
      <w:pPr>
        <w:ind w:firstLine="562"/>
        <w:jc w:val="center"/>
        <w:outlineLvl w:val="1"/>
        <w:rPr>
          <w:rFonts w:ascii="宋体" w:hAnsi="宋体" w:eastAsia="宋体" w:cs="宋体"/>
          <w:b/>
          <w:sz w:val="28"/>
          <w:szCs w:val="28"/>
        </w:rPr>
      </w:pPr>
    </w:p>
    <w:p w14:paraId="0AA70B8D">
      <w:pPr>
        <w:ind w:firstLine="562"/>
        <w:jc w:val="center"/>
        <w:outlineLvl w:val="1"/>
        <w:rPr>
          <w:rFonts w:ascii="宋体" w:hAnsi="宋体" w:eastAsia="宋体" w:cs="宋体"/>
          <w:b/>
          <w:sz w:val="28"/>
          <w:szCs w:val="28"/>
        </w:rPr>
      </w:pPr>
    </w:p>
    <w:p w14:paraId="6CF08964">
      <w:pPr>
        <w:ind w:firstLine="562"/>
        <w:jc w:val="center"/>
        <w:outlineLvl w:val="1"/>
        <w:rPr>
          <w:rFonts w:ascii="宋体" w:hAnsi="宋体" w:eastAsia="宋体" w:cs="宋体"/>
          <w:b/>
          <w:sz w:val="28"/>
          <w:szCs w:val="28"/>
        </w:rPr>
      </w:pPr>
    </w:p>
    <w:p w14:paraId="1CBCFB80">
      <w:pPr>
        <w:ind w:firstLine="562"/>
        <w:jc w:val="center"/>
        <w:outlineLvl w:val="1"/>
        <w:rPr>
          <w:rFonts w:ascii="宋体" w:hAnsi="宋体" w:eastAsia="宋体" w:cs="宋体"/>
          <w:b/>
          <w:sz w:val="28"/>
          <w:szCs w:val="28"/>
        </w:rPr>
      </w:pPr>
    </w:p>
    <w:p w14:paraId="151DACB5">
      <w:pPr>
        <w:ind w:firstLine="562"/>
        <w:jc w:val="center"/>
        <w:outlineLvl w:val="1"/>
        <w:rPr>
          <w:rFonts w:ascii="宋体" w:hAnsi="宋体" w:eastAsia="宋体" w:cs="宋体"/>
          <w:b/>
          <w:sz w:val="28"/>
          <w:szCs w:val="28"/>
        </w:rPr>
      </w:pPr>
    </w:p>
    <w:p w14:paraId="24777874">
      <w:pPr>
        <w:ind w:firstLine="562"/>
        <w:jc w:val="center"/>
        <w:outlineLvl w:val="1"/>
        <w:rPr>
          <w:rFonts w:ascii="宋体" w:hAnsi="宋体" w:eastAsia="宋体" w:cs="宋体"/>
          <w:b/>
          <w:sz w:val="28"/>
          <w:szCs w:val="28"/>
        </w:rPr>
      </w:pPr>
    </w:p>
    <w:p w14:paraId="34531EAC">
      <w:pPr>
        <w:ind w:firstLine="562"/>
        <w:jc w:val="center"/>
        <w:outlineLvl w:val="1"/>
        <w:rPr>
          <w:rFonts w:ascii="宋体" w:hAnsi="宋体" w:eastAsia="宋体" w:cs="宋体"/>
          <w:b/>
          <w:sz w:val="28"/>
          <w:szCs w:val="28"/>
        </w:rPr>
      </w:pPr>
    </w:p>
    <w:p w14:paraId="129268ED">
      <w:pPr>
        <w:ind w:firstLine="562"/>
        <w:jc w:val="center"/>
        <w:outlineLvl w:val="1"/>
        <w:rPr>
          <w:rFonts w:ascii="宋体" w:hAnsi="宋体" w:eastAsia="宋体" w:cs="宋体"/>
          <w:b/>
          <w:sz w:val="28"/>
          <w:szCs w:val="28"/>
        </w:rPr>
      </w:pPr>
    </w:p>
    <w:p w14:paraId="2818212C">
      <w:pPr>
        <w:ind w:firstLine="562"/>
        <w:jc w:val="center"/>
        <w:outlineLvl w:val="1"/>
        <w:rPr>
          <w:rFonts w:ascii="宋体" w:hAnsi="宋体" w:eastAsia="宋体" w:cs="宋体"/>
          <w:b/>
          <w:sz w:val="28"/>
          <w:szCs w:val="28"/>
        </w:rPr>
      </w:pPr>
    </w:p>
    <w:p w14:paraId="56051372">
      <w:pPr>
        <w:ind w:firstLine="562"/>
        <w:jc w:val="center"/>
        <w:outlineLvl w:val="1"/>
        <w:rPr>
          <w:rFonts w:ascii="宋体" w:hAnsi="宋体" w:eastAsia="宋体" w:cs="宋体"/>
          <w:b/>
          <w:sz w:val="28"/>
          <w:szCs w:val="28"/>
        </w:rPr>
      </w:pPr>
    </w:p>
    <w:p w14:paraId="73332579">
      <w:pPr>
        <w:ind w:firstLine="562"/>
        <w:jc w:val="center"/>
        <w:outlineLvl w:val="1"/>
        <w:rPr>
          <w:rFonts w:ascii="宋体" w:hAnsi="宋体" w:eastAsia="宋体" w:cs="宋体"/>
          <w:b/>
          <w:sz w:val="28"/>
          <w:szCs w:val="28"/>
        </w:rPr>
      </w:pPr>
    </w:p>
    <w:p w14:paraId="7D333825">
      <w:pPr>
        <w:ind w:firstLine="562"/>
        <w:jc w:val="center"/>
        <w:outlineLvl w:val="1"/>
        <w:rPr>
          <w:rFonts w:ascii="宋体" w:hAnsi="宋体" w:eastAsia="宋体" w:cs="宋体"/>
          <w:b/>
          <w:sz w:val="28"/>
          <w:szCs w:val="28"/>
        </w:rPr>
      </w:pPr>
    </w:p>
    <w:p w14:paraId="37F677D9">
      <w:pPr>
        <w:ind w:firstLine="562"/>
        <w:jc w:val="center"/>
        <w:outlineLvl w:val="1"/>
        <w:rPr>
          <w:rFonts w:ascii="宋体" w:hAnsi="宋体" w:eastAsia="宋体" w:cs="宋体"/>
          <w:b/>
          <w:sz w:val="28"/>
          <w:szCs w:val="28"/>
        </w:rPr>
      </w:pPr>
    </w:p>
    <w:p w14:paraId="1A1F8DD6">
      <w:pPr>
        <w:ind w:firstLine="562"/>
        <w:jc w:val="center"/>
        <w:outlineLvl w:val="1"/>
        <w:rPr>
          <w:rFonts w:ascii="宋体" w:hAnsi="宋体" w:eastAsia="宋体" w:cs="宋体"/>
          <w:b/>
          <w:sz w:val="28"/>
          <w:szCs w:val="28"/>
        </w:rPr>
      </w:pPr>
    </w:p>
    <w:p w14:paraId="406959AB">
      <w:pPr>
        <w:ind w:firstLine="562"/>
        <w:jc w:val="center"/>
        <w:outlineLvl w:val="1"/>
        <w:rPr>
          <w:rFonts w:ascii="宋体" w:hAnsi="宋体" w:eastAsia="宋体" w:cs="宋体"/>
          <w:b/>
          <w:sz w:val="28"/>
          <w:szCs w:val="28"/>
        </w:rPr>
      </w:pPr>
    </w:p>
    <w:p w14:paraId="1921583D">
      <w:pPr>
        <w:ind w:firstLine="562"/>
        <w:jc w:val="center"/>
        <w:outlineLvl w:val="1"/>
        <w:rPr>
          <w:rFonts w:ascii="宋体" w:hAnsi="宋体" w:eastAsia="宋体" w:cs="宋体"/>
          <w:b/>
          <w:sz w:val="28"/>
          <w:szCs w:val="28"/>
        </w:rPr>
      </w:pPr>
    </w:p>
    <w:p w14:paraId="01589FEE">
      <w:pPr>
        <w:ind w:firstLine="562"/>
        <w:jc w:val="center"/>
        <w:outlineLvl w:val="1"/>
        <w:rPr>
          <w:rFonts w:ascii="宋体" w:hAnsi="宋体" w:eastAsia="宋体" w:cs="宋体"/>
          <w:b/>
          <w:sz w:val="28"/>
          <w:szCs w:val="28"/>
        </w:rPr>
      </w:pPr>
    </w:p>
    <w:p w14:paraId="1955E39C">
      <w:pPr>
        <w:ind w:firstLine="562"/>
        <w:jc w:val="center"/>
        <w:outlineLvl w:val="1"/>
        <w:rPr>
          <w:rFonts w:ascii="宋体" w:hAnsi="宋体" w:eastAsia="宋体" w:cs="宋体"/>
          <w:b/>
          <w:sz w:val="28"/>
          <w:szCs w:val="28"/>
        </w:rPr>
      </w:pPr>
    </w:p>
    <w:p w14:paraId="39867A92">
      <w:pPr>
        <w:ind w:firstLine="562"/>
        <w:jc w:val="center"/>
        <w:outlineLvl w:val="1"/>
        <w:rPr>
          <w:rFonts w:ascii="宋体" w:hAnsi="宋体" w:eastAsia="宋体" w:cs="宋体"/>
          <w:b/>
          <w:sz w:val="28"/>
          <w:szCs w:val="28"/>
        </w:rPr>
      </w:pPr>
    </w:p>
    <w:p w14:paraId="129DB50F">
      <w:pPr>
        <w:ind w:firstLine="562"/>
        <w:jc w:val="center"/>
        <w:outlineLvl w:val="1"/>
        <w:rPr>
          <w:rFonts w:ascii="宋体" w:hAnsi="宋体" w:eastAsia="宋体" w:cs="宋体"/>
          <w:b/>
          <w:sz w:val="28"/>
          <w:szCs w:val="28"/>
        </w:rPr>
      </w:pPr>
    </w:p>
    <w:p w14:paraId="0827DC7C">
      <w:pPr>
        <w:ind w:firstLine="562"/>
        <w:jc w:val="center"/>
        <w:outlineLvl w:val="1"/>
        <w:rPr>
          <w:rFonts w:ascii="宋体" w:hAnsi="宋体" w:eastAsia="宋体" w:cs="宋体"/>
          <w:b/>
          <w:sz w:val="28"/>
          <w:szCs w:val="28"/>
        </w:rPr>
      </w:pPr>
      <w:r>
        <w:rPr>
          <w:rFonts w:hint="eastAsia" w:ascii="宋体" w:hAnsi="宋体" w:eastAsia="宋体" w:cs="宋体"/>
          <w:b/>
          <w:sz w:val="28"/>
          <w:szCs w:val="28"/>
        </w:rPr>
        <w:t>七、售后服务方案</w:t>
      </w:r>
    </w:p>
    <w:p w14:paraId="6B13530F">
      <w:pPr>
        <w:widowControl/>
        <w:ind w:firstLine="420"/>
        <w:jc w:val="center"/>
        <w:rPr>
          <w:rFonts w:ascii="宋体" w:hAnsi="宋体" w:cs="宋体"/>
          <w:kern w:val="0"/>
          <w:szCs w:val="21"/>
        </w:rPr>
      </w:pPr>
      <w:r>
        <w:rPr>
          <w:rFonts w:hint="eastAsia" w:ascii="宋体" w:hAnsi="宋体" w:cs="宋体"/>
          <w:kern w:val="0"/>
          <w:szCs w:val="21"/>
        </w:rPr>
        <w:t>（</w:t>
      </w:r>
      <w:r>
        <w:rPr>
          <w:rFonts w:hint="eastAsia" w:ascii="宋体" w:hAnsi="宋体"/>
          <w:b/>
          <w:szCs w:val="21"/>
        </w:rPr>
        <w:t>内容及格式由投标人自拟</w:t>
      </w:r>
      <w:r>
        <w:rPr>
          <w:rFonts w:hint="eastAsia" w:ascii="宋体" w:hAnsi="宋体" w:cs="宋体"/>
          <w:kern w:val="0"/>
          <w:szCs w:val="21"/>
        </w:rPr>
        <w:t>）</w:t>
      </w:r>
    </w:p>
    <w:p w14:paraId="256556F7">
      <w:pPr>
        <w:ind w:firstLine="562"/>
        <w:jc w:val="center"/>
        <w:outlineLvl w:val="1"/>
        <w:rPr>
          <w:rFonts w:ascii="宋体" w:hAnsi="宋体" w:eastAsia="宋体" w:cs="宋体"/>
          <w:b/>
          <w:sz w:val="28"/>
          <w:szCs w:val="28"/>
        </w:rPr>
      </w:pPr>
    </w:p>
    <w:p w14:paraId="0467E5BE">
      <w:pPr>
        <w:ind w:firstLine="562"/>
        <w:jc w:val="center"/>
        <w:outlineLvl w:val="1"/>
        <w:rPr>
          <w:rFonts w:ascii="宋体" w:hAnsi="宋体" w:eastAsia="宋体" w:cs="宋体"/>
          <w:b/>
          <w:sz w:val="28"/>
          <w:szCs w:val="28"/>
        </w:rPr>
      </w:pPr>
    </w:p>
    <w:p w14:paraId="16A8EF5B">
      <w:pPr>
        <w:ind w:firstLine="562"/>
        <w:jc w:val="center"/>
        <w:outlineLvl w:val="1"/>
        <w:rPr>
          <w:rFonts w:ascii="宋体" w:hAnsi="宋体" w:eastAsia="宋体" w:cs="宋体"/>
          <w:b/>
          <w:sz w:val="28"/>
          <w:szCs w:val="28"/>
        </w:rPr>
      </w:pPr>
    </w:p>
    <w:p w14:paraId="3B0C7D65">
      <w:pPr>
        <w:ind w:firstLine="562"/>
        <w:jc w:val="center"/>
        <w:outlineLvl w:val="1"/>
        <w:rPr>
          <w:rFonts w:ascii="宋体" w:hAnsi="宋体" w:eastAsia="宋体" w:cs="宋体"/>
          <w:b/>
          <w:sz w:val="28"/>
          <w:szCs w:val="28"/>
        </w:rPr>
      </w:pPr>
    </w:p>
    <w:p w14:paraId="240C37B7">
      <w:pPr>
        <w:ind w:firstLine="562"/>
        <w:jc w:val="center"/>
        <w:outlineLvl w:val="1"/>
        <w:rPr>
          <w:rFonts w:ascii="宋体" w:hAnsi="宋体" w:eastAsia="宋体" w:cs="宋体"/>
          <w:b/>
          <w:sz w:val="28"/>
          <w:szCs w:val="28"/>
        </w:rPr>
      </w:pPr>
    </w:p>
    <w:p w14:paraId="302B43D6">
      <w:pPr>
        <w:ind w:firstLine="562"/>
        <w:jc w:val="center"/>
        <w:outlineLvl w:val="1"/>
        <w:rPr>
          <w:rFonts w:ascii="宋体" w:hAnsi="宋体" w:eastAsia="宋体" w:cs="宋体"/>
          <w:b/>
          <w:sz w:val="28"/>
          <w:szCs w:val="28"/>
        </w:rPr>
      </w:pPr>
    </w:p>
    <w:p w14:paraId="5D8BB9A9">
      <w:pPr>
        <w:ind w:firstLine="562"/>
        <w:jc w:val="center"/>
        <w:outlineLvl w:val="1"/>
        <w:rPr>
          <w:rFonts w:ascii="宋体" w:hAnsi="宋体" w:eastAsia="宋体" w:cs="宋体"/>
          <w:b/>
          <w:sz w:val="28"/>
          <w:szCs w:val="28"/>
        </w:rPr>
      </w:pPr>
    </w:p>
    <w:p w14:paraId="1445E101">
      <w:pPr>
        <w:ind w:firstLine="562"/>
        <w:jc w:val="center"/>
        <w:outlineLvl w:val="1"/>
        <w:rPr>
          <w:rFonts w:ascii="宋体" w:hAnsi="宋体" w:eastAsia="宋体" w:cs="宋体"/>
          <w:b/>
          <w:sz w:val="28"/>
          <w:szCs w:val="28"/>
        </w:rPr>
      </w:pPr>
    </w:p>
    <w:p w14:paraId="7076D680">
      <w:pPr>
        <w:ind w:firstLine="562"/>
        <w:jc w:val="center"/>
        <w:outlineLvl w:val="1"/>
        <w:rPr>
          <w:rFonts w:ascii="宋体" w:hAnsi="宋体" w:eastAsia="宋体" w:cs="宋体"/>
          <w:b/>
          <w:sz w:val="28"/>
          <w:szCs w:val="28"/>
        </w:rPr>
      </w:pPr>
    </w:p>
    <w:p w14:paraId="557D5CE8">
      <w:pPr>
        <w:ind w:firstLine="562"/>
        <w:jc w:val="center"/>
        <w:outlineLvl w:val="1"/>
        <w:rPr>
          <w:rFonts w:ascii="宋体" w:hAnsi="宋体" w:eastAsia="宋体" w:cs="宋体"/>
          <w:b/>
          <w:sz w:val="28"/>
          <w:szCs w:val="28"/>
        </w:rPr>
      </w:pPr>
    </w:p>
    <w:p w14:paraId="76A4878E">
      <w:pPr>
        <w:ind w:firstLine="562"/>
        <w:jc w:val="center"/>
        <w:outlineLvl w:val="1"/>
        <w:rPr>
          <w:rFonts w:ascii="宋体" w:hAnsi="宋体" w:eastAsia="宋体" w:cs="宋体"/>
          <w:b/>
          <w:sz w:val="28"/>
          <w:szCs w:val="28"/>
        </w:rPr>
      </w:pPr>
    </w:p>
    <w:p w14:paraId="0F9CE2AC">
      <w:pPr>
        <w:ind w:firstLine="562"/>
        <w:jc w:val="center"/>
        <w:outlineLvl w:val="1"/>
        <w:rPr>
          <w:rFonts w:ascii="宋体" w:hAnsi="宋体" w:eastAsia="宋体" w:cs="宋体"/>
          <w:b/>
          <w:sz w:val="28"/>
          <w:szCs w:val="28"/>
        </w:rPr>
      </w:pPr>
    </w:p>
    <w:p w14:paraId="5BE86E8B">
      <w:pPr>
        <w:ind w:firstLine="562"/>
        <w:jc w:val="center"/>
        <w:outlineLvl w:val="1"/>
        <w:rPr>
          <w:rFonts w:ascii="宋体" w:hAnsi="宋体" w:eastAsia="宋体" w:cs="宋体"/>
          <w:b/>
          <w:sz w:val="28"/>
          <w:szCs w:val="28"/>
        </w:rPr>
      </w:pPr>
    </w:p>
    <w:p w14:paraId="19492DA7">
      <w:pPr>
        <w:ind w:firstLine="562"/>
        <w:jc w:val="center"/>
        <w:outlineLvl w:val="1"/>
        <w:rPr>
          <w:rFonts w:ascii="宋体" w:hAnsi="宋体" w:eastAsia="宋体" w:cs="宋体"/>
          <w:b/>
          <w:sz w:val="28"/>
          <w:szCs w:val="28"/>
        </w:rPr>
      </w:pPr>
    </w:p>
    <w:p w14:paraId="3C0CF4DD">
      <w:pPr>
        <w:ind w:firstLine="562"/>
        <w:jc w:val="center"/>
        <w:outlineLvl w:val="1"/>
        <w:rPr>
          <w:rFonts w:ascii="宋体" w:hAnsi="宋体" w:eastAsia="宋体" w:cs="宋体"/>
          <w:b/>
          <w:sz w:val="28"/>
          <w:szCs w:val="28"/>
        </w:rPr>
      </w:pPr>
    </w:p>
    <w:p w14:paraId="34D7DEF9">
      <w:pPr>
        <w:ind w:firstLine="562"/>
        <w:jc w:val="center"/>
        <w:outlineLvl w:val="1"/>
        <w:rPr>
          <w:rFonts w:ascii="宋体" w:hAnsi="宋体" w:eastAsia="宋体" w:cs="宋体"/>
          <w:b/>
          <w:sz w:val="28"/>
          <w:szCs w:val="28"/>
        </w:rPr>
      </w:pPr>
    </w:p>
    <w:p w14:paraId="5911F14A">
      <w:pPr>
        <w:ind w:firstLine="562"/>
        <w:jc w:val="center"/>
        <w:outlineLvl w:val="1"/>
        <w:rPr>
          <w:rFonts w:ascii="宋体" w:hAnsi="宋体" w:eastAsia="宋体" w:cs="宋体"/>
          <w:b/>
          <w:sz w:val="28"/>
          <w:szCs w:val="28"/>
        </w:rPr>
      </w:pPr>
    </w:p>
    <w:p w14:paraId="7C5C7101">
      <w:pPr>
        <w:ind w:firstLine="562"/>
        <w:jc w:val="center"/>
        <w:outlineLvl w:val="1"/>
        <w:rPr>
          <w:rFonts w:ascii="宋体" w:hAnsi="宋体" w:eastAsia="宋体" w:cs="宋体"/>
          <w:b/>
          <w:sz w:val="28"/>
          <w:szCs w:val="28"/>
        </w:rPr>
      </w:pPr>
    </w:p>
    <w:p w14:paraId="2C6F633D">
      <w:pPr>
        <w:ind w:firstLine="562"/>
        <w:jc w:val="center"/>
        <w:outlineLvl w:val="1"/>
        <w:rPr>
          <w:rFonts w:ascii="宋体" w:hAnsi="宋体" w:eastAsia="宋体" w:cs="宋体"/>
          <w:b/>
          <w:sz w:val="28"/>
          <w:szCs w:val="28"/>
        </w:rPr>
      </w:pPr>
    </w:p>
    <w:p w14:paraId="4D04884F">
      <w:pPr>
        <w:ind w:firstLine="562"/>
        <w:jc w:val="center"/>
        <w:outlineLvl w:val="1"/>
        <w:rPr>
          <w:rFonts w:ascii="宋体" w:hAnsi="宋体" w:eastAsia="宋体" w:cs="宋体"/>
          <w:b/>
          <w:sz w:val="28"/>
          <w:szCs w:val="28"/>
        </w:rPr>
      </w:pPr>
    </w:p>
    <w:p w14:paraId="159598C8">
      <w:pPr>
        <w:ind w:firstLine="562"/>
        <w:jc w:val="center"/>
        <w:outlineLvl w:val="1"/>
        <w:rPr>
          <w:rFonts w:ascii="Times New Roman" w:hAnsi="Times New Roman" w:eastAsia="宋体"/>
          <w:sz w:val="28"/>
        </w:rPr>
      </w:pPr>
      <w:r>
        <w:rPr>
          <w:rFonts w:hint="eastAsia" w:ascii="宋体" w:hAnsi="宋体" w:eastAsia="宋体" w:cs="宋体"/>
          <w:b/>
          <w:sz w:val="28"/>
          <w:szCs w:val="28"/>
        </w:rPr>
        <w:t>八、资格</w:t>
      </w:r>
      <w:bookmarkEnd w:id="143"/>
      <w:bookmarkEnd w:id="144"/>
      <w:r>
        <w:rPr>
          <w:rFonts w:hint="eastAsia" w:ascii="宋体" w:hAnsi="宋体" w:eastAsia="宋体" w:cs="宋体"/>
          <w:b/>
          <w:sz w:val="28"/>
          <w:szCs w:val="28"/>
        </w:rPr>
        <w:t>证明材料</w:t>
      </w:r>
      <w:bookmarkEnd w:id="146"/>
    </w:p>
    <w:p w14:paraId="55A31CB6">
      <w:pPr>
        <w:spacing w:before="312" w:beforeLines="100" w:after="156" w:afterLines="50"/>
        <w:ind w:firstLine="422"/>
        <w:rPr>
          <w:rFonts w:ascii="宋体" w:hAnsi="宋体"/>
          <w:b/>
          <w:szCs w:val="21"/>
        </w:rPr>
      </w:pPr>
      <w:bookmarkStart w:id="147" w:name="_Toc456185719"/>
      <w:r>
        <w:rPr>
          <w:rFonts w:hint="eastAsia" w:ascii="宋体" w:hAnsi="宋体"/>
          <w:b/>
          <w:szCs w:val="21"/>
        </w:rPr>
        <w:t>1、供应商基本情况表</w:t>
      </w:r>
      <w:bookmarkEnd w:id="147"/>
    </w:p>
    <w:tbl>
      <w:tblPr>
        <w:tblStyle w:val="27"/>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884"/>
        <w:gridCol w:w="1007"/>
        <w:gridCol w:w="1260"/>
        <w:gridCol w:w="195"/>
        <w:gridCol w:w="1230"/>
        <w:gridCol w:w="255"/>
        <w:gridCol w:w="892"/>
        <w:gridCol w:w="1980"/>
      </w:tblGrid>
      <w:tr w14:paraId="1799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vAlign w:val="center"/>
          </w:tcPr>
          <w:p w14:paraId="72770065">
            <w:pPr>
              <w:ind w:firstLine="0" w:firstLineChars="0"/>
              <w:jc w:val="center"/>
              <w:rPr>
                <w:rFonts w:ascii="宋体" w:hAnsi="宋体"/>
                <w:szCs w:val="21"/>
              </w:rPr>
            </w:pPr>
            <w:r>
              <w:rPr>
                <w:rFonts w:hint="eastAsia" w:ascii="宋体" w:hAnsi="宋体"/>
                <w:szCs w:val="21"/>
              </w:rPr>
              <w:t>供应商名称</w:t>
            </w:r>
          </w:p>
        </w:tc>
        <w:tc>
          <w:tcPr>
            <w:tcW w:w="7703" w:type="dxa"/>
            <w:gridSpan w:val="8"/>
            <w:vAlign w:val="center"/>
          </w:tcPr>
          <w:p w14:paraId="093F7B2A">
            <w:pPr>
              <w:ind w:firstLine="420"/>
              <w:jc w:val="center"/>
              <w:rPr>
                <w:rFonts w:ascii="宋体" w:hAnsi="宋体"/>
                <w:szCs w:val="21"/>
              </w:rPr>
            </w:pPr>
          </w:p>
        </w:tc>
      </w:tr>
      <w:tr w14:paraId="17F2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vAlign w:val="center"/>
          </w:tcPr>
          <w:p w14:paraId="3B935601">
            <w:pPr>
              <w:ind w:firstLine="0" w:firstLineChars="0"/>
              <w:jc w:val="center"/>
              <w:rPr>
                <w:rFonts w:ascii="宋体" w:hAnsi="宋体"/>
                <w:szCs w:val="21"/>
              </w:rPr>
            </w:pPr>
            <w:r>
              <w:rPr>
                <w:rFonts w:hint="eastAsia" w:ascii="宋体" w:hAnsi="宋体"/>
                <w:szCs w:val="21"/>
              </w:rPr>
              <w:t>注册地址</w:t>
            </w:r>
          </w:p>
        </w:tc>
        <w:tc>
          <w:tcPr>
            <w:tcW w:w="3346" w:type="dxa"/>
            <w:gridSpan w:val="4"/>
            <w:vAlign w:val="center"/>
          </w:tcPr>
          <w:p w14:paraId="60C847BD">
            <w:pPr>
              <w:ind w:firstLine="420"/>
              <w:jc w:val="center"/>
              <w:rPr>
                <w:rFonts w:ascii="宋体" w:hAnsi="宋体"/>
                <w:szCs w:val="21"/>
              </w:rPr>
            </w:pPr>
          </w:p>
        </w:tc>
        <w:tc>
          <w:tcPr>
            <w:tcW w:w="1230" w:type="dxa"/>
            <w:vAlign w:val="center"/>
          </w:tcPr>
          <w:p w14:paraId="5D1A39D9">
            <w:pPr>
              <w:ind w:firstLine="0" w:firstLineChars="0"/>
              <w:rPr>
                <w:rFonts w:ascii="宋体" w:hAnsi="宋体"/>
                <w:szCs w:val="21"/>
              </w:rPr>
            </w:pPr>
            <w:r>
              <w:rPr>
                <w:rFonts w:hint="eastAsia" w:ascii="宋体" w:hAnsi="宋体"/>
                <w:szCs w:val="21"/>
              </w:rPr>
              <w:t>邮政编码</w:t>
            </w:r>
          </w:p>
        </w:tc>
        <w:tc>
          <w:tcPr>
            <w:tcW w:w="3127" w:type="dxa"/>
            <w:gridSpan w:val="3"/>
            <w:vAlign w:val="center"/>
          </w:tcPr>
          <w:p w14:paraId="1737CD10">
            <w:pPr>
              <w:ind w:firstLine="420"/>
              <w:jc w:val="center"/>
              <w:rPr>
                <w:rFonts w:ascii="宋体" w:hAnsi="宋体"/>
                <w:szCs w:val="21"/>
              </w:rPr>
            </w:pPr>
          </w:p>
        </w:tc>
      </w:tr>
      <w:tr w14:paraId="1DFF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vMerge w:val="restart"/>
            <w:vAlign w:val="center"/>
          </w:tcPr>
          <w:p w14:paraId="13E1ABB2">
            <w:pPr>
              <w:ind w:firstLine="0" w:firstLineChars="0"/>
              <w:jc w:val="center"/>
              <w:rPr>
                <w:rFonts w:ascii="宋体" w:hAnsi="宋体"/>
                <w:szCs w:val="21"/>
              </w:rPr>
            </w:pPr>
            <w:r>
              <w:rPr>
                <w:rFonts w:hint="eastAsia" w:ascii="宋体" w:hAnsi="宋体"/>
                <w:szCs w:val="21"/>
              </w:rPr>
              <w:t>联系方式</w:t>
            </w:r>
          </w:p>
        </w:tc>
        <w:tc>
          <w:tcPr>
            <w:tcW w:w="884" w:type="dxa"/>
            <w:vAlign w:val="center"/>
          </w:tcPr>
          <w:p w14:paraId="2C2CFBAF">
            <w:pPr>
              <w:ind w:firstLine="0" w:firstLineChars="0"/>
              <w:rPr>
                <w:rFonts w:ascii="宋体" w:hAnsi="宋体"/>
                <w:szCs w:val="21"/>
              </w:rPr>
            </w:pPr>
            <w:r>
              <w:rPr>
                <w:rFonts w:hint="eastAsia" w:ascii="宋体" w:hAnsi="宋体"/>
                <w:szCs w:val="21"/>
              </w:rPr>
              <w:t>联系人</w:t>
            </w:r>
          </w:p>
        </w:tc>
        <w:tc>
          <w:tcPr>
            <w:tcW w:w="2462" w:type="dxa"/>
            <w:gridSpan w:val="3"/>
            <w:vAlign w:val="center"/>
          </w:tcPr>
          <w:p w14:paraId="3CCEA2B7">
            <w:pPr>
              <w:ind w:firstLine="420"/>
              <w:jc w:val="center"/>
              <w:rPr>
                <w:rFonts w:ascii="宋体" w:hAnsi="宋体"/>
                <w:szCs w:val="21"/>
              </w:rPr>
            </w:pPr>
          </w:p>
        </w:tc>
        <w:tc>
          <w:tcPr>
            <w:tcW w:w="1230" w:type="dxa"/>
            <w:vAlign w:val="center"/>
          </w:tcPr>
          <w:p w14:paraId="21B74695">
            <w:pPr>
              <w:ind w:firstLine="0" w:firstLineChars="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p>
        </w:tc>
        <w:tc>
          <w:tcPr>
            <w:tcW w:w="3127" w:type="dxa"/>
            <w:gridSpan w:val="3"/>
            <w:vAlign w:val="center"/>
          </w:tcPr>
          <w:p w14:paraId="3ED47D1E">
            <w:pPr>
              <w:ind w:firstLine="420"/>
              <w:jc w:val="center"/>
              <w:rPr>
                <w:rFonts w:ascii="宋体" w:hAnsi="宋体"/>
                <w:szCs w:val="21"/>
              </w:rPr>
            </w:pPr>
          </w:p>
        </w:tc>
      </w:tr>
      <w:tr w14:paraId="6A14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vMerge w:val="continue"/>
            <w:vAlign w:val="center"/>
          </w:tcPr>
          <w:p w14:paraId="3A40F04F">
            <w:pPr>
              <w:ind w:firstLine="420"/>
              <w:jc w:val="center"/>
              <w:rPr>
                <w:rFonts w:ascii="宋体" w:hAnsi="宋体"/>
                <w:szCs w:val="21"/>
              </w:rPr>
            </w:pPr>
          </w:p>
        </w:tc>
        <w:tc>
          <w:tcPr>
            <w:tcW w:w="884" w:type="dxa"/>
            <w:vAlign w:val="center"/>
          </w:tcPr>
          <w:p w14:paraId="45023EC8">
            <w:pPr>
              <w:ind w:firstLine="0" w:firstLineChars="0"/>
              <w:rPr>
                <w:rFonts w:ascii="宋体" w:hAnsi="宋体"/>
                <w:szCs w:val="21"/>
              </w:rPr>
            </w:pPr>
            <w:r>
              <w:rPr>
                <w:rFonts w:hint="eastAsia" w:ascii="宋体" w:hAnsi="宋体"/>
                <w:szCs w:val="21"/>
              </w:rPr>
              <w:t>传</w:t>
            </w:r>
            <w:r>
              <w:rPr>
                <w:rFonts w:ascii="宋体" w:hAnsi="宋体"/>
                <w:szCs w:val="21"/>
              </w:rPr>
              <w:t xml:space="preserve">  </w:t>
            </w:r>
            <w:r>
              <w:rPr>
                <w:rFonts w:hint="eastAsia" w:ascii="宋体" w:hAnsi="宋体"/>
                <w:szCs w:val="21"/>
              </w:rPr>
              <w:t>真</w:t>
            </w:r>
          </w:p>
        </w:tc>
        <w:tc>
          <w:tcPr>
            <w:tcW w:w="2462" w:type="dxa"/>
            <w:gridSpan w:val="3"/>
            <w:vAlign w:val="center"/>
          </w:tcPr>
          <w:p w14:paraId="36F545C9">
            <w:pPr>
              <w:ind w:firstLine="420"/>
              <w:jc w:val="center"/>
              <w:rPr>
                <w:rFonts w:ascii="宋体" w:hAnsi="宋体"/>
                <w:szCs w:val="21"/>
              </w:rPr>
            </w:pPr>
          </w:p>
        </w:tc>
        <w:tc>
          <w:tcPr>
            <w:tcW w:w="1230" w:type="dxa"/>
            <w:vAlign w:val="center"/>
          </w:tcPr>
          <w:p w14:paraId="56CA6324">
            <w:pPr>
              <w:ind w:firstLine="0" w:firstLineChars="0"/>
              <w:rPr>
                <w:rFonts w:ascii="宋体" w:hAnsi="宋体"/>
                <w:szCs w:val="21"/>
              </w:rPr>
            </w:pPr>
            <w:r>
              <w:rPr>
                <w:rFonts w:hint="eastAsia" w:ascii="宋体" w:hAnsi="宋体"/>
                <w:szCs w:val="21"/>
              </w:rPr>
              <w:t>网</w:t>
            </w:r>
            <w:r>
              <w:rPr>
                <w:rFonts w:ascii="宋体" w:hAnsi="宋体"/>
                <w:szCs w:val="21"/>
              </w:rPr>
              <w:t xml:space="preserve">  </w:t>
            </w:r>
            <w:r>
              <w:rPr>
                <w:rFonts w:hint="eastAsia" w:ascii="宋体" w:hAnsi="宋体"/>
                <w:szCs w:val="21"/>
              </w:rPr>
              <w:t>址</w:t>
            </w:r>
          </w:p>
        </w:tc>
        <w:tc>
          <w:tcPr>
            <w:tcW w:w="3127" w:type="dxa"/>
            <w:gridSpan w:val="3"/>
            <w:vAlign w:val="center"/>
          </w:tcPr>
          <w:p w14:paraId="17B12123">
            <w:pPr>
              <w:ind w:firstLine="420"/>
              <w:jc w:val="center"/>
              <w:rPr>
                <w:rFonts w:ascii="宋体" w:hAnsi="宋体"/>
                <w:szCs w:val="21"/>
              </w:rPr>
            </w:pPr>
          </w:p>
        </w:tc>
      </w:tr>
      <w:tr w14:paraId="2993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vAlign w:val="center"/>
          </w:tcPr>
          <w:p w14:paraId="0B7815BC">
            <w:pPr>
              <w:ind w:firstLine="0" w:firstLineChars="0"/>
              <w:jc w:val="center"/>
              <w:rPr>
                <w:rFonts w:ascii="宋体" w:hAnsi="宋体"/>
                <w:szCs w:val="21"/>
              </w:rPr>
            </w:pPr>
            <w:r>
              <w:rPr>
                <w:rFonts w:hint="eastAsia" w:ascii="宋体" w:hAnsi="宋体"/>
                <w:szCs w:val="21"/>
              </w:rPr>
              <w:t>法定代表人</w:t>
            </w:r>
          </w:p>
        </w:tc>
        <w:tc>
          <w:tcPr>
            <w:tcW w:w="884" w:type="dxa"/>
            <w:vAlign w:val="center"/>
          </w:tcPr>
          <w:p w14:paraId="7E9EC16D">
            <w:pPr>
              <w:ind w:firstLine="0" w:firstLineChars="0"/>
              <w:rPr>
                <w:rFonts w:ascii="宋体" w:hAnsi="宋体"/>
                <w:szCs w:val="21"/>
              </w:rPr>
            </w:pPr>
            <w:r>
              <w:rPr>
                <w:rFonts w:hint="eastAsia" w:ascii="宋体" w:hAnsi="宋体"/>
                <w:szCs w:val="21"/>
              </w:rPr>
              <w:t>姓名</w:t>
            </w:r>
          </w:p>
        </w:tc>
        <w:tc>
          <w:tcPr>
            <w:tcW w:w="1007" w:type="dxa"/>
            <w:vAlign w:val="center"/>
          </w:tcPr>
          <w:p w14:paraId="1510CEF2">
            <w:pPr>
              <w:ind w:firstLine="420"/>
              <w:jc w:val="center"/>
              <w:rPr>
                <w:rFonts w:ascii="宋体" w:hAnsi="宋体"/>
                <w:szCs w:val="21"/>
              </w:rPr>
            </w:pPr>
          </w:p>
        </w:tc>
        <w:tc>
          <w:tcPr>
            <w:tcW w:w="1260" w:type="dxa"/>
            <w:vAlign w:val="center"/>
          </w:tcPr>
          <w:p w14:paraId="0E25F1DD">
            <w:pPr>
              <w:ind w:firstLine="0" w:firstLineChars="0"/>
              <w:rPr>
                <w:rFonts w:ascii="宋体" w:hAnsi="宋体"/>
                <w:szCs w:val="21"/>
              </w:rPr>
            </w:pPr>
            <w:r>
              <w:rPr>
                <w:rFonts w:hint="eastAsia" w:ascii="宋体" w:hAnsi="宋体"/>
                <w:szCs w:val="21"/>
              </w:rPr>
              <w:t>技术职称</w:t>
            </w:r>
          </w:p>
        </w:tc>
        <w:tc>
          <w:tcPr>
            <w:tcW w:w="1680" w:type="dxa"/>
            <w:gridSpan w:val="3"/>
            <w:vAlign w:val="center"/>
          </w:tcPr>
          <w:p w14:paraId="6F83B1EC">
            <w:pPr>
              <w:ind w:firstLine="420"/>
              <w:jc w:val="center"/>
              <w:rPr>
                <w:rFonts w:ascii="宋体" w:hAnsi="宋体"/>
                <w:szCs w:val="21"/>
              </w:rPr>
            </w:pPr>
          </w:p>
        </w:tc>
        <w:tc>
          <w:tcPr>
            <w:tcW w:w="892" w:type="dxa"/>
            <w:vAlign w:val="center"/>
          </w:tcPr>
          <w:p w14:paraId="65AB5BB9">
            <w:pPr>
              <w:ind w:firstLine="0" w:firstLineChars="0"/>
              <w:rPr>
                <w:rFonts w:ascii="宋体" w:hAnsi="宋体"/>
                <w:szCs w:val="21"/>
              </w:rPr>
            </w:pPr>
            <w:r>
              <w:rPr>
                <w:rFonts w:hint="eastAsia" w:ascii="宋体" w:hAnsi="宋体"/>
                <w:szCs w:val="21"/>
              </w:rPr>
              <w:t>电话</w:t>
            </w:r>
          </w:p>
        </w:tc>
        <w:tc>
          <w:tcPr>
            <w:tcW w:w="1980" w:type="dxa"/>
            <w:vAlign w:val="center"/>
          </w:tcPr>
          <w:p w14:paraId="66084261">
            <w:pPr>
              <w:ind w:firstLine="420"/>
              <w:jc w:val="center"/>
              <w:rPr>
                <w:rFonts w:ascii="宋体" w:hAnsi="宋体"/>
                <w:szCs w:val="21"/>
              </w:rPr>
            </w:pPr>
          </w:p>
        </w:tc>
      </w:tr>
      <w:tr w14:paraId="4131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vAlign w:val="center"/>
          </w:tcPr>
          <w:p w14:paraId="1217FFEF">
            <w:pPr>
              <w:ind w:firstLine="0" w:firstLineChars="0"/>
              <w:jc w:val="center"/>
              <w:rPr>
                <w:rFonts w:ascii="宋体" w:hAnsi="宋体"/>
                <w:szCs w:val="21"/>
              </w:rPr>
            </w:pPr>
            <w:r>
              <w:rPr>
                <w:rFonts w:hint="eastAsia" w:ascii="宋体" w:hAnsi="宋体"/>
                <w:szCs w:val="21"/>
              </w:rPr>
              <w:t>项目负责人</w:t>
            </w:r>
          </w:p>
        </w:tc>
        <w:tc>
          <w:tcPr>
            <w:tcW w:w="884" w:type="dxa"/>
            <w:vAlign w:val="center"/>
          </w:tcPr>
          <w:p w14:paraId="6723277C">
            <w:pPr>
              <w:ind w:firstLine="0" w:firstLineChars="0"/>
              <w:rPr>
                <w:rFonts w:ascii="宋体" w:hAnsi="宋体"/>
                <w:szCs w:val="21"/>
              </w:rPr>
            </w:pPr>
            <w:r>
              <w:rPr>
                <w:rFonts w:hint="eastAsia" w:ascii="宋体" w:hAnsi="宋体"/>
                <w:szCs w:val="21"/>
              </w:rPr>
              <w:t>姓名</w:t>
            </w:r>
          </w:p>
        </w:tc>
        <w:tc>
          <w:tcPr>
            <w:tcW w:w="1007" w:type="dxa"/>
            <w:vAlign w:val="center"/>
          </w:tcPr>
          <w:p w14:paraId="144F3586">
            <w:pPr>
              <w:ind w:firstLine="420"/>
              <w:jc w:val="center"/>
              <w:rPr>
                <w:rFonts w:ascii="宋体" w:hAnsi="宋体"/>
                <w:szCs w:val="21"/>
              </w:rPr>
            </w:pPr>
          </w:p>
        </w:tc>
        <w:tc>
          <w:tcPr>
            <w:tcW w:w="1260" w:type="dxa"/>
            <w:vAlign w:val="center"/>
          </w:tcPr>
          <w:p w14:paraId="74FA08A1">
            <w:pPr>
              <w:ind w:firstLine="0" w:firstLineChars="0"/>
              <w:rPr>
                <w:rFonts w:ascii="宋体" w:hAnsi="宋体"/>
                <w:szCs w:val="21"/>
              </w:rPr>
            </w:pPr>
            <w:r>
              <w:rPr>
                <w:rFonts w:hint="eastAsia" w:ascii="宋体" w:hAnsi="宋体"/>
                <w:szCs w:val="21"/>
              </w:rPr>
              <w:t>技术职称</w:t>
            </w:r>
          </w:p>
        </w:tc>
        <w:tc>
          <w:tcPr>
            <w:tcW w:w="1680" w:type="dxa"/>
            <w:gridSpan w:val="3"/>
            <w:vAlign w:val="center"/>
          </w:tcPr>
          <w:p w14:paraId="4AE91936">
            <w:pPr>
              <w:ind w:firstLine="420"/>
              <w:jc w:val="center"/>
              <w:rPr>
                <w:rFonts w:ascii="宋体" w:hAnsi="宋体"/>
                <w:szCs w:val="21"/>
              </w:rPr>
            </w:pPr>
          </w:p>
        </w:tc>
        <w:tc>
          <w:tcPr>
            <w:tcW w:w="892" w:type="dxa"/>
            <w:vAlign w:val="center"/>
          </w:tcPr>
          <w:p w14:paraId="1EDA10FE">
            <w:pPr>
              <w:ind w:firstLine="0" w:firstLineChars="0"/>
              <w:rPr>
                <w:rFonts w:ascii="宋体" w:hAnsi="宋体"/>
                <w:szCs w:val="21"/>
              </w:rPr>
            </w:pPr>
            <w:r>
              <w:rPr>
                <w:rFonts w:hint="eastAsia" w:ascii="宋体" w:hAnsi="宋体"/>
                <w:szCs w:val="21"/>
              </w:rPr>
              <w:t>电话</w:t>
            </w:r>
          </w:p>
        </w:tc>
        <w:tc>
          <w:tcPr>
            <w:tcW w:w="1980" w:type="dxa"/>
            <w:vAlign w:val="center"/>
          </w:tcPr>
          <w:p w14:paraId="12A43E4A">
            <w:pPr>
              <w:ind w:firstLine="420"/>
              <w:jc w:val="center"/>
              <w:rPr>
                <w:rFonts w:ascii="宋体" w:hAnsi="宋体"/>
                <w:szCs w:val="21"/>
              </w:rPr>
            </w:pPr>
          </w:p>
        </w:tc>
      </w:tr>
      <w:tr w14:paraId="0E73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vAlign w:val="center"/>
          </w:tcPr>
          <w:p w14:paraId="23DD53FD">
            <w:pPr>
              <w:ind w:firstLine="0" w:firstLineChars="0"/>
              <w:jc w:val="center"/>
              <w:rPr>
                <w:rFonts w:ascii="宋体" w:hAnsi="宋体"/>
                <w:szCs w:val="21"/>
              </w:rPr>
            </w:pPr>
            <w:r>
              <w:rPr>
                <w:rFonts w:hint="eastAsia" w:ascii="宋体" w:hAnsi="宋体"/>
                <w:szCs w:val="21"/>
              </w:rPr>
              <w:t>成立时间</w:t>
            </w:r>
          </w:p>
        </w:tc>
        <w:tc>
          <w:tcPr>
            <w:tcW w:w="1891" w:type="dxa"/>
            <w:gridSpan w:val="2"/>
            <w:vAlign w:val="center"/>
          </w:tcPr>
          <w:p w14:paraId="423015A0">
            <w:pPr>
              <w:ind w:firstLine="420"/>
              <w:jc w:val="center"/>
              <w:rPr>
                <w:rFonts w:ascii="宋体" w:hAnsi="宋体"/>
                <w:szCs w:val="21"/>
              </w:rPr>
            </w:pPr>
          </w:p>
        </w:tc>
        <w:tc>
          <w:tcPr>
            <w:tcW w:w="5812" w:type="dxa"/>
            <w:gridSpan w:val="6"/>
            <w:vAlign w:val="center"/>
          </w:tcPr>
          <w:p w14:paraId="2323FDE7">
            <w:pPr>
              <w:ind w:firstLine="420"/>
              <w:rPr>
                <w:rFonts w:ascii="宋体" w:hAnsi="宋体"/>
                <w:szCs w:val="21"/>
              </w:rPr>
            </w:pPr>
            <w:r>
              <w:rPr>
                <w:rFonts w:hint="eastAsia" w:ascii="宋体" w:hAnsi="宋体"/>
                <w:szCs w:val="21"/>
              </w:rPr>
              <w:t>员工总人数：</w:t>
            </w:r>
          </w:p>
        </w:tc>
      </w:tr>
      <w:tr w14:paraId="07BF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jc w:val="center"/>
        </w:trPr>
        <w:tc>
          <w:tcPr>
            <w:tcW w:w="1466" w:type="dxa"/>
            <w:vAlign w:val="center"/>
          </w:tcPr>
          <w:p w14:paraId="135A0FB7">
            <w:pPr>
              <w:ind w:firstLine="0" w:firstLineChars="0"/>
              <w:jc w:val="center"/>
              <w:rPr>
                <w:rFonts w:ascii="宋体" w:hAnsi="宋体"/>
                <w:szCs w:val="21"/>
              </w:rPr>
            </w:pPr>
            <w:r>
              <w:rPr>
                <w:rFonts w:hint="eastAsia" w:ascii="宋体" w:hAnsi="宋体"/>
                <w:szCs w:val="21"/>
              </w:rPr>
              <w:t>经营范围</w:t>
            </w:r>
          </w:p>
        </w:tc>
        <w:tc>
          <w:tcPr>
            <w:tcW w:w="7703" w:type="dxa"/>
            <w:gridSpan w:val="8"/>
            <w:vAlign w:val="center"/>
          </w:tcPr>
          <w:p w14:paraId="3A05C8AB">
            <w:pPr>
              <w:ind w:firstLine="420"/>
              <w:jc w:val="center"/>
              <w:rPr>
                <w:rFonts w:ascii="宋体" w:hAnsi="宋体"/>
                <w:szCs w:val="21"/>
              </w:rPr>
            </w:pPr>
          </w:p>
        </w:tc>
      </w:tr>
      <w:tr w14:paraId="5A0A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466" w:type="dxa"/>
            <w:vAlign w:val="center"/>
          </w:tcPr>
          <w:p w14:paraId="1DFFB01D">
            <w:pPr>
              <w:ind w:firstLine="420"/>
              <w:rPr>
                <w:rFonts w:ascii="宋体" w:hAnsi="宋体"/>
                <w:szCs w:val="21"/>
              </w:rPr>
            </w:pPr>
            <w:r>
              <w:rPr>
                <w:rFonts w:hint="eastAsia" w:ascii="宋体" w:hAnsi="宋体"/>
                <w:szCs w:val="21"/>
              </w:rPr>
              <w:t>备注</w:t>
            </w:r>
          </w:p>
        </w:tc>
        <w:tc>
          <w:tcPr>
            <w:tcW w:w="7703" w:type="dxa"/>
            <w:gridSpan w:val="8"/>
            <w:vAlign w:val="center"/>
          </w:tcPr>
          <w:p w14:paraId="46ACEECE">
            <w:pPr>
              <w:ind w:firstLine="420"/>
              <w:jc w:val="center"/>
              <w:rPr>
                <w:rFonts w:ascii="宋体" w:hAnsi="宋体"/>
                <w:szCs w:val="21"/>
              </w:rPr>
            </w:pPr>
          </w:p>
        </w:tc>
      </w:tr>
    </w:tbl>
    <w:p w14:paraId="321B00BD">
      <w:pPr>
        <w:pStyle w:val="3"/>
        <w:spacing w:line="360" w:lineRule="auto"/>
        <w:ind w:firstLine="480"/>
        <w:rPr>
          <w:rFonts w:ascii="宋体" w:hAnsi="宋体" w:eastAsia="宋体" w:cs="Times New Roman"/>
          <w:szCs w:val="21"/>
        </w:rPr>
      </w:pPr>
      <w:r>
        <w:rPr>
          <w:rFonts w:hint="eastAsia" w:ascii="宋体" w:hAnsi="宋体"/>
          <w:szCs w:val="21"/>
        </w:rPr>
        <w:t>注</w:t>
      </w:r>
      <w:r>
        <w:rPr>
          <w:rFonts w:hint="eastAsia" w:ascii="宋体" w:hAnsi="宋体" w:eastAsia="宋体" w:cs="Times New Roman"/>
          <w:szCs w:val="21"/>
        </w:rPr>
        <w:t>：1.根据供应商须知第3.5项的要求在本表后附</w:t>
      </w:r>
      <w:r>
        <w:rPr>
          <w:rFonts w:hint="eastAsia" w:ascii="宋体" w:hAnsi="宋体" w:eastAsia="宋体" w:cs="Times New Roman"/>
          <w:b/>
          <w:bCs/>
          <w:szCs w:val="21"/>
        </w:rPr>
        <w:t>供应商信用承诺函</w:t>
      </w:r>
      <w:r>
        <w:rPr>
          <w:rFonts w:hint="eastAsia" w:ascii="宋体" w:hAnsi="宋体" w:eastAsia="宋体" w:cs="Times New Roman"/>
          <w:szCs w:val="21"/>
        </w:rPr>
        <w:t>。</w:t>
      </w:r>
    </w:p>
    <w:p w14:paraId="5A82414F">
      <w:pPr>
        <w:pStyle w:val="3"/>
        <w:spacing w:line="360" w:lineRule="auto"/>
        <w:ind w:firstLine="480"/>
        <w:rPr>
          <w:rFonts w:ascii="宋体" w:hAnsi="宋体" w:eastAsia="宋体" w:cs="Times New Roman"/>
          <w:b/>
          <w:bCs/>
          <w:szCs w:val="21"/>
        </w:rPr>
      </w:pPr>
      <w:bookmarkStart w:id="148" w:name="_Toc456185720"/>
      <w:r>
        <w:rPr>
          <w:rFonts w:hint="eastAsia" w:ascii="宋体" w:hAnsi="宋体" w:eastAsia="宋体" w:cs="Times New Roman"/>
          <w:szCs w:val="21"/>
        </w:rPr>
        <w:t xml:space="preserve"> </w:t>
      </w:r>
      <w:r>
        <w:rPr>
          <w:rFonts w:hint="eastAsia" w:ascii="宋体" w:hAnsi="宋体" w:eastAsia="宋体" w:cs="Times New Roman"/>
          <w:b/>
          <w:bCs/>
          <w:szCs w:val="21"/>
        </w:rPr>
        <w:t xml:space="preserve">   2.本项目的特定资格要求（如有）：需提供相应的证明材料。</w:t>
      </w:r>
    </w:p>
    <w:p w14:paraId="70A76899">
      <w:pPr>
        <w:ind w:firstLine="422"/>
        <w:jc w:val="center"/>
        <w:outlineLvl w:val="1"/>
        <w:rPr>
          <w:rFonts w:ascii="宋体" w:hAnsi="宋体" w:eastAsia="宋体" w:cs="宋体"/>
          <w:b/>
          <w:sz w:val="28"/>
          <w:szCs w:val="28"/>
        </w:rPr>
      </w:pPr>
      <w:r>
        <w:rPr>
          <w:rFonts w:hint="eastAsia" w:ascii="宋体" w:hAnsi="宋体" w:eastAsia="宋体" w:cs="Times New Roman"/>
          <w:b/>
          <w:bCs/>
          <w:szCs w:val="21"/>
        </w:rPr>
        <w:br w:type="page"/>
      </w:r>
      <w:bookmarkEnd w:id="148"/>
      <w:r>
        <w:rPr>
          <w:rFonts w:hint="eastAsia" w:ascii="宋体" w:hAnsi="宋体" w:eastAsia="宋体" w:cs="宋体"/>
          <w:b/>
          <w:sz w:val="28"/>
          <w:szCs w:val="28"/>
        </w:rPr>
        <w:t>九、中小企业声明函（货物）</w:t>
      </w:r>
    </w:p>
    <w:p w14:paraId="28378C34">
      <w:pPr>
        <w:pStyle w:val="2"/>
        <w:ind w:firstLine="0" w:firstLineChars="0"/>
        <w:rPr>
          <w:rFonts w:ascii="宋体" w:hAnsi="宋体" w:eastAsia="宋体" w:cs="宋体"/>
          <w:szCs w:val="21"/>
        </w:rPr>
      </w:pPr>
    </w:p>
    <w:p w14:paraId="521093C2">
      <w:pPr>
        <w:pStyle w:val="70"/>
        <w:spacing w:line="360" w:lineRule="auto"/>
        <w:ind w:firstLine="420" w:firstLineChars="200"/>
        <w:rPr>
          <w:rFonts w:ascii="宋体" w:hAnsi="宋体" w:cs="宋体"/>
          <w:szCs w:val="21"/>
        </w:rPr>
      </w:pPr>
      <w:r>
        <w:rPr>
          <w:rFonts w:hint="eastAsia" w:ascii="宋体" w:hAnsi="宋体" w:cs="宋体"/>
          <w:szCs w:val="21"/>
        </w:rPr>
        <w:t>本公司（联合体）郑重声明，根据《政府采购促进中小企业发展管理办法》（财库[2020]46号）的规定，本公司（联合体）参加（单位名称）的（项目名称）采购活动，</w:t>
      </w:r>
      <w:r>
        <w:rPr>
          <w:rFonts w:hint="eastAsia" w:ascii="宋体" w:hAnsi="宋体" w:cs="宋体"/>
          <w:b/>
          <w:bCs/>
          <w:szCs w:val="21"/>
        </w:rPr>
        <w:t>提供的货物全部由符合政策要求的中小企业制造。</w:t>
      </w:r>
      <w:r>
        <w:rPr>
          <w:rFonts w:hint="eastAsia" w:ascii="宋体" w:hAnsi="宋体" w:cs="宋体"/>
          <w:szCs w:val="21"/>
        </w:rPr>
        <w:t>相关企业（含联合体中的中小企业、签订分包意向协议的中小企业）的具体情况如下：</w:t>
      </w:r>
    </w:p>
    <w:p w14:paraId="48DF7377">
      <w:pPr>
        <w:pStyle w:val="70"/>
        <w:numPr>
          <w:ilvl w:val="0"/>
          <w:numId w:val="8"/>
        </w:numPr>
        <w:spacing w:line="360" w:lineRule="auto"/>
        <w:ind w:firstLine="420" w:firstLineChars="200"/>
        <w:rPr>
          <w:rFonts w:ascii="宋体" w:hAnsi="宋体" w:cs="宋体"/>
          <w:szCs w:val="21"/>
        </w:rPr>
      </w:pPr>
      <w:r>
        <w:rPr>
          <w:rFonts w:hint="eastAsia" w:ascii="宋体" w:hAnsi="宋体" w:cs="宋体"/>
          <w:szCs w:val="21"/>
        </w:rPr>
        <w:t>（标的名称），属于（采购文件中明确的所属行业）行业；制造商为（企业名称），从业人员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万元，属于（中型企业、小型企业、微型企业）；</w:t>
      </w:r>
    </w:p>
    <w:p w14:paraId="413F682E">
      <w:pPr>
        <w:pStyle w:val="70"/>
        <w:numPr>
          <w:ilvl w:val="0"/>
          <w:numId w:val="8"/>
        </w:numPr>
        <w:spacing w:line="360" w:lineRule="auto"/>
        <w:ind w:firstLine="420" w:firstLineChars="200"/>
        <w:rPr>
          <w:rFonts w:ascii="宋体" w:hAnsi="宋体" w:cs="宋体"/>
          <w:szCs w:val="21"/>
        </w:rPr>
      </w:pPr>
      <w:r>
        <w:rPr>
          <w:rFonts w:hint="eastAsia" w:ascii="宋体" w:hAnsi="宋体" w:cs="宋体"/>
          <w:szCs w:val="21"/>
        </w:rPr>
        <w:t>（标的名称），属于（采购文件中明确的所属行业）行业；制造商为（企业名称），从业人员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万元，属于（中型企业、小型企业、微型企业）；</w:t>
      </w:r>
    </w:p>
    <w:p w14:paraId="7D51AE73">
      <w:pPr>
        <w:pStyle w:val="70"/>
        <w:spacing w:line="360" w:lineRule="auto"/>
        <w:ind w:left="420" w:leftChars="200"/>
        <w:rPr>
          <w:rFonts w:ascii="宋体" w:hAnsi="宋体" w:cs="宋体"/>
          <w:szCs w:val="21"/>
        </w:rPr>
      </w:pPr>
      <w:r>
        <w:rPr>
          <w:rFonts w:hint="eastAsia" w:ascii="宋体" w:hAnsi="宋体" w:cs="宋体"/>
          <w:szCs w:val="21"/>
        </w:rPr>
        <w:t>……</w:t>
      </w:r>
    </w:p>
    <w:p w14:paraId="5B5A3540">
      <w:pPr>
        <w:pStyle w:val="70"/>
        <w:spacing w:line="360" w:lineRule="auto"/>
        <w:ind w:firstLine="420" w:firstLineChars="200"/>
        <w:rPr>
          <w:rFonts w:ascii="宋体" w:hAnsi="宋体" w:cs="宋体"/>
          <w:szCs w:val="21"/>
        </w:rPr>
      </w:pPr>
    </w:p>
    <w:p w14:paraId="0D7982E9">
      <w:pPr>
        <w:spacing w:line="360" w:lineRule="auto"/>
        <w:ind w:firstLine="420"/>
        <w:rPr>
          <w:rFonts w:ascii="宋体" w:hAnsi="宋体" w:eastAsia="宋体" w:cs="宋体"/>
          <w:szCs w:val="21"/>
        </w:rPr>
      </w:pPr>
      <w:r>
        <w:rPr>
          <w:rFonts w:hint="eastAsia" w:ascii="宋体" w:hAnsi="宋体" w:eastAsia="宋体" w:cs="宋体"/>
          <w:szCs w:val="21"/>
        </w:rPr>
        <w:t>　以上企业，不属于大企业的分支机构，不存在控股股东为大型企业的情形，也不存在与大型企业的负责人为同一人的情形。</w:t>
      </w:r>
    </w:p>
    <w:p w14:paraId="44342400">
      <w:pPr>
        <w:pStyle w:val="3"/>
        <w:spacing w:line="360" w:lineRule="auto"/>
        <w:ind w:firstLine="480"/>
        <w:rPr>
          <w:rFonts w:ascii="宋体" w:hAnsi="宋体" w:eastAsia="宋体" w:cs="宋体"/>
          <w:szCs w:val="21"/>
        </w:rPr>
      </w:pPr>
      <w:r>
        <w:rPr>
          <w:rFonts w:hint="eastAsia" w:ascii="宋体" w:hAnsi="宋体" w:eastAsia="宋体" w:cs="宋体"/>
          <w:szCs w:val="21"/>
        </w:rPr>
        <w:t xml:space="preserve">  本企业对上述声明内容的真实性负责。如有虚假，将依法承担相应责任。</w:t>
      </w:r>
    </w:p>
    <w:p w14:paraId="5E78C248">
      <w:pPr>
        <w:pStyle w:val="47"/>
        <w:spacing w:line="360" w:lineRule="auto"/>
        <w:ind w:firstLine="2940" w:firstLineChars="1400"/>
        <w:jc w:val="center"/>
        <w:rPr>
          <w:rFonts w:hAnsi="宋体"/>
          <w:color w:val="auto"/>
          <w:kern w:val="2"/>
          <w:sz w:val="21"/>
          <w:szCs w:val="21"/>
        </w:rPr>
      </w:pPr>
      <w:r>
        <w:rPr>
          <w:rFonts w:hint="eastAsia" w:hAnsi="宋体"/>
          <w:color w:val="auto"/>
          <w:kern w:val="2"/>
          <w:sz w:val="21"/>
          <w:szCs w:val="21"/>
        </w:rPr>
        <w:t xml:space="preserve">               单位名称：</w:t>
      </w:r>
      <w:r>
        <w:rPr>
          <w:rFonts w:hint="eastAsia" w:hAnsi="宋体"/>
          <w:color w:val="auto"/>
          <w:kern w:val="2"/>
          <w:sz w:val="21"/>
          <w:szCs w:val="21"/>
          <w:u w:val="single"/>
        </w:rPr>
        <w:t xml:space="preserve">           </w:t>
      </w:r>
      <w:r>
        <w:rPr>
          <w:rFonts w:hint="eastAsia" w:hAnsi="宋体"/>
          <w:color w:val="auto"/>
          <w:kern w:val="2"/>
          <w:sz w:val="21"/>
          <w:szCs w:val="21"/>
        </w:rPr>
        <w:t>（单位电子签章）</w:t>
      </w:r>
    </w:p>
    <w:p w14:paraId="4F1A27D6">
      <w:pPr>
        <w:pStyle w:val="47"/>
        <w:spacing w:line="360" w:lineRule="auto"/>
        <w:ind w:firstLine="2940" w:firstLineChars="1400"/>
        <w:jc w:val="center"/>
        <w:rPr>
          <w:rFonts w:hAnsi="宋体"/>
          <w:color w:val="auto"/>
          <w:kern w:val="2"/>
          <w:sz w:val="21"/>
          <w:szCs w:val="21"/>
          <w:u w:val="single"/>
        </w:rPr>
      </w:pPr>
      <w:r>
        <w:rPr>
          <w:rFonts w:hint="eastAsia" w:hAnsi="宋体"/>
          <w:color w:val="auto"/>
          <w:kern w:val="2"/>
          <w:sz w:val="21"/>
          <w:szCs w:val="21"/>
        </w:rPr>
        <w:t xml:space="preserve">          日    期：</w:t>
      </w: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w:t>
      </w:r>
    </w:p>
    <w:p w14:paraId="555D1BF6">
      <w:pPr>
        <w:ind w:firstLine="420"/>
        <w:rPr>
          <w:rFonts w:ascii="宋体" w:hAnsi="宋体" w:eastAsia="宋体" w:cs="宋体"/>
          <w:szCs w:val="21"/>
          <w:u w:val="single"/>
        </w:rPr>
      </w:pPr>
    </w:p>
    <w:p w14:paraId="44651931">
      <w:pPr>
        <w:pStyle w:val="47"/>
        <w:rPr>
          <w:rFonts w:hAnsi="宋体"/>
          <w:color w:val="auto"/>
          <w:kern w:val="2"/>
          <w:sz w:val="21"/>
          <w:szCs w:val="21"/>
        </w:rPr>
      </w:pPr>
      <w:r>
        <w:rPr>
          <w:rFonts w:hint="eastAsia" w:hAnsi="宋体"/>
          <w:color w:val="auto"/>
          <w:kern w:val="2"/>
          <w:sz w:val="21"/>
          <w:szCs w:val="21"/>
        </w:rPr>
        <w:t>1、从业人员、营业收入、资产总额填报上一年度数据，无上一年度数据的新成立企业可不填报。</w:t>
      </w:r>
    </w:p>
    <w:p w14:paraId="2BAA3AC2">
      <w:pPr>
        <w:pStyle w:val="10"/>
        <w:spacing w:line="360" w:lineRule="auto"/>
        <w:ind w:firstLine="0" w:firstLineChars="0"/>
        <w:rPr>
          <w:rFonts w:ascii="宋体" w:hAnsi="宋体" w:eastAsia="宋体" w:cs="宋体"/>
          <w:b/>
          <w:bCs/>
          <w:szCs w:val="21"/>
        </w:rPr>
      </w:pPr>
      <w:r>
        <w:rPr>
          <w:rFonts w:hint="eastAsia" w:ascii="宋体" w:hAnsi="宋体" w:eastAsia="宋体" w:cs="宋体"/>
          <w:b/>
          <w:bCs/>
          <w:szCs w:val="21"/>
        </w:rPr>
        <w:t>2、所投产品制造商属于中小微企业的填写，不属于的无需填写此项内容</w:t>
      </w:r>
    </w:p>
    <w:p w14:paraId="4D8A7C54">
      <w:pPr>
        <w:widowControl/>
        <w:spacing w:line="330" w:lineRule="atLeast"/>
        <w:ind w:firstLine="0" w:firstLineChars="0"/>
        <w:jc w:val="center"/>
        <w:rPr>
          <w:rFonts w:ascii="宋体" w:hAnsi="宋体" w:eastAsia="宋体" w:cs="宋体"/>
          <w:b/>
          <w:bCs/>
          <w:kern w:val="0"/>
          <w:sz w:val="32"/>
          <w:szCs w:val="32"/>
        </w:rPr>
      </w:pPr>
    </w:p>
    <w:p w14:paraId="022BA9F1">
      <w:pPr>
        <w:widowControl/>
        <w:spacing w:line="330" w:lineRule="atLeast"/>
        <w:ind w:firstLine="0" w:firstLineChars="0"/>
        <w:jc w:val="center"/>
        <w:rPr>
          <w:rFonts w:ascii="宋体" w:hAnsi="宋体" w:eastAsia="宋体" w:cs="宋体"/>
          <w:b/>
          <w:bCs/>
          <w:kern w:val="0"/>
          <w:sz w:val="32"/>
          <w:szCs w:val="32"/>
        </w:rPr>
      </w:pPr>
    </w:p>
    <w:p w14:paraId="2FC74C38">
      <w:pPr>
        <w:widowControl/>
        <w:spacing w:line="330" w:lineRule="atLeast"/>
        <w:ind w:firstLine="0" w:firstLineChars="0"/>
        <w:jc w:val="center"/>
        <w:rPr>
          <w:rFonts w:ascii="宋体" w:hAnsi="宋体" w:eastAsia="宋体" w:cs="宋体"/>
          <w:b/>
          <w:bCs/>
          <w:kern w:val="0"/>
          <w:sz w:val="32"/>
          <w:szCs w:val="32"/>
        </w:rPr>
      </w:pPr>
    </w:p>
    <w:p w14:paraId="254FE5FF">
      <w:pPr>
        <w:widowControl/>
        <w:spacing w:line="330" w:lineRule="atLeast"/>
        <w:ind w:firstLine="0" w:firstLineChars="0"/>
        <w:jc w:val="center"/>
        <w:rPr>
          <w:rFonts w:ascii="宋体" w:hAnsi="宋体" w:eastAsia="宋体" w:cs="宋体"/>
          <w:b/>
          <w:bCs/>
          <w:kern w:val="0"/>
          <w:sz w:val="32"/>
          <w:szCs w:val="32"/>
        </w:rPr>
      </w:pPr>
    </w:p>
    <w:p w14:paraId="66C55089">
      <w:pPr>
        <w:widowControl/>
        <w:spacing w:line="330" w:lineRule="atLeast"/>
        <w:ind w:firstLine="0" w:firstLineChars="0"/>
        <w:jc w:val="center"/>
        <w:rPr>
          <w:rFonts w:ascii="宋体" w:hAnsi="宋体" w:eastAsia="宋体" w:cs="宋体"/>
        </w:rPr>
      </w:pPr>
      <w:r>
        <w:rPr>
          <w:rFonts w:hint="eastAsia" w:ascii="宋体" w:hAnsi="宋体" w:eastAsia="宋体" w:cs="宋体"/>
          <w:b/>
          <w:bCs/>
          <w:kern w:val="0"/>
          <w:sz w:val="32"/>
          <w:szCs w:val="32"/>
        </w:rPr>
        <w:t>国家统计局《统计上大中小微型企业划分标准》</w:t>
      </w:r>
    </w:p>
    <w:tbl>
      <w:tblPr>
        <w:tblStyle w:val="27"/>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2031"/>
        <w:gridCol w:w="709"/>
        <w:gridCol w:w="1125"/>
        <w:gridCol w:w="1701"/>
        <w:gridCol w:w="1426"/>
        <w:gridCol w:w="992"/>
      </w:tblGrid>
      <w:tr w14:paraId="7760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51" w:type="dxa"/>
            <w:vAlign w:val="center"/>
          </w:tcPr>
          <w:p w14:paraId="128531A3">
            <w:pPr>
              <w:widowControl/>
              <w:snapToGrid w:val="0"/>
              <w:spacing w:line="360" w:lineRule="auto"/>
              <w:ind w:firstLine="0" w:firstLineChars="0"/>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行业名称</w:t>
            </w:r>
          </w:p>
        </w:tc>
        <w:tc>
          <w:tcPr>
            <w:tcW w:w="2031" w:type="dxa"/>
            <w:vAlign w:val="center"/>
          </w:tcPr>
          <w:p w14:paraId="2BD201EA">
            <w:pPr>
              <w:widowControl/>
              <w:snapToGrid w:val="0"/>
              <w:spacing w:line="360" w:lineRule="auto"/>
              <w:ind w:firstLine="0" w:firstLineChars="0"/>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指标名称</w:t>
            </w:r>
          </w:p>
        </w:tc>
        <w:tc>
          <w:tcPr>
            <w:tcW w:w="709" w:type="dxa"/>
            <w:vAlign w:val="center"/>
          </w:tcPr>
          <w:p w14:paraId="3088E6CA">
            <w:pPr>
              <w:widowControl/>
              <w:snapToGrid w:val="0"/>
              <w:spacing w:line="360" w:lineRule="auto"/>
              <w:ind w:firstLine="0" w:firstLineChars="0"/>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计量</w:t>
            </w:r>
          </w:p>
          <w:p w14:paraId="443BBC51">
            <w:pPr>
              <w:widowControl/>
              <w:snapToGrid w:val="0"/>
              <w:spacing w:line="360" w:lineRule="auto"/>
              <w:ind w:firstLine="0" w:firstLineChars="0"/>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单位</w:t>
            </w:r>
          </w:p>
        </w:tc>
        <w:tc>
          <w:tcPr>
            <w:tcW w:w="1125" w:type="dxa"/>
            <w:vAlign w:val="center"/>
          </w:tcPr>
          <w:p w14:paraId="6A31510A">
            <w:pPr>
              <w:widowControl/>
              <w:snapToGrid w:val="0"/>
              <w:spacing w:line="360" w:lineRule="auto"/>
              <w:ind w:firstLine="0" w:firstLineChars="0"/>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大型</w:t>
            </w:r>
          </w:p>
        </w:tc>
        <w:tc>
          <w:tcPr>
            <w:tcW w:w="1701" w:type="dxa"/>
            <w:vAlign w:val="center"/>
          </w:tcPr>
          <w:p w14:paraId="7F42FA93">
            <w:pPr>
              <w:widowControl/>
              <w:snapToGrid w:val="0"/>
              <w:spacing w:line="360" w:lineRule="auto"/>
              <w:ind w:firstLine="0" w:firstLineChars="0"/>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中型</w:t>
            </w:r>
          </w:p>
        </w:tc>
        <w:tc>
          <w:tcPr>
            <w:tcW w:w="1426" w:type="dxa"/>
            <w:vAlign w:val="center"/>
          </w:tcPr>
          <w:p w14:paraId="23A42B7A">
            <w:pPr>
              <w:widowControl/>
              <w:snapToGrid w:val="0"/>
              <w:spacing w:line="360" w:lineRule="auto"/>
              <w:ind w:firstLine="0" w:firstLineChars="0"/>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小型</w:t>
            </w:r>
          </w:p>
        </w:tc>
        <w:tc>
          <w:tcPr>
            <w:tcW w:w="992" w:type="dxa"/>
            <w:vAlign w:val="center"/>
          </w:tcPr>
          <w:p w14:paraId="5E42743D">
            <w:pPr>
              <w:widowControl/>
              <w:snapToGrid w:val="0"/>
              <w:spacing w:line="360" w:lineRule="auto"/>
              <w:ind w:firstLine="0" w:firstLineChars="0"/>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微型</w:t>
            </w:r>
          </w:p>
        </w:tc>
      </w:tr>
      <w:tr w14:paraId="75D9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451" w:type="dxa"/>
            <w:vAlign w:val="center"/>
          </w:tcPr>
          <w:p w14:paraId="4626EDE9">
            <w:pPr>
              <w:widowControl/>
              <w:spacing w:line="240" w:lineRule="exact"/>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农、林、牧、渔业</w:t>
            </w:r>
          </w:p>
        </w:tc>
        <w:tc>
          <w:tcPr>
            <w:tcW w:w="2031" w:type="dxa"/>
            <w:vAlign w:val="center"/>
          </w:tcPr>
          <w:p w14:paraId="254F86BB">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营业收入(Y)</w:t>
            </w:r>
          </w:p>
        </w:tc>
        <w:tc>
          <w:tcPr>
            <w:tcW w:w="709" w:type="dxa"/>
            <w:vAlign w:val="center"/>
          </w:tcPr>
          <w:p w14:paraId="6DF9E273">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万元</w:t>
            </w:r>
          </w:p>
        </w:tc>
        <w:tc>
          <w:tcPr>
            <w:tcW w:w="1125" w:type="dxa"/>
            <w:vAlign w:val="center"/>
          </w:tcPr>
          <w:p w14:paraId="33388806">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Y≥20000</w:t>
            </w:r>
          </w:p>
        </w:tc>
        <w:tc>
          <w:tcPr>
            <w:tcW w:w="1701" w:type="dxa"/>
            <w:vAlign w:val="center"/>
          </w:tcPr>
          <w:p w14:paraId="3D9408E0">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500≤Y＜20000</w:t>
            </w:r>
          </w:p>
        </w:tc>
        <w:tc>
          <w:tcPr>
            <w:tcW w:w="1426" w:type="dxa"/>
            <w:vAlign w:val="center"/>
          </w:tcPr>
          <w:p w14:paraId="47BC5D51">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50≤Y＜500</w:t>
            </w:r>
          </w:p>
        </w:tc>
        <w:tc>
          <w:tcPr>
            <w:tcW w:w="992" w:type="dxa"/>
            <w:vAlign w:val="center"/>
          </w:tcPr>
          <w:p w14:paraId="0C097ABB">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Y＜50</w:t>
            </w:r>
          </w:p>
        </w:tc>
      </w:tr>
      <w:tr w14:paraId="35C7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restart"/>
            <w:vAlign w:val="center"/>
          </w:tcPr>
          <w:p w14:paraId="5BFC2923">
            <w:pPr>
              <w:widowControl/>
              <w:spacing w:line="240" w:lineRule="exact"/>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工业 </w:t>
            </w:r>
          </w:p>
        </w:tc>
        <w:tc>
          <w:tcPr>
            <w:tcW w:w="2031" w:type="dxa"/>
            <w:vAlign w:val="center"/>
          </w:tcPr>
          <w:p w14:paraId="1A066282">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从业人员(X)</w:t>
            </w:r>
          </w:p>
        </w:tc>
        <w:tc>
          <w:tcPr>
            <w:tcW w:w="709" w:type="dxa"/>
            <w:vAlign w:val="center"/>
          </w:tcPr>
          <w:p w14:paraId="734FCE91">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人</w:t>
            </w:r>
          </w:p>
        </w:tc>
        <w:tc>
          <w:tcPr>
            <w:tcW w:w="1125" w:type="dxa"/>
            <w:vAlign w:val="center"/>
          </w:tcPr>
          <w:p w14:paraId="0AD708BD">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X≥1000</w:t>
            </w:r>
          </w:p>
        </w:tc>
        <w:tc>
          <w:tcPr>
            <w:tcW w:w="1701" w:type="dxa"/>
            <w:vAlign w:val="center"/>
          </w:tcPr>
          <w:p w14:paraId="272E52FA">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300≤X＜1000</w:t>
            </w:r>
          </w:p>
        </w:tc>
        <w:tc>
          <w:tcPr>
            <w:tcW w:w="1426" w:type="dxa"/>
            <w:vAlign w:val="center"/>
          </w:tcPr>
          <w:p w14:paraId="72B88AA3">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20≤X＜300</w:t>
            </w:r>
          </w:p>
        </w:tc>
        <w:tc>
          <w:tcPr>
            <w:tcW w:w="992" w:type="dxa"/>
            <w:vAlign w:val="center"/>
          </w:tcPr>
          <w:p w14:paraId="11C3F785">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X＜20</w:t>
            </w:r>
          </w:p>
        </w:tc>
      </w:tr>
      <w:tr w14:paraId="28F0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continue"/>
            <w:vAlign w:val="center"/>
          </w:tcPr>
          <w:p w14:paraId="056DB451">
            <w:pPr>
              <w:widowControl/>
              <w:ind w:firstLine="360"/>
              <w:jc w:val="center"/>
              <w:rPr>
                <w:rFonts w:asciiTheme="minorEastAsia" w:hAnsiTheme="minorEastAsia" w:cstheme="minorEastAsia"/>
                <w:kern w:val="0"/>
                <w:sz w:val="18"/>
                <w:szCs w:val="18"/>
              </w:rPr>
            </w:pPr>
          </w:p>
        </w:tc>
        <w:tc>
          <w:tcPr>
            <w:tcW w:w="2031" w:type="dxa"/>
            <w:vAlign w:val="center"/>
          </w:tcPr>
          <w:p w14:paraId="4E6F54ED">
            <w:pPr>
              <w:widowControl/>
              <w:spacing w:line="240" w:lineRule="exact"/>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营业收入(Y)</w:t>
            </w:r>
          </w:p>
        </w:tc>
        <w:tc>
          <w:tcPr>
            <w:tcW w:w="709" w:type="dxa"/>
            <w:vAlign w:val="center"/>
          </w:tcPr>
          <w:p w14:paraId="43EFCA04">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万元</w:t>
            </w:r>
          </w:p>
        </w:tc>
        <w:tc>
          <w:tcPr>
            <w:tcW w:w="1125" w:type="dxa"/>
            <w:vAlign w:val="center"/>
          </w:tcPr>
          <w:p w14:paraId="6316172C">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Y≥40000</w:t>
            </w:r>
          </w:p>
        </w:tc>
        <w:tc>
          <w:tcPr>
            <w:tcW w:w="1701" w:type="dxa"/>
            <w:vAlign w:val="center"/>
          </w:tcPr>
          <w:p w14:paraId="531CDC25">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2000≤Y＜40000</w:t>
            </w:r>
          </w:p>
        </w:tc>
        <w:tc>
          <w:tcPr>
            <w:tcW w:w="1426" w:type="dxa"/>
            <w:vAlign w:val="center"/>
          </w:tcPr>
          <w:p w14:paraId="73DB9F16">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300≤Y＜2000</w:t>
            </w:r>
          </w:p>
        </w:tc>
        <w:tc>
          <w:tcPr>
            <w:tcW w:w="992" w:type="dxa"/>
            <w:vAlign w:val="center"/>
          </w:tcPr>
          <w:p w14:paraId="0AE6CE6B">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Y＜300</w:t>
            </w:r>
          </w:p>
        </w:tc>
      </w:tr>
      <w:tr w14:paraId="2DBF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451" w:type="dxa"/>
            <w:vMerge w:val="restart"/>
            <w:vAlign w:val="center"/>
          </w:tcPr>
          <w:p w14:paraId="601EE17D">
            <w:pPr>
              <w:widowControl/>
              <w:spacing w:line="240" w:lineRule="exact"/>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建筑业</w:t>
            </w:r>
          </w:p>
        </w:tc>
        <w:tc>
          <w:tcPr>
            <w:tcW w:w="2031" w:type="dxa"/>
            <w:vAlign w:val="center"/>
          </w:tcPr>
          <w:p w14:paraId="0366C045">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营业收入(Y)</w:t>
            </w:r>
          </w:p>
        </w:tc>
        <w:tc>
          <w:tcPr>
            <w:tcW w:w="709" w:type="dxa"/>
            <w:vAlign w:val="center"/>
          </w:tcPr>
          <w:p w14:paraId="267F00CE">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万元</w:t>
            </w:r>
          </w:p>
        </w:tc>
        <w:tc>
          <w:tcPr>
            <w:tcW w:w="1125" w:type="dxa"/>
            <w:vAlign w:val="center"/>
          </w:tcPr>
          <w:p w14:paraId="0028C757">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Y≥80000</w:t>
            </w:r>
          </w:p>
        </w:tc>
        <w:tc>
          <w:tcPr>
            <w:tcW w:w="1701" w:type="dxa"/>
            <w:vAlign w:val="center"/>
          </w:tcPr>
          <w:p w14:paraId="75049422">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6000≤Y＜80000</w:t>
            </w:r>
          </w:p>
        </w:tc>
        <w:tc>
          <w:tcPr>
            <w:tcW w:w="1426" w:type="dxa"/>
            <w:vAlign w:val="center"/>
          </w:tcPr>
          <w:p w14:paraId="6A836509">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300≤Y＜6000</w:t>
            </w:r>
          </w:p>
        </w:tc>
        <w:tc>
          <w:tcPr>
            <w:tcW w:w="992" w:type="dxa"/>
            <w:vAlign w:val="center"/>
          </w:tcPr>
          <w:p w14:paraId="1E27F04B">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Y＜300</w:t>
            </w:r>
          </w:p>
        </w:tc>
      </w:tr>
      <w:tr w14:paraId="53F8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451" w:type="dxa"/>
            <w:vMerge w:val="continue"/>
            <w:vAlign w:val="center"/>
          </w:tcPr>
          <w:p w14:paraId="7033FF9D">
            <w:pPr>
              <w:widowControl/>
              <w:ind w:firstLine="360"/>
              <w:jc w:val="center"/>
              <w:rPr>
                <w:rFonts w:asciiTheme="minorEastAsia" w:hAnsiTheme="minorEastAsia" w:cstheme="minorEastAsia"/>
                <w:kern w:val="0"/>
                <w:sz w:val="18"/>
                <w:szCs w:val="18"/>
              </w:rPr>
            </w:pPr>
          </w:p>
        </w:tc>
        <w:tc>
          <w:tcPr>
            <w:tcW w:w="2031" w:type="dxa"/>
            <w:vAlign w:val="center"/>
          </w:tcPr>
          <w:p w14:paraId="09C75444">
            <w:pPr>
              <w:widowControl/>
              <w:spacing w:line="240" w:lineRule="exact"/>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资产总额(Z)</w:t>
            </w:r>
          </w:p>
        </w:tc>
        <w:tc>
          <w:tcPr>
            <w:tcW w:w="709" w:type="dxa"/>
            <w:vAlign w:val="center"/>
          </w:tcPr>
          <w:p w14:paraId="435AD70D">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万元</w:t>
            </w:r>
          </w:p>
        </w:tc>
        <w:tc>
          <w:tcPr>
            <w:tcW w:w="1125" w:type="dxa"/>
            <w:vAlign w:val="center"/>
          </w:tcPr>
          <w:p w14:paraId="01656241">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Z≥80000</w:t>
            </w:r>
          </w:p>
        </w:tc>
        <w:tc>
          <w:tcPr>
            <w:tcW w:w="1701" w:type="dxa"/>
            <w:vAlign w:val="center"/>
          </w:tcPr>
          <w:p w14:paraId="7A1B567D">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5000≤Z＜80000</w:t>
            </w:r>
          </w:p>
        </w:tc>
        <w:tc>
          <w:tcPr>
            <w:tcW w:w="1426" w:type="dxa"/>
            <w:vAlign w:val="center"/>
          </w:tcPr>
          <w:p w14:paraId="28E211DE">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300≤Z＜5000</w:t>
            </w:r>
          </w:p>
        </w:tc>
        <w:tc>
          <w:tcPr>
            <w:tcW w:w="992" w:type="dxa"/>
            <w:vAlign w:val="center"/>
          </w:tcPr>
          <w:p w14:paraId="42F68131">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Z＜300</w:t>
            </w:r>
          </w:p>
        </w:tc>
      </w:tr>
      <w:tr w14:paraId="6B3E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restart"/>
            <w:vAlign w:val="center"/>
          </w:tcPr>
          <w:p w14:paraId="68F305B3">
            <w:pPr>
              <w:widowControl/>
              <w:spacing w:line="240" w:lineRule="exact"/>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批发业</w:t>
            </w:r>
          </w:p>
        </w:tc>
        <w:tc>
          <w:tcPr>
            <w:tcW w:w="2031" w:type="dxa"/>
            <w:vAlign w:val="center"/>
          </w:tcPr>
          <w:p w14:paraId="5CA77EFF">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从业人员(X)</w:t>
            </w:r>
          </w:p>
        </w:tc>
        <w:tc>
          <w:tcPr>
            <w:tcW w:w="709" w:type="dxa"/>
            <w:vAlign w:val="center"/>
          </w:tcPr>
          <w:p w14:paraId="7F8552AE">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人</w:t>
            </w:r>
          </w:p>
        </w:tc>
        <w:tc>
          <w:tcPr>
            <w:tcW w:w="1125" w:type="dxa"/>
            <w:vAlign w:val="center"/>
          </w:tcPr>
          <w:p w14:paraId="508E61F0">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X≥200</w:t>
            </w:r>
          </w:p>
        </w:tc>
        <w:tc>
          <w:tcPr>
            <w:tcW w:w="1701" w:type="dxa"/>
            <w:vAlign w:val="center"/>
          </w:tcPr>
          <w:p w14:paraId="7ACF405B">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20≤X＜200</w:t>
            </w:r>
          </w:p>
        </w:tc>
        <w:tc>
          <w:tcPr>
            <w:tcW w:w="1426" w:type="dxa"/>
            <w:vAlign w:val="center"/>
          </w:tcPr>
          <w:p w14:paraId="26C78EAC">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5≤X＜20</w:t>
            </w:r>
          </w:p>
        </w:tc>
        <w:tc>
          <w:tcPr>
            <w:tcW w:w="992" w:type="dxa"/>
            <w:vAlign w:val="center"/>
          </w:tcPr>
          <w:p w14:paraId="23A89BA2">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X＜5</w:t>
            </w:r>
          </w:p>
        </w:tc>
      </w:tr>
      <w:tr w14:paraId="2C4B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1451" w:type="dxa"/>
            <w:vMerge w:val="continue"/>
            <w:vAlign w:val="center"/>
          </w:tcPr>
          <w:p w14:paraId="6CF45D4C">
            <w:pPr>
              <w:widowControl/>
              <w:ind w:firstLine="360"/>
              <w:jc w:val="center"/>
              <w:rPr>
                <w:rFonts w:asciiTheme="minorEastAsia" w:hAnsiTheme="minorEastAsia" w:cstheme="minorEastAsia"/>
                <w:kern w:val="0"/>
                <w:sz w:val="18"/>
                <w:szCs w:val="18"/>
              </w:rPr>
            </w:pPr>
          </w:p>
        </w:tc>
        <w:tc>
          <w:tcPr>
            <w:tcW w:w="2031" w:type="dxa"/>
            <w:vAlign w:val="center"/>
          </w:tcPr>
          <w:p w14:paraId="6DCE8A45">
            <w:pPr>
              <w:widowControl/>
              <w:spacing w:line="240" w:lineRule="exact"/>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营业收入(Y)</w:t>
            </w:r>
          </w:p>
        </w:tc>
        <w:tc>
          <w:tcPr>
            <w:tcW w:w="709" w:type="dxa"/>
            <w:vAlign w:val="center"/>
          </w:tcPr>
          <w:p w14:paraId="6B6AD55C">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万元</w:t>
            </w:r>
          </w:p>
        </w:tc>
        <w:tc>
          <w:tcPr>
            <w:tcW w:w="1125" w:type="dxa"/>
            <w:vAlign w:val="center"/>
          </w:tcPr>
          <w:p w14:paraId="1796A635">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Y≥40000</w:t>
            </w:r>
          </w:p>
        </w:tc>
        <w:tc>
          <w:tcPr>
            <w:tcW w:w="1701" w:type="dxa"/>
            <w:vAlign w:val="center"/>
          </w:tcPr>
          <w:p w14:paraId="3BFF35E2">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5000≤Y＜40000</w:t>
            </w:r>
          </w:p>
        </w:tc>
        <w:tc>
          <w:tcPr>
            <w:tcW w:w="1426" w:type="dxa"/>
            <w:vAlign w:val="center"/>
          </w:tcPr>
          <w:p w14:paraId="2A5FDFC3">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1000≤Y＜5000</w:t>
            </w:r>
          </w:p>
        </w:tc>
        <w:tc>
          <w:tcPr>
            <w:tcW w:w="992" w:type="dxa"/>
            <w:vAlign w:val="center"/>
          </w:tcPr>
          <w:p w14:paraId="08A4B9F6">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Y＜1000</w:t>
            </w:r>
          </w:p>
        </w:tc>
      </w:tr>
      <w:tr w14:paraId="7BDE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451" w:type="dxa"/>
            <w:vMerge w:val="restart"/>
            <w:vAlign w:val="center"/>
          </w:tcPr>
          <w:p w14:paraId="25833D45">
            <w:pPr>
              <w:widowControl/>
              <w:spacing w:line="240" w:lineRule="exact"/>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零售业</w:t>
            </w:r>
          </w:p>
        </w:tc>
        <w:tc>
          <w:tcPr>
            <w:tcW w:w="2031" w:type="dxa"/>
            <w:vAlign w:val="center"/>
          </w:tcPr>
          <w:p w14:paraId="6C18F3C5">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从业人员(X)</w:t>
            </w:r>
          </w:p>
        </w:tc>
        <w:tc>
          <w:tcPr>
            <w:tcW w:w="709" w:type="dxa"/>
            <w:vAlign w:val="center"/>
          </w:tcPr>
          <w:p w14:paraId="535817F9">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人</w:t>
            </w:r>
          </w:p>
        </w:tc>
        <w:tc>
          <w:tcPr>
            <w:tcW w:w="1125" w:type="dxa"/>
            <w:vAlign w:val="center"/>
          </w:tcPr>
          <w:p w14:paraId="6FAA8582">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X≥300</w:t>
            </w:r>
          </w:p>
        </w:tc>
        <w:tc>
          <w:tcPr>
            <w:tcW w:w="1701" w:type="dxa"/>
            <w:vAlign w:val="center"/>
          </w:tcPr>
          <w:p w14:paraId="55CCFEEA">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50≤X＜300</w:t>
            </w:r>
          </w:p>
        </w:tc>
        <w:tc>
          <w:tcPr>
            <w:tcW w:w="1426" w:type="dxa"/>
            <w:vAlign w:val="center"/>
          </w:tcPr>
          <w:p w14:paraId="2B74D973">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10≤X＜50</w:t>
            </w:r>
          </w:p>
        </w:tc>
        <w:tc>
          <w:tcPr>
            <w:tcW w:w="992" w:type="dxa"/>
            <w:vAlign w:val="center"/>
          </w:tcPr>
          <w:p w14:paraId="4A9779C9">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X＜10</w:t>
            </w:r>
          </w:p>
        </w:tc>
      </w:tr>
      <w:tr w14:paraId="02D1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451" w:type="dxa"/>
            <w:vMerge w:val="continue"/>
            <w:vAlign w:val="center"/>
          </w:tcPr>
          <w:p w14:paraId="56406B49">
            <w:pPr>
              <w:widowControl/>
              <w:ind w:firstLine="360"/>
              <w:jc w:val="center"/>
              <w:rPr>
                <w:rFonts w:asciiTheme="minorEastAsia" w:hAnsiTheme="minorEastAsia" w:cstheme="minorEastAsia"/>
                <w:kern w:val="0"/>
                <w:sz w:val="18"/>
                <w:szCs w:val="18"/>
              </w:rPr>
            </w:pPr>
          </w:p>
        </w:tc>
        <w:tc>
          <w:tcPr>
            <w:tcW w:w="2031" w:type="dxa"/>
            <w:vAlign w:val="center"/>
          </w:tcPr>
          <w:p w14:paraId="20E08045">
            <w:pPr>
              <w:widowControl/>
              <w:spacing w:line="240" w:lineRule="exact"/>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营业收入(Y)</w:t>
            </w:r>
          </w:p>
        </w:tc>
        <w:tc>
          <w:tcPr>
            <w:tcW w:w="709" w:type="dxa"/>
            <w:vAlign w:val="center"/>
          </w:tcPr>
          <w:p w14:paraId="4404647F">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万元</w:t>
            </w:r>
          </w:p>
        </w:tc>
        <w:tc>
          <w:tcPr>
            <w:tcW w:w="1125" w:type="dxa"/>
            <w:vAlign w:val="center"/>
          </w:tcPr>
          <w:p w14:paraId="538FAB19">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Y≥20000</w:t>
            </w:r>
          </w:p>
        </w:tc>
        <w:tc>
          <w:tcPr>
            <w:tcW w:w="1701" w:type="dxa"/>
            <w:vAlign w:val="center"/>
          </w:tcPr>
          <w:p w14:paraId="73FF6392">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500≤Y＜20000</w:t>
            </w:r>
          </w:p>
        </w:tc>
        <w:tc>
          <w:tcPr>
            <w:tcW w:w="1426" w:type="dxa"/>
            <w:vAlign w:val="center"/>
          </w:tcPr>
          <w:p w14:paraId="79F09DE3">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100≤Y＜500</w:t>
            </w:r>
          </w:p>
        </w:tc>
        <w:tc>
          <w:tcPr>
            <w:tcW w:w="992" w:type="dxa"/>
            <w:vAlign w:val="center"/>
          </w:tcPr>
          <w:p w14:paraId="699CDB96">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Y＜100</w:t>
            </w:r>
          </w:p>
        </w:tc>
      </w:tr>
      <w:tr w14:paraId="04E9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1451" w:type="dxa"/>
            <w:vMerge w:val="restart"/>
            <w:vAlign w:val="center"/>
          </w:tcPr>
          <w:p w14:paraId="14EBE7D3">
            <w:pPr>
              <w:widowControl/>
              <w:spacing w:line="240" w:lineRule="exact"/>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交通运输业 </w:t>
            </w:r>
          </w:p>
        </w:tc>
        <w:tc>
          <w:tcPr>
            <w:tcW w:w="2031" w:type="dxa"/>
            <w:vAlign w:val="center"/>
          </w:tcPr>
          <w:p w14:paraId="353BF99A">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从业人员(X)</w:t>
            </w:r>
          </w:p>
        </w:tc>
        <w:tc>
          <w:tcPr>
            <w:tcW w:w="709" w:type="dxa"/>
            <w:vAlign w:val="center"/>
          </w:tcPr>
          <w:p w14:paraId="19E78F50">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人</w:t>
            </w:r>
          </w:p>
        </w:tc>
        <w:tc>
          <w:tcPr>
            <w:tcW w:w="1125" w:type="dxa"/>
            <w:vAlign w:val="center"/>
          </w:tcPr>
          <w:p w14:paraId="5961BE97">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X≥1000</w:t>
            </w:r>
          </w:p>
        </w:tc>
        <w:tc>
          <w:tcPr>
            <w:tcW w:w="1701" w:type="dxa"/>
            <w:vAlign w:val="center"/>
          </w:tcPr>
          <w:p w14:paraId="267F3232">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300≤X＜1000</w:t>
            </w:r>
          </w:p>
        </w:tc>
        <w:tc>
          <w:tcPr>
            <w:tcW w:w="1426" w:type="dxa"/>
            <w:vAlign w:val="center"/>
          </w:tcPr>
          <w:p w14:paraId="35ABC6C3">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20≤X＜300</w:t>
            </w:r>
          </w:p>
        </w:tc>
        <w:tc>
          <w:tcPr>
            <w:tcW w:w="992" w:type="dxa"/>
            <w:vAlign w:val="center"/>
          </w:tcPr>
          <w:p w14:paraId="21876426">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X＜20</w:t>
            </w:r>
          </w:p>
        </w:tc>
      </w:tr>
      <w:tr w14:paraId="397C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continue"/>
            <w:vAlign w:val="center"/>
          </w:tcPr>
          <w:p w14:paraId="1D26BED3">
            <w:pPr>
              <w:widowControl/>
              <w:ind w:firstLine="360"/>
              <w:jc w:val="center"/>
              <w:rPr>
                <w:rFonts w:asciiTheme="minorEastAsia" w:hAnsiTheme="minorEastAsia" w:cstheme="minorEastAsia"/>
                <w:kern w:val="0"/>
                <w:sz w:val="18"/>
                <w:szCs w:val="18"/>
              </w:rPr>
            </w:pPr>
          </w:p>
        </w:tc>
        <w:tc>
          <w:tcPr>
            <w:tcW w:w="2031" w:type="dxa"/>
            <w:vAlign w:val="center"/>
          </w:tcPr>
          <w:p w14:paraId="2E66AF14">
            <w:pPr>
              <w:widowControl/>
              <w:spacing w:line="240" w:lineRule="exact"/>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营业收入(Y)</w:t>
            </w:r>
          </w:p>
        </w:tc>
        <w:tc>
          <w:tcPr>
            <w:tcW w:w="709" w:type="dxa"/>
            <w:vAlign w:val="center"/>
          </w:tcPr>
          <w:p w14:paraId="522E4313">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万元</w:t>
            </w:r>
          </w:p>
        </w:tc>
        <w:tc>
          <w:tcPr>
            <w:tcW w:w="1125" w:type="dxa"/>
            <w:vAlign w:val="center"/>
          </w:tcPr>
          <w:p w14:paraId="0919DC1D">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Y≥30000</w:t>
            </w:r>
          </w:p>
        </w:tc>
        <w:tc>
          <w:tcPr>
            <w:tcW w:w="1701" w:type="dxa"/>
            <w:vAlign w:val="center"/>
          </w:tcPr>
          <w:p w14:paraId="63E2A9F8">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3000≤Y＜30000</w:t>
            </w:r>
          </w:p>
        </w:tc>
        <w:tc>
          <w:tcPr>
            <w:tcW w:w="1426" w:type="dxa"/>
            <w:vAlign w:val="center"/>
          </w:tcPr>
          <w:p w14:paraId="1C701183">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200≤Y＜3000</w:t>
            </w:r>
          </w:p>
        </w:tc>
        <w:tc>
          <w:tcPr>
            <w:tcW w:w="992" w:type="dxa"/>
            <w:vAlign w:val="center"/>
          </w:tcPr>
          <w:p w14:paraId="7F91C79D">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Y＜200</w:t>
            </w:r>
          </w:p>
        </w:tc>
      </w:tr>
      <w:tr w14:paraId="1CFF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1" w:type="dxa"/>
            <w:vMerge w:val="restart"/>
            <w:vAlign w:val="center"/>
          </w:tcPr>
          <w:p w14:paraId="34EFAA2E">
            <w:pPr>
              <w:widowControl/>
              <w:spacing w:line="240" w:lineRule="exact"/>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仓储业</w:t>
            </w:r>
          </w:p>
        </w:tc>
        <w:tc>
          <w:tcPr>
            <w:tcW w:w="2031" w:type="dxa"/>
            <w:vAlign w:val="center"/>
          </w:tcPr>
          <w:p w14:paraId="2CB12627">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从业人员(X)</w:t>
            </w:r>
          </w:p>
        </w:tc>
        <w:tc>
          <w:tcPr>
            <w:tcW w:w="709" w:type="dxa"/>
            <w:vAlign w:val="center"/>
          </w:tcPr>
          <w:p w14:paraId="776F529E">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人</w:t>
            </w:r>
          </w:p>
        </w:tc>
        <w:tc>
          <w:tcPr>
            <w:tcW w:w="1125" w:type="dxa"/>
            <w:vAlign w:val="center"/>
          </w:tcPr>
          <w:p w14:paraId="4ED4691C">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X≥200</w:t>
            </w:r>
          </w:p>
        </w:tc>
        <w:tc>
          <w:tcPr>
            <w:tcW w:w="1701" w:type="dxa"/>
            <w:vAlign w:val="center"/>
          </w:tcPr>
          <w:p w14:paraId="7BA5CB91">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100≤X＜200</w:t>
            </w:r>
          </w:p>
        </w:tc>
        <w:tc>
          <w:tcPr>
            <w:tcW w:w="1426" w:type="dxa"/>
            <w:vAlign w:val="center"/>
          </w:tcPr>
          <w:p w14:paraId="38BA3717">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20≤X＜100</w:t>
            </w:r>
          </w:p>
        </w:tc>
        <w:tc>
          <w:tcPr>
            <w:tcW w:w="992" w:type="dxa"/>
            <w:vAlign w:val="center"/>
          </w:tcPr>
          <w:p w14:paraId="7D9DADA5">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X＜20</w:t>
            </w:r>
          </w:p>
        </w:tc>
      </w:tr>
      <w:tr w14:paraId="5E9E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1" w:type="dxa"/>
            <w:vMerge w:val="continue"/>
            <w:vAlign w:val="center"/>
          </w:tcPr>
          <w:p w14:paraId="64C83661">
            <w:pPr>
              <w:widowControl/>
              <w:ind w:firstLine="360"/>
              <w:jc w:val="center"/>
              <w:rPr>
                <w:rFonts w:asciiTheme="minorEastAsia" w:hAnsiTheme="minorEastAsia" w:cstheme="minorEastAsia"/>
                <w:kern w:val="0"/>
                <w:sz w:val="18"/>
                <w:szCs w:val="18"/>
              </w:rPr>
            </w:pPr>
          </w:p>
        </w:tc>
        <w:tc>
          <w:tcPr>
            <w:tcW w:w="2031" w:type="dxa"/>
            <w:vAlign w:val="center"/>
          </w:tcPr>
          <w:p w14:paraId="434FCBD8">
            <w:pPr>
              <w:widowControl/>
              <w:spacing w:line="240" w:lineRule="exact"/>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营业收入(Y)</w:t>
            </w:r>
          </w:p>
        </w:tc>
        <w:tc>
          <w:tcPr>
            <w:tcW w:w="709" w:type="dxa"/>
            <w:vAlign w:val="center"/>
          </w:tcPr>
          <w:p w14:paraId="4D81CC2E">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万元</w:t>
            </w:r>
          </w:p>
        </w:tc>
        <w:tc>
          <w:tcPr>
            <w:tcW w:w="1125" w:type="dxa"/>
            <w:vAlign w:val="center"/>
          </w:tcPr>
          <w:p w14:paraId="26FF80F4">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Y≥30000</w:t>
            </w:r>
          </w:p>
        </w:tc>
        <w:tc>
          <w:tcPr>
            <w:tcW w:w="1701" w:type="dxa"/>
            <w:vAlign w:val="center"/>
          </w:tcPr>
          <w:p w14:paraId="42002925">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1000≤Y＜30000</w:t>
            </w:r>
          </w:p>
        </w:tc>
        <w:tc>
          <w:tcPr>
            <w:tcW w:w="1426" w:type="dxa"/>
            <w:vAlign w:val="center"/>
          </w:tcPr>
          <w:p w14:paraId="27817206">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100≤Y＜1000</w:t>
            </w:r>
          </w:p>
        </w:tc>
        <w:tc>
          <w:tcPr>
            <w:tcW w:w="992" w:type="dxa"/>
            <w:vAlign w:val="center"/>
          </w:tcPr>
          <w:p w14:paraId="6A458088">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Y＜100</w:t>
            </w:r>
          </w:p>
        </w:tc>
      </w:tr>
      <w:tr w14:paraId="3E55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restart"/>
            <w:vAlign w:val="center"/>
          </w:tcPr>
          <w:p w14:paraId="7E2C380C">
            <w:pPr>
              <w:widowControl/>
              <w:spacing w:line="240" w:lineRule="exact"/>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邮政业</w:t>
            </w:r>
          </w:p>
        </w:tc>
        <w:tc>
          <w:tcPr>
            <w:tcW w:w="2031" w:type="dxa"/>
            <w:vAlign w:val="center"/>
          </w:tcPr>
          <w:p w14:paraId="0D6BDA7E">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从业人员(X)</w:t>
            </w:r>
          </w:p>
        </w:tc>
        <w:tc>
          <w:tcPr>
            <w:tcW w:w="709" w:type="dxa"/>
            <w:vAlign w:val="center"/>
          </w:tcPr>
          <w:p w14:paraId="560A5536">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人</w:t>
            </w:r>
          </w:p>
        </w:tc>
        <w:tc>
          <w:tcPr>
            <w:tcW w:w="1125" w:type="dxa"/>
            <w:vAlign w:val="center"/>
          </w:tcPr>
          <w:p w14:paraId="06C20E24">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X≥1000</w:t>
            </w:r>
          </w:p>
        </w:tc>
        <w:tc>
          <w:tcPr>
            <w:tcW w:w="1701" w:type="dxa"/>
            <w:vAlign w:val="center"/>
          </w:tcPr>
          <w:p w14:paraId="5606D2AB">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300≤X＜1000</w:t>
            </w:r>
          </w:p>
        </w:tc>
        <w:tc>
          <w:tcPr>
            <w:tcW w:w="1426" w:type="dxa"/>
            <w:vAlign w:val="center"/>
          </w:tcPr>
          <w:p w14:paraId="61C9EB78">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20≤X＜300</w:t>
            </w:r>
          </w:p>
        </w:tc>
        <w:tc>
          <w:tcPr>
            <w:tcW w:w="992" w:type="dxa"/>
            <w:vAlign w:val="center"/>
          </w:tcPr>
          <w:p w14:paraId="755E1A53">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X＜20</w:t>
            </w:r>
          </w:p>
        </w:tc>
      </w:tr>
      <w:tr w14:paraId="031E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1" w:type="dxa"/>
            <w:vMerge w:val="continue"/>
            <w:vAlign w:val="center"/>
          </w:tcPr>
          <w:p w14:paraId="1910B8C2">
            <w:pPr>
              <w:widowControl/>
              <w:ind w:firstLine="360"/>
              <w:jc w:val="center"/>
              <w:rPr>
                <w:rFonts w:asciiTheme="minorEastAsia" w:hAnsiTheme="minorEastAsia" w:cstheme="minorEastAsia"/>
                <w:kern w:val="0"/>
                <w:sz w:val="18"/>
                <w:szCs w:val="18"/>
              </w:rPr>
            </w:pPr>
          </w:p>
        </w:tc>
        <w:tc>
          <w:tcPr>
            <w:tcW w:w="2031" w:type="dxa"/>
            <w:vAlign w:val="center"/>
          </w:tcPr>
          <w:p w14:paraId="15D97B57">
            <w:pPr>
              <w:widowControl/>
              <w:spacing w:line="240" w:lineRule="exact"/>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营业收入(Y)</w:t>
            </w:r>
          </w:p>
        </w:tc>
        <w:tc>
          <w:tcPr>
            <w:tcW w:w="709" w:type="dxa"/>
            <w:vAlign w:val="center"/>
          </w:tcPr>
          <w:p w14:paraId="5833940F">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万元</w:t>
            </w:r>
          </w:p>
        </w:tc>
        <w:tc>
          <w:tcPr>
            <w:tcW w:w="1125" w:type="dxa"/>
            <w:vAlign w:val="center"/>
          </w:tcPr>
          <w:p w14:paraId="248E3A80">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Y≥30000</w:t>
            </w:r>
          </w:p>
        </w:tc>
        <w:tc>
          <w:tcPr>
            <w:tcW w:w="1701" w:type="dxa"/>
            <w:vAlign w:val="center"/>
          </w:tcPr>
          <w:p w14:paraId="544FFCC0">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2000≤Y＜30000</w:t>
            </w:r>
          </w:p>
        </w:tc>
        <w:tc>
          <w:tcPr>
            <w:tcW w:w="1426" w:type="dxa"/>
            <w:vAlign w:val="center"/>
          </w:tcPr>
          <w:p w14:paraId="594EEF85">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100≤Y＜2000</w:t>
            </w:r>
          </w:p>
        </w:tc>
        <w:tc>
          <w:tcPr>
            <w:tcW w:w="992" w:type="dxa"/>
            <w:vAlign w:val="center"/>
          </w:tcPr>
          <w:p w14:paraId="5D9AE9DC">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Y＜100</w:t>
            </w:r>
          </w:p>
        </w:tc>
      </w:tr>
      <w:tr w14:paraId="70D2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restart"/>
            <w:vAlign w:val="center"/>
          </w:tcPr>
          <w:p w14:paraId="6D3E7B02">
            <w:pPr>
              <w:widowControl/>
              <w:spacing w:line="240" w:lineRule="exact"/>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住宿业</w:t>
            </w:r>
          </w:p>
        </w:tc>
        <w:tc>
          <w:tcPr>
            <w:tcW w:w="2031" w:type="dxa"/>
            <w:vAlign w:val="center"/>
          </w:tcPr>
          <w:p w14:paraId="10EE9057">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从业人员(X)</w:t>
            </w:r>
          </w:p>
        </w:tc>
        <w:tc>
          <w:tcPr>
            <w:tcW w:w="709" w:type="dxa"/>
            <w:vAlign w:val="center"/>
          </w:tcPr>
          <w:p w14:paraId="3F991399">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人</w:t>
            </w:r>
          </w:p>
        </w:tc>
        <w:tc>
          <w:tcPr>
            <w:tcW w:w="1125" w:type="dxa"/>
            <w:vAlign w:val="center"/>
          </w:tcPr>
          <w:p w14:paraId="6B5B95FB">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X≥300</w:t>
            </w:r>
          </w:p>
        </w:tc>
        <w:tc>
          <w:tcPr>
            <w:tcW w:w="1701" w:type="dxa"/>
            <w:vAlign w:val="center"/>
          </w:tcPr>
          <w:p w14:paraId="450D3E5A">
            <w:pPr>
              <w:widowControl/>
              <w:ind w:left="1" w:leftChars="-51" w:hanging="108" w:hangingChars="6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100≤X＜300</w:t>
            </w:r>
          </w:p>
        </w:tc>
        <w:tc>
          <w:tcPr>
            <w:tcW w:w="1426" w:type="dxa"/>
            <w:vAlign w:val="center"/>
          </w:tcPr>
          <w:p w14:paraId="1F44B029">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10≤X＜100</w:t>
            </w:r>
          </w:p>
        </w:tc>
        <w:tc>
          <w:tcPr>
            <w:tcW w:w="992" w:type="dxa"/>
            <w:vAlign w:val="center"/>
          </w:tcPr>
          <w:p w14:paraId="7FCB33E8">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X＜10</w:t>
            </w:r>
          </w:p>
        </w:tc>
      </w:tr>
      <w:tr w14:paraId="3A51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continue"/>
            <w:vAlign w:val="center"/>
          </w:tcPr>
          <w:p w14:paraId="4F1DCFD4">
            <w:pPr>
              <w:widowControl/>
              <w:ind w:firstLine="360"/>
              <w:jc w:val="center"/>
              <w:rPr>
                <w:rFonts w:asciiTheme="minorEastAsia" w:hAnsiTheme="minorEastAsia" w:cstheme="minorEastAsia"/>
                <w:kern w:val="0"/>
                <w:sz w:val="18"/>
                <w:szCs w:val="18"/>
              </w:rPr>
            </w:pPr>
          </w:p>
        </w:tc>
        <w:tc>
          <w:tcPr>
            <w:tcW w:w="2031" w:type="dxa"/>
            <w:vAlign w:val="center"/>
          </w:tcPr>
          <w:p w14:paraId="1A98F12B">
            <w:pPr>
              <w:widowControl/>
              <w:spacing w:line="240" w:lineRule="exact"/>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营业收入(Y)</w:t>
            </w:r>
          </w:p>
        </w:tc>
        <w:tc>
          <w:tcPr>
            <w:tcW w:w="709" w:type="dxa"/>
            <w:vAlign w:val="center"/>
          </w:tcPr>
          <w:p w14:paraId="71B34311">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万元</w:t>
            </w:r>
          </w:p>
        </w:tc>
        <w:tc>
          <w:tcPr>
            <w:tcW w:w="1125" w:type="dxa"/>
            <w:vAlign w:val="center"/>
          </w:tcPr>
          <w:p w14:paraId="2C367553">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Y≥10000</w:t>
            </w:r>
          </w:p>
        </w:tc>
        <w:tc>
          <w:tcPr>
            <w:tcW w:w="1701" w:type="dxa"/>
            <w:vAlign w:val="center"/>
          </w:tcPr>
          <w:p w14:paraId="67A8713E">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2000≤Y＜10000</w:t>
            </w:r>
          </w:p>
        </w:tc>
        <w:tc>
          <w:tcPr>
            <w:tcW w:w="1426" w:type="dxa"/>
            <w:vAlign w:val="center"/>
          </w:tcPr>
          <w:p w14:paraId="10D748D9">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100≤Y＜2000</w:t>
            </w:r>
          </w:p>
        </w:tc>
        <w:tc>
          <w:tcPr>
            <w:tcW w:w="992" w:type="dxa"/>
            <w:vAlign w:val="center"/>
          </w:tcPr>
          <w:p w14:paraId="12739C05">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Y＜100</w:t>
            </w:r>
          </w:p>
        </w:tc>
      </w:tr>
      <w:tr w14:paraId="61A5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restart"/>
            <w:vAlign w:val="center"/>
          </w:tcPr>
          <w:p w14:paraId="596016A9">
            <w:pPr>
              <w:widowControl/>
              <w:spacing w:line="240" w:lineRule="exact"/>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餐饮业</w:t>
            </w:r>
          </w:p>
        </w:tc>
        <w:tc>
          <w:tcPr>
            <w:tcW w:w="2031" w:type="dxa"/>
            <w:vAlign w:val="center"/>
          </w:tcPr>
          <w:p w14:paraId="4EE7BFF1">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从业人员(X)</w:t>
            </w:r>
          </w:p>
        </w:tc>
        <w:tc>
          <w:tcPr>
            <w:tcW w:w="709" w:type="dxa"/>
            <w:vAlign w:val="center"/>
          </w:tcPr>
          <w:p w14:paraId="7C535E17">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人</w:t>
            </w:r>
          </w:p>
        </w:tc>
        <w:tc>
          <w:tcPr>
            <w:tcW w:w="1125" w:type="dxa"/>
            <w:vAlign w:val="center"/>
          </w:tcPr>
          <w:p w14:paraId="1FD47147">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X≥300</w:t>
            </w:r>
          </w:p>
        </w:tc>
        <w:tc>
          <w:tcPr>
            <w:tcW w:w="1701" w:type="dxa"/>
            <w:vAlign w:val="center"/>
          </w:tcPr>
          <w:p w14:paraId="169E2757">
            <w:pPr>
              <w:widowControl/>
              <w:ind w:left="1" w:leftChars="-51" w:hanging="108" w:hangingChars="6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100≤X＜300</w:t>
            </w:r>
          </w:p>
        </w:tc>
        <w:tc>
          <w:tcPr>
            <w:tcW w:w="1426" w:type="dxa"/>
            <w:vAlign w:val="center"/>
          </w:tcPr>
          <w:p w14:paraId="2A2D974F">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10≤X＜100</w:t>
            </w:r>
          </w:p>
        </w:tc>
        <w:tc>
          <w:tcPr>
            <w:tcW w:w="992" w:type="dxa"/>
            <w:vAlign w:val="center"/>
          </w:tcPr>
          <w:p w14:paraId="6783B13F">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X＜10</w:t>
            </w:r>
          </w:p>
        </w:tc>
      </w:tr>
      <w:tr w14:paraId="77B9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451" w:type="dxa"/>
            <w:vMerge w:val="continue"/>
            <w:vAlign w:val="center"/>
          </w:tcPr>
          <w:p w14:paraId="1F9EE39F">
            <w:pPr>
              <w:widowControl/>
              <w:ind w:firstLine="360"/>
              <w:jc w:val="center"/>
              <w:rPr>
                <w:rFonts w:asciiTheme="minorEastAsia" w:hAnsiTheme="minorEastAsia" w:cstheme="minorEastAsia"/>
                <w:kern w:val="0"/>
                <w:sz w:val="18"/>
                <w:szCs w:val="18"/>
              </w:rPr>
            </w:pPr>
          </w:p>
        </w:tc>
        <w:tc>
          <w:tcPr>
            <w:tcW w:w="2031" w:type="dxa"/>
            <w:vAlign w:val="center"/>
          </w:tcPr>
          <w:p w14:paraId="2B6C8244">
            <w:pPr>
              <w:widowControl/>
              <w:spacing w:line="240" w:lineRule="exact"/>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营业收入(Y)</w:t>
            </w:r>
          </w:p>
        </w:tc>
        <w:tc>
          <w:tcPr>
            <w:tcW w:w="709" w:type="dxa"/>
            <w:vAlign w:val="center"/>
          </w:tcPr>
          <w:p w14:paraId="5B339005">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万元</w:t>
            </w:r>
          </w:p>
        </w:tc>
        <w:tc>
          <w:tcPr>
            <w:tcW w:w="1125" w:type="dxa"/>
            <w:vAlign w:val="center"/>
          </w:tcPr>
          <w:p w14:paraId="591B98D3">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Y≥10000</w:t>
            </w:r>
          </w:p>
        </w:tc>
        <w:tc>
          <w:tcPr>
            <w:tcW w:w="1701" w:type="dxa"/>
            <w:vAlign w:val="center"/>
          </w:tcPr>
          <w:p w14:paraId="0D13E7B2">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2000≤Y＜10000</w:t>
            </w:r>
          </w:p>
        </w:tc>
        <w:tc>
          <w:tcPr>
            <w:tcW w:w="1426" w:type="dxa"/>
            <w:vAlign w:val="center"/>
          </w:tcPr>
          <w:p w14:paraId="72FEFBEB">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100≤Y＜2000</w:t>
            </w:r>
          </w:p>
        </w:tc>
        <w:tc>
          <w:tcPr>
            <w:tcW w:w="992" w:type="dxa"/>
            <w:vAlign w:val="center"/>
          </w:tcPr>
          <w:p w14:paraId="6DDCB957">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Y＜100</w:t>
            </w:r>
          </w:p>
        </w:tc>
      </w:tr>
      <w:tr w14:paraId="3342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1451" w:type="dxa"/>
            <w:vMerge w:val="restart"/>
            <w:vAlign w:val="center"/>
          </w:tcPr>
          <w:p w14:paraId="46F61D6E">
            <w:pPr>
              <w:widowControl/>
              <w:spacing w:line="240" w:lineRule="exact"/>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信息传输业 </w:t>
            </w:r>
          </w:p>
        </w:tc>
        <w:tc>
          <w:tcPr>
            <w:tcW w:w="2031" w:type="dxa"/>
            <w:vAlign w:val="center"/>
          </w:tcPr>
          <w:p w14:paraId="0350CF65">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从业人员(X)</w:t>
            </w:r>
          </w:p>
        </w:tc>
        <w:tc>
          <w:tcPr>
            <w:tcW w:w="709" w:type="dxa"/>
            <w:vAlign w:val="center"/>
          </w:tcPr>
          <w:p w14:paraId="3A5D6483">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人</w:t>
            </w:r>
          </w:p>
        </w:tc>
        <w:tc>
          <w:tcPr>
            <w:tcW w:w="1125" w:type="dxa"/>
            <w:vAlign w:val="center"/>
          </w:tcPr>
          <w:p w14:paraId="66D170FE">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X≥2000</w:t>
            </w:r>
          </w:p>
        </w:tc>
        <w:tc>
          <w:tcPr>
            <w:tcW w:w="1701" w:type="dxa"/>
            <w:vAlign w:val="center"/>
          </w:tcPr>
          <w:p w14:paraId="378476F3">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100≤X＜2000</w:t>
            </w:r>
          </w:p>
        </w:tc>
        <w:tc>
          <w:tcPr>
            <w:tcW w:w="1426" w:type="dxa"/>
            <w:vAlign w:val="center"/>
          </w:tcPr>
          <w:p w14:paraId="350FC586">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10≤X＜100</w:t>
            </w:r>
          </w:p>
        </w:tc>
        <w:tc>
          <w:tcPr>
            <w:tcW w:w="992" w:type="dxa"/>
            <w:vAlign w:val="center"/>
          </w:tcPr>
          <w:p w14:paraId="1EDC26F1">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X＜10</w:t>
            </w:r>
          </w:p>
        </w:tc>
      </w:tr>
      <w:tr w14:paraId="73F2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1451" w:type="dxa"/>
            <w:vMerge w:val="continue"/>
            <w:vAlign w:val="center"/>
          </w:tcPr>
          <w:p w14:paraId="226F5C79">
            <w:pPr>
              <w:widowControl/>
              <w:ind w:firstLine="360"/>
              <w:jc w:val="center"/>
              <w:rPr>
                <w:rFonts w:asciiTheme="minorEastAsia" w:hAnsiTheme="minorEastAsia" w:cstheme="minorEastAsia"/>
                <w:kern w:val="0"/>
                <w:sz w:val="18"/>
                <w:szCs w:val="18"/>
              </w:rPr>
            </w:pPr>
          </w:p>
        </w:tc>
        <w:tc>
          <w:tcPr>
            <w:tcW w:w="2031" w:type="dxa"/>
            <w:vAlign w:val="center"/>
          </w:tcPr>
          <w:p w14:paraId="6E080C9D">
            <w:pPr>
              <w:widowControl/>
              <w:spacing w:line="240" w:lineRule="exact"/>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营业收入(Y)</w:t>
            </w:r>
          </w:p>
        </w:tc>
        <w:tc>
          <w:tcPr>
            <w:tcW w:w="709" w:type="dxa"/>
            <w:vAlign w:val="center"/>
          </w:tcPr>
          <w:p w14:paraId="7A764EB9">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万元</w:t>
            </w:r>
          </w:p>
        </w:tc>
        <w:tc>
          <w:tcPr>
            <w:tcW w:w="1125" w:type="dxa"/>
            <w:vAlign w:val="center"/>
          </w:tcPr>
          <w:p w14:paraId="30D1143A">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Y≥100000</w:t>
            </w:r>
          </w:p>
        </w:tc>
        <w:tc>
          <w:tcPr>
            <w:tcW w:w="1701" w:type="dxa"/>
            <w:vAlign w:val="center"/>
          </w:tcPr>
          <w:p w14:paraId="3ABC690A">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1000≤Y＜100000</w:t>
            </w:r>
          </w:p>
        </w:tc>
        <w:tc>
          <w:tcPr>
            <w:tcW w:w="1426" w:type="dxa"/>
            <w:vAlign w:val="center"/>
          </w:tcPr>
          <w:p w14:paraId="05C28B59">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100≤Y＜1000</w:t>
            </w:r>
          </w:p>
        </w:tc>
        <w:tc>
          <w:tcPr>
            <w:tcW w:w="992" w:type="dxa"/>
            <w:vAlign w:val="center"/>
          </w:tcPr>
          <w:p w14:paraId="020999CB">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Y＜100</w:t>
            </w:r>
          </w:p>
        </w:tc>
      </w:tr>
      <w:tr w14:paraId="5462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jc w:val="center"/>
        </w:trPr>
        <w:tc>
          <w:tcPr>
            <w:tcW w:w="1451" w:type="dxa"/>
            <w:vMerge w:val="restart"/>
            <w:vAlign w:val="center"/>
          </w:tcPr>
          <w:p w14:paraId="280E2AC6">
            <w:pPr>
              <w:widowControl/>
              <w:spacing w:line="240" w:lineRule="exact"/>
              <w:ind w:firstLine="0" w:firstLineChars="0"/>
              <w:jc w:val="center"/>
              <w:rPr>
                <w:rFonts w:asciiTheme="minorEastAsia" w:hAnsiTheme="minorEastAsia" w:cstheme="minorEastAsia"/>
                <w:spacing w:val="-12"/>
                <w:kern w:val="0"/>
                <w:sz w:val="18"/>
                <w:szCs w:val="18"/>
              </w:rPr>
            </w:pPr>
            <w:r>
              <w:rPr>
                <w:rFonts w:hint="eastAsia" w:asciiTheme="minorEastAsia" w:hAnsiTheme="minorEastAsia" w:cstheme="minorEastAsia"/>
                <w:spacing w:val="-12"/>
                <w:kern w:val="0"/>
                <w:sz w:val="18"/>
                <w:szCs w:val="18"/>
              </w:rPr>
              <w:t>软件和信息技术服</w:t>
            </w:r>
            <w:r>
              <w:rPr>
                <w:rFonts w:hint="eastAsia" w:asciiTheme="minorEastAsia" w:hAnsiTheme="minorEastAsia" w:cstheme="minorEastAsia"/>
                <w:kern w:val="0"/>
                <w:sz w:val="18"/>
                <w:szCs w:val="18"/>
              </w:rPr>
              <w:t>务业</w:t>
            </w:r>
          </w:p>
        </w:tc>
        <w:tc>
          <w:tcPr>
            <w:tcW w:w="2031" w:type="dxa"/>
            <w:vAlign w:val="center"/>
          </w:tcPr>
          <w:p w14:paraId="026BCD15">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从业人员(X)</w:t>
            </w:r>
          </w:p>
        </w:tc>
        <w:tc>
          <w:tcPr>
            <w:tcW w:w="709" w:type="dxa"/>
            <w:vAlign w:val="center"/>
          </w:tcPr>
          <w:p w14:paraId="3B393213">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人</w:t>
            </w:r>
          </w:p>
        </w:tc>
        <w:tc>
          <w:tcPr>
            <w:tcW w:w="1125" w:type="dxa"/>
            <w:vAlign w:val="center"/>
          </w:tcPr>
          <w:p w14:paraId="02584C35">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X≥300</w:t>
            </w:r>
          </w:p>
        </w:tc>
        <w:tc>
          <w:tcPr>
            <w:tcW w:w="1701" w:type="dxa"/>
            <w:vAlign w:val="center"/>
          </w:tcPr>
          <w:p w14:paraId="03F5C24D">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100≤X＜300</w:t>
            </w:r>
          </w:p>
        </w:tc>
        <w:tc>
          <w:tcPr>
            <w:tcW w:w="1426" w:type="dxa"/>
            <w:vAlign w:val="center"/>
          </w:tcPr>
          <w:p w14:paraId="204CC895">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10≤X＜100</w:t>
            </w:r>
          </w:p>
        </w:tc>
        <w:tc>
          <w:tcPr>
            <w:tcW w:w="992" w:type="dxa"/>
            <w:vAlign w:val="center"/>
          </w:tcPr>
          <w:p w14:paraId="0A835261">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X＜10</w:t>
            </w:r>
          </w:p>
        </w:tc>
      </w:tr>
      <w:tr w14:paraId="653D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451" w:type="dxa"/>
            <w:vMerge w:val="continue"/>
            <w:vAlign w:val="center"/>
          </w:tcPr>
          <w:p w14:paraId="3A111DC4">
            <w:pPr>
              <w:widowControl/>
              <w:ind w:firstLine="312"/>
              <w:jc w:val="center"/>
              <w:rPr>
                <w:rFonts w:asciiTheme="minorEastAsia" w:hAnsiTheme="minorEastAsia" w:cstheme="minorEastAsia"/>
                <w:spacing w:val="-12"/>
                <w:kern w:val="0"/>
                <w:sz w:val="18"/>
                <w:szCs w:val="18"/>
              </w:rPr>
            </w:pPr>
          </w:p>
        </w:tc>
        <w:tc>
          <w:tcPr>
            <w:tcW w:w="2031" w:type="dxa"/>
            <w:vAlign w:val="center"/>
          </w:tcPr>
          <w:p w14:paraId="7CB88500">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营业收入(Y)</w:t>
            </w:r>
          </w:p>
        </w:tc>
        <w:tc>
          <w:tcPr>
            <w:tcW w:w="709" w:type="dxa"/>
            <w:vAlign w:val="center"/>
          </w:tcPr>
          <w:p w14:paraId="7FBC10C5">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万元</w:t>
            </w:r>
          </w:p>
        </w:tc>
        <w:tc>
          <w:tcPr>
            <w:tcW w:w="1125" w:type="dxa"/>
            <w:vAlign w:val="center"/>
          </w:tcPr>
          <w:p w14:paraId="6B961BB8">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Y≥10000</w:t>
            </w:r>
          </w:p>
        </w:tc>
        <w:tc>
          <w:tcPr>
            <w:tcW w:w="1701" w:type="dxa"/>
            <w:vAlign w:val="center"/>
          </w:tcPr>
          <w:p w14:paraId="53E95101">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1000≤Y＜10000</w:t>
            </w:r>
          </w:p>
        </w:tc>
        <w:tc>
          <w:tcPr>
            <w:tcW w:w="1426" w:type="dxa"/>
            <w:vAlign w:val="center"/>
          </w:tcPr>
          <w:p w14:paraId="23EBDFAC">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50≤Y＜1000</w:t>
            </w:r>
          </w:p>
        </w:tc>
        <w:tc>
          <w:tcPr>
            <w:tcW w:w="992" w:type="dxa"/>
            <w:vAlign w:val="center"/>
          </w:tcPr>
          <w:p w14:paraId="62F81B60">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Y＜50</w:t>
            </w:r>
          </w:p>
        </w:tc>
      </w:tr>
      <w:tr w14:paraId="7488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1451" w:type="dxa"/>
            <w:vMerge w:val="restart"/>
            <w:vAlign w:val="center"/>
          </w:tcPr>
          <w:p w14:paraId="253DB9EF">
            <w:pPr>
              <w:widowControl/>
              <w:spacing w:line="240" w:lineRule="exact"/>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房地产开发经营</w:t>
            </w:r>
          </w:p>
        </w:tc>
        <w:tc>
          <w:tcPr>
            <w:tcW w:w="2031" w:type="dxa"/>
            <w:vAlign w:val="center"/>
          </w:tcPr>
          <w:p w14:paraId="6B2CD295">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营业收入(Y)</w:t>
            </w:r>
          </w:p>
        </w:tc>
        <w:tc>
          <w:tcPr>
            <w:tcW w:w="709" w:type="dxa"/>
            <w:vAlign w:val="center"/>
          </w:tcPr>
          <w:p w14:paraId="31463ACA">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万元</w:t>
            </w:r>
          </w:p>
        </w:tc>
        <w:tc>
          <w:tcPr>
            <w:tcW w:w="1125" w:type="dxa"/>
            <w:vAlign w:val="center"/>
          </w:tcPr>
          <w:p w14:paraId="619439F0">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Y≥200000</w:t>
            </w:r>
          </w:p>
        </w:tc>
        <w:tc>
          <w:tcPr>
            <w:tcW w:w="1701" w:type="dxa"/>
            <w:vAlign w:val="center"/>
          </w:tcPr>
          <w:p w14:paraId="158566BB">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1000≤Y＜200000</w:t>
            </w:r>
          </w:p>
        </w:tc>
        <w:tc>
          <w:tcPr>
            <w:tcW w:w="1426" w:type="dxa"/>
            <w:vAlign w:val="center"/>
          </w:tcPr>
          <w:p w14:paraId="07A12D11">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100≤Y＜1000</w:t>
            </w:r>
          </w:p>
        </w:tc>
        <w:tc>
          <w:tcPr>
            <w:tcW w:w="992" w:type="dxa"/>
            <w:vAlign w:val="center"/>
          </w:tcPr>
          <w:p w14:paraId="4B357306">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Y＜100</w:t>
            </w:r>
          </w:p>
        </w:tc>
      </w:tr>
      <w:tr w14:paraId="390A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1451" w:type="dxa"/>
            <w:vMerge w:val="continue"/>
            <w:vAlign w:val="center"/>
          </w:tcPr>
          <w:p w14:paraId="537FAA5E">
            <w:pPr>
              <w:widowControl/>
              <w:ind w:firstLine="360"/>
              <w:jc w:val="center"/>
              <w:rPr>
                <w:rFonts w:asciiTheme="minorEastAsia" w:hAnsiTheme="minorEastAsia" w:cstheme="minorEastAsia"/>
                <w:kern w:val="0"/>
                <w:sz w:val="18"/>
                <w:szCs w:val="18"/>
              </w:rPr>
            </w:pPr>
          </w:p>
        </w:tc>
        <w:tc>
          <w:tcPr>
            <w:tcW w:w="2031" w:type="dxa"/>
            <w:vAlign w:val="center"/>
          </w:tcPr>
          <w:p w14:paraId="71403C78">
            <w:pPr>
              <w:widowControl/>
              <w:spacing w:line="240" w:lineRule="exact"/>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资产总额(Z)</w:t>
            </w:r>
          </w:p>
        </w:tc>
        <w:tc>
          <w:tcPr>
            <w:tcW w:w="709" w:type="dxa"/>
            <w:vAlign w:val="center"/>
          </w:tcPr>
          <w:p w14:paraId="37FE63B0">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万元</w:t>
            </w:r>
          </w:p>
        </w:tc>
        <w:tc>
          <w:tcPr>
            <w:tcW w:w="1125" w:type="dxa"/>
            <w:vAlign w:val="center"/>
          </w:tcPr>
          <w:p w14:paraId="13F6087F">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Z≥10000</w:t>
            </w:r>
          </w:p>
        </w:tc>
        <w:tc>
          <w:tcPr>
            <w:tcW w:w="1701" w:type="dxa"/>
            <w:vAlign w:val="center"/>
          </w:tcPr>
          <w:p w14:paraId="1C84F3EF">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5000≤Z＜10000</w:t>
            </w:r>
          </w:p>
        </w:tc>
        <w:tc>
          <w:tcPr>
            <w:tcW w:w="1426" w:type="dxa"/>
            <w:vAlign w:val="center"/>
          </w:tcPr>
          <w:p w14:paraId="43675759">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2000≤Z＜5000</w:t>
            </w:r>
          </w:p>
        </w:tc>
        <w:tc>
          <w:tcPr>
            <w:tcW w:w="992" w:type="dxa"/>
            <w:vAlign w:val="center"/>
          </w:tcPr>
          <w:p w14:paraId="6EF49B07">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Z＜2000</w:t>
            </w:r>
          </w:p>
        </w:tc>
      </w:tr>
      <w:tr w14:paraId="7341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51" w:type="dxa"/>
            <w:vMerge w:val="restart"/>
            <w:vAlign w:val="center"/>
          </w:tcPr>
          <w:p w14:paraId="28D36000">
            <w:pPr>
              <w:widowControl/>
              <w:spacing w:line="240" w:lineRule="exact"/>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物业管理</w:t>
            </w:r>
          </w:p>
        </w:tc>
        <w:tc>
          <w:tcPr>
            <w:tcW w:w="2031" w:type="dxa"/>
            <w:vAlign w:val="center"/>
          </w:tcPr>
          <w:p w14:paraId="7F9BDEDF">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从业人员(X)</w:t>
            </w:r>
          </w:p>
        </w:tc>
        <w:tc>
          <w:tcPr>
            <w:tcW w:w="709" w:type="dxa"/>
            <w:vAlign w:val="center"/>
          </w:tcPr>
          <w:p w14:paraId="55EC9CF5">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人</w:t>
            </w:r>
          </w:p>
        </w:tc>
        <w:tc>
          <w:tcPr>
            <w:tcW w:w="1125" w:type="dxa"/>
            <w:vAlign w:val="center"/>
          </w:tcPr>
          <w:p w14:paraId="122407B2">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X≥1000</w:t>
            </w:r>
          </w:p>
        </w:tc>
        <w:tc>
          <w:tcPr>
            <w:tcW w:w="1701" w:type="dxa"/>
            <w:vAlign w:val="center"/>
          </w:tcPr>
          <w:p w14:paraId="0C73BF54">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300≤X＜1000</w:t>
            </w:r>
          </w:p>
        </w:tc>
        <w:tc>
          <w:tcPr>
            <w:tcW w:w="1426" w:type="dxa"/>
            <w:vAlign w:val="center"/>
          </w:tcPr>
          <w:p w14:paraId="2FB313E7">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100≤X＜300</w:t>
            </w:r>
          </w:p>
        </w:tc>
        <w:tc>
          <w:tcPr>
            <w:tcW w:w="992" w:type="dxa"/>
            <w:vAlign w:val="center"/>
          </w:tcPr>
          <w:p w14:paraId="64D58B01">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X＜100</w:t>
            </w:r>
          </w:p>
        </w:tc>
      </w:tr>
      <w:tr w14:paraId="0DA2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51" w:type="dxa"/>
            <w:vMerge w:val="continue"/>
            <w:vAlign w:val="center"/>
          </w:tcPr>
          <w:p w14:paraId="40DF58FE">
            <w:pPr>
              <w:widowControl/>
              <w:ind w:firstLine="360"/>
              <w:jc w:val="center"/>
              <w:rPr>
                <w:rFonts w:asciiTheme="minorEastAsia" w:hAnsiTheme="minorEastAsia" w:cstheme="minorEastAsia"/>
                <w:kern w:val="0"/>
                <w:sz w:val="18"/>
                <w:szCs w:val="18"/>
              </w:rPr>
            </w:pPr>
          </w:p>
        </w:tc>
        <w:tc>
          <w:tcPr>
            <w:tcW w:w="2031" w:type="dxa"/>
            <w:vAlign w:val="center"/>
          </w:tcPr>
          <w:p w14:paraId="3FCAF750">
            <w:pPr>
              <w:widowControl/>
              <w:spacing w:line="240" w:lineRule="exact"/>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营业收入(Y)</w:t>
            </w:r>
          </w:p>
        </w:tc>
        <w:tc>
          <w:tcPr>
            <w:tcW w:w="709" w:type="dxa"/>
            <w:vAlign w:val="center"/>
          </w:tcPr>
          <w:p w14:paraId="26E26DCF">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万元</w:t>
            </w:r>
          </w:p>
        </w:tc>
        <w:tc>
          <w:tcPr>
            <w:tcW w:w="1125" w:type="dxa"/>
            <w:vAlign w:val="center"/>
          </w:tcPr>
          <w:p w14:paraId="51BEB47B">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Y≥5000</w:t>
            </w:r>
          </w:p>
        </w:tc>
        <w:tc>
          <w:tcPr>
            <w:tcW w:w="1701" w:type="dxa"/>
            <w:vAlign w:val="center"/>
          </w:tcPr>
          <w:p w14:paraId="3F3F3FD0">
            <w:pPr>
              <w:widowControl/>
              <w:ind w:left="1" w:leftChars="-51" w:hanging="108" w:hangingChars="6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1000≤Y＜5000</w:t>
            </w:r>
          </w:p>
        </w:tc>
        <w:tc>
          <w:tcPr>
            <w:tcW w:w="1426" w:type="dxa"/>
            <w:vAlign w:val="center"/>
          </w:tcPr>
          <w:p w14:paraId="7AE00580">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500≤Y＜1000</w:t>
            </w:r>
          </w:p>
        </w:tc>
        <w:tc>
          <w:tcPr>
            <w:tcW w:w="992" w:type="dxa"/>
            <w:vAlign w:val="center"/>
          </w:tcPr>
          <w:p w14:paraId="427142A2">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Y＜500</w:t>
            </w:r>
          </w:p>
        </w:tc>
      </w:tr>
      <w:tr w14:paraId="67C6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1451" w:type="dxa"/>
            <w:vMerge w:val="restart"/>
            <w:vAlign w:val="center"/>
          </w:tcPr>
          <w:p w14:paraId="788B07FD">
            <w:pPr>
              <w:widowControl/>
              <w:spacing w:line="240" w:lineRule="exact"/>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租赁和商务服务业</w:t>
            </w:r>
          </w:p>
        </w:tc>
        <w:tc>
          <w:tcPr>
            <w:tcW w:w="2031" w:type="dxa"/>
            <w:vAlign w:val="center"/>
          </w:tcPr>
          <w:p w14:paraId="4F2BA394">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从业人员(X)</w:t>
            </w:r>
          </w:p>
        </w:tc>
        <w:tc>
          <w:tcPr>
            <w:tcW w:w="709" w:type="dxa"/>
            <w:vAlign w:val="center"/>
          </w:tcPr>
          <w:p w14:paraId="0C9F8F18">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人</w:t>
            </w:r>
          </w:p>
        </w:tc>
        <w:tc>
          <w:tcPr>
            <w:tcW w:w="1125" w:type="dxa"/>
            <w:vAlign w:val="center"/>
          </w:tcPr>
          <w:p w14:paraId="4984F71D">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X≥300</w:t>
            </w:r>
          </w:p>
        </w:tc>
        <w:tc>
          <w:tcPr>
            <w:tcW w:w="1701" w:type="dxa"/>
            <w:vAlign w:val="center"/>
          </w:tcPr>
          <w:p w14:paraId="140A177D">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100≤X＜300</w:t>
            </w:r>
          </w:p>
        </w:tc>
        <w:tc>
          <w:tcPr>
            <w:tcW w:w="1426" w:type="dxa"/>
            <w:vAlign w:val="center"/>
          </w:tcPr>
          <w:p w14:paraId="4046D231">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10≤X＜100</w:t>
            </w:r>
          </w:p>
        </w:tc>
        <w:tc>
          <w:tcPr>
            <w:tcW w:w="992" w:type="dxa"/>
            <w:vAlign w:val="center"/>
          </w:tcPr>
          <w:p w14:paraId="5D0E941D">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X＜10</w:t>
            </w:r>
          </w:p>
        </w:tc>
      </w:tr>
      <w:tr w14:paraId="2639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1451" w:type="dxa"/>
            <w:vMerge w:val="continue"/>
            <w:vAlign w:val="center"/>
          </w:tcPr>
          <w:p w14:paraId="1D1BE767">
            <w:pPr>
              <w:widowControl/>
              <w:ind w:firstLine="360"/>
              <w:jc w:val="center"/>
              <w:rPr>
                <w:rFonts w:asciiTheme="minorEastAsia" w:hAnsiTheme="minorEastAsia" w:cstheme="minorEastAsia"/>
                <w:kern w:val="0"/>
                <w:sz w:val="18"/>
                <w:szCs w:val="18"/>
              </w:rPr>
            </w:pPr>
          </w:p>
        </w:tc>
        <w:tc>
          <w:tcPr>
            <w:tcW w:w="2031" w:type="dxa"/>
            <w:vAlign w:val="center"/>
          </w:tcPr>
          <w:p w14:paraId="11AD4962">
            <w:pPr>
              <w:widowControl/>
              <w:spacing w:line="240" w:lineRule="exact"/>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资产总额(Z)</w:t>
            </w:r>
          </w:p>
        </w:tc>
        <w:tc>
          <w:tcPr>
            <w:tcW w:w="709" w:type="dxa"/>
            <w:vAlign w:val="center"/>
          </w:tcPr>
          <w:p w14:paraId="3DB16F72">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万元</w:t>
            </w:r>
          </w:p>
        </w:tc>
        <w:tc>
          <w:tcPr>
            <w:tcW w:w="1125" w:type="dxa"/>
            <w:vAlign w:val="center"/>
          </w:tcPr>
          <w:p w14:paraId="1E2B9985">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Z≥120000</w:t>
            </w:r>
          </w:p>
        </w:tc>
        <w:tc>
          <w:tcPr>
            <w:tcW w:w="1701" w:type="dxa"/>
            <w:vAlign w:val="center"/>
          </w:tcPr>
          <w:p w14:paraId="37830D4B">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8000≤Z＜120000</w:t>
            </w:r>
          </w:p>
        </w:tc>
        <w:tc>
          <w:tcPr>
            <w:tcW w:w="1426" w:type="dxa"/>
            <w:vAlign w:val="center"/>
          </w:tcPr>
          <w:p w14:paraId="16440BDE">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100≤Z＜8000</w:t>
            </w:r>
          </w:p>
        </w:tc>
        <w:tc>
          <w:tcPr>
            <w:tcW w:w="992" w:type="dxa"/>
            <w:vAlign w:val="center"/>
          </w:tcPr>
          <w:p w14:paraId="0748089F">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Z＜100</w:t>
            </w:r>
          </w:p>
        </w:tc>
      </w:tr>
      <w:tr w14:paraId="294A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1451" w:type="dxa"/>
            <w:vAlign w:val="center"/>
          </w:tcPr>
          <w:p w14:paraId="65C3CF95">
            <w:pPr>
              <w:widowControl/>
              <w:spacing w:line="240" w:lineRule="exact"/>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其他未列明行业 </w:t>
            </w:r>
          </w:p>
        </w:tc>
        <w:tc>
          <w:tcPr>
            <w:tcW w:w="2031" w:type="dxa"/>
            <w:vAlign w:val="center"/>
          </w:tcPr>
          <w:p w14:paraId="760765B0">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从业人员(X)</w:t>
            </w:r>
          </w:p>
        </w:tc>
        <w:tc>
          <w:tcPr>
            <w:tcW w:w="709" w:type="dxa"/>
            <w:vAlign w:val="center"/>
          </w:tcPr>
          <w:p w14:paraId="5C74829E">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人</w:t>
            </w:r>
          </w:p>
        </w:tc>
        <w:tc>
          <w:tcPr>
            <w:tcW w:w="1125" w:type="dxa"/>
            <w:vAlign w:val="center"/>
          </w:tcPr>
          <w:p w14:paraId="38D778BD">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X≥300</w:t>
            </w:r>
          </w:p>
        </w:tc>
        <w:tc>
          <w:tcPr>
            <w:tcW w:w="1701" w:type="dxa"/>
            <w:vAlign w:val="center"/>
          </w:tcPr>
          <w:p w14:paraId="66650322">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100≤X＜300</w:t>
            </w:r>
          </w:p>
        </w:tc>
        <w:tc>
          <w:tcPr>
            <w:tcW w:w="1426" w:type="dxa"/>
            <w:vAlign w:val="center"/>
          </w:tcPr>
          <w:p w14:paraId="3DEC4E87">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10≤X＜100</w:t>
            </w:r>
          </w:p>
        </w:tc>
        <w:tc>
          <w:tcPr>
            <w:tcW w:w="992" w:type="dxa"/>
            <w:vAlign w:val="center"/>
          </w:tcPr>
          <w:p w14:paraId="135610CE">
            <w:pPr>
              <w:widowControl/>
              <w:ind w:firstLine="0" w:firstLineChars="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X＜10</w:t>
            </w:r>
          </w:p>
        </w:tc>
      </w:tr>
    </w:tbl>
    <w:p w14:paraId="2281869B">
      <w:pPr>
        <w:widowControl/>
        <w:spacing w:line="540" w:lineRule="exact"/>
        <w:ind w:firstLine="0" w:firstLineChars="0"/>
        <w:rPr>
          <w:rFonts w:ascii="宋体" w:hAnsi="宋体" w:eastAsia="宋体" w:cs="宋体"/>
          <w:b/>
          <w:bCs/>
          <w:spacing w:val="8"/>
          <w:kern w:val="0"/>
          <w:sz w:val="24"/>
          <w:szCs w:val="24"/>
        </w:rPr>
      </w:pPr>
      <w:r>
        <w:rPr>
          <w:rFonts w:hint="eastAsia" w:ascii="宋体" w:hAnsi="宋体" w:eastAsia="宋体" w:cs="宋体"/>
          <w:b/>
          <w:bCs/>
          <w:spacing w:val="8"/>
          <w:kern w:val="0"/>
          <w:sz w:val="24"/>
          <w:szCs w:val="24"/>
        </w:rPr>
        <w:t>说明：</w:t>
      </w:r>
    </w:p>
    <w:p w14:paraId="04C96282">
      <w:pPr>
        <w:widowControl/>
        <w:spacing w:line="540" w:lineRule="exact"/>
        <w:ind w:firstLine="226" w:firstLineChars="100"/>
        <w:rPr>
          <w:rFonts w:ascii="宋体" w:hAnsi="宋体" w:eastAsia="宋体" w:cs="宋体"/>
          <w:spacing w:val="8"/>
          <w:kern w:val="0"/>
          <w:szCs w:val="21"/>
        </w:rPr>
      </w:pPr>
      <w:r>
        <w:rPr>
          <w:rFonts w:hint="eastAsia" w:ascii="宋体" w:hAnsi="宋体" w:eastAsia="宋体" w:cs="宋体"/>
          <w:spacing w:val="8"/>
          <w:kern w:val="0"/>
          <w:szCs w:val="21"/>
        </w:rPr>
        <w:t>1.大型、中型和小型企业须同时满足所列指标的下限，否则下划一档；微型企业只需满足所列指标中的一项即可。</w:t>
      </w:r>
    </w:p>
    <w:p w14:paraId="71EFCAA4">
      <w:pPr>
        <w:spacing w:line="540" w:lineRule="exact"/>
        <w:ind w:firstLine="226" w:firstLineChars="100"/>
        <w:rPr>
          <w:rFonts w:ascii="宋体" w:hAnsi="宋体" w:eastAsia="宋体" w:cs="宋体"/>
          <w:spacing w:val="8"/>
          <w:kern w:val="0"/>
          <w:szCs w:val="21"/>
        </w:rPr>
      </w:pPr>
      <w:r>
        <w:rPr>
          <w:rFonts w:hint="eastAsia" w:ascii="宋体" w:hAnsi="宋体" w:eastAsia="宋体" w:cs="宋体"/>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A9B416C">
      <w:pPr>
        <w:spacing w:line="360" w:lineRule="auto"/>
        <w:ind w:firstLine="3616" w:firstLineChars="1600"/>
        <w:jc w:val="center"/>
        <w:outlineLvl w:val="1"/>
        <w:rPr>
          <w:rFonts w:ascii="宋体" w:hAnsi="宋体" w:eastAsia="宋体" w:cs="宋体"/>
          <w:kern w:val="0"/>
          <w:szCs w:val="21"/>
        </w:rPr>
      </w:pPr>
      <w:r>
        <w:rPr>
          <w:rFonts w:hint="eastAsia" w:ascii="宋体" w:hAnsi="宋体" w:eastAsia="宋体" w:cs="宋体"/>
          <w:spacing w:val="8"/>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w:t>
      </w:r>
      <w:r>
        <w:rPr>
          <w:rFonts w:hint="eastAsia" w:ascii="宋体" w:hAnsi="宋体" w:eastAsia="宋体" w:cs="宋体"/>
          <w:spacing w:val="8"/>
          <w:kern w:val="0"/>
          <w:szCs w:val="21"/>
          <w:lang w:eastAsia="zh-CN"/>
        </w:rPr>
        <w:t>收</w:t>
      </w:r>
      <w:r>
        <w:rPr>
          <w:rFonts w:hint="eastAsia" w:ascii="宋体" w:hAnsi="宋体" w:eastAsia="宋体" w:cs="宋体"/>
          <w:spacing w:val="8"/>
          <w:kern w:val="0"/>
          <w:szCs w:val="21"/>
        </w:rPr>
        <w:t>入指标。（3）资产总额，采用资产总计代替。</w:t>
      </w:r>
      <w:r>
        <w:rPr>
          <w:rFonts w:hint="eastAsia" w:ascii="宋体" w:hAnsi="宋体" w:eastAsia="宋体" w:cs="宋体"/>
          <w:szCs w:val="21"/>
        </w:rPr>
        <w:br w:type="page"/>
      </w:r>
      <w:r>
        <w:rPr>
          <w:rFonts w:hint="eastAsia" w:ascii="宋体" w:hAnsi="宋体" w:eastAsia="宋体" w:cs="宋体"/>
          <w:b/>
          <w:sz w:val="28"/>
          <w:szCs w:val="28"/>
        </w:rPr>
        <w:t>十、残疾人福利性单位声明函</w:t>
      </w:r>
    </w:p>
    <w:p w14:paraId="6523001E">
      <w:pPr>
        <w:spacing w:line="360" w:lineRule="auto"/>
        <w:ind w:firstLine="420"/>
        <w:jc w:val="center"/>
        <w:rPr>
          <w:rFonts w:ascii="宋体" w:hAnsi="宋体" w:eastAsia="宋体" w:cs="宋体"/>
          <w:szCs w:val="21"/>
        </w:rPr>
      </w:pPr>
      <w:r>
        <w:rPr>
          <w:rFonts w:hint="eastAsia" w:ascii="宋体" w:hAnsi="宋体" w:eastAsia="宋体" w:cs="宋体"/>
          <w:szCs w:val="21"/>
        </w:rPr>
        <w:t>（属于残疾人福利企业的填写，不属于的无需填写此项内容）</w:t>
      </w:r>
    </w:p>
    <w:p w14:paraId="38C9FB47">
      <w:pPr>
        <w:pStyle w:val="58"/>
        <w:ind w:firstLine="420"/>
        <w:rPr>
          <w:rFonts w:ascii="宋体" w:hAnsi="宋体" w:eastAsia="宋体" w:cs="宋体"/>
          <w:szCs w:val="21"/>
        </w:rPr>
      </w:pPr>
    </w:p>
    <w:p w14:paraId="030C911D">
      <w:pPr>
        <w:spacing w:line="360" w:lineRule="auto"/>
        <w:ind w:firstLine="420"/>
        <w:rPr>
          <w:rFonts w:ascii="宋体" w:hAnsi="宋体" w:eastAsia="宋体" w:cs="宋体"/>
          <w:szCs w:val="21"/>
        </w:rPr>
      </w:pPr>
      <w:r>
        <w:rPr>
          <w:rFonts w:hint="eastAsia" w:ascii="宋体" w:hAnsi="宋体" w:eastAsia="宋体" w:cs="宋体"/>
          <w:szCs w:val="21"/>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szCs w:val="21"/>
          <w:u w:val="single"/>
        </w:rPr>
        <w:t xml:space="preserve">            </w:t>
      </w:r>
      <w:r>
        <w:rPr>
          <w:rFonts w:hint="eastAsia" w:ascii="宋体" w:hAnsi="宋体" w:eastAsia="宋体" w:cs="宋体"/>
          <w:szCs w:val="21"/>
        </w:rPr>
        <w:t>。</w:t>
      </w:r>
    </w:p>
    <w:p w14:paraId="673B7059">
      <w:pPr>
        <w:spacing w:line="360" w:lineRule="auto"/>
        <w:ind w:firstLine="420"/>
        <w:rPr>
          <w:rFonts w:ascii="宋体" w:hAnsi="宋体" w:eastAsia="宋体" w:cs="宋体"/>
          <w:szCs w:val="21"/>
        </w:rPr>
      </w:pPr>
      <w:r>
        <w:rPr>
          <w:rFonts w:hint="eastAsia" w:ascii="宋体" w:hAnsi="宋体" w:eastAsia="宋体" w:cs="宋体"/>
          <w:szCs w:val="21"/>
        </w:rPr>
        <w:t>本单位对上述声明的真实性负责。如有虚假，将承担相应的法律责任。</w:t>
      </w:r>
    </w:p>
    <w:p w14:paraId="36F497A5">
      <w:pPr>
        <w:spacing w:line="360" w:lineRule="auto"/>
        <w:ind w:firstLine="420"/>
        <w:rPr>
          <w:rFonts w:ascii="宋体" w:hAnsi="宋体" w:eastAsia="宋体" w:cs="宋体"/>
          <w:szCs w:val="21"/>
        </w:rPr>
      </w:pPr>
    </w:p>
    <w:p w14:paraId="2175CD4B">
      <w:pPr>
        <w:spacing w:line="360" w:lineRule="auto"/>
        <w:ind w:firstLine="420"/>
        <w:rPr>
          <w:rFonts w:ascii="宋体" w:hAnsi="宋体" w:eastAsia="宋体" w:cs="宋体"/>
          <w:szCs w:val="21"/>
        </w:rPr>
      </w:pPr>
    </w:p>
    <w:p w14:paraId="113558AD">
      <w:pPr>
        <w:spacing w:line="360" w:lineRule="auto"/>
        <w:ind w:right="-512" w:rightChars="-244" w:firstLine="5670" w:firstLineChars="2700"/>
        <w:rPr>
          <w:rFonts w:ascii="宋体" w:hAnsi="宋体" w:eastAsia="宋体" w:cs="宋体"/>
          <w:szCs w:val="21"/>
        </w:rPr>
      </w:pPr>
      <w:r>
        <w:rPr>
          <w:rFonts w:hint="eastAsia" w:ascii="宋体" w:hAnsi="宋体" w:eastAsia="宋体" w:cs="宋体"/>
          <w:szCs w:val="21"/>
        </w:rPr>
        <w:t>供应商名称：</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cs="宋体"/>
          <w:szCs w:val="21"/>
        </w:rPr>
        <w:t>单位电子签章</w:t>
      </w:r>
      <w:r>
        <w:rPr>
          <w:rFonts w:hint="eastAsia" w:ascii="宋体" w:hAnsi="宋体" w:eastAsia="宋体" w:cs="宋体"/>
          <w:szCs w:val="21"/>
        </w:rPr>
        <w:t>）</w:t>
      </w:r>
    </w:p>
    <w:p w14:paraId="618BA7F9">
      <w:pPr>
        <w:spacing w:line="360" w:lineRule="auto"/>
        <w:ind w:right="-512" w:rightChars="-244" w:firstLine="5670" w:firstLineChars="2700"/>
        <w:rPr>
          <w:rFonts w:ascii="宋体" w:hAnsi="宋体" w:eastAsia="宋体" w:cs="宋体"/>
          <w:szCs w:val="21"/>
        </w:rPr>
      </w:pPr>
      <w:r>
        <w:rPr>
          <w:rFonts w:hint="eastAsia" w:ascii="宋体" w:hAnsi="宋体" w:eastAsia="宋体" w:cs="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BDEEC7B">
      <w:pPr>
        <w:ind w:firstLine="560"/>
        <w:rPr>
          <w:rFonts w:ascii="宋体" w:hAnsi="宋体" w:eastAsia="宋体" w:cs="宋体"/>
          <w:sz w:val="28"/>
          <w:szCs w:val="28"/>
        </w:rPr>
      </w:pPr>
      <w:r>
        <w:rPr>
          <w:rFonts w:hint="eastAsia" w:ascii="宋体" w:hAnsi="宋体" w:eastAsia="宋体" w:cs="宋体"/>
          <w:sz w:val="28"/>
          <w:szCs w:val="28"/>
        </w:rPr>
        <w:br w:type="page"/>
      </w:r>
    </w:p>
    <w:p w14:paraId="6EEE904E">
      <w:pPr>
        <w:pStyle w:val="6"/>
        <w:keepLines w:val="0"/>
        <w:ind w:left="425" w:firstLine="0" w:firstLineChars="0"/>
        <w:jc w:val="center"/>
        <w:rPr>
          <w:rFonts w:eastAsia="宋体" w:cs="宋体"/>
          <w:b/>
          <w:sz w:val="28"/>
          <w:szCs w:val="28"/>
        </w:rPr>
      </w:pPr>
      <w:r>
        <w:rPr>
          <w:rFonts w:hint="eastAsia" w:eastAsia="宋体" w:cs="宋体"/>
          <w:b/>
          <w:sz w:val="28"/>
          <w:szCs w:val="28"/>
        </w:rPr>
        <w:t>十一、监狱企业证明文件（如有）</w:t>
      </w:r>
    </w:p>
    <w:p w14:paraId="79E0D014">
      <w:pPr>
        <w:spacing w:line="360" w:lineRule="auto"/>
        <w:ind w:firstLine="420"/>
        <w:rPr>
          <w:rFonts w:ascii="宋体" w:hAnsi="宋体" w:eastAsia="宋体" w:cs="宋体"/>
          <w:szCs w:val="21"/>
        </w:rPr>
      </w:pPr>
      <w:r>
        <w:rPr>
          <w:rFonts w:hint="eastAsia" w:ascii="宋体" w:hAnsi="宋体" w:eastAsia="宋体" w:cs="宋体"/>
          <w:szCs w:val="21"/>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14:paraId="47221FC9">
      <w:pPr>
        <w:spacing w:line="360" w:lineRule="auto"/>
        <w:ind w:firstLine="420"/>
        <w:jc w:val="center"/>
        <w:rPr>
          <w:rFonts w:ascii="宋体" w:hAnsi="宋体" w:eastAsia="宋体" w:cs="宋体"/>
          <w:szCs w:val="21"/>
        </w:rPr>
      </w:pPr>
    </w:p>
    <w:p w14:paraId="08BF4AEF">
      <w:pPr>
        <w:spacing w:line="360" w:lineRule="auto"/>
        <w:ind w:firstLine="420"/>
        <w:jc w:val="center"/>
        <w:rPr>
          <w:rFonts w:ascii="宋体" w:hAnsi="宋体" w:eastAsia="宋体" w:cs="宋体"/>
          <w:szCs w:val="21"/>
        </w:rPr>
      </w:pPr>
    </w:p>
    <w:p w14:paraId="434F71E5">
      <w:pPr>
        <w:spacing w:line="360" w:lineRule="auto"/>
        <w:ind w:firstLine="420"/>
        <w:rPr>
          <w:rFonts w:ascii="宋体" w:hAnsi="宋体" w:eastAsia="宋体" w:cs="宋体"/>
          <w:szCs w:val="21"/>
        </w:rPr>
      </w:pPr>
      <w:r>
        <w:rPr>
          <w:rFonts w:hint="eastAsia" w:ascii="宋体" w:hAnsi="宋体" w:eastAsia="宋体" w:cs="宋体"/>
          <w:szCs w:val="21"/>
        </w:rPr>
        <w:t>注：在投标文件中附扫描件。</w:t>
      </w:r>
    </w:p>
    <w:p w14:paraId="154B92E6">
      <w:pPr>
        <w:ind w:firstLine="560"/>
        <w:rPr>
          <w:rFonts w:ascii="宋体" w:hAnsi="宋体" w:eastAsia="宋体" w:cs="宋体"/>
          <w:sz w:val="28"/>
          <w:szCs w:val="28"/>
        </w:rPr>
      </w:pPr>
      <w:r>
        <w:rPr>
          <w:rFonts w:hint="eastAsia" w:ascii="宋体" w:hAnsi="宋体" w:eastAsia="宋体" w:cs="宋体"/>
          <w:sz w:val="28"/>
          <w:szCs w:val="28"/>
        </w:rPr>
        <w:br w:type="page"/>
      </w:r>
    </w:p>
    <w:p w14:paraId="74E8970A">
      <w:pPr>
        <w:pStyle w:val="6"/>
        <w:keepLines w:val="0"/>
        <w:ind w:firstLine="562"/>
        <w:jc w:val="center"/>
        <w:rPr>
          <w:rFonts w:eastAsia="宋体" w:cs="宋体"/>
          <w:b/>
          <w:bCs/>
          <w:sz w:val="28"/>
          <w:szCs w:val="28"/>
        </w:rPr>
      </w:pPr>
      <w:r>
        <w:rPr>
          <w:rFonts w:hint="eastAsia" w:eastAsia="宋体" w:cs="宋体"/>
          <w:b/>
          <w:bCs/>
          <w:sz w:val="28"/>
          <w:szCs w:val="28"/>
        </w:rPr>
        <w:t>十二、反商业贿赂承诺书</w:t>
      </w:r>
    </w:p>
    <w:p w14:paraId="0AF94BCE">
      <w:pPr>
        <w:pStyle w:val="2"/>
        <w:ind w:firstLine="240"/>
        <w:rPr>
          <w:rFonts w:ascii="宋体" w:hAnsi="宋体" w:eastAsia="宋体" w:cs="宋体"/>
          <w:szCs w:val="21"/>
        </w:rPr>
      </w:pPr>
    </w:p>
    <w:p w14:paraId="322ACF14">
      <w:pPr>
        <w:autoSpaceDE w:val="0"/>
        <w:autoSpaceDN w:val="0"/>
        <w:adjustRightInd w:val="0"/>
        <w:spacing w:line="360" w:lineRule="auto"/>
        <w:ind w:firstLine="630" w:firstLineChars="300"/>
        <w:jc w:val="left"/>
        <w:rPr>
          <w:rFonts w:ascii="宋体" w:hAnsi="宋体" w:eastAsia="宋体" w:cs="宋体"/>
          <w:szCs w:val="21"/>
          <w:lang w:val="zh-CN"/>
        </w:rPr>
      </w:pPr>
      <w:r>
        <w:rPr>
          <w:rFonts w:hint="eastAsia" w:ascii="宋体" w:hAnsi="宋体" w:eastAsia="宋体" w:cs="宋体"/>
          <w:szCs w:val="21"/>
          <w:lang w:val="zh-CN"/>
        </w:rPr>
        <w:t>我方承诺：</w:t>
      </w:r>
    </w:p>
    <w:p w14:paraId="0FD95F3A">
      <w:pPr>
        <w:autoSpaceDE w:val="0"/>
        <w:autoSpaceDN w:val="0"/>
        <w:adjustRightInd w:val="0"/>
        <w:spacing w:line="360" w:lineRule="auto"/>
        <w:ind w:firstLine="630" w:firstLineChars="300"/>
        <w:jc w:val="left"/>
        <w:rPr>
          <w:rFonts w:ascii="宋体" w:hAnsi="宋体" w:eastAsia="宋体" w:cs="宋体"/>
          <w:szCs w:val="21"/>
          <w:lang w:val="zh-CN"/>
        </w:rPr>
      </w:pPr>
      <w:r>
        <w:rPr>
          <w:rFonts w:hint="eastAsia" w:ascii="宋体" w:hAnsi="宋体" w:eastAsia="宋体" w:cs="宋体"/>
          <w:szCs w:val="21"/>
          <w:lang w:val="zh-CN"/>
        </w:rPr>
        <w:t>在</w:t>
      </w:r>
      <w:r>
        <w:rPr>
          <w:rFonts w:hint="eastAsia" w:ascii="宋体" w:hAnsi="宋体" w:eastAsia="宋体" w:cs="宋体"/>
          <w:szCs w:val="21"/>
          <w:u w:val="single"/>
        </w:rPr>
        <w:t xml:space="preserve">                    </w:t>
      </w:r>
      <w:r>
        <w:rPr>
          <w:rFonts w:hint="eastAsia" w:ascii="宋体" w:hAnsi="宋体" w:eastAsia="宋体" w:cs="宋体"/>
          <w:szCs w:val="21"/>
          <w:u w:val="single"/>
          <w:lang w:val="zh-CN"/>
        </w:rPr>
        <w:t>（项目名称）</w:t>
      </w:r>
      <w:r>
        <w:rPr>
          <w:rFonts w:hint="eastAsia" w:ascii="宋体" w:hAnsi="宋体" w:eastAsia="宋体" w:cs="宋体"/>
          <w:szCs w:val="21"/>
          <w:u w:val="single"/>
        </w:rPr>
        <w:t xml:space="preserve">  </w:t>
      </w:r>
      <w:r>
        <w:rPr>
          <w:rFonts w:hint="eastAsia" w:ascii="宋体" w:hAnsi="宋体" w:eastAsia="宋体" w:cs="宋体"/>
          <w:szCs w:val="21"/>
          <w:u w:val="single"/>
          <w:lang w:val="zh-CN"/>
        </w:rPr>
        <w:t>（项目编号：  ）</w:t>
      </w:r>
      <w:r>
        <w:rPr>
          <w:rFonts w:hint="eastAsia" w:ascii="宋体" w:hAnsi="宋体" w:eastAsia="宋体" w:cs="宋体"/>
          <w:szCs w:val="21"/>
          <w:lang w:val="zh-CN"/>
        </w:rPr>
        <w:t>投标活动中，我方保证做到：</w:t>
      </w:r>
    </w:p>
    <w:p w14:paraId="22BC9E03">
      <w:pPr>
        <w:autoSpaceDE w:val="0"/>
        <w:autoSpaceDN w:val="0"/>
        <w:adjustRightInd w:val="0"/>
        <w:spacing w:line="360" w:lineRule="auto"/>
        <w:ind w:firstLine="630" w:firstLineChars="300"/>
        <w:jc w:val="left"/>
        <w:rPr>
          <w:rFonts w:ascii="宋体" w:hAnsi="宋体" w:eastAsia="宋体" w:cs="宋体"/>
          <w:szCs w:val="21"/>
          <w:lang w:val="zh-CN"/>
        </w:rPr>
      </w:pPr>
      <w:r>
        <w:rPr>
          <w:rFonts w:hint="eastAsia" w:ascii="宋体" w:hAnsi="宋体" w:eastAsia="宋体" w:cs="宋体"/>
          <w:szCs w:val="21"/>
          <w:lang w:val="zh-CN"/>
        </w:rPr>
        <w:t>一、公平竞争参加本次公开采购活动。</w:t>
      </w:r>
    </w:p>
    <w:p w14:paraId="654C180A">
      <w:pPr>
        <w:autoSpaceDE w:val="0"/>
        <w:autoSpaceDN w:val="0"/>
        <w:adjustRightInd w:val="0"/>
        <w:spacing w:line="360" w:lineRule="auto"/>
        <w:ind w:firstLine="630" w:firstLineChars="300"/>
        <w:jc w:val="left"/>
        <w:rPr>
          <w:rFonts w:ascii="宋体" w:hAnsi="宋体" w:eastAsia="宋体" w:cs="宋体"/>
          <w:szCs w:val="21"/>
          <w:lang w:val="zh-CN"/>
        </w:rPr>
      </w:pPr>
      <w:r>
        <w:rPr>
          <w:rFonts w:hint="eastAsia" w:ascii="宋体" w:hAnsi="宋体" w:eastAsia="宋体" w:cs="宋体"/>
          <w:szCs w:val="21"/>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2954E0F">
      <w:pPr>
        <w:autoSpaceDE w:val="0"/>
        <w:autoSpaceDN w:val="0"/>
        <w:adjustRightInd w:val="0"/>
        <w:spacing w:line="360" w:lineRule="auto"/>
        <w:ind w:firstLine="630" w:firstLineChars="300"/>
        <w:jc w:val="left"/>
        <w:rPr>
          <w:rFonts w:ascii="宋体" w:hAnsi="宋体" w:eastAsia="宋体" w:cs="宋体"/>
          <w:szCs w:val="21"/>
          <w:lang w:val="zh-CN"/>
        </w:rPr>
      </w:pPr>
      <w:r>
        <w:rPr>
          <w:rFonts w:hint="eastAsia" w:ascii="宋体" w:hAnsi="宋体" w:eastAsia="宋体" w:cs="宋体"/>
          <w:szCs w:val="21"/>
          <w:lang w:val="zh-CN"/>
        </w:rPr>
        <w:t>三、若出现上述行为，我方及参与投标的工作人员愿意接受按照国家法律法规等有关规定给予的处罚。</w:t>
      </w:r>
    </w:p>
    <w:p w14:paraId="5D182145">
      <w:pPr>
        <w:spacing w:line="360" w:lineRule="auto"/>
        <w:ind w:left="645" w:firstLine="420"/>
        <w:rPr>
          <w:rFonts w:ascii="宋体" w:hAnsi="宋体" w:eastAsia="宋体" w:cs="宋体"/>
          <w:szCs w:val="21"/>
        </w:rPr>
      </w:pPr>
    </w:p>
    <w:p w14:paraId="73F7DA3C">
      <w:pPr>
        <w:spacing w:line="360" w:lineRule="auto"/>
        <w:ind w:left="645" w:firstLine="420"/>
        <w:rPr>
          <w:rFonts w:ascii="宋体" w:hAnsi="宋体" w:eastAsia="宋体" w:cs="宋体"/>
          <w:szCs w:val="21"/>
        </w:rPr>
      </w:pPr>
    </w:p>
    <w:p w14:paraId="6CEE2A5A">
      <w:pPr>
        <w:spacing w:line="360" w:lineRule="auto"/>
        <w:ind w:left="645" w:firstLine="420"/>
        <w:rPr>
          <w:rFonts w:ascii="宋体" w:hAnsi="宋体" w:eastAsia="宋体" w:cs="宋体"/>
          <w:szCs w:val="21"/>
        </w:rPr>
      </w:pPr>
    </w:p>
    <w:p w14:paraId="0A50E749">
      <w:pPr>
        <w:spacing w:line="360" w:lineRule="auto"/>
        <w:ind w:left="645" w:firstLine="420"/>
        <w:rPr>
          <w:rFonts w:ascii="宋体" w:hAnsi="宋体" w:eastAsia="宋体" w:cs="宋体"/>
          <w:szCs w:val="21"/>
        </w:rPr>
      </w:pPr>
    </w:p>
    <w:p w14:paraId="1781BAC7">
      <w:pPr>
        <w:spacing w:line="360" w:lineRule="auto"/>
        <w:ind w:left="645" w:firstLine="420"/>
        <w:rPr>
          <w:rFonts w:ascii="宋体" w:hAnsi="宋体" w:eastAsia="宋体" w:cs="宋体"/>
          <w:szCs w:val="21"/>
        </w:rPr>
      </w:pPr>
    </w:p>
    <w:p w14:paraId="47E69A8A">
      <w:pPr>
        <w:spacing w:line="360" w:lineRule="auto"/>
        <w:ind w:left="645" w:right="-512" w:rightChars="-244" w:firstLine="4620" w:firstLineChars="2200"/>
        <w:rPr>
          <w:rFonts w:ascii="宋体" w:hAnsi="宋体" w:eastAsia="宋体" w:cs="宋体"/>
          <w:szCs w:val="21"/>
        </w:rPr>
      </w:pPr>
      <w:r>
        <w:rPr>
          <w:rFonts w:hint="eastAsia" w:ascii="宋体" w:hAnsi="宋体" w:eastAsia="宋体" w:cs="宋体"/>
          <w:szCs w:val="21"/>
        </w:rPr>
        <w:t>供应商：</w:t>
      </w:r>
      <w:r>
        <w:rPr>
          <w:rFonts w:hint="eastAsia" w:ascii="宋体" w:hAnsi="宋体" w:eastAsia="宋体" w:cs="宋体"/>
          <w:szCs w:val="21"/>
          <w:u w:val="single"/>
        </w:rPr>
        <w:t xml:space="preserve">       </w:t>
      </w:r>
      <w:r>
        <w:rPr>
          <w:rFonts w:hint="eastAsia" w:ascii="宋体" w:hAnsi="宋体" w:eastAsia="宋体" w:cs="宋体"/>
          <w:szCs w:val="21"/>
        </w:rPr>
        <w:t>（单位电子签章）　</w:t>
      </w:r>
    </w:p>
    <w:p w14:paraId="02448864">
      <w:pPr>
        <w:spacing w:line="360" w:lineRule="auto"/>
        <w:ind w:left="645" w:right="-512" w:rightChars="-244" w:firstLine="3150" w:firstLineChars="1500"/>
        <w:rPr>
          <w:rFonts w:ascii="宋体" w:hAnsi="宋体" w:eastAsia="宋体" w:cs="宋体"/>
          <w:szCs w:val="21"/>
        </w:rPr>
      </w:pPr>
      <w:r>
        <w:rPr>
          <w:rFonts w:hint="eastAsia" w:ascii="宋体" w:hAnsi="宋体" w:eastAsia="宋体" w:cs="宋体"/>
          <w:szCs w:val="21"/>
        </w:rPr>
        <w:t>法定代表人或授权代表：</w:t>
      </w:r>
      <w:r>
        <w:rPr>
          <w:rFonts w:hint="eastAsia" w:ascii="宋体" w:hAnsi="宋体" w:eastAsia="宋体" w:cs="宋体"/>
          <w:szCs w:val="21"/>
          <w:u w:val="single"/>
        </w:rPr>
        <w:t xml:space="preserve">       </w:t>
      </w:r>
      <w:r>
        <w:rPr>
          <w:rFonts w:hint="eastAsia" w:ascii="宋体" w:hAnsi="宋体" w:eastAsia="宋体" w:cs="宋体"/>
          <w:szCs w:val="21"/>
        </w:rPr>
        <w:t>（电子签名或盖章）</w:t>
      </w:r>
    </w:p>
    <w:p w14:paraId="2E5C28AE">
      <w:pPr>
        <w:spacing w:line="360" w:lineRule="auto"/>
        <w:ind w:firstLine="5250" w:firstLineChars="2500"/>
        <w:rPr>
          <w:rFonts w:ascii="宋体" w:hAnsi="宋体" w:eastAsia="宋体" w:cs="宋体"/>
          <w:szCs w:val="21"/>
        </w:rPr>
      </w:pPr>
      <w:r>
        <w:rPr>
          <w:rFonts w:hint="eastAsia" w:ascii="宋体" w:hAnsi="宋体" w:eastAsia="宋体" w:cs="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6B0B5F1">
      <w:pPr>
        <w:ind w:firstLine="560"/>
        <w:rPr>
          <w:rFonts w:ascii="宋体" w:hAnsi="宋体" w:eastAsia="宋体" w:cs="宋体"/>
          <w:sz w:val="28"/>
          <w:szCs w:val="28"/>
        </w:rPr>
      </w:pPr>
      <w:r>
        <w:rPr>
          <w:rFonts w:hint="eastAsia" w:ascii="宋体" w:hAnsi="宋体" w:eastAsia="宋体" w:cs="宋体"/>
          <w:sz w:val="28"/>
          <w:szCs w:val="28"/>
        </w:rPr>
        <w:br w:type="page"/>
      </w:r>
    </w:p>
    <w:p w14:paraId="3DF82AD4">
      <w:pPr>
        <w:pStyle w:val="6"/>
        <w:keepLines w:val="0"/>
        <w:ind w:firstLine="562"/>
        <w:jc w:val="center"/>
        <w:rPr>
          <w:rFonts w:eastAsia="宋体" w:cs="宋体"/>
          <w:b/>
          <w:bCs/>
          <w:sz w:val="28"/>
          <w:szCs w:val="28"/>
        </w:rPr>
      </w:pPr>
      <w:r>
        <w:rPr>
          <w:rFonts w:hint="eastAsia" w:eastAsia="宋体" w:cs="宋体"/>
          <w:b/>
          <w:bCs/>
          <w:sz w:val="28"/>
          <w:szCs w:val="28"/>
        </w:rPr>
        <w:t>十三、其他材料</w:t>
      </w:r>
    </w:p>
    <w:p w14:paraId="2C5CD164">
      <w:pPr>
        <w:spacing w:line="360" w:lineRule="auto"/>
        <w:ind w:firstLine="422"/>
        <w:jc w:val="center"/>
        <w:outlineLvl w:val="2"/>
        <w:rPr>
          <w:rFonts w:ascii="宋体" w:hAnsi="宋体" w:eastAsia="宋体" w:cs="宋体"/>
          <w:b/>
          <w:szCs w:val="21"/>
        </w:rPr>
      </w:pPr>
      <w:r>
        <w:rPr>
          <w:rFonts w:hint="eastAsia" w:ascii="宋体" w:hAnsi="宋体" w:eastAsia="宋体" w:cs="宋体"/>
          <w:b/>
          <w:szCs w:val="21"/>
        </w:rPr>
        <w:t>1、信用承诺函</w:t>
      </w:r>
    </w:p>
    <w:p w14:paraId="15C1C54A">
      <w:pPr>
        <w:spacing w:line="360" w:lineRule="auto"/>
        <w:ind w:firstLine="0" w:firstLineChars="0"/>
        <w:rPr>
          <w:rFonts w:ascii="宋体" w:hAnsi="宋体" w:eastAsia="宋体" w:cs="宋体"/>
          <w:szCs w:val="21"/>
        </w:rPr>
      </w:pPr>
      <w:r>
        <w:rPr>
          <w:rFonts w:hint="eastAsia" w:ascii="宋体" w:hAnsi="宋体" w:eastAsia="宋体" w:cs="宋体"/>
          <w:szCs w:val="21"/>
        </w:rPr>
        <w:t>致</w:t>
      </w:r>
      <w:r>
        <w:rPr>
          <w:rFonts w:hint="eastAsia" w:ascii="宋体" w:hAnsi="宋体" w:eastAsia="宋体" w:cs="宋体"/>
          <w:szCs w:val="21"/>
          <w:u w:val="single"/>
        </w:rPr>
        <w:t xml:space="preserve">                         </w:t>
      </w:r>
      <w:r>
        <w:rPr>
          <w:rFonts w:hint="eastAsia" w:ascii="宋体" w:hAnsi="宋体" w:eastAsia="宋体" w:cs="宋体"/>
          <w:szCs w:val="21"/>
        </w:rPr>
        <w:t>（采购人及采购代理机构）：</w:t>
      </w:r>
    </w:p>
    <w:p w14:paraId="2B18AB18">
      <w:pPr>
        <w:spacing w:line="360" w:lineRule="auto"/>
        <w:ind w:firstLine="420"/>
        <w:rPr>
          <w:rFonts w:ascii="宋体" w:hAnsi="宋体" w:eastAsia="宋体" w:cs="宋体"/>
          <w:szCs w:val="21"/>
        </w:rPr>
      </w:pPr>
      <w:r>
        <w:rPr>
          <w:rFonts w:hint="eastAsia" w:ascii="宋体" w:hAnsi="宋体" w:eastAsia="宋体" w:cs="宋体"/>
          <w:szCs w:val="21"/>
        </w:rPr>
        <w:t>我公司作为本次采购项目的供应商，根据招标文件要求，现郑重承诺如下：</w:t>
      </w:r>
    </w:p>
    <w:p w14:paraId="7A417B02">
      <w:pPr>
        <w:spacing w:line="360" w:lineRule="auto"/>
        <w:ind w:firstLine="420"/>
        <w:rPr>
          <w:rFonts w:ascii="宋体" w:hAnsi="宋体" w:eastAsia="宋体" w:cs="宋体"/>
          <w:szCs w:val="21"/>
        </w:rPr>
      </w:pPr>
      <w:r>
        <w:rPr>
          <w:rFonts w:hint="eastAsia" w:ascii="宋体" w:hAnsi="宋体" w:eastAsia="宋体" w:cs="宋体"/>
          <w:szCs w:val="21"/>
        </w:rPr>
        <w:t>一、具备《中华人民共和国政府采购法》第二十二条第一款和本项目规定的条件：</w:t>
      </w:r>
    </w:p>
    <w:p w14:paraId="2D4B428F">
      <w:pPr>
        <w:spacing w:line="360" w:lineRule="auto"/>
        <w:ind w:firstLine="420"/>
        <w:rPr>
          <w:rFonts w:ascii="宋体" w:hAnsi="宋体" w:eastAsia="宋体" w:cs="宋体"/>
          <w:szCs w:val="21"/>
        </w:rPr>
      </w:pPr>
      <w:r>
        <w:rPr>
          <w:rFonts w:hint="eastAsia" w:ascii="宋体" w:hAnsi="宋体" w:eastAsia="宋体" w:cs="宋体"/>
          <w:szCs w:val="21"/>
        </w:rPr>
        <w:t>（一）具有独立承担民事责任的能力； 　　</w:t>
      </w:r>
    </w:p>
    <w:p w14:paraId="2B4770F3">
      <w:pPr>
        <w:spacing w:line="360" w:lineRule="auto"/>
        <w:ind w:firstLine="420"/>
        <w:rPr>
          <w:rFonts w:ascii="宋体" w:hAnsi="宋体" w:eastAsia="宋体" w:cs="宋体"/>
          <w:szCs w:val="21"/>
        </w:rPr>
      </w:pPr>
      <w:r>
        <w:rPr>
          <w:rFonts w:hint="eastAsia" w:ascii="宋体" w:hAnsi="宋体" w:eastAsia="宋体" w:cs="宋体"/>
          <w:szCs w:val="21"/>
        </w:rPr>
        <w:t>（二）具有良好的商业信誉和健全的财务会计制度； 　</w:t>
      </w:r>
    </w:p>
    <w:p w14:paraId="301332CF">
      <w:pPr>
        <w:spacing w:line="360" w:lineRule="auto"/>
        <w:ind w:firstLine="420"/>
        <w:rPr>
          <w:rFonts w:ascii="宋体" w:hAnsi="宋体" w:eastAsia="宋体" w:cs="宋体"/>
          <w:szCs w:val="21"/>
        </w:rPr>
      </w:pPr>
      <w:r>
        <w:rPr>
          <w:rFonts w:hint="eastAsia" w:ascii="宋体" w:hAnsi="宋体" w:eastAsia="宋体" w:cs="宋体"/>
          <w:szCs w:val="21"/>
        </w:rPr>
        <w:t>（三）具有履行合同所必需的设备和专业技术能力； 　　</w:t>
      </w:r>
    </w:p>
    <w:p w14:paraId="2229FD33">
      <w:pPr>
        <w:spacing w:line="360" w:lineRule="auto"/>
        <w:ind w:firstLine="420"/>
        <w:rPr>
          <w:rFonts w:ascii="宋体" w:hAnsi="宋体" w:eastAsia="宋体" w:cs="宋体"/>
          <w:szCs w:val="21"/>
        </w:rPr>
      </w:pPr>
      <w:r>
        <w:rPr>
          <w:rFonts w:hint="eastAsia" w:ascii="宋体" w:hAnsi="宋体" w:eastAsia="宋体" w:cs="宋体"/>
          <w:szCs w:val="21"/>
        </w:rPr>
        <w:t>（四）有依法缴纳税收和社会保障资金的良好记录； 　　</w:t>
      </w:r>
    </w:p>
    <w:p w14:paraId="11807162">
      <w:pPr>
        <w:spacing w:line="360" w:lineRule="auto"/>
        <w:ind w:firstLine="420"/>
        <w:rPr>
          <w:rFonts w:ascii="宋体" w:hAnsi="宋体" w:eastAsia="宋体" w:cs="宋体"/>
          <w:szCs w:val="21"/>
        </w:rPr>
      </w:pPr>
      <w:r>
        <w:rPr>
          <w:rFonts w:hint="eastAsia" w:ascii="宋体" w:hAnsi="宋体" w:eastAsia="宋体" w:cs="宋体"/>
          <w:szCs w:val="21"/>
        </w:rPr>
        <w:t>（五）参加政府采购活动前三年内，在经营活动中没有重大违法记录；</w:t>
      </w:r>
    </w:p>
    <w:p w14:paraId="353A9BB5">
      <w:pPr>
        <w:spacing w:line="360" w:lineRule="auto"/>
        <w:ind w:firstLine="420"/>
        <w:rPr>
          <w:rFonts w:ascii="宋体" w:hAnsi="宋体" w:eastAsia="宋体" w:cs="宋体"/>
          <w:szCs w:val="21"/>
        </w:rPr>
      </w:pPr>
      <w:r>
        <w:rPr>
          <w:rFonts w:hint="eastAsia" w:ascii="宋体" w:hAnsi="宋体" w:eastAsia="宋体" w:cs="宋体"/>
          <w:szCs w:val="21"/>
        </w:rPr>
        <w:t>（六）法律、行政法规规定的其他条件；</w:t>
      </w:r>
    </w:p>
    <w:p w14:paraId="29F39144">
      <w:pPr>
        <w:spacing w:line="360" w:lineRule="auto"/>
        <w:ind w:firstLine="420"/>
        <w:rPr>
          <w:rFonts w:ascii="宋体" w:hAnsi="宋体" w:eastAsia="宋体" w:cs="宋体"/>
          <w:szCs w:val="21"/>
        </w:rPr>
      </w:pPr>
      <w:r>
        <w:rPr>
          <w:rFonts w:hint="eastAsia" w:ascii="宋体" w:hAnsi="宋体" w:eastAsia="宋体" w:cs="宋体"/>
          <w:szCs w:val="21"/>
        </w:rPr>
        <w:t>（七）根据采购项目提出的特殊条件。</w:t>
      </w:r>
    </w:p>
    <w:p w14:paraId="79750DF4">
      <w:pPr>
        <w:spacing w:line="360" w:lineRule="auto"/>
        <w:ind w:firstLine="420"/>
        <w:rPr>
          <w:rFonts w:ascii="宋体" w:hAnsi="宋体" w:eastAsia="宋体" w:cs="宋体"/>
          <w:szCs w:val="21"/>
        </w:rPr>
      </w:pPr>
      <w:r>
        <w:rPr>
          <w:rFonts w:hint="eastAsia" w:ascii="宋体" w:hAnsi="宋体" w:eastAsia="宋体" w:cs="宋体"/>
          <w:szCs w:val="21"/>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0CCB80EA">
      <w:pPr>
        <w:spacing w:line="360" w:lineRule="auto"/>
        <w:ind w:firstLine="420"/>
        <w:rPr>
          <w:rFonts w:ascii="宋体" w:hAnsi="宋体" w:eastAsia="宋体" w:cs="宋体"/>
          <w:szCs w:val="21"/>
        </w:rPr>
      </w:pPr>
      <w:r>
        <w:rPr>
          <w:rFonts w:hint="eastAsia" w:ascii="宋体" w:hAnsi="宋体" w:eastAsia="宋体" w:cs="宋体"/>
          <w:szCs w:val="21"/>
        </w:rPr>
        <w:t>三、参加本次招标采购活动，不存在与单位负责人为同一人或者存在直接控股、管理关系的其他供应商参与同一合同项下的政府采购活动的行为。    </w:t>
      </w:r>
    </w:p>
    <w:p w14:paraId="632738C7">
      <w:pPr>
        <w:spacing w:line="360" w:lineRule="auto"/>
        <w:ind w:firstLine="420"/>
        <w:rPr>
          <w:rFonts w:ascii="宋体" w:hAnsi="宋体" w:eastAsia="宋体" w:cs="宋体"/>
          <w:szCs w:val="21"/>
        </w:rPr>
      </w:pPr>
      <w:r>
        <w:rPr>
          <w:rFonts w:hint="eastAsia" w:ascii="宋体" w:hAnsi="宋体" w:eastAsia="宋体" w:cs="宋体"/>
          <w:szCs w:val="21"/>
        </w:rPr>
        <w:t>四、参加本次招标采购活动，不存在为采购项目提供整体设计、规范编制或者项目管理、监理、检测等服务的行为。</w:t>
      </w:r>
    </w:p>
    <w:p w14:paraId="2A4020DF">
      <w:pPr>
        <w:spacing w:line="360" w:lineRule="auto"/>
        <w:ind w:firstLine="420"/>
        <w:rPr>
          <w:rFonts w:ascii="宋体" w:hAnsi="宋体" w:eastAsia="宋体" w:cs="宋体"/>
          <w:szCs w:val="21"/>
        </w:rPr>
      </w:pPr>
      <w:r>
        <w:rPr>
          <w:rFonts w:hint="eastAsia" w:ascii="宋体" w:hAnsi="宋体" w:eastAsia="宋体" w:cs="宋体"/>
          <w:szCs w:val="21"/>
        </w:rPr>
        <w:t>五、参加本次招标采购活动，不存在和其他供应商在同一合同项下的采购项目中，同时委托同一个自然人、同一家庭的人员、同一单位的人员作为代理人的行为。</w:t>
      </w:r>
    </w:p>
    <w:p w14:paraId="552191D6">
      <w:pPr>
        <w:spacing w:line="360" w:lineRule="auto"/>
        <w:ind w:firstLine="420"/>
        <w:rPr>
          <w:rFonts w:ascii="宋体" w:hAnsi="宋体" w:eastAsia="宋体" w:cs="宋体"/>
          <w:szCs w:val="21"/>
        </w:rPr>
      </w:pPr>
      <w:r>
        <w:rPr>
          <w:rFonts w:hint="eastAsia" w:ascii="宋体" w:hAnsi="宋体" w:eastAsia="宋体" w:cs="宋体"/>
          <w:szCs w:val="21"/>
        </w:rPr>
        <w:t>六、供应商参加本次政府采购活动要求在近三年内供应商和其法定代表人没有行贿犯罪行为。</w:t>
      </w:r>
    </w:p>
    <w:p w14:paraId="310E3B92">
      <w:pPr>
        <w:spacing w:line="360" w:lineRule="auto"/>
        <w:ind w:firstLine="420"/>
        <w:rPr>
          <w:rFonts w:ascii="宋体" w:hAnsi="宋体" w:eastAsia="宋体" w:cs="宋体"/>
          <w:szCs w:val="21"/>
        </w:rPr>
      </w:pPr>
      <w:r>
        <w:rPr>
          <w:rFonts w:hint="eastAsia" w:ascii="宋体" w:hAnsi="宋体" w:eastAsia="宋体" w:cs="宋体"/>
          <w:szCs w:val="21"/>
        </w:rPr>
        <w:t>七、参加本次招标采购活动，不存在联合体投标。</w:t>
      </w:r>
    </w:p>
    <w:p w14:paraId="165FA0E8">
      <w:pPr>
        <w:spacing w:line="360" w:lineRule="auto"/>
        <w:ind w:firstLine="420"/>
        <w:rPr>
          <w:rFonts w:ascii="宋体" w:hAnsi="宋体" w:eastAsia="宋体" w:cs="宋体"/>
          <w:szCs w:val="21"/>
        </w:rPr>
      </w:pPr>
      <w:r>
        <w:rPr>
          <w:rFonts w:hint="eastAsia" w:ascii="宋体" w:hAnsi="宋体" w:eastAsia="宋体" w:cs="宋体"/>
          <w:szCs w:val="21"/>
        </w:rPr>
        <w:t>八、投标文件中提供的能够给予我公司带来优惠、好处的任何材料资料和技术、服务、商务等相应承诺情况都是真实的、有效的、合法的。</w:t>
      </w:r>
    </w:p>
    <w:p w14:paraId="311751A0">
      <w:pPr>
        <w:spacing w:line="360" w:lineRule="auto"/>
        <w:ind w:firstLine="420"/>
        <w:rPr>
          <w:rFonts w:ascii="宋体" w:hAnsi="宋体" w:eastAsia="宋体" w:cs="宋体"/>
          <w:szCs w:val="21"/>
        </w:rPr>
      </w:pPr>
      <w:r>
        <w:rPr>
          <w:rFonts w:hint="eastAsia" w:ascii="宋体" w:hAnsi="宋体" w:eastAsia="宋体" w:cs="宋体"/>
          <w:szCs w:val="21"/>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6164336F">
      <w:pPr>
        <w:spacing w:line="360" w:lineRule="auto"/>
        <w:ind w:firstLine="420"/>
        <w:rPr>
          <w:rFonts w:ascii="宋体" w:hAnsi="宋体" w:eastAsia="宋体" w:cs="宋体"/>
          <w:szCs w:val="21"/>
        </w:rPr>
      </w:pPr>
      <w:r>
        <w:rPr>
          <w:rFonts w:hint="eastAsia" w:ascii="宋体" w:hAnsi="宋体" w:eastAsia="宋体" w:cs="宋体"/>
          <w:szCs w:val="21"/>
        </w:rPr>
        <w:t>十、存在以下行为之一的愿意接受相关部门的处理：</w:t>
      </w:r>
    </w:p>
    <w:p w14:paraId="49B896D3">
      <w:pPr>
        <w:spacing w:line="360" w:lineRule="auto"/>
        <w:ind w:firstLine="420"/>
        <w:rPr>
          <w:rFonts w:ascii="宋体" w:hAnsi="宋体" w:eastAsia="宋体" w:cs="宋体"/>
          <w:szCs w:val="21"/>
        </w:rPr>
      </w:pPr>
      <w:r>
        <w:rPr>
          <w:rFonts w:hint="eastAsia" w:ascii="宋体" w:hAnsi="宋体" w:eastAsia="宋体" w:cs="宋体"/>
          <w:szCs w:val="21"/>
        </w:rPr>
        <w:t>   （一）投标有效期内撤销投标文件的；</w:t>
      </w:r>
    </w:p>
    <w:p w14:paraId="6513BA13">
      <w:pPr>
        <w:spacing w:line="360" w:lineRule="auto"/>
        <w:ind w:firstLine="420"/>
        <w:rPr>
          <w:rFonts w:ascii="宋体" w:hAnsi="宋体" w:eastAsia="宋体" w:cs="宋体"/>
          <w:szCs w:val="21"/>
        </w:rPr>
      </w:pPr>
      <w:r>
        <w:rPr>
          <w:rFonts w:hint="eastAsia" w:ascii="宋体" w:hAnsi="宋体" w:eastAsia="宋体" w:cs="宋体"/>
          <w:szCs w:val="21"/>
        </w:rPr>
        <w:t>   （二）在采购人确定成交人以前放弃中标候选资格的；</w:t>
      </w:r>
    </w:p>
    <w:p w14:paraId="600059B4">
      <w:pPr>
        <w:spacing w:line="360" w:lineRule="auto"/>
        <w:ind w:firstLine="420"/>
        <w:rPr>
          <w:rFonts w:ascii="宋体" w:hAnsi="宋体" w:eastAsia="宋体" w:cs="宋体"/>
          <w:szCs w:val="21"/>
        </w:rPr>
      </w:pPr>
      <w:r>
        <w:rPr>
          <w:rFonts w:hint="eastAsia" w:ascii="宋体" w:hAnsi="宋体" w:eastAsia="宋体" w:cs="宋体"/>
          <w:szCs w:val="21"/>
        </w:rPr>
        <w:t>   （三）由于成交人的原因未能按照招标文件的规定与采购人签订合同；</w:t>
      </w:r>
    </w:p>
    <w:p w14:paraId="3796253F">
      <w:pPr>
        <w:spacing w:line="360" w:lineRule="auto"/>
        <w:ind w:firstLine="420"/>
        <w:rPr>
          <w:rFonts w:ascii="宋体" w:hAnsi="宋体" w:eastAsia="宋体" w:cs="宋体"/>
          <w:szCs w:val="21"/>
        </w:rPr>
      </w:pPr>
      <w:r>
        <w:rPr>
          <w:rFonts w:hint="eastAsia" w:ascii="宋体" w:hAnsi="宋体" w:eastAsia="宋体" w:cs="宋体"/>
          <w:szCs w:val="21"/>
        </w:rPr>
        <w:t>   （四）在投标文件中提供虚假材料谋取中标；</w:t>
      </w:r>
    </w:p>
    <w:p w14:paraId="52DD02ED">
      <w:pPr>
        <w:spacing w:line="360" w:lineRule="auto"/>
        <w:ind w:firstLine="420"/>
        <w:rPr>
          <w:rFonts w:ascii="宋体" w:hAnsi="宋体" w:eastAsia="宋体" w:cs="宋体"/>
          <w:szCs w:val="21"/>
        </w:rPr>
      </w:pPr>
      <w:r>
        <w:rPr>
          <w:rFonts w:hint="eastAsia" w:ascii="宋体" w:hAnsi="宋体" w:eastAsia="宋体" w:cs="宋体"/>
          <w:szCs w:val="21"/>
        </w:rPr>
        <w:t>   （五）与采购人、其他供应商或者采购代理机构恶意串通的；</w:t>
      </w:r>
    </w:p>
    <w:p w14:paraId="3EBB1702">
      <w:pPr>
        <w:spacing w:line="360" w:lineRule="auto"/>
        <w:ind w:firstLine="420"/>
        <w:rPr>
          <w:rFonts w:ascii="宋体" w:hAnsi="宋体" w:eastAsia="宋体" w:cs="宋体"/>
          <w:szCs w:val="21"/>
        </w:rPr>
      </w:pPr>
      <w:r>
        <w:rPr>
          <w:rFonts w:hint="eastAsia" w:ascii="宋体" w:hAnsi="宋体" w:eastAsia="宋体" w:cs="宋体"/>
          <w:szCs w:val="21"/>
        </w:rPr>
        <w:t>   （六）投标有效期内，供应商在政府采购活动中有违法、违规、违纪行为。</w:t>
      </w:r>
    </w:p>
    <w:p w14:paraId="30210C55">
      <w:pPr>
        <w:spacing w:line="360" w:lineRule="auto"/>
        <w:ind w:firstLine="420"/>
        <w:rPr>
          <w:rFonts w:ascii="宋体" w:hAnsi="宋体" w:eastAsia="宋体" w:cs="宋体"/>
          <w:szCs w:val="21"/>
        </w:rPr>
      </w:pPr>
      <w:r>
        <w:rPr>
          <w:rFonts w:hint="eastAsia" w:ascii="宋体" w:hAnsi="宋体" w:eastAsia="宋体" w:cs="宋体"/>
          <w:szCs w:val="21"/>
        </w:rPr>
        <w:t> 由此产生的一切法律后果和责任由我公司承担。我公司声明放弃对此提出任何异议和追索的权利。</w:t>
      </w:r>
    </w:p>
    <w:p w14:paraId="70E5B3A2">
      <w:pPr>
        <w:spacing w:line="360" w:lineRule="auto"/>
        <w:ind w:firstLine="420"/>
        <w:rPr>
          <w:rFonts w:ascii="宋体" w:hAnsi="宋体" w:eastAsia="宋体" w:cs="宋体"/>
          <w:szCs w:val="21"/>
        </w:rPr>
      </w:pPr>
      <w:r>
        <w:rPr>
          <w:rFonts w:hint="eastAsia" w:ascii="宋体" w:hAnsi="宋体" w:eastAsia="宋体" w:cs="宋体"/>
          <w:szCs w:val="21"/>
        </w:rPr>
        <w:t>本公司对上述承诺的内容事项真实性负责。如经查实上述承诺的内容事项存在虚假，我公司愿意接受以提供虚假材料谋取中标追究法律责任。</w:t>
      </w:r>
    </w:p>
    <w:p w14:paraId="7202B6C2">
      <w:pPr>
        <w:spacing w:line="360" w:lineRule="auto"/>
        <w:ind w:firstLine="420"/>
        <w:rPr>
          <w:rFonts w:ascii="宋体" w:hAnsi="宋体" w:eastAsia="宋体" w:cs="宋体"/>
          <w:szCs w:val="21"/>
        </w:rPr>
      </w:pPr>
      <w:r>
        <w:rPr>
          <w:rFonts w:hint="eastAsia" w:ascii="宋体" w:hAnsi="宋体" w:eastAsia="宋体" w:cs="宋体"/>
          <w:szCs w:val="21"/>
        </w:rPr>
        <w:t>       </w:t>
      </w:r>
    </w:p>
    <w:p w14:paraId="34B9DDF3">
      <w:pPr>
        <w:spacing w:line="360" w:lineRule="auto"/>
        <w:ind w:firstLine="420"/>
        <w:rPr>
          <w:rFonts w:ascii="宋体" w:hAnsi="宋体" w:eastAsia="宋体" w:cs="宋体"/>
          <w:szCs w:val="21"/>
        </w:rPr>
      </w:pPr>
      <w:r>
        <w:rPr>
          <w:rFonts w:hint="eastAsia" w:ascii="宋体" w:hAnsi="宋体" w:eastAsia="宋体" w:cs="宋体"/>
          <w:szCs w:val="21"/>
        </w:rPr>
        <w:t>投标人名称：</w:t>
      </w:r>
      <w:r>
        <w:rPr>
          <w:rFonts w:hint="eastAsia" w:ascii="宋体" w:hAnsi="宋体" w:eastAsia="宋体" w:cs="宋体"/>
          <w:szCs w:val="21"/>
          <w:u w:val="single"/>
        </w:rPr>
        <w:t xml:space="preserve">                                     </w:t>
      </w:r>
      <w:r>
        <w:rPr>
          <w:rFonts w:hint="eastAsia" w:ascii="宋体" w:hAnsi="宋体" w:eastAsia="宋体" w:cs="宋体"/>
          <w:szCs w:val="21"/>
        </w:rPr>
        <w:t>（单位电子签章）</w:t>
      </w:r>
    </w:p>
    <w:p w14:paraId="1DDB325C">
      <w:pPr>
        <w:spacing w:line="360" w:lineRule="auto"/>
        <w:ind w:firstLine="420"/>
        <w:rPr>
          <w:rFonts w:ascii="宋体" w:hAnsi="宋体" w:eastAsia="宋体" w:cs="宋体"/>
          <w:szCs w:val="21"/>
        </w:rPr>
      </w:pPr>
      <w:r>
        <w:rPr>
          <w:rFonts w:hint="eastAsia" w:ascii="宋体" w:hAnsi="宋体" w:eastAsia="宋体" w:cs="宋体"/>
          <w:szCs w:val="21"/>
        </w:rPr>
        <w:t>法定代表人或授权代表：</w:t>
      </w:r>
      <w:r>
        <w:rPr>
          <w:rFonts w:hint="eastAsia" w:ascii="宋体" w:hAnsi="宋体" w:eastAsia="宋体" w:cs="宋体"/>
          <w:szCs w:val="21"/>
          <w:u w:val="single"/>
        </w:rPr>
        <w:t xml:space="preserve">                           </w:t>
      </w:r>
      <w:r>
        <w:rPr>
          <w:rFonts w:hint="eastAsia" w:ascii="宋体" w:hAnsi="宋体" w:eastAsia="宋体" w:cs="宋体"/>
          <w:szCs w:val="21"/>
        </w:rPr>
        <w:t>（电子签名或盖章）</w:t>
      </w:r>
    </w:p>
    <w:p w14:paraId="1DE0CDBA">
      <w:pPr>
        <w:spacing w:line="360" w:lineRule="auto"/>
        <w:ind w:firstLine="420"/>
        <w:rPr>
          <w:rFonts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p>
    <w:p w14:paraId="70042F65">
      <w:pPr>
        <w:ind w:firstLine="422"/>
        <w:rPr>
          <w:rFonts w:ascii="宋体" w:hAnsi="宋体" w:eastAsia="宋体" w:cs="宋体"/>
          <w:b/>
          <w:szCs w:val="21"/>
        </w:rPr>
      </w:pPr>
      <w:r>
        <w:rPr>
          <w:rFonts w:hint="eastAsia" w:ascii="宋体" w:hAnsi="宋体" w:eastAsia="宋体" w:cs="宋体"/>
          <w:b/>
          <w:szCs w:val="21"/>
        </w:rPr>
        <w:br w:type="page"/>
      </w:r>
    </w:p>
    <w:p w14:paraId="499A6A23">
      <w:pPr>
        <w:spacing w:line="360" w:lineRule="auto"/>
        <w:ind w:firstLine="422"/>
        <w:jc w:val="center"/>
        <w:outlineLvl w:val="2"/>
        <w:rPr>
          <w:rFonts w:ascii="宋体" w:hAnsi="宋体" w:eastAsia="宋体" w:cs="宋体"/>
          <w:b/>
          <w:szCs w:val="21"/>
        </w:rPr>
      </w:pPr>
      <w:r>
        <w:rPr>
          <w:rFonts w:hint="eastAsia" w:ascii="宋体" w:hAnsi="宋体" w:eastAsia="宋体" w:cs="宋体"/>
          <w:b/>
          <w:szCs w:val="21"/>
        </w:rPr>
        <w:t>2、采购代理服务费承诺函</w:t>
      </w:r>
    </w:p>
    <w:p w14:paraId="6490E1E9">
      <w:pPr>
        <w:pStyle w:val="24"/>
        <w:shd w:val="clear" w:color="auto" w:fill="FFFFFF"/>
        <w:spacing w:beforeAutospacing="0" w:afterAutospacing="0"/>
        <w:ind w:firstLine="452"/>
        <w:jc w:val="both"/>
        <w:rPr>
          <w:rFonts w:eastAsia="宋体"/>
          <w:spacing w:val="8"/>
          <w:sz w:val="21"/>
          <w:szCs w:val="21"/>
        </w:rPr>
      </w:pPr>
      <w:r>
        <w:rPr>
          <w:rFonts w:hint="eastAsia" w:eastAsia="宋体"/>
          <w:spacing w:val="8"/>
          <w:sz w:val="21"/>
          <w:szCs w:val="21"/>
          <w:shd w:val="clear" w:color="auto" w:fill="FFFFFF"/>
        </w:rPr>
        <w:t> </w:t>
      </w:r>
    </w:p>
    <w:p w14:paraId="141DBF59">
      <w:pPr>
        <w:pStyle w:val="24"/>
        <w:shd w:val="clear" w:color="auto" w:fill="FFFFFF"/>
        <w:spacing w:beforeAutospacing="0" w:afterAutospacing="0" w:line="360" w:lineRule="auto"/>
        <w:ind w:firstLine="452"/>
        <w:jc w:val="both"/>
        <w:rPr>
          <w:rFonts w:eastAsia="宋体"/>
          <w:spacing w:val="8"/>
          <w:sz w:val="21"/>
          <w:szCs w:val="21"/>
        </w:rPr>
      </w:pPr>
      <w:r>
        <w:rPr>
          <w:rFonts w:hint="eastAsia" w:eastAsia="宋体"/>
          <w:spacing w:val="8"/>
          <w:sz w:val="21"/>
          <w:szCs w:val="21"/>
          <w:shd w:val="clear" w:color="auto" w:fill="FFFFFF"/>
        </w:rPr>
        <w:t>致</w:t>
      </w:r>
      <w:r>
        <w:rPr>
          <w:rFonts w:hint="eastAsia" w:eastAsia="宋体"/>
          <w:spacing w:val="8"/>
          <w:sz w:val="21"/>
          <w:szCs w:val="21"/>
          <w:u w:val="single"/>
          <w:shd w:val="clear" w:color="auto" w:fill="FFFFFF"/>
        </w:rPr>
        <w:t>（采购人及采购代理机构） </w:t>
      </w:r>
      <w:r>
        <w:rPr>
          <w:rFonts w:hint="eastAsia" w:eastAsia="宋体"/>
          <w:spacing w:val="8"/>
          <w:sz w:val="21"/>
          <w:szCs w:val="21"/>
          <w:shd w:val="clear" w:color="auto" w:fill="FFFFFF"/>
        </w:rPr>
        <w:t>：</w:t>
      </w:r>
    </w:p>
    <w:p w14:paraId="452633FE">
      <w:pPr>
        <w:pStyle w:val="24"/>
        <w:shd w:val="clear" w:color="auto" w:fill="FFFFFF"/>
        <w:spacing w:beforeAutospacing="0" w:afterAutospacing="0" w:line="360" w:lineRule="auto"/>
        <w:ind w:firstLine="452"/>
        <w:jc w:val="both"/>
        <w:rPr>
          <w:rFonts w:eastAsia="宋体"/>
          <w:spacing w:val="8"/>
          <w:sz w:val="21"/>
          <w:szCs w:val="21"/>
        </w:rPr>
      </w:pPr>
      <w:r>
        <w:rPr>
          <w:rFonts w:hint="eastAsia" w:eastAsia="宋体"/>
          <w:spacing w:val="8"/>
          <w:sz w:val="21"/>
          <w:szCs w:val="21"/>
          <w:shd w:val="clear" w:color="auto" w:fill="FFFFFF"/>
        </w:rPr>
        <w:t>我们在贵公司组织的（项目名称：</w:t>
      </w:r>
      <w:r>
        <w:rPr>
          <w:rFonts w:hint="eastAsia" w:eastAsia="宋体"/>
          <w:spacing w:val="8"/>
          <w:sz w:val="21"/>
          <w:szCs w:val="21"/>
          <w:u w:val="single"/>
          <w:shd w:val="clear" w:color="auto" w:fill="FFFFFF"/>
        </w:rPr>
        <w:t xml:space="preserve">              </w:t>
      </w:r>
      <w:r>
        <w:rPr>
          <w:rFonts w:hint="eastAsia" w:eastAsia="宋体"/>
          <w:spacing w:val="8"/>
          <w:sz w:val="21"/>
          <w:szCs w:val="21"/>
          <w:shd w:val="clear" w:color="auto" w:fill="FFFFFF"/>
        </w:rPr>
        <w:t>，采购编号：</w:t>
      </w:r>
      <w:r>
        <w:rPr>
          <w:rFonts w:hint="eastAsia" w:eastAsia="宋体"/>
          <w:spacing w:val="8"/>
          <w:sz w:val="21"/>
          <w:szCs w:val="21"/>
          <w:u w:val="single"/>
          <w:shd w:val="clear" w:color="auto" w:fill="FFFFFF"/>
        </w:rPr>
        <w:t xml:space="preserve">        </w:t>
      </w:r>
      <w:r>
        <w:rPr>
          <w:rFonts w:hint="eastAsia" w:eastAsia="宋体"/>
          <w:spacing w:val="8"/>
          <w:sz w:val="21"/>
          <w:szCs w:val="21"/>
          <w:shd w:val="clear" w:color="auto" w:fill="FFFFFF"/>
        </w:rPr>
        <w:t>）招标采购中若获中标（成交），我们保证在中标（成交）结果公告发布后5个工作日内，按招标文件的规定，以支票、银行转账、汇票或现金，向贵公司一次性支付采购代理服务费用。否则，由此产生的一切法律后果和责任由我公司承担。我公司声明放弃对此提出任何异议和追索的权利。</w:t>
      </w:r>
    </w:p>
    <w:p w14:paraId="2B30DB37">
      <w:pPr>
        <w:pStyle w:val="24"/>
        <w:shd w:val="clear" w:color="auto" w:fill="FFFFFF"/>
        <w:spacing w:beforeAutospacing="0" w:afterAutospacing="0" w:line="360" w:lineRule="auto"/>
        <w:ind w:firstLine="452"/>
        <w:jc w:val="both"/>
        <w:rPr>
          <w:rFonts w:eastAsia="宋体"/>
          <w:spacing w:val="8"/>
          <w:sz w:val="21"/>
          <w:szCs w:val="21"/>
        </w:rPr>
      </w:pPr>
      <w:r>
        <w:rPr>
          <w:rFonts w:hint="eastAsia" w:eastAsia="宋体"/>
          <w:spacing w:val="8"/>
          <w:sz w:val="21"/>
          <w:szCs w:val="21"/>
          <w:shd w:val="clear" w:color="auto" w:fill="FFFFFF"/>
        </w:rPr>
        <w:t>特此承诺。</w:t>
      </w:r>
    </w:p>
    <w:p w14:paraId="707739E5">
      <w:pPr>
        <w:pStyle w:val="24"/>
        <w:shd w:val="clear" w:color="auto" w:fill="FFFFFF"/>
        <w:spacing w:beforeAutospacing="0" w:afterAutospacing="0" w:line="360" w:lineRule="auto"/>
        <w:ind w:firstLine="452"/>
        <w:jc w:val="both"/>
        <w:rPr>
          <w:rFonts w:eastAsia="宋体"/>
          <w:spacing w:val="8"/>
          <w:sz w:val="21"/>
          <w:szCs w:val="21"/>
        </w:rPr>
      </w:pPr>
      <w:r>
        <w:rPr>
          <w:rFonts w:hint="eastAsia" w:eastAsia="宋体"/>
          <w:spacing w:val="8"/>
          <w:sz w:val="21"/>
          <w:szCs w:val="21"/>
          <w:shd w:val="clear" w:color="auto" w:fill="FFFFFF"/>
        </w:rPr>
        <w:t> </w:t>
      </w:r>
    </w:p>
    <w:p w14:paraId="35964792">
      <w:pPr>
        <w:pStyle w:val="24"/>
        <w:shd w:val="clear" w:color="auto" w:fill="FFFFFF"/>
        <w:spacing w:beforeAutospacing="0" w:afterAutospacing="0" w:line="360" w:lineRule="auto"/>
        <w:ind w:firstLine="452"/>
        <w:jc w:val="both"/>
        <w:rPr>
          <w:rFonts w:eastAsia="宋体"/>
          <w:spacing w:val="8"/>
          <w:sz w:val="21"/>
          <w:szCs w:val="21"/>
        </w:rPr>
      </w:pPr>
      <w:r>
        <w:rPr>
          <w:rFonts w:hint="eastAsia" w:eastAsia="宋体"/>
          <w:spacing w:val="8"/>
          <w:sz w:val="21"/>
          <w:szCs w:val="21"/>
          <w:shd w:val="clear" w:color="auto" w:fill="FFFFFF"/>
        </w:rPr>
        <w:t> </w:t>
      </w:r>
    </w:p>
    <w:p w14:paraId="78C9FF17">
      <w:pPr>
        <w:pStyle w:val="24"/>
        <w:shd w:val="clear" w:color="auto" w:fill="FFFFFF"/>
        <w:spacing w:beforeAutospacing="0" w:afterAutospacing="0" w:line="360" w:lineRule="auto"/>
        <w:ind w:right="-512" w:rightChars="-244" w:firstLine="4972" w:firstLineChars="2200"/>
        <w:rPr>
          <w:rFonts w:eastAsia="宋体"/>
          <w:spacing w:val="8"/>
          <w:sz w:val="21"/>
          <w:szCs w:val="21"/>
        </w:rPr>
      </w:pPr>
      <w:r>
        <w:rPr>
          <w:rFonts w:hint="eastAsia" w:eastAsia="宋体"/>
          <w:spacing w:val="8"/>
          <w:sz w:val="21"/>
          <w:szCs w:val="21"/>
          <w:shd w:val="clear" w:color="auto" w:fill="FFFFFF"/>
        </w:rPr>
        <w:t>供应商名称：</w:t>
      </w:r>
      <w:r>
        <w:rPr>
          <w:rFonts w:hint="eastAsia" w:eastAsia="宋体"/>
          <w:spacing w:val="8"/>
          <w:sz w:val="21"/>
          <w:szCs w:val="21"/>
          <w:u w:val="single"/>
          <w:shd w:val="clear" w:color="auto" w:fill="FFFFFF"/>
        </w:rPr>
        <w:t>     </w:t>
      </w:r>
      <w:r>
        <w:rPr>
          <w:rFonts w:hint="eastAsia" w:eastAsia="宋体"/>
          <w:spacing w:val="8"/>
          <w:sz w:val="21"/>
          <w:szCs w:val="21"/>
          <w:shd w:val="clear" w:color="auto" w:fill="FFFFFF"/>
        </w:rPr>
        <w:t>（单位电子签章）</w:t>
      </w:r>
    </w:p>
    <w:p w14:paraId="7FE24785">
      <w:pPr>
        <w:pStyle w:val="24"/>
        <w:shd w:val="clear" w:color="auto" w:fill="FFFFFF"/>
        <w:spacing w:beforeAutospacing="0" w:afterAutospacing="0" w:line="360" w:lineRule="auto"/>
        <w:ind w:right="-512" w:rightChars="-244" w:firstLine="3842" w:firstLineChars="1700"/>
        <w:rPr>
          <w:rFonts w:eastAsia="宋体"/>
          <w:spacing w:val="8"/>
          <w:sz w:val="21"/>
          <w:szCs w:val="21"/>
        </w:rPr>
      </w:pPr>
      <w:r>
        <w:rPr>
          <w:rFonts w:hint="eastAsia" w:eastAsia="宋体"/>
          <w:spacing w:val="8"/>
          <w:sz w:val="21"/>
          <w:szCs w:val="21"/>
          <w:shd w:val="clear" w:color="auto" w:fill="FFFFFF"/>
        </w:rPr>
        <w:t>法定代表人或授权代表：</w:t>
      </w:r>
      <w:r>
        <w:rPr>
          <w:rFonts w:hint="eastAsia" w:eastAsia="宋体"/>
          <w:spacing w:val="8"/>
          <w:sz w:val="21"/>
          <w:szCs w:val="21"/>
          <w:u w:val="single"/>
          <w:shd w:val="clear" w:color="auto" w:fill="FFFFFF"/>
        </w:rPr>
        <w:t>    </w:t>
      </w:r>
      <w:r>
        <w:rPr>
          <w:rFonts w:hint="eastAsia" w:eastAsia="宋体"/>
          <w:spacing w:val="8"/>
          <w:sz w:val="21"/>
          <w:szCs w:val="21"/>
          <w:shd w:val="clear" w:color="auto" w:fill="FFFFFF"/>
        </w:rPr>
        <w:t>（电子签名或盖章）</w:t>
      </w:r>
    </w:p>
    <w:p w14:paraId="221C97BD">
      <w:pPr>
        <w:pStyle w:val="24"/>
        <w:shd w:val="clear" w:color="auto" w:fill="FFFFFF"/>
        <w:spacing w:beforeAutospacing="0" w:afterAutospacing="0" w:line="360" w:lineRule="auto"/>
        <w:ind w:right="-512" w:rightChars="-244" w:firstLine="4972" w:firstLineChars="2200"/>
        <w:jc w:val="both"/>
        <w:rPr>
          <w:rFonts w:eastAsia="宋体"/>
          <w:spacing w:val="8"/>
          <w:sz w:val="21"/>
          <w:szCs w:val="21"/>
        </w:rPr>
      </w:pPr>
      <w:r>
        <w:rPr>
          <w:rFonts w:hint="eastAsia" w:eastAsia="宋体"/>
          <w:spacing w:val="8"/>
          <w:sz w:val="21"/>
          <w:szCs w:val="21"/>
          <w:shd w:val="clear" w:color="auto" w:fill="FFFFFF"/>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0C31B7A0">
      <w:pPr>
        <w:pStyle w:val="24"/>
        <w:shd w:val="clear" w:color="auto" w:fill="FFFFFF"/>
        <w:spacing w:beforeAutospacing="0" w:afterAutospacing="0" w:line="360" w:lineRule="auto"/>
        <w:ind w:firstLine="452"/>
        <w:jc w:val="both"/>
        <w:rPr>
          <w:rFonts w:eastAsia="宋体"/>
          <w:spacing w:val="8"/>
          <w:sz w:val="21"/>
          <w:szCs w:val="21"/>
        </w:rPr>
      </w:pPr>
      <w:r>
        <w:rPr>
          <w:rFonts w:hint="eastAsia" w:eastAsia="宋体"/>
          <w:spacing w:val="8"/>
          <w:sz w:val="21"/>
          <w:szCs w:val="21"/>
          <w:shd w:val="clear" w:color="auto" w:fill="FFFFFF"/>
        </w:rPr>
        <w:t> </w:t>
      </w:r>
    </w:p>
    <w:p w14:paraId="586878B3">
      <w:pPr>
        <w:ind w:firstLine="420"/>
        <w:rPr>
          <w:rFonts w:ascii="宋体" w:hAnsi="宋体" w:eastAsia="宋体" w:cs="宋体"/>
          <w:szCs w:val="21"/>
        </w:rPr>
      </w:pPr>
    </w:p>
    <w:p w14:paraId="6304CFC9">
      <w:pPr>
        <w:spacing w:line="360" w:lineRule="auto"/>
        <w:ind w:firstLine="420"/>
        <w:jc w:val="center"/>
        <w:rPr>
          <w:rFonts w:ascii="宋体" w:hAnsi="宋体" w:eastAsia="宋体" w:cs="宋体"/>
          <w:szCs w:val="21"/>
        </w:rPr>
      </w:pPr>
    </w:p>
    <w:p w14:paraId="3484DE9C">
      <w:pPr>
        <w:ind w:firstLine="420"/>
        <w:jc w:val="center"/>
        <w:outlineLvl w:val="2"/>
        <w:rPr>
          <w:rFonts w:ascii="宋体" w:hAnsi="宋体" w:eastAsia="宋体" w:cs="宋体"/>
          <w:szCs w:val="21"/>
        </w:rPr>
      </w:pPr>
      <w:r>
        <w:rPr>
          <w:rFonts w:hint="eastAsia" w:ascii="宋体" w:hAnsi="宋体" w:eastAsia="宋体" w:cs="宋体"/>
          <w:szCs w:val="21"/>
        </w:rPr>
        <w:br w:type="page"/>
      </w:r>
      <w:r>
        <w:rPr>
          <w:rFonts w:hint="eastAsia" w:ascii="宋体" w:hAnsi="宋体" w:eastAsia="宋体" w:cs="宋体"/>
          <w:b/>
          <w:szCs w:val="21"/>
        </w:rPr>
        <w:t>3、供应商认为需要的其他资料</w:t>
      </w:r>
    </w:p>
    <w:p w14:paraId="68F0A4E1">
      <w:pPr>
        <w:ind w:firstLine="422"/>
        <w:jc w:val="center"/>
        <w:rPr>
          <w:rFonts w:ascii="宋体" w:hAnsi="宋体" w:eastAsia="宋体" w:cs="宋体"/>
          <w:b/>
          <w:bCs/>
          <w:szCs w:val="21"/>
        </w:rPr>
      </w:pPr>
    </w:p>
    <w:p w14:paraId="18BC03AA">
      <w:pPr>
        <w:ind w:firstLine="422"/>
        <w:jc w:val="center"/>
        <w:rPr>
          <w:rFonts w:ascii="宋体" w:hAnsi="宋体" w:eastAsia="宋体" w:cs="宋体"/>
          <w:b/>
          <w:bCs/>
          <w:szCs w:val="21"/>
        </w:rPr>
      </w:pPr>
    </w:p>
    <w:p w14:paraId="4DAED7F9">
      <w:pPr>
        <w:ind w:firstLine="422"/>
        <w:jc w:val="center"/>
        <w:rPr>
          <w:rFonts w:ascii="宋体" w:hAnsi="宋体" w:eastAsia="宋体" w:cs="宋体"/>
          <w:b/>
          <w:bCs/>
          <w:szCs w:val="21"/>
        </w:rPr>
      </w:pPr>
    </w:p>
    <w:p w14:paraId="251DAED3">
      <w:pPr>
        <w:ind w:firstLine="422"/>
        <w:jc w:val="center"/>
        <w:rPr>
          <w:rFonts w:ascii="宋体" w:hAnsi="宋体" w:eastAsia="宋体" w:cs="宋体"/>
          <w:b/>
          <w:bCs/>
          <w:szCs w:val="21"/>
        </w:rPr>
      </w:pPr>
    </w:p>
    <w:p w14:paraId="5E1438FA">
      <w:pPr>
        <w:ind w:firstLine="422"/>
        <w:rPr>
          <w:rFonts w:ascii="宋体" w:hAnsi="宋体" w:eastAsia="宋体" w:cs="宋体"/>
          <w:b/>
          <w:bCs/>
          <w:szCs w:val="21"/>
        </w:rPr>
      </w:pPr>
      <w:r>
        <w:rPr>
          <w:rFonts w:hint="eastAsia" w:ascii="宋体" w:hAnsi="宋体" w:eastAsia="宋体" w:cs="宋体"/>
          <w:b/>
          <w:bCs/>
          <w:szCs w:val="21"/>
        </w:rPr>
        <w:br w:type="page"/>
      </w:r>
    </w:p>
    <w:p w14:paraId="1AFB4CC8">
      <w:pPr>
        <w:ind w:firstLine="0" w:firstLineChars="0"/>
        <w:jc w:val="center"/>
        <w:rPr>
          <w:rFonts w:ascii="宋体" w:hAnsi="宋体" w:eastAsia="宋体" w:cs="宋体"/>
          <w:b/>
          <w:bCs/>
          <w:szCs w:val="21"/>
        </w:rPr>
      </w:pPr>
      <w:r>
        <w:rPr>
          <w:rFonts w:hint="eastAsia" w:ascii="宋体" w:hAnsi="宋体" w:eastAsia="宋体" w:cs="宋体"/>
          <w:b/>
          <w:szCs w:val="21"/>
        </w:rPr>
        <w:t>河南省政府采购合同融资政策告知函</w:t>
      </w:r>
    </w:p>
    <w:p w14:paraId="6401B2F5">
      <w:pPr>
        <w:ind w:firstLine="420"/>
        <w:rPr>
          <w:rFonts w:ascii="Calibri" w:hAnsi="Calibri" w:eastAsia="仿宋" w:cs="Calibri"/>
          <w:szCs w:val="21"/>
        </w:rPr>
      </w:pPr>
    </w:p>
    <w:p w14:paraId="6F4B5A6B">
      <w:pPr>
        <w:spacing w:line="480" w:lineRule="auto"/>
        <w:ind w:firstLine="420"/>
        <w:rPr>
          <w:rFonts w:ascii="宋体" w:hAnsi="宋体" w:cs="宋体"/>
          <w:szCs w:val="21"/>
        </w:rPr>
      </w:pPr>
      <w:r>
        <w:rPr>
          <w:rFonts w:hint="eastAsia" w:ascii="宋体" w:hAnsi="宋体" w:cs="宋体"/>
          <w:szCs w:val="21"/>
        </w:rPr>
        <w:t>各投标人：</w:t>
      </w:r>
    </w:p>
    <w:p w14:paraId="278107C8">
      <w:pPr>
        <w:spacing w:line="480" w:lineRule="auto"/>
        <w:ind w:firstLine="420"/>
        <w:rPr>
          <w:rFonts w:ascii="宋体" w:hAnsi="宋体" w:cs="宋体"/>
          <w:szCs w:val="21"/>
        </w:rPr>
      </w:pPr>
      <w:r>
        <w:rPr>
          <w:rFonts w:hint="eastAsia" w:ascii="宋体" w:hAnsi="宋体" w:cs="宋体"/>
          <w:szCs w:val="21"/>
        </w:rPr>
        <w:t>欢迎贵公司参与河南省政府采购活动！</w:t>
      </w:r>
    </w:p>
    <w:p w14:paraId="7FA5A244">
      <w:pPr>
        <w:spacing w:line="480" w:lineRule="auto"/>
        <w:ind w:firstLine="420"/>
        <w:rPr>
          <w:rFonts w:ascii="宋体" w:hAnsi="宋体" w:cs="宋体"/>
          <w:szCs w:val="21"/>
        </w:rPr>
      </w:pPr>
      <w:r>
        <w:rPr>
          <w:rFonts w:hint="eastAsia" w:ascii="宋体" w:hAnsi="宋体" w:cs="宋体"/>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C0E2A66">
      <w:pPr>
        <w:wordWrap w:val="0"/>
        <w:spacing w:line="480" w:lineRule="auto"/>
        <w:ind w:firstLine="420"/>
        <w:jc w:val="left"/>
        <w:rPr>
          <w:rFonts w:ascii="宋体" w:hAnsi="宋体" w:cs="宋体"/>
          <w:szCs w:val="21"/>
        </w:rPr>
      </w:pPr>
      <w:r>
        <w:rPr>
          <w:rFonts w:hint="eastAsia" w:ascii="宋体" w:hAnsi="宋体" w:cs="宋体"/>
          <w:szCs w:val="21"/>
        </w:rPr>
        <w:t>贷款渠道和提供贷款的金融机构，可在河南省政府采购网“河南省政府采购合同融资平台”查询联系。政策解读网址：http://www.hngp.gov.cn/henan/content?infoId=1601449567470800&amp;channelCode=H6016</w:t>
      </w:r>
    </w:p>
    <w:p w14:paraId="50325ACF">
      <w:pPr>
        <w:pStyle w:val="24"/>
        <w:shd w:val="clear" w:color="070000" w:fill="FFFFFF"/>
        <w:wordWrap w:val="0"/>
        <w:spacing w:before="0" w:beforeAutospacing="0" w:after="0" w:afterAutospacing="0" w:line="360" w:lineRule="auto"/>
        <w:ind w:firstLine="452"/>
        <w:rPr>
          <w:rFonts w:eastAsia="宋体"/>
          <w:spacing w:val="8"/>
          <w:sz w:val="21"/>
          <w:szCs w:val="21"/>
          <w:shd w:val="clear" w:color="080000" w:fill="FFFFFF"/>
        </w:rPr>
      </w:pPr>
    </w:p>
    <w:p w14:paraId="6F8C3D90">
      <w:pPr>
        <w:pStyle w:val="24"/>
        <w:shd w:val="clear" w:color="070000" w:fill="FFFFFF"/>
        <w:spacing w:before="0" w:beforeAutospacing="0" w:after="0" w:afterAutospacing="0" w:line="360" w:lineRule="auto"/>
        <w:ind w:firstLine="452"/>
        <w:jc w:val="both"/>
        <w:rPr>
          <w:rFonts w:eastAsia="宋体"/>
          <w:spacing w:val="8"/>
          <w:sz w:val="21"/>
          <w:szCs w:val="21"/>
          <w:shd w:val="clear" w:color="080000" w:fill="FFFFFF"/>
        </w:rPr>
      </w:pPr>
    </w:p>
    <w:p w14:paraId="1299AC27">
      <w:pPr>
        <w:pStyle w:val="24"/>
        <w:shd w:val="clear" w:color="070000" w:fill="FFFFFF"/>
        <w:spacing w:before="0" w:beforeAutospacing="0" w:after="0" w:afterAutospacing="0" w:line="360" w:lineRule="auto"/>
        <w:ind w:firstLine="452"/>
        <w:rPr>
          <w:rFonts w:eastAsia="宋体"/>
          <w:spacing w:val="8"/>
          <w:sz w:val="21"/>
          <w:szCs w:val="21"/>
          <w:shd w:val="clear" w:color="080000" w:fill="FFFFFF"/>
        </w:rPr>
      </w:pPr>
      <w:r>
        <w:rPr>
          <w:rFonts w:hint="eastAsia" w:eastAsia="宋体"/>
          <w:spacing w:val="8"/>
          <w:sz w:val="21"/>
          <w:szCs w:val="21"/>
          <w:shd w:val="clear" w:color="080000" w:fill="FFFFFF"/>
        </w:rPr>
        <w:t>注：1.此项仅为告知，无须附到投标文件中。</w:t>
      </w:r>
    </w:p>
    <w:p w14:paraId="736EF64D">
      <w:pPr>
        <w:pStyle w:val="26"/>
        <w:numPr>
          <w:ilvl w:val="0"/>
          <w:numId w:val="9"/>
        </w:numPr>
        <w:ind w:left="0" w:leftChars="0" w:firstLine="422"/>
        <w:jc w:val="left"/>
        <w:rPr>
          <w:rFonts w:ascii="宋体" w:hAnsi="宋体" w:eastAsia="宋体" w:cs="宋体"/>
          <w:b/>
          <w:bCs/>
          <w:szCs w:val="21"/>
        </w:rPr>
      </w:pPr>
      <w:r>
        <w:rPr>
          <w:rFonts w:hint="eastAsia" w:ascii="宋体" w:hAnsi="宋体" w:eastAsia="宋体" w:cs="宋体"/>
          <w:b/>
          <w:bCs/>
          <w:szCs w:val="21"/>
        </w:rPr>
        <w:t>预进行合同融资的，在签订合同时，供应商的合同账号需为合同融资行指定的账户和账号。</w:t>
      </w:r>
    </w:p>
    <w:p w14:paraId="6EEE8B29">
      <w:pPr>
        <w:ind w:firstLine="0" w:firstLineChars="0"/>
        <w:rPr>
          <w:rFonts w:ascii="宋体" w:hAnsi="宋体" w:eastAsia="宋体" w:cs="宋体"/>
          <w:b/>
          <w:bCs/>
          <w:szCs w:val="21"/>
        </w:rPr>
      </w:pPr>
      <w:r>
        <w:rPr>
          <w:rFonts w:hint="eastAsia" w:ascii="宋体" w:hAnsi="宋体" w:eastAsia="宋体" w:cs="宋体"/>
          <w:b/>
          <w:bCs/>
          <w:szCs w:val="21"/>
        </w:rPr>
        <w:t>3.预进行合同融资的，请提醒采购人在合同备案时，将备案系统中供应商默认账号修改后合同融资行指定的账户和账号，然后再提交合同备案。</w:t>
      </w:r>
    </w:p>
    <w:p w14:paraId="1D504AB9">
      <w:pPr>
        <w:pStyle w:val="2"/>
        <w:ind w:firstLine="240"/>
      </w:pPr>
    </w:p>
    <w:p w14:paraId="53A43499">
      <w:pPr>
        <w:ind w:firstLine="422"/>
        <w:rPr>
          <w:rFonts w:ascii="Times New Roman" w:hAnsi="Times New Roman" w:eastAsia="宋体" w:cs="Times New Roman"/>
          <w:b/>
          <w:bCs/>
        </w:rPr>
      </w:pPr>
    </w:p>
    <w:p w14:paraId="333FFDC9">
      <w:pPr>
        <w:widowControl/>
        <w:spacing w:line="240" w:lineRule="auto"/>
        <w:ind w:firstLine="640"/>
        <w:jc w:val="left"/>
        <w:rPr>
          <w:rFonts w:ascii="仿宋_GB2312" w:eastAsia="仿宋_GB2312"/>
          <w:sz w:val="32"/>
          <w:szCs w:val="32"/>
        </w:rPr>
      </w:pPr>
    </w:p>
    <w:p w14:paraId="048BF5E4">
      <w:pPr>
        <w:widowControl/>
        <w:spacing w:line="240" w:lineRule="auto"/>
        <w:ind w:firstLine="640"/>
        <w:jc w:val="left"/>
        <w:rPr>
          <w:rFonts w:ascii="仿宋_GB2312" w:eastAsia="仿宋_GB2312"/>
          <w:sz w:val="32"/>
          <w:szCs w:val="32"/>
        </w:rPr>
      </w:pPr>
    </w:p>
    <w:p w14:paraId="247CEFD8">
      <w:pPr>
        <w:widowControl/>
        <w:spacing w:line="240" w:lineRule="auto"/>
        <w:ind w:firstLine="640"/>
        <w:jc w:val="left"/>
        <w:rPr>
          <w:rFonts w:ascii="仿宋_GB2312" w:eastAsia="仿宋_GB2312"/>
          <w:sz w:val="32"/>
          <w:szCs w:val="32"/>
        </w:rPr>
      </w:pPr>
    </w:p>
    <w:sectPr>
      <w:pgSz w:w="11906" w:h="16838"/>
      <w:pgMar w:top="1701" w:right="1418" w:bottom="1701"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CF682">
    <w:pPr>
      <w:pStyle w:val="1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82754">
    <w:pPr>
      <w:pStyle w:val="18"/>
      <w:framePr w:wrap="around" w:vAnchor="text" w:hAnchor="margin" w:xAlign="center" w:y="1"/>
      <w:ind w:firstLine="360"/>
      <w:rPr>
        <w:rStyle w:val="32"/>
      </w:rPr>
    </w:pPr>
    <w:r>
      <w:fldChar w:fldCharType="begin"/>
    </w:r>
    <w:r>
      <w:rPr>
        <w:rStyle w:val="32"/>
      </w:rPr>
      <w:instrText xml:space="preserve">PAGE  </w:instrText>
    </w:r>
    <w:r>
      <w:fldChar w:fldCharType="separate"/>
    </w:r>
    <w:r>
      <w:rPr>
        <w:rStyle w:val="32"/>
      </w:rPr>
      <w:t>1</w:t>
    </w:r>
    <w:r>
      <w:fldChar w:fldCharType="end"/>
    </w:r>
  </w:p>
  <w:p w14:paraId="229BC40F">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5E773">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1448C">
    <w:pPr>
      <w:pStyle w:val="18"/>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13169">
    <w:pPr>
      <w:pStyle w:val="18"/>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C9653">
                          <w:pPr>
                            <w:pStyle w:val="18"/>
                            <w:ind w:firstLine="360"/>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75C9653">
                    <w:pPr>
                      <w:pStyle w:val="18"/>
                      <w:ind w:firstLine="360"/>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23291">
    <w:pPr>
      <w:pStyle w:val="19"/>
      <w:pBdr>
        <w:bottom w:val="none" w:color="auto" w:sz="0" w:space="1"/>
      </w:pBdr>
      <w:ind w:firstLine="0" w:firstLineChars="0"/>
      <w:jc w:val="both"/>
      <w:rPr>
        <w:rFonts w:ascii="宋体" w:hAnsi="宋体"/>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5D53D">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7B05A">
    <w:pPr>
      <w:pStyle w:val="1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E5970">
    <w:pPr>
      <w:pStyle w:val="19"/>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FFAB2"/>
    <w:multiLevelType w:val="singleLevel"/>
    <w:tmpl w:val="A72FFAB2"/>
    <w:lvl w:ilvl="0" w:tentative="0">
      <w:start w:val="1"/>
      <w:numFmt w:val="chineseCounting"/>
      <w:suff w:val="nothing"/>
      <w:lvlText w:val="（%1）"/>
      <w:lvlJc w:val="left"/>
      <w:rPr>
        <w:rFonts w:hint="eastAsia"/>
      </w:rPr>
    </w:lvl>
  </w:abstractNum>
  <w:abstractNum w:abstractNumId="1">
    <w:nsid w:val="ACDA8162"/>
    <w:multiLevelType w:val="singleLevel"/>
    <w:tmpl w:val="ACDA8162"/>
    <w:lvl w:ilvl="0" w:tentative="0">
      <w:start w:val="1"/>
      <w:numFmt w:val="decimal"/>
      <w:suff w:val="nothing"/>
      <w:lvlText w:val="%1、"/>
      <w:lvlJc w:val="left"/>
    </w:lvl>
  </w:abstractNum>
  <w:abstractNum w:abstractNumId="2">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6"/>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ascii="宋体" w:hAnsi="宋体" w:eastAsia="宋体"/>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3">
    <w:nsid w:val="00000009"/>
    <w:multiLevelType w:val="multilevel"/>
    <w:tmpl w:val="00000009"/>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0"/>
    <w:multiLevelType w:val="multilevel"/>
    <w:tmpl w:val="00000010"/>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E011258"/>
    <w:multiLevelType w:val="singleLevel"/>
    <w:tmpl w:val="0E011258"/>
    <w:lvl w:ilvl="0" w:tentative="0">
      <w:start w:val="6"/>
      <w:numFmt w:val="chineseCounting"/>
      <w:suff w:val="nothing"/>
      <w:lvlText w:val="%1、"/>
      <w:lvlJc w:val="left"/>
      <w:rPr>
        <w:rFonts w:hint="eastAsia"/>
      </w:rPr>
    </w:lvl>
  </w:abstractNum>
  <w:abstractNum w:abstractNumId="6">
    <w:nsid w:val="1112359F"/>
    <w:multiLevelType w:val="singleLevel"/>
    <w:tmpl w:val="1112359F"/>
    <w:lvl w:ilvl="0" w:tentative="0">
      <w:start w:val="1"/>
      <w:numFmt w:val="decimal"/>
      <w:lvlText w:val="%1."/>
      <w:lvlJc w:val="left"/>
      <w:pPr>
        <w:tabs>
          <w:tab w:val="left" w:pos="312"/>
        </w:tabs>
      </w:pPr>
    </w:lvl>
  </w:abstractNum>
  <w:abstractNum w:abstractNumId="7">
    <w:nsid w:val="133056A7"/>
    <w:multiLevelType w:val="multilevel"/>
    <w:tmpl w:val="133056A7"/>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A23804"/>
    <w:multiLevelType w:val="singleLevel"/>
    <w:tmpl w:val="54A23804"/>
    <w:lvl w:ilvl="0" w:tentative="0">
      <w:start w:val="1"/>
      <w:numFmt w:val="decimal"/>
      <w:suff w:val="space"/>
      <w:lvlText w:val="%1."/>
      <w:lvlJc w:val="left"/>
    </w:lvl>
  </w:abstractNum>
  <w:num w:numId="1">
    <w:abstractNumId w:val="2"/>
  </w:num>
  <w:num w:numId="2">
    <w:abstractNumId w:val="3"/>
  </w:num>
  <w:num w:numId="3">
    <w:abstractNumId w:val="4"/>
  </w:num>
  <w:num w:numId="4">
    <w:abstractNumId w:val="6"/>
  </w:num>
  <w:num w:numId="5">
    <w:abstractNumId w:val="7"/>
  </w:num>
  <w:num w:numId="6">
    <w:abstractNumId w:val="0"/>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3ZTUwNzNhNzZiZjc2NWFiMDFiNjA4NDQ2NDliNjIifQ=="/>
  </w:docVars>
  <w:rsids>
    <w:rsidRoot w:val="005F7F29"/>
    <w:rsid w:val="00037C70"/>
    <w:rsid w:val="00070034"/>
    <w:rsid w:val="0007237B"/>
    <w:rsid w:val="000D4473"/>
    <w:rsid w:val="000E4995"/>
    <w:rsid w:val="000F4ABB"/>
    <w:rsid w:val="00115114"/>
    <w:rsid w:val="00155351"/>
    <w:rsid w:val="001B6609"/>
    <w:rsid w:val="001F1430"/>
    <w:rsid w:val="00207852"/>
    <w:rsid w:val="002543D9"/>
    <w:rsid w:val="0027491C"/>
    <w:rsid w:val="00294A18"/>
    <w:rsid w:val="002A7BFE"/>
    <w:rsid w:val="002C29D5"/>
    <w:rsid w:val="002D3F30"/>
    <w:rsid w:val="002F2062"/>
    <w:rsid w:val="00340787"/>
    <w:rsid w:val="00344E47"/>
    <w:rsid w:val="003962CF"/>
    <w:rsid w:val="003B549C"/>
    <w:rsid w:val="003C0BFB"/>
    <w:rsid w:val="0048631C"/>
    <w:rsid w:val="00487EBB"/>
    <w:rsid w:val="004B1EED"/>
    <w:rsid w:val="004E318D"/>
    <w:rsid w:val="00504DB6"/>
    <w:rsid w:val="00506C08"/>
    <w:rsid w:val="00546EC5"/>
    <w:rsid w:val="00557DFD"/>
    <w:rsid w:val="005860FD"/>
    <w:rsid w:val="005873C2"/>
    <w:rsid w:val="005C2551"/>
    <w:rsid w:val="005C6ADC"/>
    <w:rsid w:val="005E08D0"/>
    <w:rsid w:val="005F46D3"/>
    <w:rsid w:val="005F7F29"/>
    <w:rsid w:val="00613F68"/>
    <w:rsid w:val="006B4F71"/>
    <w:rsid w:val="006C4BE3"/>
    <w:rsid w:val="006F735B"/>
    <w:rsid w:val="007200AE"/>
    <w:rsid w:val="007306C8"/>
    <w:rsid w:val="007B0927"/>
    <w:rsid w:val="007F1BAB"/>
    <w:rsid w:val="008142D6"/>
    <w:rsid w:val="008B045D"/>
    <w:rsid w:val="008E4D0E"/>
    <w:rsid w:val="008F6C18"/>
    <w:rsid w:val="00A57016"/>
    <w:rsid w:val="00A6528B"/>
    <w:rsid w:val="00B20DF2"/>
    <w:rsid w:val="00B24C30"/>
    <w:rsid w:val="00B3323C"/>
    <w:rsid w:val="00B83EE6"/>
    <w:rsid w:val="00BB2CC5"/>
    <w:rsid w:val="00BD1A50"/>
    <w:rsid w:val="00BD5AE6"/>
    <w:rsid w:val="00BE28CF"/>
    <w:rsid w:val="00BF745E"/>
    <w:rsid w:val="00CB5A10"/>
    <w:rsid w:val="00CE759D"/>
    <w:rsid w:val="00CF58F9"/>
    <w:rsid w:val="00D0063A"/>
    <w:rsid w:val="00D26B29"/>
    <w:rsid w:val="00D32995"/>
    <w:rsid w:val="00DA206C"/>
    <w:rsid w:val="00DD72BE"/>
    <w:rsid w:val="00E40930"/>
    <w:rsid w:val="00E60299"/>
    <w:rsid w:val="00E645F8"/>
    <w:rsid w:val="00E64D26"/>
    <w:rsid w:val="00E90D98"/>
    <w:rsid w:val="00EA058C"/>
    <w:rsid w:val="00EB6732"/>
    <w:rsid w:val="00F20595"/>
    <w:rsid w:val="00FB40EA"/>
    <w:rsid w:val="00FD0BE9"/>
    <w:rsid w:val="010158D6"/>
    <w:rsid w:val="011C3292"/>
    <w:rsid w:val="013F518A"/>
    <w:rsid w:val="014324AF"/>
    <w:rsid w:val="015D0012"/>
    <w:rsid w:val="01610122"/>
    <w:rsid w:val="01685CBB"/>
    <w:rsid w:val="01910A08"/>
    <w:rsid w:val="01B14C06"/>
    <w:rsid w:val="01D95702"/>
    <w:rsid w:val="02750329"/>
    <w:rsid w:val="02783976"/>
    <w:rsid w:val="02B0537A"/>
    <w:rsid w:val="02BE0A08"/>
    <w:rsid w:val="03186DD5"/>
    <w:rsid w:val="032B495C"/>
    <w:rsid w:val="03493708"/>
    <w:rsid w:val="035017A2"/>
    <w:rsid w:val="03555A65"/>
    <w:rsid w:val="03716D43"/>
    <w:rsid w:val="03A569EC"/>
    <w:rsid w:val="03B10EED"/>
    <w:rsid w:val="03CD1A9F"/>
    <w:rsid w:val="03D35138"/>
    <w:rsid w:val="042B6E68"/>
    <w:rsid w:val="045A1585"/>
    <w:rsid w:val="04DF1A8A"/>
    <w:rsid w:val="04E657CD"/>
    <w:rsid w:val="04FC72CC"/>
    <w:rsid w:val="05340028"/>
    <w:rsid w:val="05600E1D"/>
    <w:rsid w:val="05676E89"/>
    <w:rsid w:val="05A45E8A"/>
    <w:rsid w:val="05B9052D"/>
    <w:rsid w:val="05CD222A"/>
    <w:rsid w:val="05DE1D42"/>
    <w:rsid w:val="05E67154"/>
    <w:rsid w:val="05ED01D7"/>
    <w:rsid w:val="05F17CC7"/>
    <w:rsid w:val="060C68AF"/>
    <w:rsid w:val="061D6D0E"/>
    <w:rsid w:val="06426774"/>
    <w:rsid w:val="065B5A88"/>
    <w:rsid w:val="06654211"/>
    <w:rsid w:val="068A6917"/>
    <w:rsid w:val="06A72A7B"/>
    <w:rsid w:val="06B47BF4"/>
    <w:rsid w:val="06C160E0"/>
    <w:rsid w:val="06D55371"/>
    <w:rsid w:val="06DF451E"/>
    <w:rsid w:val="074E68E3"/>
    <w:rsid w:val="075524D7"/>
    <w:rsid w:val="079F5DEC"/>
    <w:rsid w:val="07ED2710"/>
    <w:rsid w:val="07F923A1"/>
    <w:rsid w:val="08335B49"/>
    <w:rsid w:val="084058E5"/>
    <w:rsid w:val="0842480A"/>
    <w:rsid w:val="08943F23"/>
    <w:rsid w:val="08986B20"/>
    <w:rsid w:val="08ED0908"/>
    <w:rsid w:val="08FB2C0B"/>
    <w:rsid w:val="090715AF"/>
    <w:rsid w:val="09366A61"/>
    <w:rsid w:val="098B330D"/>
    <w:rsid w:val="09AA6B0A"/>
    <w:rsid w:val="09B94F9F"/>
    <w:rsid w:val="09D41DD9"/>
    <w:rsid w:val="09E04896"/>
    <w:rsid w:val="0A157CFC"/>
    <w:rsid w:val="0A8C6210"/>
    <w:rsid w:val="0A932B49"/>
    <w:rsid w:val="0AE95411"/>
    <w:rsid w:val="0B043FF8"/>
    <w:rsid w:val="0B1C7600"/>
    <w:rsid w:val="0B38056B"/>
    <w:rsid w:val="0B5331D2"/>
    <w:rsid w:val="0B584344"/>
    <w:rsid w:val="0B69555A"/>
    <w:rsid w:val="0C1C1816"/>
    <w:rsid w:val="0C3703FE"/>
    <w:rsid w:val="0C3F6157"/>
    <w:rsid w:val="0CA27F6D"/>
    <w:rsid w:val="0CB31634"/>
    <w:rsid w:val="0CC51BD8"/>
    <w:rsid w:val="0D006A41"/>
    <w:rsid w:val="0D6E2654"/>
    <w:rsid w:val="0D6E60A1"/>
    <w:rsid w:val="0D7511DD"/>
    <w:rsid w:val="0DBE2B84"/>
    <w:rsid w:val="0E127E8B"/>
    <w:rsid w:val="0E567925"/>
    <w:rsid w:val="0E5B33B7"/>
    <w:rsid w:val="0E807E3A"/>
    <w:rsid w:val="0EB6675E"/>
    <w:rsid w:val="0EC20452"/>
    <w:rsid w:val="0ECA40A1"/>
    <w:rsid w:val="0EE20AF5"/>
    <w:rsid w:val="0EEC54CF"/>
    <w:rsid w:val="0F1A0657"/>
    <w:rsid w:val="0F56503F"/>
    <w:rsid w:val="0F655282"/>
    <w:rsid w:val="0FAB7138"/>
    <w:rsid w:val="0FC25A5E"/>
    <w:rsid w:val="0FC63F72"/>
    <w:rsid w:val="0FE4089C"/>
    <w:rsid w:val="10150A56"/>
    <w:rsid w:val="104354E0"/>
    <w:rsid w:val="104B4477"/>
    <w:rsid w:val="108654B0"/>
    <w:rsid w:val="10F952E5"/>
    <w:rsid w:val="1196001F"/>
    <w:rsid w:val="11A6405B"/>
    <w:rsid w:val="11B146B5"/>
    <w:rsid w:val="11DB78E0"/>
    <w:rsid w:val="125A4E46"/>
    <w:rsid w:val="12F23D3F"/>
    <w:rsid w:val="13141499"/>
    <w:rsid w:val="13953CC6"/>
    <w:rsid w:val="13B33F58"/>
    <w:rsid w:val="13BB36C2"/>
    <w:rsid w:val="13C54541"/>
    <w:rsid w:val="13CA424E"/>
    <w:rsid w:val="148D1503"/>
    <w:rsid w:val="14957469"/>
    <w:rsid w:val="14F56B39"/>
    <w:rsid w:val="15673B02"/>
    <w:rsid w:val="15747FCD"/>
    <w:rsid w:val="15775423"/>
    <w:rsid w:val="15AB07E9"/>
    <w:rsid w:val="15CC605B"/>
    <w:rsid w:val="15E769F0"/>
    <w:rsid w:val="160B6B83"/>
    <w:rsid w:val="163A7468"/>
    <w:rsid w:val="166B7ACC"/>
    <w:rsid w:val="168F116E"/>
    <w:rsid w:val="16AD3796"/>
    <w:rsid w:val="16F5004B"/>
    <w:rsid w:val="174409AB"/>
    <w:rsid w:val="174D31CB"/>
    <w:rsid w:val="17626C76"/>
    <w:rsid w:val="17B227C4"/>
    <w:rsid w:val="17B46CFB"/>
    <w:rsid w:val="180271E8"/>
    <w:rsid w:val="18157F6D"/>
    <w:rsid w:val="182A4EC1"/>
    <w:rsid w:val="183A54FD"/>
    <w:rsid w:val="184C5231"/>
    <w:rsid w:val="187E3EFB"/>
    <w:rsid w:val="18892E95"/>
    <w:rsid w:val="18C30D2F"/>
    <w:rsid w:val="18DE232D"/>
    <w:rsid w:val="199C7AF2"/>
    <w:rsid w:val="19A90B8D"/>
    <w:rsid w:val="19B96D3D"/>
    <w:rsid w:val="19C257AA"/>
    <w:rsid w:val="19C77265"/>
    <w:rsid w:val="19ED659F"/>
    <w:rsid w:val="1A620D3B"/>
    <w:rsid w:val="1A703458"/>
    <w:rsid w:val="1A712C93"/>
    <w:rsid w:val="1A9702AF"/>
    <w:rsid w:val="1A977CF2"/>
    <w:rsid w:val="1AA2382E"/>
    <w:rsid w:val="1AA2738A"/>
    <w:rsid w:val="1ADE4866"/>
    <w:rsid w:val="1B0B3181"/>
    <w:rsid w:val="1B8D1DE8"/>
    <w:rsid w:val="1BBB0703"/>
    <w:rsid w:val="1D423221"/>
    <w:rsid w:val="1D8A7EF3"/>
    <w:rsid w:val="1DD96639"/>
    <w:rsid w:val="1E4F4DB4"/>
    <w:rsid w:val="1E6037E4"/>
    <w:rsid w:val="1EAE7EAF"/>
    <w:rsid w:val="1EB31B66"/>
    <w:rsid w:val="1EDB2E6A"/>
    <w:rsid w:val="1F623734"/>
    <w:rsid w:val="1F8654CC"/>
    <w:rsid w:val="1F9A55BB"/>
    <w:rsid w:val="1FBB362F"/>
    <w:rsid w:val="1FE43F4A"/>
    <w:rsid w:val="20286583"/>
    <w:rsid w:val="204D5FEA"/>
    <w:rsid w:val="208C08C0"/>
    <w:rsid w:val="20A57BD4"/>
    <w:rsid w:val="20BB09A0"/>
    <w:rsid w:val="20C45D40"/>
    <w:rsid w:val="20EB5EB9"/>
    <w:rsid w:val="21076199"/>
    <w:rsid w:val="21447A99"/>
    <w:rsid w:val="21CC0274"/>
    <w:rsid w:val="21CD1190"/>
    <w:rsid w:val="21FE759C"/>
    <w:rsid w:val="221A34A8"/>
    <w:rsid w:val="222363F6"/>
    <w:rsid w:val="232079E6"/>
    <w:rsid w:val="23333275"/>
    <w:rsid w:val="234C4337"/>
    <w:rsid w:val="236839CB"/>
    <w:rsid w:val="237B0335"/>
    <w:rsid w:val="23A91789"/>
    <w:rsid w:val="2419303C"/>
    <w:rsid w:val="241F68F2"/>
    <w:rsid w:val="24D26ABE"/>
    <w:rsid w:val="24FB7DC2"/>
    <w:rsid w:val="24FE78B3"/>
    <w:rsid w:val="251175E6"/>
    <w:rsid w:val="254915F7"/>
    <w:rsid w:val="254E083A"/>
    <w:rsid w:val="256C0CC0"/>
    <w:rsid w:val="25AE12D9"/>
    <w:rsid w:val="261D1FBA"/>
    <w:rsid w:val="26377AE4"/>
    <w:rsid w:val="264B2F1E"/>
    <w:rsid w:val="266D355B"/>
    <w:rsid w:val="269F1FC3"/>
    <w:rsid w:val="26DD1E76"/>
    <w:rsid w:val="26F23447"/>
    <w:rsid w:val="270A6E69"/>
    <w:rsid w:val="27607E24"/>
    <w:rsid w:val="277125BE"/>
    <w:rsid w:val="27EE1E60"/>
    <w:rsid w:val="27F751B9"/>
    <w:rsid w:val="28017421"/>
    <w:rsid w:val="282F526F"/>
    <w:rsid w:val="28456613"/>
    <w:rsid w:val="284E0B51"/>
    <w:rsid w:val="287F0D0A"/>
    <w:rsid w:val="28F241E0"/>
    <w:rsid w:val="294207DB"/>
    <w:rsid w:val="29492507"/>
    <w:rsid w:val="295870BD"/>
    <w:rsid w:val="29623CE1"/>
    <w:rsid w:val="297E036A"/>
    <w:rsid w:val="29EC23D0"/>
    <w:rsid w:val="2A04559B"/>
    <w:rsid w:val="2A1B4A63"/>
    <w:rsid w:val="2A224043"/>
    <w:rsid w:val="2A264090"/>
    <w:rsid w:val="2AA26C54"/>
    <w:rsid w:val="2AAA4765"/>
    <w:rsid w:val="2AC31382"/>
    <w:rsid w:val="2B0A5866"/>
    <w:rsid w:val="2B4F0E68"/>
    <w:rsid w:val="2B8A00F2"/>
    <w:rsid w:val="2C860086"/>
    <w:rsid w:val="2D1759B5"/>
    <w:rsid w:val="2D4F6EFD"/>
    <w:rsid w:val="2D6A1F89"/>
    <w:rsid w:val="2E086D05"/>
    <w:rsid w:val="2E6E5AA9"/>
    <w:rsid w:val="2E774A43"/>
    <w:rsid w:val="2F425B00"/>
    <w:rsid w:val="2F6D5D61"/>
    <w:rsid w:val="2F7470EF"/>
    <w:rsid w:val="2F776BDF"/>
    <w:rsid w:val="2F7B222C"/>
    <w:rsid w:val="2FAC6889"/>
    <w:rsid w:val="2FE222AB"/>
    <w:rsid w:val="30657AFF"/>
    <w:rsid w:val="308031D5"/>
    <w:rsid w:val="30E84CAE"/>
    <w:rsid w:val="31397A57"/>
    <w:rsid w:val="317A74AA"/>
    <w:rsid w:val="31A41DB5"/>
    <w:rsid w:val="3222747E"/>
    <w:rsid w:val="32555BAB"/>
    <w:rsid w:val="32955444"/>
    <w:rsid w:val="32A23ACC"/>
    <w:rsid w:val="32BF0681"/>
    <w:rsid w:val="331309CD"/>
    <w:rsid w:val="332A3DEB"/>
    <w:rsid w:val="33422219"/>
    <w:rsid w:val="34730FC2"/>
    <w:rsid w:val="349B3370"/>
    <w:rsid w:val="35134CB4"/>
    <w:rsid w:val="35277521"/>
    <w:rsid w:val="353758FE"/>
    <w:rsid w:val="35567B41"/>
    <w:rsid w:val="35BE7316"/>
    <w:rsid w:val="35D50DEC"/>
    <w:rsid w:val="36147E72"/>
    <w:rsid w:val="36453593"/>
    <w:rsid w:val="36B27BFC"/>
    <w:rsid w:val="374C2700"/>
    <w:rsid w:val="376637C1"/>
    <w:rsid w:val="376E08C8"/>
    <w:rsid w:val="37A91900"/>
    <w:rsid w:val="37BB320A"/>
    <w:rsid w:val="37C130EE"/>
    <w:rsid w:val="37DA0554"/>
    <w:rsid w:val="37DE7D26"/>
    <w:rsid w:val="37E813AF"/>
    <w:rsid w:val="383209C4"/>
    <w:rsid w:val="383330A1"/>
    <w:rsid w:val="38DE1A7D"/>
    <w:rsid w:val="38EF77E6"/>
    <w:rsid w:val="3932644C"/>
    <w:rsid w:val="393C086A"/>
    <w:rsid w:val="398E0DAD"/>
    <w:rsid w:val="398F2062"/>
    <w:rsid w:val="39A51B32"/>
    <w:rsid w:val="39C80763"/>
    <w:rsid w:val="3A3000B7"/>
    <w:rsid w:val="3A7601BF"/>
    <w:rsid w:val="3A887146"/>
    <w:rsid w:val="3AAC1E33"/>
    <w:rsid w:val="3AC54CA3"/>
    <w:rsid w:val="3ACD1DA9"/>
    <w:rsid w:val="3AFD61EB"/>
    <w:rsid w:val="3B0532F1"/>
    <w:rsid w:val="3B7A1263"/>
    <w:rsid w:val="3B83362A"/>
    <w:rsid w:val="3B8C62D6"/>
    <w:rsid w:val="3B914B85"/>
    <w:rsid w:val="3BB6283D"/>
    <w:rsid w:val="3C073099"/>
    <w:rsid w:val="3C7F16D6"/>
    <w:rsid w:val="3C8114BA"/>
    <w:rsid w:val="3D393726"/>
    <w:rsid w:val="3D516CC2"/>
    <w:rsid w:val="3D5D7415"/>
    <w:rsid w:val="3D654FA6"/>
    <w:rsid w:val="3D78424E"/>
    <w:rsid w:val="3D880913"/>
    <w:rsid w:val="3DFC046D"/>
    <w:rsid w:val="3E157CEF"/>
    <w:rsid w:val="3E1C2297"/>
    <w:rsid w:val="3E265A58"/>
    <w:rsid w:val="3E726EF0"/>
    <w:rsid w:val="3EEB1561"/>
    <w:rsid w:val="3F5E1222"/>
    <w:rsid w:val="3F5F5C5E"/>
    <w:rsid w:val="3F8C2233"/>
    <w:rsid w:val="3F9115F7"/>
    <w:rsid w:val="3FB452E6"/>
    <w:rsid w:val="3FB6105E"/>
    <w:rsid w:val="400022D9"/>
    <w:rsid w:val="40583EC3"/>
    <w:rsid w:val="407D3AFF"/>
    <w:rsid w:val="408353E4"/>
    <w:rsid w:val="408F6BBB"/>
    <w:rsid w:val="40B03C74"/>
    <w:rsid w:val="40DE6ABE"/>
    <w:rsid w:val="40F63E08"/>
    <w:rsid w:val="40FE4A6B"/>
    <w:rsid w:val="41217487"/>
    <w:rsid w:val="413C5593"/>
    <w:rsid w:val="413D380E"/>
    <w:rsid w:val="41CE369A"/>
    <w:rsid w:val="420F4A55"/>
    <w:rsid w:val="425A3F23"/>
    <w:rsid w:val="426E79CE"/>
    <w:rsid w:val="42A7774A"/>
    <w:rsid w:val="42E06839"/>
    <w:rsid w:val="42FD11A0"/>
    <w:rsid w:val="432B3312"/>
    <w:rsid w:val="43364990"/>
    <w:rsid w:val="43827BD0"/>
    <w:rsid w:val="43AC4C52"/>
    <w:rsid w:val="43B14016"/>
    <w:rsid w:val="43B753A5"/>
    <w:rsid w:val="43D73963"/>
    <w:rsid w:val="43ED0DC6"/>
    <w:rsid w:val="440F6F8F"/>
    <w:rsid w:val="441C6232"/>
    <w:rsid w:val="4486676E"/>
    <w:rsid w:val="44867251"/>
    <w:rsid w:val="4488746D"/>
    <w:rsid w:val="449000D0"/>
    <w:rsid w:val="449C2700"/>
    <w:rsid w:val="44BA395B"/>
    <w:rsid w:val="44C10289"/>
    <w:rsid w:val="44E20BA3"/>
    <w:rsid w:val="44E2484F"/>
    <w:rsid w:val="44F3240C"/>
    <w:rsid w:val="44FA379B"/>
    <w:rsid w:val="45085EB8"/>
    <w:rsid w:val="45442C68"/>
    <w:rsid w:val="456C6ACA"/>
    <w:rsid w:val="45EF0E26"/>
    <w:rsid w:val="46511AE0"/>
    <w:rsid w:val="46674E60"/>
    <w:rsid w:val="46827EEC"/>
    <w:rsid w:val="46DD3374"/>
    <w:rsid w:val="47013507"/>
    <w:rsid w:val="470A0C21"/>
    <w:rsid w:val="47431429"/>
    <w:rsid w:val="47943278"/>
    <w:rsid w:val="47F72214"/>
    <w:rsid w:val="48436C30"/>
    <w:rsid w:val="486024AF"/>
    <w:rsid w:val="486F624E"/>
    <w:rsid w:val="48861F15"/>
    <w:rsid w:val="48A759E8"/>
    <w:rsid w:val="48AF6C7E"/>
    <w:rsid w:val="48BB1930"/>
    <w:rsid w:val="48E44E8E"/>
    <w:rsid w:val="48EB47DC"/>
    <w:rsid w:val="490B241B"/>
    <w:rsid w:val="4974016F"/>
    <w:rsid w:val="49756615"/>
    <w:rsid w:val="497A560D"/>
    <w:rsid w:val="499332EF"/>
    <w:rsid w:val="49BA27A1"/>
    <w:rsid w:val="4A056E6A"/>
    <w:rsid w:val="4A1358F3"/>
    <w:rsid w:val="4A2268D7"/>
    <w:rsid w:val="4A233794"/>
    <w:rsid w:val="4A835FE1"/>
    <w:rsid w:val="4A854601"/>
    <w:rsid w:val="4AB909D1"/>
    <w:rsid w:val="4AD54A8E"/>
    <w:rsid w:val="4B1E3247"/>
    <w:rsid w:val="4B3A6FE7"/>
    <w:rsid w:val="4B46598C"/>
    <w:rsid w:val="4B8E2E8F"/>
    <w:rsid w:val="4B9A5028"/>
    <w:rsid w:val="4BDF36EB"/>
    <w:rsid w:val="4C001FDF"/>
    <w:rsid w:val="4C5A0992"/>
    <w:rsid w:val="4C681932"/>
    <w:rsid w:val="4C6836E0"/>
    <w:rsid w:val="4C746529"/>
    <w:rsid w:val="4C92075D"/>
    <w:rsid w:val="4CAE37E9"/>
    <w:rsid w:val="4CBD1C7E"/>
    <w:rsid w:val="4D92310A"/>
    <w:rsid w:val="4DA644C0"/>
    <w:rsid w:val="4DAE499E"/>
    <w:rsid w:val="4DD6155F"/>
    <w:rsid w:val="4DE1199C"/>
    <w:rsid w:val="4DF91468"/>
    <w:rsid w:val="4E10402F"/>
    <w:rsid w:val="4E125FF9"/>
    <w:rsid w:val="4E546612"/>
    <w:rsid w:val="4E60700D"/>
    <w:rsid w:val="4E6879C7"/>
    <w:rsid w:val="4E697E5B"/>
    <w:rsid w:val="4E960DA9"/>
    <w:rsid w:val="4EE91DC5"/>
    <w:rsid w:val="4EFE20DA"/>
    <w:rsid w:val="4EFE7D49"/>
    <w:rsid w:val="4F0670BA"/>
    <w:rsid w:val="4F495A4B"/>
    <w:rsid w:val="4F540F92"/>
    <w:rsid w:val="4FA72771"/>
    <w:rsid w:val="4FD5193E"/>
    <w:rsid w:val="4FF77255"/>
    <w:rsid w:val="501E5C72"/>
    <w:rsid w:val="5039363F"/>
    <w:rsid w:val="50EC780A"/>
    <w:rsid w:val="512C2F2E"/>
    <w:rsid w:val="51383FC9"/>
    <w:rsid w:val="5139564B"/>
    <w:rsid w:val="513D0684"/>
    <w:rsid w:val="51656440"/>
    <w:rsid w:val="519D3E2C"/>
    <w:rsid w:val="51BF3DA2"/>
    <w:rsid w:val="51D140A4"/>
    <w:rsid w:val="522003B6"/>
    <w:rsid w:val="522105B9"/>
    <w:rsid w:val="52466271"/>
    <w:rsid w:val="52D65847"/>
    <w:rsid w:val="52E61043"/>
    <w:rsid w:val="52EC6E19"/>
    <w:rsid w:val="53004672"/>
    <w:rsid w:val="531E2D4A"/>
    <w:rsid w:val="53360094"/>
    <w:rsid w:val="53C953AC"/>
    <w:rsid w:val="53FF269F"/>
    <w:rsid w:val="541D3002"/>
    <w:rsid w:val="54517B01"/>
    <w:rsid w:val="547E47F7"/>
    <w:rsid w:val="54B0031A"/>
    <w:rsid w:val="54BE47E5"/>
    <w:rsid w:val="5540344C"/>
    <w:rsid w:val="558A7637"/>
    <w:rsid w:val="55AC288F"/>
    <w:rsid w:val="55BE25C3"/>
    <w:rsid w:val="55CA0F67"/>
    <w:rsid w:val="561B7A15"/>
    <w:rsid w:val="56262642"/>
    <w:rsid w:val="56824C41"/>
    <w:rsid w:val="56D46542"/>
    <w:rsid w:val="56FE711B"/>
    <w:rsid w:val="575C5ED5"/>
    <w:rsid w:val="577557FC"/>
    <w:rsid w:val="57825F9E"/>
    <w:rsid w:val="57DA1D5C"/>
    <w:rsid w:val="57E24C8E"/>
    <w:rsid w:val="5840354A"/>
    <w:rsid w:val="584E1E05"/>
    <w:rsid w:val="586631C9"/>
    <w:rsid w:val="58C15CEE"/>
    <w:rsid w:val="58DA7713"/>
    <w:rsid w:val="58DD0FB2"/>
    <w:rsid w:val="59205A6E"/>
    <w:rsid w:val="5954396A"/>
    <w:rsid w:val="597764FD"/>
    <w:rsid w:val="59A0095D"/>
    <w:rsid w:val="59A43414"/>
    <w:rsid w:val="59B74EE0"/>
    <w:rsid w:val="59FE56A9"/>
    <w:rsid w:val="5A0E3B19"/>
    <w:rsid w:val="5A146C55"/>
    <w:rsid w:val="5A8570CB"/>
    <w:rsid w:val="5ABF3065"/>
    <w:rsid w:val="5AC84C04"/>
    <w:rsid w:val="5AEB44B6"/>
    <w:rsid w:val="5AF97F14"/>
    <w:rsid w:val="5B5C6B06"/>
    <w:rsid w:val="5B5F5B37"/>
    <w:rsid w:val="5BA159E3"/>
    <w:rsid w:val="5BE014E5"/>
    <w:rsid w:val="5BE72664"/>
    <w:rsid w:val="5C643EC4"/>
    <w:rsid w:val="5C9E11AB"/>
    <w:rsid w:val="5CBD54B0"/>
    <w:rsid w:val="5CD31049"/>
    <w:rsid w:val="5D047455"/>
    <w:rsid w:val="5D0F5C9E"/>
    <w:rsid w:val="5D1859F9"/>
    <w:rsid w:val="5D3F223B"/>
    <w:rsid w:val="5D4E450D"/>
    <w:rsid w:val="5D504448"/>
    <w:rsid w:val="5D5E0913"/>
    <w:rsid w:val="5D635F29"/>
    <w:rsid w:val="5D9A56C3"/>
    <w:rsid w:val="5EA8330B"/>
    <w:rsid w:val="5EC724E8"/>
    <w:rsid w:val="5EEF1DAA"/>
    <w:rsid w:val="5F105200"/>
    <w:rsid w:val="5F5C0E82"/>
    <w:rsid w:val="5F715C23"/>
    <w:rsid w:val="5F831A87"/>
    <w:rsid w:val="5FB52D33"/>
    <w:rsid w:val="5FCA6734"/>
    <w:rsid w:val="602C4A56"/>
    <w:rsid w:val="603D4981"/>
    <w:rsid w:val="605064AF"/>
    <w:rsid w:val="605B4437"/>
    <w:rsid w:val="605B738C"/>
    <w:rsid w:val="60765F74"/>
    <w:rsid w:val="6098238E"/>
    <w:rsid w:val="60A26D69"/>
    <w:rsid w:val="60C351E1"/>
    <w:rsid w:val="60D1758B"/>
    <w:rsid w:val="61261A91"/>
    <w:rsid w:val="6129748A"/>
    <w:rsid w:val="61B4274E"/>
    <w:rsid w:val="61C96577"/>
    <w:rsid w:val="61E829FD"/>
    <w:rsid w:val="61FE0917"/>
    <w:rsid w:val="623D49F7"/>
    <w:rsid w:val="62963C88"/>
    <w:rsid w:val="62AD7C47"/>
    <w:rsid w:val="62D272A7"/>
    <w:rsid w:val="62EA0E9B"/>
    <w:rsid w:val="62FB30A8"/>
    <w:rsid w:val="635011B8"/>
    <w:rsid w:val="63A96660"/>
    <w:rsid w:val="63C5259B"/>
    <w:rsid w:val="64176F9C"/>
    <w:rsid w:val="645111D2"/>
    <w:rsid w:val="64555BF0"/>
    <w:rsid w:val="64F0141D"/>
    <w:rsid w:val="650F6997"/>
    <w:rsid w:val="65180EEB"/>
    <w:rsid w:val="656E7B61"/>
    <w:rsid w:val="65817895"/>
    <w:rsid w:val="660118F5"/>
    <w:rsid w:val="66012783"/>
    <w:rsid w:val="665A1E94"/>
    <w:rsid w:val="66B617C0"/>
    <w:rsid w:val="66BC3D6A"/>
    <w:rsid w:val="66D94689"/>
    <w:rsid w:val="66F45E44"/>
    <w:rsid w:val="67206C39"/>
    <w:rsid w:val="6727190D"/>
    <w:rsid w:val="67386679"/>
    <w:rsid w:val="67746F85"/>
    <w:rsid w:val="687459F4"/>
    <w:rsid w:val="688D47A2"/>
    <w:rsid w:val="6899270D"/>
    <w:rsid w:val="68A37B22"/>
    <w:rsid w:val="68CD2DF1"/>
    <w:rsid w:val="690F51B7"/>
    <w:rsid w:val="69785CF1"/>
    <w:rsid w:val="697E4098"/>
    <w:rsid w:val="69921ACE"/>
    <w:rsid w:val="699456BD"/>
    <w:rsid w:val="69F83E9D"/>
    <w:rsid w:val="6A2B6021"/>
    <w:rsid w:val="6A855E90"/>
    <w:rsid w:val="6AB65699"/>
    <w:rsid w:val="6AC02C0D"/>
    <w:rsid w:val="6B10196A"/>
    <w:rsid w:val="6B264A3A"/>
    <w:rsid w:val="6B39476E"/>
    <w:rsid w:val="6B431148"/>
    <w:rsid w:val="6B792DBC"/>
    <w:rsid w:val="6BD8129F"/>
    <w:rsid w:val="6C3227B5"/>
    <w:rsid w:val="6C450EF0"/>
    <w:rsid w:val="6C700663"/>
    <w:rsid w:val="6C7672FB"/>
    <w:rsid w:val="6C856BF4"/>
    <w:rsid w:val="6CF921EB"/>
    <w:rsid w:val="6D0D5EB2"/>
    <w:rsid w:val="6D2A25C0"/>
    <w:rsid w:val="6D461336"/>
    <w:rsid w:val="6D4F2026"/>
    <w:rsid w:val="6D5F120F"/>
    <w:rsid w:val="6D605FE2"/>
    <w:rsid w:val="6D6A6E60"/>
    <w:rsid w:val="6E056B89"/>
    <w:rsid w:val="6E076DA5"/>
    <w:rsid w:val="6E3663FC"/>
    <w:rsid w:val="6E510020"/>
    <w:rsid w:val="6EC0788F"/>
    <w:rsid w:val="6F655B31"/>
    <w:rsid w:val="703362BE"/>
    <w:rsid w:val="703900F8"/>
    <w:rsid w:val="70721F28"/>
    <w:rsid w:val="707F3EC5"/>
    <w:rsid w:val="708741CD"/>
    <w:rsid w:val="709645C2"/>
    <w:rsid w:val="70983760"/>
    <w:rsid w:val="711772FF"/>
    <w:rsid w:val="713814FC"/>
    <w:rsid w:val="71453E6C"/>
    <w:rsid w:val="71855721"/>
    <w:rsid w:val="71A843FB"/>
    <w:rsid w:val="71D4056A"/>
    <w:rsid w:val="72556B31"/>
    <w:rsid w:val="72A42E14"/>
    <w:rsid w:val="72A526E9"/>
    <w:rsid w:val="72B25F01"/>
    <w:rsid w:val="72CB03A1"/>
    <w:rsid w:val="72D27981"/>
    <w:rsid w:val="72DD6345"/>
    <w:rsid w:val="732B0808"/>
    <w:rsid w:val="734343DB"/>
    <w:rsid w:val="73502CF5"/>
    <w:rsid w:val="735E5441"/>
    <w:rsid w:val="73CD1EF7"/>
    <w:rsid w:val="744E4FAA"/>
    <w:rsid w:val="74F41967"/>
    <w:rsid w:val="7506161E"/>
    <w:rsid w:val="753164B5"/>
    <w:rsid w:val="754D7793"/>
    <w:rsid w:val="755D02FD"/>
    <w:rsid w:val="759E1D9D"/>
    <w:rsid w:val="75A650F5"/>
    <w:rsid w:val="75BC484B"/>
    <w:rsid w:val="765863F0"/>
    <w:rsid w:val="766A4B74"/>
    <w:rsid w:val="768F5B89"/>
    <w:rsid w:val="76A35191"/>
    <w:rsid w:val="76BC479B"/>
    <w:rsid w:val="76BD44A5"/>
    <w:rsid w:val="76EC6BCA"/>
    <w:rsid w:val="76FE3487"/>
    <w:rsid w:val="7702635B"/>
    <w:rsid w:val="7726029C"/>
    <w:rsid w:val="7731279D"/>
    <w:rsid w:val="77631821"/>
    <w:rsid w:val="7773713D"/>
    <w:rsid w:val="779C20DA"/>
    <w:rsid w:val="77C903B7"/>
    <w:rsid w:val="78012B52"/>
    <w:rsid w:val="78283BA0"/>
    <w:rsid w:val="78664EBC"/>
    <w:rsid w:val="786F5C73"/>
    <w:rsid w:val="78957C5C"/>
    <w:rsid w:val="78970D25"/>
    <w:rsid w:val="78A70F68"/>
    <w:rsid w:val="78FF6FF6"/>
    <w:rsid w:val="79195C26"/>
    <w:rsid w:val="796E5F2A"/>
    <w:rsid w:val="79856DD0"/>
    <w:rsid w:val="798C300F"/>
    <w:rsid w:val="799B65F3"/>
    <w:rsid w:val="79CD5A8C"/>
    <w:rsid w:val="7A044199"/>
    <w:rsid w:val="7A440A39"/>
    <w:rsid w:val="7A5E6C66"/>
    <w:rsid w:val="7A664E53"/>
    <w:rsid w:val="7AC23E20"/>
    <w:rsid w:val="7B064216"/>
    <w:rsid w:val="7B503B39"/>
    <w:rsid w:val="7B5B2496"/>
    <w:rsid w:val="7B71585E"/>
    <w:rsid w:val="7BDA3403"/>
    <w:rsid w:val="7C02295A"/>
    <w:rsid w:val="7C855A65"/>
    <w:rsid w:val="7CB71CEF"/>
    <w:rsid w:val="7CCC5441"/>
    <w:rsid w:val="7CCD2C16"/>
    <w:rsid w:val="7D060228"/>
    <w:rsid w:val="7D1B0177"/>
    <w:rsid w:val="7D5E1E12"/>
    <w:rsid w:val="7DBA10EA"/>
    <w:rsid w:val="7DE844FD"/>
    <w:rsid w:val="7DF34C50"/>
    <w:rsid w:val="7E0557AD"/>
    <w:rsid w:val="7E334B62"/>
    <w:rsid w:val="7E5C78D7"/>
    <w:rsid w:val="7E9F0934"/>
    <w:rsid w:val="7F9327F2"/>
    <w:rsid w:val="7FBB354B"/>
    <w:rsid w:val="7FCF6F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87"/>
    <w:autoRedefine/>
    <w:qFormat/>
    <w:uiPriority w:val="0"/>
    <w:pPr>
      <w:keepNext/>
      <w:jc w:val="center"/>
      <w:outlineLvl w:val="0"/>
    </w:pPr>
    <w:rPr>
      <w:b/>
      <w:bCs/>
      <w:color w:val="000000"/>
      <w:sz w:val="32"/>
    </w:rPr>
  </w:style>
  <w:style w:type="paragraph" w:styleId="6">
    <w:name w:val="heading 2"/>
    <w:basedOn w:val="1"/>
    <w:next w:val="1"/>
    <w:link w:val="74"/>
    <w:autoRedefine/>
    <w:qFormat/>
    <w:uiPriority w:val="0"/>
    <w:pPr>
      <w:keepNext/>
      <w:keepLines/>
      <w:spacing w:line="460" w:lineRule="exact"/>
      <w:outlineLvl w:val="1"/>
    </w:pPr>
    <w:rPr>
      <w:rFonts w:ascii="宋体" w:hAnsi="宋体"/>
      <w:sz w:val="30"/>
      <w:szCs w:val="30"/>
    </w:rPr>
  </w:style>
  <w:style w:type="paragraph" w:styleId="7">
    <w:name w:val="heading 3"/>
    <w:basedOn w:val="1"/>
    <w:next w:val="1"/>
    <w:autoRedefine/>
    <w:qFormat/>
    <w:uiPriority w:val="0"/>
    <w:pPr>
      <w:keepNext/>
      <w:keepLines/>
      <w:spacing w:line="460" w:lineRule="exact"/>
      <w:jc w:val="left"/>
      <w:outlineLvl w:val="2"/>
    </w:pPr>
    <w:rPr>
      <w:b/>
      <w:sz w:val="24"/>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0">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next w:val="4"/>
    <w:autoRedefine/>
    <w:qFormat/>
    <w:uiPriority w:val="99"/>
    <w:pPr>
      <w:spacing w:after="120"/>
    </w:pPr>
    <w:rPr>
      <w:kern w:val="0"/>
      <w:sz w:val="24"/>
      <w:szCs w:val="20"/>
    </w:rPr>
  </w:style>
  <w:style w:type="paragraph" w:styleId="4">
    <w:name w:val="Body Text 2"/>
    <w:basedOn w:val="1"/>
    <w:autoRedefine/>
    <w:qFormat/>
    <w:uiPriority w:val="0"/>
    <w:pPr>
      <w:spacing w:after="120" w:line="480" w:lineRule="auto"/>
    </w:pPr>
  </w:style>
  <w:style w:type="paragraph" w:styleId="9">
    <w:name w:val="table of authorities"/>
    <w:basedOn w:val="1"/>
    <w:next w:val="1"/>
    <w:autoRedefine/>
    <w:qFormat/>
    <w:uiPriority w:val="0"/>
    <w:pPr>
      <w:spacing w:line="240" w:lineRule="auto"/>
      <w:ind w:left="420" w:firstLine="0"/>
    </w:pPr>
    <w:rPr>
      <w:rFonts w:ascii="Calibri" w:eastAsia="宋体"/>
    </w:rPr>
  </w:style>
  <w:style w:type="paragraph" w:styleId="10">
    <w:name w:val="Normal Indent"/>
    <w:basedOn w:val="1"/>
    <w:autoRedefine/>
    <w:qFormat/>
    <w:uiPriority w:val="0"/>
    <w:pPr>
      <w:ind w:firstLine="420"/>
    </w:pPr>
  </w:style>
  <w:style w:type="paragraph" w:styleId="11">
    <w:name w:val="annotation text"/>
    <w:basedOn w:val="1"/>
    <w:autoRedefine/>
    <w:qFormat/>
    <w:uiPriority w:val="99"/>
    <w:pPr>
      <w:jc w:val="left"/>
    </w:pPr>
  </w:style>
  <w:style w:type="paragraph" w:styleId="12">
    <w:name w:val="Body Text 3"/>
    <w:basedOn w:val="1"/>
    <w:autoRedefine/>
    <w:qFormat/>
    <w:uiPriority w:val="0"/>
    <w:rPr>
      <w:rFonts w:hAnsi="Times New Roman"/>
      <w:kern w:val="0"/>
      <w:sz w:val="24"/>
      <w:szCs w:val="20"/>
    </w:rPr>
  </w:style>
  <w:style w:type="paragraph" w:styleId="13">
    <w:name w:val="Body Text Indent"/>
    <w:basedOn w:val="1"/>
    <w:next w:val="14"/>
    <w:autoRedefine/>
    <w:qFormat/>
    <w:uiPriority w:val="0"/>
    <w:pPr>
      <w:spacing w:line="312" w:lineRule="auto"/>
      <w:ind w:firstLine="735" w:firstLineChars="245"/>
    </w:pPr>
  </w:style>
  <w:style w:type="paragraph" w:styleId="14">
    <w:name w:val="envelope return"/>
    <w:basedOn w:val="1"/>
    <w:autoRedefine/>
    <w:unhideWhenUsed/>
    <w:qFormat/>
    <w:uiPriority w:val="99"/>
    <w:pPr>
      <w:snapToGrid w:val="0"/>
    </w:pPr>
    <w:rPr>
      <w:rFonts w:ascii="Arial" w:hAnsi="Arial"/>
    </w:rPr>
  </w:style>
  <w:style w:type="paragraph" w:styleId="15">
    <w:name w:val="List 2"/>
    <w:basedOn w:val="1"/>
    <w:autoRedefine/>
    <w:qFormat/>
    <w:uiPriority w:val="0"/>
    <w:pPr>
      <w:ind w:left="100" w:leftChars="200" w:hanging="200" w:hangingChars="200"/>
    </w:pPr>
    <w:rPr>
      <w:szCs w:val="24"/>
    </w:rPr>
  </w:style>
  <w:style w:type="paragraph" w:styleId="16">
    <w:name w:val="Plain Text"/>
    <w:basedOn w:val="1"/>
    <w:autoRedefine/>
    <w:qFormat/>
    <w:uiPriority w:val="0"/>
    <w:rPr>
      <w:rFonts w:ascii="宋体" w:hAnsi="Courier New" w:cs="Courier New"/>
      <w:szCs w:val="21"/>
    </w:rPr>
  </w:style>
  <w:style w:type="paragraph" w:styleId="17">
    <w:name w:val="Balloon Text"/>
    <w:basedOn w:val="1"/>
    <w:link w:val="88"/>
    <w:autoRedefine/>
    <w:semiHidden/>
    <w:unhideWhenUsed/>
    <w:qFormat/>
    <w:uiPriority w:val="99"/>
    <w:pPr>
      <w:spacing w:line="240" w:lineRule="auto"/>
    </w:pPr>
    <w:rPr>
      <w:sz w:val="18"/>
      <w:szCs w:val="18"/>
    </w:rPr>
  </w:style>
  <w:style w:type="paragraph" w:styleId="18">
    <w:name w:val="footer"/>
    <w:basedOn w:val="1"/>
    <w:link w:val="57"/>
    <w:autoRedefine/>
    <w:unhideWhenUsed/>
    <w:qFormat/>
    <w:uiPriority w:val="99"/>
    <w:pPr>
      <w:tabs>
        <w:tab w:val="center" w:pos="4153"/>
        <w:tab w:val="right" w:pos="8306"/>
      </w:tabs>
      <w:snapToGrid w:val="0"/>
      <w:spacing w:line="240" w:lineRule="atLeast"/>
      <w:jc w:val="left"/>
    </w:pPr>
    <w:rPr>
      <w:sz w:val="18"/>
      <w:szCs w:val="18"/>
    </w:rPr>
  </w:style>
  <w:style w:type="paragraph" w:styleId="19">
    <w:name w:val="header"/>
    <w:basedOn w:val="1"/>
    <w:link w:val="56"/>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0">
    <w:name w:val="toc 1"/>
    <w:basedOn w:val="1"/>
    <w:next w:val="1"/>
    <w:autoRedefine/>
    <w:qFormat/>
    <w:uiPriority w:val="39"/>
  </w:style>
  <w:style w:type="paragraph" w:styleId="21">
    <w:name w:val="toc 4"/>
    <w:basedOn w:val="1"/>
    <w:next w:val="1"/>
    <w:autoRedefine/>
    <w:qFormat/>
    <w:uiPriority w:val="0"/>
    <w:pPr>
      <w:ind w:left="1260" w:leftChars="600"/>
    </w:pPr>
    <w:rPr>
      <w:rFonts w:ascii="Times New Roman" w:hAnsi="Times New Roman" w:eastAsia="宋体" w:cs="Times New Roman"/>
    </w:rPr>
  </w:style>
  <w:style w:type="paragraph" w:styleId="22">
    <w:name w:val="footnote text"/>
    <w:basedOn w:val="1"/>
    <w:autoRedefine/>
    <w:qFormat/>
    <w:uiPriority w:val="0"/>
    <w:pPr>
      <w:snapToGrid w:val="0"/>
      <w:jc w:val="left"/>
    </w:pPr>
    <w:rPr>
      <w:sz w:val="18"/>
      <w:szCs w:val="18"/>
    </w:rPr>
  </w:style>
  <w:style w:type="paragraph" w:styleId="23">
    <w:name w:val="toc 2"/>
    <w:basedOn w:val="1"/>
    <w:next w:val="1"/>
    <w:autoRedefine/>
    <w:qFormat/>
    <w:uiPriority w:val="39"/>
    <w:pPr>
      <w:widowControl/>
      <w:spacing w:after="100" w:line="276" w:lineRule="auto"/>
      <w:ind w:left="220"/>
      <w:jc w:val="left"/>
    </w:pPr>
    <w:rPr>
      <w:rFonts w:ascii="Calibri" w:hAnsi="Calibri"/>
      <w:kern w:val="0"/>
      <w:sz w:val="22"/>
    </w:rPr>
  </w:style>
  <w:style w:type="paragraph" w:styleId="24">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autoRedefine/>
    <w:qFormat/>
    <w:uiPriority w:val="0"/>
    <w:pPr>
      <w:spacing w:before="240" w:after="60"/>
      <w:jc w:val="center"/>
      <w:outlineLvl w:val="0"/>
    </w:pPr>
    <w:rPr>
      <w:rFonts w:ascii="Cambria" w:hAnsi="Cambria"/>
      <w:b/>
      <w:bCs/>
      <w:sz w:val="32"/>
      <w:szCs w:val="32"/>
    </w:rPr>
  </w:style>
  <w:style w:type="paragraph" w:styleId="26">
    <w:name w:val="Body Text First Indent 2"/>
    <w:basedOn w:val="13"/>
    <w:next w:val="1"/>
    <w:autoRedefine/>
    <w:qFormat/>
    <w:uiPriority w:val="0"/>
    <w:pPr>
      <w:spacing w:after="120" w:line="240" w:lineRule="auto"/>
      <w:ind w:left="420" w:leftChars="200" w:firstLine="420" w:firstLineChars="200"/>
    </w:pPr>
  </w:style>
  <w:style w:type="table" w:styleId="28">
    <w:name w:val="Table Grid"/>
    <w:basedOn w:val="2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29">
    <w:name w:val="Light Shading"/>
    <w:basedOn w:val="27"/>
    <w:autoRedefine/>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styleId="31">
    <w:name w:val="Strong"/>
    <w:basedOn w:val="30"/>
    <w:autoRedefine/>
    <w:qFormat/>
    <w:uiPriority w:val="22"/>
    <w:rPr>
      <w:b/>
      <w:bCs/>
    </w:rPr>
  </w:style>
  <w:style w:type="character" w:styleId="32">
    <w:name w:val="page number"/>
    <w:basedOn w:val="30"/>
    <w:autoRedefine/>
    <w:qFormat/>
    <w:uiPriority w:val="0"/>
  </w:style>
  <w:style w:type="character" w:styleId="33">
    <w:name w:val="FollowedHyperlink"/>
    <w:basedOn w:val="30"/>
    <w:autoRedefine/>
    <w:semiHidden/>
    <w:unhideWhenUsed/>
    <w:qFormat/>
    <w:uiPriority w:val="99"/>
    <w:rPr>
      <w:color w:val="800080"/>
      <w:u w:val="none"/>
    </w:rPr>
  </w:style>
  <w:style w:type="character" w:styleId="34">
    <w:name w:val="Emphasis"/>
    <w:basedOn w:val="30"/>
    <w:autoRedefine/>
    <w:qFormat/>
    <w:uiPriority w:val="20"/>
    <w:rPr>
      <w:b/>
      <w:bCs/>
    </w:rPr>
  </w:style>
  <w:style w:type="character" w:styleId="35">
    <w:name w:val="HTML Definition"/>
    <w:basedOn w:val="30"/>
    <w:autoRedefine/>
    <w:semiHidden/>
    <w:unhideWhenUsed/>
    <w:qFormat/>
    <w:uiPriority w:val="99"/>
  </w:style>
  <w:style w:type="character" w:styleId="36">
    <w:name w:val="HTML Typewriter"/>
    <w:basedOn w:val="30"/>
    <w:autoRedefine/>
    <w:semiHidden/>
    <w:unhideWhenUsed/>
    <w:qFormat/>
    <w:uiPriority w:val="99"/>
    <w:rPr>
      <w:rFonts w:hint="default" w:ascii="monospace" w:hAnsi="monospace" w:eastAsia="monospace" w:cs="monospace"/>
      <w:sz w:val="20"/>
    </w:rPr>
  </w:style>
  <w:style w:type="character" w:styleId="37">
    <w:name w:val="HTML Acronym"/>
    <w:basedOn w:val="30"/>
    <w:autoRedefine/>
    <w:semiHidden/>
    <w:unhideWhenUsed/>
    <w:qFormat/>
    <w:uiPriority w:val="99"/>
  </w:style>
  <w:style w:type="character" w:styleId="38">
    <w:name w:val="HTML Variable"/>
    <w:basedOn w:val="30"/>
    <w:autoRedefine/>
    <w:semiHidden/>
    <w:unhideWhenUsed/>
    <w:qFormat/>
    <w:uiPriority w:val="99"/>
  </w:style>
  <w:style w:type="character" w:styleId="39">
    <w:name w:val="Hyperlink"/>
    <w:basedOn w:val="30"/>
    <w:autoRedefine/>
    <w:semiHidden/>
    <w:unhideWhenUsed/>
    <w:qFormat/>
    <w:uiPriority w:val="99"/>
    <w:rPr>
      <w:color w:val="0000FF"/>
      <w:u w:val="none"/>
    </w:rPr>
  </w:style>
  <w:style w:type="character" w:styleId="40">
    <w:name w:val="HTML Code"/>
    <w:basedOn w:val="30"/>
    <w:autoRedefine/>
    <w:semiHidden/>
    <w:unhideWhenUsed/>
    <w:qFormat/>
    <w:uiPriority w:val="99"/>
    <w:rPr>
      <w:rFonts w:hint="default" w:ascii="monospace" w:hAnsi="monospace" w:eastAsia="monospace" w:cs="monospace"/>
      <w:sz w:val="20"/>
    </w:rPr>
  </w:style>
  <w:style w:type="character" w:styleId="41">
    <w:name w:val="HTML Cite"/>
    <w:basedOn w:val="30"/>
    <w:autoRedefine/>
    <w:semiHidden/>
    <w:unhideWhenUsed/>
    <w:qFormat/>
    <w:uiPriority w:val="99"/>
  </w:style>
  <w:style w:type="character" w:styleId="42">
    <w:name w:val="HTML Keyboard"/>
    <w:basedOn w:val="30"/>
    <w:autoRedefine/>
    <w:semiHidden/>
    <w:unhideWhenUsed/>
    <w:qFormat/>
    <w:uiPriority w:val="99"/>
    <w:rPr>
      <w:rFonts w:hint="default" w:ascii="monospace" w:hAnsi="monospace" w:eastAsia="monospace" w:cs="monospace"/>
      <w:sz w:val="20"/>
    </w:rPr>
  </w:style>
  <w:style w:type="character" w:styleId="43">
    <w:name w:val="HTML Sample"/>
    <w:basedOn w:val="30"/>
    <w:autoRedefine/>
    <w:semiHidden/>
    <w:unhideWhenUsed/>
    <w:qFormat/>
    <w:uiPriority w:val="99"/>
    <w:rPr>
      <w:rFonts w:ascii="monospace" w:hAnsi="monospace" w:eastAsia="monospace" w:cs="monospace"/>
    </w:rPr>
  </w:style>
  <w:style w:type="paragraph" w:customStyle="1" w:styleId="44">
    <w:name w:val="toc 11"/>
    <w:next w:val="1"/>
    <w:autoRedefine/>
    <w:qFormat/>
    <w:uiPriority w:val="0"/>
    <w:pPr>
      <w:wordWrap w:val="0"/>
      <w:jc w:val="both"/>
    </w:pPr>
    <w:rPr>
      <w:rFonts w:ascii="宋体" w:hAnsi="宋体" w:eastAsia="宋体" w:cs="宋体"/>
      <w:sz w:val="21"/>
      <w:szCs w:val="22"/>
      <w:lang w:val="en-US" w:eastAsia="zh-CN" w:bidi="ar-SA"/>
    </w:rPr>
  </w:style>
  <w:style w:type="paragraph" w:customStyle="1" w:styleId="45">
    <w:name w:val="首行缩进"/>
    <w:basedOn w:val="1"/>
    <w:next w:val="21"/>
    <w:autoRedefine/>
    <w:qFormat/>
    <w:uiPriority w:val="0"/>
    <w:pPr>
      <w:ind w:firstLine="480"/>
    </w:pPr>
    <w:rPr>
      <w:lang w:val="zh-CN"/>
    </w:rPr>
  </w:style>
  <w:style w:type="paragraph" w:customStyle="1" w:styleId="4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7">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8">
    <w:name w:val="样式 正文首行缩进 2 + Arial"/>
    <w:basedOn w:val="1"/>
    <w:next w:val="1"/>
    <w:autoRedefine/>
    <w:qFormat/>
    <w:uiPriority w:val="0"/>
    <w:pPr>
      <w:spacing w:after="120" w:line="320" w:lineRule="atLeast"/>
    </w:pPr>
    <w:rPr>
      <w:rFonts w:ascii="Arial" w:hAnsi="Arial"/>
      <w:kern w:val="0"/>
    </w:rPr>
  </w:style>
  <w:style w:type="paragraph" w:customStyle="1" w:styleId="49">
    <w:name w:val="Body Text1"/>
    <w:basedOn w:val="1"/>
    <w:autoRedefine/>
    <w:qFormat/>
    <w:uiPriority w:val="0"/>
    <w:pPr>
      <w:spacing w:after="120"/>
    </w:pPr>
  </w:style>
  <w:style w:type="paragraph" w:customStyle="1" w:styleId="50">
    <w:name w:val="No Spacing1"/>
    <w:basedOn w:val="1"/>
    <w:autoRedefine/>
    <w:qFormat/>
    <w:uiPriority w:val="0"/>
    <w:pPr>
      <w:spacing w:line="400" w:lineRule="exact"/>
    </w:pPr>
    <w:rPr>
      <w:sz w:val="24"/>
      <w:szCs w:val="24"/>
    </w:rPr>
  </w:style>
  <w:style w:type="paragraph" w:customStyle="1" w:styleId="51">
    <w:name w:val="表格文字"/>
    <w:basedOn w:val="1"/>
    <w:next w:val="3"/>
    <w:autoRedefine/>
    <w:qFormat/>
    <w:uiPriority w:val="99"/>
    <w:pPr>
      <w:spacing w:before="25" w:after="25"/>
      <w:jc w:val="left"/>
    </w:pPr>
    <w:rPr>
      <w:rFonts w:ascii="Times New Roman" w:hAnsi="Times New Roman"/>
      <w:bCs/>
      <w:spacing w:val="10"/>
      <w:kern w:val="0"/>
      <w:sz w:val="24"/>
      <w:szCs w:val="20"/>
    </w:rPr>
  </w:style>
  <w:style w:type="paragraph" w:customStyle="1" w:styleId="52">
    <w:name w:val="style4"/>
    <w:basedOn w:val="53"/>
    <w:next w:val="54"/>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3">
    <w:name w:val="正文_0"/>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4">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55">
    <w:name w:val="列出段落1"/>
    <w:basedOn w:val="53"/>
    <w:autoRedefine/>
    <w:qFormat/>
    <w:uiPriority w:val="34"/>
    <w:pPr>
      <w:ind w:firstLine="420" w:firstLineChars="200"/>
    </w:pPr>
    <w:rPr>
      <w:rFonts w:ascii="Calibri" w:hAnsi="Calibri"/>
      <w:szCs w:val="22"/>
    </w:rPr>
  </w:style>
  <w:style w:type="character" w:customStyle="1" w:styleId="56">
    <w:name w:val="页眉 Char"/>
    <w:basedOn w:val="30"/>
    <w:link w:val="19"/>
    <w:autoRedefine/>
    <w:qFormat/>
    <w:uiPriority w:val="99"/>
    <w:rPr>
      <w:kern w:val="2"/>
      <w:sz w:val="18"/>
      <w:szCs w:val="18"/>
    </w:rPr>
  </w:style>
  <w:style w:type="character" w:customStyle="1" w:styleId="57">
    <w:name w:val="页脚 Char"/>
    <w:basedOn w:val="30"/>
    <w:link w:val="18"/>
    <w:autoRedefine/>
    <w:qFormat/>
    <w:uiPriority w:val="99"/>
    <w:rPr>
      <w:kern w:val="2"/>
      <w:sz w:val="18"/>
      <w:szCs w:val="18"/>
    </w:rPr>
  </w:style>
  <w:style w:type="paragraph" w:customStyle="1" w:styleId="58">
    <w:name w:val="无间隔1"/>
    <w:basedOn w:val="1"/>
    <w:autoRedefine/>
    <w:qFormat/>
    <w:uiPriority w:val="1"/>
    <w:pPr>
      <w:spacing w:line="400" w:lineRule="exact"/>
    </w:pPr>
  </w:style>
  <w:style w:type="paragraph" w:customStyle="1" w:styleId="59">
    <w:name w:val="*正文"/>
    <w:basedOn w:val="1"/>
    <w:next w:val="1"/>
    <w:autoRedefine/>
    <w:qFormat/>
    <w:uiPriority w:val="0"/>
    <w:pPr>
      <w:spacing w:line="360" w:lineRule="auto"/>
    </w:pPr>
    <w:rPr>
      <w:rFonts w:hint="eastAsia" w:ascii="宋体" w:hAnsi="宋体" w:eastAsia="宋体" w:cs="Times New Roman"/>
      <w:kern w:val="0"/>
      <w:sz w:val="20"/>
      <w:szCs w:val="24"/>
    </w:rPr>
  </w:style>
  <w:style w:type="paragraph" w:customStyle="1" w:styleId="60">
    <w:name w:val="WPSOffice手动目录 1"/>
    <w:autoRedefine/>
    <w:qFormat/>
    <w:uiPriority w:val="0"/>
    <w:rPr>
      <w:rFonts w:ascii="Times New Roman" w:hAnsi="Times New Roman" w:eastAsia="宋体" w:cs="Times New Roman"/>
      <w:lang w:val="en-US" w:eastAsia="zh-CN" w:bidi="ar-SA"/>
    </w:rPr>
  </w:style>
  <w:style w:type="paragraph" w:styleId="61">
    <w:name w:val="List Paragraph"/>
    <w:basedOn w:val="1"/>
    <w:autoRedefine/>
    <w:qFormat/>
    <w:uiPriority w:val="0"/>
    <w:pPr>
      <w:ind w:firstLine="420"/>
    </w:pPr>
    <w:rPr>
      <w:szCs w:val="24"/>
    </w:rPr>
  </w:style>
  <w:style w:type="paragraph" w:customStyle="1" w:styleId="62">
    <w:name w:val="招标正文"/>
    <w:basedOn w:val="1"/>
    <w:autoRedefine/>
    <w:qFormat/>
    <w:uiPriority w:val="0"/>
    <w:pPr>
      <w:spacing w:line="360" w:lineRule="auto"/>
      <w:ind w:firstLine="480"/>
    </w:pPr>
    <w:rPr>
      <w:rFonts w:ascii="宋体" w:hAnsi="宋体"/>
      <w:sz w:val="24"/>
      <w:szCs w:val="24"/>
    </w:rPr>
  </w:style>
  <w:style w:type="paragraph" w:customStyle="1" w:styleId="63">
    <w:name w:val="Table Paragraph"/>
    <w:basedOn w:val="1"/>
    <w:autoRedefine/>
    <w:qFormat/>
    <w:uiPriority w:val="0"/>
    <w:pPr>
      <w:autoSpaceDE w:val="0"/>
      <w:autoSpaceDN w:val="0"/>
      <w:jc w:val="left"/>
    </w:pPr>
    <w:rPr>
      <w:rFonts w:hint="eastAsia" w:ascii="宋体" w:hAnsi="宋体" w:eastAsia="宋体" w:cs="Times New Roman"/>
      <w:kern w:val="0"/>
      <w:sz w:val="22"/>
    </w:rPr>
  </w:style>
  <w:style w:type="paragraph" w:customStyle="1" w:styleId="64">
    <w:name w:val="BodyText1I2"/>
    <w:basedOn w:val="65"/>
    <w:next w:val="66"/>
    <w:autoRedefine/>
    <w:qFormat/>
    <w:uiPriority w:val="0"/>
    <w:pPr>
      <w:ind w:firstLine="420"/>
    </w:pPr>
    <w:rPr>
      <w:rFonts w:ascii="Calibri" w:hAnsi="Calibri" w:eastAsia="楷体_GB2312"/>
      <w:kern w:val="44"/>
      <w:sz w:val="44"/>
    </w:rPr>
  </w:style>
  <w:style w:type="paragraph" w:customStyle="1" w:styleId="65">
    <w:name w:val="BodyTextIndent"/>
    <w:basedOn w:val="1"/>
    <w:autoRedefine/>
    <w:qFormat/>
    <w:uiPriority w:val="0"/>
    <w:pPr>
      <w:spacing w:after="120"/>
      <w:ind w:left="420" w:leftChars="200"/>
    </w:pPr>
    <w:rPr>
      <w:rFonts w:ascii="Times New Roman" w:hAnsi="Times New Roman"/>
      <w:kern w:val="0"/>
      <w:sz w:val="20"/>
    </w:rPr>
  </w:style>
  <w:style w:type="paragraph" w:customStyle="1" w:styleId="66">
    <w:name w:val="UserStyle_136"/>
    <w:basedOn w:val="1"/>
    <w:next w:val="1"/>
    <w:autoRedefine/>
    <w:qFormat/>
    <w:uiPriority w:val="0"/>
    <w:pPr>
      <w:spacing w:after="120" w:line="320" w:lineRule="atLeast"/>
    </w:pPr>
    <w:rPr>
      <w:rFonts w:ascii="Arial" w:hAnsi="Arial"/>
      <w:kern w:val="0"/>
    </w:rPr>
  </w:style>
  <w:style w:type="paragraph" w:customStyle="1" w:styleId="67">
    <w:name w:val="Normal_51"/>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8">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文档正文"/>
    <w:basedOn w:val="1"/>
    <w:autoRedefine/>
    <w:qFormat/>
    <w:uiPriority w:val="0"/>
    <w:pPr>
      <w:adjustRightInd w:val="0"/>
      <w:spacing w:line="480" w:lineRule="atLeast"/>
      <w:ind w:firstLine="567"/>
      <w:textAlignment w:val="baseline"/>
    </w:pPr>
    <w:rPr>
      <w:rFonts w:ascii="仿宋_GB2312" w:eastAsia="仿宋_GB2312"/>
      <w:kern w:val="0"/>
      <w:sz w:val="28"/>
    </w:rPr>
  </w:style>
  <w:style w:type="paragraph" w:customStyle="1" w:styleId="70">
    <w:name w:val="正文_5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71">
    <w:name w:val="样式 标题 2 + Times New Roman 四号 非加粗 段前: 5 磅 段后: 0 磅 行距: 固定值 20..."/>
    <w:basedOn w:val="6"/>
    <w:autoRedefine/>
    <w:qFormat/>
    <w:uiPriority w:val="0"/>
    <w:pPr>
      <w:spacing w:before="100" w:line="400" w:lineRule="exact"/>
    </w:pPr>
    <w:rPr>
      <w:rFonts w:ascii="Times New Roman" w:hAnsi="Times New Roman" w:cs="宋体"/>
      <w:sz w:val="28"/>
      <w:szCs w:val="20"/>
    </w:rPr>
  </w:style>
  <w:style w:type="paragraph" w:customStyle="1" w:styleId="72">
    <w:name w:val="样式 标题 3 + (中文) 黑体 小四 非加粗 段前: 7.8 磅 段后: 0 磅 行距: 固定值 20 磅"/>
    <w:basedOn w:val="7"/>
    <w:autoRedefine/>
    <w:qFormat/>
    <w:uiPriority w:val="0"/>
    <w:pPr>
      <w:spacing w:line="400" w:lineRule="exact"/>
    </w:pPr>
    <w:rPr>
      <w:rFonts w:eastAsia="黑体" w:cs="宋体"/>
      <w:b w:val="0"/>
      <w:szCs w:val="20"/>
    </w:rPr>
  </w:style>
  <w:style w:type="character" w:customStyle="1" w:styleId="73">
    <w:name w:val="标题 1 Char"/>
    <w:autoRedefine/>
    <w:qFormat/>
    <w:uiPriority w:val="0"/>
    <w:rPr>
      <w:b/>
      <w:bCs/>
      <w:color w:val="000000"/>
      <w:sz w:val="32"/>
    </w:rPr>
  </w:style>
  <w:style w:type="character" w:customStyle="1" w:styleId="74">
    <w:name w:val="标题 2 Char"/>
    <w:link w:val="6"/>
    <w:autoRedefine/>
    <w:qFormat/>
    <w:uiPriority w:val="0"/>
    <w:rPr>
      <w:rFonts w:ascii="宋体" w:hAnsi="宋体"/>
      <w:b/>
      <w:sz w:val="30"/>
      <w:szCs w:val="30"/>
    </w:rPr>
  </w:style>
  <w:style w:type="paragraph" w:customStyle="1" w:styleId="75">
    <w:name w:val="Other|1"/>
    <w:basedOn w:val="1"/>
    <w:autoRedefine/>
    <w:qFormat/>
    <w:uiPriority w:val="0"/>
    <w:pPr>
      <w:spacing w:line="468" w:lineRule="auto"/>
      <w:ind w:firstLine="400"/>
    </w:pPr>
    <w:rPr>
      <w:rFonts w:ascii="宋体" w:hAnsi="宋体" w:eastAsia="宋体" w:cs="宋体"/>
      <w:sz w:val="20"/>
      <w:szCs w:val="20"/>
      <w:lang w:val="zh-TW" w:eastAsia="zh-TW" w:bidi="zh-TW"/>
    </w:rPr>
  </w:style>
  <w:style w:type="paragraph" w:customStyle="1" w:styleId="76">
    <w:name w:val="CM37"/>
    <w:basedOn w:val="1"/>
    <w:next w:val="1"/>
    <w:autoRedefine/>
    <w:semiHidden/>
    <w:qFormat/>
    <w:uiPriority w:val="0"/>
    <w:pPr>
      <w:autoSpaceDE w:val="0"/>
      <w:autoSpaceDN w:val="0"/>
      <w:adjustRightInd w:val="0"/>
      <w:spacing w:after="220"/>
      <w:jc w:val="left"/>
    </w:pPr>
    <w:rPr>
      <w:rFonts w:ascii="华文细黑" w:hAnsi="Calibri" w:eastAsia="华文细黑" w:cs="华文细黑"/>
      <w:kern w:val="0"/>
      <w:sz w:val="24"/>
    </w:rPr>
  </w:style>
  <w:style w:type="character" w:customStyle="1" w:styleId="77">
    <w:name w:val="NormalCharacter"/>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78">
    <w:name w:val="正文1"/>
    <w:basedOn w:val="1"/>
    <w:autoRedefine/>
    <w:qFormat/>
    <w:uiPriority w:val="0"/>
    <w:pPr>
      <w:widowControl/>
      <w:topLinePunct/>
      <w:spacing w:before="156" w:beforeLines="50" w:after="156" w:afterLines="50" w:line="300" w:lineRule="auto"/>
      <w:ind w:left="420"/>
    </w:pPr>
    <w:rPr>
      <w:szCs w:val="24"/>
    </w:rPr>
  </w:style>
  <w:style w:type="paragraph" w:customStyle="1" w:styleId="79">
    <w:name w:val="BodyText1I"/>
    <w:basedOn w:val="80"/>
    <w:autoRedefine/>
    <w:qFormat/>
    <w:uiPriority w:val="99"/>
    <w:pPr>
      <w:ind w:firstLine="420" w:firstLineChars="100"/>
    </w:pPr>
  </w:style>
  <w:style w:type="paragraph" w:customStyle="1" w:styleId="80">
    <w:name w:val="BodyText"/>
    <w:basedOn w:val="1"/>
    <w:next w:val="81"/>
    <w:autoRedefine/>
    <w:qFormat/>
    <w:uiPriority w:val="99"/>
    <w:pPr>
      <w:spacing w:after="120"/>
    </w:pPr>
  </w:style>
  <w:style w:type="paragraph" w:customStyle="1" w:styleId="81">
    <w:name w:val="UserStyle_217"/>
    <w:autoRedefine/>
    <w:qFormat/>
    <w:uiPriority w:val="99"/>
    <w:pPr>
      <w:textAlignment w:val="baseline"/>
    </w:pPr>
    <w:rPr>
      <w:rFonts w:ascii="宋体" w:hAnsi="Times New Roman" w:eastAsia="宋体" w:cs="Times New Roman"/>
      <w:color w:val="000000"/>
      <w:sz w:val="24"/>
      <w:szCs w:val="24"/>
      <w:lang w:val="en-US" w:eastAsia="zh-CN" w:bidi="ar-SA"/>
    </w:rPr>
  </w:style>
  <w:style w:type="character" w:customStyle="1" w:styleId="82">
    <w:name w:val="hover"/>
    <w:basedOn w:val="30"/>
    <w:autoRedefine/>
    <w:qFormat/>
    <w:uiPriority w:val="0"/>
    <w:rPr>
      <w:color w:val="2590EB"/>
    </w:rPr>
  </w:style>
  <w:style w:type="character" w:customStyle="1" w:styleId="83">
    <w:name w:val="hover1"/>
    <w:basedOn w:val="30"/>
    <w:autoRedefine/>
    <w:qFormat/>
    <w:uiPriority w:val="0"/>
    <w:rPr>
      <w:color w:val="2590EB"/>
    </w:rPr>
  </w:style>
  <w:style w:type="character" w:customStyle="1" w:styleId="84">
    <w:name w:val="hover2"/>
    <w:basedOn w:val="30"/>
    <w:autoRedefine/>
    <w:qFormat/>
    <w:uiPriority w:val="0"/>
  </w:style>
  <w:style w:type="character" w:customStyle="1" w:styleId="85">
    <w:name w:val="hover3"/>
    <w:basedOn w:val="30"/>
    <w:autoRedefine/>
    <w:qFormat/>
    <w:uiPriority w:val="0"/>
    <w:rPr>
      <w:color w:val="2590EB"/>
      <w:shd w:val="clear" w:color="auto" w:fill="E9F4FD"/>
    </w:rPr>
  </w:style>
  <w:style w:type="character" w:customStyle="1" w:styleId="86">
    <w:name w:val="hover4"/>
    <w:basedOn w:val="30"/>
    <w:autoRedefine/>
    <w:qFormat/>
    <w:uiPriority w:val="0"/>
    <w:rPr>
      <w:color w:val="2590EB"/>
      <w:shd w:val="clear" w:color="auto" w:fill="E9F4FD"/>
    </w:rPr>
  </w:style>
  <w:style w:type="character" w:customStyle="1" w:styleId="87">
    <w:name w:val="标题 1 Char1"/>
    <w:link w:val="5"/>
    <w:autoRedefine/>
    <w:qFormat/>
    <w:uiPriority w:val="0"/>
    <w:rPr>
      <w:b/>
      <w:bCs/>
      <w:color w:val="000000"/>
      <w:sz w:val="32"/>
    </w:rPr>
  </w:style>
  <w:style w:type="character" w:customStyle="1" w:styleId="88">
    <w:name w:val="批注框文本 Char"/>
    <w:basedOn w:val="30"/>
    <w:link w:val="17"/>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DD5BF9-AF7E-4982-A1B0-BE8757F1273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139</Pages>
  <Words>76116</Words>
  <Characters>84570</Characters>
  <Lines>719</Lines>
  <Paragraphs>202</Paragraphs>
  <TotalTime>9</TotalTime>
  <ScaleCrop>false</ScaleCrop>
  <LinksUpToDate>false</LinksUpToDate>
  <CharactersWithSpaces>86567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2025-07-23T09:35:00Z</dcterms:created>
  <dc:creator>wxk</dc:creator>
  <cp:lastModifiedBy>NTKO</cp:lastModifiedBy>
  <cp:lastPrinted>2024-07-26T00:22:00Z</cp:lastPrinted>
  <dcterms:modified xsi:type="dcterms:W3CDTF">2025-08-01T01:27:16Z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231CB8B6E2424483B2FD51530E53D7F2_13</vt:lpwstr>
  </property>
  <property fmtid="{D5CDD505-2E9C-101B-9397-08002B2CF9AE}" pid="4" name="KSOTemplateDocerSaveRecord">
    <vt:lpwstr>eyJoZGlkIjoiZjZmYjc5ZTI5ZWU3OWI3NWIwMDRiOWM4ODYwNWNjNjQiLCJ1c2VySWQiOiIyMDg5NDIxNDAifQ==</vt:lpwstr>
  </property>
</Properties>
</file>