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00BE3">
      <w:pPr>
        <w:pStyle w:val="3"/>
        <w:pageBreakBefore w:val="0"/>
        <w:numPr>
          <w:numId w:val="0"/>
        </w:numPr>
        <w:kinsoku/>
        <w:overflowPunct/>
        <w:bidi w:val="0"/>
        <w:spacing w:line="360" w:lineRule="auto"/>
        <w:jc w:val="center"/>
        <w:rPr>
          <w:rFonts w:hint="eastAsia" w:ascii="宋体" w:hAnsi="宋体" w:eastAsia="宋体" w:cs="宋体"/>
          <w:b/>
          <w:color w:val="auto"/>
          <w:sz w:val="32"/>
          <w:szCs w:val="32"/>
          <w:highlight w:val="none"/>
          <w:lang w:eastAsia="zh-CN"/>
        </w:rPr>
      </w:pPr>
      <w:bookmarkStart w:id="0" w:name="_Toc18147"/>
      <w:r>
        <w:rPr>
          <w:rFonts w:hint="eastAsia" w:ascii="宋体" w:hAnsi="宋体" w:cs="宋体"/>
          <w:b/>
          <w:color w:val="auto"/>
          <w:sz w:val="32"/>
          <w:szCs w:val="32"/>
          <w:highlight w:val="none"/>
          <w:lang w:eastAsia="zh-CN"/>
        </w:rPr>
        <w:t>采</w:t>
      </w:r>
      <w:bookmarkStart w:id="3" w:name="_GoBack"/>
      <w:bookmarkEnd w:id="3"/>
      <w:r>
        <w:rPr>
          <w:rFonts w:hint="eastAsia" w:ascii="宋体" w:hAnsi="宋体" w:cs="宋体"/>
          <w:b/>
          <w:color w:val="auto"/>
          <w:sz w:val="32"/>
          <w:szCs w:val="32"/>
          <w:highlight w:val="none"/>
          <w:lang w:eastAsia="zh-CN"/>
        </w:rPr>
        <w:t>购需求</w:t>
      </w:r>
      <w:bookmarkEnd w:id="0"/>
    </w:p>
    <w:p w14:paraId="355E8ADF">
      <w:pPr>
        <w:widowControl w:val="0"/>
        <w:numPr>
          <w:ilvl w:val="0"/>
          <w:numId w:val="0"/>
        </w:numPr>
        <w:wordWrap w:val="0"/>
        <w:topLinePunct/>
        <w:spacing w:before="312" w:beforeLines="100" w:after="312" w:afterLines="100" w:line="600" w:lineRule="exact"/>
        <w:ind w:left="0" w:leftChars="0"/>
        <w:jc w:val="both"/>
        <w:outlineLvl w:val="0"/>
        <w:rPr>
          <w:rFonts w:hint="eastAsia" w:ascii="宋体" w:hAnsi="宋体" w:eastAsia="宋体" w:cs="宋体"/>
          <w:color w:val="auto"/>
          <w:kern w:val="2"/>
          <w:sz w:val="21"/>
          <w:szCs w:val="21"/>
          <w:highlight w:val="none"/>
          <w:lang w:val="en-US" w:eastAsia="zh-CN" w:bidi="ar-SA"/>
        </w:rPr>
      </w:pPr>
      <w:bookmarkStart w:id="1" w:name="_Toc7886"/>
      <w:r>
        <w:rPr>
          <w:rFonts w:hint="eastAsia" w:ascii="宋体" w:hAnsi="宋体" w:eastAsia="宋体" w:cs="宋体"/>
          <w:color w:val="auto"/>
          <w:kern w:val="2"/>
          <w:sz w:val="21"/>
          <w:szCs w:val="21"/>
          <w:lang w:val="en-US" w:eastAsia="zh-CN" w:bidi="ar-SA"/>
        </w:rPr>
        <w:t>一、</w:t>
      </w:r>
      <w:r>
        <w:rPr>
          <w:rFonts w:hint="eastAsia" w:ascii="宋体" w:hAnsi="宋体" w:eastAsia="宋体" w:cs="宋体"/>
          <w:color w:val="auto"/>
          <w:kern w:val="2"/>
          <w:sz w:val="21"/>
          <w:szCs w:val="21"/>
          <w:highlight w:val="none"/>
          <w:lang w:val="en-US" w:eastAsia="zh-CN" w:bidi="ar-SA"/>
        </w:rPr>
        <w:t>项目清单</w:t>
      </w:r>
      <w:bookmarkEnd w:id="1"/>
    </w:p>
    <w:tbl>
      <w:tblPr>
        <w:tblStyle w:val="5"/>
        <w:tblW w:w="84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45" w:type="dxa"/>
          <w:left w:w="96" w:type="dxa"/>
          <w:bottom w:w="45" w:type="dxa"/>
          <w:right w:w="96" w:type="dxa"/>
        </w:tblCellMar>
      </w:tblPr>
      <w:tblGrid>
        <w:gridCol w:w="1204"/>
        <w:gridCol w:w="3676"/>
        <w:gridCol w:w="1205"/>
        <w:gridCol w:w="1205"/>
        <w:gridCol w:w="1205"/>
      </w:tblGrid>
      <w:tr w14:paraId="501A1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tblHeader/>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4CD8EE91">
            <w:pPr>
              <w:wordWrap/>
              <w:topLinePunct w:val="0"/>
              <w:snapToGrid w:val="0"/>
              <w:spacing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序号</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3E235610">
            <w:pPr>
              <w:wordWrap/>
              <w:topLinePunct w:val="0"/>
              <w:snapToGrid w:val="0"/>
              <w:spacing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kern w:val="0"/>
                <w:sz w:val="21"/>
                <w:szCs w:val="21"/>
                <w:lang w:eastAsia="zh-CN"/>
              </w:rPr>
              <w:t>产品名称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73324E3">
            <w:pPr>
              <w:wordWrap/>
              <w:topLinePunct w:val="0"/>
              <w:snapToGrid w:val="0"/>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eastAsia="zh-CN"/>
              </w:rPr>
              <w:t>数量</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BEB8BC9">
            <w:pPr>
              <w:wordWrap/>
              <w:topLinePunct w:val="0"/>
              <w:snapToGrid w:val="0"/>
              <w:spacing w:line="360" w:lineRule="auto"/>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eastAsia="zh-CN"/>
              </w:rPr>
              <w:t>单位</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AAA6E9D">
            <w:pPr>
              <w:wordWrap/>
              <w:topLinePunct w:val="0"/>
              <w:snapToGrid w:val="0"/>
              <w:spacing w:line="360" w:lineRule="auto"/>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备注</w:t>
            </w:r>
          </w:p>
        </w:tc>
      </w:tr>
      <w:tr w14:paraId="44786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37937CD1">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4AC570A6">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桌面云</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DAE8A09">
            <w:pPr>
              <w:tabs>
                <w:tab w:val="left" w:pos="312"/>
              </w:tabs>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5</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7973B7E">
            <w:pPr>
              <w:tabs>
                <w:tab w:val="left" w:pos="312"/>
              </w:tabs>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CB3EBDF">
            <w:pPr>
              <w:wordWrap/>
              <w:topLinePunct w:val="0"/>
              <w:snapToGrid w:val="0"/>
              <w:spacing w:line="360" w:lineRule="auto"/>
              <w:jc w:val="center"/>
              <w:rPr>
                <w:rFonts w:hint="eastAsia" w:ascii="宋体" w:hAnsi="宋体" w:eastAsia="宋体" w:cs="宋体"/>
                <w:color w:val="auto"/>
                <w:sz w:val="21"/>
                <w:szCs w:val="21"/>
              </w:rPr>
            </w:pPr>
          </w:p>
        </w:tc>
      </w:tr>
      <w:tr w14:paraId="78B3A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0E588AF1">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759818CB">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瘦终端</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5602092">
            <w:pPr>
              <w:tabs>
                <w:tab w:val="left" w:pos="312"/>
              </w:tabs>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150</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36253FA">
            <w:pPr>
              <w:tabs>
                <w:tab w:val="left" w:pos="312"/>
              </w:tabs>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966EBF2">
            <w:pPr>
              <w:wordWrap/>
              <w:topLinePunct w:val="0"/>
              <w:snapToGrid w:val="0"/>
              <w:spacing w:line="360" w:lineRule="auto"/>
              <w:jc w:val="center"/>
              <w:rPr>
                <w:rFonts w:hint="eastAsia" w:ascii="宋体" w:hAnsi="宋体" w:eastAsia="宋体" w:cs="宋体"/>
                <w:color w:val="auto"/>
                <w:sz w:val="21"/>
                <w:szCs w:val="21"/>
              </w:rPr>
            </w:pPr>
          </w:p>
        </w:tc>
      </w:tr>
      <w:tr w14:paraId="4CF4D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27E2C4A0">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4E7C08C6">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终端接入授权</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AA0FC48">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7B8902F">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6F17E03">
            <w:pPr>
              <w:wordWrap/>
              <w:topLinePunct w:val="0"/>
              <w:snapToGrid w:val="0"/>
              <w:spacing w:line="360" w:lineRule="auto"/>
              <w:jc w:val="center"/>
              <w:rPr>
                <w:rFonts w:hint="eastAsia" w:ascii="宋体" w:hAnsi="宋体" w:eastAsia="宋体" w:cs="宋体"/>
                <w:color w:val="auto"/>
                <w:sz w:val="21"/>
                <w:szCs w:val="21"/>
              </w:rPr>
            </w:pPr>
          </w:p>
        </w:tc>
      </w:tr>
      <w:tr w14:paraId="2061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24539333">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07CCF53C">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显示器</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2BECF82">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150</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B2D7767">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0ACFB8F">
            <w:pPr>
              <w:wordWrap/>
              <w:topLinePunct w:val="0"/>
              <w:snapToGrid w:val="0"/>
              <w:spacing w:line="360" w:lineRule="auto"/>
              <w:jc w:val="center"/>
              <w:rPr>
                <w:rFonts w:hint="eastAsia" w:ascii="宋体" w:hAnsi="宋体" w:eastAsia="宋体" w:cs="宋体"/>
                <w:color w:val="auto"/>
                <w:sz w:val="21"/>
                <w:szCs w:val="21"/>
              </w:rPr>
            </w:pPr>
          </w:p>
        </w:tc>
      </w:tr>
      <w:tr w14:paraId="75E59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6708E3B4">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18356222">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键盘鼠标</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72B1CE5">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150</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6D5DD6F">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8F8E7B7">
            <w:pPr>
              <w:wordWrap/>
              <w:topLinePunct w:val="0"/>
              <w:snapToGrid w:val="0"/>
              <w:spacing w:line="360" w:lineRule="auto"/>
              <w:jc w:val="center"/>
              <w:rPr>
                <w:rFonts w:hint="eastAsia" w:ascii="宋体" w:hAnsi="宋体" w:eastAsia="宋体" w:cs="宋体"/>
                <w:color w:val="auto"/>
                <w:sz w:val="21"/>
                <w:szCs w:val="21"/>
              </w:rPr>
            </w:pPr>
          </w:p>
        </w:tc>
      </w:tr>
      <w:tr w14:paraId="073C1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786B1AAA">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21711A0F">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存储交换机</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B29A51A">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78A193F">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ED11153">
            <w:pPr>
              <w:wordWrap/>
              <w:topLinePunct w:val="0"/>
              <w:snapToGrid w:val="0"/>
              <w:spacing w:line="360" w:lineRule="auto"/>
              <w:jc w:val="center"/>
              <w:rPr>
                <w:rFonts w:hint="eastAsia" w:ascii="宋体" w:hAnsi="宋体" w:eastAsia="宋体" w:cs="宋体"/>
                <w:color w:val="auto"/>
                <w:kern w:val="0"/>
                <w:sz w:val="21"/>
                <w:szCs w:val="21"/>
              </w:rPr>
            </w:pPr>
          </w:p>
        </w:tc>
      </w:tr>
      <w:tr w14:paraId="3C0A4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46628239">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60F110D6">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业务交换机</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FD4A28E">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06B8ECA4">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BC66938">
            <w:pPr>
              <w:wordWrap/>
              <w:topLinePunct w:val="0"/>
              <w:snapToGrid w:val="0"/>
              <w:spacing w:line="360" w:lineRule="auto"/>
              <w:jc w:val="center"/>
              <w:rPr>
                <w:rFonts w:hint="eastAsia" w:ascii="宋体" w:hAnsi="宋体" w:eastAsia="宋体" w:cs="宋体"/>
                <w:color w:val="auto"/>
                <w:sz w:val="21"/>
                <w:szCs w:val="21"/>
              </w:rPr>
            </w:pPr>
          </w:p>
        </w:tc>
      </w:tr>
      <w:tr w14:paraId="41B7B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0A0B6FDB">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1E2E5051">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汇聚交换机</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D972103">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2</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B2C23CA">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2AE3006">
            <w:pPr>
              <w:wordWrap/>
              <w:topLinePunct w:val="0"/>
              <w:snapToGrid w:val="0"/>
              <w:spacing w:line="360" w:lineRule="auto"/>
              <w:jc w:val="center"/>
              <w:rPr>
                <w:rFonts w:hint="eastAsia" w:ascii="宋体" w:hAnsi="宋体" w:eastAsia="宋体" w:cs="宋体"/>
                <w:color w:val="auto"/>
                <w:sz w:val="21"/>
                <w:szCs w:val="21"/>
              </w:rPr>
            </w:pPr>
          </w:p>
        </w:tc>
      </w:tr>
      <w:tr w14:paraId="3F957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2758A70C">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56635EF7">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楼层交换机</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CCDFE36">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15</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5A988D8">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0EEBA84">
            <w:pPr>
              <w:wordWrap/>
              <w:topLinePunct w:val="0"/>
              <w:snapToGrid w:val="0"/>
              <w:spacing w:line="360" w:lineRule="auto"/>
              <w:jc w:val="center"/>
              <w:rPr>
                <w:rFonts w:hint="eastAsia" w:ascii="宋体" w:hAnsi="宋体" w:eastAsia="宋体" w:cs="宋体"/>
                <w:color w:val="auto"/>
                <w:kern w:val="0"/>
                <w:sz w:val="21"/>
                <w:szCs w:val="21"/>
              </w:rPr>
            </w:pPr>
          </w:p>
        </w:tc>
      </w:tr>
      <w:tr w14:paraId="5F189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45" w:type="dxa"/>
            <w:left w:w="96" w:type="dxa"/>
            <w:bottom w:w="45" w:type="dxa"/>
            <w:right w:w="96" w:type="dxa"/>
          </w:tblCellMar>
        </w:tblPrEx>
        <w:trPr>
          <w:trHeight w:val="0" w:hRule="atLeast"/>
          <w:jc w:val="center"/>
        </w:trPr>
        <w:tc>
          <w:tcPr>
            <w:tcW w:w="1204" w:type="dxa"/>
            <w:tcBorders>
              <w:top w:val="single" w:color="auto" w:sz="4" w:space="0"/>
              <w:left w:val="single" w:color="auto" w:sz="4" w:space="0"/>
              <w:bottom w:val="single" w:color="auto" w:sz="4" w:space="0"/>
              <w:right w:val="single" w:color="auto" w:sz="4" w:space="0"/>
            </w:tcBorders>
            <w:noWrap w:val="0"/>
            <w:vAlign w:val="center"/>
          </w:tcPr>
          <w:p w14:paraId="1C80A482">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3676" w:type="dxa"/>
            <w:tcBorders>
              <w:top w:val="single" w:color="auto" w:sz="4" w:space="0"/>
              <w:left w:val="single" w:color="auto" w:sz="4" w:space="0"/>
              <w:bottom w:val="single" w:color="auto" w:sz="4" w:space="0"/>
              <w:right w:val="single" w:color="auto" w:sz="4" w:space="0"/>
            </w:tcBorders>
            <w:noWrap w:val="0"/>
            <w:vAlign w:val="center"/>
          </w:tcPr>
          <w:p w14:paraId="7273A91A">
            <w:pPr>
              <w:wordWrap/>
              <w:topLinePunct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楼层光纤布线</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F368B56">
            <w:pPr>
              <w:wordWrap/>
              <w:topLinePunct w:val="0"/>
              <w:snapToGrid w:val="0"/>
              <w:spacing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1</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ACD73D3">
            <w:pPr>
              <w:wordWrap/>
              <w:topLinePunct w:val="0"/>
              <w:snapToGrid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项</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34066F5">
            <w:pPr>
              <w:wordWrap/>
              <w:topLinePunct w:val="0"/>
              <w:snapToGrid w:val="0"/>
              <w:spacing w:line="360" w:lineRule="auto"/>
              <w:jc w:val="center"/>
              <w:rPr>
                <w:rFonts w:hint="eastAsia" w:ascii="宋体" w:hAnsi="宋体" w:eastAsia="宋体" w:cs="宋体"/>
                <w:color w:val="auto"/>
                <w:kern w:val="0"/>
                <w:sz w:val="21"/>
                <w:szCs w:val="21"/>
              </w:rPr>
            </w:pPr>
          </w:p>
        </w:tc>
      </w:tr>
    </w:tbl>
    <w:p w14:paraId="4DA04426">
      <w:pPr>
        <w:widowControl w:val="0"/>
        <w:numPr>
          <w:ilvl w:val="0"/>
          <w:numId w:val="0"/>
        </w:numPr>
        <w:wordWrap w:val="0"/>
        <w:topLinePunct/>
        <w:spacing w:before="312" w:beforeLines="100" w:after="312" w:afterLines="100" w:line="600" w:lineRule="exact"/>
        <w:jc w:val="both"/>
        <w:outlineLvl w:val="0"/>
        <w:rPr>
          <w:rFonts w:hint="eastAsia" w:ascii="宋体" w:hAnsi="宋体" w:eastAsia="宋体" w:cs="宋体"/>
          <w:color w:val="auto"/>
          <w:kern w:val="2"/>
          <w:sz w:val="21"/>
          <w:szCs w:val="21"/>
          <w:highlight w:val="none"/>
          <w:lang w:val="en-US" w:eastAsia="zh-CN" w:bidi="ar-SA"/>
        </w:rPr>
      </w:pPr>
      <w:bookmarkStart w:id="2" w:name="_Toc19679"/>
      <w:r>
        <w:rPr>
          <w:rFonts w:hint="eastAsia" w:ascii="宋体" w:hAnsi="宋体" w:eastAsia="宋体" w:cs="宋体"/>
          <w:color w:val="auto"/>
          <w:kern w:val="2"/>
          <w:sz w:val="21"/>
          <w:szCs w:val="21"/>
          <w:lang w:val="en-US" w:eastAsia="zh-CN" w:bidi="ar-SA"/>
        </w:rPr>
        <w:t>二、</w:t>
      </w:r>
      <w:r>
        <w:rPr>
          <w:rFonts w:hint="eastAsia" w:ascii="宋体" w:hAnsi="宋体" w:eastAsia="宋体" w:cs="宋体"/>
          <w:color w:val="auto"/>
          <w:kern w:val="2"/>
          <w:sz w:val="21"/>
          <w:szCs w:val="21"/>
          <w:highlight w:val="none"/>
          <w:lang w:val="en-US" w:eastAsia="zh-CN" w:bidi="ar-SA"/>
        </w:rPr>
        <w:t>技术参数</w:t>
      </w:r>
      <w:bookmarkEnd w:id="2"/>
    </w:p>
    <w:tbl>
      <w:tblPr>
        <w:tblStyle w:val="5"/>
        <w:tblW w:w="87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276"/>
        <w:gridCol w:w="6662"/>
      </w:tblGrid>
      <w:tr w14:paraId="4361E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2AECFE0">
            <w:pPr>
              <w:wordWrap/>
              <w:topLinePunct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CCD3E4">
            <w:pPr>
              <w:wordWrap/>
              <w:topLinePunct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产品名称</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11E240D">
            <w:pPr>
              <w:wordWrap/>
              <w:topLinePunct w:val="0"/>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主要技术参数及性能（配置）要求</w:t>
            </w:r>
          </w:p>
        </w:tc>
      </w:tr>
      <w:tr w14:paraId="56E67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6ECA61A3">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FE5B64F">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桌面云</w:t>
            </w:r>
          </w:p>
          <w:p w14:paraId="2E911884">
            <w:pPr>
              <w:wordWrap/>
              <w:topLinePunct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核心产品</w:t>
            </w:r>
            <w:r>
              <w:rPr>
                <w:rFonts w:hint="eastAsia" w:ascii="宋体" w:hAnsi="宋体" w:eastAsia="宋体" w:cs="宋体"/>
                <w:b/>
                <w:bCs/>
                <w:color w:val="auto"/>
                <w:sz w:val="21"/>
                <w:szCs w:val="21"/>
                <w:lang w:eastAsia="zh-CN"/>
              </w:rPr>
              <w:t>）</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2C5BBD40">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1.</w:t>
            </w:r>
            <w:r>
              <w:rPr>
                <w:rFonts w:hint="eastAsia" w:ascii="宋体" w:hAnsi="宋体" w:eastAsia="宋体" w:cs="宋体"/>
                <w:kern w:val="0"/>
                <w:sz w:val="21"/>
                <w:szCs w:val="21"/>
              </w:rPr>
              <w:t>本项目要求配备的服务器一体机，与终端盒子、桌面云软件同一品牌，出厂时必须预装各类桌面云软件（含服务器虚拟化、存储虚拟化等），不允许提供祼机设备。</w:t>
            </w:r>
          </w:p>
          <w:p w14:paraId="68387932">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2.</w:t>
            </w:r>
            <w:r>
              <w:rPr>
                <w:rFonts w:hint="eastAsia" w:ascii="宋体" w:hAnsi="宋体" w:eastAsia="宋体" w:cs="宋体"/>
                <w:kern w:val="0"/>
                <w:sz w:val="21"/>
                <w:szCs w:val="21"/>
              </w:rPr>
              <w:t>为了保障桌面资源满足使用需求，单台桌面云一体机配置要求为：CPU核数≥2*32（主频不低于3.25Ghz）、内存≥16*32G、千兆电口≥4个，万兆光口≥2个，冗余电源，≥2U设备。系统盘不低于2块480G SSD硬盘、缓存盘不低于2*1.92T SSD硬盘，数据盘不少于4*8T机械硬盘；提供3年软件升级和硬件质保服务。</w:t>
            </w:r>
          </w:p>
          <w:p w14:paraId="693B0FCB">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3.</w:t>
            </w:r>
            <w:r>
              <w:rPr>
                <w:rFonts w:hint="eastAsia" w:ascii="宋体" w:hAnsi="宋体" w:eastAsia="宋体" w:cs="宋体"/>
                <w:kern w:val="0"/>
                <w:sz w:val="21"/>
                <w:szCs w:val="21"/>
              </w:rPr>
              <w:t>考虑到用户的数据存储及数据共享需求，所投方案需自带云盘存储方案，通过分配个人盘保护用户个人数据存储需求及隐私保护需求，而共用盘允许所有人访问，实现数据共享需求。</w:t>
            </w:r>
          </w:p>
          <w:p w14:paraId="057B5068">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4.</w:t>
            </w:r>
            <w:r>
              <w:rPr>
                <w:rFonts w:hint="eastAsia" w:ascii="宋体" w:hAnsi="宋体" w:eastAsia="宋体" w:cs="宋体"/>
                <w:kern w:val="0"/>
                <w:sz w:val="21"/>
                <w:szCs w:val="21"/>
              </w:rPr>
              <w:t>为了保证在广域网或者网络条件较差的场景接入虚拟桌面的体验，支持UDP和TCP两种传输模式、根据网络条件在建立会话前自动选择传输模式，无需用户手动调整；要求所投产品需支持配置压缩质量、帧率等网络优化技术，以达到优质稳定的连接。</w:t>
            </w:r>
          </w:p>
          <w:p w14:paraId="4D6BD182">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5.</w:t>
            </w:r>
            <w:r>
              <w:rPr>
                <w:rFonts w:hint="eastAsia" w:ascii="宋体" w:hAnsi="宋体" w:eastAsia="宋体" w:cs="宋体"/>
                <w:kern w:val="0"/>
                <w:sz w:val="21"/>
                <w:szCs w:val="21"/>
              </w:rPr>
              <w:t>为了提升用户使用体验，所投桌面云产品需能够达到与PC一致的开关机体验，支持查看终端接入时云桌面的启动/关机过程以及出现异常情况（例如开机打补丁或蓝屏卡死等画面），便于用户进一步处理，提升用户开关机体验，从一定程度降低管理员维护工作量。</w:t>
            </w:r>
          </w:p>
          <w:p w14:paraId="143897D4">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6.</w:t>
            </w:r>
            <w:r>
              <w:rPr>
                <w:rFonts w:hint="eastAsia" w:ascii="宋体" w:hAnsi="宋体" w:eastAsia="宋体" w:cs="宋体"/>
                <w:kern w:val="0"/>
                <w:sz w:val="21"/>
                <w:szCs w:val="21"/>
              </w:rPr>
              <w:t>为了提高桌面视频播放体验，所投产品需支持视频重定向技术，视频播放时直接重定向到终端本地解码，以达到高清流畅的播放效果同时降低服务器端资源占用，重定向应能够兼容Media Player等多种本地播放器。</w:t>
            </w:r>
          </w:p>
          <w:p w14:paraId="13E1E988">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7.</w:t>
            </w:r>
            <w:r>
              <w:rPr>
                <w:rFonts w:hint="eastAsia" w:ascii="宋体" w:hAnsi="宋体" w:eastAsia="宋体" w:cs="宋体"/>
                <w:kern w:val="0"/>
                <w:sz w:val="21"/>
                <w:szCs w:val="21"/>
              </w:rPr>
              <w:t>支持就近打印配置，可以根据客户机对象或者终端ip对象关联打印机配置，用户通过终端登录桌面，自动匹配终端管理的打印机配置，实现就近打印。</w:t>
            </w:r>
          </w:p>
          <w:p w14:paraId="74CA283D">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8.</w:t>
            </w:r>
            <w:r>
              <w:rPr>
                <w:rFonts w:hint="eastAsia" w:ascii="宋体" w:hAnsi="宋体" w:eastAsia="宋体" w:cs="宋体"/>
                <w:kern w:val="0"/>
                <w:sz w:val="21"/>
                <w:szCs w:val="21"/>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14:paraId="0AE7FCAD">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9.</w:t>
            </w:r>
            <w:r>
              <w:rPr>
                <w:rFonts w:hint="eastAsia" w:ascii="宋体" w:hAnsi="宋体" w:eastAsia="宋体" w:cs="宋体"/>
                <w:kern w:val="0"/>
                <w:sz w:val="21"/>
                <w:szCs w:val="21"/>
              </w:rPr>
              <w:t>支持空闲虚拟机识别，通过算法分析识别一段时间内的空闲和僵尸虚拟机，并能导出统计报告，用于管理员做统计报表和分析，避免不必要的资源开销。</w:t>
            </w:r>
          </w:p>
          <w:p w14:paraId="12175ED9">
            <w:pPr>
              <w:numPr>
                <w:ilvl w:val="0"/>
                <w:numId w:val="0"/>
              </w:numPr>
              <w:wordWrap/>
              <w:topLinePunct w:val="0"/>
              <w:spacing w:line="360" w:lineRule="auto"/>
              <w:rPr>
                <w:rFonts w:hint="eastAsia" w:ascii="宋体" w:hAnsi="宋体" w:eastAsia="宋体" w:cs="宋体"/>
                <w:kern w:val="0"/>
                <w:sz w:val="21"/>
                <w:szCs w:val="21"/>
                <w:lang w:eastAsia="zh-CN"/>
              </w:rPr>
            </w:pPr>
            <w:r>
              <w:rPr>
                <w:rFonts w:hint="eastAsia" w:ascii="宋体" w:hAnsi="宋体" w:eastAsia="宋体" w:cs="宋体"/>
                <w:b w:val="0"/>
                <w:bCs w:val="0"/>
                <w:kern w:val="0"/>
                <w:sz w:val="21"/>
                <w:szCs w:val="21"/>
                <w:lang w:val="en-US" w:eastAsia="zh-CN" w:bidi="ar-SA"/>
              </w:rPr>
              <w:t>10.</w:t>
            </w:r>
            <w:r>
              <w:rPr>
                <w:rFonts w:hint="eastAsia" w:ascii="宋体" w:hAnsi="宋体" w:eastAsia="宋体" w:cs="宋体"/>
                <w:kern w:val="0"/>
                <w:sz w:val="21"/>
                <w:szCs w:val="21"/>
              </w:rPr>
              <w:t>软件资源占用统计和业务软件识别，针对软件资源（含CPU、内存、使用人、安装目录和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）占用进行统计分析，如果消耗较高会提供告警；同时提供业务软件标识功能，管理员可以将特定软件标记为业务软件和非业务软件，用于管理员对企业组织软件安装和使用情况做分析</w:t>
            </w:r>
            <w:r>
              <w:rPr>
                <w:rFonts w:hint="eastAsia" w:ascii="宋体" w:hAnsi="宋体" w:eastAsia="宋体" w:cs="宋体"/>
                <w:kern w:val="0"/>
                <w:sz w:val="21"/>
                <w:szCs w:val="21"/>
                <w:lang w:eastAsia="zh-CN"/>
              </w:rPr>
              <w:t>。</w:t>
            </w:r>
          </w:p>
          <w:p w14:paraId="0D5DF745">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11.</w:t>
            </w:r>
            <w:r>
              <w:rPr>
                <w:rFonts w:hint="eastAsia" w:ascii="宋体" w:hAnsi="宋体" w:eastAsia="宋体" w:cs="宋体"/>
                <w:kern w:val="0"/>
                <w:sz w:val="21"/>
                <w:szCs w:val="21"/>
              </w:rPr>
              <w:t>支持将应用虚拟化管理平台直接映射到互联网，要求自带SSL加密功能，不要借助第三方设备，并且能够用于固定IP线路和动态IP线路2种方式，其中动态IP不依赖第三方插件，降低部署复杂度。</w:t>
            </w:r>
          </w:p>
          <w:p w14:paraId="392B051A">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12.</w:t>
            </w:r>
            <w:r>
              <w:rPr>
                <w:rFonts w:hint="eastAsia" w:ascii="宋体" w:hAnsi="宋体" w:eastAsia="宋体" w:cs="宋体"/>
                <w:kern w:val="0"/>
                <w:sz w:val="21"/>
                <w:szCs w:val="21"/>
              </w:rPr>
              <w:t>为保证连续性，避免因平台升级影响桌面使用，支持平滑滚动升级，支持群集不停机情况下的服务器逐台升级，升级时将自动迁移虚拟机至其他主机，不影响业务运行。为保障业务实时性，平台非内核级更新支持业务不中断热升级，升级过程无需重启主机。</w:t>
            </w:r>
          </w:p>
          <w:p w14:paraId="1EA12D1C">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13.</w:t>
            </w:r>
            <w:r>
              <w:rPr>
                <w:rFonts w:hint="eastAsia" w:ascii="宋体" w:hAnsi="宋体" w:eastAsia="宋体" w:cs="宋体"/>
                <w:kern w:val="0"/>
                <w:sz w:val="21"/>
                <w:szCs w:val="21"/>
              </w:rPr>
              <w:t>产品需支持U盘、移动硬盘等移动存储设备，在千兆网络环境中的移动存储传输速度不低于50MB/s, 满足用户从桌面云高速访问本地大容量文件的需求。</w:t>
            </w:r>
          </w:p>
          <w:p w14:paraId="683551EC">
            <w:pPr>
              <w:numPr>
                <w:ilvl w:val="0"/>
                <w:numId w:val="0"/>
              </w:numPr>
              <w:wordWrap/>
              <w:topLinePunct w:val="0"/>
              <w:spacing w:line="360" w:lineRule="auto"/>
              <w:rPr>
                <w:rFonts w:hint="eastAsia" w:ascii="宋体" w:hAnsi="宋体" w:eastAsia="宋体" w:cs="宋体"/>
                <w:color w:val="auto"/>
                <w:kern w:val="0"/>
                <w:sz w:val="21"/>
                <w:szCs w:val="21"/>
                <w:lang w:eastAsia="zh-CN"/>
              </w:rPr>
            </w:pPr>
            <w:r>
              <w:rPr>
                <w:rFonts w:hint="eastAsia" w:ascii="宋体" w:hAnsi="宋体" w:eastAsia="宋体" w:cs="宋体"/>
                <w:b w:val="0"/>
                <w:bCs w:val="0"/>
                <w:kern w:val="0"/>
                <w:sz w:val="21"/>
                <w:szCs w:val="21"/>
                <w:lang w:val="en-US" w:eastAsia="zh-CN" w:bidi="ar-SA"/>
              </w:rPr>
              <w:t>14.</w:t>
            </w:r>
            <w:r>
              <w:rPr>
                <w:rFonts w:hint="eastAsia" w:ascii="宋体" w:hAnsi="宋体" w:eastAsia="宋体" w:cs="宋体"/>
                <w:kern w:val="0"/>
                <w:sz w:val="21"/>
                <w:szCs w:val="21"/>
              </w:rPr>
              <w:t>支持鼠标、键盘、打印机等常用外设，其中支持用户在网络打印机和桌面云虚拟机网络不通情况下，用户可以直接在虚拟机内使用终端网络上的网络打印机正常完成打印任务，终端支持windows，瘦终端、uos、麒麟等系统</w:t>
            </w:r>
            <w:r>
              <w:rPr>
                <w:rFonts w:hint="eastAsia" w:ascii="宋体" w:hAnsi="宋体" w:eastAsia="宋体" w:cs="宋体"/>
                <w:kern w:val="0"/>
                <w:sz w:val="21"/>
                <w:szCs w:val="21"/>
                <w:lang w:eastAsia="zh-CN"/>
              </w:rPr>
              <w:t>。</w:t>
            </w:r>
          </w:p>
        </w:tc>
      </w:tr>
      <w:tr w14:paraId="72795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79945CC">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598D78">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瘦终端</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6131FA83">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1.</w:t>
            </w:r>
            <w:r>
              <w:rPr>
                <w:rFonts w:hint="eastAsia" w:ascii="宋体" w:hAnsi="宋体" w:eastAsia="宋体" w:cs="宋体"/>
                <w:kern w:val="0"/>
                <w:sz w:val="21"/>
                <w:szCs w:val="21"/>
              </w:rPr>
              <w:t>本项目要求配备的150台瘦终端与桌面云软件、服务器同一品牌。</w:t>
            </w:r>
          </w:p>
          <w:p w14:paraId="140974D4">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2.</w:t>
            </w:r>
            <w:r>
              <w:rPr>
                <w:rFonts w:hint="eastAsia" w:ascii="宋体" w:hAnsi="宋体" w:eastAsia="宋体" w:cs="宋体"/>
                <w:kern w:val="0"/>
                <w:sz w:val="21"/>
                <w:szCs w:val="21"/>
              </w:rPr>
              <w:t>ARM架构，CPU≥4核1.8Ghz、内存≥2G、存储≥8G，VGA≥1个，HDMI≥1个，USB2.0≥4个；USB3.0≥2个，千兆电口≥1个。提供3年产品质保服务。</w:t>
            </w:r>
          </w:p>
          <w:p w14:paraId="4D6BFE6B">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3.</w:t>
            </w:r>
            <w:r>
              <w:rPr>
                <w:rFonts w:hint="eastAsia" w:ascii="宋体" w:hAnsi="宋体" w:eastAsia="宋体" w:cs="宋体"/>
                <w:kern w:val="0"/>
                <w:sz w:val="21"/>
                <w:szCs w:val="21"/>
              </w:rPr>
              <w:t>采用嵌入式操作系统，比如Android、Linux。</w:t>
            </w:r>
          </w:p>
          <w:p w14:paraId="182AFB1C">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4.</w:t>
            </w:r>
            <w:r>
              <w:rPr>
                <w:rFonts w:hint="eastAsia" w:ascii="宋体" w:hAnsi="宋体" w:eastAsia="宋体" w:cs="宋体"/>
                <w:kern w:val="0"/>
                <w:sz w:val="21"/>
                <w:szCs w:val="21"/>
              </w:rPr>
              <w:t>为了方便管理，管理方式为虚拟机和瘦终端统一管理，降低管理难度。</w:t>
            </w:r>
          </w:p>
          <w:p w14:paraId="5344459D">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5.</w:t>
            </w:r>
            <w:r>
              <w:rPr>
                <w:rFonts w:hint="eastAsia" w:ascii="宋体" w:hAnsi="宋体" w:eastAsia="宋体" w:cs="宋体"/>
                <w:kern w:val="0"/>
                <w:sz w:val="21"/>
                <w:szCs w:val="21"/>
              </w:rPr>
              <w:t>考虑到接入安全，需支持修改云终端配置和登录信息时需要密码，可限制未接入过环境的瘦终端的接入或者接入桌面环境需要输入密码。</w:t>
            </w:r>
          </w:p>
          <w:p w14:paraId="3B9C18E1">
            <w:pPr>
              <w:numPr>
                <w:ilvl w:val="0"/>
                <w:numId w:val="0"/>
              </w:numPr>
              <w:wordWrap/>
              <w:topLinePunct w:val="0"/>
              <w:spacing w:line="360" w:lineRule="auto"/>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bidi="ar-SA"/>
              </w:rPr>
              <w:t>6.</w:t>
            </w:r>
            <w:r>
              <w:rPr>
                <w:rFonts w:hint="eastAsia" w:ascii="宋体" w:hAnsi="宋体" w:eastAsia="宋体" w:cs="宋体"/>
                <w:kern w:val="0"/>
                <w:sz w:val="21"/>
                <w:szCs w:val="21"/>
              </w:rPr>
              <w:t>在瘦终端的管理方面，需支持分组管理、批量移动、删除、关闭瘦终端，支持配置定时开关机计划及加电自启动功能，支持自定义开机画面、配置自动登录和保存密码。</w:t>
            </w:r>
          </w:p>
          <w:p w14:paraId="0DDA9420">
            <w:pPr>
              <w:numPr>
                <w:ilvl w:val="0"/>
                <w:numId w:val="0"/>
              </w:numPr>
              <w:wordWrap/>
              <w:topLinePunct w:val="0"/>
              <w:spacing w:line="360" w:lineRule="auto"/>
              <w:rPr>
                <w:rFonts w:hint="eastAsia" w:ascii="宋体" w:hAnsi="宋体" w:eastAsia="宋体" w:cs="宋体"/>
                <w:color w:val="auto"/>
                <w:kern w:val="0"/>
                <w:sz w:val="21"/>
                <w:szCs w:val="21"/>
              </w:rPr>
            </w:pPr>
            <w:r>
              <w:rPr>
                <w:rFonts w:hint="eastAsia" w:ascii="宋体" w:hAnsi="宋体" w:eastAsia="宋体" w:cs="宋体"/>
                <w:b w:val="0"/>
                <w:bCs w:val="0"/>
                <w:kern w:val="0"/>
                <w:sz w:val="21"/>
                <w:szCs w:val="21"/>
                <w:lang w:val="en-US" w:eastAsia="zh-CN" w:bidi="ar-SA"/>
              </w:rPr>
              <w:t>7.</w:t>
            </w:r>
            <w:r>
              <w:rPr>
                <w:rFonts w:hint="eastAsia" w:ascii="宋体" w:hAnsi="宋体" w:eastAsia="宋体" w:cs="宋体"/>
                <w:kern w:val="0"/>
                <w:sz w:val="21"/>
                <w:szCs w:val="21"/>
              </w:rPr>
              <w:t>为了降低用户的使用难度，需要瘦终端的使用可以和PC一致，在关机方面，在虚拟机中点击“开始”菜单、点击“关机”按钮，云终端和操作系统将会一体化关闭。</w:t>
            </w:r>
          </w:p>
        </w:tc>
      </w:tr>
      <w:tr w14:paraId="67FEA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39104489">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B00E20">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终端接入授权</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1F9C48B3">
            <w:pPr>
              <w:wordWrap/>
              <w:topLinePunct w:val="0"/>
              <w:spacing w:line="360"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本项目要求提供150个VDI用户授权，支持发布专有桌面、还原桌面（包括池化桌面）、共享桌面、远程应用和TCI终端至少6种桌面资源，满足不同场景的应用需求。提供3年软件升级服务。</w:t>
            </w:r>
          </w:p>
        </w:tc>
      </w:tr>
      <w:tr w14:paraId="43CCB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6EC307D">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5EEFFB6">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显示器</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02D4D38">
            <w:pPr>
              <w:wordWrap/>
              <w:topLinePunct w:val="0"/>
              <w:spacing w:line="360"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不低于27英寸显示器。</w:t>
            </w:r>
          </w:p>
        </w:tc>
      </w:tr>
      <w:tr w14:paraId="43CCB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15C273FC">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2EE4128">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键盘鼠标</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74B420B0">
            <w:pPr>
              <w:wordWrap/>
              <w:topLinePunct w:val="0"/>
              <w:spacing w:line="360"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USB键盘鼠标套装</w:t>
            </w:r>
          </w:p>
        </w:tc>
      </w:tr>
      <w:tr w14:paraId="0B4B0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0B436A76">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7EB1CBB">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存储交换机交换机</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5A59BB1A">
            <w:pPr>
              <w:wordWrap/>
              <w:topLinePunct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1.交换容量≥2.5Tbps/25Tbps；包转发率≥800Mpps/1200Mpps；</w:t>
            </w:r>
          </w:p>
          <w:p w14:paraId="35AAFAA3">
            <w:pPr>
              <w:wordWrap/>
              <w:topLinePunct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2.1G/2.5G/10G SFP+光口≥24个；40G QSFP+光口≥2个；Console口≥1个；Manage口≥1个；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3.支持双交流电源模块1+1冗余（热插拔）；整机功耗≤100W；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4.支持防网关ARP欺骗，支持端口保护、隔离、防止ARP泛洪攻击功能；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5.支持通过网管中心平台查看交换机面板端口工作状态，通过端口颜色显示状态即可判断端口是否在线工作；</w:t>
            </w:r>
          </w:p>
          <w:p w14:paraId="1F473CEB">
            <w:pPr>
              <w:wordWrap/>
              <w:topLinePunct w:val="0"/>
              <w:spacing w:line="360"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6.支持以下上线方式：支持二层广播自动发现网管中心平台；支持配置静态IP地址三层发现网管中心平台；支持DHCP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kern w:val="0"/>
                <w:sz w:val="21"/>
                <w:szCs w:val="21"/>
                <w:lang w:eastAsia="zh-CN"/>
              </w:rPr>
              <w:t>。</w:t>
            </w:r>
          </w:p>
        </w:tc>
      </w:tr>
      <w:tr w14:paraId="361C0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5F76239">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7DBD36">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业务交换机</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052FFBC2">
            <w:pPr>
              <w:wordWrap/>
              <w:topLinePunct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1.交换容量≥ 600Gbps/6Tbps；包转发率≥200Mpps/360Mpps；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2.千兆电口≥48个，万兆SFP+光口≥4个；Console口≥1个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3.支持MAC地址≥32K；支持4K个VLAN；支持IGMP v1/v2/v3 Snooping；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4.支持MAC地址自动学习；支持源MAC地址过滤；支持接口MAC地址学习个数限制；</w:t>
            </w:r>
          </w:p>
          <w:p w14:paraId="17F65B40">
            <w:pPr>
              <w:wordWrap/>
              <w:topLinePunct w:val="0"/>
              <w:spacing w:line="360"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5.支持智能交换机和普通交换机两种工作模式，可以根据不同的组网需要，随时灵活的进行切换；</w:t>
            </w:r>
          </w:p>
          <w:p w14:paraId="062BB086">
            <w:pPr>
              <w:wordWrap/>
              <w:topLinePunct w:val="0"/>
              <w:spacing w:line="360" w:lineRule="auto"/>
              <w:rPr>
                <w:rFonts w:hint="eastAsia" w:ascii="宋体" w:hAnsi="宋体" w:eastAsia="宋体" w:cs="宋体"/>
                <w:color w:val="auto"/>
                <w:kern w:val="0"/>
                <w:sz w:val="21"/>
                <w:szCs w:val="21"/>
              </w:rPr>
            </w:pPr>
            <w:r>
              <w:rPr>
                <w:rFonts w:hint="eastAsia" w:ascii="宋体" w:hAnsi="宋体" w:eastAsia="宋体" w:cs="宋体"/>
                <w:kern w:val="0"/>
                <w:sz w:val="21"/>
                <w:szCs w:val="21"/>
              </w:rPr>
              <w:t>6.支持通过在网管中心平台的Web页面对交换机进行可视化管理查看，包括交换机的端口状态及配置、vlan信息。</w:t>
            </w:r>
          </w:p>
        </w:tc>
      </w:tr>
      <w:tr w14:paraId="02533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3D506661">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6FCC4C9">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汇聚交换机</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050A920C">
            <w:pPr>
              <w:wordWrap/>
              <w:topLinePunct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1.交换容量≥2.5Tbps/25Tbps；包转发率≥800Mpps/1200Mpps；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2.1G/2.5G/10G SFP+光口≥24个；40G QSFP+光口≥2个；Console口≥1个；Manage口≥1个；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3.支持双交流电源模块1+1冗余（热插拔）；整机功耗≤100W；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4.支持防网关ARP欺骗，支持端口保护、隔离、防止ARP泛洪攻击功能；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5.支持通过网管中心平台查看交换机面板端口工作状态，通过端口颜色显示状态即可判断端口是否在线工作；</w:t>
            </w:r>
          </w:p>
          <w:p w14:paraId="345B24FA">
            <w:pPr>
              <w:wordWrap/>
              <w:topLinePunct w:val="0"/>
              <w:spacing w:line="360" w:lineRule="auto"/>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rPr>
              <w:t>6.支持以下上线方式：支持二层广播自动发现网管中心平台；支持配置静态IP地址三层发现网管中心平台；支持DHCP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kern w:val="0"/>
                <w:sz w:val="21"/>
                <w:szCs w:val="21"/>
                <w:lang w:eastAsia="zh-CN"/>
              </w:rPr>
              <w:t>。</w:t>
            </w:r>
          </w:p>
        </w:tc>
      </w:tr>
      <w:tr w14:paraId="1B63E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6AF2B506">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C74FE56">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楼层交换机</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518D3C40">
            <w:pPr>
              <w:wordWrap/>
              <w:topLinePunct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1、为保障设备线速转发能力，设备的交换容量≥670Gbps，包转发率≥200Mpps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2、为保障足够的接入能力，千兆电口数≥48个，万兆光口≥4个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3、支持MAC地址≥16K，支持MAC地址自动学习；支持源MAC地址过滤；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4、支持业务端口共模防雷≥6KV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5、支持通过APP进行远程管理，并且可以修改交换机网络配置</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6、上线方式：支持云发现、支持配置网关IP或通过网关DNS域名自动发现上线；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7、支持通过在网管中心平台的Web页面对交换机进行可视化管理查看，包括交换机的端口状态及配置、vlan信息； </w:t>
            </w:r>
          </w:p>
          <w:p w14:paraId="52AB0005">
            <w:pPr>
              <w:wordWrap/>
              <w:topLinePunct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8、支持通过网管中心平台一键替换“按钮”即可完成故障设备替换；</w:t>
            </w:r>
          </w:p>
          <w:p w14:paraId="7CA4C004">
            <w:pPr>
              <w:wordWrap/>
              <w:topLinePunct w:val="0"/>
              <w:spacing w:line="360" w:lineRule="auto"/>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rPr>
              <w:t>9、支持IEEE802.3az标准的EEE节能技术：当EEE使能时，大幅度减小端口在该阶段的功耗，达到节能目的</w:t>
            </w:r>
            <w:r>
              <w:rPr>
                <w:rFonts w:hint="eastAsia" w:ascii="宋体" w:hAnsi="宋体" w:eastAsia="宋体" w:cs="宋体"/>
                <w:kern w:val="0"/>
                <w:sz w:val="21"/>
                <w:szCs w:val="21"/>
                <w:lang w:eastAsia="zh-CN"/>
              </w:rPr>
              <w:t>。</w:t>
            </w:r>
          </w:p>
        </w:tc>
      </w:tr>
      <w:tr w14:paraId="48BA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14:paraId="560B707D">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9E5971C">
            <w:pPr>
              <w:wordWrap/>
              <w:topLinePunct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楼层光纤布线</w:t>
            </w:r>
          </w:p>
        </w:tc>
        <w:tc>
          <w:tcPr>
            <w:tcW w:w="6662" w:type="dxa"/>
            <w:tcBorders>
              <w:top w:val="single" w:color="auto" w:sz="4" w:space="0"/>
              <w:left w:val="single" w:color="auto" w:sz="4" w:space="0"/>
              <w:bottom w:val="single" w:color="auto" w:sz="4" w:space="0"/>
              <w:right w:val="single" w:color="auto" w:sz="4" w:space="0"/>
            </w:tcBorders>
            <w:noWrap w:val="0"/>
            <w:vAlign w:val="top"/>
          </w:tcPr>
          <w:p w14:paraId="04A387B0">
            <w:pPr>
              <w:wordWrap/>
              <w:topLinePunct w:val="0"/>
              <w:spacing w:line="360" w:lineRule="auto"/>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rPr>
              <w:t>光纤布线从机房到新楼楼层汇聚交换机网络布线，包含线缆、辅材及施工服务</w:t>
            </w:r>
            <w:r>
              <w:rPr>
                <w:rFonts w:hint="eastAsia" w:ascii="宋体" w:hAnsi="宋体" w:eastAsia="宋体" w:cs="宋体"/>
                <w:kern w:val="0"/>
                <w:sz w:val="21"/>
                <w:szCs w:val="21"/>
                <w:lang w:eastAsia="zh-CN"/>
              </w:rPr>
              <w:t>。</w:t>
            </w:r>
          </w:p>
        </w:tc>
      </w:tr>
    </w:tbl>
    <w:p w14:paraId="38E25FB4">
      <w:pPr>
        <w:numPr>
          <w:ilvl w:val="0"/>
          <w:numId w:val="0"/>
        </w:numPr>
        <w:wordWrap w:val="0"/>
        <w:topLinePunct/>
        <w:spacing w:line="360" w:lineRule="auto"/>
        <w:ind w:firstLine="210" w:firstLineChars="10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注：</w:t>
      </w:r>
    </w:p>
    <w:p w14:paraId="43119AE0">
      <w:pPr>
        <w:numPr>
          <w:ilvl w:val="0"/>
          <w:numId w:val="0"/>
        </w:numPr>
        <w:wordWrap w:val="0"/>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在满足技术要求和性能的前提下可投同档次或优于上述参数、性能和质量的货物。</w:t>
      </w:r>
    </w:p>
    <w:p w14:paraId="7055F3AB">
      <w:pPr>
        <w:numPr>
          <w:ilvl w:val="0"/>
          <w:numId w:val="0"/>
        </w:numPr>
        <w:wordWrap w:val="0"/>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应在</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中提供其响应产品满足</w:t>
      </w:r>
      <w:r>
        <w:rPr>
          <w:rFonts w:hint="eastAsia" w:ascii="宋体" w:hAnsi="宋体" w:eastAsia="宋体" w:cs="宋体"/>
          <w:color w:val="auto"/>
          <w:szCs w:val="21"/>
          <w:highlight w:val="none"/>
          <w:lang w:eastAsia="zh-CN"/>
        </w:rPr>
        <w:t>公开招标</w:t>
      </w:r>
      <w:r>
        <w:rPr>
          <w:rFonts w:hint="eastAsia" w:ascii="宋体" w:hAnsi="宋体" w:eastAsia="宋体" w:cs="宋体"/>
          <w:color w:val="auto"/>
          <w:szCs w:val="21"/>
          <w:highlight w:val="none"/>
        </w:rPr>
        <w:t>文件重要技术条款要求的客观证据材料（技术支持资料）作为</w:t>
      </w:r>
      <w:r>
        <w:rPr>
          <w:rFonts w:hint="eastAsia" w:ascii="宋体" w:hAnsi="宋体" w:eastAsia="宋体" w:cs="宋体"/>
          <w:color w:val="auto"/>
          <w:szCs w:val="21"/>
          <w:highlight w:val="none"/>
          <w:lang w:eastAsia="zh-CN"/>
        </w:rPr>
        <w:t>投标文件</w:t>
      </w:r>
      <w:r>
        <w:rPr>
          <w:rFonts w:hint="eastAsia" w:ascii="宋体" w:hAnsi="宋体" w:eastAsia="宋体" w:cs="宋体"/>
          <w:color w:val="auto"/>
          <w:szCs w:val="21"/>
          <w:highlight w:val="none"/>
        </w:rPr>
        <w:t>的一部分，以证明</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真实并实质性响应</w:t>
      </w:r>
      <w:r>
        <w:rPr>
          <w:rFonts w:hint="eastAsia" w:ascii="宋体" w:hAnsi="宋体" w:eastAsia="宋体" w:cs="宋体"/>
          <w:color w:val="auto"/>
          <w:szCs w:val="21"/>
          <w:highlight w:val="none"/>
          <w:lang w:eastAsia="zh-CN"/>
        </w:rPr>
        <w:t>公开招标</w:t>
      </w:r>
      <w:r>
        <w:rPr>
          <w:rFonts w:hint="eastAsia" w:ascii="宋体" w:hAnsi="宋体" w:eastAsia="宋体" w:cs="宋体"/>
          <w:color w:val="auto"/>
          <w:szCs w:val="21"/>
          <w:highlight w:val="none"/>
        </w:rPr>
        <w:t>文件的重要技术条款。未按要求提供的，</w:t>
      </w:r>
      <w:r>
        <w:rPr>
          <w:rFonts w:hint="eastAsia" w:ascii="宋体" w:hAnsi="宋体" w:eastAsia="宋体" w:cs="宋体"/>
          <w:color w:val="auto"/>
          <w:szCs w:val="21"/>
          <w:highlight w:val="none"/>
          <w:lang w:eastAsia="zh-CN"/>
        </w:rPr>
        <w:t>评标委员会</w:t>
      </w:r>
      <w:r>
        <w:rPr>
          <w:rFonts w:hint="eastAsia" w:ascii="宋体" w:hAnsi="宋体" w:eastAsia="宋体" w:cs="宋体"/>
          <w:color w:val="auto"/>
          <w:szCs w:val="21"/>
          <w:highlight w:val="none"/>
        </w:rPr>
        <w:t>将认定不满足该项要求。上述客观证据材料（技术支持资料）包括：国家认证认可监督管理委员会认可的检验检测认证机构出具的认证证书、检测报告；响应产品制造商公开发布的印刷技术资料（彩页），或者响应产品制造商官网发布的技术资料网页版打印件（显示网页网址）；或者</w:t>
      </w:r>
      <w:r>
        <w:rPr>
          <w:rFonts w:hint="eastAsia" w:ascii="宋体" w:hAnsi="宋体" w:eastAsia="宋体" w:cs="宋体"/>
          <w:color w:val="auto"/>
          <w:szCs w:val="21"/>
          <w:highlight w:val="none"/>
          <w:lang w:eastAsia="zh-CN"/>
        </w:rPr>
        <w:t>评标委员会</w:t>
      </w:r>
      <w:r>
        <w:rPr>
          <w:rFonts w:hint="eastAsia" w:ascii="宋体" w:hAnsi="宋体" w:eastAsia="宋体" w:cs="宋体"/>
          <w:color w:val="auto"/>
          <w:szCs w:val="21"/>
          <w:highlight w:val="none"/>
        </w:rPr>
        <w:t>认可的其他客观证据材料。认证证书、检测报告与印刷技术资料、官网技术资料不一致时，以认证证书、检测报告为准。对于非标准和非通用的产品，</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也可以提供此前完成的类似项目的合同技术规格及最终的性能检验报告（应加盖用户单位公章）作为客观证据材料。上述客观证据材料应是中文，如是外文应提供对应的中文翻译说明，评审以中文翻译内容为准。</w:t>
      </w:r>
    </w:p>
    <w:p w14:paraId="68648910">
      <w:pPr>
        <w:numPr>
          <w:ilvl w:val="0"/>
          <w:numId w:val="0"/>
        </w:numPr>
        <w:wordWrap w:val="0"/>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应如实描述所投产品的技术参数和性能。</w:t>
      </w:r>
    </w:p>
    <w:p w14:paraId="29872B7E">
      <w:pPr>
        <w:numPr>
          <w:ilvl w:val="0"/>
          <w:numId w:val="0"/>
        </w:numPr>
        <w:wordWrap w:val="0"/>
        <w:topLinePunct/>
        <w:spacing w:line="360" w:lineRule="auto"/>
        <w:ind w:firstLine="420" w:firstLineChars="200"/>
        <w:rPr>
          <w:rFonts w:hint="eastAsia" w:eastAsia="宋体"/>
          <w:lang w:eastAsia="zh-CN"/>
        </w:rPr>
      </w:pPr>
      <w:r>
        <w:rPr>
          <w:rFonts w:hint="eastAsia" w:ascii="宋体" w:hAnsi="宋体" w:eastAsia="宋体" w:cs="宋体"/>
          <w:color w:val="auto"/>
          <w:szCs w:val="21"/>
          <w:highlight w:val="none"/>
        </w:rPr>
        <w:t>4、服务要求：提供一体化交付服务，实施基于超融合架构的桌面云系统的标准化部署，完成网络、权限、打印服务等基础配置，预装符合医院要求的操作系统及医疗专业应用软件（含EMR/PACS等模块），实现临床环境即装即用</w:t>
      </w:r>
      <w:r>
        <w:rPr>
          <w:rFonts w:hint="eastAsia" w:cs="宋体"/>
          <w:color w:val="auto"/>
          <w:szCs w:val="21"/>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42E13"/>
    <w:rsid w:val="03D02C9A"/>
    <w:rsid w:val="13827EF6"/>
    <w:rsid w:val="4A44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paragraph" w:styleId="3">
    <w:name w:val="heading 1"/>
    <w:next w:val="1"/>
    <w:qFormat/>
    <w:uiPriority w:val="0"/>
    <w:pPr>
      <w:keepNext/>
      <w:keepLines/>
      <w:widowControl w:val="0"/>
      <w:spacing w:line="360" w:lineRule="auto"/>
      <w:jc w:val="center"/>
      <w:outlineLvl w:val="0"/>
    </w:pPr>
    <w:rPr>
      <w:rFonts w:ascii="Times New Roman" w:hAnsi="Times New Roman" w:eastAsia="宋体" w:cs="宋体"/>
      <w:b/>
      <w:kern w:val="44"/>
      <w:sz w:val="32"/>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footer"/>
    <w:qFormat/>
    <w:uiPriority w:val="99"/>
    <w:pPr>
      <w:widowControl w:val="0"/>
      <w:tabs>
        <w:tab w:val="center" w:pos="4153"/>
        <w:tab w:val="right" w:pos="8306"/>
      </w:tabs>
      <w:snapToGrid w:val="0"/>
      <w:jc w:val="left"/>
    </w:pPr>
    <w:rPr>
      <w:rFonts w:ascii="宋体" w:hAnsi="宋体" w:eastAsia="宋体" w:cs="宋体"/>
      <w:kern w:val="2"/>
      <w:sz w:val="18"/>
      <w:szCs w:val="18"/>
      <w:lang w:val="en-US" w:eastAsia="zh-CN" w:bidi="ar-SA"/>
    </w:rPr>
  </w:style>
  <w:style w:type="character" w:styleId="7">
    <w:name w:val="page number"/>
    <w:qFormat/>
    <w:uiPriority w:val="0"/>
  </w:style>
  <w:style w:type="paragraph" w:styleId="8">
    <w:name w:val="List Paragraph"/>
    <w:qFormat/>
    <w:uiPriority w:val="99"/>
    <w:pPr>
      <w:widowControl w:val="0"/>
      <w:ind w:firstLine="420" w:firstLineChars="20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2025-10-10T08:36:00Z</dcterms:created>
  <dc:creator>恒信咨询-于留洋</dc:creator>
  <cp:lastModifiedBy>恒信咨询-于留洋</cp:lastModifiedBy>
  <dcterms:modified xsi:type="dcterms:W3CDTF">2025-10-10T08:37:42Z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533F3C8F303549AF82FBC14E43F5D46B_11</vt:lpwstr>
  </property>
  <property fmtid="{D5CDD505-2E9C-101B-9397-08002B2CF9AE}" pid="4" name="KSOTemplateDocerSaveRecord">
    <vt:lpwstr>eyJoZGlkIjoiNGZiMmQ5YWY2ODNhMDQ5MWZlYWIxNWQ2ODU5ZDAxNDYiLCJ1c2VySWQiOiI2NTkxOTQ4OTkifQ==</vt:lpwstr>
  </property>
</Properties>
</file>